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05532" w14:textId="77777777" w:rsidR="00AC6D16" w:rsidRDefault="00AC6D16"/>
    <w:p w14:paraId="22C89C5F" w14:textId="77777777" w:rsidR="00AC6D16" w:rsidRDefault="00AC6D16"/>
    <w:p w14:paraId="43E47668" w14:textId="782F4ACA" w:rsidR="00AC6D16" w:rsidRDefault="00AC6D16" w:rsidP="00AC6D16">
      <w:pPr>
        <w:jc w:val="center"/>
        <w:rPr>
          <w:rFonts w:ascii="Arial" w:hAnsi="Arial" w:cs="Arial"/>
          <w:u w:val="single"/>
        </w:rPr>
      </w:pPr>
      <w:r w:rsidRPr="00AC6D16">
        <w:rPr>
          <w:rFonts w:ascii="Arial" w:hAnsi="Arial" w:cs="Arial"/>
          <w:u w:val="single"/>
        </w:rPr>
        <w:t xml:space="preserve">AI </w:t>
      </w:r>
      <w:r w:rsidR="00F3144F">
        <w:rPr>
          <w:rFonts w:ascii="Arial" w:hAnsi="Arial" w:cs="Arial"/>
          <w:u w:val="single"/>
        </w:rPr>
        <w:t>G</w:t>
      </w:r>
      <w:r w:rsidRPr="00AC6D16">
        <w:rPr>
          <w:rFonts w:ascii="Arial" w:hAnsi="Arial" w:cs="Arial"/>
          <w:u w:val="single"/>
        </w:rPr>
        <w:t>uidance</w:t>
      </w:r>
    </w:p>
    <w:p w14:paraId="60CD80C6" w14:textId="77777777" w:rsidR="00C10625" w:rsidRDefault="00C10625" w:rsidP="00AC6D16">
      <w:pPr>
        <w:jc w:val="center"/>
        <w:rPr>
          <w:rFonts w:ascii="Arial" w:hAnsi="Arial" w:cs="Arial"/>
          <w:u w:val="single"/>
        </w:rPr>
      </w:pPr>
    </w:p>
    <w:p w14:paraId="345331FE" w14:textId="05504755" w:rsidR="00F3144F" w:rsidRPr="00C10625" w:rsidRDefault="00C10625" w:rsidP="00C10625">
      <w:pPr>
        <w:pStyle w:val="NormalWeb"/>
        <w:spacing w:before="0" w:beforeAutospacing="0" w:line="360" w:lineRule="auto"/>
        <w:rPr>
          <w:rFonts w:ascii="Arial" w:hAnsi="Arial" w:cs="Arial"/>
          <w:color w:val="1D2125"/>
        </w:rPr>
      </w:pPr>
      <w:r w:rsidRPr="00C10625">
        <w:rPr>
          <w:rFonts w:ascii="Arial" w:hAnsi="Arial" w:cs="Arial"/>
          <w:color w:val="1D2125"/>
        </w:rPr>
        <w:t>I confirm that I have not presented any AI generated text as my own work</w:t>
      </w:r>
      <w:r w:rsidRPr="00C10625">
        <w:rPr>
          <w:rFonts w:ascii="Arial" w:hAnsi="Arial" w:cs="Arial"/>
          <w:color w:val="1D2125"/>
        </w:rPr>
        <w:br/>
        <w:t>I confirm I have copies of my drafts, notes, and other resources</w:t>
      </w:r>
      <w:r w:rsidR="00F81FCA">
        <w:rPr>
          <w:rFonts w:ascii="Arial" w:hAnsi="Arial" w:cs="Arial"/>
          <w:color w:val="1D2125"/>
        </w:rPr>
        <w:t xml:space="preserve">, </w:t>
      </w:r>
      <w:r w:rsidRPr="00C10625">
        <w:rPr>
          <w:rFonts w:ascii="Arial" w:hAnsi="Arial" w:cs="Arial"/>
          <w:color w:val="1D2125"/>
        </w:rPr>
        <w:t>which I may be asked to provide in evidence.</w:t>
      </w:r>
    </w:p>
    <w:p w14:paraId="196BF4FD" w14:textId="77777777" w:rsidR="00F3144F" w:rsidRDefault="00F3144F" w:rsidP="00AC6D16">
      <w:pPr>
        <w:jc w:val="center"/>
        <w:rPr>
          <w:rFonts w:ascii="Arial" w:hAnsi="Arial" w:cs="Arial"/>
          <w:u w:val="single"/>
        </w:rPr>
      </w:pPr>
    </w:p>
    <w:p w14:paraId="353D3E6E" w14:textId="77777777" w:rsidR="00F3144F" w:rsidRDefault="00F3144F" w:rsidP="00AC6D16">
      <w:pPr>
        <w:jc w:val="center"/>
        <w:rPr>
          <w:rFonts w:ascii="Arial" w:hAnsi="Arial" w:cs="Arial"/>
          <w:u w:val="single"/>
        </w:rPr>
      </w:pPr>
    </w:p>
    <w:p w14:paraId="1455E445" w14:textId="77777777" w:rsidR="00F3144F" w:rsidRDefault="00F3144F" w:rsidP="00AC6D16">
      <w:pPr>
        <w:jc w:val="center"/>
        <w:rPr>
          <w:rFonts w:ascii="Arial" w:hAnsi="Arial" w:cs="Arial"/>
          <w:u w:val="single"/>
        </w:rPr>
      </w:pPr>
    </w:p>
    <w:p w14:paraId="5F19A8C5" w14:textId="0990D55C" w:rsidR="00AC6D16" w:rsidRDefault="00AC6D16" w:rsidP="00AC6D16">
      <w:pPr>
        <w:jc w:val="center"/>
        <w:rPr>
          <w:rFonts w:ascii="Arial" w:hAnsi="Arial" w:cs="Arial"/>
          <w:u w:val="single"/>
        </w:rPr>
      </w:pPr>
      <w:r w:rsidRPr="00AC6D16">
        <w:rPr>
          <w:rFonts w:ascii="Arial" w:hAnsi="Arial" w:cs="Arial"/>
          <w:u w:val="single"/>
        </w:rPr>
        <w:t>Contents</w:t>
      </w:r>
    </w:p>
    <w:p w14:paraId="500230B1" w14:textId="77777777" w:rsidR="00F3144F" w:rsidRDefault="00F3144F" w:rsidP="00AC6D16">
      <w:pPr>
        <w:jc w:val="center"/>
        <w:rPr>
          <w:rFonts w:ascii="Arial" w:hAnsi="Arial" w:cs="Arial"/>
          <w:u w:val="single"/>
        </w:rPr>
      </w:pPr>
    </w:p>
    <w:p w14:paraId="122EEB14" w14:textId="0BD9178D" w:rsidR="00F3144F" w:rsidRPr="00F3144F" w:rsidRDefault="00F3144F" w:rsidP="00AC6D16">
      <w:pPr>
        <w:jc w:val="center"/>
        <w:rPr>
          <w:rFonts w:ascii="Arial" w:hAnsi="Arial" w:cs="Arial"/>
        </w:rPr>
      </w:pPr>
      <w:r w:rsidRPr="00F3144F">
        <w:rPr>
          <w:rFonts w:ascii="Arial" w:hAnsi="Arial" w:cs="Arial"/>
        </w:rPr>
        <w:t>Page 1 – AI Guidance &amp; Contents</w:t>
      </w:r>
    </w:p>
    <w:p w14:paraId="39408D39" w14:textId="77777777" w:rsidR="00F3144F" w:rsidRPr="00F3144F" w:rsidRDefault="00F3144F" w:rsidP="00AC6D16">
      <w:pPr>
        <w:jc w:val="center"/>
        <w:rPr>
          <w:rFonts w:ascii="Arial" w:hAnsi="Arial" w:cs="Arial"/>
        </w:rPr>
      </w:pPr>
    </w:p>
    <w:p w14:paraId="6F2D6285" w14:textId="2D56103E" w:rsidR="00F3144F" w:rsidRPr="00F3144F" w:rsidRDefault="00F3144F" w:rsidP="00AC6D16">
      <w:pPr>
        <w:jc w:val="center"/>
        <w:rPr>
          <w:rFonts w:ascii="Arial" w:hAnsi="Arial" w:cs="Arial"/>
        </w:rPr>
      </w:pPr>
      <w:r w:rsidRPr="00F3144F">
        <w:rPr>
          <w:rFonts w:ascii="Arial" w:hAnsi="Arial" w:cs="Arial"/>
        </w:rPr>
        <w:t xml:space="preserve">Pages 2 </w:t>
      </w:r>
      <w:r w:rsidR="002156D9">
        <w:rPr>
          <w:rFonts w:ascii="Arial" w:hAnsi="Arial" w:cs="Arial"/>
        </w:rPr>
        <w:t>–</w:t>
      </w:r>
      <w:r w:rsidRPr="00F3144F">
        <w:rPr>
          <w:rFonts w:ascii="Arial" w:hAnsi="Arial" w:cs="Arial"/>
        </w:rPr>
        <w:t xml:space="preserve"> </w:t>
      </w:r>
      <w:r w:rsidR="002156D9">
        <w:rPr>
          <w:rFonts w:ascii="Arial" w:hAnsi="Arial" w:cs="Arial"/>
        </w:rPr>
        <w:t xml:space="preserve">4 </w:t>
      </w:r>
      <w:r w:rsidRPr="00F3144F">
        <w:rPr>
          <w:rFonts w:ascii="Arial" w:hAnsi="Arial" w:cs="Arial"/>
        </w:rPr>
        <w:t>- Section 1.</w:t>
      </w:r>
      <w:r w:rsidR="002156D9">
        <w:rPr>
          <w:rFonts w:ascii="Arial" w:hAnsi="Arial" w:cs="Arial"/>
        </w:rPr>
        <w:t xml:space="preserve"> (</w:t>
      </w:r>
      <w:r w:rsidR="00577CED">
        <w:rPr>
          <w:rFonts w:ascii="Arial" w:hAnsi="Arial" w:cs="Arial"/>
        </w:rPr>
        <w:t>99</w:t>
      </w:r>
      <w:r w:rsidR="00F81FCA">
        <w:rPr>
          <w:rFonts w:ascii="Arial" w:hAnsi="Arial" w:cs="Arial"/>
        </w:rPr>
        <w:t>6</w:t>
      </w:r>
      <w:r w:rsidR="002156D9">
        <w:rPr>
          <w:rFonts w:ascii="Arial" w:hAnsi="Arial" w:cs="Arial"/>
        </w:rPr>
        <w:t>)</w:t>
      </w:r>
    </w:p>
    <w:p w14:paraId="03BC19BD" w14:textId="77777777" w:rsidR="00F3144F" w:rsidRPr="00F3144F" w:rsidRDefault="00F3144F" w:rsidP="00AC6D16">
      <w:pPr>
        <w:jc w:val="center"/>
        <w:rPr>
          <w:rFonts w:ascii="Arial" w:hAnsi="Arial" w:cs="Arial"/>
        </w:rPr>
      </w:pPr>
    </w:p>
    <w:p w14:paraId="047D79D4" w14:textId="7EF6D688" w:rsidR="00F3144F" w:rsidRPr="00F3144F" w:rsidRDefault="00F3144F" w:rsidP="00AC6D16">
      <w:pPr>
        <w:jc w:val="center"/>
        <w:rPr>
          <w:rFonts w:ascii="Arial" w:hAnsi="Arial" w:cs="Arial"/>
        </w:rPr>
      </w:pPr>
      <w:r w:rsidRPr="00F3144F">
        <w:rPr>
          <w:rFonts w:ascii="Arial" w:hAnsi="Arial" w:cs="Arial"/>
        </w:rPr>
        <w:t>Pages</w:t>
      </w:r>
      <w:r w:rsidR="009F07B2">
        <w:rPr>
          <w:rFonts w:ascii="Arial" w:hAnsi="Arial" w:cs="Arial"/>
        </w:rPr>
        <w:t xml:space="preserve"> 5</w:t>
      </w:r>
      <w:r w:rsidRPr="00F3144F">
        <w:rPr>
          <w:rFonts w:ascii="Arial" w:hAnsi="Arial" w:cs="Arial"/>
        </w:rPr>
        <w:t xml:space="preserve"> - </w:t>
      </w:r>
      <w:r w:rsidR="009F07B2">
        <w:rPr>
          <w:rFonts w:ascii="Arial" w:hAnsi="Arial" w:cs="Arial"/>
        </w:rPr>
        <w:t>8</w:t>
      </w:r>
      <w:r w:rsidRPr="00F3144F">
        <w:rPr>
          <w:rFonts w:ascii="Arial" w:hAnsi="Arial" w:cs="Arial"/>
        </w:rPr>
        <w:t xml:space="preserve"> – Section 2.</w:t>
      </w:r>
      <w:r w:rsidR="009F07B2">
        <w:rPr>
          <w:rFonts w:ascii="Arial" w:hAnsi="Arial" w:cs="Arial"/>
        </w:rPr>
        <w:t xml:space="preserve"> (1456)</w:t>
      </w:r>
    </w:p>
    <w:p w14:paraId="52931170" w14:textId="77777777" w:rsidR="00F3144F" w:rsidRPr="00F3144F" w:rsidRDefault="00F3144F" w:rsidP="00AC6D16">
      <w:pPr>
        <w:jc w:val="center"/>
        <w:rPr>
          <w:rFonts w:ascii="Arial" w:hAnsi="Arial" w:cs="Arial"/>
        </w:rPr>
      </w:pPr>
    </w:p>
    <w:p w14:paraId="721BE08B" w14:textId="7E8675B1" w:rsidR="00F3144F" w:rsidRPr="00F3144F" w:rsidRDefault="00F3144F" w:rsidP="00AC6D16">
      <w:pPr>
        <w:jc w:val="center"/>
        <w:rPr>
          <w:rFonts w:ascii="Arial" w:hAnsi="Arial" w:cs="Arial"/>
        </w:rPr>
      </w:pPr>
      <w:r w:rsidRPr="00F3144F">
        <w:rPr>
          <w:rFonts w:ascii="Arial" w:hAnsi="Arial" w:cs="Arial"/>
        </w:rPr>
        <w:t xml:space="preserve">Pages </w:t>
      </w:r>
      <w:r w:rsidR="009F07B2">
        <w:rPr>
          <w:rFonts w:ascii="Arial" w:hAnsi="Arial" w:cs="Arial"/>
        </w:rPr>
        <w:t xml:space="preserve">9 </w:t>
      </w:r>
      <w:r w:rsidRPr="00F3144F">
        <w:rPr>
          <w:rFonts w:ascii="Arial" w:hAnsi="Arial" w:cs="Arial"/>
        </w:rPr>
        <w:t xml:space="preserve">- </w:t>
      </w:r>
      <w:r w:rsidR="008142E8">
        <w:rPr>
          <w:rFonts w:ascii="Arial" w:hAnsi="Arial" w:cs="Arial"/>
        </w:rPr>
        <w:t>12</w:t>
      </w:r>
      <w:r w:rsidRPr="00F3144F">
        <w:rPr>
          <w:rFonts w:ascii="Arial" w:hAnsi="Arial" w:cs="Arial"/>
        </w:rPr>
        <w:t xml:space="preserve"> – Section 3.</w:t>
      </w:r>
      <w:r w:rsidR="008142E8">
        <w:rPr>
          <w:rFonts w:ascii="Arial" w:hAnsi="Arial" w:cs="Arial"/>
        </w:rPr>
        <w:t xml:space="preserve"> (1</w:t>
      </w:r>
      <w:r w:rsidR="00E25AF8">
        <w:rPr>
          <w:rFonts w:ascii="Arial" w:hAnsi="Arial" w:cs="Arial"/>
        </w:rPr>
        <w:t>386</w:t>
      </w:r>
      <w:r w:rsidR="008142E8">
        <w:rPr>
          <w:rFonts w:ascii="Arial" w:hAnsi="Arial" w:cs="Arial"/>
        </w:rPr>
        <w:t>)</w:t>
      </w:r>
    </w:p>
    <w:p w14:paraId="0D2DC555" w14:textId="77777777" w:rsidR="00F3144F" w:rsidRPr="00F3144F" w:rsidRDefault="00F3144F" w:rsidP="00AC6D16">
      <w:pPr>
        <w:jc w:val="center"/>
        <w:rPr>
          <w:rFonts w:ascii="Arial" w:hAnsi="Arial" w:cs="Arial"/>
        </w:rPr>
      </w:pPr>
    </w:p>
    <w:p w14:paraId="58673115" w14:textId="08345324" w:rsidR="00F3144F" w:rsidRPr="00F3144F" w:rsidRDefault="00F3144F" w:rsidP="00AC6D16">
      <w:pPr>
        <w:jc w:val="center"/>
        <w:rPr>
          <w:rFonts w:ascii="Arial" w:hAnsi="Arial" w:cs="Arial"/>
        </w:rPr>
      </w:pPr>
      <w:r w:rsidRPr="00F3144F">
        <w:rPr>
          <w:rFonts w:ascii="Arial" w:hAnsi="Arial" w:cs="Arial"/>
        </w:rPr>
        <w:t>Pages</w:t>
      </w:r>
      <w:r w:rsidR="008142E8">
        <w:rPr>
          <w:rFonts w:ascii="Arial" w:hAnsi="Arial" w:cs="Arial"/>
        </w:rPr>
        <w:t xml:space="preserve"> 13</w:t>
      </w:r>
      <w:r w:rsidRPr="00F3144F">
        <w:rPr>
          <w:rFonts w:ascii="Arial" w:hAnsi="Arial" w:cs="Arial"/>
        </w:rPr>
        <w:t xml:space="preserve"> - </w:t>
      </w:r>
      <w:r w:rsidR="008142E8">
        <w:rPr>
          <w:rFonts w:ascii="Arial" w:hAnsi="Arial" w:cs="Arial"/>
        </w:rPr>
        <w:t>1</w:t>
      </w:r>
      <w:r w:rsidR="005943DB">
        <w:rPr>
          <w:rFonts w:ascii="Arial" w:hAnsi="Arial" w:cs="Arial"/>
        </w:rPr>
        <w:t>6</w:t>
      </w:r>
      <w:r w:rsidRPr="00F3144F">
        <w:rPr>
          <w:rFonts w:ascii="Arial" w:hAnsi="Arial" w:cs="Arial"/>
        </w:rPr>
        <w:t xml:space="preserve"> - Reference List.</w:t>
      </w:r>
    </w:p>
    <w:p w14:paraId="2727EFA2" w14:textId="77777777" w:rsidR="00AC6D16" w:rsidRPr="00AC6D16" w:rsidRDefault="00AC6D16">
      <w:pPr>
        <w:rPr>
          <w:rFonts w:ascii="Arial" w:hAnsi="Arial" w:cs="Arial"/>
        </w:rPr>
      </w:pPr>
    </w:p>
    <w:p w14:paraId="040C6C2B" w14:textId="77777777" w:rsidR="00AC6D16" w:rsidRPr="00AC6D16" w:rsidRDefault="00AC6D16">
      <w:pPr>
        <w:rPr>
          <w:rFonts w:ascii="Arial" w:hAnsi="Arial" w:cs="Arial"/>
        </w:rPr>
      </w:pPr>
    </w:p>
    <w:p w14:paraId="35AF5160" w14:textId="77777777" w:rsidR="00AC6D16" w:rsidRPr="00AC6D16" w:rsidRDefault="00AC6D16">
      <w:pPr>
        <w:rPr>
          <w:rFonts w:ascii="Arial" w:hAnsi="Arial" w:cs="Arial"/>
        </w:rPr>
      </w:pPr>
    </w:p>
    <w:p w14:paraId="0362E36A" w14:textId="77777777" w:rsidR="00AC6D16" w:rsidRPr="00AC6D16" w:rsidRDefault="00AC6D16">
      <w:pPr>
        <w:rPr>
          <w:rFonts w:ascii="Arial" w:hAnsi="Arial" w:cs="Arial"/>
        </w:rPr>
      </w:pPr>
    </w:p>
    <w:p w14:paraId="3B18E3C5" w14:textId="77777777" w:rsidR="00AC6D16" w:rsidRPr="00AC6D16" w:rsidRDefault="00AC6D16">
      <w:pPr>
        <w:rPr>
          <w:rFonts w:ascii="Arial" w:hAnsi="Arial" w:cs="Arial"/>
        </w:rPr>
      </w:pPr>
    </w:p>
    <w:p w14:paraId="65ADF19C" w14:textId="77777777" w:rsidR="00AC6D16" w:rsidRPr="00AC6D16" w:rsidRDefault="00AC6D16">
      <w:pPr>
        <w:rPr>
          <w:rFonts w:ascii="Arial" w:hAnsi="Arial" w:cs="Arial"/>
        </w:rPr>
      </w:pPr>
    </w:p>
    <w:p w14:paraId="67E33892" w14:textId="77777777" w:rsidR="00AC6D16" w:rsidRPr="00AC6D16" w:rsidRDefault="00AC6D16">
      <w:pPr>
        <w:rPr>
          <w:rFonts w:ascii="Arial" w:hAnsi="Arial" w:cs="Arial"/>
        </w:rPr>
      </w:pPr>
    </w:p>
    <w:p w14:paraId="39A84215" w14:textId="77777777" w:rsidR="00AC6D16" w:rsidRPr="00AC6D16" w:rsidRDefault="00AC6D16">
      <w:pPr>
        <w:rPr>
          <w:rFonts w:ascii="Arial" w:hAnsi="Arial" w:cs="Arial"/>
        </w:rPr>
      </w:pPr>
    </w:p>
    <w:p w14:paraId="09485D2B" w14:textId="77777777" w:rsidR="00AC6D16" w:rsidRPr="00AC6D16" w:rsidRDefault="00AC6D16">
      <w:pPr>
        <w:rPr>
          <w:rFonts w:ascii="Arial" w:hAnsi="Arial" w:cs="Arial"/>
        </w:rPr>
      </w:pPr>
    </w:p>
    <w:p w14:paraId="63E5B0C4" w14:textId="77777777" w:rsidR="00AC6D16" w:rsidRPr="00AC6D16" w:rsidRDefault="00AC6D16">
      <w:pPr>
        <w:rPr>
          <w:rFonts w:ascii="Arial" w:hAnsi="Arial" w:cs="Arial"/>
        </w:rPr>
      </w:pPr>
    </w:p>
    <w:p w14:paraId="144FAC90" w14:textId="77777777" w:rsidR="00AC6D16" w:rsidRPr="00AC6D16" w:rsidRDefault="00AC6D16">
      <w:pPr>
        <w:rPr>
          <w:rFonts w:ascii="Arial" w:hAnsi="Arial" w:cs="Arial"/>
        </w:rPr>
      </w:pPr>
    </w:p>
    <w:p w14:paraId="25DB2C3F" w14:textId="77777777" w:rsidR="00AC6D16" w:rsidRPr="00AC6D16" w:rsidRDefault="00AC6D16">
      <w:pPr>
        <w:rPr>
          <w:rFonts w:ascii="Arial" w:hAnsi="Arial" w:cs="Arial"/>
        </w:rPr>
      </w:pPr>
    </w:p>
    <w:p w14:paraId="1AD84163" w14:textId="77777777" w:rsidR="00AC6D16" w:rsidRPr="00AC6D16" w:rsidRDefault="00AC6D16">
      <w:pPr>
        <w:rPr>
          <w:rFonts w:ascii="Arial" w:hAnsi="Arial" w:cs="Arial"/>
        </w:rPr>
      </w:pPr>
    </w:p>
    <w:p w14:paraId="473C37B4" w14:textId="77777777" w:rsidR="00AC6D16" w:rsidRPr="00AC6D16" w:rsidRDefault="00AC6D16">
      <w:pPr>
        <w:rPr>
          <w:rFonts w:ascii="Arial" w:hAnsi="Arial" w:cs="Arial"/>
        </w:rPr>
      </w:pPr>
    </w:p>
    <w:p w14:paraId="4CFE07E6" w14:textId="77777777" w:rsidR="00AC6D16" w:rsidRPr="00AC6D16" w:rsidRDefault="00AC6D16">
      <w:pPr>
        <w:rPr>
          <w:rFonts w:ascii="Arial" w:hAnsi="Arial" w:cs="Arial"/>
        </w:rPr>
      </w:pPr>
    </w:p>
    <w:p w14:paraId="3AA00CF7" w14:textId="77777777" w:rsidR="00AC6D16" w:rsidRPr="00AC6D16" w:rsidRDefault="00AC6D16">
      <w:pPr>
        <w:rPr>
          <w:rFonts w:ascii="Arial" w:hAnsi="Arial" w:cs="Arial"/>
        </w:rPr>
      </w:pPr>
    </w:p>
    <w:p w14:paraId="06DB6FFE" w14:textId="77777777" w:rsidR="00AC6D16" w:rsidRPr="00AC6D16" w:rsidRDefault="00AC6D16">
      <w:pPr>
        <w:rPr>
          <w:rFonts w:ascii="Arial" w:hAnsi="Arial" w:cs="Arial"/>
        </w:rPr>
      </w:pPr>
    </w:p>
    <w:p w14:paraId="39005E7A" w14:textId="77777777" w:rsidR="00AC6D16" w:rsidRPr="00AC6D16" w:rsidRDefault="00AC6D16">
      <w:pPr>
        <w:rPr>
          <w:rFonts w:ascii="Arial" w:hAnsi="Arial" w:cs="Arial"/>
        </w:rPr>
      </w:pPr>
    </w:p>
    <w:p w14:paraId="3A49BF28" w14:textId="77777777" w:rsidR="00AC6D16" w:rsidRPr="00AC6D16" w:rsidRDefault="00AC6D16">
      <w:pPr>
        <w:rPr>
          <w:rFonts w:ascii="Arial" w:hAnsi="Arial" w:cs="Arial"/>
        </w:rPr>
      </w:pPr>
    </w:p>
    <w:p w14:paraId="7443B94D" w14:textId="77777777" w:rsidR="00AC6D16" w:rsidRPr="00AC6D16" w:rsidRDefault="00AC6D16">
      <w:pPr>
        <w:rPr>
          <w:rFonts w:ascii="Arial" w:hAnsi="Arial" w:cs="Arial"/>
        </w:rPr>
      </w:pPr>
    </w:p>
    <w:p w14:paraId="65E2029D" w14:textId="77777777" w:rsidR="00AC6D16" w:rsidRPr="00AC6D16" w:rsidRDefault="00AC6D16">
      <w:pPr>
        <w:rPr>
          <w:rFonts w:ascii="Arial" w:hAnsi="Arial" w:cs="Arial"/>
        </w:rPr>
      </w:pPr>
    </w:p>
    <w:p w14:paraId="35EBF10A" w14:textId="77777777" w:rsidR="00AC6D16" w:rsidRPr="00AC6D16" w:rsidRDefault="00AC6D16">
      <w:pPr>
        <w:rPr>
          <w:rFonts w:ascii="Arial" w:hAnsi="Arial" w:cs="Arial"/>
        </w:rPr>
      </w:pPr>
    </w:p>
    <w:p w14:paraId="64C17842" w14:textId="77777777" w:rsidR="00AC6D16" w:rsidRPr="00AC6D16" w:rsidRDefault="00AC6D16">
      <w:pPr>
        <w:rPr>
          <w:rFonts w:ascii="Arial" w:hAnsi="Arial" w:cs="Arial"/>
        </w:rPr>
      </w:pPr>
    </w:p>
    <w:p w14:paraId="5082707B" w14:textId="77777777" w:rsidR="00AC6D16" w:rsidRPr="00AC6D16" w:rsidRDefault="00AC6D16">
      <w:pPr>
        <w:rPr>
          <w:rFonts w:ascii="Arial" w:hAnsi="Arial" w:cs="Arial"/>
        </w:rPr>
      </w:pPr>
    </w:p>
    <w:p w14:paraId="2B8D5245" w14:textId="77777777" w:rsidR="00AC6D16" w:rsidRPr="00AC6D16" w:rsidRDefault="00AC6D16">
      <w:pPr>
        <w:rPr>
          <w:rFonts w:ascii="Arial" w:hAnsi="Arial" w:cs="Arial"/>
        </w:rPr>
      </w:pPr>
    </w:p>
    <w:p w14:paraId="6CFCE43D" w14:textId="77777777" w:rsidR="00AC6D16" w:rsidRPr="00AC6D16" w:rsidRDefault="00AC6D16">
      <w:pPr>
        <w:rPr>
          <w:rFonts w:ascii="Arial" w:hAnsi="Arial" w:cs="Arial"/>
        </w:rPr>
      </w:pPr>
    </w:p>
    <w:p w14:paraId="716EA06D" w14:textId="2EE9EF38" w:rsidR="00D23CB1" w:rsidRPr="00AC6D16" w:rsidRDefault="006053EE" w:rsidP="00F3144F">
      <w:pPr>
        <w:spacing w:line="360" w:lineRule="auto"/>
        <w:rPr>
          <w:rFonts w:ascii="Arial" w:hAnsi="Arial" w:cs="Arial"/>
        </w:rPr>
      </w:pPr>
      <w:r w:rsidRPr="00AC6D16">
        <w:rPr>
          <w:rFonts w:ascii="Arial" w:hAnsi="Arial" w:cs="Arial"/>
        </w:rPr>
        <w:lastRenderedPageBreak/>
        <w:t xml:space="preserve">An exploration into </w:t>
      </w:r>
      <w:r w:rsidR="002534EA" w:rsidRPr="00AC6D16">
        <w:rPr>
          <w:rFonts w:ascii="Arial" w:hAnsi="Arial" w:cs="Arial"/>
        </w:rPr>
        <w:t xml:space="preserve">the importance of </w:t>
      </w:r>
      <w:r w:rsidRPr="00AC6D16">
        <w:rPr>
          <w:rFonts w:ascii="Arial" w:hAnsi="Arial" w:cs="Arial"/>
        </w:rPr>
        <w:t>staff wellbeing within the Early Years</w:t>
      </w:r>
      <w:r w:rsidR="002534EA" w:rsidRPr="00AC6D16">
        <w:rPr>
          <w:rFonts w:ascii="Arial" w:hAnsi="Arial" w:cs="Arial"/>
        </w:rPr>
        <w:t xml:space="preserve"> in Wales.</w:t>
      </w:r>
    </w:p>
    <w:p w14:paraId="54E3CDEB" w14:textId="77777777" w:rsidR="006053EE" w:rsidRPr="00AC6D16" w:rsidRDefault="006053EE" w:rsidP="00F3144F">
      <w:pPr>
        <w:spacing w:line="360" w:lineRule="auto"/>
        <w:rPr>
          <w:rFonts w:ascii="Arial" w:hAnsi="Arial" w:cs="Arial"/>
        </w:rPr>
      </w:pPr>
    </w:p>
    <w:p w14:paraId="67AA7B40" w14:textId="6CF359BE" w:rsidR="006053EE" w:rsidRPr="00F3144F" w:rsidRDefault="006053EE" w:rsidP="00F3144F">
      <w:pPr>
        <w:spacing w:line="360" w:lineRule="auto"/>
        <w:rPr>
          <w:rFonts w:ascii="Arial" w:hAnsi="Arial" w:cs="Arial"/>
          <w:u w:val="single"/>
        </w:rPr>
      </w:pPr>
      <w:r w:rsidRPr="00F3144F">
        <w:rPr>
          <w:rFonts w:ascii="Arial" w:hAnsi="Arial" w:cs="Arial"/>
          <w:u w:val="single"/>
        </w:rPr>
        <w:t>Section 1</w:t>
      </w:r>
    </w:p>
    <w:p w14:paraId="3C86315F" w14:textId="77777777" w:rsidR="006053EE" w:rsidRPr="00AC6D16" w:rsidRDefault="006053EE" w:rsidP="00F3144F">
      <w:pPr>
        <w:spacing w:line="360" w:lineRule="auto"/>
        <w:rPr>
          <w:rFonts w:ascii="Arial" w:hAnsi="Arial" w:cs="Arial"/>
        </w:rPr>
      </w:pPr>
    </w:p>
    <w:p w14:paraId="1EF86E4B" w14:textId="5C6CD185" w:rsidR="006053EE" w:rsidRPr="00AC6D16" w:rsidRDefault="006053EE" w:rsidP="00F3144F">
      <w:pPr>
        <w:spacing w:line="360" w:lineRule="auto"/>
        <w:rPr>
          <w:rFonts w:ascii="Arial" w:hAnsi="Arial" w:cs="Arial"/>
        </w:rPr>
      </w:pPr>
      <w:r w:rsidRPr="00AC6D16">
        <w:rPr>
          <w:rFonts w:ascii="Arial" w:hAnsi="Arial" w:cs="Arial"/>
        </w:rPr>
        <w:t xml:space="preserve">The retention of qualified staff within early years has been identified as an issue globally. As cited in a research paper by Bull, </w:t>
      </w:r>
      <w:r w:rsidRPr="00AC6D16">
        <w:rPr>
          <w:rFonts w:ascii="Arial" w:hAnsi="Arial" w:cs="Arial"/>
          <w:i/>
          <w:iCs/>
        </w:rPr>
        <w:t>et al.</w:t>
      </w:r>
      <w:r w:rsidRPr="00AC6D16">
        <w:rPr>
          <w:rFonts w:ascii="Arial" w:hAnsi="Arial" w:cs="Arial"/>
        </w:rPr>
        <w:t xml:space="preserve"> (2023) a longitudinal monitoring study by </w:t>
      </w:r>
      <w:proofErr w:type="spellStart"/>
      <w:r w:rsidRPr="00AC6D16">
        <w:rPr>
          <w:rFonts w:ascii="Arial" w:hAnsi="Arial" w:cs="Arial"/>
        </w:rPr>
        <w:t>Bassok</w:t>
      </w:r>
      <w:proofErr w:type="spellEnd"/>
      <w:r w:rsidRPr="00AC6D16">
        <w:rPr>
          <w:rFonts w:ascii="Arial" w:hAnsi="Arial" w:cs="Arial"/>
        </w:rPr>
        <w:t xml:space="preserve"> </w:t>
      </w:r>
      <w:r w:rsidRPr="00AC6D16">
        <w:rPr>
          <w:rFonts w:ascii="Arial" w:hAnsi="Arial" w:cs="Arial"/>
          <w:i/>
          <w:iCs/>
        </w:rPr>
        <w:t>et al</w:t>
      </w:r>
      <w:r w:rsidRPr="00AC6D16">
        <w:rPr>
          <w:rFonts w:ascii="Arial" w:hAnsi="Arial" w:cs="Arial"/>
        </w:rPr>
        <w:t xml:space="preserve">. (2021) and Bellows </w:t>
      </w:r>
      <w:r w:rsidRPr="00AC6D16">
        <w:rPr>
          <w:rFonts w:ascii="Arial" w:hAnsi="Arial" w:cs="Arial"/>
          <w:i/>
          <w:iCs/>
        </w:rPr>
        <w:t>et al</w:t>
      </w:r>
      <w:r w:rsidRPr="00AC6D16">
        <w:rPr>
          <w:rFonts w:ascii="Arial" w:hAnsi="Arial" w:cs="Arial"/>
        </w:rPr>
        <w:t>. (2022) reports that within a three-year period less than 40% of staff remain in the same service with a higher proportion of staff who work with toddlers leaving the profession.</w:t>
      </w:r>
    </w:p>
    <w:p w14:paraId="233CB0A8" w14:textId="65B2508C" w:rsidR="002534EA" w:rsidRDefault="00201243" w:rsidP="00F3144F">
      <w:pPr>
        <w:spacing w:line="360" w:lineRule="auto"/>
        <w:rPr>
          <w:rFonts w:ascii="Arial" w:hAnsi="Arial" w:cs="Arial"/>
        </w:rPr>
      </w:pPr>
      <w:r w:rsidRPr="00AC6D16">
        <w:rPr>
          <w:rFonts w:ascii="Arial" w:hAnsi="Arial" w:cs="Arial"/>
        </w:rPr>
        <w:t>T</w:t>
      </w:r>
      <w:r w:rsidR="002534EA" w:rsidRPr="00AC6D16">
        <w:rPr>
          <w:rFonts w:ascii="Arial" w:hAnsi="Arial" w:cs="Arial"/>
        </w:rPr>
        <w:t>he rationale</w:t>
      </w:r>
      <w:r w:rsidRPr="00AC6D16">
        <w:rPr>
          <w:rFonts w:ascii="Arial" w:hAnsi="Arial" w:cs="Arial"/>
        </w:rPr>
        <w:t xml:space="preserve"> for this piece of research</w:t>
      </w:r>
      <w:r w:rsidR="002534EA" w:rsidRPr="00AC6D16">
        <w:rPr>
          <w:rFonts w:ascii="Arial" w:hAnsi="Arial" w:cs="Arial"/>
        </w:rPr>
        <w:t xml:space="preserve"> is to investigate the importance of staff wellbeing</w:t>
      </w:r>
      <w:r w:rsidR="007662F2">
        <w:rPr>
          <w:rFonts w:ascii="Arial" w:hAnsi="Arial" w:cs="Arial"/>
        </w:rPr>
        <w:t>, p</w:t>
      </w:r>
      <w:r w:rsidR="002534EA" w:rsidRPr="00AC6D16">
        <w:rPr>
          <w:rFonts w:ascii="Arial" w:hAnsi="Arial" w:cs="Arial"/>
        </w:rPr>
        <w:t>articularly staff working within Early Years in Wales. There are articles and studies available questioning early years practitioners</w:t>
      </w:r>
      <w:r w:rsidR="007662F2">
        <w:rPr>
          <w:rFonts w:ascii="Arial" w:hAnsi="Arial" w:cs="Arial"/>
        </w:rPr>
        <w:t>’ wellbeing and whether they</w:t>
      </w:r>
      <w:r w:rsidR="002534EA" w:rsidRPr="00AC6D16">
        <w:rPr>
          <w:rFonts w:ascii="Arial" w:hAnsi="Arial" w:cs="Arial"/>
        </w:rPr>
        <w:t xml:space="preserve"> are burnt out? The definition of burnt out in this research is severe exhaustion</w:t>
      </w:r>
      <w:r w:rsidRPr="00AC6D16">
        <w:rPr>
          <w:rFonts w:ascii="Arial" w:hAnsi="Arial" w:cs="Arial"/>
        </w:rPr>
        <w:t>, which can include</w:t>
      </w:r>
      <w:r w:rsidR="00EE0C46" w:rsidRPr="00AC6D16">
        <w:rPr>
          <w:rFonts w:ascii="Arial" w:hAnsi="Arial" w:cs="Arial"/>
        </w:rPr>
        <w:t xml:space="preserve"> emotional, mental o</w:t>
      </w:r>
      <w:r w:rsidRPr="00AC6D16">
        <w:rPr>
          <w:rFonts w:ascii="Arial" w:hAnsi="Arial" w:cs="Arial"/>
        </w:rPr>
        <w:t>r</w:t>
      </w:r>
      <w:r w:rsidR="00EE0C46" w:rsidRPr="00AC6D16">
        <w:rPr>
          <w:rFonts w:ascii="Arial" w:hAnsi="Arial" w:cs="Arial"/>
        </w:rPr>
        <w:t xml:space="preserve"> physical</w:t>
      </w:r>
      <w:r w:rsidRPr="00AC6D16">
        <w:rPr>
          <w:rFonts w:ascii="Arial" w:hAnsi="Arial" w:cs="Arial"/>
        </w:rPr>
        <w:t xml:space="preserve"> exhaustion</w:t>
      </w:r>
      <w:r w:rsidR="00EE0C46" w:rsidRPr="00AC6D16">
        <w:rPr>
          <w:rFonts w:ascii="Arial" w:hAnsi="Arial" w:cs="Arial"/>
        </w:rPr>
        <w:t>, due to the excessive demands</w:t>
      </w:r>
      <w:r w:rsidRPr="00AC6D16">
        <w:rPr>
          <w:rFonts w:ascii="Arial" w:hAnsi="Arial" w:cs="Arial"/>
        </w:rPr>
        <w:t xml:space="preserve"> on early years staff</w:t>
      </w:r>
      <w:r w:rsidR="00EE0C46" w:rsidRPr="00AC6D16">
        <w:rPr>
          <w:rFonts w:ascii="Arial" w:hAnsi="Arial" w:cs="Arial"/>
        </w:rPr>
        <w:t xml:space="preserve">. </w:t>
      </w:r>
      <w:r w:rsidR="002534EA" w:rsidRPr="00AC6D16">
        <w:rPr>
          <w:rFonts w:ascii="Arial" w:hAnsi="Arial" w:cs="Arial"/>
        </w:rPr>
        <w:t>(</w:t>
      </w:r>
      <w:proofErr w:type="spellStart"/>
      <w:r w:rsidR="002534EA" w:rsidRPr="00AC6D16">
        <w:rPr>
          <w:rFonts w:ascii="Arial" w:hAnsi="Arial" w:cs="Arial"/>
        </w:rPr>
        <w:t>Barnardos</w:t>
      </w:r>
      <w:proofErr w:type="spellEnd"/>
      <w:r w:rsidR="002534EA" w:rsidRPr="00AC6D16">
        <w:rPr>
          <w:rFonts w:ascii="Arial" w:hAnsi="Arial" w:cs="Arial"/>
        </w:rPr>
        <w:t xml:space="preserve">, 2022). </w:t>
      </w:r>
      <w:r w:rsidR="00EE0C46" w:rsidRPr="00AC6D16">
        <w:rPr>
          <w:rFonts w:ascii="Arial" w:hAnsi="Arial" w:cs="Arial"/>
        </w:rPr>
        <w:t xml:space="preserve">However, Maslach </w:t>
      </w:r>
      <w:r w:rsidRPr="00AC6D16">
        <w:rPr>
          <w:rFonts w:ascii="Arial" w:hAnsi="Arial" w:cs="Arial"/>
          <w:i/>
          <w:iCs/>
        </w:rPr>
        <w:t>et al.</w:t>
      </w:r>
      <w:r w:rsidR="00EE0C46" w:rsidRPr="00AC6D16">
        <w:rPr>
          <w:rFonts w:ascii="Arial" w:hAnsi="Arial" w:cs="Arial"/>
        </w:rPr>
        <w:t xml:space="preserve"> (1997) defines burnout as ‘a work-related syndrome of emotional exhaustion, depersonalization and reduced sense of personal accomplishment. (</w:t>
      </w:r>
      <w:r w:rsidRPr="00AC6D16">
        <w:rPr>
          <w:rFonts w:ascii="Arial" w:hAnsi="Arial" w:cs="Arial"/>
        </w:rPr>
        <w:t xml:space="preserve">Maslach </w:t>
      </w:r>
      <w:r w:rsidRPr="00AC6D16">
        <w:rPr>
          <w:rFonts w:ascii="Arial" w:hAnsi="Arial" w:cs="Arial"/>
          <w:i/>
          <w:iCs/>
        </w:rPr>
        <w:t>et al</w:t>
      </w:r>
      <w:r w:rsidRPr="00AC6D16">
        <w:rPr>
          <w:rFonts w:ascii="Arial" w:hAnsi="Arial" w:cs="Arial"/>
        </w:rPr>
        <w:t>., 1997, p192).</w:t>
      </w:r>
    </w:p>
    <w:p w14:paraId="0B5C3D8C" w14:textId="2F23AF48" w:rsidR="00201243" w:rsidRPr="00AC6D16" w:rsidRDefault="007A2788" w:rsidP="00F3144F">
      <w:pPr>
        <w:spacing w:line="360" w:lineRule="auto"/>
        <w:rPr>
          <w:rFonts w:ascii="Arial" w:hAnsi="Arial" w:cs="Arial"/>
        </w:rPr>
      </w:pPr>
      <w:r>
        <w:rPr>
          <w:rFonts w:ascii="Arial" w:hAnsi="Arial" w:cs="Arial"/>
        </w:rPr>
        <w:t>Globally many research articles relat</w:t>
      </w:r>
      <w:r w:rsidR="007662F2">
        <w:rPr>
          <w:rFonts w:ascii="Arial" w:hAnsi="Arial" w:cs="Arial"/>
        </w:rPr>
        <w:t>e</w:t>
      </w:r>
      <w:r>
        <w:rPr>
          <w:rFonts w:ascii="Arial" w:hAnsi="Arial" w:cs="Arial"/>
        </w:rPr>
        <w:t xml:space="preserve"> to staff wellbeing and retention of staff due to their wellbeing. In the research paper by Bull </w:t>
      </w:r>
      <w:r w:rsidRPr="00F81FCA">
        <w:rPr>
          <w:rFonts w:ascii="Arial" w:hAnsi="Arial" w:cs="Arial"/>
          <w:i/>
          <w:iCs/>
        </w:rPr>
        <w:t>et al.,</w:t>
      </w:r>
      <w:r>
        <w:rPr>
          <w:rFonts w:ascii="Arial" w:hAnsi="Arial" w:cs="Arial"/>
        </w:rPr>
        <w:t xml:space="preserve"> (2023) that was carried out in Australia identified many implications to the impact of poor staff wellbeing and retention. Cassidy </w:t>
      </w:r>
      <w:r w:rsidRPr="00F81FCA">
        <w:rPr>
          <w:rFonts w:ascii="Arial" w:hAnsi="Arial" w:cs="Arial"/>
          <w:i/>
          <w:iCs/>
        </w:rPr>
        <w:t>et</w:t>
      </w:r>
      <w:r w:rsidR="00F81FCA" w:rsidRPr="00F81FCA">
        <w:rPr>
          <w:rFonts w:ascii="Arial" w:hAnsi="Arial" w:cs="Arial"/>
          <w:i/>
          <w:iCs/>
        </w:rPr>
        <w:t xml:space="preserve"> al</w:t>
      </w:r>
      <w:r w:rsidRPr="00F81FCA">
        <w:rPr>
          <w:rFonts w:ascii="Arial" w:hAnsi="Arial" w:cs="Arial"/>
          <w:i/>
          <w:iCs/>
        </w:rPr>
        <w:t>.</w:t>
      </w:r>
      <w:r w:rsidR="00F81FCA">
        <w:rPr>
          <w:rFonts w:ascii="Arial" w:hAnsi="Arial" w:cs="Arial"/>
          <w:i/>
          <w:iCs/>
        </w:rPr>
        <w:t>,</w:t>
      </w:r>
      <w:r>
        <w:rPr>
          <w:rFonts w:ascii="Arial" w:hAnsi="Arial" w:cs="Arial"/>
        </w:rPr>
        <w:t xml:space="preserve"> (2011) report that families are also impacted when staff leave an early year’s provision. The impact causes issues with re-establishing trusting relationships and feeling concerned that staff will not understand their child and their needs. </w:t>
      </w:r>
      <w:r w:rsidR="00FD046A">
        <w:rPr>
          <w:rFonts w:ascii="Arial" w:hAnsi="Arial" w:cs="Arial"/>
        </w:rPr>
        <w:t xml:space="preserve">Also, research conducted by </w:t>
      </w:r>
      <w:proofErr w:type="spellStart"/>
      <w:r w:rsidR="00FD046A">
        <w:rPr>
          <w:rFonts w:ascii="Arial" w:hAnsi="Arial" w:cs="Arial"/>
        </w:rPr>
        <w:t>Oke</w:t>
      </w:r>
      <w:proofErr w:type="spellEnd"/>
      <w:r w:rsidR="00FD046A">
        <w:rPr>
          <w:rFonts w:ascii="Arial" w:hAnsi="Arial" w:cs="Arial"/>
        </w:rPr>
        <w:t>, M. (2022) in Ireland identified the impact on families</w:t>
      </w:r>
      <w:r w:rsidR="00F81FCA">
        <w:rPr>
          <w:rFonts w:ascii="Arial" w:hAnsi="Arial" w:cs="Arial"/>
        </w:rPr>
        <w:t>.</w:t>
      </w:r>
      <w:r w:rsidR="00FD046A">
        <w:rPr>
          <w:rFonts w:ascii="Arial" w:hAnsi="Arial" w:cs="Arial"/>
        </w:rPr>
        <w:t xml:space="preserve"> </w:t>
      </w:r>
      <w:r w:rsidR="00F81FCA">
        <w:rPr>
          <w:rFonts w:ascii="Arial" w:hAnsi="Arial" w:cs="Arial"/>
        </w:rPr>
        <w:t>H</w:t>
      </w:r>
      <w:r w:rsidR="00FD046A">
        <w:rPr>
          <w:rFonts w:ascii="Arial" w:hAnsi="Arial" w:cs="Arial"/>
        </w:rPr>
        <w:t xml:space="preserve">owever, they ensured the early years practitioner was at the heart of the research. They ensured that strategies were in place to ensure the early years practitioner’s wellbeing was paramount within their settings. As cited by </w:t>
      </w:r>
      <w:proofErr w:type="spellStart"/>
      <w:r w:rsidR="00FD046A">
        <w:rPr>
          <w:rFonts w:ascii="Arial" w:hAnsi="Arial" w:cs="Arial"/>
        </w:rPr>
        <w:t>Merçon</w:t>
      </w:r>
      <w:proofErr w:type="spellEnd"/>
      <w:r w:rsidR="00FD046A">
        <w:rPr>
          <w:rFonts w:ascii="Arial" w:hAnsi="Arial" w:cs="Arial"/>
        </w:rPr>
        <w:t xml:space="preserve">-Vargas </w:t>
      </w:r>
      <w:r w:rsidR="00FD046A" w:rsidRPr="00F81FCA">
        <w:rPr>
          <w:rFonts w:ascii="Arial" w:hAnsi="Arial" w:cs="Arial"/>
          <w:i/>
          <w:iCs/>
        </w:rPr>
        <w:t>et al.,</w:t>
      </w:r>
      <w:r w:rsidR="00FD046A">
        <w:rPr>
          <w:rFonts w:ascii="Arial" w:hAnsi="Arial" w:cs="Arial"/>
        </w:rPr>
        <w:t xml:space="preserve"> 2020, strong, positive relationships between staff and children have a unique pedagogy in providing a positive, warm environment. (</w:t>
      </w:r>
      <w:proofErr w:type="spellStart"/>
      <w:r w:rsidR="00FD046A">
        <w:rPr>
          <w:rFonts w:ascii="Arial" w:hAnsi="Arial" w:cs="Arial"/>
        </w:rPr>
        <w:t>Barnardos</w:t>
      </w:r>
      <w:proofErr w:type="spellEnd"/>
      <w:r w:rsidR="00FD046A">
        <w:rPr>
          <w:rFonts w:ascii="Arial" w:hAnsi="Arial" w:cs="Arial"/>
        </w:rPr>
        <w:t>, 2022).</w:t>
      </w:r>
    </w:p>
    <w:p w14:paraId="1C0C4854" w14:textId="237606C5" w:rsidR="00EE0C46" w:rsidRDefault="00A76B3B" w:rsidP="00F3144F">
      <w:pPr>
        <w:spacing w:line="360" w:lineRule="auto"/>
        <w:rPr>
          <w:rFonts w:ascii="Arial" w:hAnsi="Arial" w:cs="Arial"/>
        </w:rPr>
      </w:pPr>
      <w:r>
        <w:rPr>
          <w:rFonts w:ascii="Arial" w:hAnsi="Arial" w:cs="Arial"/>
        </w:rPr>
        <w:t xml:space="preserve">In Wales, the Welsh Government (WG) conducted a research project in June 2022. The purpose was to develop and understand whether existing policies and programmes needed to be refined post </w:t>
      </w:r>
      <w:r w:rsidR="005903D3">
        <w:rPr>
          <w:rFonts w:ascii="Arial" w:hAnsi="Arial" w:cs="Arial"/>
        </w:rPr>
        <w:t xml:space="preserve">the </w:t>
      </w:r>
      <w:r>
        <w:rPr>
          <w:rFonts w:ascii="Arial" w:hAnsi="Arial" w:cs="Arial"/>
        </w:rPr>
        <w:t xml:space="preserve">COVID-19 pandemic. However, this </w:t>
      </w:r>
      <w:r>
        <w:rPr>
          <w:rFonts w:ascii="Arial" w:hAnsi="Arial" w:cs="Arial"/>
        </w:rPr>
        <w:lastRenderedPageBreak/>
        <w:t>research did not consider the importance of staff wellbeing but emphasised the importance of practitioners providing a person-centred, holistic approach to provide appropriate support and align a play-based approach with the principles of Curriculum for Wales and outdoor learning for children’s development. (</w:t>
      </w:r>
      <w:proofErr w:type="spellStart"/>
      <w:r>
        <w:rPr>
          <w:rFonts w:ascii="Arial" w:hAnsi="Arial" w:cs="Arial"/>
        </w:rPr>
        <w:t>Bajjada</w:t>
      </w:r>
      <w:proofErr w:type="spellEnd"/>
      <w:r>
        <w:rPr>
          <w:rFonts w:ascii="Arial" w:hAnsi="Arial" w:cs="Arial"/>
        </w:rPr>
        <w:t xml:space="preserve">, </w:t>
      </w:r>
      <w:r w:rsidRPr="00F81FCA">
        <w:rPr>
          <w:rFonts w:ascii="Arial" w:hAnsi="Arial" w:cs="Arial"/>
          <w:i/>
          <w:iCs/>
        </w:rPr>
        <w:t>et al.,</w:t>
      </w:r>
      <w:r>
        <w:rPr>
          <w:rFonts w:ascii="Arial" w:hAnsi="Arial" w:cs="Arial"/>
        </w:rPr>
        <w:t xml:space="preserve"> 2024)</w:t>
      </w:r>
      <w:r w:rsidR="00384641">
        <w:rPr>
          <w:rFonts w:ascii="Arial" w:hAnsi="Arial" w:cs="Arial"/>
        </w:rPr>
        <w:t xml:space="preserve">. </w:t>
      </w:r>
      <w:r w:rsidR="005903D3">
        <w:rPr>
          <w:rFonts w:ascii="Arial" w:hAnsi="Arial" w:cs="Arial"/>
        </w:rPr>
        <w:t xml:space="preserve">It is widely acknowledged that many early years practitioners enter the profession as they have a passion to show a high level of </w:t>
      </w:r>
      <w:r w:rsidR="009D130C">
        <w:rPr>
          <w:rFonts w:ascii="Arial" w:hAnsi="Arial" w:cs="Arial"/>
        </w:rPr>
        <w:t>accomplishment and feel they make a difference. However, if their wellbeing is low or they lack values such as positivity</w:t>
      </w:r>
      <w:r w:rsidR="00F81FCA">
        <w:rPr>
          <w:rFonts w:ascii="Arial" w:hAnsi="Arial" w:cs="Arial"/>
        </w:rPr>
        <w:t>, t</w:t>
      </w:r>
      <w:r w:rsidR="009D130C">
        <w:rPr>
          <w:rFonts w:ascii="Arial" w:hAnsi="Arial" w:cs="Arial"/>
        </w:rPr>
        <w:t xml:space="preserve">his will influence their motivation and could lead to them choosing to leave the profession (McCormick et al., 2022). </w:t>
      </w:r>
      <w:r w:rsidR="00384641">
        <w:rPr>
          <w:rFonts w:ascii="Arial" w:hAnsi="Arial" w:cs="Arial"/>
        </w:rPr>
        <w:t>Additionally, a student in Cardiff University</w:t>
      </w:r>
      <w:r w:rsidR="00D70138">
        <w:rPr>
          <w:rFonts w:ascii="Arial" w:hAnsi="Arial" w:cs="Arial"/>
        </w:rPr>
        <w:t xml:space="preserve"> conducted research as part of their thesis whilst studying Social Science. The </w:t>
      </w:r>
      <w:r w:rsidR="00384641">
        <w:rPr>
          <w:rFonts w:ascii="Arial" w:hAnsi="Arial" w:cs="Arial"/>
        </w:rPr>
        <w:t>rationale for their thesis was to explore the concept of wellbeing</w:t>
      </w:r>
      <w:r w:rsidR="00D21BCB">
        <w:rPr>
          <w:rFonts w:ascii="Arial" w:hAnsi="Arial" w:cs="Arial"/>
        </w:rPr>
        <w:t xml:space="preserve">, how it </w:t>
      </w:r>
      <w:r w:rsidR="00384641">
        <w:rPr>
          <w:rFonts w:ascii="Arial" w:hAnsi="Arial" w:cs="Arial"/>
        </w:rPr>
        <w:t>is understood and supported. (Lewis, 2016). This research project considered the wellbeing of children within a variety of settings in Wales. However, many limitations were found during the study</w:t>
      </w:r>
      <w:r w:rsidR="00D21BCB">
        <w:rPr>
          <w:rFonts w:ascii="Arial" w:hAnsi="Arial" w:cs="Arial"/>
        </w:rPr>
        <w:t xml:space="preserve">. This was </w:t>
      </w:r>
      <w:r w:rsidR="00384641">
        <w:rPr>
          <w:rFonts w:ascii="Arial" w:hAnsi="Arial" w:cs="Arial"/>
        </w:rPr>
        <w:t>due to</w:t>
      </w:r>
      <w:r w:rsidR="00D21BCB">
        <w:rPr>
          <w:rFonts w:ascii="Arial" w:hAnsi="Arial" w:cs="Arial"/>
        </w:rPr>
        <w:t xml:space="preserve"> a lack in</w:t>
      </w:r>
      <w:r w:rsidR="00384641">
        <w:rPr>
          <w:rFonts w:ascii="Arial" w:hAnsi="Arial" w:cs="Arial"/>
        </w:rPr>
        <w:t xml:space="preserve"> research of </w:t>
      </w:r>
      <w:r w:rsidR="00D21BCB">
        <w:rPr>
          <w:rFonts w:ascii="Arial" w:hAnsi="Arial" w:cs="Arial"/>
        </w:rPr>
        <w:t xml:space="preserve">an </w:t>
      </w:r>
      <w:r w:rsidR="00384641">
        <w:rPr>
          <w:rFonts w:ascii="Arial" w:hAnsi="Arial" w:cs="Arial"/>
        </w:rPr>
        <w:t>explanation</w:t>
      </w:r>
      <w:r w:rsidR="00D21BCB">
        <w:rPr>
          <w:rFonts w:ascii="Arial" w:hAnsi="Arial" w:cs="Arial"/>
        </w:rPr>
        <w:t xml:space="preserve"> of wellbeing</w:t>
      </w:r>
      <w:r w:rsidR="00384641">
        <w:rPr>
          <w:rFonts w:ascii="Arial" w:hAnsi="Arial" w:cs="Arial"/>
        </w:rPr>
        <w:t xml:space="preserve"> </w:t>
      </w:r>
      <w:r w:rsidR="00D21BCB">
        <w:rPr>
          <w:rFonts w:ascii="Arial" w:hAnsi="Arial" w:cs="Arial"/>
        </w:rPr>
        <w:t>which was</w:t>
      </w:r>
      <w:r w:rsidR="00384641">
        <w:rPr>
          <w:rFonts w:ascii="Arial" w:hAnsi="Arial" w:cs="Arial"/>
        </w:rPr>
        <w:t xml:space="preserve"> limited </w:t>
      </w:r>
      <w:r w:rsidR="00D21BCB">
        <w:rPr>
          <w:rFonts w:ascii="Arial" w:hAnsi="Arial" w:cs="Arial"/>
        </w:rPr>
        <w:t>and</w:t>
      </w:r>
      <w:r w:rsidR="00384641">
        <w:rPr>
          <w:rFonts w:ascii="Arial" w:hAnsi="Arial" w:cs="Arial"/>
        </w:rPr>
        <w:t xml:space="preserve"> from the perspective of early years practitioners. (Morrow and Mayall, 2009).</w:t>
      </w:r>
      <w:r w:rsidR="00F3144F">
        <w:rPr>
          <w:rFonts w:ascii="Arial" w:hAnsi="Arial" w:cs="Arial"/>
        </w:rPr>
        <w:t xml:space="preserve"> </w:t>
      </w:r>
    </w:p>
    <w:p w14:paraId="074C1DAD" w14:textId="1E4175F4" w:rsidR="00EE0C46" w:rsidRPr="00AC6D16" w:rsidRDefault="00D21BCB" w:rsidP="00F3144F">
      <w:pPr>
        <w:spacing w:line="360" w:lineRule="auto"/>
        <w:rPr>
          <w:rFonts w:ascii="Arial" w:hAnsi="Arial" w:cs="Arial"/>
        </w:rPr>
      </w:pPr>
      <w:r>
        <w:rPr>
          <w:rFonts w:ascii="Arial" w:hAnsi="Arial" w:cs="Arial"/>
        </w:rPr>
        <w:t xml:space="preserve">In 2024, Leo Holmes Head of Policy and Advocacy for Early Years Wales conducted research in ‘Mental health and wellbeing amongst people working in Early Years settings in Wales’. The rationale </w:t>
      </w:r>
      <w:r w:rsidR="00694C69">
        <w:rPr>
          <w:rFonts w:ascii="Arial" w:hAnsi="Arial" w:cs="Arial"/>
        </w:rPr>
        <w:t xml:space="preserve">was similar the research being conducted in this study. The study by </w:t>
      </w:r>
      <w:r w:rsidR="00F81FCA">
        <w:rPr>
          <w:rFonts w:ascii="Arial" w:hAnsi="Arial" w:cs="Arial"/>
        </w:rPr>
        <w:t>Holmes</w:t>
      </w:r>
      <w:r w:rsidR="00694C69">
        <w:rPr>
          <w:rFonts w:ascii="Arial" w:hAnsi="Arial" w:cs="Arial"/>
        </w:rPr>
        <w:t xml:space="preserve"> also included the research into any current wellbeing issues people in early years settings in Wales may face. (Holmes, 2024). The study was conducted over a period of three weeks and used a survey method with a series of closed and open questions about the practitioner’s mental health and wellbeing. It is believed to have been the first time a dist</w:t>
      </w:r>
      <w:r w:rsidR="00F81FCA">
        <w:rPr>
          <w:rFonts w:ascii="Arial" w:hAnsi="Arial" w:cs="Arial"/>
        </w:rPr>
        <w:t>i</w:t>
      </w:r>
      <w:r w:rsidR="00694C69">
        <w:rPr>
          <w:rFonts w:ascii="Arial" w:hAnsi="Arial" w:cs="Arial"/>
        </w:rPr>
        <w:t>n</w:t>
      </w:r>
      <w:r w:rsidR="00F81FCA">
        <w:rPr>
          <w:rFonts w:ascii="Arial" w:hAnsi="Arial" w:cs="Arial"/>
        </w:rPr>
        <w:t>c</w:t>
      </w:r>
      <w:r w:rsidR="00694C69">
        <w:rPr>
          <w:rFonts w:ascii="Arial" w:hAnsi="Arial" w:cs="Arial"/>
        </w:rPr>
        <w:t xml:space="preserve">t focus of research on practitioners’ mental health and wellbeing has been undertaken in Wales. (Early Years Wales, 2024). </w:t>
      </w:r>
      <w:r w:rsidR="00694C69" w:rsidRPr="00577CED">
        <w:rPr>
          <w:rFonts w:ascii="Arial" w:hAnsi="Arial" w:cs="Arial"/>
        </w:rPr>
        <w:t xml:space="preserve">The study used </w:t>
      </w:r>
      <w:r w:rsidR="00F81FCA">
        <w:rPr>
          <w:rFonts w:ascii="Arial" w:hAnsi="Arial" w:cs="Arial"/>
        </w:rPr>
        <w:t xml:space="preserve">a </w:t>
      </w:r>
      <w:r w:rsidR="00694C69" w:rsidRPr="00577CED">
        <w:rPr>
          <w:rFonts w:ascii="Arial" w:hAnsi="Arial" w:cs="Arial"/>
        </w:rPr>
        <w:t>12-item General Health Questionnaire (GHQ-12)</w:t>
      </w:r>
      <w:r w:rsidR="00577CED" w:rsidRPr="00577CED">
        <w:rPr>
          <w:rFonts w:ascii="Arial" w:hAnsi="Arial" w:cs="Arial"/>
        </w:rPr>
        <w:t xml:space="preserve"> and </w:t>
      </w:r>
      <w:r w:rsidR="00694C69" w:rsidRPr="00577CED">
        <w:rPr>
          <w:rFonts w:ascii="Arial" w:hAnsi="Arial" w:cs="Arial"/>
        </w:rPr>
        <w:t>us</w:t>
      </w:r>
      <w:r w:rsidR="00577CED" w:rsidRPr="00577CED">
        <w:rPr>
          <w:rFonts w:ascii="Arial" w:hAnsi="Arial" w:cs="Arial"/>
        </w:rPr>
        <w:t>ed</w:t>
      </w:r>
      <w:r w:rsidR="00694C69" w:rsidRPr="00577CED">
        <w:rPr>
          <w:rFonts w:ascii="Arial" w:hAnsi="Arial" w:cs="Arial"/>
        </w:rPr>
        <w:t xml:space="preserve"> a 4-point Likert-type scale from 0-3 (Goldberg &amp; Williams, 1988[4]).</w:t>
      </w:r>
      <w:r w:rsidR="00EA003E" w:rsidRPr="00577CED">
        <w:rPr>
          <w:rFonts w:ascii="Arial" w:hAnsi="Arial" w:cs="Arial"/>
        </w:rPr>
        <w:t xml:space="preserve"> </w:t>
      </w:r>
      <w:r w:rsidR="00577CED" w:rsidRPr="00577CED">
        <w:rPr>
          <w:rFonts w:ascii="Arial" w:hAnsi="Arial" w:cs="Arial"/>
        </w:rPr>
        <w:t>T</w:t>
      </w:r>
      <w:r w:rsidR="00EA003E" w:rsidRPr="00577CED">
        <w:rPr>
          <w:rFonts w:ascii="Arial" w:hAnsi="Arial" w:cs="Arial"/>
        </w:rPr>
        <w:t xml:space="preserve">o ensure </w:t>
      </w:r>
      <w:r w:rsidR="00577CED" w:rsidRPr="00577CED">
        <w:rPr>
          <w:rFonts w:ascii="Arial" w:hAnsi="Arial" w:cs="Arial"/>
        </w:rPr>
        <w:t xml:space="preserve">a </w:t>
      </w:r>
      <w:r w:rsidR="00EA003E" w:rsidRPr="00577CED">
        <w:rPr>
          <w:rFonts w:ascii="Arial" w:hAnsi="Arial" w:cs="Arial"/>
        </w:rPr>
        <w:t>good demographical and geographical spread a further 5 screening questions were asked</w:t>
      </w:r>
      <w:r w:rsidR="00577CED" w:rsidRPr="00577CED">
        <w:rPr>
          <w:rFonts w:ascii="Arial" w:hAnsi="Arial" w:cs="Arial"/>
        </w:rPr>
        <w:t xml:space="preserve"> in relation to the participants age and local authority in which they lived. </w:t>
      </w:r>
      <w:r w:rsidR="00EA003E" w:rsidRPr="00577CED">
        <w:rPr>
          <w:rFonts w:ascii="Arial" w:hAnsi="Arial" w:cs="Arial"/>
        </w:rPr>
        <w:t>The</w:t>
      </w:r>
      <w:r w:rsidR="00577CED" w:rsidRPr="00577CED">
        <w:rPr>
          <w:rFonts w:ascii="Arial" w:hAnsi="Arial" w:cs="Arial"/>
        </w:rPr>
        <w:t xml:space="preserve">re were copies </w:t>
      </w:r>
      <w:r w:rsidR="00EA003E" w:rsidRPr="00577CED">
        <w:rPr>
          <w:rFonts w:ascii="Arial" w:hAnsi="Arial" w:cs="Arial"/>
        </w:rPr>
        <w:t xml:space="preserve">available in English and Welsh. </w:t>
      </w:r>
      <w:r w:rsidR="00577CED">
        <w:rPr>
          <w:rFonts w:ascii="Arial" w:hAnsi="Arial" w:cs="Arial"/>
        </w:rPr>
        <w:t xml:space="preserve">The sample size was 104 participants. </w:t>
      </w:r>
      <w:r w:rsidR="00EA003E" w:rsidRPr="00577CED">
        <w:rPr>
          <w:rFonts w:ascii="Arial" w:hAnsi="Arial" w:cs="Arial"/>
        </w:rPr>
        <w:t>98</w:t>
      </w:r>
      <w:r w:rsidR="00577CED" w:rsidRPr="00577CED">
        <w:rPr>
          <w:rFonts w:ascii="Arial" w:hAnsi="Arial" w:cs="Arial"/>
        </w:rPr>
        <w:t xml:space="preserve"> participants</w:t>
      </w:r>
      <w:r w:rsidR="00EA003E" w:rsidRPr="00577CED">
        <w:rPr>
          <w:rFonts w:ascii="Arial" w:hAnsi="Arial" w:cs="Arial"/>
        </w:rPr>
        <w:t xml:space="preserve"> completed it through the medium of English and 6 through the medium of Welsh. On conclusion</w:t>
      </w:r>
      <w:r w:rsidR="00577CED" w:rsidRPr="00577CED">
        <w:rPr>
          <w:rFonts w:ascii="Arial" w:hAnsi="Arial" w:cs="Arial"/>
        </w:rPr>
        <w:t xml:space="preserve">, </w:t>
      </w:r>
      <w:r w:rsidR="00EA003E" w:rsidRPr="00577CED">
        <w:rPr>
          <w:rFonts w:ascii="Arial" w:hAnsi="Arial" w:cs="Arial"/>
        </w:rPr>
        <w:t xml:space="preserve">the mental health and wellbeing amongst early years workers within Wales is relatively negative. </w:t>
      </w:r>
      <w:r w:rsidR="002F035B" w:rsidRPr="00577CED">
        <w:rPr>
          <w:rFonts w:ascii="Arial" w:hAnsi="Arial" w:cs="Arial"/>
        </w:rPr>
        <w:t>The</w:t>
      </w:r>
      <w:r w:rsidR="00577CED" w:rsidRPr="00577CED">
        <w:rPr>
          <w:rFonts w:ascii="Arial" w:hAnsi="Arial" w:cs="Arial"/>
        </w:rPr>
        <w:t xml:space="preserve"> </w:t>
      </w:r>
      <w:r w:rsidR="002F035B" w:rsidRPr="00577CED">
        <w:rPr>
          <w:rFonts w:ascii="Arial" w:hAnsi="Arial" w:cs="Arial"/>
        </w:rPr>
        <w:t>results are across all domains and sectors Wales wide.</w:t>
      </w:r>
      <w:r w:rsidR="002F035B">
        <w:rPr>
          <w:rFonts w:ascii="Arial" w:hAnsi="Arial" w:cs="Arial"/>
        </w:rPr>
        <w:t xml:space="preserve"> The emphasised contributing factors were identified as </w:t>
      </w:r>
      <w:r w:rsidR="002F035B">
        <w:rPr>
          <w:rFonts w:ascii="Arial" w:hAnsi="Arial" w:cs="Arial"/>
        </w:rPr>
        <w:lastRenderedPageBreak/>
        <w:t xml:space="preserve">workload, staffing capacity issues, value and pay. A powerful statistic within the findings of this study identified many practitioners present the idea that no matter what the challenges are that they may face within this sector, they continue to strive to do their best because they recognise the value in which they are providing the future generations with. (Early Years Wales, 2024). There had been wider research conducted by the World Health Organisation which attributes </w:t>
      </w:r>
      <w:r w:rsidR="00F81FCA">
        <w:rPr>
          <w:rFonts w:ascii="Arial" w:hAnsi="Arial" w:cs="Arial"/>
        </w:rPr>
        <w:t xml:space="preserve">to </w:t>
      </w:r>
      <w:r w:rsidR="002F035B">
        <w:rPr>
          <w:rFonts w:ascii="Arial" w:hAnsi="Arial" w:cs="Arial"/>
        </w:rPr>
        <w:t xml:space="preserve">issues such as understaffing, workload, pay and job insecurity being key issues faced by early years practitioners. (World Health Organisation, 2013). </w:t>
      </w:r>
      <w:r w:rsidR="002156D9">
        <w:rPr>
          <w:rFonts w:ascii="Arial" w:hAnsi="Arial" w:cs="Arial"/>
        </w:rPr>
        <w:t xml:space="preserve">The study highlights many recommendations in relation to a lack of funding and ensuring practitioners get the recognition of their role to ensure a positive attitude and moral within the sector. The study also recognises the importance of staff wellbeing being paramount to the services being provided. As there is limited research within the area of the importance of monitoring staff wellbeing within Early Years in Wales, a positive step towards change within the Early Years sector in Wales would be to implement a Minister for Children to ensure adequate value is placed on the sector. </w:t>
      </w:r>
      <w:r w:rsidR="00CF5B67">
        <w:rPr>
          <w:rFonts w:ascii="Arial" w:hAnsi="Arial" w:cs="Arial"/>
        </w:rPr>
        <w:t>(Holmes, 2024).</w:t>
      </w:r>
    </w:p>
    <w:p w14:paraId="436642D1" w14:textId="77777777" w:rsidR="00EE0C46" w:rsidRPr="00AC6D16" w:rsidRDefault="00EE0C46" w:rsidP="00F3144F">
      <w:pPr>
        <w:spacing w:line="360" w:lineRule="auto"/>
        <w:rPr>
          <w:rFonts w:ascii="Arial" w:hAnsi="Arial" w:cs="Arial"/>
        </w:rPr>
      </w:pPr>
    </w:p>
    <w:p w14:paraId="228A2A21" w14:textId="77777777" w:rsidR="00F3144F" w:rsidRDefault="00F3144F" w:rsidP="00F3144F">
      <w:pPr>
        <w:spacing w:line="360" w:lineRule="auto"/>
        <w:rPr>
          <w:rFonts w:ascii="Arial" w:hAnsi="Arial" w:cs="Arial"/>
        </w:rPr>
      </w:pPr>
    </w:p>
    <w:p w14:paraId="090EBD87" w14:textId="77777777" w:rsidR="00F3144F" w:rsidRDefault="00F3144F" w:rsidP="00F3144F">
      <w:pPr>
        <w:spacing w:line="360" w:lineRule="auto"/>
        <w:rPr>
          <w:rFonts w:ascii="Arial" w:hAnsi="Arial" w:cs="Arial"/>
        </w:rPr>
      </w:pPr>
    </w:p>
    <w:p w14:paraId="5D4C9B0B" w14:textId="77777777" w:rsidR="00F3144F" w:rsidRDefault="00F3144F" w:rsidP="00F3144F">
      <w:pPr>
        <w:spacing w:line="360" w:lineRule="auto"/>
        <w:rPr>
          <w:rFonts w:ascii="Arial" w:hAnsi="Arial" w:cs="Arial"/>
        </w:rPr>
      </w:pPr>
    </w:p>
    <w:p w14:paraId="0D7D7B49" w14:textId="77777777" w:rsidR="00F3144F" w:rsidRDefault="00F3144F" w:rsidP="00F3144F">
      <w:pPr>
        <w:spacing w:line="360" w:lineRule="auto"/>
        <w:rPr>
          <w:rFonts w:ascii="Arial" w:hAnsi="Arial" w:cs="Arial"/>
        </w:rPr>
      </w:pPr>
    </w:p>
    <w:p w14:paraId="75137506" w14:textId="77777777" w:rsidR="00F3144F" w:rsidRDefault="00F3144F" w:rsidP="00F3144F">
      <w:pPr>
        <w:spacing w:line="360" w:lineRule="auto"/>
        <w:rPr>
          <w:rFonts w:ascii="Arial" w:hAnsi="Arial" w:cs="Arial"/>
        </w:rPr>
      </w:pPr>
    </w:p>
    <w:p w14:paraId="0F9B7E53" w14:textId="77777777" w:rsidR="00F3144F" w:rsidRDefault="00F3144F" w:rsidP="00F3144F">
      <w:pPr>
        <w:spacing w:line="360" w:lineRule="auto"/>
        <w:rPr>
          <w:rFonts w:ascii="Arial" w:hAnsi="Arial" w:cs="Arial"/>
        </w:rPr>
      </w:pPr>
    </w:p>
    <w:p w14:paraId="40CD920B" w14:textId="77777777" w:rsidR="00F3144F" w:rsidRDefault="00F3144F" w:rsidP="00F3144F">
      <w:pPr>
        <w:spacing w:line="360" w:lineRule="auto"/>
        <w:rPr>
          <w:rFonts w:ascii="Arial" w:hAnsi="Arial" w:cs="Arial"/>
        </w:rPr>
      </w:pPr>
    </w:p>
    <w:p w14:paraId="2B657DF1" w14:textId="77777777" w:rsidR="00F3144F" w:rsidRDefault="00F3144F" w:rsidP="00F3144F">
      <w:pPr>
        <w:spacing w:line="360" w:lineRule="auto"/>
        <w:rPr>
          <w:rFonts w:ascii="Arial" w:hAnsi="Arial" w:cs="Arial"/>
        </w:rPr>
      </w:pPr>
    </w:p>
    <w:p w14:paraId="7F6E7D33" w14:textId="77777777" w:rsidR="00F3144F" w:rsidRDefault="00F3144F" w:rsidP="00F3144F">
      <w:pPr>
        <w:spacing w:line="360" w:lineRule="auto"/>
        <w:rPr>
          <w:rFonts w:ascii="Arial" w:hAnsi="Arial" w:cs="Arial"/>
        </w:rPr>
      </w:pPr>
    </w:p>
    <w:p w14:paraId="662EC37D" w14:textId="77777777" w:rsidR="00F3144F" w:rsidRDefault="00F3144F" w:rsidP="00F3144F">
      <w:pPr>
        <w:spacing w:line="360" w:lineRule="auto"/>
        <w:rPr>
          <w:rFonts w:ascii="Arial" w:hAnsi="Arial" w:cs="Arial"/>
        </w:rPr>
      </w:pPr>
    </w:p>
    <w:p w14:paraId="6494F6D3" w14:textId="77777777" w:rsidR="00F3144F" w:rsidRDefault="00F3144F" w:rsidP="00F3144F">
      <w:pPr>
        <w:spacing w:line="360" w:lineRule="auto"/>
        <w:rPr>
          <w:rFonts w:ascii="Arial" w:hAnsi="Arial" w:cs="Arial"/>
        </w:rPr>
      </w:pPr>
    </w:p>
    <w:p w14:paraId="12457EF4" w14:textId="77777777" w:rsidR="00F3144F" w:rsidRDefault="00F3144F" w:rsidP="00F3144F">
      <w:pPr>
        <w:spacing w:line="360" w:lineRule="auto"/>
        <w:rPr>
          <w:rFonts w:ascii="Arial" w:hAnsi="Arial" w:cs="Arial"/>
        </w:rPr>
      </w:pPr>
    </w:p>
    <w:p w14:paraId="5BA0A357" w14:textId="77777777" w:rsidR="00577CED" w:rsidRDefault="00577CED" w:rsidP="00F3144F">
      <w:pPr>
        <w:spacing w:line="360" w:lineRule="auto"/>
        <w:rPr>
          <w:rFonts w:ascii="Arial" w:hAnsi="Arial" w:cs="Arial"/>
          <w:u w:val="single"/>
        </w:rPr>
      </w:pPr>
    </w:p>
    <w:p w14:paraId="70FC211A" w14:textId="77777777" w:rsidR="00577CED" w:rsidRDefault="00577CED" w:rsidP="00F3144F">
      <w:pPr>
        <w:spacing w:line="360" w:lineRule="auto"/>
        <w:rPr>
          <w:rFonts w:ascii="Arial" w:hAnsi="Arial" w:cs="Arial"/>
          <w:u w:val="single"/>
        </w:rPr>
      </w:pPr>
    </w:p>
    <w:p w14:paraId="64E0A301" w14:textId="77777777" w:rsidR="008142E8" w:rsidRDefault="008142E8" w:rsidP="00F3144F">
      <w:pPr>
        <w:spacing w:line="360" w:lineRule="auto"/>
        <w:rPr>
          <w:rFonts w:ascii="Arial" w:hAnsi="Arial" w:cs="Arial"/>
          <w:u w:val="single"/>
        </w:rPr>
      </w:pPr>
    </w:p>
    <w:p w14:paraId="094D777E" w14:textId="77777777" w:rsidR="008142E8" w:rsidRDefault="008142E8" w:rsidP="00F3144F">
      <w:pPr>
        <w:spacing w:line="360" w:lineRule="auto"/>
        <w:rPr>
          <w:rFonts w:ascii="Arial" w:hAnsi="Arial" w:cs="Arial"/>
          <w:u w:val="single"/>
        </w:rPr>
      </w:pPr>
    </w:p>
    <w:p w14:paraId="6F5AA1E6" w14:textId="77777777" w:rsidR="008142E8" w:rsidRDefault="008142E8" w:rsidP="00F3144F">
      <w:pPr>
        <w:spacing w:line="360" w:lineRule="auto"/>
        <w:rPr>
          <w:rFonts w:ascii="Arial" w:hAnsi="Arial" w:cs="Arial"/>
          <w:u w:val="single"/>
        </w:rPr>
      </w:pPr>
    </w:p>
    <w:p w14:paraId="4529F0AB" w14:textId="7BEDDD95" w:rsidR="00AC6D16" w:rsidRDefault="00AC6D16" w:rsidP="00F3144F">
      <w:pPr>
        <w:spacing w:line="360" w:lineRule="auto"/>
        <w:rPr>
          <w:rFonts w:ascii="Arial" w:hAnsi="Arial" w:cs="Arial"/>
          <w:u w:val="single"/>
        </w:rPr>
      </w:pPr>
      <w:r w:rsidRPr="00CF5B67">
        <w:rPr>
          <w:rFonts w:ascii="Arial" w:hAnsi="Arial" w:cs="Arial"/>
          <w:u w:val="single"/>
        </w:rPr>
        <w:lastRenderedPageBreak/>
        <w:t>Section 2</w:t>
      </w:r>
      <w:r w:rsidR="00CF5B67">
        <w:rPr>
          <w:rFonts w:ascii="Arial" w:hAnsi="Arial" w:cs="Arial"/>
          <w:u w:val="single"/>
        </w:rPr>
        <w:t>.</w:t>
      </w:r>
    </w:p>
    <w:p w14:paraId="27D6ACFE" w14:textId="77777777" w:rsidR="00CF5B67" w:rsidRDefault="00CF5B67" w:rsidP="00F3144F">
      <w:pPr>
        <w:spacing w:line="360" w:lineRule="auto"/>
        <w:rPr>
          <w:rFonts w:ascii="Arial" w:hAnsi="Arial" w:cs="Arial"/>
          <w:u w:val="single"/>
        </w:rPr>
      </w:pPr>
    </w:p>
    <w:p w14:paraId="6C895A15" w14:textId="551E4A30" w:rsidR="002F6B8F" w:rsidRDefault="00416629" w:rsidP="00F3144F">
      <w:pPr>
        <w:spacing w:line="360" w:lineRule="auto"/>
        <w:rPr>
          <w:rFonts w:ascii="Arial" w:hAnsi="Arial" w:cs="Arial"/>
        </w:rPr>
      </w:pPr>
      <w:r>
        <w:rPr>
          <w:rFonts w:ascii="Arial" w:hAnsi="Arial" w:cs="Arial"/>
        </w:rPr>
        <w:t xml:space="preserve">There are different types of research methods that require various tools for data collection. Research methods are strategies, processes or techniques used in the collection of data to be analysed to create a better understanding of the chosen topic. </w:t>
      </w:r>
      <w:r w:rsidR="00651B14">
        <w:rPr>
          <w:rFonts w:ascii="Arial" w:hAnsi="Arial" w:cs="Arial"/>
        </w:rPr>
        <w:t>(University of Newcastle, (2023), Research methods. What are research methods?). The research method chosen to conduct research into the importance of staff wellbeing in Early Years in Wales is</w:t>
      </w:r>
      <w:r w:rsidR="00EE5AEE">
        <w:rPr>
          <w:rFonts w:ascii="Arial" w:hAnsi="Arial" w:cs="Arial"/>
        </w:rPr>
        <w:t xml:space="preserve"> a</w:t>
      </w:r>
      <w:r w:rsidR="00651B14">
        <w:rPr>
          <w:rFonts w:ascii="Arial" w:hAnsi="Arial" w:cs="Arial"/>
        </w:rPr>
        <w:t xml:space="preserve"> mixed method</w:t>
      </w:r>
      <w:r w:rsidR="00EE5AEE">
        <w:rPr>
          <w:rFonts w:ascii="Arial" w:hAnsi="Arial" w:cs="Arial"/>
        </w:rPr>
        <w:t xml:space="preserve"> approach</w:t>
      </w:r>
      <w:r w:rsidR="00651B14">
        <w:rPr>
          <w:rFonts w:ascii="Arial" w:hAnsi="Arial" w:cs="Arial"/>
        </w:rPr>
        <w:t>. The use of this research method is to ensure a holistic approach to data and</w:t>
      </w:r>
      <w:r w:rsidR="00EE5AEE">
        <w:rPr>
          <w:rFonts w:ascii="Arial" w:hAnsi="Arial" w:cs="Arial"/>
        </w:rPr>
        <w:t xml:space="preserve"> build a comprehensive understanding of the results. It also offers for the researcher to obtain multiple perspectives and gives validation. (Havard Catalyst, </w:t>
      </w:r>
      <w:r w:rsidR="0051774A">
        <w:rPr>
          <w:rFonts w:ascii="Arial" w:hAnsi="Arial" w:cs="Arial"/>
        </w:rPr>
        <w:t>(2025), Mixed Methods Research).</w:t>
      </w:r>
      <w:r w:rsidR="006117F9">
        <w:rPr>
          <w:rFonts w:ascii="Arial" w:hAnsi="Arial" w:cs="Arial"/>
        </w:rPr>
        <w:t xml:space="preserve"> The rationale for a mixed method research method is collate data that is both qualitative and quantitative. According to </w:t>
      </w:r>
      <w:r w:rsidR="00160564">
        <w:rPr>
          <w:rFonts w:ascii="Arial" w:hAnsi="Arial" w:cs="Arial"/>
        </w:rPr>
        <w:t xml:space="preserve">Lakshman, </w:t>
      </w:r>
      <w:r w:rsidR="00160564" w:rsidRPr="00160564">
        <w:rPr>
          <w:rFonts w:ascii="Arial" w:hAnsi="Arial" w:cs="Arial"/>
          <w:i/>
          <w:iCs/>
        </w:rPr>
        <w:t>et al</w:t>
      </w:r>
      <w:r w:rsidR="00160564">
        <w:rPr>
          <w:rFonts w:ascii="Arial" w:hAnsi="Arial" w:cs="Arial"/>
          <w:i/>
          <w:iCs/>
        </w:rPr>
        <w:t xml:space="preserve">., </w:t>
      </w:r>
      <w:r w:rsidR="00160564">
        <w:rPr>
          <w:rFonts w:ascii="Arial" w:hAnsi="Arial" w:cs="Arial"/>
        </w:rPr>
        <w:t xml:space="preserve">quantitative research examines the effects of a specific circumstance on an outcome that can be expressed numerically. These circumstances can provide an independent or dependent variable especially during observations as the circumstance (independent variable) in which the observation is taken place could be influenced by the interest </w:t>
      </w:r>
      <w:r w:rsidR="00ED62FB">
        <w:rPr>
          <w:rFonts w:ascii="Arial" w:hAnsi="Arial" w:cs="Arial"/>
        </w:rPr>
        <w:t xml:space="preserve">(dependent variable) </w:t>
      </w:r>
      <w:r w:rsidR="00160564">
        <w:rPr>
          <w:rFonts w:ascii="Arial" w:hAnsi="Arial" w:cs="Arial"/>
        </w:rPr>
        <w:t>of the observer or participant</w:t>
      </w:r>
      <w:r w:rsidR="002625B9">
        <w:rPr>
          <w:rFonts w:ascii="Arial" w:hAnsi="Arial" w:cs="Arial"/>
        </w:rPr>
        <w:t xml:space="preserve">. </w:t>
      </w:r>
      <w:r w:rsidR="002F53CC">
        <w:rPr>
          <w:rFonts w:ascii="Arial" w:hAnsi="Arial" w:cs="Arial"/>
        </w:rPr>
        <w:t xml:space="preserve">(Lakshman </w:t>
      </w:r>
      <w:r w:rsidR="002F53CC" w:rsidRPr="002F53CC">
        <w:rPr>
          <w:rFonts w:ascii="Arial" w:hAnsi="Arial" w:cs="Arial"/>
          <w:i/>
          <w:iCs/>
        </w:rPr>
        <w:t>et al.,</w:t>
      </w:r>
      <w:r w:rsidR="002F53CC">
        <w:rPr>
          <w:rFonts w:ascii="Arial" w:hAnsi="Arial" w:cs="Arial"/>
        </w:rPr>
        <w:t xml:space="preserve"> 2000). Qualitative research is defined as data gathered that is individual to the participant. It enables researchers to understand complex concepts, social interactions, interpret events and describe actions. (University of Newcastle, (2023)).</w:t>
      </w:r>
    </w:p>
    <w:p w14:paraId="795C7157" w14:textId="565F14D6" w:rsidR="0070528C" w:rsidRDefault="00D23C57" w:rsidP="00F3144F">
      <w:pPr>
        <w:spacing w:line="360" w:lineRule="auto"/>
        <w:rPr>
          <w:rFonts w:ascii="Arial" w:hAnsi="Arial" w:cs="Arial"/>
        </w:rPr>
      </w:pPr>
      <w:r>
        <w:rPr>
          <w:rFonts w:ascii="Arial" w:hAnsi="Arial" w:cs="Arial"/>
        </w:rPr>
        <w:t xml:space="preserve">After discovering limited research in relation to the importance of staff wellbeing in Early Years in Wales, the researcher chosen a sample size of </w:t>
      </w:r>
      <w:r w:rsidR="000970C3">
        <w:rPr>
          <w:rFonts w:ascii="Arial" w:hAnsi="Arial" w:cs="Arial"/>
        </w:rPr>
        <w:t>2</w:t>
      </w:r>
      <w:r w:rsidR="00EB78E9">
        <w:rPr>
          <w:rFonts w:ascii="Arial" w:hAnsi="Arial" w:cs="Arial"/>
        </w:rPr>
        <w:t>50</w:t>
      </w:r>
      <w:r w:rsidR="000970C3">
        <w:rPr>
          <w:rFonts w:ascii="Arial" w:hAnsi="Arial" w:cs="Arial"/>
        </w:rPr>
        <w:t xml:space="preserve"> </w:t>
      </w:r>
      <w:r>
        <w:rPr>
          <w:rFonts w:ascii="Arial" w:hAnsi="Arial" w:cs="Arial"/>
        </w:rPr>
        <w:t>participants. Similarly to the research conducted by Leo Holmes, as described by in section 1, the chosen sample wi</w:t>
      </w:r>
      <w:r w:rsidR="00EB78E9">
        <w:rPr>
          <w:rFonts w:ascii="Arial" w:hAnsi="Arial" w:cs="Arial"/>
        </w:rPr>
        <w:t>ll</w:t>
      </w:r>
      <w:r>
        <w:rPr>
          <w:rFonts w:ascii="Arial" w:hAnsi="Arial" w:cs="Arial"/>
        </w:rPr>
        <w:t xml:space="preserve"> have the opportunity to access the resources in English and Wales and will participate from many local authorities in Wales. </w:t>
      </w:r>
      <w:r w:rsidR="000970C3">
        <w:rPr>
          <w:rFonts w:ascii="Arial" w:hAnsi="Arial" w:cs="Arial"/>
        </w:rPr>
        <w:t xml:space="preserve">According to Social Care Wales in 2010 there were over 18,000 people. However, according to the Welsh Government in 2017, estimate they around 23,300 people work within Early Years in Wales. The rationale for the sample size chosen to conduct the research is that it is 10% of the population </w:t>
      </w:r>
      <w:r w:rsidR="00EB78E9">
        <w:rPr>
          <w:rFonts w:ascii="Arial" w:hAnsi="Arial" w:cs="Arial"/>
        </w:rPr>
        <w:t xml:space="preserve">should be used as a sample size </w:t>
      </w:r>
      <w:r w:rsidR="000970C3">
        <w:rPr>
          <w:rFonts w:ascii="Arial" w:hAnsi="Arial" w:cs="Arial"/>
        </w:rPr>
        <w:t>as suggested by</w:t>
      </w:r>
      <w:r w:rsidR="00EB78E9">
        <w:rPr>
          <w:rFonts w:ascii="Arial" w:hAnsi="Arial" w:cs="Arial"/>
        </w:rPr>
        <w:t xml:space="preserve"> Bullen, P (2022). However, as there is no specific data available regarding previous participants opportunities, the researcher chose to increase the sample size to allow for</w:t>
      </w:r>
      <w:r w:rsidR="0067414D">
        <w:rPr>
          <w:rFonts w:ascii="Arial" w:hAnsi="Arial" w:cs="Arial"/>
        </w:rPr>
        <w:t xml:space="preserve"> a reduction in the likelihood of sampling errors and provide a more accurate representation of the population of Early Years workers in Wales. (Qualtrics, 2025. </w:t>
      </w:r>
      <w:r w:rsidR="0067414D">
        <w:rPr>
          <w:rFonts w:ascii="Arial" w:hAnsi="Arial" w:cs="Arial"/>
        </w:rPr>
        <w:lastRenderedPageBreak/>
        <w:t xml:space="preserve">How to determine sample size in research). </w:t>
      </w:r>
      <w:r w:rsidR="00B64EA7">
        <w:rPr>
          <w:rFonts w:ascii="Arial" w:hAnsi="Arial" w:cs="Arial"/>
        </w:rPr>
        <w:t xml:space="preserve">The participants were staff that are working within an early year’s provision in any local authority in Wales. The rationale for this is the research being carried concerned the early years staff members wellbeing of staff working within a provision in Wales. According to a Government document regarding the early year’s workforce, the role can be challenging and demanding for </w:t>
      </w:r>
      <w:r w:rsidR="0070528C">
        <w:rPr>
          <w:rFonts w:ascii="Arial" w:hAnsi="Arial" w:cs="Arial"/>
        </w:rPr>
        <w:t>practitioners’</w:t>
      </w:r>
      <w:r w:rsidR="00B64EA7">
        <w:rPr>
          <w:rFonts w:ascii="Arial" w:hAnsi="Arial" w:cs="Arial"/>
        </w:rPr>
        <w:t xml:space="preserve"> wellbeing and mental health. However, when being properly supported the role is </w:t>
      </w:r>
      <w:r w:rsidR="0070528C">
        <w:rPr>
          <w:rFonts w:ascii="Arial" w:hAnsi="Arial" w:cs="Arial"/>
        </w:rPr>
        <w:t>rewarding and practitioners feel valued and there is an issue in positivity within provisions.</w:t>
      </w:r>
      <w:r w:rsidR="00B64EA7">
        <w:rPr>
          <w:rFonts w:ascii="Arial" w:hAnsi="Arial" w:cs="Arial"/>
        </w:rPr>
        <w:t xml:space="preserve"> (Department for Education, 2023, Early years practitioner wellbeing support).</w:t>
      </w:r>
      <w:r w:rsidR="0070528C">
        <w:rPr>
          <w:rFonts w:ascii="Arial" w:hAnsi="Arial" w:cs="Arial"/>
        </w:rPr>
        <w:t xml:space="preserve"> The sampling method chosen for this research was a non-probabilistic sampling method. This involved the researcher deliberately choosing their participants, based on their specific objective the importance of early years practitioner’s wellbeing within Wales. (University of Bath, 2025).</w:t>
      </w:r>
    </w:p>
    <w:p w14:paraId="59DCDD68" w14:textId="010CD16A" w:rsidR="0070528C" w:rsidRDefault="0070528C" w:rsidP="00F3144F">
      <w:pPr>
        <w:spacing w:line="360" w:lineRule="auto"/>
        <w:rPr>
          <w:rFonts w:ascii="Arial" w:hAnsi="Arial" w:cs="Arial"/>
        </w:rPr>
      </w:pPr>
      <w:r>
        <w:rPr>
          <w:rFonts w:ascii="Arial" w:hAnsi="Arial" w:cs="Arial"/>
        </w:rPr>
        <w:t>The methods to collect the data required for this research were questionnaires, focus groups and interviews. Questionnaires were used to collect numerical data</w:t>
      </w:r>
      <w:r w:rsidR="00596854">
        <w:rPr>
          <w:rFonts w:ascii="Arial" w:hAnsi="Arial" w:cs="Arial"/>
        </w:rPr>
        <w:t xml:space="preserve"> by using the</w:t>
      </w:r>
      <w:r>
        <w:rPr>
          <w:rFonts w:ascii="Arial" w:hAnsi="Arial" w:cs="Arial"/>
        </w:rPr>
        <w:t xml:space="preserve"> </w:t>
      </w:r>
      <w:r w:rsidR="00596854">
        <w:rPr>
          <w:rFonts w:ascii="Arial" w:hAnsi="Arial" w:cs="Arial"/>
        </w:rPr>
        <w:t>Likert</w:t>
      </w:r>
      <w:r>
        <w:rPr>
          <w:rFonts w:ascii="Arial" w:hAnsi="Arial" w:cs="Arial"/>
        </w:rPr>
        <w:t xml:space="preserve"> scale</w:t>
      </w:r>
      <w:r w:rsidR="00596854">
        <w:rPr>
          <w:rFonts w:ascii="Arial" w:hAnsi="Arial" w:cs="Arial"/>
        </w:rPr>
        <w:t xml:space="preserve"> to collect opinions as numerical data. (University of Newcastle, 2023). </w:t>
      </w:r>
      <w:proofErr w:type="spellStart"/>
      <w:r w:rsidR="00312E04">
        <w:rPr>
          <w:rFonts w:ascii="Arial" w:hAnsi="Arial" w:cs="Arial"/>
        </w:rPr>
        <w:t>Sreejesh</w:t>
      </w:r>
      <w:proofErr w:type="spellEnd"/>
      <w:r w:rsidR="00312E04">
        <w:rPr>
          <w:rFonts w:ascii="Arial" w:hAnsi="Arial" w:cs="Arial"/>
        </w:rPr>
        <w:t xml:space="preserve"> et al., 2014 as cited in </w:t>
      </w:r>
      <w:proofErr w:type="spellStart"/>
      <w:r w:rsidR="00312E04">
        <w:rPr>
          <w:rFonts w:ascii="Arial" w:hAnsi="Arial" w:cs="Arial"/>
        </w:rPr>
        <w:t>Kuphanga</w:t>
      </w:r>
      <w:proofErr w:type="spellEnd"/>
      <w:r w:rsidR="00312E04">
        <w:rPr>
          <w:rFonts w:ascii="Arial" w:hAnsi="Arial" w:cs="Arial"/>
        </w:rPr>
        <w:t>, 2024 journal Questionnaires in Research: Their Role, advantages and main aspects, identify questionnaires as a uniform method of recording data. This data comes from the collection of standardised systematically questions that ensure consistency and efficiency. The information provided contributes significantly to quantitative and qualitative data evaluation. Similarly, Ropa and Rani (2012), identifies three main aspects of questionnaires as general form, question sequence and question formulation. (</w:t>
      </w:r>
      <w:proofErr w:type="spellStart"/>
      <w:r w:rsidR="00312E04">
        <w:rPr>
          <w:rFonts w:ascii="Arial" w:hAnsi="Arial" w:cs="Arial"/>
        </w:rPr>
        <w:t>Kuphanga</w:t>
      </w:r>
      <w:proofErr w:type="spellEnd"/>
      <w:r w:rsidR="00312E04">
        <w:rPr>
          <w:rFonts w:ascii="Arial" w:hAnsi="Arial" w:cs="Arial"/>
        </w:rPr>
        <w:t xml:space="preserve">, 2024). </w:t>
      </w:r>
      <w:r w:rsidR="00014916">
        <w:rPr>
          <w:rFonts w:ascii="Arial" w:hAnsi="Arial" w:cs="Arial"/>
        </w:rPr>
        <w:t xml:space="preserve">There are many advantages to questionnaires, Rashid (2000) describes them as cost effective especially when provided online as this offers the flexibility and dissemination when targeting a widely dispersed population. However, although Kothari (2004) disagrees with Rashid (2000) advantages of questionnaires as they believe that online questionnaires target the younger generations mainly. This is an agreement between them with regards to the disadvantages of questionnaires. They both agree with a potential bias with concern to low rate of duly filled questionnaires due to non-response this can be challenging to quantify the results accurately. </w:t>
      </w:r>
      <w:r w:rsidR="00C970FB">
        <w:rPr>
          <w:rFonts w:ascii="Arial" w:hAnsi="Arial" w:cs="Arial"/>
        </w:rPr>
        <w:t xml:space="preserve">Brinkman and Kvale, 2015, identifies interviews as a ‘window into the life world’. It is understood to be a two-way exchange rather than a reciprocal mechanism by one party. (Edley, N. &amp; </w:t>
      </w:r>
      <w:proofErr w:type="spellStart"/>
      <w:r w:rsidR="00C970FB">
        <w:rPr>
          <w:rFonts w:ascii="Arial" w:hAnsi="Arial" w:cs="Arial"/>
        </w:rPr>
        <w:t>Litosseliti</w:t>
      </w:r>
      <w:proofErr w:type="spellEnd"/>
      <w:r w:rsidR="00C970FB">
        <w:rPr>
          <w:rFonts w:ascii="Arial" w:hAnsi="Arial" w:cs="Arial"/>
        </w:rPr>
        <w:t xml:space="preserve">, E. 2018). Silverman, 2014 expresses the vast advantages of interviews in research including the opportunity to </w:t>
      </w:r>
      <w:r w:rsidR="00C970FB">
        <w:rPr>
          <w:rFonts w:ascii="Arial" w:hAnsi="Arial" w:cs="Arial"/>
        </w:rPr>
        <w:lastRenderedPageBreak/>
        <w:t>extend answers with further questioning. However, Hughes, 1996, agrees with furthering the discussions during interviews but also highlights the in determination of interviewers possibly impacting participants responses. Hughes believes the interviewer must remain neutral otherwise responses become unreliable and would require to be omitted for the process.</w:t>
      </w:r>
      <w:r w:rsidR="00210B37">
        <w:rPr>
          <w:rFonts w:ascii="Arial" w:hAnsi="Arial" w:cs="Arial"/>
        </w:rPr>
        <w:t xml:space="preserve"> (Edley, N. &amp; </w:t>
      </w:r>
      <w:proofErr w:type="spellStart"/>
      <w:r w:rsidR="00210B37">
        <w:rPr>
          <w:rFonts w:ascii="Arial" w:hAnsi="Arial" w:cs="Arial"/>
        </w:rPr>
        <w:t>Litosseliti</w:t>
      </w:r>
      <w:proofErr w:type="spellEnd"/>
      <w:r w:rsidR="00210B37">
        <w:rPr>
          <w:rFonts w:ascii="Arial" w:hAnsi="Arial" w:cs="Arial"/>
        </w:rPr>
        <w:t>, E. 2018). Focus groups are used in social research, although they have a longer history in market research. (Morgan, 1998). The main purpose of focus groups in research allows participants to respond with their attitudes, feelings, beliefs and experiences</w:t>
      </w:r>
      <w:r w:rsidR="008D325F">
        <w:rPr>
          <w:rFonts w:ascii="Arial" w:hAnsi="Arial" w:cs="Arial"/>
        </w:rPr>
        <w:t xml:space="preserve"> and gather qualitative data.</w:t>
      </w:r>
      <w:r w:rsidR="00210B37">
        <w:rPr>
          <w:rFonts w:ascii="Arial" w:hAnsi="Arial" w:cs="Arial"/>
        </w:rPr>
        <w:t xml:space="preserve"> These reactions would not be feasible to use in any other of the research methods. (Gibbs, 1997).</w:t>
      </w:r>
      <w:r w:rsidR="008D325F">
        <w:rPr>
          <w:rFonts w:ascii="Arial" w:hAnsi="Arial" w:cs="Arial"/>
        </w:rPr>
        <w:t xml:space="preserve"> According to Broughton, </w:t>
      </w:r>
      <w:proofErr w:type="spellStart"/>
      <w:r w:rsidR="008D325F">
        <w:rPr>
          <w:rFonts w:ascii="Arial" w:hAnsi="Arial" w:cs="Arial"/>
        </w:rPr>
        <w:t>n.d</w:t>
      </w:r>
      <w:proofErr w:type="spellEnd"/>
      <w:r w:rsidR="008D325F">
        <w:rPr>
          <w:rFonts w:ascii="Arial" w:hAnsi="Arial" w:cs="Arial"/>
        </w:rPr>
        <w:t>, a typical focus group involves between six and ten respondents with a trained moderator that participate in a planned discussion. Focus groups can take place face-to-face or online. There are many benefits to both options. However, there are more technical issues associated with online focus groups including participants not being in a distraction free area to participate.</w:t>
      </w:r>
      <w:r w:rsidR="00F51A5E">
        <w:rPr>
          <w:rFonts w:ascii="Arial" w:hAnsi="Arial" w:cs="Arial"/>
        </w:rPr>
        <w:t xml:space="preserve"> In conclusion to the </w:t>
      </w:r>
      <w:r w:rsidR="000E6C40">
        <w:rPr>
          <w:rFonts w:ascii="Arial" w:hAnsi="Arial" w:cs="Arial"/>
        </w:rPr>
        <w:t xml:space="preserve">methods used to conduct this research, </w:t>
      </w:r>
      <w:r w:rsidR="00D527A7">
        <w:rPr>
          <w:rFonts w:ascii="Arial" w:hAnsi="Arial" w:cs="Arial"/>
        </w:rPr>
        <w:t>it became evident that requesting questionnaires and focus groups to be completed online led to low responses in the 18-24-year-old age category, with one participant highlighting that their colleague did not feel confident participating for fear of disappointing the researcher and their staffing team. In comparison to another research conducted using an early year’s workforce, there was a large proportion of respondents between the ages of 40 and 59, with the lowest response rate for ages 18-24 and 60+</w:t>
      </w:r>
      <w:r w:rsidR="009A2841">
        <w:rPr>
          <w:rFonts w:ascii="Arial" w:hAnsi="Arial" w:cs="Arial"/>
        </w:rPr>
        <w:t>. (Early Years Wales, 2025).</w:t>
      </w:r>
      <w:r w:rsidR="005A05C8">
        <w:rPr>
          <w:rFonts w:ascii="Arial" w:hAnsi="Arial" w:cs="Arial"/>
        </w:rPr>
        <w:t xml:space="preserve"> By collecting and comparing quantitative and qualitative data this allows the researcher to validate their findings through triangulation. In this research the researcher has conducted the study to ensure they receive accuracy in their findings by using two different but complementary sources of data. (Roberts-Holmes, 2018).</w:t>
      </w:r>
    </w:p>
    <w:p w14:paraId="348128EB" w14:textId="69440E53" w:rsidR="004C77A8" w:rsidRDefault="004C77A8" w:rsidP="00F3144F">
      <w:pPr>
        <w:spacing w:line="360" w:lineRule="auto"/>
        <w:rPr>
          <w:rFonts w:ascii="Arial" w:hAnsi="Arial" w:cs="Arial"/>
        </w:rPr>
      </w:pPr>
      <w:r>
        <w:rPr>
          <w:rFonts w:ascii="Arial" w:hAnsi="Arial" w:cs="Arial"/>
        </w:rPr>
        <w:t xml:space="preserve">When researchers participate in research including the use of observations, Oswald, Sherratt and Smith (2014), highlight the importance of being fully aware of the Hawthorne </w:t>
      </w:r>
      <w:r w:rsidR="00F14E35">
        <w:rPr>
          <w:rFonts w:ascii="Arial" w:hAnsi="Arial" w:cs="Arial"/>
        </w:rPr>
        <w:t>e</w:t>
      </w:r>
      <w:r>
        <w:rPr>
          <w:rFonts w:ascii="Arial" w:hAnsi="Arial" w:cs="Arial"/>
        </w:rPr>
        <w:t xml:space="preserve">ffect. An excellent way to gather qualitative data and observe a participants ‘real’ behaviour comes from participants observation. However, </w:t>
      </w:r>
      <w:r w:rsidR="00F14E35">
        <w:rPr>
          <w:rFonts w:ascii="Arial" w:hAnsi="Arial" w:cs="Arial"/>
        </w:rPr>
        <w:t xml:space="preserve">Coombs and Smith, (2003), describe the Hawthorne effect as one of a researcher’s biggest challenges. The Hawthorne effect has been studied over many years deriving from an experiment in the Hawthorne Works of the Western Electric Company in Chicago between 1937 and 1933 (Cheisa and Hobbs, 2008). There are many definitions of </w:t>
      </w:r>
      <w:r w:rsidR="00F14E35">
        <w:rPr>
          <w:rFonts w:ascii="Arial" w:hAnsi="Arial" w:cs="Arial"/>
        </w:rPr>
        <w:lastRenderedPageBreak/>
        <w:t xml:space="preserve">the Hawthorne effect, for the purpose of this paper, it is defined as a change in a participant’s ‘usual’ behaviour, attributed to the knowledge that they are being studied or watched. (Oswald, Sherratt and Smith, 2014). After many years of further research, a </w:t>
      </w:r>
      <w:r w:rsidR="000849A4">
        <w:rPr>
          <w:rFonts w:ascii="Arial" w:hAnsi="Arial" w:cs="Arial"/>
        </w:rPr>
        <w:t>six-stage</w:t>
      </w:r>
      <w:r w:rsidR="00F14E35">
        <w:rPr>
          <w:rFonts w:ascii="Arial" w:hAnsi="Arial" w:cs="Arial"/>
        </w:rPr>
        <w:t xml:space="preserve"> protocol has been developed to assist the researcher with ensuring participants do not get caught up with the Hawthorne effect. Fetterman, 2010 as cited </w:t>
      </w:r>
      <w:r w:rsidR="000849A4">
        <w:rPr>
          <w:rFonts w:ascii="Arial" w:hAnsi="Arial" w:cs="Arial"/>
        </w:rPr>
        <w:t>in Oswald, Sherratt and Smith, 2014, identifies that by the researcher / observer engaging with the participant prior to the study being carried out, this provides trust and allows the participant to become relaxed, hence no need for a change in their behaviour.</w:t>
      </w:r>
      <w:r w:rsidR="00B23DA3">
        <w:rPr>
          <w:rFonts w:ascii="Arial" w:hAnsi="Arial" w:cs="Arial"/>
        </w:rPr>
        <w:t xml:space="preserve"> Another limitation for researchers to take into consideration is the Halo Effect. </w:t>
      </w:r>
      <w:r w:rsidR="009813C3">
        <w:rPr>
          <w:rFonts w:ascii="Arial" w:hAnsi="Arial" w:cs="Arial"/>
        </w:rPr>
        <w:t xml:space="preserve">This can be defined as a cognitive bias in impression whereby the general evaluation of an individual’s attributes, whether aesthetic appearance or physical appearance leads to an evaluation of an individual’s other attributes that are unrelated to their appearance whatsoever. (Nisbett and Wilson, 1997). Thorndike proposed the term ‘Halo Effect in 1920 by describing the radiating effects of a single attribute on the evaluation of other attributes. In a study in 1946, attributes such as social warmth had predictable effects on the inferences of other attributes. Compared to an individual’s physical appearance </w:t>
      </w:r>
      <w:r w:rsidR="009F07B2">
        <w:rPr>
          <w:rFonts w:ascii="Arial" w:hAnsi="Arial" w:cs="Arial"/>
        </w:rPr>
        <w:t xml:space="preserve">determining whether they are in a happy or unhappy marriage. (Gabrieli </w:t>
      </w:r>
      <w:r w:rsidR="009F07B2" w:rsidRPr="009F07B2">
        <w:rPr>
          <w:rFonts w:ascii="Arial" w:hAnsi="Arial" w:cs="Arial"/>
          <w:i/>
          <w:iCs/>
        </w:rPr>
        <w:t>et al</w:t>
      </w:r>
      <w:r w:rsidR="009F07B2">
        <w:rPr>
          <w:rFonts w:ascii="Arial" w:hAnsi="Arial" w:cs="Arial"/>
        </w:rPr>
        <w:t>., 2021). In conclusion, the researcher chose not to use observation due to the many limitations with the Hawthorne effect and Halo effect being included.</w:t>
      </w:r>
    </w:p>
    <w:p w14:paraId="0D0E4D27" w14:textId="77777777" w:rsidR="009F07B2" w:rsidRDefault="009F07B2" w:rsidP="00F3144F">
      <w:pPr>
        <w:spacing w:line="360" w:lineRule="auto"/>
        <w:rPr>
          <w:rFonts w:ascii="Arial" w:hAnsi="Arial" w:cs="Arial"/>
        </w:rPr>
      </w:pPr>
    </w:p>
    <w:p w14:paraId="74DF30DE" w14:textId="77777777" w:rsidR="009F07B2" w:rsidRDefault="009F07B2" w:rsidP="00F3144F">
      <w:pPr>
        <w:spacing w:line="360" w:lineRule="auto"/>
        <w:rPr>
          <w:rFonts w:ascii="Arial" w:hAnsi="Arial" w:cs="Arial"/>
        </w:rPr>
      </w:pPr>
    </w:p>
    <w:p w14:paraId="31457204" w14:textId="77777777" w:rsidR="009F07B2" w:rsidRDefault="009F07B2" w:rsidP="00F3144F">
      <w:pPr>
        <w:spacing w:line="360" w:lineRule="auto"/>
        <w:rPr>
          <w:rFonts w:ascii="Arial" w:hAnsi="Arial" w:cs="Arial"/>
        </w:rPr>
      </w:pPr>
    </w:p>
    <w:p w14:paraId="6D0022FB" w14:textId="77777777" w:rsidR="009F07B2" w:rsidRDefault="009F07B2" w:rsidP="00F3144F">
      <w:pPr>
        <w:spacing w:line="360" w:lineRule="auto"/>
        <w:rPr>
          <w:rFonts w:ascii="Arial" w:hAnsi="Arial" w:cs="Arial"/>
        </w:rPr>
      </w:pPr>
    </w:p>
    <w:p w14:paraId="11A7C776" w14:textId="77777777" w:rsidR="000849A4" w:rsidRDefault="000849A4" w:rsidP="00F3144F">
      <w:pPr>
        <w:spacing w:line="360" w:lineRule="auto"/>
        <w:rPr>
          <w:rFonts w:ascii="Arial" w:hAnsi="Arial" w:cs="Arial"/>
        </w:rPr>
      </w:pPr>
    </w:p>
    <w:p w14:paraId="3C7ACE05" w14:textId="2D158FC4" w:rsidR="00D42E0C" w:rsidRPr="00D42E0C" w:rsidRDefault="00D42E0C" w:rsidP="00D42E0C">
      <w:pPr>
        <w:rPr>
          <w:rFonts w:ascii="ff1" w:eastAsia="Times New Roman" w:hAnsi="ff1" w:cs="Times New Roman"/>
          <w:color w:val="000000"/>
          <w:kern w:val="0"/>
          <w:sz w:val="66"/>
          <w:szCs w:val="66"/>
          <w:lang w:eastAsia="en-GB"/>
          <w14:ligatures w14:val="none"/>
        </w:rPr>
      </w:pPr>
    </w:p>
    <w:p w14:paraId="4E3E67F0" w14:textId="77777777" w:rsidR="00D42E0C" w:rsidRPr="00D42E0C" w:rsidRDefault="00D42E0C" w:rsidP="00D42E0C">
      <w:pPr>
        <w:rPr>
          <w:rFonts w:ascii="ff1" w:eastAsia="Times New Roman" w:hAnsi="ff1" w:cs="Times New Roman"/>
          <w:color w:val="000000"/>
          <w:kern w:val="0"/>
          <w:sz w:val="66"/>
          <w:szCs w:val="66"/>
          <w:lang w:eastAsia="en-GB"/>
          <w14:ligatures w14:val="none"/>
        </w:rPr>
      </w:pPr>
      <w:r w:rsidRPr="00D42E0C">
        <w:rPr>
          <w:rFonts w:ascii="ff1" w:eastAsia="Times New Roman" w:hAnsi="ff1" w:cs="Times New Roman"/>
          <w:color w:val="000000"/>
          <w:kern w:val="0"/>
          <w:sz w:val="66"/>
          <w:szCs w:val="66"/>
          <w:lang w:eastAsia="en-GB"/>
          <w14:ligatures w14:val="none"/>
        </w:rPr>
        <w:t xml:space="preserve"> </w:t>
      </w:r>
    </w:p>
    <w:p w14:paraId="3E7874E5" w14:textId="77777777" w:rsidR="00D42E0C" w:rsidRDefault="00D42E0C" w:rsidP="00F3144F">
      <w:pPr>
        <w:spacing w:line="360" w:lineRule="auto"/>
        <w:rPr>
          <w:rFonts w:ascii="Arial" w:hAnsi="Arial" w:cs="Arial"/>
        </w:rPr>
      </w:pPr>
    </w:p>
    <w:p w14:paraId="7F06B624" w14:textId="77777777" w:rsidR="002F53CC" w:rsidRPr="00160564" w:rsidRDefault="002F53CC" w:rsidP="00F3144F">
      <w:pPr>
        <w:spacing w:line="360" w:lineRule="auto"/>
        <w:rPr>
          <w:rFonts w:ascii="Arial" w:hAnsi="Arial" w:cs="Arial"/>
        </w:rPr>
      </w:pPr>
    </w:p>
    <w:p w14:paraId="69946354" w14:textId="77777777" w:rsidR="00577CED" w:rsidRDefault="00577CED" w:rsidP="00F3144F">
      <w:pPr>
        <w:spacing w:line="360" w:lineRule="auto"/>
        <w:rPr>
          <w:rFonts w:ascii="Arial" w:hAnsi="Arial" w:cs="Arial"/>
          <w:u w:val="single"/>
        </w:rPr>
      </w:pPr>
    </w:p>
    <w:p w14:paraId="223D0A93" w14:textId="77777777" w:rsidR="00CF5B67" w:rsidRPr="00CF5B67" w:rsidRDefault="00CF5B67" w:rsidP="00F3144F">
      <w:pPr>
        <w:spacing w:line="360" w:lineRule="auto"/>
        <w:rPr>
          <w:rFonts w:ascii="Arial" w:hAnsi="Arial" w:cs="Arial"/>
        </w:rPr>
      </w:pPr>
    </w:p>
    <w:p w14:paraId="30ED5A80" w14:textId="77777777" w:rsidR="009F07B2" w:rsidRDefault="009F07B2" w:rsidP="00F3144F">
      <w:pPr>
        <w:spacing w:line="360" w:lineRule="auto"/>
        <w:rPr>
          <w:rFonts w:ascii="Arial" w:hAnsi="Arial" w:cs="Arial"/>
        </w:rPr>
      </w:pPr>
    </w:p>
    <w:p w14:paraId="2B0ADF1B" w14:textId="16540916" w:rsidR="00AC6D16" w:rsidRDefault="00AC6D16" w:rsidP="00F3144F">
      <w:pPr>
        <w:spacing w:line="360" w:lineRule="auto"/>
        <w:rPr>
          <w:rFonts w:ascii="Arial" w:hAnsi="Arial" w:cs="Arial"/>
          <w:u w:val="single"/>
        </w:rPr>
      </w:pPr>
      <w:r w:rsidRPr="00F81FCA">
        <w:rPr>
          <w:rFonts w:ascii="Arial" w:hAnsi="Arial" w:cs="Arial"/>
          <w:u w:val="single"/>
        </w:rPr>
        <w:lastRenderedPageBreak/>
        <w:t>Section 3</w:t>
      </w:r>
      <w:r w:rsidR="00F81FCA">
        <w:rPr>
          <w:rFonts w:ascii="Arial" w:hAnsi="Arial" w:cs="Arial"/>
          <w:u w:val="single"/>
        </w:rPr>
        <w:t>.</w:t>
      </w:r>
    </w:p>
    <w:p w14:paraId="7E1182F2" w14:textId="77777777" w:rsidR="009F07B2" w:rsidRDefault="009F07B2" w:rsidP="00F3144F">
      <w:pPr>
        <w:spacing w:line="360" w:lineRule="auto"/>
        <w:rPr>
          <w:rFonts w:ascii="Arial" w:hAnsi="Arial" w:cs="Arial"/>
          <w:u w:val="single"/>
        </w:rPr>
      </w:pPr>
    </w:p>
    <w:p w14:paraId="024A28A7" w14:textId="047CF93A" w:rsidR="00D92FA3" w:rsidRPr="009F07B2" w:rsidRDefault="009E2433" w:rsidP="00F3144F">
      <w:pPr>
        <w:spacing w:line="360" w:lineRule="auto"/>
        <w:rPr>
          <w:rFonts w:ascii="Arial" w:hAnsi="Arial" w:cs="Arial"/>
        </w:rPr>
      </w:pPr>
      <w:r>
        <w:rPr>
          <w:rFonts w:ascii="Arial" w:hAnsi="Arial" w:cs="Arial"/>
        </w:rPr>
        <w:t xml:space="preserve">When considering conducting research, consideration should be made to who the respondents will be. For example, Early Years practitioners, Local Authority workforce, Parents and/ or Children. In many countries to allow research to include children, the researcher must gain official government clearance before research can commence. </w:t>
      </w:r>
      <w:r w:rsidR="00C96192">
        <w:rPr>
          <w:rFonts w:ascii="Arial" w:hAnsi="Arial" w:cs="Arial"/>
        </w:rPr>
        <w:t xml:space="preserve">(Sheffield University, N.D. Specialist Research Ethics Guidance Paper). Nonetheless, there are many ethical considerations to account for whilst conducting research. BERA believes that educational researchers should ensure they respect the ethics of all persons involved in or affected by the research being undertaken, including the researcher themselves. (BERA, 2024 p.11). According to BERA and University of Wales Trinity Saint David’s </w:t>
      </w:r>
      <w:r w:rsidR="001C6021">
        <w:rPr>
          <w:rFonts w:ascii="Arial" w:hAnsi="Arial" w:cs="Arial"/>
        </w:rPr>
        <w:t xml:space="preserve">(UWTSD) although worded differently the basis of their guidelines include that participants and researchers should be treated fairly, sensitively, with dignity and freedom from prejudice, with the highest ethical standards in the research. (UWTSD, 2022. Research Ethics &amp; Code of Practice). Additionally in collaboration with Coleg Sir </w:t>
      </w:r>
      <w:proofErr w:type="spellStart"/>
      <w:r w:rsidR="001C6021">
        <w:rPr>
          <w:rFonts w:ascii="Arial" w:hAnsi="Arial" w:cs="Arial"/>
        </w:rPr>
        <w:t>Gâr</w:t>
      </w:r>
      <w:proofErr w:type="spellEnd"/>
      <w:r w:rsidR="001C6021">
        <w:rPr>
          <w:rFonts w:ascii="Arial" w:hAnsi="Arial" w:cs="Arial"/>
        </w:rPr>
        <w:t xml:space="preserve"> and Coleg Ceredigion, UWTSD created a Research Data Management Policy to ensure the high standards of ethical considerations are made by all individual’s involved in or affected by research being carried out. (UWTSD, n.d. Research Data Management Policy</w:t>
      </w:r>
      <w:r w:rsidR="00D97DF6">
        <w:rPr>
          <w:rFonts w:ascii="Arial" w:hAnsi="Arial" w:cs="Arial"/>
        </w:rPr>
        <w:t xml:space="preserve">). </w:t>
      </w:r>
      <w:r w:rsidR="00D92FA3">
        <w:rPr>
          <w:rFonts w:ascii="Arial" w:hAnsi="Arial" w:cs="Arial"/>
        </w:rPr>
        <w:t>As a student or member of staff at UWTSD</w:t>
      </w:r>
      <w:r w:rsidR="00383EF8">
        <w:rPr>
          <w:rFonts w:ascii="Arial" w:hAnsi="Arial" w:cs="Arial"/>
        </w:rPr>
        <w:t>, prior to conducting a research project, it is imperative that individuals familiarise themselves with the Trusted Research and Innovation Policy, as well as the Research Data Management Policy and Research Ethics &amp; Integrity Code of Practice. UWTSD is committed to effective collaboration in research and integrity ensuring it meets their strong ethical framework. Thus, ensuring that any research project engages in positive risk awareness including minimising risk protocols that threat of empower the University’s researchers to make informed decisions and adopt key mitigation. (UWTSD, 2024. Trusted Research and Innovation Policy).</w:t>
      </w:r>
    </w:p>
    <w:p w14:paraId="744B51F4" w14:textId="5D8D4D38" w:rsidR="00D87EE6" w:rsidRDefault="006069DC" w:rsidP="00F3144F">
      <w:pPr>
        <w:spacing w:line="360" w:lineRule="auto"/>
        <w:rPr>
          <w:rFonts w:ascii="Arial" w:hAnsi="Arial" w:cs="Arial"/>
        </w:rPr>
      </w:pPr>
      <w:r>
        <w:rPr>
          <w:rFonts w:ascii="Arial" w:hAnsi="Arial" w:cs="Arial"/>
        </w:rPr>
        <w:t xml:space="preserve">When working with children and young people gaining informed consent whilst carrying out research is necessary. However, </w:t>
      </w:r>
      <w:r w:rsidR="00646E58">
        <w:rPr>
          <w:rFonts w:ascii="Arial" w:hAnsi="Arial" w:cs="Arial"/>
        </w:rPr>
        <w:t xml:space="preserve">children may not always understand the meaning of informed consent and so the ways in which this can be achieved needs careful consideration. For example, asking a three-year-old child if they wish to participate in research, could be like asking if they would like to go to Space this afternoon? The verbal question is too generalised and not well informed for a child to </w:t>
      </w:r>
      <w:r w:rsidR="00646E58">
        <w:rPr>
          <w:rFonts w:ascii="Arial" w:hAnsi="Arial" w:cs="Arial"/>
        </w:rPr>
        <w:lastRenderedPageBreak/>
        <w:t xml:space="preserve">make an appropriate response. However, if they researcher has had sufficient training to ensure they use verbal and non-verbal cues whilst obtaining consent, the child should feel more comfortable to negotiate informed consent to participate. Also, renegotiate informed consent regularly during the research project. (Sheffield University, </w:t>
      </w:r>
      <w:proofErr w:type="spellStart"/>
      <w:r w:rsidR="00646E58">
        <w:rPr>
          <w:rFonts w:ascii="Arial" w:hAnsi="Arial" w:cs="Arial"/>
        </w:rPr>
        <w:t>n.d</w:t>
      </w:r>
      <w:proofErr w:type="spellEnd"/>
      <w:r w:rsidR="00646E58">
        <w:rPr>
          <w:rFonts w:ascii="Arial" w:hAnsi="Arial" w:cs="Arial"/>
        </w:rPr>
        <w:t>). By regularly renegotiated consent, whether verbal or non-verbal this allows the participant to withdraw from the research, should they wish to do so. Most children and young people are not familiar with what is included in being involved in research. Therefore, considerations need to be made to ensure children and young people feel comfortable</w:t>
      </w:r>
      <w:r w:rsidR="00B43655">
        <w:rPr>
          <w:rFonts w:ascii="Arial" w:hAnsi="Arial" w:cs="Arial"/>
        </w:rPr>
        <w:t xml:space="preserve"> when ending their participation in the research. Sheffield University, n.d. highlight the importance of obtaining and renegotiating regularly. To ensure this. W</w:t>
      </w:r>
      <w:r w:rsidR="00B60AAE">
        <w:rPr>
          <w:rFonts w:ascii="Arial" w:hAnsi="Arial" w:cs="Arial"/>
        </w:rPr>
        <w:t xml:space="preserve">ithin ethical standards it is noted that a child has the right to be heard and to give their opinion, according to their age, maturity and discernment. The United Nations Convention on the Rights of the Child (UNCRC) </w:t>
      </w:r>
      <w:r w:rsidR="007F3AB5">
        <w:rPr>
          <w:rFonts w:ascii="Arial" w:hAnsi="Arial" w:cs="Arial"/>
        </w:rPr>
        <w:t xml:space="preserve">express that should children have the capacity for self-determination; their right should be heard. </w:t>
      </w:r>
      <w:r w:rsidR="00572DEB">
        <w:rPr>
          <w:rFonts w:ascii="Arial" w:hAnsi="Arial" w:cs="Arial"/>
        </w:rPr>
        <w:t xml:space="preserve">As found in Article 13 of the UNCRC, ‘the child shall have the right to freedom of expression; this right shall include freedom to seek, receive and impart information and ideas of all kinds, regardless of frontiers, either orally, in writing or in print, in the form of art, or through any other media of the child’s choice.’ (Department for Education (DfE) n.d. Research with children and young people). </w:t>
      </w:r>
      <w:r w:rsidR="007F3AB5">
        <w:rPr>
          <w:rFonts w:ascii="Arial" w:hAnsi="Arial" w:cs="Arial"/>
        </w:rPr>
        <w:t xml:space="preserve">However, practitioners and parents argued that </w:t>
      </w:r>
      <w:proofErr w:type="gramStart"/>
      <w:r w:rsidR="007F3AB5">
        <w:rPr>
          <w:rFonts w:ascii="Arial" w:hAnsi="Arial" w:cs="Arial"/>
        </w:rPr>
        <w:t>the majority of</w:t>
      </w:r>
      <w:proofErr w:type="gramEnd"/>
      <w:r w:rsidR="007F3AB5">
        <w:rPr>
          <w:rFonts w:ascii="Arial" w:hAnsi="Arial" w:cs="Arial"/>
        </w:rPr>
        <w:t xml:space="preserve"> children do not have the capacity to make an informed decision which causes a limitation to informed consent. To address this limitation the term ‘informed assent’ was introduced to broaden the view and allow for children to participate in making decisions without completely understanding what they are participating in. (Cotrim </w:t>
      </w:r>
      <w:r w:rsidR="007F3AB5" w:rsidRPr="007F3AB5">
        <w:rPr>
          <w:rFonts w:ascii="Arial" w:hAnsi="Arial" w:cs="Arial"/>
          <w:i/>
          <w:iCs/>
        </w:rPr>
        <w:t>et al.,</w:t>
      </w:r>
      <w:r w:rsidR="007F3AB5">
        <w:rPr>
          <w:rFonts w:ascii="Arial" w:hAnsi="Arial" w:cs="Arial"/>
        </w:rPr>
        <w:t xml:space="preserve"> 2021 Children’s Understanding of Informed Assents in Research Studies). </w:t>
      </w:r>
      <w:r w:rsidR="001420ED">
        <w:rPr>
          <w:rFonts w:ascii="Arial" w:hAnsi="Arial" w:cs="Arial"/>
        </w:rPr>
        <w:t xml:space="preserve">There are also other barriers that inhibit consent being provided whether verbal or written. According to Sheffield University, n.d. it is important to acknowledge that obtaining consent from members of communities may be difficult for many reasons. In Wales there are many multi-cultural and diverse communities. In some social or cultural contexts ethical concerns arise when a child or their parents feel unable to give consent due to their social or cultural beliefs. By ensuring </w:t>
      </w:r>
      <w:r w:rsidR="00572DEB">
        <w:rPr>
          <w:rFonts w:ascii="Arial" w:hAnsi="Arial" w:cs="Arial"/>
        </w:rPr>
        <w:t>they are well informed in the research project</w:t>
      </w:r>
      <w:r w:rsidR="00E85713">
        <w:rPr>
          <w:rFonts w:ascii="Arial" w:hAnsi="Arial" w:cs="Arial"/>
        </w:rPr>
        <w:t xml:space="preserve">, this could include providing an information sheet detailing the purpose of the research, the objective of the results and whether it could lead to further research being carried out. This could be made available in multiple language to ensure </w:t>
      </w:r>
      <w:r w:rsidR="00E85713">
        <w:rPr>
          <w:rFonts w:ascii="Arial" w:hAnsi="Arial" w:cs="Arial"/>
        </w:rPr>
        <w:lastRenderedPageBreak/>
        <w:t>accessibility and ensure</w:t>
      </w:r>
      <w:r w:rsidR="00572DEB">
        <w:rPr>
          <w:rFonts w:ascii="Arial" w:hAnsi="Arial" w:cs="Arial"/>
        </w:rPr>
        <w:t xml:space="preserve"> a way of overcoming this barrier. (Sheffield University, </w:t>
      </w:r>
      <w:proofErr w:type="spellStart"/>
      <w:r w:rsidR="00572DEB">
        <w:rPr>
          <w:rFonts w:ascii="Arial" w:hAnsi="Arial" w:cs="Arial"/>
        </w:rPr>
        <w:t>n.d</w:t>
      </w:r>
      <w:proofErr w:type="spellEnd"/>
      <w:r w:rsidR="00572DEB">
        <w:rPr>
          <w:rFonts w:ascii="Arial" w:hAnsi="Arial" w:cs="Arial"/>
        </w:rPr>
        <w:t>). When participating in a research project, participants have a legal right to stop or change their involvement at any time. This is described as ‘participants withdrawing’. (Hurd, 2025. University of Oxford. Participant “withdrawal” from a study: what it really means and how to manage it).</w:t>
      </w:r>
    </w:p>
    <w:p w14:paraId="51D2775B" w14:textId="705F7708" w:rsidR="00D87EE6" w:rsidRDefault="00D87EE6" w:rsidP="00F3144F">
      <w:pPr>
        <w:spacing w:line="360" w:lineRule="auto"/>
        <w:rPr>
          <w:rFonts w:ascii="Arial" w:hAnsi="Arial" w:cs="Arial"/>
        </w:rPr>
      </w:pPr>
      <w:r>
        <w:rPr>
          <w:rFonts w:ascii="Arial" w:hAnsi="Arial" w:cs="Arial"/>
        </w:rPr>
        <w:t xml:space="preserve">When planning research and data collection respecting the privacy and confidentiality of the participants requires sensitivity. Privacy and the right to be free from intrusion or interference by others is a basic human right in Article 16 of the UNCRC. (Kneale, n.d. ERIC- Ethical Guidance: Privacy and Confidentiality). The type of data collected in research project creates a variety of ethical concerns and </w:t>
      </w:r>
      <w:r w:rsidR="00883362">
        <w:rPr>
          <w:rFonts w:ascii="Arial" w:hAnsi="Arial" w:cs="Arial"/>
        </w:rPr>
        <w:t xml:space="preserve">can </w:t>
      </w:r>
      <w:r>
        <w:rPr>
          <w:rFonts w:ascii="Arial" w:hAnsi="Arial" w:cs="Arial"/>
        </w:rPr>
        <w:t xml:space="preserve">become variable </w:t>
      </w:r>
      <w:proofErr w:type="gramStart"/>
      <w:r w:rsidR="00883362">
        <w:rPr>
          <w:rFonts w:ascii="Arial" w:hAnsi="Arial" w:cs="Arial"/>
        </w:rPr>
        <w:t>in regard to</w:t>
      </w:r>
      <w:proofErr w:type="gramEnd"/>
      <w:r>
        <w:rPr>
          <w:rFonts w:ascii="Arial" w:hAnsi="Arial" w:cs="Arial"/>
        </w:rPr>
        <w:t xml:space="preserve"> how much information participants wish to share. </w:t>
      </w:r>
      <w:r w:rsidR="00883362">
        <w:rPr>
          <w:rFonts w:ascii="Arial" w:hAnsi="Arial" w:cs="Arial"/>
        </w:rPr>
        <w:t xml:space="preserve">Privacy of a participant and the confidentiality of the research information collected require careful consideration into the location and methods in used collecting data. Privacy includes ensuring that participants are anonymous and not identifiable in research reports or any means of disseminating findings. This could cause harm should a participant’s identity be disclosed, especially where information is disclosed to powerful groups, such as government departments. (Kneale, n.d. ERIC). </w:t>
      </w:r>
      <w:r w:rsidR="001C671B">
        <w:rPr>
          <w:rFonts w:ascii="Arial" w:hAnsi="Arial" w:cs="Arial"/>
        </w:rPr>
        <w:t xml:space="preserve">As well as ensuring privacy and confidentiality, researchers must comply to the Data Protection Act 2018 and the UK General Data Protection Regulation (GDPR). The Act and regulation require researchers to safely manage and store participants information. When conducting research, it is most applicable for researchers to process personal data with public interest or legitimate interest. However, grounds for processing personal data are most widely gained as consent. (UK Data Service, n.d. The Data Protection Act and GDPR). </w:t>
      </w:r>
      <w:r w:rsidR="008D426E">
        <w:rPr>
          <w:rFonts w:ascii="Arial" w:hAnsi="Arial" w:cs="Arial"/>
        </w:rPr>
        <w:t xml:space="preserve">There are many risk factors to consider when participating in research. To eliminate or reduce the risk as best as possible vary on many contributing factors including developmental competencies and background characteristics. When participating in research with children there is an element of vulnerability emphasised due to their perspectives on research. This vulnerability does not decline linearly with age; research must include a multidimensional consideration that vary over developmental time. Similarly, a child’s vulnerability could be heightened which could require special considerations by researchers. (Thompson, 1990). Included in recognising risk for participants is identifying risks for the researcher. Researchers should ensure they carefully manage any potential risks to themselves or any participants within the research </w:t>
      </w:r>
      <w:r w:rsidR="008D426E">
        <w:rPr>
          <w:rFonts w:ascii="Arial" w:hAnsi="Arial" w:cs="Arial"/>
        </w:rPr>
        <w:lastRenderedPageBreak/>
        <w:t xml:space="preserve">project. </w:t>
      </w:r>
      <w:r w:rsidR="008142E8">
        <w:rPr>
          <w:rFonts w:ascii="Arial" w:hAnsi="Arial" w:cs="Arial"/>
        </w:rPr>
        <w:t xml:space="preserve">They should identify how potential health and safety risks can be managed and these should be included when requesting consent as part of the ethics application. Before participating, the researcher should provide details of who to contact should any issues arise during the research project. Additionally, the researcher should mitigate any risks to themselves by undergoing risk assessments and implementing any policy they require to safeguard themselves and the participants. (University of Sheffield, n.d. Participant Researcher Safety and Well-Being). </w:t>
      </w:r>
      <w:r w:rsidR="006756C5">
        <w:rPr>
          <w:rFonts w:ascii="Arial" w:hAnsi="Arial" w:cs="Arial"/>
        </w:rPr>
        <w:t xml:space="preserve">When participating in a research project it has been identified that some researchers offer an incentive for participating. According to Sheffield University some researchers offer monetary payments whilst others choose to give a small gift as a way of thanking their participants. (Sheffield University, (n.d.)). </w:t>
      </w:r>
      <w:r w:rsidR="00E25AF8">
        <w:rPr>
          <w:rFonts w:ascii="Arial" w:hAnsi="Arial" w:cs="Arial"/>
        </w:rPr>
        <w:t>Cohen, 1996; Office for Human Research Protections, 2001 identify the use of incentives as controversial when used to recruit or retain participants, this includes children and adults. As identified by Dickert &amp; Grady, 1999, there is an ethical concern that incentives can influence vulnerable participants to place themselves in a greater risk that usual. (Rice &amp; Broome, 2004).</w:t>
      </w:r>
    </w:p>
    <w:p w14:paraId="3BFCCB6A" w14:textId="77777777" w:rsidR="00E85713" w:rsidRDefault="00E85713" w:rsidP="00F3144F">
      <w:pPr>
        <w:spacing w:line="360" w:lineRule="auto"/>
        <w:rPr>
          <w:rFonts w:ascii="Arial" w:hAnsi="Arial" w:cs="Arial"/>
        </w:rPr>
      </w:pPr>
    </w:p>
    <w:p w14:paraId="5EC276D4" w14:textId="77777777" w:rsidR="00B60AAE" w:rsidRPr="00F81FCA" w:rsidRDefault="00B60AAE" w:rsidP="00F3144F">
      <w:pPr>
        <w:spacing w:line="360" w:lineRule="auto"/>
        <w:rPr>
          <w:rFonts w:ascii="Arial" w:hAnsi="Arial" w:cs="Arial"/>
        </w:rPr>
      </w:pPr>
    </w:p>
    <w:p w14:paraId="33871723" w14:textId="77777777" w:rsidR="00AC6D16" w:rsidRDefault="00AC6D16" w:rsidP="00F3144F">
      <w:pPr>
        <w:spacing w:line="360" w:lineRule="auto"/>
        <w:rPr>
          <w:rFonts w:ascii="Arial" w:hAnsi="Arial" w:cs="Arial"/>
        </w:rPr>
      </w:pPr>
    </w:p>
    <w:p w14:paraId="78DE10F0" w14:textId="77777777" w:rsidR="00AC6D16" w:rsidRDefault="00AC6D16" w:rsidP="00F3144F">
      <w:pPr>
        <w:spacing w:line="360" w:lineRule="auto"/>
        <w:rPr>
          <w:rFonts w:ascii="Arial" w:hAnsi="Arial" w:cs="Arial"/>
        </w:rPr>
      </w:pPr>
    </w:p>
    <w:p w14:paraId="07D70338" w14:textId="77777777" w:rsidR="00AC6D16" w:rsidRDefault="00AC6D16" w:rsidP="00F3144F">
      <w:pPr>
        <w:spacing w:line="360" w:lineRule="auto"/>
        <w:rPr>
          <w:rFonts w:ascii="Arial" w:hAnsi="Arial" w:cs="Arial"/>
        </w:rPr>
      </w:pPr>
    </w:p>
    <w:p w14:paraId="38056068" w14:textId="77777777" w:rsidR="00AC6D16" w:rsidRDefault="00AC6D16" w:rsidP="00F3144F">
      <w:pPr>
        <w:spacing w:line="360" w:lineRule="auto"/>
        <w:rPr>
          <w:rFonts w:ascii="Arial" w:hAnsi="Arial" w:cs="Arial"/>
        </w:rPr>
      </w:pPr>
    </w:p>
    <w:p w14:paraId="3FC3A72D" w14:textId="77777777" w:rsidR="00AC6D16" w:rsidRDefault="00AC6D16" w:rsidP="00F3144F">
      <w:pPr>
        <w:spacing w:line="360" w:lineRule="auto"/>
        <w:rPr>
          <w:rFonts w:ascii="Arial" w:hAnsi="Arial" w:cs="Arial"/>
        </w:rPr>
      </w:pPr>
    </w:p>
    <w:p w14:paraId="77044A96" w14:textId="77777777" w:rsidR="00AC6D16" w:rsidRDefault="00AC6D16" w:rsidP="00F3144F">
      <w:pPr>
        <w:spacing w:line="360" w:lineRule="auto"/>
        <w:rPr>
          <w:rFonts w:ascii="Arial" w:hAnsi="Arial" w:cs="Arial"/>
        </w:rPr>
      </w:pPr>
    </w:p>
    <w:p w14:paraId="0EB6A3F3" w14:textId="77777777" w:rsidR="00AC6D16" w:rsidRDefault="00AC6D16" w:rsidP="00F3144F">
      <w:pPr>
        <w:spacing w:line="360" w:lineRule="auto"/>
        <w:rPr>
          <w:rFonts w:ascii="Arial" w:hAnsi="Arial" w:cs="Arial"/>
        </w:rPr>
      </w:pPr>
    </w:p>
    <w:p w14:paraId="45E70EFA" w14:textId="77777777" w:rsidR="00AC6D16" w:rsidRDefault="00AC6D16" w:rsidP="00F3144F">
      <w:pPr>
        <w:spacing w:line="360" w:lineRule="auto"/>
        <w:rPr>
          <w:rFonts w:ascii="Arial" w:hAnsi="Arial" w:cs="Arial"/>
        </w:rPr>
      </w:pPr>
    </w:p>
    <w:p w14:paraId="5DBCB6B0" w14:textId="77777777" w:rsidR="00AC6D16" w:rsidRDefault="00AC6D16" w:rsidP="00F3144F">
      <w:pPr>
        <w:spacing w:line="360" w:lineRule="auto"/>
        <w:rPr>
          <w:rFonts w:ascii="Arial" w:hAnsi="Arial" w:cs="Arial"/>
        </w:rPr>
      </w:pPr>
    </w:p>
    <w:p w14:paraId="00637F3A" w14:textId="77777777" w:rsidR="00AC6D16" w:rsidRDefault="00AC6D16" w:rsidP="00F3144F">
      <w:pPr>
        <w:spacing w:line="360" w:lineRule="auto"/>
        <w:rPr>
          <w:rFonts w:ascii="Arial" w:hAnsi="Arial" w:cs="Arial"/>
        </w:rPr>
      </w:pPr>
    </w:p>
    <w:p w14:paraId="23CBCA16" w14:textId="77777777" w:rsidR="00AC6D16" w:rsidRDefault="00AC6D16" w:rsidP="00F3144F">
      <w:pPr>
        <w:spacing w:line="360" w:lineRule="auto"/>
        <w:rPr>
          <w:rFonts w:ascii="Arial" w:hAnsi="Arial" w:cs="Arial"/>
        </w:rPr>
      </w:pPr>
    </w:p>
    <w:p w14:paraId="1605339D" w14:textId="77777777" w:rsidR="00AC6D16" w:rsidRDefault="00AC6D16" w:rsidP="00F3144F">
      <w:pPr>
        <w:spacing w:line="360" w:lineRule="auto"/>
        <w:rPr>
          <w:rFonts w:ascii="Arial" w:hAnsi="Arial" w:cs="Arial"/>
        </w:rPr>
      </w:pPr>
    </w:p>
    <w:p w14:paraId="08565119" w14:textId="77777777" w:rsidR="00AC6D16" w:rsidRDefault="00AC6D16" w:rsidP="00F3144F">
      <w:pPr>
        <w:spacing w:line="360" w:lineRule="auto"/>
        <w:rPr>
          <w:rFonts w:ascii="Arial" w:hAnsi="Arial" w:cs="Arial"/>
        </w:rPr>
      </w:pPr>
    </w:p>
    <w:p w14:paraId="162CDC07" w14:textId="77777777" w:rsidR="00AC6D16" w:rsidRDefault="00AC6D16" w:rsidP="00F3144F">
      <w:pPr>
        <w:spacing w:line="360" w:lineRule="auto"/>
        <w:rPr>
          <w:rFonts w:ascii="Arial" w:hAnsi="Arial" w:cs="Arial"/>
        </w:rPr>
      </w:pPr>
    </w:p>
    <w:p w14:paraId="28222B9B" w14:textId="77777777" w:rsidR="00AC6D16" w:rsidRDefault="00AC6D16" w:rsidP="00F3144F">
      <w:pPr>
        <w:spacing w:line="360" w:lineRule="auto"/>
        <w:rPr>
          <w:rFonts w:ascii="Arial" w:hAnsi="Arial" w:cs="Arial"/>
        </w:rPr>
      </w:pPr>
    </w:p>
    <w:p w14:paraId="22D294D3" w14:textId="77777777" w:rsidR="00AC6D16" w:rsidRDefault="00AC6D16" w:rsidP="00F3144F">
      <w:pPr>
        <w:spacing w:line="360" w:lineRule="auto"/>
        <w:rPr>
          <w:rFonts w:ascii="Arial" w:hAnsi="Arial" w:cs="Arial"/>
        </w:rPr>
      </w:pPr>
    </w:p>
    <w:p w14:paraId="18E309E7" w14:textId="0D66F304" w:rsidR="00EE0C46" w:rsidRPr="00F3144F" w:rsidRDefault="00EE0C46">
      <w:pPr>
        <w:rPr>
          <w:rFonts w:ascii="Arial" w:hAnsi="Arial" w:cs="Arial"/>
          <w:u w:val="single"/>
        </w:rPr>
      </w:pPr>
      <w:r w:rsidRPr="00F3144F">
        <w:rPr>
          <w:rFonts w:ascii="Arial" w:hAnsi="Arial" w:cs="Arial"/>
          <w:u w:val="single"/>
        </w:rPr>
        <w:lastRenderedPageBreak/>
        <w:t>Reference List</w:t>
      </w:r>
    </w:p>
    <w:p w14:paraId="15AB77C0" w14:textId="77777777" w:rsidR="00A76B3B" w:rsidRDefault="00A76B3B">
      <w:pPr>
        <w:rPr>
          <w:rFonts w:ascii="Arial" w:hAnsi="Arial" w:cs="Arial"/>
        </w:rPr>
      </w:pPr>
    </w:p>
    <w:p w14:paraId="15F4AB63" w14:textId="77F02916" w:rsidR="00384641" w:rsidRPr="00AC6D16" w:rsidRDefault="00A76B3B">
      <w:pPr>
        <w:rPr>
          <w:rFonts w:ascii="Arial" w:hAnsi="Arial" w:cs="Arial"/>
        </w:rPr>
      </w:pPr>
      <w:proofErr w:type="spellStart"/>
      <w:r>
        <w:rPr>
          <w:rFonts w:ascii="Arial" w:hAnsi="Arial" w:cs="Arial"/>
        </w:rPr>
        <w:t>Bajjada</w:t>
      </w:r>
      <w:proofErr w:type="spellEnd"/>
      <w:r>
        <w:rPr>
          <w:rFonts w:ascii="Arial" w:hAnsi="Arial" w:cs="Arial"/>
        </w:rPr>
        <w:t>, T. Richardson, M. Tully, M. &amp; Kilbride, K. (2024)</w:t>
      </w:r>
      <w:r w:rsidR="00384641">
        <w:rPr>
          <w:rFonts w:ascii="Arial" w:hAnsi="Arial" w:cs="Arial"/>
        </w:rPr>
        <w:t xml:space="preserve"> Early years policies in Wales and a post-pandemic future: mixed methods research study. Miller Research (UK) Ltd. Available at: </w:t>
      </w:r>
      <w:hyperlink r:id="rId6" w:history="1">
        <w:r w:rsidR="00384641" w:rsidRPr="009E1A65">
          <w:rPr>
            <w:rStyle w:val="Hyperlink"/>
            <w:rFonts w:ascii="Arial" w:hAnsi="Arial" w:cs="Arial"/>
          </w:rPr>
          <w:t>https://www.gov.wales/early-years-policies-wales-and-post-pandemic-future-mixed-methods-research-study-summary-html</w:t>
        </w:r>
      </w:hyperlink>
      <w:r w:rsidR="00384641">
        <w:rPr>
          <w:rFonts w:ascii="Arial" w:hAnsi="Arial" w:cs="Arial"/>
        </w:rPr>
        <w:t xml:space="preserve"> [accessed on </w:t>
      </w:r>
      <w:r w:rsidR="0051774A">
        <w:rPr>
          <w:rFonts w:ascii="Arial" w:hAnsi="Arial" w:cs="Arial"/>
        </w:rPr>
        <w:t xml:space="preserve">6th </w:t>
      </w:r>
      <w:r w:rsidR="00384641">
        <w:rPr>
          <w:rFonts w:ascii="Arial" w:hAnsi="Arial" w:cs="Arial"/>
        </w:rPr>
        <w:t xml:space="preserve"> May 2025]</w:t>
      </w:r>
    </w:p>
    <w:p w14:paraId="4D2E4017" w14:textId="77777777" w:rsidR="00EE0C46" w:rsidRPr="00AC6D16" w:rsidRDefault="00EE0C46">
      <w:pPr>
        <w:rPr>
          <w:rFonts w:ascii="Arial" w:hAnsi="Arial" w:cs="Arial"/>
        </w:rPr>
      </w:pPr>
    </w:p>
    <w:p w14:paraId="5D02C75D" w14:textId="0A90CE92" w:rsidR="00EE0C46" w:rsidRPr="00AC6D16" w:rsidRDefault="00EE0C46">
      <w:pPr>
        <w:rPr>
          <w:rFonts w:ascii="Arial" w:hAnsi="Arial" w:cs="Arial"/>
        </w:rPr>
      </w:pPr>
      <w:proofErr w:type="spellStart"/>
      <w:r w:rsidRPr="00AC6D16">
        <w:rPr>
          <w:rFonts w:ascii="Arial" w:hAnsi="Arial" w:cs="Arial"/>
        </w:rPr>
        <w:t>Barnardos</w:t>
      </w:r>
      <w:proofErr w:type="spellEnd"/>
      <w:r w:rsidRPr="00AC6D16">
        <w:rPr>
          <w:rFonts w:ascii="Arial" w:hAnsi="Arial" w:cs="Arial"/>
        </w:rPr>
        <w:t xml:space="preserve">. (2022) ‘Staff Wellbeing in Early Learning and Care. Issue 2. </w:t>
      </w:r>
      <w:proofErr w:type="spellStart"/>
      <w:r w:rsidRPr="00AC6D16">
        <w:rPr>
          <w:rFonts w:ascii="Arial" w:hAnsi="Arial" w:cs="Arial"/>
        </w:rPr>
        <w:t>Childlinks</w:t>
      </w:r>
      <w:proofErr w:type="spellEnd"/>
    </w:p>
    <w:p w14:paraId="6376527D" w14:textId="77777777" w:rsidR="00BB4D76" w:rsidRDefault="00BB4D76">
      <w:pPr>
        <w:rPr>
          <w:rFonts w:ascii="Arial" w:hAnsi="Arial" w:cs="Arial"/>
        </w:rPr>
      </w:pPr>
    </w:p>
    <w:p w14:paraId="028E4296" w14:textId="77777777" w:rsidR="00D97DF6" w:rsidRPr="00D97DF6" w:rsidRDefault="00D97DF6" w:rsidP="00D97DF6">
      <w:pPr>
        <w:rPr>
          <w:rFonts w:ascii="Arial" w:eastAsia="Times New Roman" w:hAnsi="Arial" w:cs="Arial"/>
          <w:color w:val="000000"/>
          <w:kern w:val="0"/>
          <w:lang w:eastAsia="en-GB"/>
          <w14:ligatures w14:val="none"/>
        </w:rPr>
      </w:pPr>
      <w:r w:rsidRPr="00D97DF6">
        <w:rPr>
          <w:rFonts w:ascii="Arial" w:eastAsia="Times New Roman" w:hAnsi="Arial" w:cs="Arial"/>
          <w:color w:val="000000"/>
          <w:kern w:val="0"/>
          <w:lang w:eastAsia="en-GB"/>
          <w14:ligatures w14:val="none"/>
        </w:rPr>
        <w:t>British Educational Research Association [BERA]. (2024). Ethical Guidelines</w:t>
      </w:r>
    </w:p>
    <w:p w14:paraId="269D2B57" w14:textId="77777777" w:rsidR="00D97DF6" w:rsidRPr="00D97DF6" w:rsidRDefault="00D97DF6" w:rsidP="00D97DF6">
      <w:pPr>
        <w:rPr>
          <w:rFonts w:ascii="Arial" w:eastAsia="Times New Roman" w:hAnsi="Arial" w:cs="Arial"/>
          <w:color w:val="000000"/>
          <w:kern w:val="0"/>
          <w:lang w:eastAsia="en-GB"/>
          <w14:ligatures w14:val="none"/>
        </w:rPr>
      </w:pPr>
      <w:r w:rsidRPr="00D97DF6">
        <w:rPr>
          <w:rFonts w:ascii="Arial" w:eastAsia="Times New Roman" w:hAnsi="Arial" w:cs="Arial"/>
          <w:color w:val="000000"/>
          <w:kern w:val="0"/>
          <w:lang w:eastAsia="en-GB"/>
          <w14:ligatures w14:val="none"/>
        </w:rPr>
        <w:t xml:space="preserve">for Educational Research (5th ed.). </w:t>
      </w:r>
      <w:r w:rsidRPr="00D97DF6">
        <w:rPr>
          <w:rFonts w:ascii="Arial" w:eastAsia="Times New Roman" w:hAnsi="Arial" w:cs="Arial"/>
          <w:color w:val="515050"/>
          <w:kern w:val="0"/>
          <w:lang w:eastAsia="en-GB"/>
          <w14:ligatures w14:val="none"/>
        </w:rPr>
        <w:t>www.bera.ac.uk/publication/ethical-</w:t>
      </w:r>
    </w:p>
    <w:p w14:paraId="769480F2" w14:textId="074C4CEA" w:rsidR="00D97DF6" w:rsidRPr="00D97DF6" w:rsidRDefault="00D97DF6" w:rsidP="00D97DF6">
      <w:pPr>
        <w:rPr>
          <w:rFonts w:ascii="Arial" w:eastAsia="Times New Roman" w:hAnsi="Arial" w:cs="Arial"/>
          <w:color w:val="515050"/>
          <w:kern w:val="0"/>
          <w:lang w:eastAsia="en-GB"/>
          <w14:ligatures w14:val="none"/>
        </w:rPr>
      </w:pPr>
      <w:r w:rsidRPr="00D97DF6">
        <w:rPr>
          <w:rFonts w:ascii="Arial" w:eastAsia="Times New Roman" w:hAnsi="Arial" w:cs="Arial"/>
          <w:color w:val="515050"/>
          <w:kern w:val="0"/>
          <w:lang w:eastAsia="en-GB"/>
          <w14:ligatures w14:val="none"/>
        </w:rPr>
        <w:t>guidelines-for-educational-research-2024</w:t>
      </w:r>
      <w:r>
        <w:rPr>
          <w:rFonts w:ascii="Arial" w:eastAsia="Times New Roman" w:hAnsi="Arial" w:cs="Arial"/>
          <w:color w:val="515050"/>
          <w:kern w:val="0"/>
          <w:lang w:eastAsia="en-GB"/>
          <w14:ligatures w14:val="none"/>
        </w:rPr>
        <w:t xml:space="preserve"> </w:t>
      </w:r>
    </w:p>
    <w:p w14:paraId="3FDCC7A1" w14:textId="77777777" w:rsidR="00C96192" w:rsidRPr="00AC6D16" w:rsidRDefault="00C96192">
      <w:pPr>
        <w:rPr>
          <w:rFonts w:ascii="Arial" w:hAnsi="Arial" w:cs="Arial"/>
        </w:rPr>
      </w:pPr>
    </w:p>
    <w:p w14:paraId="4AC11683" w14:textId="6F1D91B5" w:rsidR="00BB4D76" w:rsidRDefault="00BB4D76">
      <w:r w:rsidRPr="00AC6D16">
        <w:rPr>
          <w:rFonts w:ascii="Arial" w:hAnsi="Arial" w:cs="Arial"/>
        </w:rPr>
        <w:t xml:space="preserve">Bull, R., McFarland, L., Cumming, T., &amp; Wong, S. (2023) The Impact of work-related wellbeing and workplace culture and climate on intention to leave in early childhood sector. </w:t>
      </w:r>
      <w:hyperlink r:id="rId7" w:history="1">
        <w:r w:rsidR="00AC6D16" w:rsidRPr="00AC6D16">
          <w:rPr>
            <w:rStyle w:val="Hyperlink"/>
            <w:rFonts w:ascii="Arial" w:hAnsi="Arial" w:cs="Arial"/>
          </w:rPr>
          <w:t>https://doi.org/10.1016/j.ecresq.2024.06.002</w:t>
        </w:r>
      </w:hyperlink>
    </w:p>
    <w:p w14:paraId="5BE14D85" w14:textId="77777777" w:rsidR="00EB78E9" w:rsidRDefault="00EB78E9"/>
    <w:p w14:paraId="412A848A" w14:textId="68BB91A7" w:rsidR="00EB78E9" w:rsidRDefault="00EB78E9">
      <w:pPr>
        <w:rPr>
          <w:rFonts w:ascii="Arial" w:hAnsi="Arial" w:cs="Arial"/>
        </w:rPr>
      </w:pPr>
      <w:r w:rsidRPr="00014916">
        <w:rPr>
          <w:rFonts w:ascii="Arial" w:hAnsi="Arial" w:cs="Arial"/>
        </w:rPr>
        <w:t xml:space="preserve">Bullen, P., B. (2022) Practical tools for international development. </w:t>
      </w:r>
      <w:hyperlink r:id="rId8" w:history="1">
        <w:r w:rsidRPr="00014916">
          <w:rPr>
            <w:rStyle w:val="Hyperlink"/>
            <w:rFonts w:ascii="Arial" w:hAnsi="Arial" w:cs="Arial"/>
          </w:rPr>
          <w:t>https://tools4dev.org/resources/how-to-choose-a-sample-size</w:t>
        </w:r>
      </w:hyperlink>
      <w:r w:rsidRPr="00014916">
        <w:rPr>
          <w:rFonts w:ascii="Arial" w:hAnsi="Arial" w:cs="Arial"/>
        </w:rPr>
        <w:t xml:space="preserve"> (accessed on 15th May 2025)</w:t>
      </w:r>
    </w:p>
    <w:p w14:paraId="19BC78A1" w14:textId="77777777" w:rsidR="000849A4" w:rsidRDefault="000849A4">
      <w:pPr>
        <w:rPr>
          <w:rFonts w:ascii="Arial" w:hAnsi="Arial" w:cs="Arial"/>
        </w:rPr>
      </w:pPr>
    </w:p>
    <w:p w14:paraId="4A0A9CA1" w14:textId="77777777" w:rsidR="000849A4" w:rsidRPr="000849A4" w:rsidRDefault="000849A4" w:rsidP="000849A4">
      <w:pPr>
        <w:rPr>
          <w:rFonts w:ascii="Arial" w:eastAsia="Times New Roman" w:hAnsi="Arial" w:cs="Arial"/>
          <w:color w:val="000000"/>
          <w:kern w:val="0"/>
          <w:lang w:eastAsia="en-GB"/>
          <w14:ligatures w14:val="none"/>
        </w:rPr>
      </w:pPr>
      <w:r w:rsidRPr="000849A4">
        <w:rPr>
          <w:rFonts w:ascii="Arial" w:eastAsia="Times New Roman" w:hAnsi="Arial" w:cs="Arial"/>
          <w:color w:val="000000"/>
          <w:kern w:val="0"/>
          <w:lang w:eastAsia="en-GB"/>
          <w14:ligatures w14:val="none"/>
        </w:rPr>
        <w:t>Chiesa M and Hobbs S (2008) Making sense of social research: How useful is the</w:t>
      </w:r>
    </w:p>
    <w:p w14:paraId="53BB2EC5" w14:textId="5D794E7F" w:rsidR="000849A4" w:rsidRPr="000849A4" w:rsidRDefault="000849A4">
      <w:pPr>
        <w:rPr>
          <w:rFonts w:ascii="Arial" w:eastAsia="Times New Roman" w:hAnsi="Arial" w:cs="Arial"/>
          <w:color w:val="000000"/>
          <w:kern w:val="0"/>
          <w:lang w:eastAsia="en-GB"/>
          <w14:ligatures w14:val="none"/>
        </w:rPr>
      </w:pPr>
      <w:r w:rsidRPr="000849A4">
        <w:rPr>
          <w:rFonts w:ascii="Arial" w:eastAsia="Times New Roman" w:hAnsi="Arial" w:cs="Arial"/>
          <w:color w:val="000000"/>
          <w:kern w:val="0"/>
          <w:lang w:eastAsia="en-GB"/>
          <w14:ligatures w14:val="none"/>
        </w:rPr>
        <w:t xml:space="preserve">Hawthorne Effect? </w:t>
      </w:r>
      <w:r w:rsidRPr="000849A4">
        <w:rPr>
          <w:rFonts w:ascii="Arial" w:eastAsia="Times New Roman" w:hAnsi="Arial" w:cs="Arial"/>
          <w:i/>
          <w:iCs/>
          <w:color w:val="000000"/>
          <w:kern w:val="0"/>
          <w:lang w:eastAsia="en-GB"/>
          <w14:ligatures w14:val="none"/>
        </w:rPr>
        <w:t>European Journal of Social Psychology</w:t>
      </w:r>
      <w:r w:rsidRPr="000849A4">
        <w:rPr>
          <w:rFonts w:ascii="Arial" w:eastAsia="Times New Roman" w:hAnsi="Arial" w:cs="Arial"/>
          <w:color w:val="000000"/>
          <w:kern w:val="0"/>
          <w:lang w:eastAsia="en-GB"/>
          <w14:ligatures w14:val="none"/>
        </w:rPr>
        <w:t xml:space="preserve"> 38(1): 67-74.</w:t>
      </w:r>
    </w:p>
    <w:p w14:paraId="14955AAA" w14:textId="77777777" w:rsidR="000849A4" w:rsidRDefault="000849A4">
      <w:pPr>
        <w:rPr>
          <w:rFonts w:ascii="Arial" w:hAnsi="Arial" w:cs="Arial"/>
        </w:rPr>
      </w:pPr>
    </w:p>
    <w:p w14:paraId="2EA05930" w14:textId="77777777" w:rsidR="000849A4" w:rsidRPr="000849A4" w:rsidRDefault="000849A4" w:rsidP="000849A4">
      <w:pPr>
        <w:rPr>
          <w:rFonts w:ascii="Arial" w:eastAsia="Times New Roman" w:hAnsi="Arial" w:cs="Arial"/>
          <w:color w:val="000000"/>
          <w:kern w:val="0"/>
          <w:lang w:eastAsia="en-GB"/>
          <w14:ligatures w14:val="none"/>
        </w:rPr>
      </w:pPr>
      <w:r w:rsidRPr="000849A4">
        <w:rPr>
          <w:rFonts w:ascii="Arial" w:eastAsia="Times New Roman" w:hAnsi="Arial" w:cs="Arial"/>
          <w:color w:val="000000"/>
          <w:kern w:val="0"/>
          <w:lang w:eastAsia="en-GB"/>
          <w14:ligatures w14:val="none"/>
        </w:rPr>
        <w:t>Coombs S and Smith I (2003) The Hawthorne Effect: Is it a help or a hindrance in</w:t>
      </w:r>
    </w:p>
    <w:p w14:paraId="588A4E38" w14:textId="77777777" w:rsidR="000849A4" w:rsidRPr="000849A4" w:rsidRDefault="000849A4" w:rsidP="000849A4">
      <w:pPr>
        <w:rPr>
          <w:rFonts w:ascii="Arial" w:eastAsia="Times New Roman" w:hAnsi="Arial" w:cs="Arial"/>
          <w:color w:val="000000"/>
          <w:kern w:val="0"/>
          <w:lang w:eastAsia="en-GB"/>
          <w14:ligatures w14:val="none"/>
        </w:rPr>
      </w:pPr>
      <w:r w:rsidRPr="000849A4">
        <w:rPr>
          <w:rFonts w:ascii="Arial" w:eastAsia="Times New Roman" w:hAnsi="Arial" w:cs="Arial"/>
          <w:color w:val="000000"/>
          <w:kern w:val="0"/>
          <w:lang w:eastAsia="en-GB"/>
          <w14:ligatures w14:val="none"/>
        </w:rPr>
        <w:t xml:space="preserve">social science? </w:t>
      </w:r>
      <w:r w:rsidRPr="000849A4">
        <w:rPr>
          <w:rFonts w:ascii="Arial" w:eastAsia="Times New Roman" w:hAnsi="Arial" w:cs="Arial"/>
          <w:i/>
          <w:iCs/>
          <w:color w:val="000000"/>
          <w:kern w:val="0"/>
          <w:lang w:eastAsia="en-GB"/>
          <w14:ligatures w14:val="none"/>
        </w:rPr>
        <w:t>Change: Transformations in Education</w:t>
      </w:r>
      <w:r w:rsidRPr="000849A4">
        <w:rPr>
          <w:rFonts w:ascii="Arial" w:eastAsia="Times New Roman" w:hAnsi="Arial" w:cs="Arial"/>
          <w:color w:val="000000"/>
          <w:kern w:val="0"/>
          <w:lang w:eastAsia="en-GB"/>
          <w14:ligatures w14:val="none"/>
        </w:rPr>
        <w:t xml:space="preserve"> 6(1): 97-111.</w:t>
      </w:r>
    </w:p>
    <w:p w14:paraId="501E0F3D" w14:textId="77777777" w:rsidR="00EA003E" w:rsidRDefault="00EA003E">
      <w:pPr>
        <w:rPr>
          <w:rFonts w:ascii="Arial" w:hAnsi="Arial" w:cs="Arial"/>
        </w:rPr>
      </w:pPr>
    </w:p>
    <w:p w14:paraId="58F80BEF" w14:textId="1C643B2B" w:rsidR="007F3AB5" w:rsidRDefault="007F3AB5">
      <w:r>
        <w:rPr>
          <w:rFonts w:ascii="Arial" w:hAnsi="Arial" w:cs="Arial"/>
        </w:rPr>
        <w:t>Cotrim, H., Granja, C., Carvalho, A. S., Cotrim, C. &amp; Martins, R. (2021) Children’s Understanding of Informed Assents in Research Studies</w:t>
      </w:r>
      <w:r w:rsidR="004B1FDF">
        <w:rPr>
          <w:rFonts w:ascii="Arial" w:hAnsi="Arial" w:cs="Arial"/>
        </w:rPr>
        <w:t xml:space="preserve">. </w:t>
      </w:r>
      <w:r w:rsidR="004B1FDF">
        <w:rPr>
          <w:rFonts w:ascii="Helvetica Neue" w:hAnsi="Helvetica Neue"/>
          <w:color w:val="1B1B1B"/>
          <w:sz w:val="25"/>
          <w:szCs w:val="25"/>
          <w:shd w:val="clear" w:color="auto" w:fill="FFFFFF"/>
        </w:rPr>
        <w:t xml:space="preserve">10;9(7):871. </w:t>
      </w:r>
      <w:proofErr w:type="spellStart"/>
      <w:r w:rsidR="004B1FDF">
        <w:rPr>
          <w:rFonts w:ascii="Helvetica Neue" w:hAnsi="Helvetica Neue"/>
          <w:color w:val="1B1B1B"/>
          <w:sz w:val="25"/>
          <w:szCs w:val="25"/>
          <w:shd w:val="clear" w:color="auto" w:fill="FFFFFF"/>
        </w:rPr>
        <w:t>doi</w:t>
      </w:r>
      <w:proofErr w:type="spellEnd"/>
      <w:r w:rsidR="004B1FDF">
        <w:rPr>
          <w:rFonts w:ascii="Helvetica Neue" w:hAnsi="Helvetica Neue"/>
          <w:color w:val="1B1B1B"/>
          <w:sz w:val="25"/>
          <w:szCs w:val="25"/>
          <w:shd w:val="clear" w:color="auto" w:fill="FFFFFF"/>
        </w:rPr>
        <w:t>:</w:t>
      </w:r>
      <w:r w:rsidR="004B1FDF">
        <w:rPr>
          <w:rStyle w:val="apple-converted-space"/>
          <w:rFonts w:ascii="Helvetica Neue" w:hAnsi="Helvetica Neue"/>
          <w:color w:val="1B1B1B"/>
          <w:sz w:val="25"/>
          <w:szCs w:val="25"/>
          <w:shd w:val="clear" w:color="auto" w:fill="FFFFFF"/>
        </w:rPr>
        <w:t> </w:t>
      </w:r>
      <w:hyperlink r:id="rId9" w:tgtFrame="_blank" w:history="1">
        <w:r w:rsidR="004B1FDF">
          <w:rPr>
            <w:rStyle w:val="Hyperlink"/>
            <w:rFonts w:ascii="Helvetica Neue" w:hAnsi="Helvetica Neue"/>
            <w:color w:val="54278F"/>
            <w:sz w:val="25"/>
            <w:szCs w:val="25"/>
          </w:rPr>
          <w:t>10.3390/healthcare9070871</w:t>
        </w:r>
      </w:hyperlink>
    </w:p>
    <w:p w14:paraId="04C91A4C" w14:textId="77777777" w:rsidR="004B1FDF" w:rsidRDefault="004B1FDF">
      <w:pPr>
        <w:rPr>
          <w:rFonts w:ascii="Arial" w:hAnsi="Arial" w:cs="Arial"/>
        </w:rPr>
      </w:pPr>
    </w:p>
    <w:p w14:paraId="3C4C5F00" w14:textId="195D4047" w:rsidR="00B64EA7" w:rsidRDefault="00B64EA7">
      <w:pPr>
        <w:rPr>
          <w:rFonts w:ascii="Arial" w:hAnsi="Arial" w:cs="Arial"/>
        </w:rPr>
      </w:pPr>
      <w:r>
        <w:rPr>
          <w:rFonts w:ascii="Arial" w:hAnsi="Arial" w:cs="Arial"/>
        </w:rPr>
        <w:t xml:space="preserve">Department for Education. (2023) Early years practitioner wellbeing support. GOV.UK. </w:t>
      </w:r>
      <w:hyperlink r:id="rId10" w:history="1">
        <w:r w:rsidRPr="00580801">
          <w:rPr>
            <w:rStyle w:val="Hyperlink"/>
            <w:rFonts w:ascii="Arial" w:hAnsi="Arial" w:cs="Arial"/>
          </w:rPr>
          <w:t>https://help-for-early-years-providers.eduaction.gov.uk</w:t>
        </w:r>
      </w:hyperlink>
      <w:r>
        <w:rPr>
          <w:rFonts w:ascii="Arial" w:hAnsi="Arial" w:cs="Arial"/>
        </w:rPr>
        <w:t xml:space="preserve"> (accessed on 15</w:t>
      </w:r>
      <w:r w:rsidRPr="00B64EA7">
        <w:rPr>
          <w:rFonts w:ascii="Arial" w:hAnsi="Arial" w:cs="Arial"/>
          <w:vertAlign w:val="superscript"/>
        </w:rPr>
        <w:t>th</w:t>
      </w:r>
      <w:r>
        <w:rPr>
          <w:rFonts w:ascii="Arial" w:hAnsi="Arial" w:cs="Arial"/>
        </w:rPr>
        <w:t xml:space="preserve"> May)</w:t>
      </w:r>
    </w:p>
    <w:p w14:paraId="6CAC037B" w14:textId="77777777" w:rsidR="00E85713" w:rsidRDefault="00E85713">
      <w:pPr>
        <w:rPr>
          <w:rFonts w:ascii="Arial" w:hAnsi="Arial" w:cs="Arial"/>
        </w:rPr>
      </w:pPr>
    </w:p>
    <w:p w14:paraId="2ED41FF9" w14:textId="2117D177" w:rsidR="00E85713" w:rsidRDefault="00E85713">
      <w:pPr>
        <w:rPr>
          <w:rFonts w:ascii="Arial" w:hAnsi="Arial" w:cs="Arial"/>
        </w:rPr>
      </w:pPr>
      <w:r>
        <w:rPr>
          <w:rFonts w:ascii="Arial" w:hAnsi="Arial" w:cs="Arial"/>
        </w:rPr>
        <w:t xml:space="preserve">Department for </w:t>
      </w:r>
      <w:proofErr w:type="spellStart"/>
      <w:r>
        <w:rPr>
          <w:rFonts w:ascii="Arial" w:hAnsi="Arial" w:cs="Arial"/>
        </w:rPr>
        <w:t>Eduaction</w:t>
      </w:r>
      <w:proofErr w:type="spellEnd"/>
      <w:r>
        <w:rPr>
          <w:rFonts w:ascii="Arial" w:hAnsi="Arial" w:cs="Arial"/>
        </w:rPr>
        <w:t xml:space="preserve">. (n.d.) Research with children and young people. </w:t>
      </w:r>
      <w:hyperlink r:id="rId11" w:history="1">
        <w:r w:rsidRPr="00A47826">
          <w:rPr>
            <w:rStyle w:val="Hyperlink"/>
            <w:rFonts w:ascii="Arial" w:hAnsi="Arial" w:cs="Arial"/>
          </w:rPr>
          <w:t>https://user-research.education.gov.uk/guidance/ethics-and-safeguarding/research-with-children-and-young-people</w:t>
        </w:r>
      </w:hyperlink>
      <w:r>
        <w:rPr>
          <w:rFonts w:ascii="Arial" w:hAnsi="Arial" w:cs="Arial"/>
        </w:rPr>
        <w:t xml:space="preserve"> (accessed on 16th May 2025).</w:t>
      </w:r>
    </w:p>
    <w:p w14:paraId="21B796B0" w14:textId="77777777" w:rsidR="00C970FB" w:rsidRDefault="00C970FB">
      <w:pPr>
        <w:rPr>
          <w:rFonts w:ascii="Arial" w:hAnsi="Arial" w:cs="Arial"/>
        </w:rPr>
      </w:pPr>
    </w:p>
    <w:p w14:paraId="15527080" w14:textId="77777777" w:rsidR="00C970FB" w:rsidRPr="00C970FB" w:rsidRDefault="00C970FB" w:rsidP="00C970FB">
      <w:pPr>
        <w:pStyle w:val="p1"/>
        <w:rPr>
          <w:sz w:val="24"/>
          <w:szCs w:val="24"/>
        </w:rPr>
      </w:pPr>
      <w:r w:rsidRPr="00C970FB">
        <w:rPr>
          <w:sz w:val="24"/>
          <w:szCs w:val="24"/>
        </w:rPr>
        <w:t xml:space="preserve">Edley, N. &amp; </w:t>
      </w:r>
      <w:proofErr w:type="spellStart"/>
      <w:r w:rsidRPr="00C970FB">
        <w:rPr>
          <w:sz w:val="24"/>
          <w:szCs w:val="24"/>
        </w:rPr>
        <w:t>Litosseliti</w:t>
      </w:r>
      <w:proofErr w:type="spellEnd"/>
      <w:r w:rsidRPr="00C970FB">
        <w:rPr>
          <w:sz w:val="24"/>
          <w:szCs w:val="24"/>
        </w:rPr>
        <w:t>, E. (2018). Critical Perspectives on Using Interviews and</w:t>
      </w:r>
    </w:p>
    <w:p w14:paraId="5C578CD3" w14:textId="1CE65400" w:rsidR="00C970FB" w:rsidRDefault="00C970FB" w:rsidP="00C970FB">
      <w:pPr>
        <w:pStyle w:val="p1"/>
        <w:rPr>
          <w:sz w:val="24"/>
          <w:szCs w:val="24"/>
        </w:rPr>
      </w:pPr>
      <w:r w:rsidRPr="00C970FB">
        <w:rPr>
          <w:sz w:val="24"/>
          <w:szCs w:val="24"/>
        </w:rPr>
        <w:t xml:space="preserve">Focus Groups. In: </w:t>
      </w:r>
      <w:proofErr w:type="spellStart"/>
      <w:r w:rsidRPr="00C970FB">
        <w:rPr>
          <w:sz w:val="24"/>
          <w:szCs w:val="24"/>
        </w:rPr>
        <w:t>Litosseliti</w:t>
      </w:r>
      <w:proofErr w:type="spellEnd"/>
      <w:r w:rsidRPr="00C970FB">
        <w:rPr>
          <w:sz w:val="24"/>
          <w:szCs w:val="24"/>
        </w:rPr>
        <w:t>, L. (Ed.), Research Methods in Linguistics. (pp. 195-227).</w:t>
      </w:r>
      <w:r>
        <w:rPr>
          <w:sz w:val="24"/>
          <w:szCs w:val="24"/>
        </w:rPr>
        <w:t xml:space="preserve"> </w:t>
      </w:r>
      <w:r w:rsidRPr="00C970FB">
        <w:rPr>
          <w:sz w:val="24"/>
          <w:szCs w:val="24"/>
        </w:rPr>
        <w:t>London, UK: Bloomsbury.</w:t>
      </w:r>
    </w:p>
    <w:p w14:paraId="624761F9" w14:textId="77777777" w:rsidR="000849A4" w:rsidRDefault="000849A4" w:rsidP="00C970FB">
      <w:pPr>
        <w:pStyle w:val="p1"/>
        <w:rPr>
          <w:sz w:val="24"/>
          <w:szCs w:val="24"/>
        </w:rPr>
      </w:pPr>
    </w:p>
    <w:p w14:paraId="29EDC384" w14:textId="3AF7EF04" w:rsidR="000849A4" w:rsidRDefault="000849A4" w:rsidP="000849A4">
      <w:pPr>
        <w:rPr>
          <w:rFonts w:ascii="Arial" w:eastAsia="Times New Roman" w:hAnsi="Arial" w:cs="Arial"/>
          <w:color w:val="000000"/>
          <w:kern w:val="0"/>
          <w:lang w:eastAsia="en-GB"/>
          <w14:ligatures w14:val="none"/>
        </w:rPr>
      </w:pPr>
      <w:r w:rsidRPr="000849A4">
        <w:rPr>
          <w:rFonts w:ascii="Arial" w:eastAsia="Times New Roman" w:hAnsi="Arial" w:cs="Arial"/>
          <w:color w:val="000000"/>
          <w:kern w:val="0"/>
          <w:lang w:eastAsia="en-GB"/>
          <w14:ligatures w14:val="none"/>
        </w:rPr>
        <w:t xml:space="preserve">Fetterman D (2010) </w:t>
      </w:r>
      <w:r w:rsidRPr="000849A4">
        <w:rPr>
          <w:rFonts w:ascii="Arial" w:eastAsia="Times New Roman" w:hAnsi="Arial" w:cs="Arial"/>
          <w:i/>
          <w:iCs/>
          <w:color w:val="000000"/>
          <w:kern w:val="0"/>
          <w:lang w:eastAsia="en-GB"/>
          <w14:ligatures w14:val="none"/>
        </w:rPr>
        <w:t xml:space="preserve">Ethnography Step by Step. </w:t>
      </w:r>
      <w:r w:rsidRPr="000849A4">
        <w:rPr>
          <w:rFonts w:ascii="Arial" w:eastAsia="Times New Roman" w:hAnsi="Arial" w:cs="Arial"/>
          <w:color w:val="000000"/>
          <w:kern w:val="0"/>
          <w:lang w:eastAsia="en-GB"/>
          <w14:ligatures w14:val="none"/>
        </w:rPr>
        <w:t xml:space="preserve">3rd </w:t>
      </w:r>
      <w:proofErr w:type="spellStart"/>
      <w:r w:rsidRPr="000849A4">
        <w:rPr>
          <w:rFonts w:ascii="Arial" w:eastAsia="Times New Roman" w:hAnsi="Arial" w:cs="Arial"/>
          <w:color w:val="000000"/>
          <w:kern w:val="0"/>
          <w:lang w:eastAsia="en-GB"/>
          <w14:ligatures w14:val="none"/>
        </w:rPr>
        <w:t>edn</w:t>
      </w:r>
      <w:proofErr w:type="spellEnd"/>
      <w:r w:rsidRPr="000849A4">
        <w:rPr>
          <w:rFonts w:ascii="Arial" w:eastAsia="Times New Roman" w:hAnsi="Arial" w:cs="Arial"/>
          <w:color w:val="000000"/>
          <w:kern w:val="0"/>
          <w:lang w:eastAsia="en-GB"/>
          <w14:ligatures w14:val="none"/>
        </w:rPr>
        <w:t>, Vol. 17. Thousand Oaks: Sage</w:t>
      </w:r>
    </w:p>
    <w:p w14:paraId="0A9FD28C" w14:textId="77777777" w:rsidR="009F07B2" w:rsidRPr="009F07B2" w:rsidRDefault="009F07B2" w:rsidP="000849A4">
      <w:pPr>
        <w:rPr>
          <w:rFonts w:ascii="Arial" w:eastAsia="Times New Roman" w:hAnsi="Arial" w:cs="Arial"/>
          <w:color w:val="000000"/>
          <w:kern w:val="0"/>
          <w:lang w:eastAsia="en-GB"/>
          <w14:ligatures w14:val="none"/>
        </w:rPr>
      </w:pPr>
    </w:p>
    <w:p w14:paraId="411796DC" w14:textId="7FEC9E13" w:rsidR="009F07B2" w:rsidRPr="009F07B2" w:rsidRDefault="009F07B2" w:rsidP="009F07B2">
      <w:pPr>
        <w:rPr>
          <w:rFonts w:ascii="Arial" w:eastAsia="Times New Roman" w:hAnsi="Arial" w:cs="Arial"/>
          <w:color w:val="141413"/>
          <w:kern w:val="0"/>
          <w:lang w:eastAsia="en-GB"/>
          <w14:ligatures w14:val="none"/>
        </w:rPr>
      </w:pPr>
      <w:r w:rsidRPr="009F07B2">
        <w:rPr>
          <w:rFonts w:ascii="Arial" w:eastAsia="Times New Roman" w:hAnsi="Arial" w:cs="Arial"/>
          <w:color w:val="141413"/>
          <w:kern w:val="0"/>
          <w:lang w:eastAsia="en-GB"/>
          <w14:ligatures w14:val="none"/>
        </w:rPr>
        <w:t>Gabrieli</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G</w:t>
      </w:r>
      <w:r>
        <w:rPr>
          <w:rFonts w:ascii="Arial" w:eastAsia="Times New Roman" w:hAnsi="Arial" w:cs="Arial"/>
          <w:color w:val="141413"/>
          <w:kern w:val="0"/>
          <w:lang w:eastAsia="en-GB"/>
          <w14:ligatures w14:val="none"/>
        </w:rPr>
        <w:t>.</w:t>
      </w:r>
      <w:r w:rsidRPr="009F07B2">
        <w:rPr>
          <w:rFonts w:ascii="Arial" w:eastAsia="Times New Roman" w:hAnsi="Arial" w:cs="Arial"/>
          <w:color w:val="141413"/>
          <w:kern w:val="0"/>
          <w:lang w:eastAsia="en-GB"/>
          <w14:ligatures w14:val="none"/>
        </w:rPr>
        <w:t>,</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Lee</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A</w:t>
      </w:r>
      <w:r>
        <w:rPr>
          <w:rFonts w:ascii="Arial" w:eastAsia="Times New Roman" w:hAnsi="Arial" w:cs="Arial"/>
          <w:color w:val="141413"/>
          <w:kern w:val="0"/>
          <w:lang w:eastAsia="en-GB"/>
          <w14:ligatures w14:val="none"/>
        </w:rPr>
        <w:t>.</w:t>
      </w:r>
      <w:r w:rsidRPr="009F07B2">
        <w:rPr>
          <w:rFonts w:ascii="Arial" w:eastAsia="Times New Roman" w:hAnsi="Arial" w:cs="Arial"/>
          <w:color w:val="141413"/>
          <w:kern w:val="0"/>
          <w:lang w:eastAsia="en-GB"/>
          <w14:ligatures w14:val="none"/>
        </w:rPr>
        <w:t>,</w:t>
      </w:r>
      <w:r>
        <w:rPr>
          <w:rFonts w:ascii="Arial" w:eastAsia="Times New Roman" w:hAnsi="Arial" w:cs="Arial"/>
          <w:color w:val="141413"/>
          <w:kern w:val="0"/>
          <w:lang w:eastAsia="en-GB"/>
          <w14:ligatures w14:val="none"/>
        </w:rPr>
        <w:t xml:space="preserve"> </w:t>
      </w:r>
      <w:proofErr w:type="spellStart"/>
      <w:r w:rsidRPr="009F07B2">
        <w:rPr>
          <w:rFonts w:ascii="Arial" w:eastAsia="Times New Roman" w:hAnsi="Arial" w:cs="Arial"/>
          <w:color w:val="141413"/>
          <w:kern w:val="0"/>
          <w:lang w:eastAsia="en-GB"/>
          <w14:ligatures w14:val="none"/>
        </w:rPr>
        <w:t>Setoh</w:t>
      </w:r>
      <w:proofErr w:type="spellEnd"/>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P</w:t>
      </w:r>
      <w:r>
        <w:rPr>
          <w:rFonts w:ascii="Arial" w:eastAsia="Times New Roman" w:hAnsi="Arial" w:cs="Arial"/>
          <w:color w:val="141413"/>
          <w:kern w:val="0"/>
          <w:lang w:eastAsia="en-GB"/>
          <w14:ligatures w14:val="none"/>
        </w:rPr>
        <w:t xml:space="preserve">., &amp; </w:t>
      </w:r>
      <w:r w:rsidRPr="009F07B2">
        <w:rPr>
          <w:rFonts w:ascii="Arial" w:eastAsia="Times New Roman" w:hAnsi="Arial" w:cs="Arial"/>
          <w:color w:val="141413"/>
          <w:kern w:val="0"/>
          <w:lang w:eastAsia="en-GB"/>
          <w14:ligatures w14:val="none"/>
        </w:rPr>
        <w:t>Esposito</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G</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(2021)</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An</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Analysis</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of</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the</w:t>
      </w:r>
    </w:p>
    <w:p w14:paraId="35E42B5A" w14:textId="5E604F75" w:rsidR="009F07B2" w:rsidRPr="009F07B2" w:rsidRDefault="009F07B2" w:rsidP="009F07B2">
      <w:pPr>
        <w:rPr>
          <w:rFonts w:ascii="Arial" w:eastAsia="Times New Roman" w:hAnsi="Arial" w:cs="Arial"/>
          <w:color w:val="141413"/>
          <w:kern w:val="0"/>
          <w:lang w:eastAsia="en-GB"/>
          <w14:ligatures w14:val="none"/>
        </w:rPr>
      </w:pPr>
      <w:r w:rsidRPr="009F07B2">
        <w:rPr>
          <w:rFonts w:ascii="Arial" w:eastAsia="Times New Roman" w:hAnsi="Arial" w:cs="Arial"/>
          <w:color w:val="141413"/>
          <w:kern w:val="0"/>
          <w:lang w:eastAsia="en-GB"/>
          <w14:ligatures w14:val="none"/>
        </w:rPr>
        <w:t>Generalizability</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and</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Stability</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of</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the</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Halo</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Effect</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During</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the</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COVID-19</w:t>
      </w:r>
    </w:p>
    <w:p w14:paraId="300AC441" w14:textId="2817C90E" w:rsidR="009F07B2" w:rsidRPr="009F07B2" w:rsidRDefault="009F07B2" w:rsidP="009F07B2">
      <w:pPr>
        <w:rPr>
          <w:rFonts w:ascii="Arial" w:eastAsia="Times New Roman" w:hAnsi="Arial" w:cs="Arial"/>
          <w:color w:val="141413"/>
          <w:kern w:val="0"/>
          <w:lang w:eastAsia="en-GB"/>
          <w14:ligatures w14:val="none"/>
        </w:rPr>
      </w:pPr>
      <w:r w:rsidRPr="009F07B2">
        <w:rPr>
          <w:rFonts w:ascii="Arial" w:eastAsia="Times New Roman" w:hAnsi="Arial" w:cs="Arial"/>
          <w:color w:val="141413"/>
          <w:kern w:val="0"/>
          <w:lang w:eastAsia="en-GB"/>
          <w14:ligatures w14:val="none"/>
        </w:rPr>
        <w:t>Pandemic</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Outbreak.</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Front.Psychol.12:631871.</w:t>
      </w:r>
      <w:r>
        <w:rPr>
          <w:rFonts w:ascii="Arial" w:eastAsia="Times New Roman" w:hAnsi="Arial" w:cs="Arial"/>
          <w:color w:val="141413"/>
          <w:kern w:val="0"/>
          <w:lang w:eastAsia="en-GB"/>
          <w14:ligatures w14:val="none"/>
        </w:rPr>
        <w:t xml:space="preserve"> </w:t>
      </w:r>
      <w:r w:rsidRPr="009F07B2">
        <w:rPr>
          <w:rFonts w:ascii="Arial" w:eastAsia="Times New Roman" w:hAnsi="Arial" w:cs="Arial"/>
          <w:color w:val="141413"/>
          <w:kern w:val="0"/>
          <w:lang w:eastAsia="en-GB"/>
          <w14:ligatures w14:val="none"/>
        </w:rPr>
        <w:t>doi:10.3389/fpsyg.2021.631871</w:t>
      </w:r>
    </w:p>
    <w:p w14:paraId="78E563DB" w14:textId="77777777" w:rsidR="00210B37" w:rsidRDefault="00210B37" w:rsidP="00C970FB">
      <w:pPr>
        <w:pStyle w:val="p1"/>
        <w:rPr>
          <w:sz w:val="24"/>
          <w:szCs w:val="24"/>
        </w:rPr>
      </w:pPr>
    </w:p>
    <w:p w14:paraId="6AFE12E6" w14:textId="69689708" w:rsidR="00210B37" w:rsidRPr="00C970FB" w:rsidRDefault="00210B37" w:rsidP="00C970FB">
      <w:pPr>
        <w:pStyle w:val="p1"/>
        <w:rPr>
          <w:sz w:val="24"/>
          <w:szCs w:val="24"/>
        </w:rPr>
      </w:pPr>
      <w:r>
        <w:rPr>
          <w:sz w:val="24"/>
          <w:szCs w:val="24"/>
        </w:rPr>
        <w:t xml:space="preserve">Gibbs, A. (1997). Social research update. Issue 19. University of Surrey, Guildford: England. </w:t>
      </w:r>
      <w:hyperlink r:id="rId12" w:history="1">
        <w:r w:rsidRPr="00580801">
          <w:rPr>
            <w:rStyle w:val="Hyperlink"/>
            <w:sz w:val="24"/>
            <w:szCs w:val="24"/>
          </w:rPr>
          <w:t>https://openlab.citytech.cuny.edu/her-macdonaldsbs2000fall2015b/files/2011/06/Focus-Groups_Anita-Gibbs.pdf</w:t>
        </w:r>
      </w:hyperlink>
      <w:r>
        <w:rPr>
          <w:sz w:val="24"/>
          <w:szCs w:val="24"/>
        </w:rPr>
        <w:t xml:space="preserve"> (accessed on 16th May 2025)</w:t>
      </w:r>
    </w:p>
    <w:p w14:paraId="6F685BE7" w14:textId="77777777" w:rsidR="00B64EA7" w:rsidRDefault="00B64EA7">
      <w:pPr>
        <w:rPr>
          <w:rFonts w:ascii="Arial" w:hAnsi="Arial" w:cs="Arial"/>
        </w:rPr>
      </w:pPr>
    </w:p>
    <w:p w14:paraId="01030C50" w14:textId="16E7FB49" w:rsidR="00EA003E" w:rsidRDefault="00EA003E">
      <w:pPr>
        <w:rPr>
          <w:rFonts w:ascii="Arial" w:hAnsi="Arial" w:cs="Arial"/>
        </w:rPr>
      </w:pPr>
      <w:r>
        <w:rPr>
          <w:rFonts w:ascii="Arial" w:hAnsi="Arial" w:cs="Arial"/>
        </w:rPr>
        <w:t>Goldberg, D.P. &amp; Williams, P. (1998) A User’s Guide to the General Health Questionnaire. NFER-Nelson, Windsor.</w:t>
      </w:r>
    </w:p>
    <w:p w14:paraId="4027F67C" w14:textId="77777777" w:rsidR="0051774A" w:rsidRDefault="0051774A">
      <w:pPr>
        <w:rPr>
          <w:rFonts w:ascii="Arial" w:hAnsi="Arial" w:cs="Arial"/>
        </w:rPr>
      </w:pPr>
    </w:p>
    <w:p w14:paraId="069ED82A" w14:textId="10EA0DEF" w:rsidR="0051774A" w:rsidRDefault="0051774A">
      <w:pPr>
        <w:rPr>
          <w:rFonts w:ascii="Arial" w:hAnsi="Arial" w:cs="Arial"/>
        </w:rPr>
      </w:pPr>
      <w:r>
        <w:rPr>
          <w:rFonts w:ascii="Arial" w:hAnsi="Arial" w:cs="Arial"/>
        </w:rPr>
        <w:t xml:space="preserve">Harvard Catalyst (2025), Community Engagement Program: Mixed Methods Research. </w:t>
      </w:r>
      <w:hyperlink r:id="rId13" w:history="1">
        <w:r w:rsidRPr="009B069E">
          <w:rPr>
            <w:rStyle w:val="Hyperlink"/>
            <w:rFonts w:ascii="Arial" w:hAnsi="Arial" w:cs="Arial"/>
          </w:rPr>
          <w:t>https://catalyst.harvard.edu</w:t>
        </w:r>
      </w:hyperlink>
      <w:r>
        <w:rPr>
          <w:rFonts w:ascii="Arial" w:hAnsi="Arial" w:cs="Arial"/>
        </w:rPr>
        <w:t xml:space="preserve"> (accessed on 16</w:t>
      </w:r>
      <w:r w:rsidRPr="0051774A">
        <w:rPr>
          <w:rFonts w:ascii="Arial" w:hAnsi="Arial" w:cs="Arial"/>
          <w:vertAlign w:val="superscript"/>
        </w:rPr>
        <w:t>th</w:t>
      </w:r>
      <w:r>
        <w:rPr>
          <w:rFonts w:ascii="Arial" w:hAnsi="Arial" w:cs="Arial"/>
        </w:rPr>
        <w:t xml:space="preserve"> May 2025)</w:t>
      </w:r>
    </w:p>
    <w:p w14:paraId="6A1C0C6D" w14:textId="77777777" w:rsidR="00694C69" w:rsidRDefault="00694C69">
      <w:pPr>
        <w:rPr>
          <w:rFonts w:ascii="Arial" w:hAnsi="Arial" w:cs="Arial"/>
        </w:rPr>
      </w:pPr>
    </w:p>
    <w:p w14:paraId="43061430" w14:textId="5C9FDC96" w:rsidR="00694C69" w:rsidRDefault="00694C69">
      <w:pPr>
        <w:rPr>
          <w:rFonts w:ascii="Arial" w:hAnsi="Arial" w:cs="Arial"/>
        </w:rPr>
      </w:pPr>
      <w:r>
        <w:rPr>
          <w:rFonts w:ascii="Arial" w:hAnsi="Arial" w:cs="Arial"/>
        </w:rPr>
        <w:t>Holmes, L. (2024) Mental Health and Well-Being amongst people working in Early Years setting in Wales.</w:t>
      </w:r>
      <w:r w:rsidR="00EA003E">
        <w:rPr>
          <w:rFonts w:ascii="Arial" w:hAnsi="Arial" w:cs="Arial"/>
        </w:rPr>
        <w:t xml:space="preserve"> Early Years Wales: Cardiff.</w:t>
      </w:r>
    </w:p>
    <w:p w14:paraId="5CD76E34" w14:textId="77777777" w:rsidR="00014916" w:rsidRDefault="00014916">
      <w:pPr>
        <w:rPr>
          <w:rFonts w:ascii="Arial" w:hAnsi="Arial" w:cs="Arial"/>
        </w:rPr>
      </w:pPr>
    </w:p>
    <w:p w14:paraId="6B2A4BFE" w14:textId="44F99B92" w:rsidR="00572DEB" w:rsidRDefault="00572DEB">
      <w:pPr>
        <w:rPr>
          <w:rFonts w:ascii="Arial" w:hAnsi="Arial" w:cs="Arial"/>
        </w:rPr>
      </w:pPr>
      <w:r>
        <w:rPr>
          <w:rFonts w:ascii="Arial" w:hAnsi="Arial" w:cs="Arial"/>
        </w:rPr>
        <w:t xml:space="preserve">Hurd, M. (2025) University of Oxford. Participant “withdrawal” from a study: what it really means and how to manage it. </w:t>
      </w:r>
      <w:hyperlink r:id="rId14" w:history="1">
        <w:r w:rsidRPr="00A47826">
          <w:rPr>
            <w:rStyle w:val="Hyperlink"/>
            <w:rFonts w:ascii="Arial" w:hAnsi="Arial" w:cs="Arial"/>
          </w:rPr>
          <w:t>https://www.npeu.ox.ac.uk/ctu/news/2696-participant-withdrawal-from-a-study-what-it-really-means-and-how-to-manage-it</w:t>
        </w:r>
      </w:hyperlink>
    </w:p>
    <w:p w14:paraId="33725EA4" w14:textId="62A9F106" w:rsidR="00572DEB" w:rsidRDefault="00572DEB">
      <w:pPr>
        <w:rPr>
          <w:rFonts w:ascii="Arial" w:hAnsi="Arial" w:cs="Arial"/>
        </w:rPr>
      </w:pPr>
      <w:r>
        <w:rPr>
          <w:rFonts w:ascii="Arial" w:hAnsi="Arial" w:cs="Arial"/>
        </w:rPr>
        <w:t>(accessed on 16</w:t>
      </w:r>
      <w:r w:rsidRPr="00572DEB">
        <w:rPr>
          <w:rFonts w:ascii="Arial" w:hAnsi="Arial" w:cs="Arial"/>
          <w:vertAlign w:val="superscript"/>
        </w:rPr>
        <w:t>th</w:t>
      </w:r>
      <w:r>
        <w:rPr>
          <w:rFonts w:ascii="Arial" w:hAnsi="Arial" w:cs="Arial"/>
        </w:rPr>
        <w:t xml:space="preserve"> May 2025)</w:t>
      </w:r>
    </w:p>
    <w:p w14:paraId="38A7F650" w14:textId="77777777" w:rsidR="00572DEB" w:rsidRDefault="00572DEB">
      <w:pPr>
        <w:rPr>
          <w:rFonts w:ascii="Arial" w:hAnsi="Arial" w:cs="Arial"/>
        </w:rPr>
      </w:pPr>
    </w:p>
    <w:p w14:paraId="1F17FE11" w14:textId="4E646E5E" w:rsidR="00D87EE6" w:rsidRDefault="00D87EE6">
      <w:pPr>
        <w:rPr>
          <w:rFonts w:ascii="Arial" w:hAnsi="Arial" w:cs="Arial"/>
        </w:rPr>
      </w:pPr>
      <w:r>
        <w:rPr>
          <w:rFonts w:ascii="Arial" w:hAnsi="Arial" w:cs="Arial"/>
        </w:rPr>
        <w:t>Kneale. (n.d.) ERIC -Ethical Guidance: Privacy and Confidentiality.</w:t>
      </w:r>
    </w:p>
    <w:p w14:paraId="36FED2A9" w14:textId="77777777" w:rsidR="00D87EE6" w:rsidRDefault="00D87EE6">
      <w:pPr>
        <w:rPr>
          <w:rFonts w:ascii="Arial" w:hAnsi="Arial" w:cs="Arial"/>
        </w:rPr>
      </w:pPr>
    </w:p>
    <w:p w14:paraId="0C5E1C17" w14:textId="3914401B" w:rsidR="00014916" w:rsidRDefault="00014916">
      <w:pPr>
        <w:rPr>
          <w:rFonts w:ascii="Arial" w:hAnsi="Arial" w:cs="Arial"/>
        </w:rPr>
      </w:pPr>
      <w:proofErr w:type="spellStart"/>
      <w:r>
        <w:rPr>
          <w:rFonts w:ascii="Arial" w:hAnsi="Arial" w:cs="Arial"/>
        </w:rPr>
        <w:t>Kuphanga</w:t>
      </w:r>
      <w:proofErr w:type="spellEnd"/>
      <w:r>
        <w:rPr>
          <w:rFonts w:ascii="Arial" w:hAnsi="Arial" w:cs="Arial"/>
        </w:rPr>
        <w:t xml:space="preserve">, D. (2024) Questionnaires in Research: Their Role, Advantages, and Main Aspects. </w:t>
      </w:r>
      <w:hyperlink r:id="rId15" w:history="1">
        <w:r w:rsidRPr="00580801">
          <w:rPr>
            <w:rStyle w:val="Hyperlink"/>
            <w:rFonts w:ascii="Arial" w:hAnsi="Arial" w:cs="Arial"/>
          </w:rPr>
          <w:t>https://doi.org10.13140/RG.2.2.15334.64325</w:t>
        </w:r>
      </w:hyperlink>
    </w:p>
    <w:p w14:paraId="7C34155C" w14:textId="77777777" w:rsidR="00EE0C46" w:rsidRDefault="00EE0C46">
      <w:pPr>
        <w:rPr>
          <w:rFonts w:ascii="Arial" w:hAnsi="Arial" w:cs="Arial"/>
        </w:rPr>
      </w:pPr>
    </w:p>
    <w:p w14:paraId="3076F61F" w14:textId="70444508" w:rsidR="00ED62FB" w:rsidRDefault="00ED62FB">
      <w:pPr>
        <w:rPr>
          <w:rFonts w:ascii="Arial" w:hAnsi="Arial" w:cs="Arial"/>
        </w:rPr>
      </w:pPr>
      <w:r>
        <w:rPr>
          <w:rFonts w:ascii="Arial" w:hAnsi="Arial" w:cs="Arial"/>
        </w:rPr>
        <w:t xml:space="preserve">Lakshman, M., Sinha, L., Biswas, M., Charles, </w:t>
      </w:r>
      <w:r w:rsidR="002F53CC">
        <w:rPr>
          <w:rFonts w:ascii="Arial" w:hAnsi="Arial" w:cs="Arial"/>
        </w:rPr>
        <w:t>M.</w:t>
      </w:r>
      <w:r>
        <w:rPr>
          <w:rFonts w:ascii="Arial" w:hAnsi="Arial" w:cs="Arial"/>
        </w:rPr>
        <w:t xml:space="preserve"> &amp; Arora, N, K. (2000), Quantitative Vs Qualitative research methods. Indian Journal of Paediatrics; 67 (5). New Delhi.</w:t>
      </w:r>
    </w:p>
    <w:p w14:paraId="152F9C09" w14:textId="77777777" w:rsidR="00ED62FB" w:rsidRDefault="00ED62FB">
      <w:pPr>
        <w:rPr>
          <w:rFonts w:ascii="Arial" w:hAnsi="Arial" w:cs="Arial"/>
        </w:rPr>
      </w:pPr>
    </w:p>
    <w:p w14:paraId="71FC9BB1" w14:textId="198A371C" w:rsidR="00CF5B67" w:rsidRDefault="00CF5B67">
      <w:pPr>
        <w:rPr>
          <w:rFonts w:ascii="Arial" w:hAnsi="Arial" w:cs="Arial"/>
        </w:rPr>
      </w:pPr>
      <w:r>
        <w:rPr>
          <w:rFonts w:ascii="Arial" w:hAnsi="Arial" w:cs="Arial"/>
        </w:rPr>
        <w:t>Lewis, A. (2016) Well-being and the early years curriculum: a case study of Foundation Phase in Wales. School of Social Science: Cardiff University.</w:t>
      </w:r>
    </w:p>
    <w:p w14:paraId="16CB2AEC" w14:textId="77777777" w:rsidR="00CF5B67" w:rsidRPr="00AC6D16" w:rsidRDefault="00CF5B67">
      <w:pPr>
        <w:rPr>
          <w:rFonts w:ascii="Arial" w:hAnsi="Arial" w:cs="Arial"/>
        </w:rPr>
      </w:pPr>
    </w:p>
    <w:p w14:paraId="0D77F7C7" w14:textId="70DEE982" w:rsidR="00EE0C46" w:rsidRDefault="00201243">
      <w:pPr>
        <w:rPr>
          <w:rFonts w:ascii="Arial" w:hAnsi="Arial" w:cs="Arial"/>
        </w:rPr>
      </w:pPr>
      <w:r w:rsidRPr="00AC6D16">
        <w:rPr>
          <w:rFonts w:ascii="Arial" w:hAnsi="Arial" w:cs="Arial"/>
        </w:rPr>
        <w:t>Maslach, C., Jackson, S. E.,</w:t>
      </w:r>
      <w:r w:rsidR="00BB4D76" w:rsidRPr="00AC6D16">
        <w:rPr>
          <w:rFonts w:ascii="Arial" w:hAnsi="Arial" w:cs="Arial"/>
        </w:rPr>
        <w:t xml:space="preserve"> &amp; Leiter</w:t>
      </w:r>
      <w:r w:rsidRPr="00AC6D16">
        <w:rPr>
          <w:rFonts w:ascii="Arial" w:hAnsi="Arial" w:cs="Arial"/>
        </w:rPr>
        <w:t>, M. (1997) Maslach burnout inventory manual, Evaluating stress: a book of resources (pp. 191-218). Maryland: Scarecrow Press</w:t>
      </w:r>
      <w:r w:rsidR="005903D3">
        <w:rPr>
          <w:rFonts w:ascii="Arial" w:hAnsi="Arial" w:cs="Arial"/>
        </w:rPr>
        <w:t>.</w:t>
      </w:r>
    </w:p>
    <w:p w14:paraId="4A79BA92" w14:textId="77777777" w:rsidR="009D130C" w:rsidRDefault="009D130C">
      <w:pPr>
        <w:rPr>
          <w:rFonts w:ascii="Arial" w:hAnsi="Arial" w:cs="Arial"/>
        </w:rPr>
      </w:pPr>
    </w:p>
    <w:p w14:paraId="56AFEC0B" w14:textId="744A1A29" w:rsidR="009D130C" w:rsidRDefault="009D130C">
      <w:pPr>
        <w:rPr>
          <w:rFonts w:ascii="Arial" w:hAnsi="Arial" w:cs="Arial"/>
        </w:rPr>
      </w:pPr>
      <w:r>
        <w:rPr>
          <w:rFonts w:ascii="Arial" w:hAnsi="Arial" w:cs="Arial"/>
        </w:rPr>
        <w:t xml:space="preserve">McCormick, K. I., McMullen, M. B., &amp; Lee, M. S.C. (2022) Early Childhood Professional well-being as a predictor of the risk of turnover in Early Head Start &amp; Head Start settings. Early Education and Development, 33(4), 567-588. </w:t>
      </w:r>
      <w:hyperlink r:id="rId16" w:history="1">
        <w:r w:rsidRPr="009E1A65">
          <w:rPr>
            <w:rStyle w:val="Hyperlink"/>
            <w:rFonts w:ascii="Arial" w:hAnsi="Arial" w:cs="Arial"/>
          </w:rPr>
          <w:t>https://doi.org10.1080/10409289.2021.1909915</w:t>
        </w:r>
      </w:hyperlink>
    </w:p>
    <w:p w14:paraId="4DF70793" w14:textId="77777777" w:rsidR="005903D3" w:rsidRDefault="005903D3">
      <w:pPr>
        <w:rPr>
          <w:rFonts w:ascii="Arial" w:hAnsi="Arial" w:cs="Arial"/>
        </w:rPr>
      </w:pPr>
    </w:p>
    <w:p w14:paraId="56CC39CB" w14:textId="11F0EF4E" w:rsidR="005903D3" w:rsidRDefault="005903D3">
      <w:pPr>
        <w:rPr>
          <w:rFonts w:ascii="Arial" w:hAnsi="Arial" w:cs="Arial"/>
        </w:rPr>
      </w:pPr>
      <w:r>
        <w:rPr>
          <w:rFonts w:ascii="Arial" w:hAnsi="Arial" w:cs="Arial"/>
        </w:rPr>
        <w:t>Morrow, V. &amp; Mayall, B. 2009. What is wrong with children’s well-being in the UK? Questions of meaning and measurement. Journal of Social Welfare and Family Law 31(3), pp. 217-229.</w:t>
      </w:r>
    </w:p>
    <w:p w14:paraId="60DA658C" w14:textId="77777777" w:rsidR="009F07B2" w:rsidRDefault="009F07B2">
      <w:pPr>
        <w:rPr>
          <w:rFonts w:ascii="Arial" w:hAnsi="Arial" w:cs="Arial"/>
        </w:rPr>
      </w:pPr>
    </w:p>
    <w:p w14:paraId="594E3591" w14:textId="77777777" w:rsidR="009F07B2" w:rsidRPr="009F07B2" w:rsidRDefault="009F07B2" w:rsidP="009F07B2">
      <w:pPr>
        <w:rPr>
          <w:rFonts w:ascii="Arial" w:eastAsia="Times New Roman" w:hAnsi="Arial" w:cs="Arial"/>
          <w:color w:val="141413"/>
          <w:kern w:val="0"/>
          <w:lang w:eastAsia="en-GB"/>
          <w14:ligatures w14:val="none"/>
        </w:rPr>
      </w:pPr>
      <w:r w:rsidRPr="009F07B2">
        <w:rPr>
          <w:rFonts w:ascii="Arial" w:eastAsia="Times New Roman" w:hAnsi="Arial" w:cs="Arial"/>
          <w:color w:val="141413"/>
          <w:kern w:val="0"/>
          <w:lang w:eastAsia="en-GB"/>
          <w14:ligatures w14:val="none"/>
        </w:rPr>
        <w:t>Nisbett, R. E., and Wilson, T. D. (1977). The halo e</w:t>
      </w:r>
      <w:r w:rsidRPr="009F07B2">
        <w:rPr>
          <w:rFonts w:ascii="Cambria Math" w:eastAsia="Times New Roman" w:hAnsi="Cambria Math" w:cs="Cambria Math"/>
          <w:color w:val="141413"/>
          <w:kern w:val="0"/>
          <w:lang w:eastAsia="en-GB"/>
          <w14:ligatures w14:val="none"/>
        </w:rPr>
        <w:t>ﬀ</w:t>
      </w:r>
      <w:r w:rsidRPr="009F07B2">
        <w:rPr>
          <w:rFonts w:ascii="Arial" w:eastAsia="Times New Roman" w:hAnsi="Arial" w:cs="Arial"/>
          <w:color w:val="141413"/>
          <w:kern w:val="0"/>
          <w:lang w:eastAsia="en-GB"/>
          <w14:ligatures w14:val="none"/>
        </w:rPr>
        <w:t>ect: evidence for</w:t>
      </w:r>
    </w:p>
    <w:p w14:paraId="2869D3CB" w14:textId="77777777" w:rsidR="009F07B2" w:rsidRPr="009F07B2" w:rsidRDefault="009F07B2" w:rsidP="009F07B2">
      <w:pPr>
        <w:rPr>
          <w:rFonts w:ascii="Arial" w:eastAsia="Times New Roman" w:hAnsi="Arial" w:cs="Arial"/>
          <w:color w:val="141413"/>
          <w:kern w:val="0"/>
          <w:lang w:eastAsia="en-GB"/>
          <w14:ligatures w14:val="none"/>
        </w:rPr>
      </w:pPr>
      <w:r w:rsidRPr="009F07B2">
        <w:rPr>
          <w:rFonts w:ascii="Arial" w:eastAsia="Times New Roman" w:hAnsi="Arial" w:cs="Arial"/>
          <w:color w:val="141413"/>
          <w:kern w:val="0"/>
          <w:lang w:eastAsia="en-GB"/>
          <w14:ligatures w14:val="none"/>
        </w:rPr>
        <w:t>unconscious alteration of judgments. J. Pers. Soc. Psychol. 35:250.</w:t>
      </w:r>
    </w:p>
    <w:p w14:paraId="7EEEDD99" w14:textId="77777777" w:rsidR="009F07B2" w:rsidRPr="009F07B2" w:rsidRDefault="009F07B2" w:rsidP="009F07B2">
      <w:pPr>
        <w:rPr>
          <w:rFonts w:ascii="Arial" w:eastAsia="Times New Roman" w:hAnsi="Arial" w:cs="Arial"/>
          <w:color w:val="141413"/>
          <w:kern w:val="0"/>
          <w:lang w:eastAsia="en-GB"/>
          <w14:ligatures w14:val="none"/>
        </w:rPr>
      </w:pPr>
      <w:proofErr w:type="spellStart"/>
      <w:r w:rsidRPr="009F07B2">
        <w:rPr>
          <w:rFonts w:ascii="Arial" w:eastAsia="Times New Roman" w:hAnsi="Arial" w:cs="Arial"/>
          <w:color w:val="141413"/>
          <w:kern w:val="0"/>
          <w:lang w:eastAsia="en-GB"/>
          <w14:ligatures w14:val="none"/>
        </w:rPr>
        <w:t>doi</w:t>
      </w:r>
      <w:proofErr w:type="spellEnd"/>
      <w:r w:rsidRPr="009F07B2">
        <w:rPr>
          <w:rFonts w:ascii="Arial" w:eastAsia="Times New Roman" w:hAnsi="Arial" w:cs="Arial"/>
          <w:color w:val="141413"/>
          <w:kern w:val="0"/>
          <w:lang w:eastAsia="en-GB"/>
          <w14:ligatures w14:val="none"/>
        </w:rPr>
        <w:t>: 10.1037/0022-3514.35.4.250</w:t>
      </w:r>
    </w:p>
    <w:p w14:paraId="1F6410A8" w14:textId="590B10EA" w:rsidR="009F07B2" w:rsidRPr="009F07B2" w:rsidRDefault="009F07B2">
      <w:pPr>
        <w:rPr>
          <w:rFonts w:ascii="Arial" w:eastAsia="Times New Roman" w:hAnsi="Arial" w:cs="Arial"/>
          <w:color w:val="141413"/>
          <w:kern w:val="0"/>
          <w:lang w:eastAsia="en-GB"/>
          <w14:ligatures w14:val="none"/>
        </w:rPr>
      </w:pPr>
    </w:p>
    <w:p w14:paraId="109FFF96" w14:textId="77777777" w:rsidR="00130A0F" w:rsidRDefault="00130A0F">
      <w:pPr>
        <w:rPr>
          <w:rFonts w:ascii="Arial" w:hAnsi="Arial" w:cs="Arial"/>
        </w:rPr>
      </w:pPr>
    </w:p>
    <w:p w14:paraId="20AB87B0" w14:textId="435ADE22" w:rsidR="00130A0F" w:rsidRDefault="00130A0F">
      <w:pPr>
        <w:rPr>
          <w:rFonts w:ascii="Arial" w:hAnsi="Arial" w:cs="Arial"/>
        </w:rPr>
      </w:pPr>
      <w:proofErr w:type="spellStart"/>
      <w:r>
        <w:rPr>
          <w:rFonts w:ascii="Arial" w:hAnsi="Arial" w:cs="Arial"/>
        </w:rPr>
        <w:lastRenderedPageBreak/>
        <w:t>Oke</w:t>
      </w:r>
      <w:proofErr w:type="spellEnd"/>
      <w:r>
        <w:rPr>
          <w:rFonts w:ascii="Arial" w:hAnsi="Arial" w:cs="Arial"/>
        </w:rPr>
        <w:t xml:space="preserve">, M., Hayes, N., Filipovic, K., &amp; Lambert, J. (2019) Burnout and work-life experience of Irish Early Childhood Educators – Implications for Policy and Practice. European Early Childhood Research Association (EECRA): </w:t>
      </w:r>
      <w:proofErr w:type="spellStart"/>
      <w:r>
        <w:rPr>
          <w:rFonts w:ascii="Arial" w:hAnsi="Arial" w:cs="Arial"/>
        </w:rPr>
        <w:t>Thessalonki</w:t>
      </w:r>
      <w:proofErr w:type="spellEnd"/>
      <w:r>
        <w:rPr>
          <w:rFonts w:ascii="Arial" w:hAnsi="Arial" w:cs="Arial"/>
        </w:rPr>
        <w:t>.</w:t>
      </w:r>
    </w:p>
    <w:p w14:paraId="2C0DD25E" w14:textId="77777777" w:rsidR="000849A4" w:rsidRDefault="000849A4">
      <w:pPr>
        <w:rPr>
          <w:rFonts w:ascii="Arial" w:hAnsi="Arial" w:cs="Arial"/>
        </w:rPr>
      </w:pPr>
    </w:p>
    <w:p w14:paraId="67406B4B" w14:textId="34D19ADC" w:rsidR="000849A4" w:rsidRDefault="000849A4">
      <w:pPr>
        <w:rPr>
          <w:rFonts w:ascii="Arial" w:hAnsi="Arial" w:cs="Arial"/>
        </w:rPr>
      </w:pPr>
      <w:r>
        <w:rPr>
          <w:rFonts w:ascii="Arial" w:hAnsi="Arial" w:cs="Arial"/>
        </w:rPr>
        <w:t xml:space="preserve">Oswald, D. Sherratt, F &amp; Smith, S. (2014) Handling the Hawthorne effect: The challenges surrounding a participant observer. Review of Social </w:t>
      </w:r>
      <w:proofErr w:type="spellStart"/>
      <w:r>
        <w:rPr>
          <w:rFonts w:ascii="Arial" w:hAnsi="Arial" w:cs="Arial"/>
        </w:rPr>
        <w:t>Stusies</w:t>
      </w:r>
      <w:proofErr w:type="spellEnd"/>
      <w:r>
        <w:rPr>
          <w:rFonts w:ascii="Arial" w:hAnsi="Arial" w:cs="Arial"/>
        </w:rPr>
        <w:t xml:space="preserve"> (</w:t>
      </w:r>
      <w:proofErr w:type="spellStart"/>
      <w:r>
        <w:rPr>
          <w:rFonts w:ascii="Arial" w:hAnsi="Arial" w:cs="Arial"/>
        </w:rPr>
        <w:t>RoSS</w:t>
      </w:r>
      <w:proofErr w:type="spellEnd"/>
      <w:r>
        <w:rPr>
          <w:rFonts w:ascii="Arial" w:hAnsi="Arial" w:cs="Arial"/>
        </w:rPr>
        <w:t>), Vol.1, No.1</w:t>
      </w:r>
    </w:p>
    <w:p w14:paraId="34B051B8" w14:textId="77777777" w:rsidR="0067414D" w:rsidRDefault="0067414D">
      <w:pPr>
        <w:rPr>
          <w:rFonts w:ascii="Arial" w:hAnsi="Arial" w:cs="Arial"/>
        </w:rPr>
      </w:pPr>
    </w:p>
    <w:p w14:paraId="711B0BC1" w14:textId="41D9A1BB" w:rsidR="0067414D" w:rsidRDefault="0067414D">
      <w:pPr>
        <w:rPr>
          <w:rFonts w:ascii="Arial" w:hAnsi="Arial" w:cs="Arial"/>
        </w:rPr>
      </w:pPr>
      <w:r>
        <w:rPr>
          <w:rFonts w:ascii="Arial" w:hAnsi="Arial" w:cs="Arial"/>
        </w:rPr>
        <w:t xml:space="preserve">Qualtrics, 2025. Determining sample size: how to make sure you get the correct sample size. Market Research, Sampling. </w:t>
      </w:r>
      <w:hyperlink r:id="rId17" w:history="1">
        <w:r w:rsidRPr="0067414D">
          <w:rPr>
            <w:rStyle w:val="Hyperlink"/>
            <w:rFonts w:ascii="Arial" w:hAnsi="Arial" w:cs="Arial"/>
          </w:rPr>
          <w:t>https://www.qualtrics.com/en-gb/experience-management/research /determine-sample-size</w:t>
        </w:r>
      </w:hyperlink>
      <w:r>
        <w:rPr>
          <w:rFonts w:ascii="Arial" w:hAnsi="Arial" w:cs="Arial"/>
        </w:rPr>
        <w:t xml:space="preserve"> (accessed on 15th May 2025)</w:t>
      </w:r>
    </w:p>
    <w:p w14:paraId="0861A7F2" w14:textId="77777777" w:rsidR="00E25AF8" w:rsidRDefault="00E25AF8">
      <w:pPr>
        <w:rPr>
          <w:rFonts w:ascii="Arial" w:hAnsi="Arial" w:cs="Arial"/>
        </w:rPr>
      </w:pPr>
    </w:p>
    <w:p w14:paraId="04C91C0D" w14:textId="0F5E4954" w:rsidR="00E25AF8" w:rsidRDefault="00E25AF8">
      <w:pPr>
        <w:rPr>
          <w:rFonts w:ascii="Arial" w:hAnsi="Arial" w:cs="Arial"/>
        </w:rPr>
      </w:pPr>
      <w:r>
        <w:rPr>
          <w:rFonts w:ascii="Arial" w:hAnsi="Arial" w:cs="Arial"/>
        </w:rPr>
        <w:t xml:space="preserve">Rice, M. &amp; Broome, M.E. (2004) Incentives </w:t>
      </w:r>
      <w:proofErr w:type="gramStart"/>
      <w:r>
        <w:rPr>
          <w:rFonts w:ascii="Arial" w:hAnsi="Arial" w:cs="Arial"/>
        </w:rPr>
        <w:t>For</w:t>
      </w:r>
      <w:proofErr w:type="gramEnd"/>
      <w:r>
        <w:rPr>
          <w:rFonts w:ascii="Arial" w:hAnsi="Arial" w:cs="Arial"/>
        </w:rPr>
        <w:t xml:space="preserve"> Children in Research. Journal of Nursing Scholarship, 2004;36:2, 167-172. Sigma Theta Tau International. </w:t>
      </w:r>
      <w:hyperlink r:id="rId18" w:history="1">
        <w:r w:rsidRPr="00A47826">
          <w:rPr>
            <w:rStyle w:val="Hyperlink"/>
            <w:rFonts w:ascii="Arial" w:hAnsi="Arial" w:cs="Arial"/>
          </w:rPr>
          <w:t>https://d1wqtxts1xzle7.cloudfront.net/122055293/j.1547-5069.2004.04030.x20250328-1-lwv2ix-libre.pdf?1743174467=&amp;response-content-disposition=inline%3B+filename%3DIncentives_for_Children_in_Research.pdf&amp;Expires=1747601932&amp;Signature=N2pmkxEcqKajwlNu9f7Ngew6KmkHU7NJwUAHhI34mMYlRfm0z1UdSYKacVxlE3oypyJuf6So-3KfMli0mygRYX1I9vlhuu3Ezy~ATQxcC3OPHfhSyYJ1XyzzWyXQF2BBoZ5~PtSSIUtLUiUTj5vPUs7yYaRmc4t6e3GPru0LaU0zhnN6YUrgV2IqE2PL6ak2XIpStnxyq6irfZ6dQsZOew7nyhhnfT-7p7fvGCToexDawm1HwqTYfYDRmlvHVcXayQvtn2ADmgnwuLpg1IPuxRSGFMadpWfpjtOMytZFqwMmo7K52yusb5iqUHkgpUJI610dqEkDAcBIpzyz5q~Rlw__&amp;Key-Pair-Id=APKAJLOHF5GGSLRBV4ZA</w:t>
        </w:r>
      </w:hyperlink>
      <w:r>
        <w:rPr>
          <w:rFonts w:ascii="Arial" w:hAnsi="Arial" w:cs="Arial"/>
        </w:rPr>
        <w:t xml:space="preserve"> (accessed on 17</w:t>
      </w:r>
      <w:r w:rsidRPr="00E25AF8">
        <w:rPr>
          <w:rFonts w:ascii="Arial" w:hAnsi="Arial" w:cs="Arial"/>
          <w:vertAlign w:val="superscript"/>
        </w:rPr>
        <w:t>th</w:t>
      </w:r>
      <w:r>
        <w:rPr>
          <w:rFonts w:ascii="Arial" w:hAnsi="Arial" w:cs="Arial"/>
        </w:rPr>
        <w:t xml:space="preserve"> May 2025).</w:t>
      </w:r>
    </w:p>
    <w:p w14:paraId="7378B751" w14:textId="77777777" w:rsidR="005A05C8" w:rsidRDefault="005A05C8">
      <w:pPr>
        <w:rPr>
          <w:rFonts w:ascii="Arial" w:hAnsi="Arial" w:cs="Arial"/>
        </w:rPr>
      </w:pPr>
    </w:p>
    <w:p w14:paraId="7CE60010" w14:textId="479D9CDE" w:rsidR="005A05C8" w:rsidRDefault="005A05C8">
      <w:pPr>
        <w:rPr>
          <w:rFonts w:ascii="Arial" w:hAnsi="Arial" w:cs="Arial"/>
        </w:rPr>
      </w:pPr>
      <w:r>
        <w:rPr>
          <w:rFonts w:ascii="Arial" w:hAnsi="Arial" w:cs="Arial"/>
        </w:rPr>
        <w:t>Roberts-Holmes, G. (2018) Doing your early years research project: a step-by-step guide. London. Sage.</w:t>
      </w:r>
    </w:p>
    <w:p w14:paraId="1FF2E91C" w14:textId="77777777" w:rsidR="001C671B" w:rsidRDefault="001C671B">
      <w:pPr>
        <w:rPr>
          <w:rFonts w:ascii="Arial" w:hAnsi="Arial" w:cs="Arial"/>
        </w:rPr>
      </w:pPr>
    </w:p>
    <w:p w14:paraId="467CD401" w14:textId="1C68F59D" w:rsidR="008D426E" w:rsidRDefault="008D426E">
      <w:pPr>
        <w:rPr>
          <w:rFonts w:ascii="Arial" w:hAnsi="Arial" w:cs="Arial"/>
        </w:rPr>
      </w:pPr>
      <w:r>
        <w:rPr>
          <w:rFonts w:ascii="Arial" w:hAnsi="Arial" w:cs="Arial"/>
        </w:rPr>
        <w:t xml:space="preserve">Thompson, R. A., (1990) Vulnerability in Research: A Developmental Perspective on Research Risk. </w:t>
      </w:r>
      <w:hyperlink r:id="rId19" w:history="1">
        <w:r w:rsidRPr="00A47826">
          <w:rPr>
            <w:rStyle w:val="Hyperlink"/>
            <w:rFonts w:ascii="Arial" w:hAnsi="Arial" w:cs="Arial"/>
          </w:rPr>
          <w:t>https://doi.org/10.1111/j.1467-8624.1990.tb02756.x</w:t>
        </w:r>
      </w:hyperlink>
    </w:p>
    <w:p w14:paraId="548F89D6" w14:textId="77777777" w:rsidR="008D426E" w:rsidRDefault="008D426E">
      <w:pPr>
        <w:rPr>
          <w:rFonts w:ascii="Arial" w:hAnsi="Arial" w:cs="Arial"/>
        </w:rPr>
      </w:pPr>
    </w:p>
    <w:p w14:paraId="1929F17B" w14:textId="7A83FCD0" w:rsidR="001C671B" w:rsidRDefault="001C671B">
      <w:pPr>
        <w:rPr>
          <w:rFonts w:ascii="Arial" w:hAnsi="Arial" w:cs="Arial"/>
        </w:rPr>
      </w:pPr>
      <w:r>
        <w:rPr>
          <w:rFonts w:ascii="Arial" w:hAnsi="Arial" w:cs="Arial"/>
        </w:rPr>
        <w:t xml:space="preserve">UK Data Service. (n.d.) The Data Protection Act and GDPR. </w:t>
      </w:r>
      <w:hyperlink r:id="rId20" w:history="1">
        <w:r w:rsidRPr="00A47826">
          <w:rPr>
            <w:rStyle w:val="Hyperlink"/>
            <w:rFonts w:ascii="Arial" w:hAnsi="Arial" w:cs="Arial"/>
          </w:rPr>
          <w:t>https://ukdataservice.ac.uk/learning-hub/research-data-management/data-protection/data-protection-legislation/data-protection-act-and-gdpr/</w:t>
        </w:r>
      </w:hyperlink>
      <w:r>
        <w:rPr>
          <w:rFonts w:ascii="Arial" w:hAnsi="Arial" w:cs="Arial"/>
        </w:rPr>
        <w:t xml:space="preserve"> (accessed on 16</w:t>
      </w:r>
      <w:r w:rsidRPr="001C671B">
        <w:rPr>
          <w:rFonts w:ascii="Arial" w:hAnsi="Arial" w:cs="Arial"/>
          <w:vertAlign w:val="superscript"/>
        </w:rPr>
        <w:t>th</w:t>
      </w:r>
      <w:r>
        <w:rPr>
          <w:rFonts w:ascii="Arial" w:hAnsi="Arial" w:cs="Arial"/>
        </w:rPr>
        <w:t xml:space="preserve"> May 2025).</w:t>
      </w:r>
    </w:p>
    <w:p w14:paraId="6BA18265" w14:textId="1279878C" w:rsidR="0051774A" w:rsidRDefault="0051774A">
      <w:pPr>
        <w:rPr>
          <w:rFonts w:ascii="Arial" w:hAnsi="Arial" w:cs="Arial"/>
        </w:rPr>
      </w:pPr>
    </w:p>
    <w:p w14:paraId="6A98DA65" w14:textId="2658A47E" w:rsidR="0070528C" w:rsidRDefault="0070528C">
      <w:pPr>
        <w:rPr>
          <w:rFonts w:ascii="Arial" w:hAnsi="Arial" w:cs="Arial"/>
        </w:rPr>
      </w:pPr>
      <w:r>
        <w:rPr>
          <w:rFonts w:ascii="Arial" w:hAnsi="Arial" w:cs="Arial"/>
        </w:rPr>
        <w:t xml:space="preserve">University of Bath (2025). Sampling in research. </w:t>
      </w:r>
      <w:hyperlink r:id="rId21" w:history="1">
        <w:r w:rsidRPr="00580801">
          <w:rPr>
            <w:rStyle w:val="Hyperlink"/>
            <w:rFonts w:ascii="Arial" w:hAnsi="Arial" w:cs="Arial"/>
          </w:rPr>
          <w:t>https://www.bath.ac.uk/guides/sampling</w:t>
        </w:r>
      </w:hyperlink>
      <w:r>
        <w:rPr>
          <w:rFonts w:ascii="Arial" w:hAnsi="Arial" w:cs="Arial"/>
        </w:rPr>
        <w:t xml:space="preserve"> (accessed on 15th May 2025)</w:t>
      </w:r>
    </w:p>
    <w:p w14:paraId="13DDAE6D" w14:textId="77777777" w:rsidR="0070528C" w:rsidRDefault="0070528C">
      <w:pPr>
        <w:rPr>
          <w:rFonts w:ascii="Arial" w:hAnsi="Arial" w:cs="Arial"/>
        </w:rPr>
      </w:pPr>
    </w:p>
    <w:p w14:paraId="5BFAC8DB" w14:textId="6C123CC7" w:rsidR="0051774A" w:rsidRDefault="0051774A">
      <w:pPr>
        <w:rPr>
          <w:rFonts w:ascii="Arial" w:hAnsi="Arial" w:cs="Arial"/>
        </w:rPr>
      </w:pPr>
      <w:r>
        <w:rPr>
          <w:rFonts w:ascii="Arial" w:hAnsi="Arial" w:cs="Arial"/>
        </w:rPr>
        <w:t xml:space="preserve">University of Newcastle, (2023), Research methods. What are research methods? </w:t>
      </w:r>
      <w:hyperlink r:id="rId22" w:history="1">
        <w:r w:rsidRPr="009B069E">
          <w:rPr>
            <w:rStyle w:val="Hyperlink"/>
            <w:rFonts w:ascii="Arial" w:hAnsi="Arial" w:cs="Arial"/>
          </w:rPr>
          <w:t>https://libguides.newcastle.ed.au/researchmethods</w:t>
        </w:r>
      </w:hyperlink>
      <w:r>
        <w:rPr>
          <w:rFonts w:ascii="Arial" w:hAnsi="Arial" w:cs="Arial"/>
        </w:rPr>
        <w:t xml:space="preserve"> (accessed on 13th May 2025)</w:t>
      </w:r>
    </w:p>
    <w:p w14:paraId="350F4F23" w14:textId="77777777" w:rsidR="008142E8" w:rsidRDefault="008142E8">
      <w:pPr>
        <w:rPr>
          <w:rFonts w:ascii="Arial" w:hAnsi="Arial" w:cs="Arial"/>
        </w:rPr>
      </w:pPr>
    </w:p>
    <w:p w14:paraId="084F103E" w14:textId="51D49D15" w:rsidR="008142E8" w:rsidRDefault="008142E8">
      <w:pPr>
        <w:rPr>
          <w:rFonts w:ascii="Arial" w:hAnsi="Arial" w:cs="Arial"/>
        </w:rPr>
      </w:pPr>
      <w:r>
        <w:rPr>
          <w:rFonts w:ascii="Arial" w:hAnsi="Arial" w:cs="Arial"/>
        </w:rPr>
        <w:t xml:space="preserve">University of Sheffield, (n.d.) Participant and Researcher Safety and Well-Being. </w:t>
      </w:r>
      <w:hyperlink r:id="rId23" w:history="1">
        <w:r w:rsidRPr="00A47826">
          <w:rPr>
            <w:rStyle w:val="Hyperlink"/>
            <w:rFonts w:ascii="Arial" w:hAnsi="Arial" w:cs="Arial"/>
          </w:rPr>
          <w:t>https://www.sunderland.ac.uk/more/research/research-governance-integrity/ethics/apply-ethical-review/participant-and-researcher-safety-and-well-being/</w:t>
        </w:r>
      </w:hyperlink>
      <w:r>
        <w:rPr>
          <w:rFonts w:ascii="Arial" w:hAnsi="Arial" w:cs="Arial"/>
        </w:rPr>
        <w:t xml:space="preserve"> (accessed on 16</w:t>
      </w:r>
      <w:r w:rsidRPr="008142E8">
        <w:rPr>
          <w:rFonts w:ascii="Arial" w:hAnsi="Arial" w:cs="Arial"/>
          <w:vertAlign w:val="superscript"/>
        </w:rPr>
        <w:t>th</w:t>
      </w:r>
      <w:r>
        <w:rPr>
          <w:rFonts w:ascii="Arial" w:hAnsi="Arial" w:cs="Arial"/>
        </w:rPr>
        <w:t xml:space="preserve"> May 2025).</w:t>
      </w:r>
    </w:p>
    <w:p w14:paraId="5068D703" w14:textId="77777777" w:rsidR="008142E8" w:rsidRDefault="008142E8">
      <w:pPr>
        <w:rPr>
          <w:rFonts w:ascii="Arial" w:hAnsi="Arial" w:cs="Arial"/>
        </w:rPr>
      </w:pPr>
    </w:p>
    <w:p w14:paraId="4FC6C030" w14:textId="2A0C7EE4" w:rsidR="008142E8" w:rsidRDefault="008142E8">
      <w:pPr>
        <w:rPr>
          <w:rFonts w:ascii="Arial" w:hAnsi="Arial" w:cs="Arial"/>
        </w:rPr>
      </w:pPr>
      <w:r>
        <w:rPr>
          <w:rFonts w:ascii="Arial" w:hAnsi="Arial" w:cs="Arial"/>
        </w:rPr>
        <w:lastRenderedPageBreak/>
        <w:t>University of Sheffield, (n.d.), Specialist Research Ethics Guidance Paper (SREGP)-children-young-people.</w:t>
      </w:r>
    </w:p>
    <w:p w14:paraId="5361E011" w14:textId="77777777" w:rsidR="00D97DF6" w:rsidRDefault="00D97DF6">
      <w:pPr>
        <w:rPr>
          <w:rFonts w:ascii="Arial" w:hAnsi="Arial" w:cs="Arial"/>
        </w:rPr>
      </w:pPr>
    </w:p>
    <w:p w14:paraId="13419648" w14:textId="7B8B0A77" w:rsidR="00D97DF6" w:rsidRDefault="00D97DF6">
      <w:pPr>
        <w:rPr>
          <w:rFonts w:ascii="Arial" w:hAnsi="Arial" w:cs="Arial"/>
        </w:rPr>
      </w:pPr>
      <w:r>
        <w:rPr>
          <w:rFonts w:ascii="Arial" w:hAnsi="Arial" w:cs="Arial"/>
        </w:rPr>
        <w:t>University of Wales Trinity Saint David, (</w:t>
      </w:r>
      <w:proofErr w:type="spellStart"/>
      <w:r>
        <w:rPr>
          <w:rFonts w:ascii="Arial" w:hAnsi="Arial" w:cs="Arial"/>
        </w:rPr>
        <w:t>n.d</w:t>
      </w:r>
      <w:proofErr w:type="spellEnd"/>
      <w:r>
        <w:rPr>
          <w:rFonts w:ascii="Arial" w:hAnsi="Arial" w:cs="Arial"/>
        </w:rPr>
        <w:t xml:space="preserve">), Research Data Management Policy (V2.0). </w:t>
      </w:r>
    </w:p>
    <w:p w14:paraId="27692518" w14:textId="77777777" w:rsidR="00D97DF6" w:rsidRDefault="00D97DF6">
      <w:pPr>
        <w:rPr>
          <w:rFonts w:ascii="Arial" w:hAnsi="Arial" w:cs="Arial"/>
        </w:rPr>
      </w:pPr>
    </w:p>
    <w:p w14:paraId="0954CB43" w14:textId="3ABC6EDC" w:rsidR="00D97DF6" w:rsidRDefault="00D97DF6">
      <w:pPr>
        <w:rPr>
          <w:rFonts w:ascii="Arial" w:hAnsi="Arial" w:cs="Arial"/>
        </w:rPr>
      </w:pPr>
      <w:r>
        <w:rPr>
          <w:rFonts w:ascii="Arial" w:hAnsi="Arial" w:cs="Arial"/>
        </w:rPr>
        <w:t>University of Wales Trinity Saint David, (2022) Research Ethics &amp; Integrity Code of Practice.</w:t>
      </w:r>
    </w:p>
    <w:p w14:paraId="33DCC642" w14:textId="77777777" w:rsidR="008142E8" w:rsidRDefault="008142E8">
      <w:pPr>
        <w:rPr>
          <w:rFonts w:ascii="Arial" w:hAnsi="Arial" w:cs="Arial"/>
        </w:rPr>
      </w:pPr>
    </w:p>
    <w:p w14:paraId="2D6C1BC9" w14:textId="55092B8F" w:rsidR="00383EF8" w:rsidRDefault="00383EF8">
      <w:pPr>
        <w:rPr>
          <w:rFonts w:ascii="Arial" w:hAnsi="Arial" w:cs="Arial"/>
        </w:rPr>
      </w:pPr>
      <w:r>
        <w:rPr>
          <w:rFonts w:ascii="Arial" w:hAnsi="Arial" w:cs="Arial"/>
        </w:rPr>
        <w:t>University of Wales Trinity Saint David, (2024) Trusted Research and Innovation Policy.</w:t>
      </w:r>
    </w:p>
    <w:p w14:paraId="567D5384" w14:textId="77777777" w:rsidR="00A76B3B" w:rsidRDefault="00A76B3B">
      <w:pPr>
        <w:rPr>
          <w:rFonts w:ascii="Arial" w:hAnsi="Arial" w:cs="Arial"/>
        </w:rPr>
      </w:pPr>
    </w:p>
    <w:p w14:paraId="5BAA2862" w14:textId="46E2F583" w:rsidR="002F035B" w:rsidRDefault="002F035B">
      <w:pPr>
        <w:rPr>
          <w:rFonts w:ascii="Arial" w:hAnsi="Arial" w:cs="Arial"/>
        </w:rPr>
      </w:pPr>
      <w:r>
        <w:rPr>
          <w:rFonts w:ascii="Arial" w:hAnsi="Arial" w:cs="Arial"/>
        </w:rPr>
        <w:t xml:space="preserve">World Health Organisation, 2013. </w:t>
      </w:r>
      <w:hyperlink r:id="rId24" w:history="1">
        <w:r w:rsidRPr="009E1A65">
          <w:rPr>
            <w:rStyle w:val="Hyperlink"/>
            <w:rFonts w:ascii="Arial" w:hAnsi="Arial" w:cs="Arial"/>
          </w:rPr>
          <w:t>https://www.who.int/publications/m/item/mental-health-action-plan-2013-2030-flyer-what-member-states-can-do</w:t>
        </w:r>
      </w:hyperlink>
    </w:p>
    <w:p w14:paraId="2D19BD12" w14:textId="283F7ED4" w:rsidR="00A76B3B" w:rsidRDefault="00A76B3B"/>
    <w:sectPr w:rsidR="00A76B3B">
      <w:headerReference w:type="default" r:id="rId25"/>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8DED1" w14:textId="77777777" w:rsidR="00845523" w:rsidRDefault="00845523" w:rsidP="006053EE">
      <w:r>
        <w:separator/>
      </w:r>
    </w:p>
  </w:endnote>
  <w:endnote w:type="continuationSeparator" w:id="0">
    <w:p w14:paraId="73AE89A4" w14:textId="77777777" w:rsidR="00845523" w:rsidRDefault="00845523" w:rsidP="00605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ff1">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2154643"/>
      <w:docPartObj>
        <w:docPartGallery w:val="Page Numbers (Bottom of Page)"/>
        <w:docPartUnique/>
      </w:docPartObj>
    </w:sdtPr>
    <w:sdtContent>
      <w:p w14:paraId="7D6CDED1" w14:textId="0C4769B0" w:rsidR="00AC6D16" w:rsidRDefault="00AC6D16" w:rsidP="009E1A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6DDAB9" w14:textId="77777777" w:rsidR="00AC6D16" w:rsidRDefault="00AC6D16" w:rsidP="00AC6D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385174"/>
      <w:docPartObj>
        <w:docPartGallery w:val="Page Numbers (Bottom of Page)"/>
        <w:docPartUnique/>
      </w:docPartObj>
    </w:sdtPr>
    <w:sdtContent>
      <w:p w14:paraId="03BB68F1" w14:textId="73662190" w:rsidR="00AC6D16" w:rsidRDefault="00AC6D16" w:rsidP="009E1A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AA3B8E" w14:textId="77777777" w:rsidR="00AC6D16" w:rsidRDefault="00AC6D16" w:rsidP="00AC6D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2AFA5" w14:textId="77777777" w:rsidR="00845523" w:rsidRDefault="00845523" w:rsidP="006053EE">
      <w:r>
        <w:separator/>
      </w:r>
    </w:p>
  </w:footnote>
  <w:footnote w:type="continuationSeparator" w:id="0">
    <w:p w14:paraId="43E24478" w14:textId="77777777" w:rsidR="00845523" w:rsidRDefault="00845523" w:rsidP="006053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AA2EE" w14:textId="379B7DFB" w:rsidR="006053EE" w:rsidRDefault="006053EE">
    <w:pPr>
      <w:pStyle w:val="Header"/>
    </w:pPr>
    <w:r>
      <w:t>ECEY5010</w:t>
    </w:r>
    <w:r>
      <w:ptab w:relativeTo="margin" w:alignment="center" w:leader="none"/>
    </w:r>
    <w:r>
      <w:t>2410322</w:t>
    </w:r>
    <w:r>
      <w:ptab w:relativeTo="margin" w:alignment="right" w:leader="none"/>
    </w:r>
    <w:r w:rsidR="002534EA">
      <w:t xml:space="preserve">Word count: </w:t>
    </w:r>
    <w:r w:rsidR="008142E8">
      <w:t>3</w:t>
    </w:r>
    <w:r w:rsidR="00E25AF8">
      <w:t>838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3EE"/>
    <w:rsid w:val="00014916"/>
    <w:rsid w:val="000849A4"/>
    <w:rsid w:val="000970C3"/>
    <w:rsid w:val="000E6C40"/>
    <w:rsid w:val="00130A0F"/>
    <w:rsid w:val="001420ED"/>
    <w:rsid w:val="0015608D"/>
    <w:rsid w:val="00160564"/>
    <w:rsid w:val="001C6021"/>
    <w:rsid w:val="001C671B"/>
    <w:rsid w:val="001F350C"/>
    <w:rsid w:val="00201243"/>
    <w:rsid w:val="00210B37"/>
    <w:rsid w:val="002156D9"/>
    <w:rsid w:val="00242304"/>
    <w:rsid w:val="0024535C"/>
    <w:rsid w:val="002534EA"/>
    <w:rsid w:val="002625B9"/>
    <w:rsid w:val="002F035B"/>
    <w:rsid w:val="002F53CC"/>
    <w:rsid w:val="002F6B8F"/>
    <w:rsid w:val="00305771"/>
    <w:rsid w:val="00312E04"/>
    <w:rsid w:val="00383EF8"/>
    <w:rsid w:val="00384641"/>
    <w:rsid w:val="003C79D4"/>
    <w:rsid w:val="003D6FF1"/>
    <w:rsid w:val="004024DA"/>
    <w:rsid w:val="00416629"/>
    <w:rsid w:val="004B1FDF"/>
    <w:rsid w:val="004C77A8"/>
    <w:rsid w:val="00514F44"/>
    <w:rsid w:val="0051774A"/>
    <w:rsid w:val="00554E56"/>
    <w:rsid w:val="00572DEB"/>
    <w:rsid w:val="00577CED"/>
    <w:rsid w:val="005903D3"/>
    <w:rsid w:val="005943DB"/>
    <w:rsid w:val="00596854"/>
    <w:rsid w:val="005A05C8"/>
    <w:rsid w:val="006053EE"/>
    <w:rsid w:val="006069DC"/>
    <w:rsid w:val="006117F9"/>
    <w:rsid w:val="00646E58"/>
    <w:rsid w:val="00651B14"/>
    <w:rsid w:val="00665E4A"/>
    <w:rsid w:val="0067414D"/>
    <w:rsid w:val="006756C5"/>
    <w:rsid w:val="00694C69"/>
    <w:rsid w:val="0070528C"/>
    <w:rsid w:val="007662F2"/>
    <w:rsid w:val="007A2788"/>
    <w:rsid w:val="007F3AB5"/>
    <w:rsid w:val="008142E8"/>
    <w:rsid w:val="00845523"/>
    <w:rsid w:val="00864937"/>
    <w:rsid w:val="008802A3"/>
    <w:rsid w:val="00883362"/>
    <w:rsid w:val="008D325F"/>
    <w:rsid w:val="008D426E"/>
    <w:rsid w:val="00953ABD"/>
    <w:rsid w:val="009813C3"/>
    <w:rsid w:val="009A2841"/>
    <w:rsid w:val="009D130C"/>
    <w:rsid w:val="009E2433"/>
    <w:rsid w:val="009E5435"/>
    <w:rsid w:val="009F07B2"/>
    <w:rsid w:val="00A76B3B"/>
    <w:rsid w:val="00AC6D16"/>
    <w:rsid w:val="00B2132F"/>
    <w:rsid w:val="00B23DA3"/>
    <w:rsid w:val="00B33F63"/>
    <w:rsid w:val="00B43655"/>
    <w:rsid w:val="00B547BC"/>
    <w:rsid w:val="00B60AAE"/>
    <w:rsid w:val="00B64EA7"/>
    <w:rsid w:val="00BB4D76"/>
    <w:rsid w:val="00C10625"/>
    <w:rsid w:val="00C96192"/>
    <w:rsid w:val="00C970FB"/>
    <w:rsid w:val="00CF5B67"/>
    <w:rsid w:val="00D204B5"/>
    <w:rsid w:val="00D21BCB"/>
    <w:rsid w:val="00D23C57"/>
    <w:rsid w:val="00D23CB1"/>
    <w:rsid w:val="00D42E0C"/>
    <w:rsid w:val="00D5158A"/>
    <w:rsid w:val="00D527A7"/>
    <w:rsid w:val="00D70138"/>
    <w:rsid w:val="00D87EE6"/>
    <w:rsid w:val="00D92FA3"/>
    <w:rsid w:val="00D97DF6"/>
    <w:rsid w:val="00DD20F6"/>
    <w:rsid w:val="00E25AF8"/>
    <w:rsid w:val="00E85713"/>
    <w:rsid w:val="00EA003E"/>
    <w:rsid w:val="00EB78E9"/>
    <w:rsid w:val="00ED62FB"/>
    <w:rsid w:val="00EE0C46"/>
    <w:rsid w:val="00EE5AEE"/>
    <w:rsid w:val="00F14E35"/>
    <w:rsid w:val="00F3144F"/>
    <w:rsid w:val="00F51A5E"/>
    <w:rsid w:val="00F81FCA"/>
    <w:rsid w:val="00FD0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BD779F"/>
  <w15:chartTrackingRefBased/>
  <w15:docId w15:val="{0CB40B21-CFB9-1742-88BE-38B986F8C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3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3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3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3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3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3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3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3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3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3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3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3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3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3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3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3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3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3EE"/>
    <w:rPr>
      <w:rFonts w:eastAsiaTheme="majorEastAsia" w:cstheme="majorBidi"/>
      <w:color w:val="272727" w:themeColor="text1" w:themeTint="D8"/>
    </w:rPr>
  </w:style>
  <w:style w:type="paragraph" w:styleId="Title">
    <w:name w:val="Title"/>
    <w:basedOn w:val="Normal"/>
    <w:next w:val="Normal"/>
    <w:link w:val="TitleChar"/>
    <w:uiPriority w:val="10"/>
    <w:qFormat/>
    <w:rsid w:val="006053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3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3E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3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3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53EE"/>
    <w:rPr>
      <w:i/>
      <w:iCs/>
      <w:color w:val="404040" w:themeColor="text1" w:themeTint="BF"/>
    </w:rPr>
  </w:style>
  <w:style w:type="paragraph" w:styleId="ListParagraph">
    <w:name w:val="List Paragraph"/>
    <w:basedOn w:val="Normal"/>
    <w:uiPriority w:val="34"/>
    <w:qFormat/>
    <w:rsid w:val="006053EE"/>
    <w:pPr>
      <w:ind w:left="720"/>
      <w:contextualSpacing/>
    </w:pPr>
  </w:style>
  <w:style w:type="character" w:styleId="IntenseEmphasis">
    <w:name w:val="Intense Emphasis"/>
    <w:basedOn w:val="DefaultParagraphFont"/>
    <w:uiPriority w:val="21"/>
    <w:qFormat/>
    <w:rsid w:val="006053EE"/>
    <w:rPr>
      <w:i/>
      <w:iCs/>
      <w:color w:val="0F4761" w:themeColor="accent1" w:themeShade="BF"/>
    </w:rPr>
  </w:style>
  <w:style w:type="paragraph" w:styleId="IntenseQuote">
    <w:name w:val="Intense Quote"/>
    <w:basedOn w:val="Normal"/>
    <w:next w:val="Normal"/>
    <w:link w:val="IntenseQuoteChar"/>
    <w:uiPriority w:val="30"/>
    <w:qFormat/>
    <w:rsid w:val="006053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3EE"/>
    <w:rPr>
      <w:i/>
      <w:iCs/>
      <w:color w:val="0F4761" w:themeColor="accent1" w:themeShade="BF"/>
    </w:rPr>
  </w:style>
  <w:style w:type="character" w:styleId="IntenseReference">
    <w:name w:val="Intense Reference"/>
    <w:basedOn w:val="DefaultParagraphFont"/>
    <w:uiPriority w:val="32"/>
    <w:qFormat/>
    <w:rsid w:val="006053EE"/>
    <w:rPr>
      <w:b/>
      <w:bCs/>
      <w:smallCaps/>
      <w:color w:val="0F4761" w:themeColor="accent1" w:themeShade="BF"/>
      <w:spacing w:val="5"/>
    </w:rPr>
  </w:style>
  <w:style w:type="paragraph" w:styleId="Header">
    <w:name w:val="header"/>
    <w:basedOn w:val="Normal"/>
    <w:link w:val="HeaderChar"/>
    <w:uiPriority w:val="99"/>
    <w:unhideWhenUsed/>
    <w:rsid w:val="006053EE"/>
    <w:pPr>
      <w:tabs>
        <w:tab w:val="center" w:pos="4513"/>
        <w:tab w:val="right" w:pos="9026"/>
      </w:tabs>
    </w:pPr>
  </w:style>
  <w:style w:type="character" w:customStyle="1" w:styleId="HeaderChar">
    <w:name w:val="Header Char"/>
    <w:basedOn w:val="DefaultParagraphFont"/>
    <w:link w:val="Header"/>
    <w:uiPriority w:val="99"/>
    <w:rsid w:val="006053EE"/>
  </w:style>
  <w:style w:type="paragraph" w:styleId="Footer">
    <w:name w:val="footer"/>
    <w:basedOn w:val="Normal"/>
    <w:link w:val="FooterChar"/>
    <w:uiPriority w:val="99"/>
    <w:unhideWhenUsed/>
    <w:rsid w:val="006053EE"/>
    <w:pPr>
      <w:tabs>
        <w:tab w:val="center" w:pos="4513"/>
        <w:tab w:val="right" w:pos="9026"/>
      </w:tabs>
    </w:pPr>
  </w:style>
  <w:style w:type="character" w:customStyle="1" w:styleId="FooterChar">
    <w:name w:val="Footer Char"/>
    <w:basedOn w:val="DefaultParagraphFont"/>
    <w:link w:val="Footer"/>
    <w:uiPriority w:val="99"/>
    <w:rsid w:val="006053EE"/>
  </w:style>
  <w:style w:type="character" w:styleId="Hyperlink">
    <w:name w:val="Hyperlink"/>
    <w:basedOn w:val="DefaultParagraphFont"/>
    <w:uiPriority w:val="99"/>
    <w:unhideWhenUsed/>
    <w:rsid w:val="00AC6D16"/>
    <w:rPr>
      <w:color w:val="467886" w:themeColor="hyperlink"/>
      <w:u w:val="single"/>
    </w:rPr>
  </w:style>
  <w:style w:type="character" w:styleId="UnresolvedMention">
    <w:name w:val="Unresolved Mention"/>
    <w:basedOn w:val="DefaultParagraphFont"/>
    <w:uiPriority w:val="99"/>
    <w:semiHidden/>
    <w:unhideWhenUsed/>
    <w:rsid w:val="00AC6D16"/>
    <w:rPr>
      <w:color w:val="605E5C"/>
      <w:shd w:val="clear" w:color="auto" w:fill="E1DFDD"/>
    </w:rPr>
  </w:style>
  <w:style w:type="character" w:styleId="FollowedHyperlink">
    <w:name w:val="FollowedHyperlink"/>
    <w:basedOn w:val="DefaultParagraphFont"/>
    <w:uiPriority w:val="99"/>
    <w:semiHidden/>
    <w:unhideWhenUsed/>
    <w:rsid w:val="00AC6D16"/>
    <w:rPr>
      <w:color w:val="96607D" w:themeColor="followedHyperlink"/>
      <w:u w:val="single"/>
    </w:rPr>
  </w:style>
  <w:style w:type="character" w:styleId="PageNumber">
    <w:name w:val="page number"/>
    <w:basedOn w:val="DefaultParagraphFont"/>
    <w:uiPriority w:val="99"/>
    <w:semiHidden/>
    <w:unhideWhenUsed/>
    <w:rsid w:val="00AC6D16"/>
  </w:style>
  <w:style w:type="paragraph" w:styleId="NormalWeb">
    <w:name w:val="Normal (Web)"/>
    <w:basedOn w:val="Normal"/>
    <w:uiPriority w:val="99"/>
    <w:unhideWhenUsed/>
    <w:rsid w:val="00C1062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
    <w:name w:val="_"/>
    <w:basedOn w:val="DefaultParagraphFont"/>
    <w:rsid w:val="00D42E0C"/>
  </w:style>
  <w:style w:type="paragraph" w:customStyle="1" w:styleId="p1">
    <w:name w:val="p1"/>
    <w:basedOn w:val="Normal"/>
    <w:rsid w:val="00C970FB"/>
    <w:rPr>
      <w:rFonts w:ascii="Arial" w:eastAsia="Times New Roman" w:hAnsi="Arial" w:cs="Arial"/>
      <w:color w:val="000000"/>
      <w:kern w:val="0"/>
      <w:sz w:val="17"/>
      <w:szCs w:val="17"/>
      <w:lang w:eastAsia="en-GB"/>
      <w14:ligatures w14:val="none"/>
    </w:rPr>
  </w:style>
  <w:style w:type="paragraph" w:customStyle="1" w:styleId="p2">
    <w:name w:val="p2"/>
    <w:basedOn w:val="Normal"/>
    <w:rsid w:val="00D97DF6"/>
    <w:rPr>
      <w:rFonts w:ascii="Helvetica" w:eastAsia="Times New Roman" w:hAnsi="Helvetica" w:cs="Times New Roman"/>
      <w:color w:val="515050"/>
      <w:kern w:val="0"/>
      <w:sz w:val="15"/>
      <w:szCs w:val="15"/>
      <w:lang w:eastAsia="en-GB"/>
      <w14:ligatures w14:val="none"/>
    </w:rPr>
  </w:style>
  <w:style w:type="character" w:customStyle="1" w:styleId="s1">
    <w:name w:val="s1"/>
    <w:basedOn w:val="DefaultParagraphFont"/>
    <w:rsid w:val="00D97DF6"/>
    <w:rPr>
      <w:color w:val="515050"/>
    </w:rPr>
  </w:style>
  <w:style w:type="character" w:customStyle="1" w:styleId="apple-converted-space">
    <w:name w:val="apple-converted-space"/>
    <w:basedOn w:val="DefaultParagraphFont"/>
    <w:rsid w:val="004B1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311514">
      <w:bodyDiv w:val="1"/>
      <w:marLeft w:val="0"/>
      <w:marRight w:val="0"/>
      <w:marTop w:val="0"/>
      <w:marBottom w:val="0"/>
      <w:divBdr>
        <w:top w:val="none" w:sz="0" w:space="0" w:color="auto"/>
        <w:left w:val="none" w:sz="0" w:space="0" w:color="auto"/>
        <w:bottom w:val="none" w:sz="0" w:space="0" w:color="auto"/>
        <w:right w:val="none" w:sz="0" w:space="0" w:color="auto"/>
      </w:divBdr>
    </w:div>
    <w:div w:id="741953439">
      <w:bodyDiv w:val="1"/>
      <w:marLeft w:val="0"/>
      <w:marRight w:val="0"/>
      <w:marTop w:val="0"/>
      <w:marBottom w:val="0"/>
      <w:divBdr>
        <w:top w:val="none" w:sz="0" w:space="0" w:color="auto"/>
        <w:left w:val="none" w:sz="0" w:space="0" w:color="auto"/>
        <w:bottom w:val="none" w:sz="0" w:space="0" w:color="auto"/>
        <w:right w:val="none" w:sz="0" w:space="0" w:color="auto"/>
      </w:divBdr>
    </w:div>
    <w:div w:id="1114134609">
      <w:bodyDiv w:val="1"/>
      <w:marLeft w:val="0"/>
      <w:marRight w:val="0"/>
      <w:marTop w:val="0"/>
      <w:marBottom w:val="0"/>
      <w:divBdr>
        <w:top w:val="none" w:sz="0" w:space="0" w:color="auto"/>
        <w:left w:val="none" w:sz="0" w:space="0" w:color="auto"/>
        <w:bottom w:val="none" w:sz="0" w:space="0" w:color="auto"/>
        <w:right w:val="none" w:sz="0" w:space="0" w:color="auto"/>
      </w:divBdr>
    </w:div>
    <w:div w:id="1264680268">
      <w:bodyDiv w:val="1"/>
      <w:marLeft w:val="0"/>
      <w:marRight w:val="0"/>
      <w:marTop w:val="0"/>
      <w:marBottom w:val="0"/>
      <w:divBdr>
        <w:top w:val="none" w:sz="0" w:space="0" w:color="auto"/>
        <w:left w:val="none" w:sz="0" w:space="0" w:color="auto"/>
        <w:bottom w:val="none" w:sz="0" w:space="0" w:color="auto"/>
        <w:right w:val="none" w:sz="0" w:space="0" w:color="auto"/>
      </w:divBdr>
    </w:div>
    <w:div w:id="1346519171">
      <w:bodyDiv w:val="1"/>
      <w:marLeft w:val="0"/>
      <w:marRight w:val="0"/>
      <w:marTop w:val="0"/>
      <w:marBottom w:val="0"/>
      <w:divBdr>
        <w:top w:val="none" w:sz="0" w:space="0" w:color="auto"/>
        <w:left w:val="none" w:sz="0" w:space="0" w:color="auto"/>
        <w:bottom w:val="none" w:sz="0" w:space="0" w:color="auto"/>
        <w:right w:val="none" w:sz="0" w:space="0" w:color="auto"/>
      </w:divBdr>
    </w:div>
    <w:div w:id="1371491642">
      <w:bodyDiv w:val="1"/>
      <w:marLeft w:val="0"/>
      <w:marRight w:val="0"/>
      <w:marTop w:val="0"/>
      <w:marBottom w:val="0"/>
      <w:divBdr>
        <w:top w:val="none" w:sz="0" w:space="0" w:color="auto"/>
        <w:left w:val="none" w:sz="0" w:space="0" w:color="auto"/>
        <w:bottom w:val="none" w:sz="0" w:space="0" w:color="auto"/>
        <w:right w:val="none" w:sz="0" w:space="0" w:color="auto"/>
      </w:divBdr>
    </w:div>
    <w:div w:id="1435204689">
      <w:bodyDiv w:val="1"/>
      <w:marLeft w:val="0"/>
      <w:marRight w:val="0"/>
      <w:marTop w:val="0"/>
      <w:marBottom w:val="0"/>
      <w:divBdr>
        <w:top w:val="none" w:sz="0" w:space="0" w:color="auto"/>
        <w:left w:val="none" w:sz="0" w:space="0" w:color="auto"/>
        <w:bottom w:val="none" w:sz="0" w:space="0" w:color="auto"/>
        <w:right w:val="none" w:sz="0" w:space="0" w:color="auto"/>
      </w:divBdr>
    </w:div>
    <w:div w:id="1590381537">
      <w:bodyDiv w:val="1"/>
      <w:marLeft w:val="0"/>
      <w:marRight w:val="0"/>
      <w:marTop w:val="0"/>
      <w:marBottom w:val="0"/>
      <w:divBdr>
        <w:top w:val="none" w:sz="0" w:space="0" w:color="auto"/>
        <w:left w:val="none" w:sz="0" w:space="0" w:color="auto"/>
        <w:bottom w:val="none" w:sz="0" w:space="0" w:color="auto"/>
        <w:right w:val="none" w:sz="0" w:space="0" w:color="auto"/>
      </w:divBdr>
    </w:div>
    <w:div w:id="1630935662">
      <w:bodyDiv w:val="1"/>
      <w:marLeft w:val="0"/>
      <w:marRight w:val="0"/>
      <w:marTop w:val="0"/>
      <w:marBottom w:val="0"/>
      <w:divBdr>
        <w:top w:val="none" w:sz="0" w:space="0" w:color="auto"/>
        <w:left w:val="none" w:sz="0" w:space="0" w:color="auto"/>
        <w:bottom w:val="none" w:sz="0" w:space="0" w:color="auto"/>
        <w:right w:val="none" w:sz="0" w:space="0" w:color="auto"/>
      </w:divBdr>
    </w:div>
    <w:div w:id="1706056796">
      <w:bodyDiv w:val="1"/>
      <w:marLeft w:val="0"/>
      <w:marRight w:val="0"/>
      <w:marTop w:val="0"/>
      <w:marBottom w:val="0"/>
      <w:divBdr>
        <w:top w:val="none" w:sz="0" w:space="0" w:color="auto"/>
        <w:left w:val="none" w:sz="0" w:space="0" w:color="auto"/>
        <w:bottom w:val="none" w:sz="0" w:space="0" w:color="auto"/>
        <w:right w:val="none" w:sz="0" w:space="0" w:color="auto"/>
      </w:divBdr>
    </w:div>
    <w:div w:id="2143494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ols4dev.org/resources/how-to-choose-a-sample-size" TargetMode="External"/><Relationship Id="rId13" Type="http://schemas.openxmlformats.org/officeDocument/2006/relationships/hyperlink" Target="https://catalyst.harvard.edu" TargetMode="External"/><Relationship Id="rId18" Type="http://schemas.openxmlformats.org/officeDocument/2006/relationships/hyperlink" Target="https://d1wqtxts1xzle7.cloudfront.net/122055293/j.1547-5069.2004.04030.x20250328-1-lwv2ix-libre.pdf?1743174467=&amp;response-content-disposition=inline%3B+filename%3DIncentives_for_Children_in_Research.pdf&amp;Expires=1747601932&amp;Signature=N2pmkxEcqKajwlNu9f7Ngew6KmkHU7NJwUAHhI34mMYlRfm0z1UdSYKacVxlE3oypyJuf6So-3KfMli0mygRYX1I9vlhuu3Ezy~ATQxcC3OPHfhSyYJ1XyzzWyXQF2BBoZ5~PtSSIUtLUiUTj5vPUs7yYaRmc4t6e3GPru0LaU0zhnN6YUrgV2IqE2PL6ak2XIpStnxyq6irfZ6dQsZOew7nyhhnfT-7p7fvGCToexDawm1HwqTYfYDRmlvHVcXayQvtn2ADmgnwuLpg1IPuxRSGFMadpWfpjtOMytZFqwMmo7K52yusb5iqUHkgpUJI610dqEkDAcBIpzyz5q~Rlw__&amp;Key-Pair-Id=APKAJLOHF5GGSLRBV4ZA"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bath.ac.uk/guides/sampling" TargetMode="External"/><Relationship Id="rId7" Type="http://schemas.openxmlformats.org/officeDocument/2006/relationships/hyperlink" Target="https://doi.org/10.1016/j.ecresq.2024.06.002" TargetMode="External"/><Relationship Id="rId12" Type="http://schemas.openxmlformats.org/officeDocument/2006/relationships/hyperlink" Target="https://openlab.citytech.cuny.edu/her-macdonaldsbs2000fall2015b/files/2011/06/Focus-Groups_Anita-Gibbs.pdf" TargetMode="External"/><Relationship Id="rId17" Type="http://schemas.openxmlformats.org/officeDocument/2006/relationships/hyperlink" Target="https://www.qualtrics.com/en-gb/experience-management/research%20/determine-sample-size"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080/10409289.2021.1909915" TargetMode="External"/><Relationship Id="rId20" Type="http://schemas.openxmlformats.org/officeDocument/2006/relationships/hyperlink" Target="https://ukdataservice.ac.uk/learning-hub/research-data-management/data-protection/data-protection-legislation/data-protection-act-and-gdpr/"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ov.wales/early-years-policies-wales-and-post-pandemic-future-mixed-methods-research-study-summary-html" TargetMode="External"/><Relationship Id="rId11" Type="http://schemas.openxmlformats.org/officeDocument/2006/relationships/hyperlink" Target="https://user-research.education.gov.uk/guidance/ethics-and-safeguarding/research-with-children-and-young-people" TargetMode="External"/><Relationship Id="rId24" Type="http://schemas.openxmlformats.org/officeDocument/2006/relationships/hyperlink" Target="https://www.who.int/publications/m/item/mental-health-action-plan-2013-2030-flyer-what-member-states-can-do" TargetMode="External"/><Relationship Id="rId5" Type="http://schemas.openxmlformats.org/officeDocument/2006/relationships/endnotes" Target="endnotes.xml"/><Relationship Id="rId15" Type="http://schemas.openxmlformats.org/officeDocument/2006/relationships/hyperlink" Target="https://doi.org10.13140/RG.2.2.15334.64325" TargetMode="External"/><Relationship Id="rId23" Type="http://schemas.openxmlformats.org/officeDocument/2006/relationships/hyperlink" Target="https://www.sunderland.ac.uk/more/research/research-governance-integrity/ethics/apply-ethical-review/participant-and-researcher-safety-and-well-being/" TargetMode="External"/><Relationship Id="rId28" Type="http://schemas.openxmlformats.org/officeDocument/2006/relationships/fontTable" Target="fontTable.xml"/><Relationship Id="rId10" Type="http://schemas.openxmlformats.org/officeDocument/2006/relationships/hyperlink" Target="https://help-for-early-years-providers.eduaction.gov.uk" TargetMode="External"/><Relationship Id="rId19" Type="http://schemas.openxmlformats.org/officeDocument/2006/relationships/hyperlink" Target="https://doi.org/10.1111/j.1467-8624.1990.tb02756.x" TargetMode="External"/><Relationship Id="rId4" Type="http://schemas.openxmlformats.org/officeDocument/2006/relationships/footnotes" Target="footnotes.xml"/><Relationship Id="rId9" Type="http://schemas.openxmlformats.org/officeDocument/2006/relationships/hyperlink" Target="https://doi.org/10.3390/healthcare9070871" TargetMode="External"/><Relationship Id="rId14" Type="http://schemas.openxmlformats.org/officeDocument/2006/relationships/hyperlink" Target="https://www.npeu.ox.ac.uk/ctu/news/2696-participant-withdrawal-from-a-study-what-it-really-means-and-how-to-manage-it" TargetMode="External"/><Relationship Id="rId22" Type="http://schemas.openxmlformats.org/officeDocument/2006/relationships/hyperlink" Target="https://libguides.newcastle.ed.au/researchmethod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669</TotalTime>
  <Pages>16</Pages>
  <Words>5339</Words>
  <Characters>30436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Sharp</dc:creator>
  <cp:keywords/>
  <dc:description/>
  <cp:lastModifiedBy>Mary Sharp</cp:lastModifiedBy>
  <cp:revision>36</cp:revision>
  <dcterms:created xsi:type="dcterms:W3CDTF">2025-05-10T07:21:00Z</dcterms:created>
  <dcterms:modified xsi:type="dcterms:W3CDTF">2025-05-18T20:11:00Z</dcterms:modified>
</cp:coreProperties>
</file>