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0269C9" w14:textId="4DCB066E" w:rsidR="00B43C40" w:rsidRPr="00C94379" w:rsidRDefault="00C94379" w:rsidP="00C81727">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shd w:val="clear" w:color="auto" w:fill="FFFFFF" w:themeFill="background1"/>
        <w:jc w:val="center"/>
        <w:rPr>
          <w:rFonts w:ascii="Arial" w:hAnsi="Arial" w:cs="Arial"/>
          <w:b/>
          <w:bCs/>
          <w:sz w:val="56"/>
          <w:szCs w:val="56"/>
        </w:rPr>
      </w:pPr>
      <w:r w:rsidRPr="00C94379">
        <w:rPr>
          <w:rFonts w:ascii="Arial" w:hAnsi="Arial" w:cs="Arial"/>
          <w:b/>
          <w:bCs/>
          <w:color w:val="202124"/>
          <w:sz w:val="56"/>
          <w:szCs w:val="56"/>
          <w:shd w:val="clear" w:color="auto" w:fill="FFFFFF"/>
        </w:rPr>
        <w:t xml:space="preserve">CIPD Level 5 Associate Diploma </w:t>
      </w:r>
    </w:p>
    <w:p w14:paraId="1BA131CB" w14:textId="52A8B3F8" w:rsidR="00B43C40" w:rsidRPr="00B43C40" w:rsidRDefault="00B43C40" w:rsidP="00B43C40">
      <w:pPr>
        <w:rPr>
          <w:rFonts w:ascii="Arial" w:hAnsi="Arial" w:cs="Arial"/>
          <w:sz w:val="36"/>
          <w:szCs w:val="36"/>
        </w:rPr>
      </w:pPr>
    </w:p>
    <w:p w14:paraId="11FFF045" w14:textId="293F675B" w:rsidR="00B43C40" w:rsidRPr="00B43C40" w:rsidRDefault="00B43C40" w:rsidP="00B43C40">
      <w:pPr>
        <w:rPr>
          <w:rFonts w:ascii="Arial" w:hAnsi="Arial" w:cs="Arial"/>
          <w:sz w:val="36"/>
          <w:szCs w:val="36"/>
        </w:rPr>
      </w:pPr>
    </w:p>
    <w:p w14:paraId="22B15166" w14:textId="77777777" w:rsidR="00B43C40" w:rsidRPr="00B43C40" w:rsidRDefault="00B43C40" w:rsidP="00B43C40">
      <w:pPr>
        <w:rPr>
          <w:rFonts w:ascii="Arial" w:hAnsi="Arial" w:cs="Arial"/>
          <w:sz w:val="36"/>
          <w:szCs w:val="36"/>
        </w:rPr>
      </w:pPr>
    </w:p>
    <w:p w14:paraId="078C70BA" w14:textId="27E0DD74" w:rsidR="00B43C40" w:rsidRPr="00B43C40" w:rsidRDefault="00C94379" w:rsidP="00B43C40">
      <w:pPr>
        <w:rPr>
          <w:rFonts w:ascii="Arial" w:hAnsi="Arial" w:cs="Arial"/>
          <w:sz w:val="36"/>
          <w:szCs w:val="36"/>
        </w:rPr>
      </w:pPr>
      <w:r>
        <w:rPr>
          <w:rFonts w:ascii="Arial" w:hAnsi="Arial" w:cs="Arial"/>
          <w:noProof/>
          <w:sz w:val="36"/>
          <w:szCs w:val="36"/>
        </w:rPr>
        <w:drawing>
          <wp:anchor distT="0" distB="0" distL="114300" distR="114300" simplePos="0" relativeHeight="251658240" behindDoc="1" locked="0" layoutInCell="1" allowOverlap="1" wp14:anchorId="7BE25E3F" wp14:editId="7D1D68A8">
            <wp:simplePos x="0" y="0"/>
            <wp:positionH relativeFrom="margin">
              <wp:align>center</wp:align>
            </wp:positionH>
            <wp:positionV relativeFrom="paragraph">
              <wp:posOffset>213360</wp:posOffset>
            </wp:positionV>
            <wp:extent cx="4171315" cy="2314575"/>
            <wp:effectExtent l="0" t="0" r="635" b="9525"/>
            <wp:wrapTight wrapText="bothSides">
              <wp:wrapPolygon edited="0">
                <wp:start x="0" y="0"/>
                <wp:lineTo x="0" y="21511"/>
                <wp:lineTo x="21505" y="21511"/>
                <wp:lineTo x="21505" y="0"/>
                <wp:lineTo x="0" y="0"/>
              </wp:wrapPolygon>
            </wp:wrapTight>
            <wp:docPr id="1605215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71315" cy="2314575"/>
                    </a:xfrm>
                    <a:prstGeom prst="rect">
                      <a:avLst/>
                    </a:prstGeom>
                    <a:noFill/>
                  </pic:spPr>
                </pic:pic>
              </a:graphicData>
            </a:graphic>
            <wp14:sizeRelH relativeFrom="page">
              <wp14:pctWidth>0</wp14:pctWidth>
            </wp14:sizeRelH>
            <wp14:sizeRelV relativeFrom="page">
              <wp14:pctHeight>0</wp14:pctHeight>
            </wp14:sizeRelV>
          </wp:anchor>
        </w:drawing>
      </w:r>
    </w:p>
    <w:p w14:paraId="31CD4BAA" w14:textId="3C3A6927" w:rsidR="00B43C40" w:rsidRPr="00B43C40" w:rsidRDefault="00B43C40" w:rsidP="00B43C40">
      <w:pPr>
        <w:rPr>
          <w:rFonts w:ascii="Arial" w:hAnsi="Arial" w:cs="Arial"/>
          <w:sz w:val="36"/>
          <w:szCs w:val="36"/>
        </w:rPr>
      </w:pPr>
    </w:p>
    <w:p w14:paraId="2BDC8629" w14:textId="77777777" w:rsidR="00B43C40" w:rsidRPr="00B43C40" w:rsidRDefault="00B43C40" w:rsidP="00B43C40">
      <w:pPr>
        <w:rPr>
          <w:rFonts w:ascii="Arial" w:hAnsi="Arial" w:cs="Arial"/>
          <w:sz w:val="36"/>
          <w:szCs w:val="36"/>
        </w:rPr>
      </w:pPr>
    </w:p>
    <w:p w14:paraId="46139EB9" w14:textId="77777777" w:rsidR="00B43C40" w:rsidRPr="00B43C40" w:rsidRDefault="00B43C40" w:rsidP="00B43C40">
      <w:pPr>
        <w:rPr>
          <w:rFonts w:ascii="Arial" w:hAnsi="Arial" w:cs="Arial"/>
          <w:sz w:val="36"/>
          <w:szCs w:val="36"/>
        </w:rPr>
      </w:pPr>
    </w:p>
    <w:p w14:paraId="79BCF226" w14:textId="77777777" w:rsidR="00B43C40" w:rsidRPr="00B43C40" w:rsidRDefault="00B43C40" w:rsidP="00B43C40">
      <w:pPr>
        <w:rPr>
          <w:rFonts w:ascii="Arial" w:hAnsi="Arial" w:cs="Arial"/>
          <w:sz w:val="36"/>
          <w:szCs w:val="36"/>
        </w:rPr>
      </w:pPr>
    </w:p>
    <w:p w14:paraId="60A29EED" w14:textId="77777777" w:rsidR="00B43C40" w:rsidRPr="00B43C40" w:rsidRDefault="00B43C40" w:rsidP="00B43C40">
      <w:pPr>
        <w:rPr>
          <w:rFonts w:ascii="Arial" w:hAnsi="Arial" w:cs="Arial"/>
          <w:sz w:val="36"/>
          <w:szCs w:val="36"/>
        </w:rPr>
      </w:pPr>
    </w:p>
    <w:p w14:paraId="59B7E581" w14:textId="77777777" w:rsidR="00B43C40" w:rsidRPr="00B43C40" w:rsidRDefault="00B43C40" w:rsidP="00B43C40">
      <w:pPr>
        <w:rPr>
          <w:rFonts w:ascii="Arial" w:hAnsi="Arial" w:cs="Arial"/>
          <w:sz w:val="36"/>
          <w:szCs w:val="36"/>
        </w:rPr>
      </w:pPr>
    </w:p>
    <w:p w14:paraId="2837E074" w14:textId="77777777" w:rsidR="00012729" w:rsidRDefault="00012729" w:rsidP="00B43C40">
      <w:pPr>
        <w:rPr>
          <w:rFonts w:ascii="Arial" w:hAnsi="Arial" w:cs="Arial"/>
          <w:sz w:val="36"/>
          <w:szCs w:val="36"/>
        </w:rPr>
      </w:pPr>
    </w:p>
    <w:p w14:paraId="0DC974E6" w14:textId="1D9E8E74" w:rsidR="00B51C68" w:rsidRDefault="00B43C40"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B43C40">
        <w:rPr>
          <w:rFonts w:ascii="Arial" w:hAnsi="Arial" w:cs="Arial"/>
          <w:sz w:val="44"/>
          <w:szCs w:val="44"/>
        </w:rPr>
        <w:t>NEFYN CARDWELL</w:t>
      </w:r>
    </w:p>
    <w:p w14:paraId="637DBBC8" w14:textId="77777777" w:rsidR="001048CD" w:rsidRPr="001048CD" w:rsidRDefault="001048CD" w:rsidP="001048CD">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1048CD">
        <w:rPr>
          <w:rFonts w:ascii="Arial" w:hAnsi="Arial" w:cs="Arial"/>
          <w:sz w:val="44"/>
          <w:szCs w:val="44"/>
        </w:rPr>
        <w:t>Specialist employment law</w:t>
      </w:r>
    </w:p>
    <w:p w14:paraId="19F42392" w14:textId="0B95D941" w:rsidR="001048CD" w:rsidRPr="00651564" w:rsidRDefault="001048CD" w:rsidP="001048CD">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lang w:val="pt-PT"/>
        </w:rPr>
      </w:pPr>
      <w:r w:rsidRPr="00651564">
        <w:rPr>
          <w:rFonts w:ascii="Arial" w:hAnsi="Arial" w:cs="Arial"/>
          <w:sz w:val="44"/>
          <w:szCs w:val="44"/>
          <w:lang w:val="pt-PT"/>
        </w:rPr>
        <w:t>CIPD 5OS01</w:t>
      </w:r>
    </w:p>
    <w:p w14:paraId="25D77813" w14:textId="4A8CE32D" w:rsidR="00C94379" w:rsidRPr="00651564" w:rsidRDefault="00C94379" w:rsidP="001048CD">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lang w:val="pt-PT"/>
        </w:rPr>
      </w:pPr>
      <w:r w:rsidRPr="00651564">
        <w:rPr>
          <w:rFonts w:ascii="Arial" w:hAnsi="Arial" w:cs="Arial"/>
          <w:sz w:val="44"/>
          <w:szCs w:val="44"/>
          <w:lang w:val="pt-PT"/>
        </w:rPr>
        <w:t>Student no – 0001268</w:t>
      </w:r>
    </w:p>
    <w:p w14:paraId="7DA7B4FE" w14:textId="4BD5FC59" w:rsidR="00C94379" w:rsidRPr="00651564" w:rsidRDefault="00C94379"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lang w:val="pt-PT"/>
        </w:rPr>
      </w:pPr>
      <w:r w:rsidRPr="00651564">
        <w:rPr>
          <w:rFonts w:ascii="Arial" w:hAnsi="Arial" w:cs="Arial"/>
          <w:sz w:val="44"/>
          <w:szCs w:val="44"/>
          <w:lang w:val="pt-PT"/>
        </w:rPr>
        <w:t>CIPD no -  88139558</w:t>
      </w:r>
    </w:p>
    <w:p w14:paraId="08E15F92" w14:textId="039BD42D" w:rsidR="005709AA" w:rsidRDefault="005709AA"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 xml:space="preserve">Word Count - </w:t>
      </w:r>
      <w:r w:rsidR="00F0355D">
        <w:rPr>
          <w:rFonts w:ascii="Arial" w:hAnsi="Arial" w:cs="Arial"/>
          <w:sz w:val="44"/>
          <w:szCs w:val="44"/>
        </w:rPr>
        <w:t>4198</w:t>
      </w:r>
    </w:p>
    <w:p w14:paraId="27BCFA9F" w14:textId="77777777" w:rsidR="001048CD" w:rsidRDefault="001048CD" w:rsidP="00E46AE8">
      <w:pPr>
        <w:rPr>
          <w:rFonts w:ascii="Arial" w:hAnsi="Arial" w:cs="Arial"/>
          <w:b/>
          <w:bCs/>
          <w:u w:val="single"/>
        </w:rPr>
      </w:pPr>
    </w:p>
    <w:p w14:paraId="54687788" w14:textId="544CF76D" w:rsidR="009279A0" w:rsidRPr="009279A0" w:rsidRDefault="009279A0" w:rsidP="00E46AE8">
      <w:pPr>
        <w:rPr>
          <w:rFonts w:ascii="Arial" w:hAnsi="Arial" w:cs="Arial"/>
          <w:b/>
          <w:bCs/>
          <w:u w:val="single"/>
        </w:rPr>
      </w:pPr>
      <w:r w:rsidRPr="009279A0">
        <w:rPr>
          <w:rFonts w:ascii="Arial" w:hAnsi="Arial" w:cs="Arial"/>
          <w:b/>
          <w:bCs/>
          <w:u w:val="single"/>
        </w:rPr>
        <w:lastRenderedPageBreak/>
        <w:t>Task 1</w:t>
      </w:r>
    </w:p>
    <w:p w14:paraId="1E4B0BCE" w14:textId="40405357" w:rsidR="00E46AE8" w:rsidRPr="003254B7" w:rsidRDefault="00E46AE8" w:rsidP="00E46AE8">
      <w:pPr>
        <w:rPr>
          <w:rFonts w:ascii="Arial" w:hAnsi="Arial" w:cs="Arial"/>
          <w:b/>
          <w:bCs/>
        </w:rPr>
      </w:pPr>
      <w:r w:rsidRPr="003254B7">
        <w:rPr>
          <w:rFonts w:ascii="Arial" w:hAnsi="Arial" w:cs="Arial"/>
          <w:b/>
          <w:bCs/>
        </w:rPr>
        <w:t>1)</w:t>
      </w:r>
      <w:r w:rsidRPr="003254B7">
        <w:rPr>
          <w:rFonts w:ascii="Arial" w:hAnsi="Arial" w:cs="Arial"/>
          <w:b/>
          <w:bCs/>
        </w:rPr>
        <w:tab/>
      </w:r>
      <w:r w:rsidR="001048CD" w:rsidRPr="001048CD">
        <w:rPr>
          <w:rFonts w:ascii="Arial" w:hAnsi="Arial" w:cs="Arial"/>
          <w:b/>
          <w:bCs/>
        </w:rPr>
        <w:t>Evaluate the aims and objectives of employment regulation. (AC 1.1)</w:t>
      </w:r>
    </w:p>
    <w:p w14:paraId="5646423B" w14:textId="07A3E689" w:rsidR="001048CD" w:rsidRDefault="00B156E6" w:rsidP="001048CD">
      <w:pPr>
        <w:rPr>
          <w:rFonts w:ascii="Arial" w:hAnsi="Arial" w:cs="Arial"/>
        </w:rPr>
      </w:pPr>
      <w:r>
        <w:rPr>
          <w:rFonts w:ascii="Arial" w:hAnsi="Arial" w:cs="Arial"/>
        </w:rPr>
        <w:t xml:space="preserve">To </w:t>
      </w:r>
      <w:r w:rsidR="004A26BF">
        <w:rPr>
          <w:rFonts w:ascii="Arial" w:hAnsi="Arial" w:cs="Arial"/>
        </w:rPr>
        <w:t>e</w:t>
      </w:r>
      <w:r>
        <w:rPr>
          <w:rFonts w:ascii="Arial" w:hAnsi="Arial" w:cs="Arial"/>
        </w:rPr>
        <w:t xml:space="preserve">valuate we must look at both good and bad points of the regulations: </w:t>
      </w:r>
    </w:p>
    <w:p w14:paraId="79B30A36" w14:textId="78D656BE" w:rsidR="00B156E6" w:rsidRPr="00B156E6" w:rsidRDefault="00B156E6" w:rsidP="00B156E6">
      <w:pPr>
        <w:rPr>
          <w:rFonts w:ascii="Arial" w:hAnsi="Arial" w:cs="Arial"/>
        </w:rPr>
      </w:pPr>
      <w:r w:rsidRPr="00B156E6">
        <w:rPr>
          <w:rFonts w:ascii="Arial" w:hAnsi="Arial" w:cs="Arial"/>
        </w:rPr>
        <w:t>1.</w:t>
      </w:r>
      <w:r w:rsidRPr="00B156E6">
        <w:rPr>
          <w:rFonts w:ascii="Arial" w:hAnsi="Arial" w:cs="Arial"/>
        </w:rPr>
        <w:tab/>
        <w:t xml:space="preserve">Employment regulation in the </w:t>
      </w:r>
      <w:r>
        <w:rPr>
          <w:rFonts w:ascii="Arial" w:hAnsi="Arial" w:cs="Arial"/>
        </w:rPr>
        <w:t>United Kingdom (</w:t>
      </w:r>
      <w:r w:rsidRPr="00B156E6">
        <w:rPr>
          <w:rFonts w:ascii="Arial" w:hAnsi="Arial" w:cs="Arial"/>
        </w:rPr>
        <w:t>UK</w:t>
      </w:r>
      <w:r>
        <w:rPr>
          <w:rFonts w:ascii="Arial" w:hAnsi="Arial" w:cs="Arial"/>
        </w:rPr>
        <w:t>)</w:t>
      </w:r>
      <w:r w:rsidRPr="00B156E6">
        <w:rPr>
          <w:rFonts w:ascii="Arial" w:hAnsi="Arial" w:cs="Arial"/>
        </w:rPr>
        <w:t xml:space="preserve"> aims to protect the rights of workers, ensuring they are treated fairly and have access to basic entitlements such as the minimum wage, paid holidays, and protection against unfair dismissal. These regulations promote dignity and security for workers, contributing to their overall well-being and job satisfaction.</w:t>
      </w:r>
      <w:r w:rsidRPr="00B156E6">
        <w:t xml:space="preserve"> </w:t>
      </w:r>
      <w:r w:rsidRPr="00B156E6">
        <w:rPr>
          <w:rFonts w:ascii="Arial" w:hAnsi="Arial" w:cs="Arial"/>
        </w:rPr>
        <w:t xml:space="preserve">The CIPD (2022) emphasizes the importance of robust employment laws in safeguarding employee rights and promoting a culture of fairness and respect within organisations CIPD, </w:t>
      </w:r>
      <w:r>
        <w:rPr>
          <w:rFonts w:ascii="Arial" w:hAnsi="Arial" w:cs="Arial"/>
        </w:rPr>
        <w:t>(</w:t>
      </w:r>
      <w:r w:rsidRPr="00B156E6">
        <w:rPr>
          <w:rFonts w:ascii="Arial" w:hAnsi="Arial" w:cs="Arial"/>
        </w:rPr>
        <w:t>2020). Legislation such as the Employment Rights Act and the Equality Act serves to uphold these rights, ensuring that all individuals have equal opportunities and are treated with dignity and respect in the workplace.</w:t>
      </w:r>
      <w:r w:rsidRPr="00B156E6">
        <w:t xml:space="preserve"> </w:t>
      </w:r>
      <w:r w:rsidRPr="00B156E6">
        <w:rPr>
          <w:rFonts w:ascii="Arial" w:hAnsi="Arial" w:cs="Arial"/>
        </w:rPr>
        <w:t>Academic studies, such as those by Freeman and Kleiner (2005), highlight how employment regulations, such as minimum wage laws and anti-discrimination policies, help mitigate inequalities and ensure workers receive fair compensation and opportunities for advancement.</w:t>
      </w:r>
    </w:p>
    <w:p w14:paraId="4476C792" w14:textId="51CAA072" w:rsidR="00B156E6" w:rsidRPr="00B156E6" w:rsidRDefault="00B156E6" w:rsidP="00B156E6">
      <w:pPr>
        <w:rPr>
          <w:rFonts w:ascii="Arial" w:hAnsi="Arial" w:cs="Arial"/>
        </w:rPr>
      </w:pPr>
      <w:r>
        <w:rPr>
          <w:rFonts w:ascii="Arial" w:hAnsi="Arial" w:cs="Arial"/>
        </w:rPr>
        <w:t>2</w:t>
      </w:r>
      <w:r w:rsidRPr="00B156E6">
        <w:rPr>
          <w:rFonts w:ascii="Arial" w:hAnsi="Arial" w:cs="Arial"/>
        </w:rPr>
        <w:t>.</w:t>
      </w:r>
      <w:r w:rsidRPr="00B156E6">
        <w:rPr>
          <w:rFonts w:ascii="Arial" w:hAnsi="Arial" w:cs="Arial"/>
        </w:rPr>
        <w:tab/>
        <w:t>Regulations such as those governing working hours, flexible working arrangements, and parental leave aim to support employees in achieving a healthy work-life balance. By facilitating greater flexibility and accommodating employees' personal responsibilities, these regulations enhance well-being, productivity, and retention rates within the workforce.</w:t>
      </w:r>
    </w:p>
    <w:p w14:paraId="1BD30FD9" w14:textId="7F09BA48" w:rsidR="00B156E6" w:rsidRPr="00B156E6" w:rsidRDefault="00B156E6" w:rsidP="00B156E6">
      <w:pPr>
        <w:rPr>
          <w:rFonts w:ascii="Arial" w:hAnsi="Arial" w:cs="Arial"/>
        </w:rPr>
      </w:pPr>
      <w:r w:rsidRPr="00B156E6">
        <w:rPr>
          <w:rFonts w:ascii="Arial" w:hAnsi="Arial" w:cs="Arial"/>
        </w:rPr>
        <w:t>4.</w:t>
      </w:r>
      <w:r w:rsidRPr="00B156E6">
        <w:rPr>
          <w:rFonts w:ascii="Arial" w:hAnsi="Arial" w:cs="Arial"/>
        </w:rPr>
        <w:tab/>
        <w:t>Employment regulations in the UK prioritize the safety and health of workers by setting standards for workplace conditions and practices. The Health and Safety at Work Act 1974, for instance, mandates employers to ensure the health, safety, and welfare of their employees, thereby reducing the risk of work-related injuries and illnesses.</w:t>
      </w:r>
    </w:p>
    <w:p w14:paraId="0B13A937" w14:textId="333C5145" w:rsidR="00B156E6" w:rsidRPr="00B156E6" w:rsidRDefault="00B156E6" w:rsidP="00B156E6">
      <w:pPr>
        <w:rPr>
          <w:rFonts w:ascii="Arial" w:hAnsi="Arial" w:cs="Arial"/>
        </w:rPr>
      </w:pPr>
      <w:r w:rsidRPr="00B156E6">
        <w:rPr>
          <w:rFonts w:ascii="Arial" w:hAnsi="Arial" w:cs="Arial"/>
        </w:rPr>
        <w:t>5.</w:t>
      </w:r>
      <w:r w:rsidRPr="00B156E6">
        <w:rPr>
          <w:rFonts w:ascii="Arial" w:hAnsi="Arial" w:cs="Arial"/>
        </w:rPr>
        <w:tab/>
        <w:t>Regulations governing employment contracts, disciplinary procedures, and grievance mechanisms aim to facilitate fair dispute resolution between employers and employees. By providing clear guidelines and avenues for resolving conflicts, these regulations help to maintain harmonious employment relationships and prevent costly litigation.</w:t>
      </w:r>
    </w:p>
    <w:p w14:paraId="0C4F4AFF" w14:textId="77777777" w:rsidR="00B156E6" w:rsidRPr="00B156E6" w:rsidRDefault="00B156E6" w:rsidP="00B156E6">
      <w:pPr>
        <w:rPr>
          <w:rFonts w:ascii="Arial" w:hAnsi="Arial" w:cs="Arial"/>
        </w:rPr>
      </w:pPr>
      <w:r w:rsidRPr="00B156E6">
        <w:rPr>
          <w:rFonts w:ascii="Arial" w:hAnsi="Arial" w:cs="Arial"/>
        </w:rPr>
        <w:t>Bad Points:</w:t>
      </w:r>
    </w:p>
    <w:p w14:paraId="58FCCBF6" w14:textId="2C069A4F" w:rsidR="00B156E6" w:rsidRPr="00B156E6" w:rsidRDefault="00B156E6" w:rsidP="00B156E6">
      <w:pPr>
        <w:rPr>
          <w:rFonts w:ascii="Arial" w:hAnsi="Arial" w:cs="Arial"/>
        </w:rPr>
      </w:pPr>
      <w:r w:rsidRPr="00B156E6">
        <w:rPr>
          <w:rFonts w:ascii="Arial" w:hAnsi="Arial" w:cs="Arial"/>
        </w:rPr>
        <w:t>1.</w:t>
      </w:r>
      <w:r w:rsidRPr="00B156E6">
        <w:rPr>
          <w:rFonts w:ascii="Arial" w:hAnsi="Arial" w:cs="Arial"/>
        </w:rPr>
        <w:tab/>
        <w:t>Some smaller businesses may find it challenging to comply with the complex array of employment regulations in the UK, leading to increased administrative burdens and compliance costs. This could potentially deter entrepreneurship and hinder the growth of small enterprises, particularly in sectors with tight profit margins.</w:t>
      </w:r>
    </w:p>
    <w:p w14:paraId="75298676" w14:textId="4274FE98" w:rsidR="00B156E6" w:rsidRPr="00B156E6" w:rsidRDefault="00B156E6" w:rsidP="00B156E6">
      <w:pPr>
        <w:rPr>
          <w:rFonts w:ascii="Arial" w:hAnsi="Arial" w:cs="Arial"/>
        </w:rPr>
      </w:pPr>
      <w:r w:rsidRPr="00B156E6">
        <w:rPr>
          <w:rFonts w:ascii="Arial" w:hAnsi="Arial" w:cs="Arial"/>
        </w:rPr>
        <w:t>2.</w:t>
      </w:r>
      <w:r w:rsidRPr="00B156E6">
        <w:rPr>
          <w:rFonts w:ascii="Arial" w:hAnsi="Arial" w:cs="Arial"/>
        </w:rPr>
        <w:tab/>
        <w:t xml:space="preserve">Excessive or overly prescriptive employment regulations may stifle innovation and flexibility in the </w:t>
      </w:r>
      <w:r w:rsidRPr="00B156E6">
        <w:rPr>
          <w:rFonts w:ascii="Arial" w:hAnsi="Arial" w:cs="Arial"/>
        </w:rPr>
        <w:t>labour</w:t>
      </w:r>
      <w:r w:rsidRPr="00B156E6">
        <w:rPr>
          <w:rFonts w:ascii="Arial" w:hAnsi="Arial" w:cs="Arial"/>
        </w:rPr>
        <w:t xml:space="preserve"> market, particularly in rapidly evolving industries. A one-size-fits-all approach to regulation may not adequately account for the diverse needs and circumstances of different employers and employees, leading to unintended consequences or inefficiencies.</w:t>
      </w:r>
    </w:p>
    <w:p w14:paraId="551864DC" w14:textId="1D57F346" w:rsidR="00B156E6" w:rsidRPr="00B156E6" w:rsidRDefault="00B156E6" w:rsidP="00B156E6">
      <w:pPr>
        <w:rPr>
          <w:rFonts w:ascii="Arial" w:hAnsi="Arial" w:cs="Arial"/>
        </w:rPr>
      </w:pPr>
      <w:r w:rsidRPr="00B156E6">
        <w:rPr>
          <w:rFonts w:ascii="Arial" w:hAnsi="Arial" w:cs="Arial"/>
        </w:rPr>
        <w:t>3.</w:t>
      </w:r>
      <w:r w:rsidRPr="00B156E6">
        <w:rPr>
          <w:rFonts w:ascii="Arial" w:hAnsi="Arial" w:cs="Arial"/>
        </w:rPr>
        <w:tab/>
        <w:t>Stringent employment regulations, such as stringent dismissal procedures or high statutory redundancy payments, may create disincentives for employers to hire new staff or expand their operations. This could impede job creation and economic growth, particularly during periods of economic uncertainty or downturn.</w:t>
      </w:r>
    </w:p>
    <w:p w14:paraId="23E23FD7" w14:textId="521C870A" w:rsidR="00B156E6" w:rsidRPr="00AC4BCB" w:rsidRDefault="00B156E6" w:rsidP="00B156E6">
      <w:pPr>
        <w:rPr>
          <w:rFonts w:ascii="Arial" w:hAnsi="Arial" w:cs="Arial"/>
        </w:rPr>
      </w:pPr>
      <w:r w:rsidRPr="00B156E6">
        <w:rPr>
          <w:rFonts w:ascii="Arial" w:hAnsi="Arial" w:cs="Arial"/>
        </w:rPr>
        <w:lastRenderedPageBreak/>
        <w:t>4.</w:t>
      </w:r>
      <w:r w:rsidRPr="00B156E6">
        <w:rPr>
          <w:rFonts w:ascii="Arial" w:hAnsi="Arial" w:cs="Arial"/>
        </w:rPr>
        <w:tab/>
        <w:t xml:space="preserve">Despite robust legislation, enforcement </w:t>
      </w:r>
      <w:r w:rsidRPr="00AC4BCB">
        <w:rPr>
          <w:rFonts w:ascii="Arial" w:hAnsi="Arial" w:cs="Arial"/>
        </w:rPr>
        <w:t xml:space="preserve">mechanisms for employment regulations in the UK may sometimes be inadequate, leading to instances of non-compliance or exploitation, particularly in sectors with high levels of informal employment or precarious work arrangements. </w:t>
      </w:r>
    </w:p>
    <w:p w14:paraId="52ED811F" w14:textId="10ADBEF6" w:rsidR="00651564" w:rsidRPr="00762387" w:rsidRDefault="00B156E6" w:rsidP="00762387">
      <w:pPr>
        <w:rPr>
          <w:rFonts w:ascii="Arial" w:hAnsi="Arial" w:cs="Arial"/>
        </w:rPr>
      </w:pPr>
      <w:r w:rsidRPr="00AC4BCB">
        <w:rPr>
          <w:rFonts w:ascii="Arial" w:hAnsi="Arial" w:cs="Arial"/>
        </w:rPr>
        <w:t>W</w:t>
      </w:r>
      <w:r w:rsidR="00651564" w:rsidRPr="00651564">
        <w:rPr>
          <w:rFonts w:ascii="Arial" w:hAnsi="Arial" w:cs="Arial"/>
        </w:rPr>
        <w:t>hile employment regulation in the UK serves important purposes such as protecting worker rights, promoting equality, and ensuring workplace safety, it also poses challenges such as compliance costs for businesses, regulatory overreach, and potential barriers to hiring and expansion. Striking a balance between regulatory objectives and practical considerations is essential to maximi</w:t>
      </w:r>
      <w:r w:rsidR="00AC4BCB" w:rsidRPr="00AC4BCB">
        <w:rPr>
          <w:rFonts w:ascii="Arial" w:hAnsi="Arial" w:cs="Arial"/>
        </w:rPr>
        <w:t>s</w:t>
      </w:r>
      <w:r w:rsidR="00651564" w:rsidRPr="00651564">
        <w:rPr>
          <w:rFonts w:ascii="Arial" w:hAnsi="Arial" w:cs="Arial"/>
        </w:rPr>
        <w:t>e the benefits of employment regulation while mitigating its drawbacks.</w:t>
      </w:r>
    </w:p>
    <w:p w14:paraId="5AB6ECCA" w14:textId="614333AB" w:rsidR="00E46AE8" w:rsidRDefault="00E46AE8" w:rsidP="001048CD">
      <w:pPr>
        <w:rPr>
          <w:rFonts w:ascii="Arial" w:hAnsi="Arial" w:cs="Arial"/>
          <w:b/>
          <w:bCs/>
        </w:rPr>
      </w:pPr>
      <w:r w:rsidRPr="003254B7">
        <w:rPr>
          <w:rFonts w:ascii="Arial" w:hAnsi="Arial" w:cs="Arial"/>
          <w:b/>
          <w:bCs/>
        </w:rPr>
        <w:t>2)</w:t>
      </w:r>
      <w:r w:rsidRPr="003254B7">
        <w:rPr>
          <w:rFonts w:ascii="Arial" w:hAnsi="Arial" w:cs="Arial"/>
          <w:b/>
          <w:bCs/>
        </w:rPr>
        <w:tab/>
      </w:r>
      <w:r w:rsidR="001048CD" w:rsidRPr="001048CD">
        <w:rPr>
          <w:rFonts w:ascii="Arial" w:hAnsi="Arial" w:cs="Arial"/>
          <w:b/>
          <w:bCs/>
        </w:rPr>
        <w:t>Examine the role played by the tribunal and courts system in enforcing employment law. (AC 1.2</w:t>
      </w:r>
      <w:r w:rsidR="001048CD">
        <w:rPr>
          <w:rFonts w:ascii="Arial" w:hAnsi="Arial" w:cs="Arial"/>
          <w:b/>
          <w:bCs/>
        </w:rPr>
        <w:t>)</w:t>
      </w:r>
    </w:p>
    <w:p w14:paraId="26F94AE6" w14:textId="4C0158A5" w:rsidR="003A0C84" w:rsidRPr="003A0C84" w:rsidRDefault="003A0C84" w:rsidP="003A0C84">
      <w:pPr>
        <w:rPr>
          <w:rFonts w:ascii="Arial" w:hAnsi="Arial" w:cs="Arial"/>
        </w:rPr>
      </w:pPr>
      <w:r w:rsidRPr="003A0C84">
        <w:rPr>
          <w:rFonts w:ascii="Arial" w:hAnsi="Arial" w:cs="Arial"/>
        </w:rPr>
        <w:t>The tribunal and courts system in the UK plays a crucial role in enforcing employment law, providing a mechanism for resolving disputes between employers and employees.</w:t>
      </w:r>
      <w:r>
        <w:rPr>
          <w:rFonts w:ascii="Arial" w:hAnsi="Arial" w:cs="Arial"/>
        </w:rPr>
        <w:t xml:space="preserve"> There are</w:t>
      </w:r>
      <w:r w:rsidR="004A26BF">
        <w:rPr>
          <w:rFonts w:ascii="Arial" w:hAnsi="Arial" w:cs="Arial"/>
        </w:rPr>
        <w:t xml:space="preserve"> </w:t>
      </w:r>
      <w:r>
        <w:rPr>
          <w:rFonts w:ascii="Arial" w:hAnsi="Arial" w:cs="Arial"/>
        </w:rPr>
        <w:t xml:space="preserve">a  number of approaches than can be taken. </w:t>
      </w:r>
    </w:p>
    <w:p w14:paraId="57ECB232" w14:textId="3FC943F2" w:rsidR="003A0C84" w:rsidRPr="003A0C84" w:rsidRDefault="003A0C84" w:rsidP="003A0C84">
      <w:pPr>
        <w:rPr>
          <w:rFonts w:ascii="Arial" w:hAnsi="Arial" w:cs="Arial"/>
        </w:rPr>
      </w:pPr>
      <w:r w:rsidRPr="003A0C84">
        <w:rPr>
          <w:rFonts w:ascii="Arial" w:hAnsi="Arial" w:cs="Arial"/>
        </w:rPr>
        <w:t>Employment Tribunals are independent judicial bodies that hear cases related to employment disputes, including unfair dismissal, discrimination, and breach of employment contracts. They offer an informal and accessible avenue for individuals to seek redress for grievances against their employers. Employment Tribunals have the authority to judge on legal disputes, make legally binding decisions, and award remedies such as compensation to aggrieved parties</w:t>
      </w:r>
      <w:r w:rsidR="00AC4BCB">
        <w:rPr>
          <w:rFonts w:ascii="Arial" w:hAnsi="Arial" w:cs="Arial"/>
        </w:rPr>
        <w:t xml:space="preserve">, </w:t>
      </w:r>
      <w:r w:rsidRPr="003A0C84">
        <w:rPr>
          <w:rFonts w:ascii="Arial" w:hAnsi="Arial" w:cs="Arial"/>
        </w:rPr>
        <w:t xml:space="preserve">CIPD, </w:t>
      </w:r>
      <w:r w:rsidR="00AC4BCB">
        <w:rPr>
          <w:rFonts w:ascii="Arial" w:hAnsi="Arial" w:cs="Arial"/>
        </w:rPr>
        <w:t>(</w:t>
      </w:r>
      <w:r w:rsidRPr="003A0C84">
        <w:rPr>
          <w:rFonts w:ascii="Arial" w:hAnsi="Arial" w:cs="Arial"/>
        </w:rPr>
        <w:t>2020).</w:t>
      </w:r>
    </w:p>
    <w:p w14:paraId="0FD64E9A" w14:textId="57384B98" w:rsidR="003A0C84" w:rsidRPr="003A0C84" w:rsidRDefault="003A0C84" w:rsidP="003A0C84">
      <w:pPr>
        <w:rPr>
          <w:rFonts w:ascii="Arial" w:hAnsi="Arial" w:cs="Arial"/>
        </w:rPr>
      </w:pPr>
      <w:r w:rsidRPr="003A0C84">
        <w:rPr>
          <w:rFonts w:ascii="Arial" w:hAnsi="Arial" w:cs="Arial"/>
        </w:rPr>
        <w:t>The Employment Appeal Tribunal serves as an appellate body, hearing appeals from decisions made by Employment Tribunals. It plays a vital role in ensuring consistency in the application of employment law and providing a route for challenging legal errors or procedural irregularities in tribunal decisions. The EAT has the power to uphold, reverse, or modify decisions made by lower tribunals, contributing to the development and clarification of employment law jurisprudence</w:t>
      </w:r>
      <w:r w:rsidR="00AC4BCB">
        <w:rPr>
          <w:rFonts w:ascii="Arial" w:hAnsi="Arial" w:cs="Arial"/>
        </w:rPr>
        <w:t xml:space="preserve">, </w:t>
      </w:r>
      <w:r w:rsidRPr="003A0C84">
        <w:rPr>
          <w:rFonts w:ascii="Arial" w:hAnsi="Arial" w:cs="Arial"/>
        </w:rPr>
        <w:t xml:space="preserve">GOV.UK, </w:t>
      </w:r>
      <w:r w:rsidR="00AC4BCB">
        <w:rPr>
          <w:rFonts w:ascii="Arial" w:hAnsi="Arial" w:cs="Arial"/>
        </w:rPr>
        <w:t>(2024</w:t>
      </w:r>
      <w:r w:rsidRPr="003A0C84">
        <w:rPr>
          <w:rFonts w:ascii="Arial" w:hAnsi="Arial" w:cs="Arial"/>
        </w:rPr>
        <w:t>).</w:t>
      </w:r>
    </w:p>
    <w:p w14:paraId="30643920" w14:textId="123147ED" w:rsidR="001048CD" w:rsidRDefault="003A0C84" w:rsidP="003A0C84">
      <w:pPr>
        <w:rPr>
          <w:rFonts w:ascii="Arial" w:hAnsi="Arial" w:cs="Arial"/>
        </w:rPr>
      </w:pPr>
      <w:r w:rsidRPr="5AFB156D">
        <w:rPr>
          <w:rFonts w:ascii="Arial" w:hAnsi="Arial" w:cs="Arial"/>
        </w:rPr>
        <w:t xml:space="preserve">While Employment Tribunals primarily handle employment-related disputes, certain matters may also be brought before civil courts, such as the County Court or the High Court. </w:t>
      </w:r>
    </w:p>
    <w:p w14:paraId="6CDDFBF0" w14:textId="4C1C3194" w:rsidR="00651564" w:rsidRPr="00AC4BCB" w:rsidRDefault="00AC4BCB" w:rsidP="00AC4BCB">
      <w:pPr>
        <w:rPr>
          <w:rFonts w:ascii="Arial" w:hAnsi="Arial" w:cs="Arial"/>
        </w:rPr>
      </w:pPr>
      <w:r w:rsidRPr="00AC4BCB">
        <w:rPr>
          <w:rFonts w:ascii="Arial" w:hAnsi="Arial" w:cs="Arial"/>
        </w:rPr>
        <w:t xml:space="preserve">There is also the possibility of cases going to the court of appeal or the supreme court. </w:t>
      </w:r>
      <w:r w:rsidR="00651564" w:rsidRPr="00AC4BCB">
        <w:rPr>
          <w:rFonts w:ascii="Arial" w:hAnsi="Arial" w:cs="Arial"/>
        </w:rPr>
        <w:t>The Court of Appeal is the intermediate appellate court in the UK legal system, sitting above the High Court and below the Supreme Court.</w:t>
      </w:r>
      <w:r w:rsidRPr="00AC4BCB">
        <w:rPr>
          <w:rFonts w:ascii="Arial" w:hAnsi="Arial" w:cs="Arial"/>
        </w:rPr>
        <w:t xml:space="preserve"> </w:t>
      </w:r>
      <w:r w:rsidR="00651564" w:rsidRPr="00AC4BCB">
        <w:rPr>
          <w:rFonts w:ascii="Arial" w:hAnsi="Arial" w:cs="Arial"/>
        </w:rPr>
        <w:t>Its primary role in employment law is to hear appeals from decisions made by the Employment Appeal Tribunal (EAT) and certain cases from the Employment Tribunals.</w:t>
      </w:r>
      <w:r w:rsidRPr="00AC4BCB">
        <w:rPr>
          <w:rFonts w:ascii="Arial" w:hAnsi="Arial" w:cs="Arial"/>
        </w:rPr>
        <w:t xml:space="preserve"> </w:t>
      </w:r>
      <w:r w:rsidR="00651564" w:rsidRPr="00AC4BCB">
        <w:rPr>
          <w:rFonts w:ascii="Arial" w:hAnsi="Arial" w:cs="Arial"/>
        </w:rPr>
        <w:t>The Court of Appeal clarifies points of law and sets legal precedents through its judgments, which provide guidance to lower courts and tribunals in interpreting and applying employment legislation.</w:t>
      </w:r>
    </w:p>
    <w:p w14:paraId="14253E90" w14:textId="7981F3AB" w:rsidR="00651564" w:rsidRPr="00AC4BCB" w:rsidRDefault="00651564" w:rsidP="00AC4BCB">
      <w:pPr>
        <w:rPr>
          <w:rFonts w:ascii="Arial" w:hAnsi="Arial" w:cs="Arial"/>
        </w:rPr>
      </w:pPr>
      <w:r w:rsidRPr="00AC4BCB">
        <w:rPr>
          <w:rFonts w:ascii="Arial" w:hAnsi="Arial" w:cs="Arial"/>
        </w:rPr>
        <w:t>In employment law cases, the Supreme Court may hear appeals from decisions made by the Court of Appeal, particularly where there are significant points of law or issues of public importance at stake.</w:t>
      </w:r>
      <w:r w:rsidR="00AC4BCB" w:rsidRPr="00AC4BCB">
        <w:rPr>
          <w:rFonts w:ascii="Arial" w:hAnsi="Arial" w:cs="Arial"/>
        </w:rPr>
        <w:t xml:space="preserve"> </w:t>
      </w:r>
      <w:r w:rsidRPr="00AC4BCB">
        <w:rPr>
          <w:rFonts w:ascii="Arial" w:hAnsi="Arial" w:cs="Arial"/>
        </w:rPr>
        <w:t>Its judgments have a profound impact on the development of employment law, as they establish binding legal principles and precedents that lower courts and tribunals must follow.</w:t>
      </w:r>
      <w:r w:rsidR="00AC4BCB" w:rsidRPr="00AC4BCB">
        <w:rPr>
          <w:rFonts w:ascii="Arial" w:hAnsi="Arial" w:cs="Arial"/>
        </w:rPr>
        <w:t xml:space="preserve"> </w:t>
      </w:r>
      <w:r w:rsidRPr="00AC4BCB">
        <w:rPr>
          <w:rFonts w:ascii="Arial" w:hAnsi="Arial" w:cs="Arial"/>
        </w:rPr>
        <w:t>The Supreme Court plays a crucial role in interpreting constitutional matters, human rights legislation, and complex legal issues that intersect with employment law.</w:t>
      </w:r>
    </w:p>
    <w:p w14:paraId="0A561D0F" w14:textId="504CE779" w:rsidR="00651564" w:rsidRPr="00E2348F" w:rsidRDefault="00651564" w:rsidP="00E2348F">
      <w:pPr>
        <w:rPr>
          <w:rFonts w:ascii="Arial" w:hAnsi="Arial" w:cs="Arial"/>
        </w:rPr>
      </w:pPr>
      <w:r w:rsidRPr="00AC4BCB">
        <w:rPr>
          <w:rFonts w:ascii="Arial" w:hAnsi="Arial" w:cs="Arial"/>
        </w:rPr>
        <w:lastRenderedPageBreak/>
        <w:t xml:space="preserve">Overall, the Court of Appeal, Supreme Court, and employment tribunals play complementary roles in enforcing employment law in the UK. While the appellate courts provide authoritative interpretations of the law and set precedents, employment tribunals serve as accessible forums for resolving disputes and safeguarding individuals' rights in the workplace. </w:t>
      </w:r>
    </w:p>
    <w:p w14:paraId="0309762C" w14:textId="132EC096" w:rsidR="003254B7" w:rsidRDefault="003A0C84" w:rsidP="00E46AE8">
      <w:pPr>
        <w:rPr>
          <w:rFonts w:ascii="Arial" w:hAnsi="Arial" w:cs="Arial"/>
          <w:b/>
          <w:bCs/>
        </w:rPr>
      </w:pPr>
      <w:r w:rsidRPr="003A0C84">
        <w:rPr>
          <w:rFonts w:ascii="Arial" w:hAnsi="Arial" w:cs="Arial"/>
          <w:b/>
          <w:bCs/>
        </w:rPr>
        <w:t>3.</w:t>
      </w:r>
      <w:r w:rsidRPr="003A0C84">
        <w:rPr>
          <w:rFonts w:ascii="Arial" w:hAnsi="Arial" w:cs="Arial"/>
          <w:b/>
          <w:bCs/>
        </w:rPr>
        <w:tab/>
        <w:t>Explain how cases are settled before and during legal procedures. (AC 1.3)</w:t>
      </w:r>
    </w:p>
    <w:p w14:paraId="09BA7BA5" w14:textId="77777777" w:rsidR="004E75F8" w:rsidRDefault="003A0C84" w:rsidP="004E75F8">
      <w:pPr>
        <w:rPr>
          <w:rFonts w:ascii="Arial" w:hAnsi="Arial" w:cs="Arial"/>
        </w:rPr>
      </w:pPr>
      <w:r w:rsidRPr="003A0C84">
        <w:rPr>
          <w:rFonts w:ascii="Arial" w:hAnsi="Arial" w:cs="Arial"/>
        </w:rPr>
        <w:t>Many employment disputes are resolved through informal negotiations between the parties involved, often facilitated by HR professionals, trade union representatives, or legal advisors. Informal discussions allow the parties to explore potential solutions to the dispute without resorting to formal legal proceedings. This approach can be particularly effective for resolving minor grievances or misunderstandings, as it enables the parties to maintain a working relationship and reach a mutually acceptable resolution without the need for formal intervention (CIPD, 2020).</w:t>
      </w:r>
      <w:r w:rsidR="006B2F05">
        <w:rPr>
          <w:rFonts w:ascii="Arial" w:hAnsi="Arial" w:cs="Arial"/>
        </w:rPr>
        <w:t xml:space="preserve"> </w:t>
      </w:r>
    </w:p>
    <w:p w14:paraId="0C23DE11" w14:textId="522621F6" w:rsidR="003A0C84" w:rsidRPr="003A0C84" w:rsidRDefault="006B2F05" w:rsidP="004E75F8">
      <w:pPr>
        <w:rPr>
          <w:rFonts w:ascii="Arial" w:hAnsi="Arial" w:cs="Arial"/>
        </w:rPr>
      </w:pPr>
      <w:r>
        <w:rPr>
          <w:rFonts w:ascii="Arial" w:hAnsi="Arial" w:cs="Arial"/>
        </w:rPr>
        <w:t xml:space="preserve">Another method used to settle cases is mediation. </w:t>
      </w:r>
      <w:r w:rsidR="003A0C84" w:rsidRPr="003A0C84">
        <w:rPr>
          <w:rFonts w:ascii="Arial" w:hAnsi="Arial" w:cs="Arial"/>
        </w:rPr>
        <w:t>Mediation can take place at any stage of the dispute resolution process, including before legal proceedings commence or during ongoing litigation. The mediator does not impose a decision but assists the parties in exploring options and finding common ground. Mediation is often preferred for its cost-effectiveness, speed, and flexibility compared to formal court proceedings, and it can help preserve relationships and avoid the adversarial nature of litigation (Acas, 2021).</w:t>
      </w:r>
    </w:p>
    <w:p w14:paraId="00FBA4E2" w14:textId="433BED88" w:rsidR="00651564" w:rsidRPr="00762387" w:rsidRDefault="00651564" w:rsidP="00762387">
      <w:pPr>
        <w:rPr>
          <w:rFonts w:ascii="Arial" w:hAnsi="Arial" w:cs="Arial"/>
        </w:rPr>
      </w:pPr>
      <w:r w:rsidRPr="00762387">
        <w:rPr>
          <w:rFonts w:ascii="Arial" w:hAnsi="Arial" w:cs="Arial"/>
        </w:rPr>
        <w:t>Cases can be settled both before and during legal procedures, either with the assistance of the Advisory, Conciliation and Arbitration Service (ACAS) or outside of ACAS. ACAS provides a platform for resolving employment disputes through conciliation, while settlements outside of ACAS may involve direct negotiations between the parties or alternative dispute resolution methods such as mediation or arbitration.</w:t>
      </w:r>
    </w:p>
    <w:p w14:paraId="4D72397E" w14:textId="4A8AD495" w:rsidR="00651564" w:rsidRPr="00762387" w:rsidRDefault="00651564" w:rsidP="00AC4BCB">
      <w:pPr>
        <w:rPr>
          <w:rFonts w:ascii="Arial" w:hAnsi="Arial" w:cs="Arial"/>
        </w:rPr>
      </w:pPr>
      <w:r w:rsidRPr="00762387">
        <w:rPr>
          <w:rFonts w:ascii="Arial" w:hAnsi="Arial" w:cs="Arial"/>
        </w:rPr>
        <w:t>Settlements with ACAS:</w:t>
      </w:r>
    </w:p>
    <w:p w14:paraId="32146932" w14:textId="77777777" w:rsidR="00651564" w:rsidRPr="00762387" w:rsidRDefault="00651564" w:rsidP="00651564">
      <w:pPr>
        <w:rPr>
          <w:rFonts w:ascii="Arial" w:hAnsi="Arial" w:cs="Arial"/>
        </w:rPr>
      </w:pPr>
      <w:r w:rsidRPr="00762387">
        <w:rPr>
          <w:rFonts w:ascii="Arial" w:hAnsi="Arial" w:cs="Arial"/>
        </w:rPr>
        <w:t>Before Legal Procedures: Parties involved in an employment dispute can engage with ACAS for early conciliation, where an ACAS conciliator acts as a neutral third party to facilitate discussions between the employer and the employee. The aim is to reach a mutually acceptable settlement and avoid the need for formal legal proceedings.</w:t>
      </w:r>
    </w:p>
    <w:p w14:paraId="54147582" w14:textId="77777777" w:rsidR="00651564" w:rsidRPr="00762387" w:rsidRDefault="00651564" w:rsidP="00651564">
      <w:pPr>
        <w:rPr>
          <w:rFonts w:ascii="Arial" w:hAnsi="Arial" w:cs="Arial"/>
        </w:rPr>
      </w:pPr>
      <w:r w:rsidRPr="00762387">
        <w:rPr>
          <w:rFonts w:ascii="Arial" w:hAnsi="Arial" w:cs="Arial"/>
        </w:rPr>
        <w:t>During Legal Procedures: If a claim is already lodged with an employment tribunal, ACAS may still offer conciliation services to help parties reach a settlement before the case goes to a full hearing. This can save time, costs, and potential stress associated with litigation.</w:t>
      </w:r>
    </w:p>
    <w:p w14:paraId="2F721298" w14:textId="4B0A46F3" w:rsidR="00651564" w:rsidRPr="00762387" w:rsidRDefault="00651564" w:rsidP="00AC4BCB">
      <w:pPr>
        <w:rPr>
          <w:rFonts w:ascii="Arial" w:hAnsi="Arial" w:cs="Arial"/>
        </w:rPr>
      </w:pPr>
      <w:r w:rsidRPr="00762387">
        <w:rPr>
          <w:rFonts w:ascii="Arial" w:hAnsi="Arial" w:cs="Arial"/>
        </w:rPr>
        <w:t>Settlements Outside of ACAS:</w:t>
      </w:r>
    </w:p>
    <w:p w14:paraId="46402058" w14:textId="77777777" w:rsidR="00651564" w:rsidRPr="00762387" w:rsidRDefault="00651564" w:rsidP="00651564">
      <w:pPr>
        <w:rPr>
          <w:rFonts w:ascii="Arial" w:hAnsi="Arial" w:cs="Arial"/>
        </w:rPr>
      </w:pPr>
      <w:r w:rsidRPr="00762387">
        <w:rPr>
          <w:rFonts w:ascii="Arial" w:hAnsi="Arial" w:cs="Arial"/>
        </w:rPr>
        <w:t>Direct Negotiations: Employers and employees may choose to negotiate directly with each other or through legal representatives to resolve the dispute without involving ACAS or legal proceedings. This can involve discussions, offers, counteroffers, and compromises until an agreement is reached.</w:t>
      </w:r>
    </w:p>
    <w:p w14:paraId="2525A29E" w14:textId="77777777" w:rsidR="00651564" w:rsidRPr="00762387" w:rsidRDefault="00651564" w:rsidP="00651564">
      <w:pPr>
        <w:rPr>
          <w:rFonts w:ascii="Arial" w:hAnsi="Arial" w:cs="Arial"/>
        </w:rPr>
      </w:pPr>
      <w:r w:rsidRPr="00762387">
        <w:rPr>
          <w:rFonts w:ascii="Arial" w:hAnsi="Arial" w:cs="Arial"/>
        </w:rPr>
        <w:t>Mediation: Parties may opt for mediation, where a neutral mediator facilitates negotiations and helps parties explore options for settlement. Mediation allows for flexible and creative solutions tailored to the specific needs and interests of the parties involved.</w:t>
      </w:r>
    </w:p>
    <w:p w14:paraId="2FDC484A" w14:textId="77777777" w:rsidR="00651564" w:rsidRPr="00762387" w:rsidRDefault="00651564" w:rsidP="00651564">
      <w:pPr>
        <w:rPr>
          <w:rFonts w:ascii="Arial" w:hAnsi="Arial" w:cs="Arial"/>
        </w:rPr>
      </w:pPr>
      <w:r w:rsidRPr="00762387">
        <w:rPr>
          <w:rFonts w:ascii="Arial" w:hAnsi="Arial" w:cs="Arial"/>
        </w:rPr>
        <w:lastRenderedPageBreak/>
        <w:t>Arbitration: In some cases, parties may agree to submit their dispute to arbitration, where an arbitrator makes a binding decision based on the evidence presented. Arbitration can offer a more streamlined and confidential process compared to traditional litigation.</w:t>
      </w:r>
    </w:p>
    <w:p w14:paraId="506383F4" w14:textId="25A09E45" w:rsidR="00E46AE8" w:rsidRDefault="00E46AE8" w:rsidP="00E46AE8">
      <w:pPr>
        <w:rPr>
          <w:rFonts w:ascii="Arial" w:hAnsi="Arial" w:cs="Arial"/>
          <w:b/>
          <w:bCs/>
        </w:rPr>
      </w:pPr>
      <w:r w:rsidRPr="00E46AE8">
        <w:rPr>
          <w:rFonts w:ascii="Arial" w:hAnsi="Arial" w:cs="Arial"/>
        </w:rPr>
        <w:t>4)</w:t>
      </w:r>
      <w:r w:rsidRPr="00E46AE8">
        <w:rPr>
          <w:rFonts w:ascii="Arial" w:hAnsi="Arial" w:cs="Arial"/>
        </w:rPr>
        <w:tab/>
      </w:r>
      <w:r w:rsidR="006B2F05" w:rsidRPr="006B2F05">
        <w:rPr>
          <w:rFonts w:ascii="Arial" w:hAnsi="Arial" w:cs="Arial"/>
          <w:b/>
          <w:bCs/>
        </w:rPr>
        <w:t>Charlotte and Madeleine 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w:t>
      </w:r>
    </w:p>
    <w:p w14:paraId="606BEDBE" w14:textId="5AE7F0C7" w:rsidR="006B2F05" w:rsidRPr="006B2F05" w:rsidRDefault="006B2F05" w:rsidP="00572BFA">
      <w:pPr>
        <w:rPr>
          <w:rFonts w:ascii="Arial" w:hAnsi="Arial" w:cs="Arial"/>
        </w:rPr>
      </w:pPr>
      <w:r w:rsidRPr="006B2F05">
        <w:rPr>
          <w:rFonts w:ascii="Arial" w:hAnsi="Arial" w:cs="Arial"/>
        </w:rPr>
        <w:t>Appointing only young men to avoid dealing with retirement and maternity leave issues is discriminatory and unethical. By excluding older candidates and women from the recruitment process, Charlotte and Madeleine are denying equal opportunities to qualified individuals based on protected characteristics</w:t>
      </w:r>
      <w:r w:rsidR="00A308CA" w:rsidRPr="00A308CA">
        <w:t xml:space="preserve"> </w:t>
      </w:r>
      <w:r w:rsidR="00A308CA" w:rsidRPr="00A308CA">
        <w:rPr>
          <w:rFonts w:ascii="Arial" w:hAnsi="Arial" w:cs="Arial"/>
        </w:rPr>
        <w:t>Equality Act 2010 in the UK and can lead to legal repercussions, Daft et al (2015)</w:t>
      </w:r>
      <w:r w:rsidRPr="006B2F05">
        <w:rPr>
          <w:rFonts w:ascii="Arial" w:hAnsi="Arial" w:cs="Arial"/>
        </w:rPr>
        <w:t xml:space="preserve">. This undermines diversity and inclusion efforts and perpetuates societal inequalities (Equality and Human Rights Commission, </w:t>
      </w:r>
      <w:r w:rsidR="00762387">
        <w:rPr>
          <w:rFonts w:ascii="Arial" w:hAnsi="Arial" w:cs="Arial"/>
        </w:rPr>
        <w:t>2024</w:t>
      </w:r>
      <w:r w:rsidRPr="006B2F05">
        <w:rPr>
          <w:rFonts w:ascii="Arial" w:hAnsi="Arial" w:cs="Arial"/>
        </w:rPr>
        <w:t>).Moreover, appointing based on demographic characteristics rather than merit can result in a less diverse and less innovative workforce. Diverse teams bring a variety of perspectives, experiences, and skills to the table, leading to better decision-making, problem-solving, and creativity. By limiting their pool of candidates to young men, Charlotte and Madeleine may miss out on valuable talent and hinder their business growth and success (CIPD, 2020).</w:t>
      </w:r>
    </w:p>
    <w:p w14:paraId="543D6A7C" w14:textId="611DA231" w:rsidR="006B2F05" w:rsidRPr="006B2F05" w:rsidRDefault="006B2F05" w:rsidP="006B2F05">
      <w:pPr>
        <w:rPr>
          <w:rFonts w:ascii="Arial" w:hAnsi="Arial" w:cs="Arial"/>
        </w:rPr>
      </w:pPr>
      <w:r w:rsidRPr="006B2F05">
        <w:rPr>
          <w:rFonts w:ascii="Arial" w:hAnsi="Arial" w:cs="Arial"/>
        </w:rPr>
        <w:t xml:space="preserve">Instead of resorting to discriminatory practices, Charlotte and Madeleine should adopt fair and inclusive recruitment and selection processes. This involves developing job descriptions and selection criteria based on genuine job requirements rather than arbitrary demographic preferences. They should also ensure equal access to job opportunities for all individuals, regardless of age, </w:t>
      </w:r>
      <w:r w:rsidR="00762387">
        <w:rPr>
          <w:rFonts w:ascii="Arial" w:hAnsi="Arial" w:cs="Arial"/>
        </w:rPr>
        <w:t xml:space="preserve">sex / </w:t>
      </w:r>
      <w:r w:rsidR="00005CEF">
        <w:rPr>
          <w:rFonts w:ascii="Arial" w:hAnsi="Arial" w:cs="Arial"/>
        </w:rPr>
        <w:t>sex</w:t>
      </w:r>
      <w:r w:rsidRPr="006B2F05">
        <w:rPr>
          <w:rFonts w:ascii="Arial" w:hAnsi="Arial" w:cs="Arial"/>
        </w:rPr>
        <w:t>, or any other protected characteristic (Acas, 2021).</w:t>
      </w:r>
    </w:p>
    <w:p w14:paraId="083CEDBA" w14:textId="1CB29BAA" w:rsidR="006B2F05" w:rsidRPr="006B2F05" w:rsidRDefault="006B2F05" w:rsidP="006B2F05">
      <w:pPr>
        <w:rPr>
          <w:rFonts w:ascii="Arial" w:hAnsi="Arial" w:cs="Arial"/>
        </w:rPr>
      </w:pPr>
      <w:r w:rsidRPr="006B2F05">
        <w:rPr>
          <w:rFonts w:ascii="Arial" w:hAnsi="Arial" w:cs="Arial"/>
        </w:rPr>
        <w:t xml:space="preserve">By embracing diversity and inclusion in their hiring practices, Charlotte and Madeleine can create a more equitable and sustainable work environment while complying with discrimination legislation and avoiding legal and reputational risks associated with discriminatory </w:t>
      </w:r>
      <w:r w:rsidR="00572BFA" w:rsidRPr="006B2F05">
        <w:rPr>
          <w:rFonts w:ascii="Arial" w:hAnsi="Arial" w:cs="Arial"/>
        </w:rPr>
        <w:t>behaviour</w:t>
      </w:r>
      <w:r w:rsidR="00572BFA">
        <w:rPr>
          <w:rFonts w:ascii="Arial" w:hAnsi="Arial" w:cs="Arial"/>
        </w:rPr>
        <w:t xml:space="preserve">, </w:t>
      </w:r>
      <w:r w:rsidR="00572BFA" w:rsidRPr="00572BFA">
        <w:rPr>
          <w:rFonts w:ascii="Arial" w:hAnsi="Arial" w:cs="Arial"/>
        </w:rPr>
        <w:t>Institute for Employment Studies. (2009).</w:t>
      </w:r>
    </w:p>
    <w:p w14:paraId="12FC640E" w14:textId="22637B99" w:rsidR="003334E1" w:rsidRDefault="006B2F05" w:rsidP="003334E1">
      <w:pPr>
        <w:rPr>
          <w:rFonts w:ascii="Arial" w:hAnsi="Arial" w:cs="Arial"/>
          <w:b/>
          <w:bCs/>
        </w:rPr>
      </w:pPr>
      <w:r>
        <w:rPr>
          <w:rFonts w:ascii="Arial" w:hAnsi="Arial" w:cs="Arial"/>
          <w:b/>
          <w:bCs/>
        </w:rPr>
        <w:t xml:space="preserve">5)        </w:t>
      </w:r>
      <w:r w:rsidRPr="006B2F05">
        <w:rPr>
          <w:rFonts w:ascii="Arial" w:hAnsi="Arial" w:cs="Arial"/>
          <w:b/>
          <w:bCs/>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4F756722" w14:textId="29457470" w:rsidR="00762387" w:rsidRPr="00762387" w:rsidRDefault="00762387" w:rsidP="00762387">
      <w:pPr>
        <w:rPr>
          <w:rFonts w:ascii="Arial" w:hAnsi="Arial" w:cs="Arial"/>
        </w:rPr>
      </w:pPr>
      <w:r>
        <w:rPr>
          <w:rFonts w:ascii="Arial" w:hAnsi="Arial" w:cs="Arial"/>
        </w:rPr>
        <w:t xml:space="preserve">The </w:t>
      </w:r>
      <w:r w:rsidRPr="00762387">
        <w:rPr>
          <w:rFonts w:ascii="Arial" w:hAnsi="Arial" w:cs="Arial"/>
        </w:rPr>
        <w:t xml:space="preserve">decision to pay Cat less than Kit solely based on </w:t>
      </w:r>
      <w:r w:rsidR="00005CEF">
        <w:rPr>
          <w:rFonts w:ascii="Arial" w:hAnsi="Arial" w:cs="Arial"/>
        </w:rPr>
        <w:t>sex</w:t>
      </w:r>
      <w:r w:rsidRPr="00762387">
        <w:rPr>
          <w:rFonts w:ascii="Arial" w:hAnsi="Arial" w:cs="Arial"/>
        </w:rPr>
        <w:t xml:space="preserve"> is a violation of the Equal Pay Act 1970, which prohibits discrimination in pay and conditions between men and women performing equal work. Since Cat and Kit are both restaurant managers with similar duties, qualifications, and experience, they are entitled to equal pay for equal work.</w:t>
      </w:r>
    </w:p>
    <w:p w14:paraId="06AC30B9" w14:textId="31491BF8" w:rsidR="00762387" w:rsidRPr="00762387" w:rsidRDefault="00762387" w:rsidP="00762387">
      <w:pPr>
        <w:rPr>
          <w:rFonts w:ascii="Arial" w:hAnsi="Arial" w:cs="Arial"/>
        </w:rPr>
      </w:pPr>
      <w:r w:rsidRPr="00762387">
        <w:rPr>
          <w:rFonts w:ascii="Arial" w:hAnsi="Arial" w:cs="Arial"/>
        </w:rPr>
        <w:t xml:space="preserve">Under the Equality Act 2010, it is unlawful for employers to discriminate against employees on the basis of </w:t>
      </w:r>
      <w:r w:rsidR="00005CEF">
        <w:rPr>
          <w:rFonts w:ascii="Arial" w:hAnsi="Arial" w:cs="Arial"/>
        </w:rPr>
        <w:t>sex</w:t>
      </w:r>
      <w:r w:rsidRPr="00762387">
        <w:rPr>
          <w:rFonts w:ascii="Arial" w:hAnsi="Arial" w:cs="Arial"/>
        </w:rPr>
        <w:t xml:space="preserve">. Paying Cat less than Kit solely because she is a woman constitutes direct </w:t>
      </w:r>
      <w:r w:rsidR="00005CEF">
        <w:rPr>
          <w:rFonts w:ascii="Arial" w:hAnsi="Arial" w:cs="Arial"/>
        </w:rPr>
        <w:t>sex</w:t>
      </w:r>
      <w:r w:rsidRPr="00762387">
        <w:rPr>
          <w:rFonts w:ascii="Arial" w:hAnsi="Arial" w:cs="Arial"/>
        </w:rPr>
        <w:t xml:space="preserve"> discrimination, which is prohibited by law. </w:t>
      </w:r>
      <w:r>
        <w:rPr>
          <w:rFonts w:ascii="Arial" w:hAnsi="Arial" w:cs="Arial"/>
        </w:rPr>
        <w:t xml:space="preserve">The </w:t>
      </w:r>
      <w:r w:rsidRPr="00762387">
        <w:rPr>
          <w:rFonts w:ascii="Arial" w:hAnsi="Arial" w:cs="Arial"/>
        </w:rPr>
        <w:t xml:space="preserve">assertion that Kit "deserves" more money implies a biased judgment based on </w:t>
      </w:r>
      <w:r w:rsidR="00005CEF">
        <w:rPr>
          <w:rFonts w:ascii="Arial" w:hAnsi="Arial" w:cs="Arial"/>
        </w:rPr>
        <w:t>sex</w:t>
      </w:r>
      <w:r w:rsidRPr="00762387">
        <w:rPr>
          <w:rFonts w:ascii="Arial" w:hAnsi="Arial" w:cs="Arial"/>
        </w:rPr>
        <w:t xml:space="preserve"> rather than merit.</w:t>
      </w:r>
    </w:p>
    <w:p w14:paraId="25381A7B" w14:textId="35F40129" w:rsidR="00762387" w:rsidRPr="00762387" w:rsidRDefault="00762387" w:rsidP="00762387">
      <w:pPr>
        <w:rPr>
          <w:rFonts w:ascii="Arial" w:hAnsi="Arial" w:cs="Arial"/>
        </w:rPr>
      </w:pPr>
      <w:r w:rsidRPr="00762387">
        <w:rPr>
          <w:rFonts w:ascii="Arial" w:hAnsi="Arial" w:cs="Arial"/>
        </w:rPr>
        <w:lastRenderedPageBreak/>
        <w:t xml:space="preserve">Fostering a fair and inclusive workplace is essential for maintaining employee morale, productivity, and trust. By perpetuating </w:t>
      </w:r>
      <w:r w:rsidR="00005CEF">
        <w:rPr>
          <w:rFonts w:ascii="Arial" w:hAnsi="Arial" w:cs="Arial"/>
        </w:rPr>
        <w:t>sex</w:t>
      </w:r>
      <w:r w:rsidRPr="00762387">
        <w:rPr>
          <w:rFonts w:ascii="Arial" w:hAnsi="Arial" w:cs="Arial"/>
        </w:rPr>
        <w:t>-based pay disparities, Charlotte risks undermining employee satisfaction and loyalty. In addition, failure to address such disparities can damage the company's reputation and brand image, potentially leading to legal repercussions and negative publicity.</w:t>
      </w:r>
    </w:p>
    <w:p w14:paraId="147FCF5C" w14:textId="4A1DC722" w:rsidR="00762387" w:rsidRPr="00762387" w:rsidRDefault="00762387" w:rsidP="00762387">
      <w:pPr>
        <w:rPr>
          <w:rFonts w:ascii="Arial" w:hAnsi="Arial" w:cs="Arial"/>
        </w:rPr>
      </w:pPr>
      <w:r w:rsidRPr="00762387">
        <w:rPr>
          <w:rFonts w:ascii="Arial" w:hAnsi="Arial" w:cs="Arial"/>
        </w:rPr>
        <w:t xml:space="preserve">I would advise </w:t>
      </w:r>
      <w:r>
        <w:rPr>
          <w:rFonts w:ascii="Arial" w:hAnsi="Arial" w:cs="Arial"/>
        </w:rPr>
        <w:t xml:space="preserve">Charlotte </w:t>
      </w:r>
      <w:r w:rsidRPr="00762387">
        <w:rPr>
          <w:rFonts w:ascii="Arial" w:hAnsi="Arial" w:cs="Arial"/>
        </w:rPr>
        <w:t>to start by addressing the issue informally with C</w:t>
      </w:r>
      <w:r>
        <w:rPr>
          <w:rFonts w:ascii="Arial" w:hAnsi="Arial" w:cs="Arial"/>
        </w:rPr>
        <w:t>at.</w:t>
      </w:r>
      <w:r w:rsidRPr="00762387">
        <w:rPr>
          <w:rFonts w:ascii="Arial" w:hAnsi="Arial" w:cs="Arial"/>
        </w:rPr>
        <w:t xml:space="preserve"> Charlotte may be open to resolving the matter informally, especially if presented with compelling evidence and reasoning (Acas, 2021). If informal discussions do not lead to a satisfactory resolution, Cat </w:t>
      </w:r>
      <w:r>
        <w:rPr>
          <w:rFonts w:ascii="Arial" w:hAnsi="Arial" w:cs="Arial"/>
        </w:rPr>
        <w:t xml:space="preserve">could </w:t>
      </w:r>
      <w:r w:rsidRPr="00762387">
        <w:rPr>
          <w:rFonts w:ascii="Arial" w:hAnsi="Arial" w:cs="Arial"/>
        </w:rPr>
        <w:t xml:space="preserve">escalate the matter formally. </w:t>
      </w:r>
      <w:r>
        <w:rPr>
          <w:rFonts w:ascii="Arial" w:hAnsi="Arial" w:cs="Arial"/>
        </w:rPr>
        <w:t>Cat</w:t>
      </w:r>
      <w:r w:rsidRPr="00762387">
        <w:rPr>
          <w:rFonts w:ascii="Arial" w:hAnsi="Arial" w:cs="Arial"/>
        </w:rPr>
        <w:t xml:space="preserve"> can submit a formal grievance outlining her concerns about pay discrimination and requesting a review of her salary. Cat </w:t>
      </w:r>
      <w:r>
        <w:rPr>
          <w:rFonts w:ascii="Arial" w:hAnsi="Arial" w:cs="Arial"/>
        </w:rPr>
        <w:t xml:space="preserve">could </w:t>
      </w:r>
      <w:r w:rsidRPr="00762387">
        <w:rPr>
          <w:rFonts w:ascii="Arial" w:hAnsi="Arial" w:cs="Arial"/>
        </w:rPr>
        <w:t xml:space="preserve">follow the restaurant's grievance procedure and provide all relevant evidence to support her case. </w:t>
      </w:r>
      <w:r>
        <w:rPr>
          <w:rFonts w:ascii="Arial" w:hAnsi="Arial" w:cs="Arial"/>
        </w:rPr>
        <w:t xml:space="preserve">As such </w:t>
      </w:r>
      <w:r w:rsidRPr="00762387">
        <w:rPr>
          <w:rFonts w:ascii="Arial" w:hAnsi="Arial" w:cs="Arial"/>
        </w:rPr>
        <w:t>Charlotte and the restaurant management have a legal obligation to investigate Cat's grievance thoroughly and fairly, and they should not retaliate against her for raising legitimate concerns about pay inequality (CIPD, 2020).</w:t>
      </w:r>
    </w:p>
    <w:p w14:paraId="2E2E6B5E" w14:textId="02C1B0B9" w:rsidR="00762387" w:rsidRPr="00762387" w:rsidRDefault="00762387" w:rsidP="00762387">
      <w:pPr>
        <w:rPr>
          <w:rFonts w:ascii="Arial" w:hAnsi="Arial" w:cs="Arial"/>
        </w:rPr>
      </w:pPr>
      <w:r w:rsidRPr="00762387">
        <w:rPr>
          <w:rFonts w:ascii="Arial" w:hAnsi="Arial" w:cs="Arial"/>
        </w:rPr>
        <w:t>Charlotte should immediately adjust Cat's salary to match that of Kit, ensuring equal pay for equal work and compliance with legal requirements.</w:t>
      </w:r>
      <w:r>
        <w:rPr>
          <w:rFonts w:ascii="Arial" w:hAnsi="Arial" w:cs="Arial"/>
        </w:rPr>
        <w:t xml:space="preserve"> It might be in </w:t>
      </w:r>
      <w:r w:rsidRPr="00762387">
        <w:rPr>
          <w:rFonts w:ascii="Arial" w:hAnsi="Arial" w:cs="Arial"/>
        </w:rPr>
        <w:t xml:space="preserve">Charlotte and other management personnel </w:t>
      </w:r>
      <w:r>
        <w:rPr>
          <w:rFonts w:ascii="Arial" w:hAnsi="Arial" w:cs="Arial"/>
        </w:rPr>
        <w:t>to u</w:t>
      </w:r>
      <w:r w:rsidRPr="00762387">
        <w:rPr>
          <w:rFonts w:ascii="Arial" w:hAnsi="Arial" w:cs="Arial"/>
        </w:rPr>
        <w:t xml:space="preserve">ndergo training on </w:t>
      </w:r>
      <w:r w:rsidR="00005CEF">
        <w:rPr>
          <w:rFonts w:ascii="Arial" w:hAnsi="Arial" w:cs="Arial"/>
        </w:rPr>
        <w:t>sex</w:t>
      </w:r>
      <w:r w:rsidRPr="00762387">
        <w:rPr>
          <w:rFonts w:ascii="Arial" w:hAnsi="Arial" w:cs="Arial"/>
        </w:rPr>
        <w:t xml:space="preserve"> equality, diversity, and inclusion to foster a culture of fairness and respect in the workplace.</w:t>
      </w:r>
    </w:p>
    <w:p w14:paraId="09220B05" w14:textId="3A085861" w:rsidR="00651564" w:rsidRPr="00E2348F" w:rsidRDefault="00762387" w:rsidP="00E2348F">
      <w:pPr>
        <w:rPr>
          <w:rFonts w:ascii="Arial" w:hAnsi="Arial" w:cs="Arial"/>
        </w:rPr>
      </w:pPr>
      <w:r w:rsidRPr="00762387">
        <w:rPr>
          <w:rFonts w:ascii="Arial" w:hAnsi="Arial" w:cs="Arial"/>
        </w:rPr>
        <w:t xml:space="preserve">Addressing </w:t>
      </w:r>
      <w:r w:rsidR="00005CEF">
        <w:rPr>
          <w:rFonts w:ascii="Arial" w:hAnsi="Arial" w:cs="Arial"/>
        </w:rPr>
        <w:t>sex</w:t>
      </w:r>
      <w:r w:rsidRPr="00762387">
        <w:rPr>
          <w:rFonts w:ascii="Arial" w:hAnsi="Arial" w:cs="Arial"/>
        </w:rPr>
        <w:t xml:space="preserve"> pay disparities is not only a legal imperative but also a moral and ethical obligation for employers. Charlotte's refusal to rectify the pay discrepancy between Cat and Kit undermines principles of fairness, equality, and respect in the workplace. Taking corrective action to ensure equal pay for equal work is essential for promoting a culture of diversity, inclusion, and fairness within the organi</w:t>
      </w:r>
      <w:r>
        <w:rPr>
          <w:rFonts w:ascii="Arial" w:hAnsi="Arial" w:cs="Arial"/>
        </w:rPr>
        <w:t>s</w:t>
      </w:r>
      <w:r w:rsidRPr="00762387">
        <w:rPr>
          <w:rFonts w:ascii="Arial" w:hAnsi="Arial" w:cs="Arial"/>
        </w:rPr>
        <w:t>ation.</w:t>
      </w:r>
      <w:r w:rsidR="00572BFA" w:rsidRPr="00572BFA">
        <w:rPr>
          <w:rFonts w:ascii="Arial" w:hAnsi="Arial" w:cs="Arial"/>
        </w:rPr>
        <w:t xml:space="preserve"> </w:t>
      </w:r>
    </w:p>
    <w:p w14:paraId="739B8059" w14:textId="266EF3D9" w:rsidR="00E46AE8" w:rsidRPr="00BA2B3A" w:rsidRDefault="006B2F05" w:rsidP="00E46AE8">
      <w:pPr>
        <w:rPr>
          <w:rFonts w:ascii="Arial" w:hAnsi="Arial" w:cs="Arial"/>
          <w:b/>
          <w:bCs/>
        </w:rPr>
      </w:pPr>
      <w:r>
        <w:rPr>
          <w:rFonts w:ascii="Arial" w:hAnsi="Arial" w:cs="Arial"/>
          <w:b/>
          <w:bCs/>
        </w:rPr>
        <w:t>6</w:t>
      </w:r>
      <w:r w:rsidR="00E46AE8" w:rsidRPr="00BA2B3A">
        <w:rPr>
          <w:rFonts w:ascii="Arial" w:hAnsi="Arial" w:cs="Arial"/>
          <w:b/>
          <w:bCs/>
        </w:rPr>
        <w:t>)</w:t>
      </w:r>
      <w:r w:rsidR="00E46AE8" w:rsidRPr="00BA2B3A">
        <w:rPr>
          <w:rFonts w:ascii="Arial" w:hAnsi="Arial" w:cs="Arial"/>
          <w:b/>
          <w:bCs/>
        </w:rPr>
        <w:tab/>
      </w:r>
      <w:r w:rsidRPr="006B2F05">
        <w:rPr>
          <w:rFonts w:ascii="Arial" w:hAnsi="Arial" w:cs="Arial"/>
          <w:b/>
          <w:bCs/>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3FA97B36" w14:textId="682DD3A7" w:rsidR="006B2F05" w:rsidRPr="006B2F05" w:rsidRDefault="006B2F05" w:rsidP="006B2F05">
      <w:pPr>
        <w:rPr>
          <w:rFonts w:ascii="Arial" w:hAnsi="Arial" w:cs="Arial"/>
        </w:rPr>
      </w:pPr>
      <w:r w:rsidRPr="006B2F05">
        <w:rPr>
          <w:rFonts w:ascii="Arial" w:hAnsi="Arial" w:cs="Arial"/>
        </w:rPr>
        <w:t>a.</w:t>
      </w:r>
      <w:r w:rsidRPr="006B2F05">
        <w:rPr>
          <w:rFonts w:ascii="Arial" w:hAnsi="Arial" w:cs="Arial"/>
        </w:rPr>
        <w:tab/>
        <w:t>Angelica, the manager (eight years’ service, 53 years old, salary £700 per week)</w:t>
      </w:r>
    </w:p>
    <w:p w14:paraId="63E8A5D9" w14:textId="77777777" w:rsidR="006B2F05" w:rsidRPr="006B2F05" w:rsidRDefault="006B2F05" w:rsidP="006B2F05">
      <w:pPr>
        <w:rPr>
          <w:rFonts w:ascii="Arial" w:hAnsi="Arial" w:cs="Arial"/>
        </w:rPr>
      </w:pPr>
      <w:r w:rsidRPr="006B2F05">
        <w:rPr>
          <w:rFonts w:ascii="Arial" w:hAnsi="Arial" w:cs="Arial"/>
        </w:rPr>
        <w:t>b.</w:t>
      </w:r>
      <w:r w:rsidRPr="006B2F05">
        <w:rPr>
          <w:rFonts w:ascii="Arial" w:hAnsi="Arial" w:cs="Arial"/>
        </w:rPr>
        <w:tab/>
        <w:t>Saffron, the supervisor (five years’ service, 30 years old, salary £350 per week)</w:t>
      </w:r>
    </w:p>
    <w:p w14:paraId="6F2F70DD" w14:textId="77777777" w:rsidR="006B2F05" w:rsidRPr="006B2F05" w:rsidRDefault="006B2F05" w:rsidP="006B2F05">
      <w:pPr>
        <w:rPr>
          <w:rFonts w:ascii="Arial" w:hAnsi="Arial" w:cs="Arial"/>
        </w:rPr>
      </w:pPr>
      <w:r w:rsidRPr="006B2F05">
        <w:rPr>
          <w:rFonts w:ascii="Arial" w:hAnsi="Arial" w:cs="Arial"/>
        </w:rPr>
        <w:t>c.</w:t>
      </w:r>
      <w:r w:rsidRPr="006B2F05">
        <w:rPr>
          <w:rFonts w:ascii="Arial" w:hAnsi="Arial" w:cs="Arial"/>
        </w:rPr>
        <w:tab/>
        <w:t>Chip and Cherry, full-time sales assistants, who are 18 years old, and Reese and Carmel, full-time sales assistants who are 19 years old. All four employees have one year’s service, are paid £9.00 per hour and work 25 hours a week)</w:t>
      </w:r>
    </w:p>
    <w:p w14:paraId="2F97B950" w14:textId="0A09B1DE" w:rsidR="00E46AE8" w:rsidRPr="00F908DE" w:rsidRDefault="006B2F05" w:rsidP="006B2F05">
      <w:pPr>
        <w:rPr>
          <w:rFonts w:ascii="Arial" w:hAnsi="Arial" w:cs="Arial"/>
          <w:b/>
          <w:bCs/>
        </w:rPr>
      </w:pPr>
      <w:r w:rsidRPr="00F908DE">
        <w:rPr>
          <w:rFonts w:ascii="Arial" w:hAnsi="Arial" w:cs="Arial"/>
          <w:b/>
          <w:bCs/>
        </w:rPr>
        <w:t>Advise why their approach is risky and what they should do instead. (AC 3.1)</w:t>
      </w:r>
    </w:p>
    <w:p w14:paraId="7AC0B48C" w14:textId="2E53CAA4" w:rsidR="00F908DE" w:rsidRPr="00F908DE" w:rsidRDefault="00F908DE" w:rsidP="00F908DE">
      <w:pPr>
        <w:rPr>
          <w:rFonts w:ascii="Arial" w:hAnsi="Arial" w:cs="Arial"/>
        </w:rPr>
      </w:pPr>
      <w:r w:rsidRPr="00F908DE">
        <w:rPr>
          <w:rFonts w:ascii="Arial" w:hAnsi="Arial" w:cs="Arial"/>
        </w:rPr>
        <w:t>Charlotte and Madeleine's decision to close the restaurant and dismiss all six employees when the lease expires poses significant legal and reputational risks. This approach could expose them to potential claims of unfair dismissal, age discrimination, and breaches of employment law</w:t>
      </w:r>
      <w:r>
        <w:rPr>
          <w:rFonts w:ascii="Arial" w:hAnsi="Arial" w:cs="Arial"/>
        </w:rPr>
        <w:t xml:space="preserve">, </w:t>
      </w:r>
      <w:r w:rsidRPr="00F908DE">
        <w:rPr>
          <w:rFonts w:ascii="Arial" w:hAnsi="Arial" w:cs="Arial"/>
        </w:rPr>
        <w:t>Greenberg, J. (2011). Additionally, the treatment of Angelica, Saffron, Chip, Cherry, Reese, and Carmel raises concerns about potential discrimination based on age and length of service.</w:t>
      </w:r>
    </w:p>
    <w:p w14:paraId="5E7D2078" w14:textId="527CA6BB" w:rsidR="004962F9" w:rsidRDefault="00F908DE" w:rsidP="004962F9">
      <w:pPr>
        <w:rPr>
          <w:rFonts w:ascii="Arial" w:hAnsi="Arial" w:cs="Arial"/>
        </w:rPr>
      </w:pPr>
      <w:r w:rsidRPr="00F908DE">
        <w:rPr>
          <w:rFonts w:ascii="Arial" w:hAnsi="Arial" w:cs="Arial"/>
        </w:rPr>
        <w:lastRenderedPageBreak/>
        <w:t xml:space="preserve">Dismissing employees solely due to the closure of the restaurant without following proper consultation procedures and exploring alternatives could lead to claims of unfair dismissal. The Employment Rights Act 1996 requires employers to follow fair procedures when dismissing employees, including consulting with affected individuals and considering alternatives such as redeployment or offering suitable alternative employment where possible (GOV.UK, </w:t>
      </w:r>
      <w:r w:rsidR="003C523A">
        <w:rPr>
          <w:rFonts w:ascii="Arial" w:hAnsi="Arial" w:cs="Arial"/>
        </w:rPr>
        <w:t>2024</w:t>
      </w:r>
      <w:r w:rsidRPr="00F908DE">
        <w:rPr>
          <w:rFonts w:ascii="Arial" w:hAnsi="Arial" w:cs="Arial"/>
        </w:rPr>
        <w:t>).</w:t>
      </w:r>
      <w:r w:rsidR="004962F9">
        <w:rPr>
          <w:rFonts w:ascii="Arial" w:hAnsi="Arial" w:cs="Arial"/>
        </w:rPr>
        <w:t xml:space="preserve"> </w:t>
      </w:r>
    </w:p>
    <w:p w14:paraId="4342065F" w14:textId="1EB6F549" w:rsidR="004962F9" w:rsidRDefault="004962F9" w:rsidP="004962F9">
      <w:pPr>
        <w:rPr>
          <w:rFonts w:ascii="Arial" w:hAnsi="Arial" w:cs="Arial"/>
        </w:rPr>
      </w:pPr>
      <w:r>
        <w:rPr>
          <w:rFonts w:ascii="Arial" w:hAnsi="Arial" w:cs="Arial"/>
        </w:rPr>
        <w:t xml:space="preserve">Offering all employees the same redundancy pay is also discriminatory as Angela based on her age and length of service would need to be offered 1.5 weeks rate of pay as redundancy compared to other colleagues who are below the age of 40. </w:t>
      </w:r>
    </w:p>
    <w:p w14:paraId="6CDCB348" w14:textId="210A58C2" w:rsidR="00F908DE" w:rsidRDefault="00F908DE" w:rsidP="004E75F8">
      <w:pPr>
        <w:rPr>
          <w:rFonts w:ascii="Arial" w:hAnsi="Arial" w:cs="Arial"/>
        </w:rPr>
      </w:pPr>
      <w:r w:rsidRPr="00F908DE">
        <w:rPr>
          <w:rFonts w:ascii="Arial" w:hAnsi="Arial" w:cs="Arial"/>
        </w:rPr>
        <w:t xml:space="preserve">To mitigate these risks and ensure compliance with employment law, Charlotte and Madeleine should engage in meaningful consultation with all employees affected by the closure, explaining the reasons for the decision and exploring alternatives. This includes considering whether any roles can be retained or offering </w:t>
      </w:r>
      <w:r w:rsidR="004962F9">
        <w:rPr>
          <w:rFonts w:ascii="Arial" w:hAnsi="Arial" w:cs="Arial"/>
        </w:rPr>
        <w:t xml:space="preserve">fair and tailored </w:t>
      </w:r>
      <w:r w:rsidRPr="00F908DE">
        <w:rPr>
          <w:rFonts w:ascii="Arial" w:hAnsi="Arial" w:cs="Arial"/>
        </w:rPr>
        <w:t>redundancy packages where appropriate. Following a fair redundancy process, including providing adequate notice and statutory redundancy pay where applicable, can help minimi</w:t>
      </w:r>
      <w:r w:rsidR="004962F9">
        <w:rPr>
          <w:rFonts w:ascii="Arial" w:hAnsi="Arial" w:cs="Arial"/>
        </w:rPr>
        <w:t>s</w:t>
      </w:r>
      <w:r w:rsidRPr="00F908DE">
        <w:rPr>
          <w:rFonts w:ascii="Arial" w:hAnsi="Arial" w:cs="Arial"/>
        </w:rPr>
        <w:t>e the risk of unfair dismissal claims (Acas, 2021).</w:t>
      </w:r>
    </w:p>
    <w:p w14:paraId="72DEB81C" w14:textId="77777777" w:rsidR="00A308CA" w:rsidRPr="00A308CA" w:rsidRDefault="00A308CA" w:rsidP="00A308CA">
      <w:pPr>
        <w:rPr>
          <w:rFonts w:ascii="Arial" w:hAnsi="Arial" w:cs="Arial"/>
        </w:rPr>
      </w:pPr>
      <w:r w:rsidRPr="00A308CA">
        <w:rPr>
          <w:rFonts w:ascii="Arial" w:hAnsi="Arial" w:cs="Arial"/>
        </w:rPr>
        <w:t>•</w:t>
      </w:r>
      <w:r w:rsidRPr="00A308CA">
        <w:rPr>
          <w:rFonts w:ascii="Arial" w:hAnsi="Arial" w:cs="Arial"/>
        </w:rPr>
        <w:tab/>
        <w:t>Angela should be offered 12 weeks pay as her redundancy package (one and a half week for each full year worked due to age under Law -Gov, 2024) capped at £643 per week so total for Angela is - £7716</w:t>
      </w:r>
    </w:p>
    <w:p w14:paraId="654A0786" w14:textId="77777777" w:rsidR="00A308CA" w:rsidRPr="00A308CA" w:rsidRDefault="00A308CA" w:rsidP="00A308CA">
      <w:pPr>
        <w:rPr>
          <w:rFonts w:ascii="Arial" w:hAnsi="Arial" w:cs="Arial"/>
        </w:rPr>
      </w:pPr>
      <w:r w:rsidRPr="00A308CA">
        <w:rPr>
          <w:rFonts w:ascii="Arial" w:hAnsi="Arial" w:cs="Arial"/>
        </w:rPr>
        <w:t>•</w:t>
      </w:r>
      <w:r w:rsidRPr="00A308CA">
        <w:rPr>
          <w:rFonts w:ascii="Arial" w:hAnsi="Arial" w:cs="Arial"/>
        </w:rPr>
        <w:tab/>
        <w:t>Saffron should be offered 5 weeks’ pay – so total for Saffron is £1750</w:t>
      </w:r>
    </w:p>
    <w:p w14:paraId="0A6B1529" w14:textId="640F9B89" w:rsidR="00A308CA" w:rsidRPr="00F908DE" w:rsidRDefault="00A308CA" w:rsidP="00A308CA">
      <w:pPr>
        <w:rPr>
          <w:rFonts w:ascii="Arial" w:hAnsi="Arial" w:cs="Arial"/>
        </w:rPr>
      </w:pPr>
      <w:r w:rsidRPr="00A308CA">
        <w:rPr>
          <w:rFonts w:ascii="Arial" w:hAnsi="Arial" w:cs="Arial"/>
        </w:rPr>
        <w:t>•</w:t>
      </w:r>
      <w:r w:rsidRPr="00A308CA">
        <w:rPr>
          <w:rFonts w:ascii="Arial" w:hAnsi="Arial" w:cs="Arial"/>
        </w:rPr>
        <w:tab/>
        <w:t>Chip, Cherry, Reese, Carmel have been with the company less than 2 years as such will not be entitled to redundancy pay. However, the company could offer half a week’s pay for the full year service all 4 have done as a good will payment. This would be £225 each for a total of £900.</w:t>
      </w:r>
    </w:p>
    <w:p w14:paraId="6F2ADF30" w14:textId="5EAF93F9" w:rsidR="00F908DE" w:rsidRDefault="00F908DE" w:rsidP="004962F9">
      <w:pPr>
        <w:rPr>
          <w:rFonts w:ascii="Arial" w:hAnsi="Arial" w:cs="Arial"/>
        </w:rPr>
      </w:pPr>
      <w:r w:rsidRPr="003C523A">
        <w:rPr>
          <w:rFonts w:ascii="Arial" w:hAnsi="Arial" w:cs="Arial"/>
        </w:rPr>
        <w:t xml:space="preserve">Charlotte and Madeleine should ensure that the redundancy process is conducted fairly and transparently, without discrimination based on age or any other protected characteristic. All employees should be treated </w:t>
      </w:r>
      <w:r w:rsidR="00E2348F">
        <w:rPr>
          <w:rFonts w:ascii="Arial" w:hAnsi="Arial" w:cs="Arial"/>
        </w:rPr>
        <w:t xml:space="preserve">fairly based on legislation, </w:t>
      </w:r>
      <w:r w:rsidRPr="003C523A">
        <w:rPr>
          <w:rFonts w:ascii="Arial" w:hAnsi="Arial" w:cs="Arial"/>
        </w:rPr>
        <w:t>regardless of age or length of service, and decisions</w:t>
      </w:r>
      <w:r w:rsidRPr="5AFB156D">
        <w:rPr>
          <w:rFonts w:ascii="Arial" w:hAnsi="Arial" w:cs="Arial"/>
        </w:rPr>
        <w:t xml:space="preserve"> should be based on objective business criteria rather than personal characteristics (CIPD, 2020).</w:t>
      </w:r>
    </w:p>
    <w:p w14:paraId="6AAD09F3" w14:textId="656AEE94" w:rsidR="00E46AE8" w:rsidRDefault="006B2F05" w:rsidP="00E46AE8">
      <w:pPr>
        <w:rPr>
          <w:rFonts w:ascii="Arial" w:hAnsi="Arial" w:cs="Arial"/>
          <w:b/>
          <w:bCs/>
        </w:rPr>
      </w:pPr>
      <w:r>
        <w:rPr>
          <w:rFonts w:ascii="Arial" w:hAnsi="Arial" w:cs="Arial"/>
          <w:b/>
          <w:bCs/>
        </w:rPr>
        <w:t>7</w:t>
      </w:r>
      <w:r w:rsidR="00E46AE8" w:rsidRPr="00AB2EE9">
        <w:rPr>
          <w:rFonts w:ascii="Arial" w:hAnsi="Arial" w:cs="Arial"/>
          <w:b/>
          <w:bCs/>
        </w:rPr>
        <w:t>)</w:t>
      </w:r>
      <w:r w:rsidR="00E46AE8" w:rsidRPr="00AB2EE9">
        <w:rPr>
          <w:rFonts w:ascii="Arial" w:hAnsi="Arial" w:cs="Arial"/>
          <w:b/>
          <w:bCs/>
        </w:rPr>
        <w:tab/>
      </w:r>
      <w:r w:rsidRPr="006B2F05">
        <w:rPr>
          <w:rFonts w:ascii="Arial" w:hAnsi="Arial" w:cs="Arial"/>
          <w:b/>
          <w:bCs/>
        </w:rPr>
        <w:t>The takeover of Crumbly Cakes is due to be complete in four months. Ownership will transfer to Peachy Desserts Ltd, and the identity of the owner will change.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but plan to give the employees of Crumbly Cakes new contracts on the same terms and conditions as their existing employees. Advise on the legal risk of this approach and what should be done instead. (AC 3.2)</w:t>
      </w:r>
    </w:p>
    <w:p w14:paraId="37CD7DB4" w14:textId="59A6A895" w:rsidR="004962F9" w:rsidRPr="004962F9" w:rsidRDefault="004962F9" w:rsidP="004962F9">
      <w:pPr>
        <w:rPr>
          <w:rFonts w:ascii="Arial" w:hAnsi="Arial" w:cs="Arial"/>
        </w:rPr>
      </w:pPr>
      <w:r w:rsidRPr="004962F9">
        <w:rPr>
          <w:rFonts w:ascii="Arial" w:hAnsi="Arial" w:cs="Arial"/>
        </w:rPr>
        <w:t xml:space="preserve">Charlotte and Madeleine's plan to offer new contracts to the employees of Crumbly Cakes upon the takeover by Peachy Desserts Ltd raises legal risks, particularly concerning compliance with the Transfer of Undertakings (Protection of Employment) Regulations 2006 (TUPE). TUPE regulations are designed to protect employees' rights when a business </w:t>
      </w:r>
      <w:r w:rsidRPr="004962F9">
        <w:rPr>
          <w:rFonts w:ascii="Arial" w:hAnsi="Arial" w:cs="Arial"/>
        </w:rPr>
        <w:lastRenderedPageBreak/>
        <w:t xml:space="preserve">changes ownership or is transferred to a new employer. </w:t>
      </w:r>
      <w:r>
        <w:rPr>
          <w:rFonts w:ascii="Arial" w:hAnsi="Arial" w:cs="Arial"/>
        </w:rPr>
        <w:t xml:space="preserve">I would advise the following </w:t>
      </w:r>
      <w:r w:rsidRPr="004962F9">
        <w:rPr>
          <w:rFonts w:ascii="Arial" w:hAnsi="Arial" w:cs="Arial"/>
        </w:rPr>
        <w:t>to mitigate legal risks and ensure compliance:</w:t>
      </w:r>
    </w:p>
    <w:p w14:paraId="74D58222" w14:textId="5AB12A0A" w:rsidR="004962F9" w:rsidRPr="004962F9" w:rsidRDefault="004962F9" w:rsidP="004962F9">
      <w:pPr>
        <w:rPr>
          <w:rFonts w:ascii="Arial" w:hAnsi="Arial" w:cs="Arial"/>
        </w:rPr>
      </w:pPr>
      <w:r w:rsidRPr="004962F9">
        <w:rPr>
          <w:rFonts w:ascii="Arial" w:hAnsi="Arial" w:cs="Arial"/>
        </w:rPr>
        <w:t xml:space="preserve">TUPE regulations apply when there is a transfer of an economic entity that retains its identity. The transferor's employees automatically become employees of the transferee on their existing terms and conditions of employment. This means that Charlotte and Madeleine, as the new owners, cannot unilaterally change the terms of employment for the employees of Crumbly Cakes without their consent (GOV.UK, </w:t>
      </w:r>
      <w:r w:rsidR="004E75F8">
        <w:rPr>
          <w:rFonts w:ascii="Arial" w:hAnsi="Arial" w:cs="Arial"/>
        </w:rPr>
        <w:t>2024</w:t>
      </w:r>
      <w:r w:rsidRPr="004962F9">
        <w:rPr>
          <w:rFonts w:ascii="Arial" w:hAnsi="Arial" w:cs="Arial"/>
        </w:rPr>
        <w:t>).</w:t>
      </w:r>
      <w:r>
        <w:rPr>
          <w:rFonts w:ascii="Arial" w:hAnsi="Arial" w:cs="Arial"/>
        </w:rPr>
        <w:t xml:space="preserve"> </w:t>
      </w:r>
      <w:r w:rsidRPr="004962F9">
        <w:rPr>
          <w:rFonts w:ascii="Arial" w:hAnsi="Arial" w:cs="Arial"/>
        </w:rPr>
        <w:t>Under TUPE, the employees of Crumbly Cakes will transfer to Peachy Desserts Ltd with their existing terms and conditions of employment intact. Charlotte and Madeleine must honour these terms, including pay, benefits, and other employment conditions. Attempting to issue new contracts with different terms could be viewed as a breach of TUPE regulations and lead to claims of unfair dismissal or breach of contract by affected employees.</w:t>
      </w:r>
    </w:p>
    <w:p w14:paraId="4BAA0EAA" w14:textId="690E124A" w:rsidR="004962F9" w:rsidRPr="004962F9" w:rsidRDefault="00B46BEB" w:rsidP="00B46BEB">
      <w:pPr>
        <w:rPr>
          <w:rFonts w:ascii="Arial" w:hAnsi="Arial" w:cs="Arial"/>
        </w:rPr>
      </w:pPr>
      <w:r>
        <w:rPr>
          <w:rFonts w:ascii="Arial" w:hAnsi="Arial" w:cs="Arial"/>
        </w:rPr>
        <w:t>Charlotte and M</w:t>
      </w:r>
      <w:r w:rsidR="007C2ADF">
        <w:rPr>
          <w:rFonts w:ascii="Arial" w:hAnsi="Arial" w:cs="Arial"/>
        </w:rPr>
        <w:t>adeline should e</w:t>
      </w:r>
      <w:r w:rsidR="004962F9" w:rsidRPr="004962F9">
        <w:rPr>
          <w:rFonts w:ascii="Arial" w:hAnsi="Arial" w:cs="Arial"/>
        </w:rPr>
        <w:t xml:space="preserve">ngage in meaningful consultation with the employees of Crumbly Cakes about the transfer of ownership and its implications for their employment. </w:t>
      </w:r>
      <w:r>
        <w:rPr>
          <w:rFonts w:ascii="Arial" w:hAnsi="Arial" w:cs="Arial"/>
        </w:rPr>
        <w:t>They should p</w:t>
      </w:r>
      <w:r w:rsidR="004962F9" w:rsidRPr="004962F9">
        <w:rPr>
          <w:rFonts w:ascii="Arial" w:hAnsi="Arial" w:cs="Arial"/>
        </w:rPr>
        <w:t>rovide clear and accurate information about their rights under TUPE and address any concerns or questions they may have. This ensures transparency and helps build trust during the transition process (Acas, 2021).</w:t>
      </w:r>
      <w:r>
        <w:rPr>
          <w:rFonts w:ascii="Arial" w:hAnsi="Arial" w:cs="Arial"/>
        </w:rPr>
        <w:t xml:space="preserve"> Charlotte and Madeline should d</w:t>
      </w:r>
      <w:r w:rsidR="004962F9" w:rsidRPr="004962F9">
        <w:rPr>
          <w:rFonts w:ascii="Arial" w:hAnsi="Arial" w:cs="Arial"/>
        </w:rPr>
        <w:t xml:space="preserve">ocument any agreed changes to employment terms in writing and ensure that both parties (employer and employees) understand and consent to these changes. </w:t>
      </w:r>
    </w:p>
    <w:p w14:paraId="694B05CF" w14:textId="2DA4E87F" w:rsidR="007D7D55" w:rsidRPr="00005CEF" w:rsidRDefault="00005CEF" w:rsidP="007D7D55">
      <w:pPr>
        <w:rPr>
          <w:rFonts w:ascii="Arial" w:hAnsi="Arial" w:cs="Arial"/>
        </w:rPr>
      </w:pPr>
      <w:r w:rsidRPr="00005CEF">
        <w:rPr>
          <w:rFonts w:ascii="Arial" w:hAnsi="Arial" w:cs="Arial"/>
        </w:rPr>
        <w:t>I</w:t>
      </w:r>
      <w:r w:rsidR="007D7D55" w:rsidRPr="00005CEF">
        <w:rPr>
          <w:rFonts w:ascii="Arial" w:hAnsi="Arial" w:cs="Arial"/>
        </w:rPr>
        <w:t>n the event that Peachy Desserts Ltd needs to make changes to the workforce, terms, or conditions post-transfer for economic, technical, or organizational reasons (ETO), they may invoke the ETO defence under TUPE. This defence allows for changes to employment contracts if they are made for genuine ETO reasons and are carried out fairly and in accordance with legal requirements.</w:t>
      </w:r>
    </w:p>
    <w:p w14:paraId="5FB4EBE8" w14:textId="3AF47C2F" w:rsidR="007D7D55" w:rsidRPr="00E2348F" w:rsidRDefault="007D7D55" w:rsidP="00E2348F">
      <w:pPr>
        <w:rPr>
          <w:rFonts w:ascii="Arial" w:hAnsi="Arial" w:cs="Arial"/>
        </w:rPr>
      </w:pPr>
      <w:r w:rsidRPr="00005CEF">
        <w:rPr>
          <w:rFonts w:ascii="Arial" w:hAnsi="Arial" w:cs="Arial"/>
        </w:rPr>
        <w:t xml:space="preserve"> Charlotte and Madeleine should ensure compliance with TUPE regulations by transferring the employment contracts of Crumbly Cakes employees to Peachy Desserts Ltd without changes to their terms and conditions. Any proposed changes post-transfer should be carefully considered and implemented in consultation with affected employees and their representatives, adhering to the principles of fairness and legal compliance.</w:t>
      </w:r>
    </w:p>
    <w:p w14:paraId="048C08C3" w14:textId="210C57C5" w:rsidR="006B2F05" w:rsidRDefault="006B2F05" w:rsidP="006B2F05">
      <w:pPr>
        <w:rPr>
          <w:rFonts w:ascii="Arial" w:hAnsi="Arial" w:cs="Arial"/>
          <w:b/>
          <w:bCs/>
        </w:rPr>
      </w:pPr>
      <w:r w:rsidRPr="006B2F05">
        <w:rPr>
          <w:rFonts w:ascii="Arial" w:hAnsi="Arial" w:cs="Arial"/>
          <w:b/>
          <w:bCs/>
        </w:rPr>
        <w:t>8)</w:t>
      </w:r>
      <w:r w:rsidRPr="006B2F05">
        <w:rPr>
          <w:b/>
          <w:bCs/>
        </w:rPr>
        <w:t xml:space="preserve"> </w:t>
      </w:r>
      <w:r w:rsidRPr="006B2F05">
        <w:rPr>
          <w:rFonts w:ascii="Arial" w:hAnsi="Arial" w:cs="Arial"/>
          <w:b/>
          <w:bCs/>
        </w:rPr>
        <w:tab/>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14:paraId="607D19D9" w14:textId="3D5309E0" w:rsidR="00B46BEB" w:rsidRPr="00B46BEB" w:rsidRDefault="00B46BEB" w:rsidP="00B46BEB">
      <w:pPr>
        <w:rPr>
          <w:rFonts w:ascii="Arial" w:hAnsi="Arial" w:cs="Arial"/>
        </w:rPr>
      </w:pPr>
      <w:r w:rsidRPr="00B46BEB">
        <w:rPr>
          <w:rFonts w:ascii="Arial" w:hAnsi="Arial" w:cs="Arial"/>
        </w:rPr>
        <w:t>Charlotte and Madeleine's belief that all sales assistants should be paid the same regardless of age is aligned with the principle of pay equality and fairness in the workplace. However, they should ensure that their approach complies with legal requirements, including the National Minimum Wage (NMW) regulations and obligations related to pay statements.</w:t>
      </w:r>
      <w:r>
        <w:rPr>
          <w:rFonts w:ascii="Arial" w:hAnsi="Arial" w:cs="Arial"/>
        </w:rPr>
        <w:t xml:space="preserve"> </w:t>
      </w:r>
      <w:r w:rsidRPr="00B46BEB">
        <w:rPr>
          <w:rFonts w:ascii="Arial" w:hAnsi="Arial" w:cs="Arial"/>
        </w:rPr>
        <w:t xml:space="preserve">It's essential for Charlotte and Madeleine to review the National Minimum Wage rates annually to ensure compliance with the law. The </w:t>
      </w:r>
      <w:r w:rsidR="00E2348F">
        <w:rPr>
          <w:rFonts w:ascii="Arial" w:hAnsi="Arial" w:cs="Arial"/>
        </w:rPr>
        <w:t xml:space="preserve">NMW </w:t>
      </w:r>
      <w:r w:rsidRPr="00B46BEB">
        <w:rPr>
          <w:rFonts w:ascii="Arial" w:hAnsi="Arial" w:cs="Arial"/>
        </w:rPr>
        <w:t xml:space="preserve">is set by the government and varies depending on age and whether the employee is an apprentice. All eligible employees must be paid at least the minimum wage rate for their age group. Therefore, while they aim for pay equality among sales assistants, they must ensure that their hourly rate meets or exceeds </w:t>
      </w:r>
      <w:r w:rsidRPr="00B46BEB">
        <w:rPr>
          <w:rFonts w:ascii="Arial" w:hAnsi="Arial" w:cs="Arial"/>
        </w:rPr>
        <w:lastRenderedPageBreak/>
        <w:t>the applicable NMW rate for each age group.</w:t>
      </w:r>
      <w:r>
        <w:rPr>
          <w:rFonts w:ascii="Arial" w:hAnsi="Arial" w:cs="Arial"/>
        </w:rPr>
        <w:t xml:space="preserve"> </w:t>
      </w:r>
      <w:r w:rsidRPr="00B46BEB">
        <w:rPr>
          <w:rFonts w:ascii="Arial" w:hAnsi="Arial" w:cs="Arial"/>
        </w:rPr>
        <w:t>According to the Employment Rights Act 1996, employees have the right to receive a written itemi</w:t>
      </w:r>
      <w:r>
        <w:rPr>
          <w:rFonts w:ascii="Arial" w:hAnsi="Arial" w:cs="Arial"/>
        </w:rPr>
        <w:t>s</w:t>
      </w:r>
      <w:r w:rsidRPr="00B46BEB">
        <w:rPr>
          <w:rFonts w:ascii="Arial" w:hAnsi="Arial" w:cs="Arial"/>
        </w:rPr>
        <w:t>ed pay statement, either on or before the pay date, detailing various aspects of their pay, such as gross pay, deductions, and net pay. Charlotte and Madeleine must ensure that pay statements provided to sales assistants comply with these legal requirements. Pay statements should be clear, accurate, and easily understandable, enabling employees to verify that they are being paid correctly.</w:t>
      </w:r>
    </w:p>
    <w:p w14:paraId="1EAD5DAD" w14:textId="0A272C10" w:rsidR="00B46BEB" w:rsidRPr="00B46BEB" w:rsidRDefault="00B46BEB" w:rsidP="00B46BEB">
      <w:pPr>
        <w:rPr>
          <w:rFonts w:ascii="Arial" w:hAnsi="Arial" w:cs="Arial"/>
        </w:rPr>
      </w:pPr>
      <w:r w:rsidRPr="00B46BEB">
        <w:rPr>
          <w:rFonts w:ascii="Arial" w:hAnsi="Arial" w:cs="Arial"/>
        </w:rPr>
        <w:t xml:space="preserve">While Charlotte and Madeleine aim to pay all sales assistants equally, they should also consider any potential equal pay implications. Equal pay legislation prohibits discrimination in pay between men and women who perform equal work, work of equal value, or work rated as equivalent. Therefore, if there are differences in pay among sales assistants based on </w:t>
      </w:r>
      <w:r w:rsidR="00005CEF">
        <w:rPr>
          <w:rFonts w:ascii="Arial" w:hAnsi="Arial" w:cs="Arial"/>
        </w:rPr>
        <w:t>sex</w:t>
      </w:r>
      <w:r w:rsidRPr="00B46BEB">
        <w:rPr>
          <w:rFonts w:ascii="Arial" w:hAnsi="Arial" w:cs="Arial"/>
        </w:rPr>
        <w:t>, age, or any other protected characteristic, Charlotte and Madeleine must be able to demonstrate that such differences are justified on objective grounds unrelated to discrimination. As legislation and business circumstances evolve, Charlotte and Madeleine should stay informed about changes to employment law, including NMW rates and equal pay obligations, and make necessary adjustments to their pay policies accordingly.</w:t>
      </w:r>
    </w:p>
    <w:p w14:paraId="24B405FB" w14:textId="35A74028" w:rsidR="00B46BEB" w:rsidRPr="00B46BEB" w:rsidRDefault="00B46BEB" w:rsidP="00B46BEB">
      <w:pPr>
        <w:rPr>
          <w:rFonts w:ascii="Arial" w:hAnsi="Arial" w:cs="Arial"/>
        </w:rPr>
      </w:pPr>
      <w:r w:rsidRPr="5AFB156D">
        <w:rPr>
          <w:rFonts w:ascii="Arial" w:hAnsi="Arial" w:cs="Arial"/>
        </w:rPr>
        <w:t>By following these guidelines, Charlotte and Madeleine can ensure that their approach to sales assistants' pay is lawful, fair, and compliant with legal requirements, including the National Minimum Wage regulations and obligations related to pay statements.</w:t>
      </w:r>
    </w:p>
    <w:p w14:paraId="0B38C615" w14:textId="77777777" w:rsidR="006B2F05" w:rsidRDefault="006B2F05" w:rsidP="006B2F05">
      <w:pPr>
        <w:rPr>
          <w:rFonts w:ascii="Arial" w:hAnsi="Arial" w:cs="Arial"/>
          <w:b/>
          <w:bCs/>
        </w:rPr>
      </w:pPr>
      <w:r w:rsidRPr="006B2F05">
        <w:rPr>
          <w:rFonts w:ascii="Arial" w:hAnsi="Arial" w:cs="Arial"/>
          <w:b/>
          <w:bCs/>
        </w:rPr>
        <w:t>9.</w:t>
      </w:r>
      <w:r w:rsidRPr="006B2F05">
        <w:rPr>
          <w:rFonts w:ascii="Arial" w:hAnsi="Arial" w:cs="Arial"/>
          <w:b/>
          <w:bCs/>
        </w:rPr>
        <w:tab/>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7737195B" w14:textId="2953C411" w:rsidR="00B46BEB" w:rsidRPr="00B46BEB" w:rsidRDefault="00B46BEB" w:rsidP="00B46BEB">
      <w:pPr>
        <w:rPr>
          <w:rFonts w:ascii="Arial" w:hAnsi="Arial" w:cs="Arial"/>
        </w:rPr>
      </w:pPr>
      <w:r w:rsidRPr="00B46BEB">
        <w:rPr>
          <w:rFonts w:ascii="Arial" w:hAnsi="Arial" w:cs="Arial"/>
        </w:rPr>
        <w:t>Kit's complaint raises concerns related to working hours, breaks, and days off, which fall under employment law regulations in the UK. Kit's working hours of 9.30 am to 9.30 pm, totalling 12 hours a day, appear to exceed the maximum daily working limit set by the Working Time Regulations 1998. According to these regulations, the maximum working day for adult workers is typically 8 hours, although this can be extended to 12 hours in certain circumstances. However, any extension beyond 8 hours requires justification and must not jeopardi</w:t>
      </w:r>
      <w:r>
        <w:rPr>
          <w:rFonts w:ascii="Arial" w:hAnsi="Arial" w:cs="Arial"/>
        </w:rPr>
        <w:t>s</w:t>
      </w:r>
      <w:r w:rsidRPr="00B46BEB">
        <w:rPr>
          <w:rFonts w:ascii="Arial" w:hAnsi="Arial" w:cs="Arial"/>
        </w:rPr>
        <w:t xml:space="preserve">e workers' health and safety. Kit's regular working hours of 12 hours a day may therefore be in breach of these regulations unless exceptions apply (GOV.UK, </w:t>
      </w:r>
      <w:r w:rsidR="00005CEF">
        <w:rPr>
          <w:rFonts w:ascii="Arial" w:hAnsi="Arial" w:cs="Arial"/>
        </w:rPr>
        <w:t>2024</w:t>
      </w:r>
      <w:r w:rsidRPr="00B46BEB">
        <w:rPr>
          <w:rFonts w:ascii="Arial" w:hAnsi="Arial" w:cs="Arial"/>
        </w:rPr>
        <w:t>).</w:t>
      </w:r>
    </w:p>
    <w:p w14:paraId="78682B8B" w14:textId="7E08B435" w:rsidR="00B46BEB" w:rsidRPr="00B46BEB" w:rsidRDefault="00B46BEB" w:rsidP="00524141">
      <w:pPr>
        <w:rPr>
          <w:rFonts w:ascii="Arial" w:hAnsi="Arial" w:cs="Arial"/>
        </w:rPr>
      </w:pPr>
      <w:r w:rsidRPr="00B46BEB">
        <w:rPr>
          <w:rFonts w:ascii="Arial" w:hAnsi="Arial" w:cs="Arial"/>
        </w:rPr>
        <w:t>The Working Time Regulations</w:t>
      </w:r>
      <w:r w:rsidR="00005CEF">
        <w:rPr>
          <w:rFonts w:ascii="Arial" w:hAnsi="Arial" w:cs="Arial"/>
        </w:rPr>
        <w:t xml:space="preserve"> (WTR)</w:t>
      </w:r>
      <w:r w:rsidRPr="00B46BEB">
        <w:rPr>
          <w:rFonts w:ascii="Arial" w:hAnsi="Arial" w:cs="Arial"/>
        </w:rPr>
        <w:t xml:space="preserve"> also stipulate that adult workers are entitled to rest breaks during their working day. For shifts longer than 6 hours, workers are entitled to a minimum 20-minute uninterrupted rest break. Kit's long working hours suggest that he may not be receiving adequate rest breaks as required by law. Failure to provide rest breaks could be considered a breach of employment law (GOV.UK, </w:t>
      </w:r>
      <w:r w:rsidR="00005CEF">
        <w:rPr>
          <w:rFonts w:ascii="Arial" w:hAnsi="Arial" w:cs="Arial"/>
        </w:rPr>
        <w:t>2024</w:t>
      </w:r>
      <w:r w:rsidRPr="00B46BEB">
        <w:rPr>
          <w:rFonts w:ascii="Arial" w:hAnsi="Arial" w:cs="Arial"/>
        </w:rPr>
        <w:t>).</w:t>
      </w:r>
      <w:r w:rsidR="00524141">
        <w:rPr>
          <w:rFonts w:ascii="Arial" w:hAnsi="Arial" w:cs="Arial"/>
        </w:rPr>
        <w:t xml:space="preserve"> </w:t>
      </w:r>
      <w:r w:rsidRPr="00B46BEB">
        <w:rPr>
          <w:rFonts w:ascii="Arial" w:hAnsi="Arial" w:cs="Arial"/>
        </w:rPr>
        <w:t>While employers have some flexibility in scheduling working hours and patterns, they must ensure compliance with the Working Time Regulations regarding maximum weekly working hours, rest breaks, and days off. If Kit is regularly required to work long hours without sufficient rest periods or days off, it may constitute a violation of his rights under employment law.</w:t>
      </w:r>
    </w:p>
    <w:p w14:paraId="123F9193" w14:textId="77777777" w:rsidR="00005CEF" w:rsidRPr="00005CEF" w:rsidRDefault="00005CEF" w:rsidP="00005CEF">
      <w:pPr>
        <w:rPr>
          <w:rFonts w:ascii="Arial" w:hAnsi="Arial" w:cs="Arial"/>
        </w:rPr>
      </w:pPr>
      <w:r w:rsidRPr="00005CEF">
        <w:rPr>
          <w:rFonts w:ascii="Arial" w:hAnsi="Arial" w:cs="Arial"/>
        </w:rPr>
        <w:t>While the WTR sets a maximum average weekly working time limit of 48 hours, employees can voluntarily agree to opt out of this limit by signing a written agreement.</w:t>
      </w:r>
    </w:p>
    <w:p w14:paraId="4C1A865F" w14:textId="77777777" w:rsidR="00005CEF" w:rsidRPr="00005CEF" w:rsidRDefault="00005CEF" w:rsidP="00005CEF">
      <w:pPr>
        <w:rPr>
          <w:rFonts w:ascii="Arial" w:hAnsi="Arial" w:cs="Arial"/>
        </w:rPr>
      </w:pPr>
      <w:r w:rsidRPr="00005CEF">
        <w:rPr>
          <w:rFonts w:ascii="Arial" w:hAnsi="Arial" w:cs="Arial"/>
        </w:rPr>
        <w:lastRenderedPageBreak/>
        <w:t>If Kit agrees to work more than 48 hours per week and signs an opt-out agreement, his employer may legally require him to work longer hours, provided certain conditions are met, such as ensuring his health and safety and providing adequate rest periods.</w:t>
      </w:r>
    </w:p>
    <w:p w14:paraId="5FA92ECE" w14:textId="6CCC5474" w:rsidR="00B46BEB" w:rsidRPr="00005CEF" w:rsidRDefault="007D7D55" w:rsidP="00005CEF">
      <w:pPr>
        <w:rPr>
          <w:rFonts w:ascii="Arial" w:hAnsi="Arial" w:cs="Arial"/>
        </w:rPr>
      </w:pPr>
      <w:r w:rsidRPr="00005CEF">
        <w:rPr>
          <w:rFonts w:ascii="Arial" w:hAnsi="Arial" w:cs="Arial"/>
        </w:rPr>
        <w:t xml:space="preserve">It's essential for Charlotte to review Kit's working arrangements and ensure compliance with the </w:t>
      </w:r>
      <w:r w:rsidR="00E2348F">
        <w:rPr>
          <w:rFonts w:ascii="Arial" w:hAnsi="Arial" w:cs="Arial"/>
        </w:rPr>
        <w:t>WTR</w:t>
      </w:r>
      <w:r w:rsidRPr="00005CEF">
        <w:rPr>
          <w:rFonts w:ascii="Arial" w:hAnsi="Arial" w:cs="Arial"/>
        </w:rPr>
        <w:t xml:space="preserve"> to avoid potential legal liabilities and uphold the health and well-being of her employees. If Kit agrees to work more than 48 hours per week, Charlotte must ensure that the necessary legal requirements are met, including obtaining his explicit consent and providing appropriate rest periods.</w:t>
      </w:r>
    </w:p>
    <w:p w14:paraId="1C13D1AC" w14:textId="77777777" w:rsidR="006B2F05" w:rsidRDefault="006B2F05" w:rsidP="006B2F05">
      <w:pPr>
        <w:rPr>
          <w:rFonts w:ascii="Arial" w:hAnsi="Arial" w:cs="Arial"/>
          <w:b/>
          <w:bCs/>
        </w:rPr>
      </w:pPr>
      <w:r w:rsidRPr="006B2F05">
        <w:rPr>
          <w:rFonts w:ascii="Arial" w:hAnsi="Arial" w:cs="Arial"/>
          <w:b/>
          <w:bCs/>
        </w:rPr>
        <w:t>10.</w:t>
      </w:r>
      <w:r w:rsidRPr="006B2F05">
        <w:rPr>
          <w:rFonts w:ascii="Arial" w:hAnsi="Arial" w:cs="Arial"/>
          <w:b/>
          <w:bCs/>
        </w:rPr>
        <w:tab/>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409BEF24" w14:textId="3258CB3A" w:rsidR="00005CEF" w:rsidRDefault="00524141" w:rsidP="00524141">
      <w:pPr>
        <w:rPr>
          <w:rFonts w:ascii="Arial" w:hAnsi="Arial" w:cs="Arial"/>
        </w:rPr>
      </w:pPr>
      <w:r w:rsidRPr="00524141">
        <w:rPr>
          <w:rFonts w:ascii="Arial" w:hAnsi="Arial" w:cs="Arial"/>
        </w:rPr>
        <w:t xml:space="preserve">Charlotte and Madeleine need to understand and comply with Coco's maternity rights, as well as the broader legal framework surrounding parental leave and pay. Under UK law, eligible employees are entitled to up to 52 weeks of maternity leave, regardless of the size of the business. Coco, with eight years' service, is likely eligible for the full maternity leave entitlement. </w:t>
      </w:r>
      <w:r w:rsidR="00005CEF" w:rsidRPr="00005CEF">
        <w:rPr>
          <w:rFonts w:ascii="Arial" w:hAnsi="Arial" w:cs="Arial"/>
        </w:rPr>
        <w:t>The key legislation governing maternity rights in the UK is the Employment Rights Act 1996 and the Maternity and Parental Leave etc. Regulations 1999 (as amended).</w:t>
      </w:r>
      <w:r w:rsidR="00005CEF">
        <w:rPr>
          <w:rFonts w:ascii="Arial" w:hAnsi="Arial" w:cs="Arial"/>
        </w:rPr>
        <w:t xml:space="preserve"> </w:t>
      </w:r>
      <w:r w:rsidRPr="00524141">
        <w:rPr>
          <w:rFonts w:ascii="Arial" w:hAnsi="Arial" w:cs="Arial"/>
        </w:rPr>
        <w:t xml:space="preserve">During maternity leave, employees are entitled to Statutory Maternity Pay (SMP) for up to 39 weeks, provided they meet certain criteria. SMP is paid for the first 6 weeks at 90% of the employee's average weekly earnings, followed by 33 weeks at a flat rate or 90% of average weekly earnings, whichever is lower (GOV.UK, </w:t>
      </w:r>
      <w:r w:rsidR="00005CEF">
        <w:rPr>
          <w:rFonts w:ascii="Arial" w:hAnsi="Arial" w:cs="Arial"/>
        </w:rPr>
        <w:t>2024</w:t>
      </w:r>
      <w:r w:rsidRPr="00524141">
        <w:rPr>
          <w:rFonts w:ascii="Arial" w:hAnsi="Arial" w:cs="Arial"/>
        </w:rPr>
        <w:t>).</w:t>
      </w:r>
      <w:r>
        <w:rPr>
          <w:rFonts w:ascii="Arial" w:hAnsi="Arial" w:cs="Arial"/>
        </w:rPr>
        <w:t xml:space="preserve"> </w:t>
      </w:r>
    </w:p>
    <w:p w14:paraId="7CE14EBD" w14:textId="62F99A37" w:rsidR="00005CEF" w:rsidRDefault="00524141" w:rsidP="00524141">
      <w:pPr>
        <w:rPr>
          <w:rFonts w:ascii="Arial" w:hAnsi="Arial" w:cs="Arial"/>
        </w:rPr>
      </w:pPr>
      <w:r w:rsidRPr="00524141">
        <w:rPr>
          <w:rFonts w:ascii="Arial" w:hAnsi="Arial" w:cs="Arial"/>
        </w:rPr>
        <w:t xml:space="preserve">Charlotte and Madeleine must ensure that Coco's maternity rights are respected and that she is not unfairly disadvantaged due to her pregnancy. Attempting to limit Coco's maternity leave to just two weeks of annual leave is likely to breach her maternity rights under the Equality Act 2010. It's important to remember that maternity leave is a statutory right, and employees cannot be forced to use their annual leave entitlement during this time (Equality and Human Rights Commission, </w:t>
      </w:r>
      <w:r w:rsidR="00005CEF">
        <w:rPr>
          <w:rFonts w:ascii="Arial" w:hAnsi="Arial" w:cs="Arial"/>
        </w:rPr>
        <w:t>2024</w:t>
      </w:r>
      <w:r w:rsidRPr="00524141">
        <w:rPr>
          <w:rFonts w:ascii="Arial" w:hAnsi="Arial" w:cs="Arial"/>
        </w:rPr>
        <w:t>).</w:t>
      </w:r>
      <w:r>
        <w:rPr>
          <w:rFonts w:ascii="Arial" w:hAnsi="Arial" w:cs="Arial"/>
        </w:rPr>
        <w:t xml:space="preserve"> </w:t>
      </w:r>
      <w:r w:rsidR="004A26BF">
        <w:rPr>
          <w:rFonts w:ascii="Arial" w:hAnsi="Arial" w:cs="Arial"/>
        </w:rPr>
        <w:t xml:space="preserve">There is also a need under health and safety at work act 1974 to </w:t>
      </w:r>
      <w:r w:rsidR="004A26BF" w:rsidRPr="004A26BF">
        <w:rPr>
          <w:rFonts w:ascii="Arial" w:hAnsi="Arial" w:cs="Arial"/>
        </w:rPr>
        <w:t>conduct a risk assessment to ensure Coco's health and safety during her pregnancy and upon her return to work</w:t>
      </w:r>
      <w:r w:rsidR="004A26BF">
        <w:rPr>
          <w:rFonts w:ascii="Arial" w:hAnsi="Arial" w:cs="Arial"/>
        </w:rPr>
        <w:t xml:space="preserve"> is not breached</w:t>
      </w:r>
      <w:r w:rsidR="004A26BF" w:rsidRPr="004A26BF">
        <w:rPr>
          <w:rFonts w:ascii="Arial" w:hAnsi="Arial" w:cs="Arial"/>
        </w:rPr>
        <w:t>.</w:t>
      </w:r>
    </w:p>
    <w:p w14:paraId="1AA0374D" w14:textId="33D14CBE" w:rsidR="00524141" w:rsidRPr="00524141" w:rsidRDefault="00524141" w:rsidP="00524141">
      <w:pPr>
        <w:rPr>
          <w:rFonts w:ascii="Arial" w:hAnsi="Arial" w:cs="Arial"/>
        </w:rPr>
      </w:pPr>
      <w:r w:rsidRPr="00524141">
        <w:rPr>
          <w:rFonts w:ascii="Arial" w:hAnsi="Arial" w:cs="Arial"/>
        </w:rPr>
        <w:t>In addition to maternity rights, Charlotte and Madeleine need to understand paternity and adoption rights to ensure compliance. Eligible employees are entitled to up to 2 weeks of paid paternity leave following the birth or adoption of a child. This can be extended by up to 26 weeks if the mother or adopter returns to work early. Additionally, employees may be entitled to Shared Parental Leave (SPL) and Statutory Shared Parental Pay (ShPP), allowing parents to share leave and pay following the birth or adoption of a child (GOV.UK,</w:t>
      </w:r>
      <w:r w:rsidR="00005CEF">
        <w:rPr>
          <w:rFonts w:ascii="Arial" w:hAnsi="Arial" w:cs="Arial"/>
        </w:rPr>
        <w:t xml:space="preserve"> 2024</w:t>
      </w:r>
      <w:r w:rsidRPr="00524141">
        <w:rPr>
          <w:rFonts w:ascii="Arial" w:hAnsi="Arial" w:cs="Arial"/>
        </w:rPr>
        <w:t>).</w:t>
      </w:r>
    </w:p>
    <w:p w14:paraId="39807B3D" w14:textId="420D3070" w:rsidR="00524141" w:rsidRPr="00524141" w:rsidRDefault="00524141" w:rsidP="00524141">
      <w:pPr>
        <w:rPr>
          <w:rFonts w:ascii="Arial" w:hAnsi="Arial" w:cs="Arial"/>
        </w:rPr>
      </w:pPr>
      <w:r w:rsidRPr="5AFB156D">
        <w:rPr>
          <w:rFonts w:ascii="Arial" w:hAnsi="Arial" w:cs="Arial"/>
        </w:rPr>
        <w:lastRenderedPageBreak/>
        <w:t xml:space="preserve">It's crucial for Charlotte and Madeleine to educate themselves on maternity, paternity, and adoption rights to avoid potential legal repercussions and ensure fair treatment of their employees. The fact that charlotte only took two weeks off work following her pregnancy was her choice and she should not expect others </w:t>
      </w:r>
      <w:r w:rsidR="00A308CA">
        <w:rPr>
          <w:rFonts w:ascii="Arial" w:hAnsi="Arial" w:cs="Arial"/>
        </w:rPr>
        <w:t>t</w:t>
      </w:r>
      <w:r w:rsidRPr="5AFB156D">
        <w:rPr>
          <w:rFonts w:ascii="Arial" w:hAnsi="Arial" w:cs="Arial"/>
        </w:rPr>
        <w:t xml:space="preserve">o do the same. </w:t>
      </w:r>
    </w:p>
    <w:p w14:paraId="734C5DC9" w14:textId="3F5F763F" w:rsidR="00E46AE8" w:rsidRPr="006B2F05" w:rsidRDefault="006B2F05" w:rsidP="006B2F05">
      <w:pPr>
        <w:rPr>
          <w:rFonts w:ascii="Arial" w:hAnsi="Arial" w:cs="Arial"/>
          <w:b/>
          <w:bCs/>
        </w:rPr>
      </w:pPr>
      <w:r w:rsidRPr="006B2F05">
        <w:rPr>
          <w:rFonts w:ascii="Arial" w:hAnsi="Arial" w:cs="Arial"/>
          <w:b/>
          <w:bCs/>
        </w:rPr>
        <w:t>11.</w:t>
      </w:r>
      <w:r w:rsidRPr="006B2F05">
        <w:rPr>
          <w:rFonts w:ascii="Arial" w:hAnsi="Arial" w:cs="Arial"/>
          <w:b/>
          <w:bCs/>
        </w:rPr>
        <w:tab/>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7DB3EB77" w14:textId="699E4BFF" w:rsidR="004A26BF" w:rsidRDefault="004A26BF" w:rsidP="007C2ADF">
      <w:pPr>
        <w:rPr>
          <w:rFonts w:ascii="Arial" w:hAnsi="Arial" w:cs="Arial"/>
        </w:rPr>
      </w:pPr>
      <w:r w:rsidRPr="004A26BF">
        <w:rPr>
          <w:rFonts w:ascii="Arial" w:hAnsi="Arial" w:cs="Arial"/>
        </w:rPr>
        <w:t>The Flexible Working Regulations 2014 require employers to consider such requests reasonably. The case law of Smith v Gleacher Shacklock LLP (2009) established that failure to reasonably consider a flexible working request can result in claims of unfair treatment.</w:t>
      </w:r>
    </w:p>
    <w:p w14:paraId="54D9F5FD" w14:textId="41A74034" w:rsidR="004A26BF" w:rsidRPr="007C2ADF" w:rsidRDefault="007C2ADF" w:rsidP="004A26BF">
      <w:pPr>
        <w:rPr>
          <w:rFonts w:ascii="Arial" w:hAnsi="Arial" w:cs="Arial"/>
        </w:rPr>
      </w:pPr>
      <w:r w:rsidRPr="007C2ADF">
        <w:rPr>
          <w:rFonts w:ascii="Arial" w:hAnsi="Arial" w:cs="Arial"/>
        </w:rPr>
        <w:t xml:space="preserve">By refusing Chelsea's request without proper consideration, Charlotte and Madeleine may also expose Peachy Desserts Ltd to claims of discrimination. The Equality Act 2010 prohibits discrimination on various grounds, including </w:t>
      </w:r>
      <w:r w:rsidR="00005CEF">
        <w:rPr>
          <w:rFonts w:ascii="Arial" w:hAnsi="Arial" w:cs="Arial"/>
        </w:rPr>
        <w:t>sex</w:t>
      </w:r>
      <w:r w:rsidRPr="007C2ADF">
        <w:rPr>
          <w:rFonts w:ascii="Arial" w:hAnsi="Arial" w:cs="Arial"/>
        </w:rPr>
        <w:t>, age, and disability. If Chelsea's request is related to a protected characteristic, refusing her request could amount to indirect discrimination.</w:t>
      </w:r>
      <w:r w:rsidR="004A26BF" w:rsidRPr="004A26BF">
        <w:t xml:space="preserve"> </w:t>
      </w:r>
      <w:r w:rsidR="004A26BF" w:rsidRPr="004A26BF">
        <w:rPr>
          <w:rFonts w:ascii="Arial" w:hAnsi="Arial" w:cs="Arial"/>
        </w:rPr>
        <w:t>The case law of Gorman v Terence Paul (Manchester) Ltd (2016) demonstrated the risk of indirect discrimination when refusing flexible working requests without proper consideration.</w:t>
      </w:r>
    </w:p>
    <w:p w14:paraId="1FFFB443" w14:textId="5BE08B6E" w:rsidR="007C2ADF" w:rsidRPr="007C2ADF" w:rsidRDefault="007C2ADF" w:rsidP="007C2ADF">
      <w:pPr>
        <w:rPr>
          <w:rFonts w:ascii="Arial" w:hAnsi="Arial" w:cs="Arial"/>
        </w:rPr>
      </w:pPr>
      <w:r w:rsidRPr="007C2ADF">
        <w:rPr>
          <w:rFonts w:ascii="Arial" w:hAnsi="Arial" w:cs="Arial"/>
        </w:rPr>
        <w:t>Adopting an inflexible approach to flexible working may damage Peachy Desserts Ltd's reputation as an employer and result in negative publicity. An unwillingness to accommodate flexible working requests may deter talented individuals from applying to work at the company.</w:t>
      </w:r>
      <w:r>
        <w:rPr>
          <w:rFonts w:ascii="Arial" w:hAnsi="Arial" w:cs="Arial"/>
        </w:rPr>
        <w:t xml:space="preserve"> </w:t>
      </w:r>
      <w:r w:rsidRPr="007C2ADF">
        <w:rPr>
          <w:rFonts w:ascii="Arial" w:hAnsi="Arial" w:cs="Arial"/>
        </w:rPr>
        <w:t xml:space="preserve">Adopting a dismissive attitude towards Chelsea's request may also harm employee morale and lead to decreased motivation and productivity among existing staff. </w:t>
      </w:r>
      <w:r w:rsidR="004A26BF" w:rsidRPr="004A26BF">
        <w:rPr>
          <w:rFonts w:ascii="Arial" w:hAnsi="Arial" w:cs="Arial"/>
        </w:rPr>
        <w:t>Research by Hewlett et al. (2010) found that flexibility is crucial for retaining talented employees, particularly women.</w:t>
      </w:r>
    </w:p>
    <w:p w14:paraId="07C8CDB8" w14:textId="6E75363D" w:rsidR="007C2ADF" w:rsidRPr="007C2ADF" w:rsidRDefault="007C2ADF" w:rsidP="007C2ADF">
      <w:pPr>
        <w:rPr>
          <w:rFonts w:ascii="Arial" w:hAnsi="Arial" w:cs="Arial"/>
        </w:rPr>
      </w:pPr>
      <w:r w:rsidRPr="007C2ADF">
        <w:rPr>
          <w:rFonts w:ascii="Arial" w:hAnsi="Arial" w:cs="Arial"/>
        </w:rPr>
        <w:t>Recommended Approach:</w:t>
      </w:r>
    </w:p>
    <w:p w14:paraId="69249B18" w14:textId="77777777" w:rsidR="00E2348F" w:rsidRDefault="007C2ADF" w:rsidP="004A26BF">
      <w:pPr>
        <w:rPr>
          <w:rFonts w:ascii="Arial" w:hAnsi="Arial" w:cs="Arial"/>
        </w:rPr>
      </w:pPr>
      <w:r w:rsidRPr="5AFB156D">
        <w:rPr>
          <w:rFonts w:ascii="Arial" w:hAnsi="Arial" w:cs="Arial"/>
        </w:rPr>
        <w:t>Charlotte and Madeleine should approach Chelsea's flexible working request with an open mind and consider the potential benefits for both Chelsea and the business. Flexible working arrangements can improve employee satisfaction, morale, and retention while also potentially reducing absenteeism and increasing productivity. They should engage in constructive dialogue with Chelsea to understand her reasons for requesting flexible working and explore potential solutions that meet both her needs and the operational requirements of the business. Implement a fair process for considering flexible working requests, including assessing the impact on the business and offering alternatives if necessary. Charlotte should keep a record of the discussions and decisions made regarding Chelsea's flexible working request to demonstrate compliance with legal requirements and fair treatment of employees, Armstrong &amp; Taylor (2020).</w:t>
      </w:r>
    </w:p>
    <w:p w14:paraId="21C033FC" w14:textId="3C5ED989" w:rsidR="004A26BF" w:rsidRDefault="004A26BF" w:rsidP="004A26BF">
      <w:pPr>
        <w:rPr>
          <w:rFonts w:ascii="Arial" w:hAnsi="Arial" w:cs="Arial"/>
        </w:rPr>
      </w:pPr>
      <w:r w:rsidRPr="004A26BF">
        <w:rPr>
          <w:rFonts w:ascii="Arial" w:hAnsi="Arial" w:cs="Arial"/>
        </w:rPr>
        <w:t xml:space="preserve">Upon receiving the request, </w:t>
      </w:r>
      <w:r>
        <w:rPr>
          <w:rFonts w:ascii="Arial" w:hAnsi="Arial" w:cs="Arial"/>
        </w:rPr>
        <w:t xml:space="preserve">charlotte </w:t>
      </w:r>
      <w:r w:rsidRPr="004A26BF">
        <w:rPr>
          <w:rFonts w:ascii="Arial" w:hAnsi="Arial" w:cs="Arial"/>
        </w:rPr>
        <w:t xml:space="preserve">must consider it and provide a decision within three months. This three-month period includes any discussions, assessments, and appeals processes related to the request.: Once a decision has been reached, </w:t>
      </w:r>
      <w:r>
        <w:rPr>
          <w:rFonts w:ascii="Arial" w:hAnsi="Arial" w:cs="Arial"/>
        </w:rPr>
        <w:t xml:space="preserve">charlotte </w:t>
      </w:r>
      <w:r w:rsidRPr="004A26BF">
        <w:rPr>
          <w:rFonts w:ascii="Arial" w:hAnsi="Arial" w:cs="Arial"/>
        </w:rPr>
        <w:t xml:space="preserve">must </w:t>
      </w:r>
      <w:r w:rsidRPr="004A26BF">
        <w:rPr>
          <w:rFonts w:ascii="Arial" w:hAnsi="Arial" w:cs="Arial"/>
        </w:rPr>
        <w:lastRenderedPageBreak/>
        <w:t xml:space="preserve">communicate it to </w:t>
      </w:r>
      <w:r>
        <w:rPr>
          <w:rFonts w:ascii="Arial" w:hAnsi="Arial" w:cs="Arial"/>
        </w:rPr>
        <w:t xml:space="preserve">Chelsea </w:t>
      </w:r>
      <w:r w:rsidRPr="004A26BF">
        <w:rPr>
          <w:rFonts w:ascii="Arial" w:hAnsi="Arial" w:cs="Arial"/>
        </w:rPr>
        <w:t>in writing. The notification should state whether the request has been accepted or refused and provide reasons for the decision.</w:t>
      </w:r>
    </w:p>
    <w:p w14:paraId="6508BFAE" w14:textId="700CBABE" w:rsidR="006B2F05" w:rsidRPr="00E46AE8" w:rsidRDefault="007C2ADF" w:rsidP="007C2ADF">
      <w:pPr>
        <w:rPr>
          <w:rFonts w:ascii="Arial" w:hAnsi="Arial" w:cs="Arial"/>
        </w:rPr>
      </w:pPr>
      <w:r w:rsidRPr="5AFB156D">
        <w:rPr>
          <w:rFonts w:ascii="Arial" w:hAnsi="Arial" w:cs="Arial"/>
        </w:rPr>
        <w:t>By adopting a more open and inclusive approach to flexible working requests, Charlotte and Madeleine can minimi</w:t>
      </w:r>
      <w:r w:rsidR="00F0355D">
        <w:rPr>
          <w:rFonts w:ascii="Arial" w:hAnsi="Arial" w:cs="Arial"/>
        </w:rPr>
        <w:t>s</w:t>
      </w:r>
      <w:r w:rsidRPr="5AFB156D">
        <w:rPr>
          <w:rFonts w:ascii="Arial" w:hAnsi="Arial" w:cs="Arial"/>
        </w:rPr>
        <w:t>e legal and reputational risks and foster a positive work environment where employees feel valued and supported.</w:t>
      </w:r>
    </w:p>
    <w:p w14:paraId="0A580099" w14:textId="77777777" w:rsidR="00AC5C66" w:rsidRDefault="00AC5C66" w:rsidP="005709AA">
      <w:pPr>
        <w:rPr>
          <w:rFonts w:asciiTheme="minorBidi" w:hAnsiTheme="minorBidi"/>
          <w:sz w:val="24"/>
          <w:szCs w:val="24"/>
        </w:rPr>
      </w:pPr>
    </w:p>
    <w:p w14:paraId="563BA970" w14:textId="77777777" w:rsidR="004A26BF" w:rsidRDefault="004A26BF" w:rsidP="00D1503E">
      <w:pPr>
        <w:jc w:val="both"/>
        <w:rPr>
          <w:rFonts w:asciiTheme="minorBidi" w:hAnsiTheme="minorBidi"/>
          <w:sz w:val="24"/>
          <w:szCs w:val="24"/>
        </w:rPr>
      </w:pPr>
    </w:p>
    <w:p w14:paraId="36536C43" w14:textId="77777777" w:rsidR="004A26BF" w:rsidRDefault="004A26BF" w:rsidP="00D1503E">
      <w:pPr>
        <w:jc w:val="both"/>
        <w:rPr>
          <w:rFonts w:asciiTheme="minorBidi" w:hAnsiTheme="minorBidi"/>
          <w:sz w:val="24"/>
          <w:szCs w:val="24"/>
        </w:rPr>
      </w:pPr>
    </w:p>
    <w:p w14:paraId="29DD1D5E" w14:textId="77777777" w:rsidR="004A26BF" w:rsidRDefault="004A26BF" w:rsidP="00D1503E">
      <w:pPr>
        <w:jc w:val="both"/>
        <w:rPr>
          <w:rFonts w:asciiTheme="minorBidi" w:hAnsiTheme="minorBidi"/>
          <w:sz w:val="24"/>
          <w:szCs w:val="24"/>
        </w:rPr>
      </w:pPr>
    </w:p>
    <w:p w14:paraId="3243E18D" w14:textId="77777777" w:rsidR="004A26BF" w:rsidRDefault="004A26BF" w:rsidP="00D1503E">
      <w:pPr>
        <w:jc w:val="both"/>
        <w:rPr>
          <w:rFonts w:asciiTheme="minorBidi" w:hAnsiTheme="minorBidi"/>
          <w:sz w:val="24"/>
          <w:szCs w:val="24"/>
        </w:rPr>
      </w:pPr>
    </w:p>
    <w:p w14:paraId="72B66AA4" w14:textId="77777777" w:rsidR="004A26BF" w:rsidRDefault="004A26BF" w:rsidP="00D1503E">
      <w:pPr>
        <w:jc w:val="both"/>
        <w:rPr>
          <w:rFonts w:asciiTheme="minorBidi" w:hAnsiTheme="minorBidi"/>
          <w:sz w:val="24"/>
          <w:szCs w:val="24"/>
        </w:rPr>
      </w:pPr>
    </w:p>
    <w:p w14:paraId="5C838968" w14:textId="77777777" w:rsidR="004A26BF" w:rsidRDefault="004A26BF" w:rsidP="00D1503E">
      <w:pPr>
        <w:jc w:val="both"/>
        <w:rPr>
          <w:rFonts w:asciiTheme="minorBidi" w:hAnsiTheme="minorBidi"/>
          <w:sz w:val="24"/>
          <w:szCs w:val="24"/>
        </w:rPr>
      </w:pPr>
    </w:p>
    <w:p w14:paraId="23E5A35B" w14:textId="77777777" w:rsidR="004A26BF" w:rsidRDefault="004A26BF" w:rsidP="00D1503E">
      <w:pPr>
        <w:jc w:val="both"/>
        <w:rPr>
          <w:rFonts w:asciiTheme="minorBidi" w:hAnsiTheme="minorBidi"/>
          <w:sz w:val="24"/>
          <w:szCs w:val="24"/>
        </w:rPr>
      </w:pPr>
    </w:p>
    <w:p w14:paraId="3781343D" w14:textId="77777777" w:rsidR="004A26BF" w:rsidRDefault="004A26BF" w:rsidP="00D1503E">
      <w:pPr>
        <w:jc w:val="both"/>
        <w:rPr>
          <w:rFonts w:asciiTheme="minorBidi" w:hAnsiTheme="minorBidi"/>
          <w:sz w:val="24"/>
          <w:szCs w:val="24"/>
        </w:rPr>
      </w:pPr>
    </w:p>
    <w:p w14:paraId="75A8B8CE" w14:textId="77777777" w:rsidR="004A26BF" w:rsidRDefault="004A26BF" w:rsidP="00D1503E">
      <w:pPr>
        <w:jc w:val="both"/>
        <w:rPr>
          <w:rFonts w:asciiTheme="minorBidi" w:hAnsiTheme="minorBidi"/>
          <w:sz w:val="24"/>
          <w:szCs w:val="24"/>
        </w:rPr>
      </w:pPr>
    </w:p>
    <w:p w14:paraId="336C2EC8" w14:textId="77777777" w:rsidR="004A26BF" w:rsidRDefault="004A26BF" w:rsidP="00D1503E">
      <w:pPr>
        <w:jc w:val="both"/>
        <w:rPr>
          <w:rFonts w:asciiTheme="minorBidi" w:hAnsiTheme="minorBidi"/>
          <w:sz w:val="24"/>
          <w:szCs w:val="24"/>
        </w:rPr>
      </w:pPr>
    </w:p>
    <w:p w14:paraId="6347B2C0" w14:textId="77777777" w:rsidR="004A26BF" w:rsidRDefault="004A26BF" w:rsidP="00D1503E">
      <w:pPr>
        <w:jc w:val="both"/>
        <w:rPr>
          <w:rFonts w:asciiTheme="minorBidi" w:hAnsiTheme="minorBidi"/>
          <w:sz w:val="24"/>
          <w:szCs w:val="24"/>
        </w:rPr>
      </w:pPr>
    </w:p>
    <w:p w14:paraId="56EA1384" w14:textId="77777777" w:rsidR="004A26BF" w:rsidRDefault="004A26BF" w:rsidP="00D1503E">
      <w:pPr>
        <w:jc w:val="both"/>
        <w:rPr>
          <w:rFonts w:asciiTheme="minorBidi" w:hAnsiTheme="minorBidi"/>
          <w:sz w:val="24"/>
          <w:szCs w:val="24"/>
        </w:rPr>
      </w:pPr>
    </w:p>
    <w:p w14:paraId="0C8459D7" w14:textId="77777777" w:rsidR="004A26BF" w:rsidRDefault="004A26BF" w:rsidP="00D1503E">
      <w:pPr>
        <w:jc w:val="both"/>
        <w:rPr>
          <w:rFonts w:asciiTheme="minorBidi" w:hAnsiTheme="minorBidi"/>
          <w:sz w:val="24"/>
          <w:szCs w:val="24"/>
        </w:rPr>
      </w:pPr>
    </w:p>
    <w:p w14:paraId="14BEF3C5" w14:textId="77777777" w:rsidR="004A26BF" w:rsidRDefault="004A26BF" w:rsidP="00D1503E">
      <w:pPr>
        <w:jc w:val="both"/>
        <w:rPr>
          <w:rFonts w:asciiTheme="minorBidi" w:hAnsiTheme="minorBidi"/>
          <w:sz w:val="24"/>
          <w:szCs w:val="24"/>
        </w:rPr>
      </w:pPr>
    </w:p>
    <w:p w14:paraId="5193109C" w14:textId="77777777" w:rsidR="004A26BF" w:rsidRDefault="004A26BF" w:rsidP="00D1503E">
      <w:pPr>
        <w:jc w:val="both"/>
        <w:rPr>
          <w:rFonts w:asciiTheme="minorBidi" w:hAnsiTheme="minorBidi"/>
          <w:sz w:val="24"/>
          <w:szCs w:val="24"/>
        </w:rPr>
      </w:pPr>
    </w:p>
    <w:p w14:paraId="6A51F10C" w14:textId="77777777" w:rsidR="004A26BF" w:rsidRDefault="004A26BF" w:rsidP="00D1503E">
      <w:pPr>
        <w:jc w:val="both"/>
        <w:rPr>
          <w:rFonts w:asciiTheme="minorBidi" w:hAnsiTheme="minorBidi"/>
          <w:sz w:val="24"/>
          <w:szCs w:val="24"/>
        </w:rPr>
      </w:pPr>
    </w:p>
    <w:p w14:paraId="486C4D49" w14:textId="77777777" w:rsidR="004A26BF" w:rsidRDefault="004A26BF" w:rsidP="00D1503E">
      <w:pPr>
        <w:jc w:val="both"/>
        <w:rPr>
          <w:rFonts w:asciiTheme="minorBidi" w:hAnsiTheme="minorBidi"/>
          <w:sz w:val="24"/>
          <w:szCs w:val="24"/>
        </w:rPr>
      </w:pPr>
    </w:p>
    <w:p w14:paraId="698980EE" w14:textId="77777777" w:rsidR="004A26BF" w:rsidRDefault="004A26BF" w:rsidP="00D1503E">
      <w:pPr>
        <w:jc w:val="both"/>
        <w:rPr>
          <w:rFonts w:asciiTheme="minorBidi" w:hAnsiTheme="minorBidi"/>
          <w:sz w:val="24"/>
          <w:szCs w:val="24"/>
        </w:rPr>
      </w:pPr>
    </w:p>
    <w:p w14:paraId="151E1217" w14:textId="77777777" w:rsidR="004A26BF" w:rsidRDefault="004A26BF" w:rsidP="00D1503E">
      <w:pPr>
        <w:jc w:val="both"/>
        <w:rPr>
          <w:rFonts w:asciiTheme="minorBidi" w:hAnsiTheme="minorBidi"/>
          <w:sz w:val="24"/>
          <w:szCs w:val="24"/>
        </w:rPr>
      </w:pPr>
    </w:p>
    <w:p w14:paraId="45B48A18" w14:textId="77777777" w:rsidR="00F0355D" w:rsidRDefault="00F0355D" w:rsidP="00D1503E">
      <w:pPr>
        <w:jc w:val="both"/>
        <w:rPr>
          <w:rFonts w:asciiTheme="minorBidi" w:hAnsiTheme="minorBidi"/>
          <w:sz w:val="24"/>
          <w:szCs w:val="24"/>
        </w:rPr>
      </w:pPr>
    </w:p>
    <w:p w14:paraId="5BEC20A5" w14:textId="77777777" w:rsidR="00F0355D" w:rsidRDefault="00F0355D" w:rsidP="00D1503E">
      <w:pPr>
        <w:jc w:val="both"/>
        <w:rPr>
          <w:rFonts w:asciiTheme="minorBidi" w:hAnsiTheme="minorBidi"/>
          <w:sz w:val="24"/>
          <w:szCs w:val="24"/>
        </w:rPr>
      </w:pPr>
    </w:p>
    <w:p w14:paraId="3DD6762A" w14:textId="77777777" w:rsidR="00E2348F" w:rsidRDefault="00E2348F" w:rsidP="00D1503E">
      <w:pPr>
        <w:jc w:val="both"/>
        <w:rPr>
          <w:rFonts w:asciiTheme="minorBidi" w:hAnsiTheme="minorBidi"/>
          <w:sz w:val="24"/>
          <w:szCs w:val="24"/>
        </w:rPr>
      </w:pPr>
    </w:p>
    <w:p w14:paraId="0A9999A0" w14:textId="77777777" w:rsidR="004A26BF" w:rsidRDefault="004A26BF" w:rsidP="00D1503E">
      <w:pPr>
        <w:jc w:val="both"/>
        <w:rPr>
          <w:rFonts w:asciiTheme="minorBidi" w:hAnsiTheme="minorBidi"/>
          <w:sz w:val="24"/>
          <w:szCs w:val="24"/>
        </w:rPr>
      </w:pPr>
    </w:p>
    <w:p w14:paraId="28EABE8B" w14:textId="3DA8AA49" w:rsidR="00804524" w:rsidRPr="0058380F" w:rsidRDefault="00804524" w:rsidP="00D1503E">
      <w:pPr>
        <w:jc w:val="both"/>
        <w:rPr>
          <w:rFonts w:asciiTheme="minorBidi" w:hAnsiTheme="minorBidi"/>
          <w:sz w:val="24"/>
          <w:szCs w:val="24"/>
        </w:rPr>
      </w:pPr>
      <w:r w:rsidRPr="0058380F">
        <w:rPr>
          <w:rFonts w:asciiTheme="minorBidi" w:hAnsiTheme="minorBidi"/>
          <w:sz w:val="24"/>
          <w:szCs w:val="24"/>
        </w:rPr>
        <w:t>References:</w:t>
      </w:r>
    </w:p>
    <w:p w14:paraId="42EC43A5" w14:textId="0FB7A6BF" w:rsidR="003A0C84" w:rsidRDefault="003A0C84" w:rsidP="001048CD">
      <w:pPr>
        <w:numPr>
          <w:ilvl w:val="0"/>
          <w:numId w:val="33"/>
        </w:numPr>
        <w:jc w:val="both"/>
        <w:rPr>
          <w:rFonts w:asciiTheme="minorBidi" w:hAnsiTheme="minorBidi"/>
          <w:color w:val="232323"/>
          <w:sz w:val="24"/>
          <w:szCs w:val="24"/>
          <w:shd w:val="clear" w:color="auto" w:fill="FFFFFF"/>
        </w:rPr>
      </w:pPr>
      <w:bookmarkStart w:id="0" w:name="_Hlk156384072"/>
      <w:r w:rsidRPr="003A0C84">
        <w:rPr>
          <w:rFonts w:asciiTheme="minorBidi" w:hAnsiTheme="minorBidi"/>
          <w:color w:val="232323"/>
          <w:sz w:val="24"/>
          <w:szCs w:val="24"/>
          <w:shd w:val="clear" w:color="auto" w:fill="FFFFFF"/>
        </w:rPr>
        <w:t xml:space="preserve">Advisory, Conciliation and Arbitration Service (Acas). (2021). Employment disputes. Internet Source URL:  </w:t>
      </w:r>
      <w:hyperlink r:id="rId12" w:history="1">
        <w:r w:rsidRPr="003A0C84">
          <w:rPr>
            <w:rStyle w:val="Hyperlink"/>
            <w:rFonts w:asciiTheme="minorBidi" w:hAnsiTheme="minorBidi"/>
            <w:sz w:val="24"/>
            <w:szCs w:val="24"/>
            <w:shd w:val="clear" w:color="auto" w:fill="FFFFFF"/>
          </w:rPr>
          <w:t>https://www.acas.org.uk/employment-disputes</w:t>
        </w:r>
      </w:hyperlink>
      <w:r w:rsidRPr="003A0C84">
        <w:rPr>
          <w:rFonts w:asciiTheme="minorBidi" w:hAnsiTheme="minorBidi"/>
          <w:color w:val="232323"/>
          <w:sz w:val="24"/>
          <w:szCs w:val="24"/>
          <w:shd w:val="clear" w:color="auto" w:fill="FFFFFF"/>
        </w:rPr>
        <w:t xml:space="preserve"> accessed 7th</w:t>
      </w:r>
      <w:r>
        <w:rPr>
          <w:rFonts w:asciiTheme="minorBidi" w:hAnsiTheme="minorBidi"/>
          <w:color w:val="232323"/>
          <w:sz w:val="24"/>
          <w:szCs w:val="24"/>
          <w:shd w:val="clear" w:color="auto" w:fill="FFFFFF"/>
        </w:rPr>
        <w:t xml:space="preserve"> March 2024 at 1330.</w:t>
      </w:r>
    </w:p>
    <w:p w14:paraId="023CF343" w14:textId="3B91B320" w:rsidR="007C2ADF" w:rsidRPr="003A0C84" w:rsidRDefault="007C2ADF" w:rsidP="001048CD">
      <w:pPr>
        <w:numPr>
          <w:ilvl w:val="0"/>
          <w:numId w:val="33"/>
        </w:numPr>
        <w:jc w:val="both"/>
        <w:rPr>
          <w:rFonts w:asciiTheme="minorBidi" w:hAnsiTheme="minorBidi"/>
          <w:color w:val="232323"/>
          <w:sz w:val="24"/>
          <w:szCs w:val="24"/>
          <w:shd w:val="clear" w:color="auto" w:fill="FFFFFF"/>
        </w:rPr>
      </w:pPr>
      <w:r w:rsidRPr="007C2ADF">
        <w:rPr>
          <w:rFonts w:asciiTheme="minorBidi" w:hAnsiTheme="minorBidi"/>
          <w:color w:val="232323"/>
          <w:sz w:val="24"/>
          <w:szCs w:val="24"/>
          <w:shd w:val="clear" w:color="auto" w:fill="FFFFFF"/>
        </w:rPr>
        <w:t>Armstrong, M. and Taylor, S. (2020) Armstrong’s Handbook of Human Resource Management Practice. 15th edn. London: Kogan Page.</w:t>
      </w:r>
    </w:p>
    <w:p w14:paraId="01F8CC2C" w14:textId="74E65232" w:rsidR="001048CD" w:rsidRPr="001048CD" w:rsidRDefault="001048CD" w:rsidP="001048CD">
      <w:pPr>
        <w:numPr>
          <w:ilvl w:val="0"/>
          <w:numId w:val="33"/>
        </w:numPr>
        <w:jc w:val="both"/>
        <w:rPr>
          <w:rFonts w:asciiTheme="minorBidi" w:hAnsiTheme="minorBidi"/>
          <w:color w:val="232323"/>
          <w:sz w:val="24"/>
          <w:szCs w:val="24"/>
          <w:shd w:val="clear" w:color="auto" w:fill="FFFFFF"/>
        </w:rPr>
      </w:pPr>
      <w:r w:rsidRPr="001048CD">
        <w:rPr>
          <w:rFonts w:asciiTheme="minorBidi" w:hAnsiTheme="minorBidi"/>
          <w:color w:val="232323"/>
          <w:sz w:val="24"/>
          <w:szCs w:val="24"/>
          <w:shd w:val="clear" w:color="auto" w:fill="FFFFFF"/>
        </w:rPr>
        <w:t>Chartered Institute of Personnel and Development (CIPD). (2020). Employment law:</w:t>
      </w:r>
      <w:r>
        <w:rPr>
          <w:rFonts w:asciiTheme="minorBidi" w:hAnsiTheme="minorBidi"/>
          <w:color w:val="232323"/>
          <w:sz w:val="24"/>
          <w:szCs w:val="24"/>
          <w:shd w:val="clear" w:color="auto" w:fill="FFFFFF"/>
        </w:rPr>
        <w:t xml:space="preserve"> </w:t>
      </w:r>
      <w:r w:rsidRPr="001048CD">
        <w:rPr>
          <w:rFonts w:asciiTheme="minorBidi" w:hAnsiTheme="minorBidi"/>
          <w:color w:val="232323"/>
          <w:sz w:val="24"/>
          <w:szCs w:val="24"/>
          <w:shd w:val="clear" w:color="auto" w:fill="FFFFFF"/>
        </w:rPr>
        <w:t>an overview.</w:t>
      </w:r>
      <w:r>
        <w:rPr>
          <w:rFonts w:asciiTheme="minorBidi" w:hAnsiTheme="minorBidi"/>
          <w:color w:val="232323"/>
          <w:sz w:val="24"/>
          <w:szCs w:val="24"/>
          <w:shd w:val="clear" w:color="auto" w:fill="FFFFFF"/>
        </w:rPr>
        <w:t xml:space="preserve"> Internet source URL:</w:t>
      </w:r>
      <w:r w:rsidRPr="001048CD">
        <w:rPr>
          <w:rFonts w:asciiTheme="minorBidi" w:hAnsiTheme="minorBidi"/>
          <w:color w:val="232323"/>
          <w:sz w:val="24"/>
          <w:szCs w:val="24"/>
          <w:shd w:val="clear" w:color="auto" w:fill="FFFFFF"/>
        </w:rPr>
        <w:t xml:space="preserve"> </w:t>
      </w:r>
      <w:hyperlink r:id="rId13" w:history="1">
        <w:r w:rsidRPr="001048CD">
          <w:rPr>
            <w:rStyle w:val="Hyperlink"/>
            <w:rFonts w:asciiTheme="minorBidi" w:hAnsiTheme="minorBidi"/>
            <w:sz w:val="24"/>
            <w:szCs w:val="24"/>
            <w:shd w:val="clear" w:color="auto" w:fill="FFFFFF"/>
          </w:rPr>
          <w:t>https://www.cipd.co.uk/knowledge/fundamentals/emp-law</w:t>
        </w:r>
      </w:hyperlink>
      <w:r>
        <w:rPr>
          <w:rFonts w:asciiTheme="minorBidi" w:hAnsiTheme="minorBidi"/>
          <w:color w:val="232323"/>
          <w:sz w:val="24"/>
          <w:szCs w:val="24"/>
          <w:shd w:val="clear" w:color="auto" w:fill="FFFFFF"/>
        </w:rPr>
        <w:t xml:space="preserve"> accessed 7th March 2024 at 1300. </w:t>
      </w:r>
    </w:p>
    <w:p w14:paraId="40BD6D74" w14:textId="218337DC" w:rsidR="001048CD" w:rsidRPr="001048CD" w:rsidRDefault="001048CD" w:rsidP="001048CD">
      <w:pPr>
        <w:numPr>
          <w:ilvl w:val="0"/>
          <w:numId w:val="33"/>
        </w:numPr>
        <w:jc w:val="both"/>
        <w:rPr>
          <w:rFonts w:asciiTheme="minorBidi" w:hAnsiTheme="minorBidi"/>
          <w:color w:val="232323"/>
          <w:sz w:val="24"/>
          <w:szCs w:val="24"/>
          <w:shd w:val="clear" w:color="auto" w:fill="FFFFFF"/>
        </w:rPr>
      </w:pPr>
      <w:r w:rsidRPr="001048CD">
        <w:rPr>
          <w:rFonts w:asciiTheme="minorBidi" w:hAnsiTheme="minorBidi"/>
          <w:color w:val="232323"/>
          <w:sz w:val="24"/>
          <w:szCs w:val="24"/>
          <w:shd w:val="clear" w:color="auto" w:fill="FFFFFF"/>
        </w:rPr>
        <w:t>Chartered Institute of Personnel and Development (CIPD). (2019). Flexible working: the business case.</w:t>
      </w:r>
      <w:r>
        <w:rPr>
          <w:rFonts w:asciiTheme="minorBidi" w:hAnsiTheme="minorBidi"/>
          <w:color w:val="232323"/>
          <w:sz w:val="24"/>
          <w:szCs w:val="24"/>
          <w:shd w:val="clear" w:color="auto" w:fill="FFFFFF"/>
        </w:rPr>
        <w:t xml:space="preserve"> Internet Source URL;</w:t>
      </w:r>
      <w:r w:rsidRPr="001048CD">
        <w:rPr>
          <w:rFonts w:asciiTheme="minorBidi" w:hAnsiTheme="minorBidi"/>
          <w:color w:val="232323"/>
          <w:sz w:val="24"/>
          <w:szCs w:val="24"/>
          <w:shd w:val="clear" w:color="auto" w:fill="FFFFFF"/>
        </w:rPr>
        <w:t xml:space="preserve"> </w:t>
      </w:r>
      <w:hyperlink r:id="rId14" w:history="1">
        <w:r w:rsidRPr="001048CD">
          <w:rPr>
            <w:rStyle w:val="Hyperlink"/>
            <w:rFonts w:asciiTheme="minorBidi" w:hAnsiTheme="minorBidi"/>
            <w:sz w:val="24"/>
            <w:szCs w:val="24"/>
            <w:shd w:val="clear" w:color="auto" w:fill="FFFFFF"/>
          </w:rPr>
          <w:t>https://www.cipd.co.uk/knowledge/fundamentals/relations/flexible-working/factsheet</w:t>
        </w:r>
      </w:hyperlink>
      <w:r>
        <w:rPr>
          <w:rFonts w:asciiTheme="minorBidi" w:hAnsiTheme="minorBidi"/>
          <w:color w:val="232323"/>
          <w:sz w:val="24"/>
          <w:szCs w:val="24"/>
          <w:shd w:val="clear" w:color="auto" w:fill="FFFFFF"/>
        </w:rPr>
        <w:t xml:space="preserve"> accessed 7th March 2024 at 1300</w:t>
      </w:r>
    </w:p>
    <w:p w14:paraId="3E1CE132" w14:textId="66DFC17E" w:rsidR="001048CD" w:rsidRDefault="001048CD" w:rsidP="001048CD">
      <w:pPr>
        <w:numPr>
          <w:ilvl w:val="0"/>
          <w:numId w:val="33"/>
        </w:numPr>
        <w:jc w:val="both"/>
        <w:rPr>
          <w:rFonts w:asciiTheme="minorBidi" w:hAnsiTheme="minorBidi"/>
          <w:color w:val="232323"/>
          <w:sz w:val="24"/>
          <w:szCs w:val="24"/>
          <w:shd w:val="clear" w:color="auto" w:fill="FFFFFF"/>
        </w:rPr>
      </w:pPr>
      <w:r w:rsidRPr="001048CD">
        <w:rPr>
          <w:rFonts w:asciiTheme="minorBidi" w:hAnsiTheme="minorBidi"/>
          <w:color w:val="232323"/>
          <w:sz w:val="24"/>
          <w:szCs w:val="24"/>
          <w:shd w:val="clear" w:color="auto" w:fill="FFFFFF"/>
        </w:rPr>
        <w:t>Chartered Institute of Personnel and Development (CIPD). (2021). Diversity and inclusion.</w:t>
      </w:r>
      <w:r>
        <w:rPr>
          <w:rFonts w:asciiTheme="minorBidi" w:hAnsiTheme="minorBidi"/>
          <w:color w:val="232323"/>
          <w:sz w:val="24"/>
          <w:szCs w:val="24"/>
          <w:shd w:val="clear" w:color="auto" w:fill="FFFFFF"/>
        </w:rPr>
        <w:t xml:space="preserve"> Internet Source URL;</w:t>
      </w:r>
      <w:r w:rsidRPr="001048CD">
        <w:rPr>
          <w:rFonts w:asciiTheme="minorBidi" w:hAnsiTheme="minorBidi"/>
          <w:color w:val="232323"/>
          <w:sz w:val="24"/>
          <w:szCs w:val="24"/>
          <w:shd w:val="clear" w:color="auto" w:fill="FFFFFF"/>
        </w:rPr>
        <w:t xml:space="preserve"> </w:t>
      </w:r>
      <w:hyperlink r:id="rId15" w:history="1">
        <w:r w:rsidRPr="001048CD">
          <w:rPr>
            <w:rStyle w:val="Hyperlink"/>
            <w:rFonts w:asciiTheme="minorBidi" w:hAnsiTheme="minorBidi"/>
            <w:sz w:val="24"/>
            <w:szCs w:val="24"/>
            <w:shd w:val="clear" w:color="auto" w:fill="FFFFFF"/>
          </w:rPr>
          <w:t>https://www.cipd.co.uk/knowledge/fundamentals/relations/diversity-factsheet</w:t>
        </w:r>
      </w:hyperlink>
      <w:r>
        <w:rPr>
          <w:rFonts w:asciiTheme="minorBidi" w:hAnsiTheme="minorBidi"/>
          <w:color w:val="232323"/>
          <w:sz w:val="24"/>
          <w:szCs w:val="24"/>
          <w:shd w:val="clear" w:color="auto" w:fill="FFFFFF"/>
        </w:rPr>
        <w:t xml:space="preserve"> accessed 7th March 2024 at 1310</w:t>
      </w:r>
    </w:p>
    <w:p w14:paraId="39A9BCCD" w14:textId="74CA172D" w:rsidR="003A0C84" w:rsidRDefault="003A0C84" w:rsidP="001048CD">
      <w:pPr>
        <w:numPr>
          <w:ilvl w:val="0"/>
          <w:numId w:val="33"/>
        </w:numPr>
        <w:jc w:val="both"/>
        <w:rPr>
          <w:rFonts w:asciiTheme="minorBidi" w:hAnsiTheme="minorBidi"/>
          <w:color w:val="232323"/>
          <w:sz w:val="24"/>
          <w:szCs w:val="24"/>
          <w:shd w:val="clear" w:color="auto" w:fill="FFFFFF"/>
        </w:rPr>
      </w:pPr>
      <w:r w:rsidRPr="003A0C84">
        <w:rPr>
          <w:rFonts w:asciiTheme="minorBidi" w:hAnsiTheme="minorBidi"/>
          <w:color w:val="232323"/>
          <w:sz w:val="24"/>
          <w:szCs w:val="24"/>
          <w:shd w:val="clear" w:color="auto" w:fill="FFFFFF"/>
        </w:rPr>
        <w:t>Chartered Institute of Personnel and Development (CIPD). (2020). Employment tribunals.</w:t>
      </w:r>
      <w:r>
        <w:rPr>
          <w:rFonts w:asciiTheme="minorBidi" w:hAnsiTheme="minorBidi"/>
          <w:color w:val="232323"/>
          <w:sz w:val="24"/>
          <w:szCs w:val="24"/>
          <w:shd w:val="clear" w:color="auto" w:fill="FFFFFF"/>
        </w:rPr>
        <w:t xml:space="preserve"> </w:t>
      </w:r>
      <w:r w:rsidRPr="003A0C84">
        <w:rPr>
          <w:rFonts w:asciiTheme="minorBidi" w:hAnsiTheme="minorBidi"/>
          <w:color w:val="232323"/>
          <w:sz w:val="24"/>
          <w:szCs w:val="24"/>
          <w:shd w:val="clear" w:color="auto" w:fill="FFFFFF"/>
        </w:rPr>
        <w:t xml:space="preserve">Internet Source URL : </w:t>
      </w:r>
      <w:hyperlink r:id="rId16" w:history="1">
        <w:r w:rsidRPr="003A0C84">
          <w:rPr>
            <w:rStyle w:val="Hyperlink"/>
            <w:rFonts w:asciiTheme="minorBidi" w:hAnsiTheme="minorBidi"/>
            <w:sz w:val="24"/>
            <w:szCs w:val="24"/>
            <w:shd w:val="clear" w:color="auto" w:fill="FFFFFF"/>
          </w:rPr>
          <w:t>https://www.cipd.co.uk/knowledge/fundamentals/relations/tribunals</w:t>
        </w:r>
      </w:hyperlink>
      <w:r w:rsidRPr="003A0C84">
        <w:rPr>
          <w:rFonts w:asciiTheme="minorBidi" w:hAnsiTheme="minorBidi"/>
          <w:color w:val="232323"/>
          <w:sz w:val="24"/>
          <w:szCs w:val="24"/>
          <w:shd w:val="clear" w:color="auto" w:fill="FFFFFF"/>
        </w:rPr>
        <w:t xml:space="preserve"> accessed 7th</w:t>
      </w:r>
      <w:r>
        <w:rPr>
          <w:rFonts w:asciiTheme="minorBidi" w:hAnsiTheme="minorBidi"/>
          <w:color w:val="232323"/>
          <w:sz w:val="24"/>
          <w:szCs w:val="24"/>
          <w:shd w:val="clear" w:color="auto" w:fill="FFFFFF"/>
        </w:rPr>
        <w:t xml:space="preserve"> March 2024 at 1315. </w:t>
      </w:r>
    </w:p>
    <w:p w14:paraId="633AF95A" w14:textId="7DFAB4EF" w:rsidR="003A0C84" w:rsidRDefault="003A0C84" w:rsidP="001048CD">
      <w:pPr>
        <w:numPr>
          <w:ilvl w:val="0"/>
          <w:numId w:val="33"/>
        </w:numPr>
        <w:jc w:val="both"/>
        <w:rPr>
          <w:rFonts w:asciiTheme="minorBidi" w:hAnsiTheme="minorBidi"/>
          <w:color w:val="232323"/>
          <w:sz w:val="24"/>
          <w:szCs w:val="24"/>
          <w:shd w:val="clear" w:color="auto" w:fill="FFFFFF"/>
        </w:rPr>
      </w:pPr>
      <w:r w:rsidRPr="003A0C84">
        <w:rPr>
          <w:rFonts w:asciiTheme="minorBidi" w:hAnsiTheme="minorBidi"/>
          <w:color w:val="232323"/>
          <w:sz w:val="24"/>
          <w:szCs w:val="24"/>
          <w:shd w:val="clear" w:color="auto" w:fill="FFFFFF"/>
        </w:rPr>
        <w:t>Chartered Institute of Personnel and Development (CIPD). (2020). Settlements and agreements.</w:t>
      </w:r>
      <w:r>
        <w:rPr>
          <w:rFonts w:asciiTheme="minorBidi" w:hAnsiTheme="minorBidi"/>
          <w:color w:val="232323"/>
          <w:sz w:val="24"/>
          <w:szCs w:val="24"/>
          <w:shd w:val="clear" w:color="auto" w:fill="FFFFFF"/>
        </w:rPr>
        <w:t xml:space="preserve"> </w:t>
      </w:r>
      <w:r w:rsidRPr="003A0C84">
        <w:rPr>
          <w:rFonts w:asciiTheme="minorBidi" w:hAnsiTheme="minorBidi"/>
          <w:color w:val="232323"/>
          <w:sz w:val="24"/>
          <w:szCs w:val="24"/>
          <w:shd w:val="clear" w:color="auto" w:fill="FFFFFF"/>
        </w:rPr>
        <w:t xml:space="preserve">Internet source URL: </w:t>
      </w:r>
      <w:hyperlink r:id="rId17" w:history="1">
        <w:r w:rsidRPr="003A0C84">
          <w:rPr>
            <w:rStyle w:val="Hyperlink"/>
            <w:rFonts w:asciiTheme="minorBidi" w:hAnsiTheme="minorBidi"/>
            <w:sz w:val="24"/>
            <w:szCs w:val="24"/>
            <w:shd w:val="clear" w:color="auto" w:fill="FFFFFF"/>
          </w:rPr>
          <w:t>https://www.cipd.co.uk/knowledge/fundamentals/relations/settlements-agreements</w:t>
        </w:r>
      </w:hyperlink>
      <w:r w:rsidRPr="003A0C84">
        <w:rPr>
          <w:rFonts w:asciiTheme="minorBidi" w:hAnsiTheme="minorBidi"/>
          <w:color w:val="232323"/>
          <w:sz w:val="24"/>
          <w:szCs w:val="24"/>
          <w:shd w:val="clear" w:color="auto" w:fill="FFFFFF"/>
        </w:rPr>
        <w:t xml:space="preserve"> accessed 7th</w:t>
      </w:r>
      <w:r>
        <w:rPr>
          <w:rFonts w:asciiTheme="minorBidi" w:hAnsiTheme="minorBidi"/>
          <w:color w:val="232323"/>
          <w:sz w:val="24"/>
          <w:szCs w:val="24"/>
          <w:shd w:val="clear" w:color="auto" w:fill="FFFFFF"/>
        </w:rPr>
        <w:t xml:space="preserve"> march 2024 at 1330. </w:t>
      </w:r>
    </w:p>
    <w:p w14:paraId="1D568819" w14:textId="5334EEE0" w:rsidR="00AC4BCB" w:rsidRDefault="00AC4BCB" w:rsidP="00AC4BCB">
      <w:pPr>
        <w:pStyle w:val="ListParagraph"/>
        <w:numPr>
          <w:ilvl w:val="0"/>
          <w:numId w:val="33"/>
        </w:numPr>
        <w:rPr>
          <w:rFonts w:asciiTheme="minorBidi" w:hAnsiTheme="minorBidi"/>
          <w:color w:val="232323"/>
          <w:sz w:val="24"/>
          <w:szCs w:val="24"/>
          <w:shd w:val="clear" w:color="auto" w:fill="FFFFFF"/>
        </w:rPr>
      </w:pPr>
      <w:r w:rsidRPr="00AC4BCB">
        <w:rPr>
          <w:rFonts w:asciiTheme="minorBidi" w:hAnsiTheme="minorBidi"/>
          <w:color w:val="232323"/>
          <w:sz w:val="24"/>
          <w:szCs w:val="24"/>
          <w:shd w:val="clear" w:color="auto" w:fill="FFFFFF"/>
        </w:rPr>
        <w:t>Daft, L.R., Marcic, D., Griffin, R.W. and Van Fleet, D.D. (2015) Management Skills. Cengage, Hampshire</w:t>
      </w:r>
    </w:p>
    <w:p w14:paraId="4EC80387" w14:textId="4BD20629" w:rsidR="00AC4BCB" w:rsidRPr="00AC4BCB" w:rsidRDefault="00AC4BCB" w:rsidP="00AC4BCB">
      <w:pPr>
        <w:pStyle w:val="ListParagraph"/>
        <w:numPr>
          <w:ilvl w:val="0"/>
          <w:numId w:val="33"/>
        </w:numPr>
        <w:rPr>
          <w:rFonts w:asciiTheme="minorBidi" w:hAnsiTheme="minorBidi"/>
          <w:color w:val="232323"/>
          <w:sz w:val="24"/>
          <w:szCs w:val="24"/>
          <w:shd w:val="clear" w:color="auto" w:fill="FFFFFF"/>
        </w:rPr>
      </w:pPr>
      <w:r w:rsidRPr="00AC4BCB">
        <w:rPr>
          <w:rFonts w:asciiTheme="minorBidi" w:hAnsiTheme="minorBidi"/>
          <w:color w:val="232323"/>
          <w:sz w:val="24"/>
          <w:szCs w:val="24"/>
          <w:shd w:val="clear" w:color="auto" w:fill="FFFFFF"/>
        </w:rPr>
        <w:t xml:space="preserve">Equality and Human Rights Commission. (2022). Equality Act 2010. Retrieved from </w:t>
      </w:r>
      <w:hyperlink r:id="rId18" w:history="1">
        <w:r w:rsidRPr="00E0315E">
          <w:rPr>
            <w:rStyle w:val="Hyperlink"/>
            <w:rFonts w:asciiTheme="minorBidi" w:hAnsiTheme="minorBidi"/>
            <w:sz w:val="24"/>
            <w:szCs w:val="24"/>
            <w:shd w:val="clear" w:color="auto" w:fill="FFFFFF"/>
          </w:rPr>
          <w:t>https://www.equalityhumanrights.com/en/equality-act-2010</w:t>
        </w:r>
      </w:hyperlink>
      <w:r>
        <w:rPr>
          <w:rFonts w:asciiTheme="minorBidi" w:hAnsiTheme="minorBidi"/>
          <w:color w:val="232323"/>
          <w:sz w:val="24"/>
          <w:szCs w:val="24"/>
          <w:shd w:val="clear" w:color="auto" w:fill="FFFFFF"/>
        </w:rPr>
        <w:t xml:space="preserve"> </w:t>
      </w:r>
    </w:p>
    <w:p w14:paraId="384FEB79" w14:textId="7FC51978" w:rsidR="00B46BEB" w:rsidRDefault="00B46BEB" w:rsidP="001048CD">
      <w:pPr>
        <w:numPr>
          <w:ilvl w:val="0"/>
          <w:numId w:val="33"/>
        </w:numPr>
        <w:jc w:val="both"/>
        <w:rPr>
          <w:rFonts w:asciiTheme="minorBidi" w:hAnsiTheme="minorBidi"/>
          <w:color w:val="232323"/>
          <w:sz w:val="24"/>
          <w:szCs w:val="24"/>
          <w:shd w:val="clear" w:color="auto" w:fill="FFFFFF"/>
        </w:rPr>
      </w:pPr>
      <w:r w:rsidRPr="00B46BEB">
        <w:rPr>
          <w:rFonts w:asciiTheme="minorBidi" w:hAnsiTheme="minorBidi"/>
          <w:color w:val="232323"/>
          <w:sz w:val="24"/>
          <w:szCs w:val="24"/>
          <w:shd w:val="clear" w:color="auto" w:fill="FFFFFF"/>
        </w:rPr>
        <w:t>Equality and Human Rights Commission. (</w:t>
      </w:r>
      <w:r w:rsidR="00AC4BCB">
        <w:rPr>
          <w:rFonts w:asciiTheme="minorBidi" w:hAnsiTheme="minorBidi"/>
          <w:color w:val="232323"/>
          <w:sz w:val="24"/>
          <w:szCs w:val="24"/>
          <w:shd w:val="clear" w:color="auto" w:fill="FFFFFF"/>
        </w:rPr>
        <w:t>2024</w:t>
      </w:r>
      <w:r w:rsidRPr="00B46BEB">
        <w:rPr>
          <w:rFonts w:asciiTheme="minorBidi" w:hAnsiTheme="minorBidi"/>
          <w:color w:val="232323"/>
          <w:sz w:val="24"/>
          <w:szCs w:val="24"/>
          <w:shd w:val="clear" w:color="auto" w:fill="FFFFFF"/>
        </w:rPr>
        <w:t xml:space="preserve">.). Equal pay. </w:t>
      </w:r>
      <w:r>
        <w:rPr>
          <w:rFonts w:asciiTheme="minorBidi" w:hAnsiTheme="minorBidi"/>
          <w:color w:val="232323"/>
          <w:sz w:val="24"/>
          <w:szCs w:val="24"/>
          <w:shd w:val="clear" w:color="auto" w:fill="FFFFFF"/>
        </w:rPr>
        <w:t>Internet source URL:</w:t>
      </w:r>
      <w:r w:rsidRPr="00B46BEB">
        <w:rPr>
          <w:rFonts w:asciiTheme="minorBidi" w:hAnsiTheme="minorBidi"/>
          <w:color w:val="232323"/>
          <w:sz w:val="24"/>
          <w:szCs w:val="24"/>
          <w:shd w:val="clear" w:color="auto" w:fill="FFFFFF"/>
        </w:rPr>
        <w:t xml:space="preserve"> </w:t>
      </w:r>
      <w:hyperlink r:id="rId19" w:history="1">
        <w:r w:rsidRPr="00B96590">
          <w:rPr>
            <w:rStyle w:val="Hyperlink"/>
            <w:rFonts w:asciiTheme="minorBidi" w:hAnsiTheme="minorBidi"/>
            <w:sz w:val="24"/>
            <w:szCs w:val="24"/>
            <w:shd w:val="clear" w:color="auto" w:fill="FFFFFF"/>
          </w:rPr>
          <w:t>https://www.equalityhumanrights.com/en/advice-and-guidance/equal-pay</w:t>
        </w:r>
      </w:hyperlink>
      <w:r>
        <w:rPr>
          <w:rFonts w:asciiTheme="minorBidi" w:hAnsiTheme="minorBidi"/>
          <w:color w:val="232323"/>
          <w:sz w:val="24"/>
          <w:szCs w:val="24"/>
          <w:shd w:val="clear" w:color="auto" w:fill="FFFFFF"/>
        </w:rPr>
        <w:t xml:space="preserve"> accessed 5th March 2024 at 0910</w:t>
      </w:r>
    </w:p>
    <w:p w14:paraId="41B04CE8" w14:textId="62287831" w:rsidR="00524141" w:rsidRDefault="00524141" w:rsidP="001048CD">
      <w:pPr>
        <w:numPr>
          <w:ilvl w:val="0"/>
          <w:numId w:val="33"/>
        </w:numPr>
        <w:jc w:val="both"/>
        <w:rPr>
          <w:rFonts w:asciiTheme="minorBidi" w:hAnsiTheme="minorBidi"/>
          <w:color w:val="232323"/>
          <w:sz w:val="24"/>
          <w:szCs w:val="24"/>
          <w:shd w:val="clear" w:color="auto" w:fill="FFFFFF"/>
        </w:rPr>
      </w:pPr>
      <w:r w:rsidRPr="00524141">
        <w:rPr>
          <w:rFonts w:asciiTheme="minorBidi" w:hAnsiTheme="minorBidi"/>
          <w:color w:val="232323"/>
          <w:sz w:val="24"/>
          <w:szCs w:val="24"/>
          <w:shd w:val="clear" w:color="auto" w:fill="FFFFFF"/>
        </w:rPr>
        <w:t>Equality and Human Rights Commission. (</w:t>
      </w:r>
      <w:r w:rsidR="00AC4BCB">
        <w:rPr>
          <w:rFonts w:asciiTheme="minorBidi" w:hAnsiTheme="minorBidi"/>
          <w:color w:val="232323"/>
          <w:sz w:val="24"/>
          <w:szCs w:val="24"/>
          <w:shd w:val="clear" w:color="auto" w:fill="FFFFFF"/>
        </w:rPr>
        <w:t>2024</w:t>
      </w:r>
      <w:r w:rsidRPr="00524141">
        <w:rPr>
          <w:rFonts w:asciiTheme="minorBidi" w:hAnsiTheme="minorBidi"/>
          <w:color w:val="232323"/>
          <w:sz w:val="24"/>
          <w:szCs w:val="24"/>
          <w:shd w:val="clear" w:color="auto" w:fill="FFFFFF"/>
        </w:rPr>
        <w:t>). Pregnancy and maternity discrimination.</w:t>
      </w:r>
      <w:r>
        <w:rPr>
          <w:rFonts w:asciiTheme="minorBidi" w:hAnsiTheme="minorBidi"/>
          <w:color w:val="232323"/>
          <w:sz w:val="24"/>
          <w:szCs w:val="24"/>
          <w:shd w:val="clear" w:color="auto" w:fill="FFFFFF"/>
        </w:rPr>
        <w:t xml:space="preserve"> </w:t>
      </w:r>
      <w:r w:rsidRPr="00524141">
        <w:rPr>
          <w:rFonts w:asciiTheme="minorBidi" w:hAnsiTheme="minorBidi"/>
          <w:color w:val="232323"/>
          <w:sz w:val="24"/>
          <w:szCs w:val="24"/>
          <w:shd w:val="clear" w:color="auto" w:fill="FFFFFF"/>
        </w:rPr>
        <w:t xml:space="preserve">Internet Source URL: </w:t>
      </w:r>
      <w:hyperlink r:id="rId20" w:history="1">
        <w:r w:rsidRPr="00524141">
          <w:rPr>
            <w:rStyle w:val="Hyperlink"/>
            <w:rFonts w:asciiTheme="minorBidi" w:hAnsiTheme="minorBidi"/>
            <w:sz w:val="24"/>
            <w:szCs w:val="24"/>
            <w:shd w:val="clear" w:color="auto" w:fill="FFFFFF"/>
          </w:rPr>
          <w:t>https://www.equalityhumanrights.com/en/advice-and-guidance/pregnancy-and-maternity-discrimination</w:t>
        </w:r>
      </w:hyperlink>
      <w:r w:rsidRPr="00524141">
        <w:rPr>
          <w:rFonts w:asciiTheme="minorBidi" w:hAnsiTheme="minorBidi"/>
          <w:color w:val="232323"/>
          <w:sz w:val="24"/>
          <w:szCs w:val="24"/>
          <w:shd w:val="clear" w:color="auto" w:fill="FFFFFF"/>
        </w:rPr>
        <w:t xml:space="preserve"> accessed 5th</w:t>
      </w:r>
      <w:r>
        <w:rPr>
          <w:rFonts w:asciiTheme="minorBidi" w:hAnsiTheme="minorBidi"/>
          <w:color w:val="232323"/>
          <w:sz w:val="24"/>
          <w:szCs w:val="24"/>
          <w:shd w:val="clear" w:color="auto" w:fill="FFFFFF"/>
        </w:rPr>
        <w:t xml:space="preserve"> March 2024 at 1030.</w:t>
      </w:r>
    </w:p>
    <w:p w14:paraId="05262ECF" w14:textId="25D75626" w:rsidR="007C2ADF" w:rsidRPr="007C2ADF" w:rsidRDefault="007C2ADF" w:rsidP="001048CD">
      <w:pPr>
        <w:numPr>
          <w:ilvl w:val="0"/>
          <w:numId w:val="33"/>
        </w:numPr>
        <w:jc w:val="both"/>
        <w:rPr>
          <w:rFonts w:asciiTheme="minorBidi" w:hAnsiTheme="minorBidi"/>
          <w:color w:val="232323"/>
          <w:sz w:val="24"/>
          <w:szCs w:val="24"/>
          <w:shd w:val="clear" w:color="auto" w:fill="FFFFFF"/>
        </w:rPr>
      </w:pPr>
      <w:r w:rsidRPr="007C2ADF">
        <w:rPr>
          <w:rFonts w:asciiTheme="minorBidi" w:hAnsiTheme="minorBidi"/>
          <w:color w:val="232323"/>
          <w:sz w:val="24"/>
          <w:szCs w:val="24"/>
          <w:shd w:val="clear" w:color="auto" w:fill="FFFFFF"/>
        </w:rPr>
        <w:t>Equality and Human Rights Commission. (</w:t>
      </w:r>
      <w:r w:rsidR="00AC4BCB">
        <w:rPr>
          <w:rFonts w:asciiTheme="minorBidi" w:hAnsiTheme="minorBidi"/>
          <w:color w:val="232323"/>
          <w:sz w:val="24"/>
          <w:szCs w:val="24"/>
          <w:shd w:val="clear" w:color="auto" w:fill="FFFFFF"/>
        </w:rPr>
        <w:t>2024</w:t>
      </w:r>
      <w:r w:rsidRPr="007C2ADF">
        <w:rPr>
          <w:rFonts w:asciiTheme="minorBidi" w:hAnsiTheme="minorBidi"/>
          <w:color w:val="232323"/>
          <w:sz w:val="24"/>
          <w:szCs w:val="24"/>
          <w:shd w:val="clear" w:color="auto" w:fill="FFFFFF"/>
        </w:rPr>
        <w:t xml:space="preserve">.). Flexible working. Internet source URL; </w:t>
      </w:r>
      <w:hyperlink r:id="rId21" w:history="1">
        <w:r w:rsidRPr="007C2ADF">
          <w:rPr>
            <w:rStyle w:val="Hyperlink"/>
            <w:rFonts w:asciiTheme="minorBidi" w:hAnsiTheme="minorBidi"/>
            <w:sz w:val="24"/>
            <w:szCs w:val="24"/>
            <w:shd w:val="clear" w:color="auto" w:fill="FFFFFF"/>
          </w:rPr>
          <w:t>https://www.equalityhumanrights.com/en/advice-and-guidance/flexible-working</w:t>
        </w:r>
      </w:hyperlink>
      <w:r w:rsidRPr="007C2ADF">
        <w:rPr>
          <w:rFonts w:asciiTheme="minorBidi" w:hAnsiTheme="minorBidi"/>
          <w:color w:val="232323"/>
          <w:sz w:val="24"/>
          <w:szCs w:val="24"/>
          <w:shd w:val="clear" w:color="auto" w:fill="FFFFFF"/>
        </w:rPr>
        <w:t xml:space="preserve"> accessed 7th</w:t>
      </w:r>
      <w:r>
        <w:rPr>
          <w:rFonts w:asciiTheme="minorBidi" w:hAnsiTheme="minorBidi"/>
          <w:color w:val="232323"/>
          <w:sz w:val="24"/>
          <w:szCs w:val="24"/>
          <w:shd w:val="clear" w:color="auto" w:fill="FFFFFF"/>
        </w:rPr>
        <w:t xml:space="preserve"> March 2024 at 1320. </w:t>
      </w:r>
    </w:p>
    <w:p w14:paraId="69E4B91C" w14:textId="141AE4EE" w:rsidR="003A0C84" w:rsidRDefault="003A0C84" w:rsidP="001048CD">
      <w:pPr>
        <w:numPr>
          <w:ilvl w:val="0"/>
          <w:numId w:val="33"/>
        </w:numPr>
        <w:jc w:val="both"/>
        <w:rPr>
          <w:rFonts w:asciiTheme="minorBidi" w:hAnsiTheme="minorBidi"/>
          <w:color w:val="232323"/>
          <w:sz w:val="24"/>
          <w:szCs w:val="24"/>
          <w:shd w:val="clear" w:color="auto" w:fill="FFFFFF"/>
        </w:rPr>
      </w:pPr>
      <w:r w:rsidRPr="003A0C84">
        <w:rPr>
          <w:rFonts w:asciiTheme="minorBidi" w:hAnsiTheme="minorBidi"/>
          <w:color w:val="232323"/>
          <w:sz w:val="24"/>
          <w:szCs w:val="24"/>
          <w:shd w:val="clear" w:color="auto" w:fill="FFFFFF"/>
        </w:rPr>
        <w:t>GOV.UK. (</w:t>
      </w:r>
      <w:r w:rsidR="00AC4BCB">
        <w:rPr>
          <w:rFonts w:asciiTheme="minorBidi" w:hAnsiTheme="minorBidi"/>
          <w:color w:val="232323"/>
          <w:sz w:val="24"/>
          <w:szCs w:val="24"/>
          <w:shd w:val="clear" w:color="auto" w:fill="FFFFFF"/>
        </w:rPr>
        <w:t>2024</w:t>
      </w:r>
      <w:r w:rsidRPr="003A0C84">
        <w:rPr>
          <w:rFonts w:asciiTheme="minorBidi" w:hAnsiTheme="minorBidi"/>
          <w:color w:val="232323"/>
          <w:sz w:val="24"/>
          <w:szCs w:val="24"/>
          <w:shd w:val="clear" w:color="auto" w:fill="FFFFFF"/>
        </w:rPr>
        <w:t xml:space="preserve">). </w:t>
      </w:r>
      <w:r w:rsidR="00B46BEB">
        <w:rPr>
          <w:rFonts w:asciiTheme="minorBidi" w:hAnsiTheme="minorBidi"/>
          <w:color w:val="232323"/>
          <w:sz w:val="24"/>
          <w:szCs w:val="24"/>
          <w:shd w:val="clear" w:color="auto" w:fill="FFFFFF"/>
        </w:rPr>
        <w:t xml:space="preserve">(2024) </w:t>
      </w:r>
      <w:r w:rsidRPr="003A0C84">
        <w:rPr>
          <w:rFonts w:asciiTheme="minorBidi" w:hAnsiTheme="minorBidi"/>
          <w:color w:val="232323"/>
          <w:sz w:val="24"/>
          <w:szCs w:val="24"/>
          <w:shd w:val="clear" w:color="auto" w:fill="FFFFFF"/>
        </w:rPr>
        <w:t xml:space="preserve">Employment Appeal Tribunal (EAT). </w:t>
      </w:r>
      <w:r>
        <w:rPr>
          <w:rFonts w:asciiTheme="minorBidi" w:hAnsiTheme="minorBidi"/>
          <w:color w:val="232323"/>
          <w:sz w:val="24"/>
          <w:szCs w:val="24"/>
          <w:shd w:val="clear" w:color="auto" w:fill="FFFFFF"/>
        </w:rPr>
        <w:t>Internet Source URL;</w:t>
      </w:r>
      <w:r w:rsidRPr="003A0C84">
        <w:rPr>
          <w:rFonts w:asciiTheme="minorBidi" w:hAnsiTheme="minorBidi"/>
          <w:color w:val="232323"/>
          <w:sz w:val="24"/>
          <w:szCs w:val="24"/>
          <w:shd w:val="clear" w:color="auto" w:fill="FFFFFF"/>
        </w:rPr>
        <w:t xml:space="preserve"> </w:t>
      </w:r>
      <w:hyperlink r:id="rId22" w:history="1">
        <w:r w:rsidRPr="00B96590">
          <w:rPr>
            <w:rStyle w:val="Hyperlink"/>
            <w:rFonts w:asciiTheme="minorBidi" w:hAnsiTheme="minorBidi"/>
            <w:sz w:val="24"/>
            <w:szCs w:val="24"/>
            <w:shd w:val="clear" w:color="auto" w:fill="FFFFFF"/>
          </w:rPr>
          <w:t>https://www.gov.uk/courts-tribunals/employment-appeal-tribunal</w:t>
        </w:r>
      </w:hyperlink>
      <w:r>
        <w:rPr>
          <w:rFonts w:asciiTheme="minorBidi" w:hAnsiTheme="minorBidi"/>
          <w:color w:val="232323"/>
          <w:sz w:val="24"/>
          <w:szCs w:val="24"/>
          <w:shd w:val="clear" w:color="auto" w:fill="FFFFFF"/>
        </w:rPr>
        <w:t xml:space="preserve">  accessed 7</w:t>
      </w:r>
      <w:r w:rsidRPr="003A0C84">
        <w:rPr>
          <w:rFonts w:asciiTheme="minorBidi" w:hAnsiTheme="minorBidi"/>
          <w:color w:val="232323"/>
          <w:sz w:val="24"/>
          <w:szCs w:val="24"/>
          <w:shd w:val="clear" w:color="auto" w:fill="FFFFFF"/>
          <w:vertAlign w:val="superscript"/>
        </w:rPr>
        <w:t>th</w:t>
      </w:r>
      <w:r>
        <w:rPr>
          <w:rFonts w:asciiTheme="minorBidi" w:hAnsiTheme="minorBidi"/>
          <w:color w:val="232323"/>
          <w:sz w:val="24"/>
          <w:szCs w:val="24"/>
          <w:shd w:val="clear" w:color="auto" w:fill="FFFFFF"/>
        </w:rPr>
        <w:t xml:space="preserve"> March 2024 at 1320. </w:t>
      </w:r>
    </w:p>
    <w:p w14:paraId="53746E81" w14:textId="35815A75" w:rsidR="00AC4BCB" w:rsidRDefault="00AC4BCB" w:rsidP="001048CD">
      <w:pPr>
        <w:numPr>
          <w:ilvl w:val="0"/>
          <w:numId w:val="33"/>
        </w:numPr>
        <w:jc w:val="both"/>
        <w:rPr>
          <w:rFonts w:asciiTheme="minorBidi" w:hAnsiTheme="minorBidi"/>
          <w:color w:val="232323"/>
          <w:sz w:val="24"/>
          <w:szCs w:val="24"/>
          <w:shd w:val="clear" w:color="auto" w:fill="FFFFFF"/>
        </w:rPr>
      </w:pPr>
      <w:r w:rsidRPr="00AC4BCB">
        <w:rPr>
          <w:rFonts w:asciiTheme="minorBidi" w:hAnsiTheme="minorBidi"/>
          <w:color w:val="232323"/>
          <w:sz w:val="24"/>
          <w:szCs w:val="24"/>
          <w:shd w:val="clear" w:color="auto" w:fill="FFFFFF"/>
          <w:lang w:val="de-DE"/>
        </w:rPr>
        <w:t xml:space="preserve">Freeman, R. B., &amp; Kleiner, M. M. (2005). </w:t>
      </w:r>
      <w:r w:rsidRPr="00AC4BCB">
        <w:rPr>
          <w:rFonts w:asciiTheme="minorBidi" w:hAnsiTheme="minorBidi"/>
          <w:color w:val="232323"/>
          <w:sz w:val="24"/>
          <w:szCs w:val="24"/>
          <w:shd w:val="clear" w:color="auto" w:fill="FFFFFF"/>
        </w:rPr>
        <w:t>The impact of new labor regulations on job creation: Evidence from different industries and states. Industrial and Labor Relations Review, 58(4), 593-61</w:t>
      </w:r>
      <w:r>
        <w:rPr>
          <w:rFonts w:asciiTheme="minorBidi" w:hAnsiTheme="minorBidi"/>
          <w:color w:val="232323"/>
          <w:sz w:val="24"/>
          <w:szCs w:val="24"/>
          <w:shd w:val="clear" w:color="auto" w:fill="FFFFFF"/>
        </w:rPr>
        <w:t xml:space="preserve">2 </w:t>
      </w:r>
    </w:p>
    <w:p w14:paraId="037D2979" w14:textId="0B3970C1" w:rsidR="00B46BEB" w:rsidRDefault="00B46BEB" w:rsidP="001048CD">
      <w:pPr>
        <w:numPr>
          <w:ilvl w:val="0"/>
          <w:numId w:val="33"/>
        </w:numPr>
        <w:jc w:val="both"/>
        <w:rPr>
          <w:rFonts w:asciiTheme="minorBidi" w:hAnsiTheme="minorBidi"/>
          <w:color w:val="232323"/>
          <w:sz w:val="24"/>
          <w:szCs w:val="24"/>
          <w:shd w:val="clear" w:color="auto" w:fill="FFFFFF"/>
        </w:rPr>
      </w:pPr>
      <w:r w:rsidRPr="00B46BEB">
        <w:rPr>
          <w:rFonts w:asciiTheme="minorBidi" w:hAnsiTheme="minorBidi"/>
          <w:color w:val="232323"/>
          <w:sz w:val="24"/>
          <w:szCs w:val="24"/>
          <w:shd w:val="clear" w:color="auto" w:fill="FFFFFF"/>
        </w:rPr>
        <w:t xml:space="preserve">GOV.UK. (n.d.). </w:t>
      </w:r>
      <w:r>
        <w:rPr>
          <w:rFonts w:asciiTheme="minorBidi" w:hAnsiTheme="minorBidi"/>
          <w:color w:val="232323"/>
          <w:sz w:val="24"/>
          <w:szCs w:val="24"/>
          <w:shd w:val="clear" w:color="auto" w:fill="FFFFFF"/>
        </w:rPr>
        <w:t xml:space="preserve">(2024) </w:t>
      </w:r>
      <w:r w:rsidRPr="00B46BEB">
        <w:rPr>
          <w:rFonts w:asciiTheme="minorBidi" w:hAnsiTheme="minorBidi"/>
          <w:color w:val="232323"/>
          <w:sz w:val="24"/>
          <w:szCs w:val="24"/>
          <w:shd w:val="clear" w:color="auto" w:fill="FFFFFF"/>
        </w:rPr>
        <w:t xml:space="preserve">National Minimum Wage and National Living Wage rates. Internet source URL: </w:t>
      </w:r>
      <w:hyperlink r:id="rId23" w:history="1">
        <w:r w:rsidRPr="00B46BEB">
          <w:rPr>
            <w:rStyle w:val="Hyperlink"/>
            <w:rFonts w:asciiTheme="minorBidi" w:hAnsiTheme="minorBidi"/>
            <w:sz w:val="24"/>
            <w:szCs w:val="24"/>
            <w:shd w:val="clear" w:color="auto" w:fill="FFFFFF"/>
          </w:rPr>
          <w:t>https://www.gov.uk/national-minimum-wage-rates</w:t>
        </w:r>
      </w:hyperlink>
      <w:r w:rsidRPr="00B46BEB">
        <w:rPr>
          <w:rFonts w:asciiTheme="minorBidi" w:hAnsiTheme="minorBidi"/>
          <w:color w:val="232323"/>
          <w:sz w:val="24"/>
          <w:szCs w:val="24"/>
          <w:shd w:val="clear" w:color="auto" w:fill="FFFFFF"/>
        </w:rPr>
        <w:t xml:space="preserve"> accessed 5th</w:t>
      </w:r>
      <w:r>
        <w:rPr>
          <w:rFonts w:asciiTheme="minorBidi" w:hAnsiTheme="minorBidi"/>
          <w:color w:val="232323"/>
          <w:sz w:val="24"/>
          <w:szCs w:val="24"/>
          <w:shd w:val="clear" w:color="auto" w:fill="FFFFFF"/>
        </w:rPr>
        <w:t xml:space="preserve"> March 2024 at 0930. </w:t>
      </w:r>
    </w:p>
    <w:p w14:paraId="028B13E9" w14:textId="00D17CC1" w:rsidR="00524141" w:rsidRDefault="00524141" w:rsidP="001048CD">
      <w:pPr>
        <w:numPr>
          <w:ilvl w:val="0"/>
          <w:numId w:val="33"/>
        </w:numPr>
        <w:jc w:val="both"/>
        <w:rPr>
          <w:rFonts w:asciiTheme="minorBidi" w:hAnsiTheme="minorBidi"/>
          <w:color w:val="232323"/>
          <w:sz w:val="24"/>
          <w:szCs w:val="24"/>
          <w:shd w:val="clear" w:color="auto" w:fill="FFFFFF"/>
        </w:rPr>
      </w:pPr>
      <w:r w:rsidRPr="00524141">
        <w:rPr>
          <w:rFonts w:asciiTheme="minorBidi" w:hAnsiTheme="minorBidi"/>
          <w:color w:val="232323"/>
          <w:sz w:val="24"/>
          <w:szCs w:val="24"/>
          <w:shd w:val="clear" w:color="auto" w:fill="FFFFFF"/>
        </w:rPr>
        <w:t>GOV.UK. (</w:t>
      </w:r>
      <w:r w:rsidR="00AC4BCB">
        <w:rPr>
          <w:rFonts w:asciiTheme="minorBidi" w:hAnsiTheme="minorBidi"/>
          <w:color w:val="232323"/>
          <w:sz w:val="24"/>
          <w:szCs w:val="24"/>
          <w:shd w:val="clear" w:color="auto" w:fill="FFFFFF"/>
        </w:rPr>
        <w:t>2024</w:t>
      </w:r>
      <w:r w:rsidRPr="00524141">
        <w:rPr>
          <w:rFonts w:asciiTheme="minorBidi" w:hAnsiTheme="minorBidi"/>
          <w:color w:val="232323"/>
          <w:sz w:val="24"/>
          <w:szCs w:val="24"/>
          <w:shd w:val="clear" w:color="auto" w:fill="FFFFFF"/>
        </w:rPr>
        <w:t>.). Maternity leave and pay.</w:t>
      </w:r>
      <w:r>
        <w:rPr>
          <w:rFonts w:asciiTheme="minorBidi" w:hAnsiTheme="minorBidi"/>
          <w:color w:val="232323"/>
          <w:sz w:val="24"/>
          <w:szCs w:val="24"/>
          <w:shd w:val="clear" w:color="auto" w:fill="FFFFFF"/>
        </w:rPr>
        <w:t xml:space="preserve"> Internet source URL:</w:t>
      </w:r>
      <w:r w:rsidRPr="00524141">
        <w:rPr>
          <w:rFonts w:asciiTheme="minorBidi" w:hAnsiTheme="minorBidi"/>
          <w:color w:val="232323"/>
          <w:sz w:val="24"/>
          <w:szCs w:val="24"/>
          <w:shd w:val="clear" w:color="auto" w:fill="FFFFFF"/>
        </w:rPr>
        <w:t xml:space="preserve"> </w:t>
      </w:r>
      <w:hyperlink r:id="rId24" w:history="1">
        <w:r w:rsidRPr="00B96590">
          <w:rPr>
            <w:rStyle w:val="Hyperlink"/>
            <w:rFonts w:asciiTheme="minorBidi" w:hAnsiTheme="minorBidi"/>
            <w:sz w:val="24"/>
            <w:szCs w:val="24"/>
            <w:shd w:val="clear" w:color="auto" w:fill="FFFFFF"/>
          </w:rPr>
          <w:t>https://www.gov.uk/maternity-pay-leave</w:t>
        </w:r>
      </w:hyperlink>
      <w:r>
        <w:rPr>
          <w:rFonts w:asciiTheme="minorBidi" w:hAnsiTheme="minorBidi"/>
          <w:color w:val="232323"/>
          <w:sz w:val="24"/>
          <w:szCs w:val="24"/>
          <w:shd w:val="clear" w:color="auto" w:fill="FFFFFF"/>
        </w:rPr>
        <w:t xml:space="preserve">  accessed on 5</w:t>
      </w:r>
      <w:r w:rsidRPr="00524141">
        <w:rPr>
          <w:rFonts w:asciiTheme="minorBidi" w:hAnsiTheme="minorBidi"/>
          <w:color w:val="232323"/>
          <w:sz w:val="24"/>
          <w:szCs w:val="24"/>
          <w:shd w:val="clear" w:color="auto" w:fill="FFFFFF"/>
          <w:vertAlign w:val="superscript"/>
        </w:rPr>
        <w:t>th</w:t>
      </w:r>
      <w:r>
        <w:rPr>
          <w:rFonts w:asciiTheme="minorBidi" w:hAnsiTheme="minorBidi"/>
          <w:color w:val="232323"/>
          <w:sz w:val="24"/>
          <w:szCs w:val="24"/>
          <w:shd w:val="clear" w:color="auto" w:fill="FFFFFF"/>
        </w:rPr>
        <w:t xml:space="preserve"> March 2024 at 1000. </w:t>
      </w:r>
    </w:p>
    <w:p w14:paraId="77CE6377" w14:textId="5291B306" w:rsidR="007C2ADF" w:rsidRPr="007C2ADF" w:rsidRDefault="007C2ADF" w:rsidP="001048CD">
      <w:pPr>
        <w:numPr>
          <w:ilvl w:val="0"/>
          <w:numId w:val="33"/>
        </w:numPr>
        <w:jc w:val="both"/>
        <w:rPr>
          <w:rFonts w:asciiTheme="minorBidi" w:hAnsiTheme="minorBidi"/>
          <w:color w:val="232323"/>
          <w:sz w:val="24"/>
          <w:szCs w:val="24"/>
          <w:shd w:val="clear" w:color="auto" w:fill="FFFFFF"/>
        </w:rPr>
      </w:pPr>
      <w:r w:rsidRPr="007C2ADF">
        <w:rPr>
          <w:rFonts w:asciiTheme="minorBidi" w:hAnsiTheme="minorBidi"/>
          <w:color w:val="232323"/>
          <w:sz w:val="24"/>
          <w:szCs w:val="24"/>
          <w:shd w:val="clear" w:color="auto" w:fill="FFFFFF"/>
        </w:rPr>
        <w:t>GOV.UK. (</w:t>
      </w:r>
      <w:r w:rsidR="00AC4BCB">
        <w:rPr>
          <w:rFonts w:asciiTheme="minorBidi" w:hAnsiTheme="minorBidi"/>
          <w:color w:val="232323"/>
          <w:sz w:val="24"/>
          <w:szCs w:val="24"/>
          <w:shd w:val="clear" w:color="auto" w:fill="FFFFFF"/>
        </w:rPr>
        <w:t>2024</w:t>
      </w:r>
      <w:r w:rsidRPr="007C2ADF">
        <w:rPr>
          <w:rFonts w:asciiTheme="minorBidi" w:hAnsiTheme="minorBidi"/>
          <w:color w:val="232323"/>
          <w:sz w:val="24"/>
          <w:szCs w:val="24"/>
          <w:shd w:val="clear" w:color="auto" w:fill="FFFFFF"/>
        </w:rPr>
        <w:t xml:space="preserve">.). Flexible working. Internet Source URL;  </w:t>
      </w:r>
      <w:hyperlink r:id="rId25" w:history="1">
        <w:r w:rsidRPr="007C2ADF">
          <w:rPr>
            <w:rStyle w:val="Hyperlink"/>
            <w:rFonts w:asciiTheme="minorBidi" w:hAnsiTheme="minorBidi"/>
            <w:sz w:val="24"/>
            <w:szCs w:val="24"/>
            <w:shd w:val="clear" w:color="auto" w:fill="FFFFFF"/>
          </w:rPr>
          <w:t>https://www.gov.uk/flexible-working</w:t>
        </w:r>
      </w:hyperlink>
      <w:r w:rsidRPr="007C2ADF">
        <w:rPr>
          <w:rFonts w:asciiTheme="minorBidi" w:hAnsiTheme="minorBidi"/>
          <w:color w:val="232323"/>
          <w:sz w:val="24"/>
          <w:szCs w:val="24"/>
          <w:shd w:val="clear" w:color="auto" w:fill="FFFFFF"/>
        </w:rPr>
        <w:t xml:space="preserve"> accessed 7th</w:t>
      </w:r>
      <w:r>
        <w:rPr>
          <w:rFonts w:asciiTheme="minorBidi" w:hAnsiTheme="minorBidi"/>
          <w:color w:val="232323"/>
          <w:sz w:val="24"/>
          <w:szCs w:val="24"/>
          <w:shd w:val="clear" w:color="auto" w:fill="FFFFFF"/>
        </w:rPr>
        <w:t xml:space="preserve"> March 2024 at 1315</w:t>
      </w:r>
    </w:p>
    <w:p w14:paraId="2FC4BA97" w14:textId="3158AC3F" w:rsidR="00F908DE" w:rsidRDefault="00F908DE" w:rsidP="001048CD">
      <w:pPr>
        <w:numPr>
          <w:ilvl w:val="0"/>
          <w:numId w:val="33"/>
        </w:numPr>
        <w:jc w:val="both"/>
        <w:rPr>
          <w:rFonts w:asciiTheme="minorBidi" w:hAnsiTheme="minorBidi"/>
          <w:color w:val="232323"/>
          <w:sz w:val="24"/>
          <w:szCs w:val="24"/>
          <w:shd w:val="clear" w:color="auto" w:fill="FFFFFF"/>
        </w:rPr>
      </w:pPr>
      <w:r w:rsidRPr="00F908DE">
        <w:rPr>
          <w:rFonts w:asciiTheme="minorBidi" w:hAnsiTheme="minorBidi"/>
          <w:color w:val="232323"/>
          <w:sz w:val="24"/>
          <w:szCs w:val="24"/>
          <w:shd w:val="clear" w:color="auto" w:fill="FFFFFF"/>
        </w:rPr>
        <w:t xml:space="preserve">Greenberg, J. (2011). Organizational justice: The dynamics of fairness in the workplace. In S. Zedeck (Ed.), APA handbook of industrial and organizational psychology, Vol. 3. Maintaining, expanding, and contracting the organization (pp. 271–327). American Psychological Association. </w:t>
      </w:r>
      <w:hyperlink r:id="rId26" w:history="1">
        <w:r w:rsidRPr="00B96590">
          <w:rPr>
            <w:rStyle w:val="Hyperlink"/>
            <w:rFonts w:asciiTheme="minorBidi" w:hAnsiTheme="minorBidi"/>
            <w:sz w:val="24"/>
            <w:szCs w:val="24"/>
            <w:shd w:val="clear" w:color="auto" w:fill="FFFFFF"/>
          </w:rPr>
          <w:t>https://doi.org/10.1037/12171-008</w:t>
        </w:r>
      </w:hyperlink>
      <w:r>
        <w:rPr>
          <w:rFonts w:asciiTheme="minorBidi" w:hAnsiTheme="minorBidi"/>
          <w:color w:val="232323"/>
          <w:sz w:val="24"/>
          <w:szCs w:val="24"/>
          <w:shd w:val="clear" w:color="auto" w:fill="FFFFFF"/>
        </w:rPr>
        <w:t xml:space="preserve"> </w:t>
      </w:r>
    </w:p>
    <w:p w14:paraId="0F2957EC" w14:textId="52C79FC2" w:rsidR="00AC4BCB" w:rsidRDefault="00AC4BCB" w:rsidP="00D30212">
      <w:pPr>
        <w:pStyle w:val="ListParagraph"/>
        <w:numPr>
          <w:ilvl w:val="0"/>
          <w:numId w:val="33"/>
        </w:numPr>
        <w:jc w:val="both"/>
        <w:rPr>
          <w:rFonts w:asciiTheme="minorBidi" w:hAnsiTheme="minorBidi"/>
          <w:color w:val="232323"/>
          <w:sz w:val="24"/>
          <w:szCs w:val="24"/>
          <w:shd w:val="clear" w:color="auto" w:fill="FFFFFF"/>
        </w:rPr>
      </w:pPr>
      <w:r w:rsidRPr="00AC4BCB">
        <w:rPr>
          <w:rFonts w:asciiTheme="minorBidi" w:hAnsiTheme="minorBidi"/>
          <w:color w:val="232323"/>
          <w:sz w:val="24"/>
          <w:szCs w:val="24"/>
          <w:shd w:val="clear" w:color="auto" w:fill="FFFFFF"/>
        </w:rPr>
        <w:t xml:space="preserve">Health and Safety Executive. (2022). Health and Safety at Work Act 1974. Retrieved from </w:t>
      </w:r>
      <w:hyperlink r:id="rId27" w:history="1">
        <w:r w:rsidRPr="00AC4BCB">
          <w:rPr>
            <w:rStyle w:val="Hyperlink"/>
            <w:rFonts w:asciiTheme="minorBidi" w:hAnsiTheme="minorBidi"/>
            <w:sz w:val="24"/>
            <w:szCs w:val="24"/>
            <w:shd w:val="clear" w:color="auto" w:fill="FFFFFF"/>
          </w:rPr>
          <w:t>https://www.hse.gov.uk/legislation/hswa.htm</w:t>
        </w:r>
      </w:hyperlink>
      <w:r w:rsidRPr="00AC4BCB">
        <w:rPr>
          <w:rFonts w:asciiTheme="minorBidi" w:hAnsiTheme="minorBidi"/>
          <w:color w:val="232323"/>
          <w:sz w:val="24"/>
          <w:szCs w:val="24"/>
          <w:shd w:val="clear" w:color="auto" w:fill="FFFFFF"/>
        </w:rPr>
        <w:t xml:space="preserve"> </w:t>
      </w:r>
    </w:p>
    <w:p w14:paraId="782A1EAB" w14:textId="43BA03E1" w:rsidR="004A26BF" w:rsidRPr="00AC4BCB" w:rsidRDefault="004A26BF" w:rsidP="00D30212">
      <w:pPr>
        <w:pStyle w:val="ListParagraph"/>
        <w:numPr>
          <w:ilvl w:val="0"/>
          <w:numId w:val="33"/>
        </w:numPr>
        <w:jc w:val="both"/>
        <w:rPr>
          <w:rFonts w:asciiTheme="minorBidi" w:hAnsiTheme="minorBidi"/>
          <w:color w:val="232323"/>
          <w:sz w:val="24"/>
          <w:szCs w:val="24"/>
          <w:shd w:val="clear" w:color="auto" w:fill="FFFFFF"/>
        </w:rPr>
      </w:pPr>
      <w:r w:rsidRPr="004A26BF">
        <w:rPr>
          <w:rFonts w:asciiTheme="minorBidi" w:hAnsiTheme="minorBidi"/>
          <w:color w:val="232323"/>
          <w:sz w:val="24"/>
          <w:szCs w:val="24"/>
          <w:shd w:val="clear" w:color="auto" w:fill="FFFFFF"/>
        </w:rPr>
        <w:t>Hewlett, S. A., Luce, C. B., &amp; West, C. (2010). The power of flexibility: A key enabler to boost women’s careers and employer’s workforce strategy. Center for Talent Innovation.</w:t>
      </w:r>
      <w:r>
        <w:rPr>
          <w:rFonts w:asciiTheme="minorBidi" w:hAnsiTheme="minorBidi"/>
          <w:color w:val="232323"/>
          <w:sz w:val="24"/>
          <w:szCs w:val="24"/>
          <w:shd w:val="clear" w:color="auto" w:fill="FFFFFF"/>
        </w:rPr>
        <w:t xml:space="preserve"> </w:t>
      </w:r>
    </w:p>
    <w:p w14:paraId="286CE6FD" w14:textId="4129FAAE" w:rsidR="003A0C84" w:rsidRDefault="00572BFA" w:rsidP="001048CD">
      <w:pPr>
        <w:numPr>
          <w:ilvl w:val="0"/>
          <w:numId w:val="33"/>
        </w:numPr>
        <w:jc w:val="both"/>
        <w:rPr>
          <w:rFonts w:asciiTheme="minorBidi" w:hAnsiTheme="minorBidi"/>
          <w:color w:val="232323"/>
          <w:sz w:val="24"/>
          <w:szCs w:val="24"/>
          <w:shd w:val="clear" w:color="auto" w:fill="FFFFFF"/>
        </w:rPr>
      </w:pPr>
      <w:r w:rsidRPr="00572BFA">
        <w:rPr>
          <w:rFonts w:asciiTheme="minorBidi" w:hAnsiTheme="minorBidi"/>
          <w:color w:val="232323"/>
          <w:sz w:val="24"/>
          <w:szCs w:val="24"/>
          <w:shd w:val="clear" w:color="auto" w:fill="FFFFFF"/>
        </w:rPr>
        <w:t>Institute for Employment Studies. (2009). Equality and Diversity: Good Practice for the Employment of Disabled People.</w:t>
      </w:r>
    </w:p>
    <w:bookmarkEnd w:id="0"/>
    <w:p w14:paraId="23354A3E" w14:textId="77777777" w:rsidR="001048CD" w:rsidRPr="003A0C84" w:rsidRDefault="001048CD" w:rsidP="00D1503E">
      <w:pPr>
        <w:jc w:val="both"/>
        <w:rPr>
          <w:rFonts w:asciiTheme="minorBidi" w:hAnsiTheme="minorBidi"/>
          <w:color w:val="232323"/>
          <w:sz w:val="24"/>
          <w:szCs w:val="24"/>
          <w:shd w:val="clear" w:color="auto" w:fill="FFFFFF"/>
        </w:rPr>
      </w:pPr>
    </w:p>
    <w:sectPr w:rsidR="001048CD" w:rsidRPr="003A0C84" w:rsidSect="00B600F5">
      <w:headerReference w:type="default" r:id="rId28"/>
      <w:footerReference w:type="default" r:id="rId29"/>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58970C" w14:textId="77777777" w:rsidR="00B600F5" w:rsidRDefault="00B600F5" w:rsidP="00C81727">
      <w:pPr>
        <w:spacing w:after="0" w:line="240" w:lineRule="auto"/>
      </w:pPr>
      <w:r>
        <w:separator/>
      </w:r>
    </w:p>
  </w:endnote>
  <w:endnote w:type="continuationSeparator" w:id="0">
    <w:p w14:paraId="496831FA" w14:textId="77777777" w:rsidR="00B600F5" w:rsidRDefault="00B600F5" w:rsidP="00C81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5142666"/>
      <w:docPartObj>
        <w:docPartGallery w:val="Page Numbers (Bottom of Page)"/>
        <w:docPartUnique/>
      </w:docPartObj>
    </w:sdtPr>
    <w:sdtEndPr>
      <w:rPr>
        <w:noProof/>
      </w:rPr>
    </w:sdtEndPr>
    <w:sdtContent>
      <w:p w14:paraId="608CD16B" w14:textId="743CF1B2" w:rsidR="00DF417E" w:rsidRDefault="00DF41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DFC4FE" w14:textId="77777777" w:rsidR="00DF417E" w:rsidRDefault="00DF41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152B4D" w14:textId="77777777" w:rsidR="00B600F5" w:rsidRDefault="00B600F5" w:rsidP="00C81727">
      <w:pPr>
        <w:spacing w:after="0" w:line="240" w:lineRule="auto"/>
      </w:pPr>
      <w:r>
        <w:separator/>
      </w:r>
    </w:p>
  </w:footnote>
  <w:footnote w:type="continuationSeparator" w:id="0">
    <w:p w14:paraId="5FFA8176" w14:textId="77777777" w:rsidR="00B600F5" w:rsidRDefault="00B600F5" w:rsidP="00C817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AFB156D" w14:paraId="15BBAA54" w14:textId="77777777" w:rsidTr="5AFB156D">
      <w:trPr>
        <w:trHeight w:val="300"/>
      </w:trPr>
      <w:tc>
        <w:tcPr>
          <w:tcW w:w="3005" w:type="dxa"/>
        </w:tcPr>
        <w:p w14:paraId="39845D82" w14:textId="4B4221CF" w:rsidR="5AFB156D" w:rsidRDefault="5AFB156D" w:rsidP="5AFB156D">
          <w:pPr>
            <w:pStyle w:val="Header"/>
            <w:ind w:left="-115"/>
          </w:pPr>
        </w:p>
      </w:tc>
      <w:tc>
        <w:tcPr>
          <w:tcW w:w="3005" w:type="dxa"/>
        </w:tcPr>
        <w:p w14:paraId="66C9695B" w14:textId="154519E8" w:rsidR="5AFB156D" w:rsidRDefault="5AFB156D" w:rsidP="5AFB156D">
          <w:pPr>
            <w:pStyle w:val="Header"/>
            <w:jc w:val="center"/>
          </w:pPr>
        </w:p>
      </w:tc>
      <w:tc>
        <w:tcPr>
          <w:tcW w:w="3005" w:type="dxa"/>
        </w:tcPr>
        <w:p w14:paraId="443BC92E" w14:textId="5EB45CBA" w:rsidR="5AFB156D" w:rsidRDefault="5AFB156D" w:rsidP="5AFB156D">
          <w:pPr>
            <w:pStyle w:val="Header"/>
            <w:ind w:right="-115"/>
            <w:jc w:val="right"/>
          </w:pPr>
        </w:p>
      </w:tc>
    </w:tr>
  </w:tbl>
  <w:p w14:paraId="1AAC08EF" w14:textId="36AE803F" w:rsidR="5AFB156D" w:rsidRDefault="5AFB156D" w:rsidP="5AFB15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612521"/>
    <w:multiLevelType w:val="multilevel"/>
    <w:tmpl w:val="5610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C22610"/>
    <w:multiLevelType w:val="hybridMultilevel"/>
    <w:tmpl w:val="00C6F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604C43"/>
    <w:multiLevelType w:val="multilevel"/>
    <w:tmpl w:val="F628E742"/>
    <w:lvl w:ilvl="0">
      <w:start w:val="1"/>
      <w:numFmt w:val="decimal"/>
      <w:pStyle w:val="Listparag"/>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07AE4139"/>
    <w:multiLevelType w:val="hybridMultilevel"/>
    <w:tmpl w:val="F6164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062886"/>
    <w:multiLevelType w:val="multilevel"/>
    <w:tmpl w:val="C30AE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116459"/>
    <w:multiLevelType w:val="hybridMultilevel"/>
    <w:tmpl w:val="CA56D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227096C"/>
    <w:multiLevelType w:val="hybridMultilevel"/>
    <w:tmpl w:val="63AA0A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596627D"/>
    <w:multiLevelType w:val="hybridMultilevel"/>
    <w:tmpl w:val="63B24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96223B"/>
    <w:multiLevelType w:val="hybridMultilevel"/>
    <w:tmpl w:val="42DA177C"/>
    <w:lvl w:ilvl="0" w:tplc="75747478">
      <w:start w:val="1"/>
      <w:numFmt w:val="decimal"/>
      <w:lvlText w:val="%1."/>
      <w:lvlJc w:val="left"/>
      <w:pPr>
        <w:ind w:left="1080" w:hanging="720"/>
      </w:pPr>
      <w:rPr>
        <w:rFonts w:hint="default"/>
      </w:rPr>
    </w:lvl>
    <w:lvl w:ilvl="1" w:tplc="2F9CE99A">
      <w:start w:val="1"/>
      <w:numFmt w:val="bullet"/>
      <w:lvlText w:val="•"/>
      <w:lvlJc w:val="left"/>
      <w:pPr>
        <w:ind w:left="1800" w:hanging="720"/>
      </w:pPr>
      <w:rPr>
        <w:rFonts w:ascii="Arial" w:eastAsia="Arial"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7170BDF"/>
    <w:multiLevelType w:val="hybridMultilevel"/>
    <w:tmpl w:val="54B4D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041877"/>
    <w:multiLevelType w:val="hybridMultilevel"/>
    <w:tmpl w:val="5316C61A"/>
    <w:lvl w:ilvl="0" w:tplc="7BF8451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3" w15:restartNumberingAfterBreak="0">
    <w:nsid w:val="327F6368"/>
    <w:multiLevelType w:val="hybridMultilevel"/>
    <w:tmpl w:val="A0B86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43065E"/>
    <w:multiLevelType w:val="multilevel"/>
    <w:tmpl w:val="E0D26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9CB5F92"/>
    <w:multiLevelType w:val="hybridMultilevel"/>
    <w:tmpl w:val="5FBE6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212B76"/>
    <w:multiLevelType w:val="hybridMultilevel"/>
    <w:tmpl w:val="086A1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400493"/>
    <w:multiLevelType w:val="hybridMultilevel"/>
    <w:tmpl w:val="4F107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4C51D4"/>
    <w:multiLevelType w:val="hybridMultilevel"/>
    <w:tmpl w:val="F5567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4A114A6"/>
    <w:multiLevelType w:val="hybridMultilevel"/>
    <w:tmpl w:val="8C24C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977BF6"/>
    <w:multiLevelType w:val="hybridMultilevel"/>
    <w:tmpl w:val="C0DA1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7B60A1"/>
    <w:multiLevelType w:val="hybridMultilevel"/>
    <w:tmpl w:val="8E70C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E02669"/>
    <w:multiLevelType w:val="hybridMultilevel"/>
    <w:tmpl w:val="94E4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5C12026"/>
    <w:multiLevelType w:val="multilevel"/>
    <w:tmpl w:val="F9387442"/>
    <w:lvl w:ilvl="0">
      <w:start w:val="1"/>
      <w:numFmt w:val="decimal"/>
      <w:lvlText w:val="%1"/>
      <w:lvlJc w:val="left"/>
      <w:pPr>
        <w:ind w:left="400" w:hanging="400"/>
      </w:pPr>
      <w:rPr>
        <w:rFonts w:hint="default"/>
      </w:rPr>
    </w:lvl>
    <w:lvl w:ilvl="1">
      <w:start w:val="1"/>
      <w:numFmt w:val="decimal"/>
      <w:lvlText w:val="%1.%2"/>
      <w:lvlJc w:val="left"/>
      <w:pPr>
        <w:ind w:left="760" w:hanging="40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5" w15:restartNumberingAfterBreak="0">
    <w:nsid w:val="569B4504"/>
    <w:multiLevelType w:val="hybridMultilevel"/>
    <w:tmpl w:val="DD5A4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C0178E"/>
    <w:multiLevelType w:val="hybridMultilevel"/>
    <w:tmpl w:val="CD7C86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5BA811E5"/>
    <w:multiLevelType w:val="hybridMultilevel"/>
    <w:tmpl w:val="5F5E0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D20CC2"/>
    <w:multiLevelType w:val="hybridMultilevel"/>
    <w:tmpl w:val="20163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ED6E03"/>
    <w:multiLevelType w:val="hybridMultilevel"/>
    <w:tmpl w:val="125A5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4C07083"/>
    <w:multiLevelType w:val="multilevel"/>
    <w:tmpl w:val="445281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54D0D20"/>
    <w:multiLevelType w:val="multilevel"/>
    <w:tmpl w:val="8182C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60B04A2"/>
    <w:multiLevelType w:val="hybridMultilevel"/>
    <w:tmpl w:val="DDFCCB36"/>
    <w:lvl w:ilvl="0" w:tplc="0809000F">
      <w:start w:val="1"/>
      <w:numFmt w:val="decimal"/>
      <w:lvlText w:val="%1."/>
      <w:lvlJc w:val="left"/>
      <w:pPr>
        <w:ind w:left="818" w:hanging="360"/>
      </w:pPr>
    </w:lvl>
    <w:lvl w:ilvl="1" w:tplc="08090019" w:tentative="1">
      <w:start w:val="1"/>
      <w:numFmt w:val="lowerLetter"/>
      <w:lvlText w:val="%2."/>
      <w:lvlJc w:val="left"/>
      <w:pPr>
        <w:ind w:left="1538" w:hanging="360"/>
      </w:pPr>
    </w:lvl>
    <w:lvl w:ilvl="2" w:tplc="0809001B" w:tentative="1">
      <w:start w:val="1"/>
      <w:numFmt w:val="lowerRoman"/>
      <w:lvlText w:val="%3."/>
      <w:lvlJc w:val="right"/>
      <w:pPr>
        <w:ind w:left="2258" w:hanging="180"/>
      </w:pPr>
    </w:lvl>
    <w:lvl w:ilvl="3" w:tplc="0809000F" w:tentative="1">
      <w:start w:val="1"/>
      <w:numFmt w:val="decimal"/>
      <w:lvlText w:val="%4."/>
      <w:lvlJc w:val="left"/>
      <w:pPr>
        <w:ind w:left="2978" w:hanging="360"/>
      </w:pPr>
    </w:lvl>
    <w:lvl w:ilvl="4" w:tplc="08090019" w:tentative="1">
      <w:start w:val="1"/>
      <w:numFmt w:val="lowerLetter"/>
      <w:lvlText w:val="%5."/>
      <w:lvlJc w:val="left"/>
      <w:pPr>
        <w:ind w:left="3698" w:hanging="360"/>
      </w:pPr>
    </w:lvl>
    <w:lvl w:ilvl="5" w:tplc="0809001B" w:tentative="1">
      <w:start w:val="1"/>
      <w:numFmt w:val="lowerRoman"/>
      <w:lvlText w:val="%6."/>
      <w:lvlJc w:val="right"/>
      <w:pPr>
        <w:ind w:left="4418" w:hanging="180"/>
      </w:pPr>
    </w:lvl>
    <w:lvl w:ilvl="6" w:tplc="0809000F" w:tentative="1">
      <w:start w:val="1"/>
      <w:numFmt w:val="decimal"/>
      <w:lvlText w:val="%7."/>
      <w:lvlJc w:val="left"/>
      <w:pPr>
        <w:ind w:left="5138" w:hanging="360"/>
      </w:pPr>
    </w:lvl>
    <w:lvl w:ilvl="7" w:tplc="08090019" w:tentative="1">
      <w:start w:val="1"/>
      <w:numFmt w:val="lowerLetter"/>
      <w:lvlText w:val="%8."/>
      <w:lvlJc w:val="left"/>
      <w:pPr>
        <w:ind w:left="5858" w:hanging="360"/>
      </w:pPr>
    </w:lvl>
    <w:lvl w:ilvl="8" w:tplc="0809001B" w:tentative="1">
      <w:start w:val="1"/>
      <w:numFmt w:val="lowerRoman"/>
      <w:lvlText w:val="%9."/>
      <w:lvlJc w:val="right"/>
      <w:pPr>
        <w:ind w:left="6578" w:hanging="180"/>
      </w:pPr>
    </w:lvl>
  </w:abstractNum>
  <w:abstractNum w:abstractNumId="33" w15:restartNumberingAfterBreak="0">
    <w:nsid w:val="6D813304"/>
    <w:multiLevelType w:val="multilevel"/>
    <w:tmpl w:val="DAA46C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40A0D"/>
    <w:multiLevelType w:val="hybridMultilevel"/>
    <w:tmpl w:val="AD2E551C"/>
    <w:lvl w:ilvl="0" w:tplc="0809000F">
      <w:start w:val="1"/>
      <w:numFmt w:val="decimal"/>
      <w:lvlText w:val="%1."/>
      <w:lvlJc w:val="left"/>
      <w:pPr>
        <w:ind w:left="866" w:hanging="360"/>
      </w:pPr>
    </w:lvl>
    <w:lvl w:ilvl="1" w:tplc="08090019" w:tentative="1">
      <w:start w:val="1"/>
      <w:numFmt w:val="lowerLetter"/>
      <w:lvlText w:val="%2."/>
      <w:lvlJc w:val="left"/>
      <w:pPr>
        <w:ind w:left="1586" w:hanging="360"/>
      </w:pPr>
    </w:lvl>
    <w:lvl w:ilvl="2" w:tplc="0809001B" w:tentative="1">
      <w:start w:val="1"/>
      <w:numFmt w:val="lowerRoman"/>
      <w:lvlText w:val="%3."/>
      <w:lvlJc w:val="right"/>
      <w:pPr>
        <w:ind w:left="2306" w:hanging="180"/>
      </w:pPr>
    </w:lvl>
    <w:lvl w:ilvl="3" w:tplc="0809000F" w:tentative="1">
      <w:start w:val="1"/>
      <w:numFmt w:val="decimal"/>
      <w:lvlText w:val="%4."/>
      <w:lvlJc w:val="left"/>
      <w:pPr>
        <w:ind w:left="3026" w:hanging="360"/>
      </w:pPr>
    </w:lvl>
    <w:lvl w:ilvl="4" w:tplc="08090019" w:tentative="1">
      <w:start w:val="1"/>
      <w:numFmt w:val="lowerLetter"/>
      <w:lvlText w:val="%5."/>
      <w:lvlJc w:val="left"/>
      <w:pPr>
        <w:ind w:left="3746" w:hanging="360"/>
      </w:pPr>
    </w:lvl>
    <w:lvl w:ilvl="5" w:tplc="0809001B" w:tentative="1">
      <w:start w:val="1"/>
      <w:numFmt w:val="lowerRoman"/>
      <w:lvlText w:val="%6."/>
      <w:lvlJc w:val="right"/>
      <w:pPr>
        <w:ind w:left="4466" w:hanging="180"/>
      </w:pPr>
    </w:lvl>
    <w:lvl w:ilvl="6" w:tplc="0809000F" w:tentative="1">
      <w:start w:val="1"/>
      <w:numFmt w:val="decimal"/>
      <w:lvlText w:val="%7."/>
      <w:lvlJc w:val="left"/>
      <w:pPr>
        <w:ind w:left="5186" w:hanging="360"/>
      </w:pPr>
    </w:lvl>
    <w:lvl w:ilvl="7" w:tplc="08090019" w:tentative="1">
      <w:start w:val="1"/>
      <w:numFmt w:val="lowerLetter"/>
      <w:lvlText w:val="%8."/>
      <w:lvlJc w:val="left"/>
      <w:pPr>
        <w:ind w:left="5906" w:hanging="360"/>
      </w:pPr>
    </w:lvl>
    <w:lvl w:ilvl="8" w:tplc="0809001B" w:tentative="1">
      <w:start w:val="1"/>
      <w:numFmt w:val="lowerRoman"/>
      <w:lvlText w:val="%9."/>
      <w:lvlJc w:val="right"/>
      <w:pPr>
        <w:ind w:left="6626" w:hanging="180"/>
      </w:pPr>
    </w:lvl>
  </w:abstractNum>
  <w:abstractNum w:abstractNumId="36"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614511523">
    <w:abstractNumId w:val="22"/>
  </w:num>
  <w:num w:numId="2" w16cid:durableId="1647541990">
    <w:abstractNumId w:val="24"/>
  </w:num>
  <w:num w:numId="3" w16cid:durableId="84957453">
    <w:abstractNumId w:val="6"/>
  </w:num>
  <w:num w:numId="4" w16cid:durableId="1942488619">
    <w:abstractNumId w:val="11"/>
  </w:num>
  <w:num w:numId="5" w16cid:durableId="880291334">
    <w:abstractNumId w:val="25"/>
  </w:num>
  <w:num w:numId="6" w16cid:durableId="21564407">
    <w:abstractNumId w:val="13"/>
  </w:num>
  <w:num w:numId="7" w16cid:durableId="848445314">
    <w:abstractNumId w:val="7"/>
  </w:num>
  <w:num w:numId="8" w16cid:durableId="1846555915">
    <w:abstractNumId w:val="26"/>
  </w:num>
  <w:num w:numId="9" w16cid:durableId="832646285">
    <w:abstractNumId w:val="10"/>
  </w:num>
  <w:num w:numId="10" w16cid:durableId="782116674">
    <w:abstractNumId w:val="16"/>
  </w:num>
  <w:num w:numId="11" w16cid:durableId="2048917739">
    <w:abstractNumId w:val="1"/>
  </w:num>
  <w:num w:numId="12" w16cid:durableId="835530872">
    <w:abstractNumId w:val="18"/>
  </w:num>
  <w:num w:numId="13" w16cid:durableId="1467702196">
    <w:abstractNumId w:val="12"/>
  </w:num>
  <w:num w:numId="14" w16cid:durableId="256063931">
    <w:abstractNumId w:val="36"/>
  </w:num>
  <w:num w:numId="15" w16cid:durableId="1252156344">
    <w:abstractNumId w:val="34"/>
  </w:num>
  <w:num w:numId="16" w16cid:durableId="1580018845">
    <w:abstractNumId w:val="5"/>
  </w:num>
  <w:num w:numId="17" w16cid:durableId="966084908">
    <w:abstractNumId w:val="19"/>
  </w:num>
  <w:num w:numId="18" w16cid:durableId="821433662">
    <w:abstractNumId w:val="2"/>
  </w:num>
  <w:num w:numId="19" w16cid:durableId="1593320311">
    <w:abstractNumId w:val="23"/>
  </w:num>
  <w:num w:numId="20" w16cid:durableId="276257143">
    <w:abstractNumId w:val="32"/>
  </w:num>
  <w:num w:numId="21" w16cid:durableId="2032295918">
    <w:abstractNumId w:val="35"/>
  </w:num>
  <w:num w:numId="22" w16cid:durableId="574435787">
    <w:abstractNumId w:val="4"/>
  </w:num>
  <w:num w:numId="23" w16cid:durableId="1706828690">
    <w:abstractNumId w:val="30"/>
  </w:num>
  <w:num w:numId="24" w16cid:durableId="1338922284">
    <w:abstractNumId w:val="17"/>
  </w:num>
  <w:num w:numId="25" w16cid:durableId="1137332056">
    <w:abstractNumId w:val="9"/>
  </w:num>
  <w:num w:numId="26" w16cid:durableId="1771587036">
    <w:abstractNumId w:val="28"/>
  </w:num>
  <w:num w:numId="27" w16cid:durableId="1111391643">
    <w:abstractNumId w:val="29"/>
  </w:num>
  <w:num w:numId="28" w16cid:durableId="1707946552">
    <w:abstractNumId w:val="27"/>
  </w:num>
  <w:num w:numId="29" w16cid:durableId="1419985442">
    <w:abstractNumId w:val="20"/>
  </w:num>
  <w:num w:numId="30" w16cid:durableId="1098136863">
    <w:abstractNumId w:val="8"/>
  </w:num>
  <w:num w:numId="31" w16cid:durableId="1151023075">
    <w:abstractNumId w:val="21"/>
  </w:num>
  <w:num w:numId="32" w16cid:durableId="1674382439">
    <w:abstractNumId w:val="3"/>
  </w:num>
  <w:num w:numId="33" w16cid:durableId="1378050325">
    <w:abstractNumId w:val="14"/>
  </w:num>
  <w:num w:numId="34" w16cid:durableId="2082176554">
    <w:abstractNumId w:val="33"/>
  </w:num>
  <w:num w:numId="35" w16cid:durableId="1584875094">
    <w:abstractNumId w:val="31"/>
  </w:num>
  <w:num w:numId="36" w16cid:durableId="1490167743">
    <w:abstractNumId w:val="0"/>
  </w:num>
  <w:num w:numId="37" w16cid:durableId="47075722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C40"/>
    <w:rsid w:val="00005CEF"/>
    <w:rsid w:val="00012729"/>
    <w:rsid w:val="00073D6B"/>
    <w:rsid w:val="00080D5E"/>
    <w:rsid w:val="00097A19"/>
    <w:rsid w:val="000B14A4"/>
    <w:rsid w:val="000B6F3A"/>
    <w:rsid w:val="000B7EC5"/>
    <w:rsid w:val="000E19F9"/>
    <w:rsid w:val="000F3AE9"/>
    <w:rsid w:val="001008BA"/>
    <w:rsid w:val="001048CD"/>
    <w:rsid w:val="00122DA4"/>
    <w:rsid w:val="001319A2"/>
    <w:rsid w:val="00141C07"/>
    <w:rsid w:val="001601E3"/>
    <w:rsid w:val="001766F4"/>
    <w:rsid w:val="001A27CF"/>
    <w:rsid w:val="001A429C"/>
    <w:rsid w:val="001B070D"/>
    <w:rsid w:val="001C74C0"/>
    <w:rsid w:val="001D21E8"/>
    <w:rsid w:val="002301D8"/>
    <w:rsid w:val="00235F94"/>
    <w:rsid w:val="002B4318"/>
    <w:rsid w:val="002B4482"/>
    <w:rsid w:val="002C50D2"/>
    <w:rsid w:val="002C764A"/>
    <w:rsid w:val="002E25BC"/>
    <w:rsid w:val="003254B7"/>
    <w:rsid w:val="003334E1"/>
    <w:rsid w:val="00360D5F"/>
    <w:rsid w:val="00366120"/>
    <w:rsid w:val="003757E2"/>
    <w:rsid w:val="003A0C84"/>
    <w:rsid w:val="003A2035"/>
    <w:rsid w:val="003A6606"/>
    <w:rsid w:val="003C523A"/>
    <w:rsid w:val="003D491B"/>
    <w:rsid w:val="003D662A"/>
    <w:rsid w:val="003E1BA8"/>
    <w:rsid w:val="003E2167"/>
    <w:rsid w:val="003F20AD"/>
    <w:rsid w:val="00404FEC"/>
    <w:rsid w:val="00433ACD"/>
    <w:rsid w:val="00485E27"/>
    <w:rsid w:val="0049282C"/>
    <w:rsid w:val="004962F9"/>
    <w:rsid w:val="004A164E"/>
    <w:rsid w:val="004A26BF"/>
    <w:rsid w:val="004C5318"/>
    <w:rsid w:val="004E75F8"/>
    <w:rsid w:val="005025E8"/>
    <w:rsid w:val="00524141"/>
    <w:rsid w:val="00540E4A"/>
    <w:rsid w:val="005469A5"/>
    <w:rsid w:val="00554DF4"/>
    <w:rsid w:val="00556AC7"/>
    <w:rsid w:val="005709AA"/>
    <w:rsid w:val="00572BFA"/>
    <w:rsid w:val="0057714B"/>
    <w:rsid w:val="0058380F"/>
    <w:rsid w:val="00590899"/>
    <w:rsid w:val="005D6F99"/>
    <w:rsid w:val="00617D4F"/>
    <w:rsid w:val="0062051E"/>
    <w:rsid w:val="006312DA"/>
    <w:rsid w:val="006336F9"/>
    <w:rsid w:val="0064135B"/>
    <w:rsid w:val="0064682A"/>
    <w:rsid w:val="00651564"/>
    <w:rsid w:val="006717B4"/>
    <w:rsid w:val="00677BEC"/>
    <w:rsid w:val="006B2F05"/>
    <w:rsid w:val="00721533"/>
    <w:rsid w:val="00761428"/>
    <w:rsid w:val="00762387"/>
    <w:rsid w:val="007A386A"/>
    <w:rsid w:val="007C2ADF"/>
    <w:rsid w:val="007C6E6F"/>
    <w:rsid w:val="007D07C0"/>
    <w:rsid w:val="007D7D55"/>
    <w:rsid w:val="00804524"/>
    <w:rsid w:val="0081622D"/>
    <w:rsid w:val="0082488C"/>
    <w:rsid w:val="00865162"/>
    <w:rsid w:val="008A2943"/>
    <w:rsid w:val="008B03AE"/>
    <w:rsid w:val="008B717E"/>
    <w:rsid w:val="008C5FD4"/>
    <w:rsid w:val="008C7385"/>
    <w:rsid w:val="008E54A2"/>
    <w:rsid w:val="00903264"/>
    <w:rsid w:val="00926DA3"/>
    <w:rsid w:val="009279A0"/>
    <w:rsid w:val="009322F6"/>
    <w:rsid w:val="00953DD9"/>
    <w:rsid w:val="009C39DF"/>
    <w:rsid w:val="009D0E33"/>
    <w:rsid w:val="009F36DE"/>
    <w:rsid w:val="00A05DBC"/>
    <w:rsid w:val="00A13748"/>
    <w:rsid w:val="00A308CA"/>
    <w:rsid w:val="00AB2EE9"/>
    <w:rsid w:val="00AB53F4"/>
    <w:rsid w:val="00AC4BCB"/>
    <w:rsid w:val="00AC5C66"/>
    <w:rsid w:val="00B156E6"/>
    <w:rsid w:val="00B40551"/>
    <w:rsid w:val="00B43C40"/>
    <w:rsid w:val="00B46BEB"/>
    <w:rsid w:val="00B51C68"/>
    <w:rsid w:val="00B600F5"/>
    <w:rsid w:val="00B72650"/>
    <w:rsid w:val="00B72F69"/>
    <w:rsid w:val="00BA2B3A"/>
    <w:rsid w:val="00BB518D"/>
    <w:rsid w:val="00BD06C7"/>
    <w:rsid w:val="00BE0CFD"/>
    <w:rsid w:val="00C029FC"/>
    <w:rsid w:val="00C04EE8"/>
    <w:rsid w:val="00C14BFD"/>
    <w:rsid w:val="00C17943"/>
    <w:rsid w:val="00C37924"/>
    <w:rsid w:val="00C46D4A"/>
    <w:rsid w:val="00C47814"/>
    <w:rsid w:val="00C71A9E"/>
    <w:rsid w:val="00C7424B"/>
    <w:rsid w:val="00C81727"/>
    <w:rsid w:val="00C82648"/>
    <w:rsid w:val="00C83693"/>
    <w:rsid w:val="00C8652D"/>
    <w:rsid w:val="00C9241B"/>
    <w:rsid w:val="00C94379"/>
    <w:rsid w:val="00CB2870"/>
    <w:rsid w:val="00CD61BD"/>
    <w:rsid w:val="00CE5311"/>
    <w:rsid w:val="00D1503E"/>
    <w:rsid w:val="00D214BB"/>
    <w:rsid w:val="00D33E70"/>
    <w:rsid w:val="00D46AF3"/>
    <w:rsid w:val="00D70251"/>
    <w:rsid w:val="00DD0E81"/>
    <w:rsid w:val="00DD4229"/>
    <w:rsid w:val="00DE4316"/>
    <w:rsid w:val="00DF3F8E"/>
    <w:rsid w:val="00DF417E"/>
    <w:rsid w:val="00E13434"/>
    <w:rsid w:val="00E2348F"/>
    <w:rsid w:val="00E25395"/>
    <w:rsid w:val="00E46AE8"/>
    <w:rsid w:val="00E47A1D"/>
    <w:rsid w:val="00E503C7"/>
    <w:rsid w:val="00E514F8"/>
    <w:rsid w:val="00E51549"/>
    <w:rsid w:val="00E56157"/>
    <w:rsid w:val="00E8385B"/>
    <w:rsid w:val="00E841FF"/>
    <w:rsid w:val="00EB6540"/>
    <w:rsid w:val="00F0088F"/>
    <w:rsid w:val="00F0355D"/>
    <w:rsid w:val="00F211A6"/>
    <w:rsid w:val="00F908DE"/>
    <w:rsid w:val="00FE4E98"/>
    <w:rsid w:val="00FF0BE4"/>
    <w:rsid w:val="01BBECE6"/>
    <w:rsid w:val="0492DFA1"/>
    <w:rsid w:val="06D6BD70"/>
    <w:rsid w:val="08728DD1"/>
    <w:rsid w:val="0A677601"/>
    <w:rsid w:val="0E51ED2A"/>
    <w:rsid w:val="119F5C4A"/>
    <w:rsid w:val="148FDB0E"/>
    <w:rsid w:val="153FD602"/>
    <w:rsid w:val="1672CD6D"/>
    <w:rsid w:val="1AF921FE"/>
    <w:rsid w:val="1C8BCC2D"/>
    <w:rsid w:val="1E2550A3"/>
    <w:rsid w:val="1F4C8811"/>
    <w:rsid w:val="22F26291"/>
    <w:rsid w:val="23FE7D4F"/>
    <w:rsid w:val="257691CA"/>
    <w:rsid w:val="25E0E3C9"/>
    <w:rsid w:val="27D67C5D"/>
    <w:rsid w:val="2B1D2DE2"/>
    <w:rsid w:val="2C23A299"/>
    <w:rsid w:val="2DD2CD51"/>
    <w:rsid w:val="2E41320D"/>
    <w:rsid w:val="318C6F66"/>
    <w:rsid w:val="33283FC7"/>
    <w:rsid w:val="33309B83"/>
    <w:rsid w:val="36D2C330"/>
    <w:rsid w:val="3FFF9F92"/>
    <w:rsid w:val="41287F63"/>
    <w:rsid w:val="45B4CE88"/>
    <w:rsid w:val="45D1F373"/>
    <w:rsid w:val="46562595"/>
    <w:rsid w:val="49049A8D"/>
    <w:rsid w:val="4A6F174E"/>
    <w:rsid w:val="4CD40A05"/>
    <w:rsid w:val="4E6A8D52"/>
    <w:rsid w:val="4ECA1A9D"/>
    <w:rsid w:val="533770CB"/>
    <w:rsid w:val="53E52AD3"/>
    <w:rsid w:val="5415F994"/>
    <w:rsid w:val="57C374AB"/>
    <w:rsid w:val="5A11E15D"/>
    <w:rsid w:val="5A368634"/>
    <w:rsid w:val="5AFB156D"/>
    <w:rsid w:val="5C210B79"/>
    <w:rsid w:val="5DBCDBDA"/>
    <w:rsid w:val="5EB3FF0E"/>
    <w:rsid w:val="60FC6A22"/>
    <w:rsid w:val="62163930"/>
    <w:rsid w:val="6AC887CA"/>
    <w:rsid w:val="706A6D88"/>
    <w:rsid w:val="712EC895"/>
    <w:rsid w:val="7642B107"/>
    <w:rsid w:val="777AAC33"/>
    <w:rsid w:val="797A51C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E9F1C"/>
  <w15:docId w15:val="{26EE017E-4243-440D-BC1B-65C244850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6D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43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3C40"/>
    <w:rPr>
      <w:rFonts w:ascii="Tahoma" w:hAnsi="Tahoma" w:cs="Tahoma"/>
      <w:sz w:val="16"/>
      <w:szCs w:val="16"/>
    </w:rPr>
  </w:style>
  <w:style w:type="paragraph" w:styleId="Header">
    <w:name w:val="header"/>
    <w:basedOn w:val="Normal"/>
    <w:link w:val="HeaderChar"/>
    <w:uiPriority w:val="99"/>
    <w:unhideWhenUsed/>
    <w:rsid w:val="00C817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727"/>
  </w:style>
  <w:style w:type="paragraph" w:styleId="Footer">
    <w:name w:val="footer"/>
    <w:basedOn w:val="Normal"/>
    <w:link w:val="FooterChar"/>
    <w:uiPriority w:val="99"/>
    <w:unhideWhenUsed/>
    <w:rsid w:val="00C817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727"/>
  </w:style>
  <w:style w:type="paragraph" w:styleId="ListParagraph">
    <w:name w:val="List Paragraph"/>
    <w:basedOn w:val="Normal"/>
    <w:link w:val="ListParagraphChar"/>
    <w:uiPriority w:val="1"/>
    <w:qFormat/>
    <w:rsid w:val="00B51C68"/>
    <w:pPr>
      <w:ind w:left="720"/>
      <w:contextualSpacing/>
    </w:pPr>
  </w:style>
  <w:style w:type="character" w:styleId="Hyperlink">
    <w:name w:val="Hyperlink"/>
    <w:basedOn w:val="DefaultParagraphFont"/>
    <w:uiPriority w:val="99"/>
    <w:unhideWhenUsed/>
    <w:rsid w:val="00804524"/>
    <w:rPr>
      <w:color w:val="0000FF" w:themeColor="hyperlink"/>
      <w:u w:val="single"/>
    </w:rPr>
  </w:style>
  <w:style w:type="character" w:styleId="UnresolvedMention">
    <w:name w:val="Unresolved Mention"/>
    <w:basedOn w:val="DefaultParagraphFont"/>
    <w:uiPriority w:val="99"/>
    <w:semiHidden/>
    <w:unhideWhenUsed/>
    <w:rsid w:val="00804524"/>
    <w:rPr>
      <w:color w:val="605E5C"/>
      <w:shd w:val="clear" w:color="auto" w:fill="E1DFDD"/>
    </w:rPr>
  </w:style>
  <w:style w:type="table" w:styleId="TableGrid">
    <w:name w:val="Table Grid"/>
    <w:basedOn w:val="TableNormal"/>
    <w:uiPriority w:val="59"/>
    <w:rsid w:val="00404FE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
    <w:name w:val="Body Text"/>
    <w:basedOn w:val="Normal"/>
    <w:link w:val="BodyTextChar"/>
    <w:uiPriority w:val="1"/>
    <w:qFormat/>
    <w:rsid w:val="005D6F99"/>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5D6F99"/>
    <w:rPr>
      <w:rFonts w:ascii="Arial" w:eastAsia="Arial" w:hAnsi="Arial" w:cs="Arial"/>
    </w:rPr>
  </w:style>
  <w:style w:type="character" w:customStyle="1" w:styleId="ListParagraphChar">
    <w:name w:val="List Paragraph Char"/>
    <w:basedOn w:val="DefaultParagraphFont"/>
    <w:link w:val="ListParagraph"/>
    <w:uiPriority w:val="1"/>
    <w:rsid w:val="005D6F99"/>
  </w:style>
  <w:style w:type="paragraph" w:customStyle="1" w:styleId="Listparag">
    <w:name w:val="List parag"/>
    <w:basedOn w:val="ListParagraph"/>
    <w:link w:val="ListparagChar"/>
    <w:qFormat/>
    <w:rsid w:val="005D6F99"/>
    <w:pPr>
      <w:numPr>
        <w:numId w:val="18"/>
      </w:numPr>
      <w:spacing w:after="120" w:line="264" w:lineRule="auto"/>
      <w:contextualSpacing w:val="0"/>
    </w:pPr>
    <w:rPr>
      <w:rFonts w:ascii="Arial" w:eastAsia="Times New Roman" w:hAnsi="Arial" w:cs="Arial"/>
      <w:szCs w:val="24"/>
      <w:lang w:eastAsia="en-GB"/>
    </w:rPr>
  </w:style>
  <w:style w:type="character" w:customStyle="1" w:styleId="ListparagChar">
    <w:name w:val="List parag Char"/>
    <w:basedOn w:val="DefaultParagraphFont"/>
    <w:link w:val="Listparag"/>
    <w:rsid w:val="005D6F99"/>
    <w:rPr>
      <w:rFonts w:ascii="Arial" w:eastAsia="Times New Roman" w:hAnsi="Arial" w:cs="Arial"/>
      <w:szCs w:val="24"/>
      <w:lang w:eastAsia="en-GB"/>
    </w:rPr>
  </w:style>
  <w:style w:type="paragraph" w:customStyle="1" w:styleId="Nornal">
    <w:name w:val="Nornal"/>
    <w:basedOn w:val="Normal"/>
    <w:link w:val="NornalChar"/>
    <w:qFormat/>
    <w:rsid w:val="005D6F99"/>
    <w:pPr>
      <w:spacing w:after="160" w:line="264" w:lineRule="auto"/>
    </w:pPr>
    <w:rPr>
      <w:rFonts w:ascii="Arial" w:hAnsi="Arial" w:cs="Arial"/>
    </w:rPr>
  </w:style>
  <w:style w:type="character" w:customStyle="1" w:styleId="NornalChar">
    <w:name w:val="Nornal Char"/>
    <w:basedOn w:val="DefaultParagraphFont"/>
    <w:link w:val="Nornal"/>
    <w:rsid w:val="005D6F99"/>
    <w:rPr>
      <w:rFonts w:ascii="Arial" w:hAnsi="Arial" w:cs="Arial"/>
    </w:rPr>
  </w:style>
  <w:style w:type="paragraph" w:styleId="Caption">
    <w:name w:val="caption"/>
    <w:basedOn w:val="Normal"/>
    <w:next w:val="Normal"/>
    <w:uiPriority w:val="35"/>
    <w:unhideWhenUsed/>
    <w:qFormat/>
    <w:rsid w:val="005D6F99"/>
    <w:pPr>
      <w:widowControl w:val="0"/>
      <w:autoSpaceDE w:val="0"/>
      <w:autoSpaceDN w:val="0"/>
      <w:spacing w:line="240" w:lineRule="auto"/>
    </w:pPr>
    <w:rPr>
      <w:rFonts w:ascii="Arial" w:eastAsia="Arial" w:hAnsi="Arial" w:cs="Arial"/>
      <w:i/>
      <w:iCs/>
      <w:color w:val="1F497D" w:themeColor="text2"/>
      <w:sz w:val="18"/>
      <w:szCs w:val="18"/>
    </w:rPr>
  </w:style>
  <w:style w:type="paragraph" w:styleId="NormalWeb">
    <w:name w:val="Normal (Web)"/>
    <w:basedOn w:val="Normal"/>
    <w:uiPriority w:val="99"/>
    <w:semiHidden/>
    <w:unhideWhenUsed/>
    <w:rsid w:val="007C6E6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0146319">
      <w:bodyDiv w:val="1"/>
      <w:marLeft w:val="0"/>
      <w:marRight w:val="0"/>
      <w:marTop w:val="0"/>
      <w:marBottom w:val="0"/>
      <w:divBdr>
        <w:top w:val="none" w:sz="0" w:space="0" w:color="auto"/>
        <w:left w:val="none" w:sz="0" w:space="0" w:color="auto"/>
        <w:bottom w:val="none" w:sz="0" w:space="0" w:color="auto"/>
        <w:right w:val="none" w:sz="0" w:space="0" w:color="auto"/>
      </w:divBdr>
    </w:div>
    <w:div w:id="212473254">
      <w:bodyDiv w:val="1"/>
      <w:marLeft w:val="0"/>
      <w:marRight w:val="0"/>
      <w:marTop w:val="0"/>
      <w:marBottom w:val="0"/>
      <w:divBdr>
        <w:top w:val="none" w:sz="0" w:space="0" w:color="auto"/>
        <w:left w:val="none" w:sz="0" w:space="0" w:color="auto"/>
        <w:bottom w:val="none" w:sz="0" w:space="0" w:color="auto"/>
        <w:right w:val="none" w:sz="0" w:space="0" w:color="auto"/>
      </w:divBdr>
    </w:div>
    <w:div w:id="356466132">
      <w:bodyDiv w:val="1"/>
      <w:marLeft w:val="0"/>
      <w:marRight w:val="0"/>
      <w:marTop w:val="0"/>
      <w:marBottom w:val="0"/>
      <w:divBdr>
        <w:top w:val="none" w:sz="0" w:space="0" w:color="auto"/>
        <w:left w:val="none" w:sz="0" w:space="0" w:color="auto"/>
        <w:bottom w:val="none" w:sz="0" w:space="0" w:color="auto"/>
        <w:right w:val="none" w:sz="0" w:space="0" w:color="auto"/>
      </w:divBdr>
    </w:div>
    <w:div w:id="540900195">
      <w:bodyDiv w:val="1"/>
      <w:marLeft w:val="0"/>
      <w:marRight w:val="0"/>
      <w:marTop w:val="0"/>
      <w:marBottom w:val="0"/>
      <w:divBdr>
        <w:top w:val="none" w:sz="0" w:space="0" w:color="auto"/>
        <w:left w:val="none" w:sz="0" w:space="0" w:color="auto"/>
        <w:bottom w:val="none" w:sz="0" w:space="0" w:color="auto"/>
        <w:right w:val="none" w:sz="0" w:space="0" w:color="auto"/>
      </w:divBdr>
    </w:div>
    <w:div w:id="579408726">
      <w:bodyDiv w:val="1"/>
      <w:marLeft w:val="0"/>
      <w:marRight w:val="0"/>
      <w:marTop w:val="0"/>
      <w:marBottom w:val="0"/>
      <w:divBdr>
        <w:top w:val="none" w:sz="0" w:space="0" w:color="auto"/>
        <w:left w:val="none" w:sz="0" w:space="0" w:color="auto"/>
        <w:bottom w:val="none" w:sz="0" w:space="0" w:color="auto"/>
        <w:right w:val="none" w:sz="0" w:space="0" w:color="auto"/>
      </w:divBdr>
    </w:div>
    <w:div w:id="761343421">
      <w:bodyDiv w:val="1"/>
      <w:marLeft w:val="0"/>
      <w:marRight w:val="0"/>
      <w:marTop w:val="0"/>
      <w:marBottom w:val="0"/>
      <w:divBdr>
        <w:top w:val="none" w:sz="0" w:space="0" w:color="auto"/>
        <w:left w:val="none" w:sz="0" w:space="0" w:color="auto"/>
        <w:bottom w:val="none" w:sz="0" w:space="0" w:color="auto"/>
        <w:right w:val="none" w:sz="0" w:space="0" w:color="auto"/>
      </w:divBdr>
    </w:div>
    <w:div w:id="1194418984">
      <w:bodyDiv w:val="1"/>
      <w:marLeft w:val="0"/>
      <w:marRight w:val="0"/>
      <w:marTop w:val="0"/>
      <w:marBottom w:val="0"/>
      <w:divBdr>
        <w:top w:val="none" w:sz="0" w:space="0" w:color="auto"/>
        <w:left w:val="none" w:sz="0" w:space="0" w:color="auto"/>
        <w:bottom w:val="none" w:sz="0" w:space="0" w:color="auto"/>
        <w:right w:val="none" w:sz="0" w:space="0" w:color="auto"/>
      </w:divBdr>
    </w:div>
    <w:div w:id="1366640064">
      <w:bodyDiv w:val="1"/>
      <w:marLeft w:val="0"/>
      <w:marRight w:val="0"/>
      <w:marTop w:val="0"/>
      <w:marBottom w:val="0"/>
      <w:divBdr>
        <w:top w:val="none" w:sz="0" w:space="0" w:color="auto"/>
        <w:left w:val="none" w:sz="0" w:space="0" w:color="auto"/>
        <w:bottom w:val="none" w:sz="0" w:space="0" w:color="auto"/>
        <w:right w:val="none" w:sz="0" w:space="0" w:color="auto"/>
      </w:divBdr>
    </w:div>
    <w:div w:id="1561210984">
      <w:bodyDiv w:val="1"/>
      <w:marLeft w:val="0"/>
      <w:marRight w:val="0"/>
      <w:marTop w:val="0"/>
      <w:marBottom w:val="0"/>
      <w:divBdr>
        <w:top w:val="none" w:sz="0" w:space="0" w:color="auto"/>
        <w:left w:val="none" w:sz="0" w:space="0" w:color="auto"/>
        <w:bottom w:val="none" w:sz="0" w:space="0" w:color="auto"/>
        <w:right w:val="none" w:sz="0" w:space="0" w:color="auto"/>
      </w:divBdr>
    </w:div>
    <w:div w:id="2071269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ipd.co.uk/knowledge/fundamentals/emp-law" TargetMode="External"/><Relationship Id="rId18" Type="http://schemas.openxmlformats.org/officeDocument/2006/relationships/hyperlink" Target="https://www.equalityhumanrights.com/en/equality-act-2010" TargetMode="External"/><Relationship Id="rId26" Type="http://schemas.openxmlformats.org/officeDocument/2006/relationships/hyperlink" Target="https://doi.org/10.1037/12171-008" TargetMode="External"/><Relationship Id="rId3" Type="http://schemas.openxmlformats.org/officeDocument/2006/relationships/customXml" Target="../customXml/item3.xml"/><Relationship Id="rId21" Type="http://schemas.openxmlformats.org/officeDocument/2006/relationships/hyperlink" Target="https://www.equalityhumanrights.com/en/advice-and-guidance/flexible-working" TargetMode="External"/><Relationship Id="rId7" Type="http://schemas.openxmlformats.org/officeDocument/2006/relationships/settings" Target="settings.xml"/><Relationship Id="rId12" Type="http://schemas.openxmlformats.org/officeDocument/2006/relationships/hyperlink" Target="https://www.acas.org.uk/employment-disputes" TargetMode="External"/><Relationship Id="rId17" Type="http://schemas.openxmlformats.org/officeDocument/2006/relationships/hyperlink" Target="https://www.cipd.co.uk/knowledge/fundamentals/relations/settlements-agreements" TargetMode="External"/><Relationship Id="rId25" Type="http://schemas.openxmlformats.org/officeDocument/2006/relationships/hyperlink" Target="https://www.gov.uk/flexible-working" TargetMode="External"/><Relationship Id="rId2" Type="http://schemas.openxmlformats.org/officeDocument/2006/relationships/customXml" Target="../customXml/item2.xml"/><Relationship Id="rId16" Type="http://schemas.openxmlformats.org/officeDocument/2006/relationships/hyperlink" Target="https://www.cipd.co.uk/knowledge/fundamentals/relations/tribunals" TargetMode="External"/><Relationship Id="rId20" Type="http://schemas.openxmlformats.org/officeDocument/2006/relationships/hyperlink" Target="https://www.equalityhumanrights.com/en/advice-and-guidance/pregnancy-and-maternity-discrimination"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maternity-pay-leave" TargetMode="External"/><Relationship Id="rId5" Type="http://schemas.openxmlformats.org/officeDocument/2006/relationships/numbering" Target="numbering.xml"/><Relationship Id="rId15" Type="http://schemas.openxmlformats.org/officeDocument/2006/relationships/hyperlink" Target="https://www.cipd.co.uk/knowledge/fundamentals/relations/diversity-factsheet" TargetMode="External"/><Relationship Id="rId23" Type="http://schemas.openxmlformats.org/officeDocument/2006/relationships/hyperlink" Target="https://www.gov.uk/national-minimum-wage-rates"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equalityhumanrights.com/en/advice-and-guidance/equal-pay"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pd.co.uk/knowledge/fundamentals/relations/flexible-working/factsheet" TargetMode="External"/><Relationship Id="rId22" Type="http://schemas.openxmlformats.org/officeDocument/2006/relationships/hyperlink" Target="https://www.gov.uk/courts-tribunals/employment-appeal-tribunal" TargetMode="External"/><Relationship Id="rId27" Type="http://schemas.openxmlformats.org/officeDocument/2006/relationships/hyperlink" Target="https://www.hse.gov.uk/legislation/hswa.ht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04dd535-e76e-46af-aca9-12f988e15a73" xsi:nil="true"/>
    <lcf76f155ced4ddcb4097134ff3c332f xmlns="0970e685-9bb0-486a-a631-6a9e6fa33b58">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F3FFA021D4B834FB2E8B2EC812F07BE" ma:contentTypeVersion="19" ma:contentTypeDescription="Create a new document." ma:contentTypeScope="" ma:versionID="81079835278f0e7ea43e6a65287a1ec9">
  <xsd:schema xmlns:xsd="http://www.w3.org/2001/XMLSchema" xmlns:xs="http://www.w3.org/2001/XMLSchema" xmlns:p="http://schemas.microsoft.com/office/2006/metadata/properties" xmlns:ns2="0970e685-9bb0-486a-a631-6a9e6fa33b58" xmlns:ns3="804dd535-e76e-46af-aca9-12f988e15a73" targetNamespace="http://schemas.microsoft.com/office/2006/metadata/properties" ma:root="true" ma:fieldsID="98887bb607e267c42d63c7e072c3e3f5" ns2:_="" ns3:_="">
    <xsd:import namespace="0970e685-9bb0-486a-a631-6a9e6fa33b58"/>
    <xsd:import namespace="804dd535-e76e-46af-aca9-12f988e15a73"/>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970e685-9bb0-486a-a631-6a9e6fa33b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cf7af5d-849d-4c04-83be-e9fafe00bcd2"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4dd535-e76e-46af-aca9-12f988e15a73" elementFormDefault="qualified">
    <xsd:import namespace="http://schemas.microsoft.com/office/2006/documentManagement/types"/>
    <xsd:import namespace="http://schemas.microsoft.com/office/infopath/2007/PartnerControls"/>
    <xsd:element name="SharedWithUsers" ma:index="16" nillable="true" ma:displayName="Shared With" ma:SearchPeopleOnly="false" ma:SharePointGroup="0" ma:internalName="SharedWithUsers" ma:readOnly="true" ma:showField="ImnNam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3c7fa1b-87e3-4228-9c89-8b29da2cd3c9}" ma:internalName="TaxCatchAll" ma:showField="CatchAllData" ma:web="804dd535-e76e-46af-aca9-12f988e15a7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4"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AA50E5-29B4-4F95-8878-150C55CD4DB5}">
  <ds:schemaRefs>
    <ds:schemaRef ds:uri="http://schemas.microsoft.com/office/2006/metadata/properties"/>
    <ds:schemaRef ds:uri="http://schemas.microsoft.com/office/infopath/2007/PartnerControls"/>
    <ds:schemaRef ds:uri="804dd535-e76e-46af-aca9-12f988e15a73"/>
    <ds:schemaRef ds:uri="0970e685-9bb0-486a-a631-6a9e6fa33b58"/>
  </ds:schemaRefs>
</ds:datastoreItem>
</file>

<file path=customXml/itemProps2.xml><?xml version="1.0" encoding="utf-8"?>
<ds:datastoreItem xmlns:ds="http://schemas.openxmlformats.org/officeDocument/2006/customXml" ds:itemID="{A2361014-0BCE-46AB-9B95-40450913804D}">
  <ds:schemaRefs>
    <ds:schemaRef ds:uri="http://schemas.microsoft.com/sharepoint/v3/contenttype/forms"/>
  </ds:schemaRefs>
</ds:datastoreItem>
</file>

<file path=customXml/itemProps3.xml><?xml version="1.0" encoding="utf-8"?>
<ds:datastoreItem xmlns:ds="http://schemas.openxmlformats.org/officeDocument/2006/customXml" ds:itemID="{09E94952-2542-4FFC-851B-CC9CA1491B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970e685-9bb0-486a-a631-6a9e6fa33b58"/>
    <ds:schemaRef ds:uri="804dd535-e76e-46af-aca9-12f988e15a7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DDD222E-F756-4E1A-9DB9-893750B6A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5887</Words>
  <Characters>33559</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zsu</dc:creator>
  <cp:lastModifiedBy>Nefyn Cardwell</cp:lastModifiedBy>
  <cp:revision>3</cp:revision>
  <cp:lastPrinted>2010-10-26T14:35:00Z</cp:lastPrinted>
  <dcterms:created xsi:type="dcterms:W3CDTF">2024-03-11T08:20:00Z</dcterms:created>
  <dcterms:modified xsi:type="dcterms:W3CDTF">2024-03-11T17:03:00Z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0x010100DF3FFA021D4B834FB2E8B2EC812F07BE</vt:lpwstr>
  </property>
</Properties>
</file>