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F7C1E" w:rsidRPr="0023566D" w:rsidRDefault="009F7C1E" w:rsidP="0023566D">
      <w:pPr>
        <w:pStyle w:val="Heading1"/>
        <w:spacing w:line="360" w:lineRule="auto"/>
        <w:jc w:val="both"/>
        <w:rPr>
          <w:color w:val="000000" w:themeColor="text1"/>
          <w:sz w:val="24"/>
          <w:szCs w:val="24"/>
        </w:rPr>
      </w:pPr>
      <w:r w:rsidRPr="0023566D">
        <w:rPr>
          <w:rFonts w:eastAsia="Aptos"/>
          <w:b w:val="0"/>
          <w:bCs w:val="0"/>
          <w:color w:val="000000" w:themeColor="text1"/>
          <w:sz w:val="24"/>
          <w:szCs w:val="24"/>
        </w:rPr>
        <w:t>Title</w:t>
      </w:r>
      <w:r w:rsidRPr="0023566D">
        <w:rPr>
          <w:rFonts w:eastAsia="Aptos"/>
          <w:color w:val="000000" w:themeColor="text1"/>
          <w:sz w:val="24"/>
          <w:szCs w:val="24"/>
        </w:rPr>
        <w:t>:</w:t>
      </w:r>
      <w:r w:rsidRPr="0023566D">
        <w:rPr>
          <w:rFonts w:eastAsia="Aptos"/>
          <w:color w:val="000000" w:themeColor="text1"/>
          <w:sz w:val="24"/>
          <w:szCs w:val="24"/>
        </w:rPr>
        <w:t xml:space="preserve"> </w:t>
      </w:r>
      <w:r w:rsidR="003A66F8" w:rsidRPr="0023566D">
        <w:rPr>
          <w:rStyle w:val="Emphasis"/>
          <w:b w:val="0"/>
          <w:bCs w:val="0"/>
          <w:i w:val="0"/>
          <w:iCs w:val="0"/>
          <w:color w:val="000000" w:themeColor="text1"/>
          <w:sz w:val="24"/>
          <w:szCs w:val="24"/>
        </w:rPr>
        <w:t xml:space="preserve">The webcam and student engagement </w:t>
      </w:r>
      <w:r w:rsidR="003A66F8" w:rsidRPr="009F7C1E">
        <w:rPr>
          <w:b w:val="0"/>
          <w:bCs w:val="0"/>
          <w:color w:val="000000" w:themeColor="text1"/>
          <w:sz w:val="24"/>
          <w:szCs w:val="24"/>
        </w:rPr>
        <w:t>in synchronous online learning: visually or verbally?</w:t>
      </w:r>
    </w:p>
    <w:p w:rsidR="009F7C1E" w:rsidRPr="0023566D" w:rsidRDefault="009F7C1E" w:rsidP="0023566D">
      <w:pPr>
        <w:spacing w:before="240" w:after="240" w:line="360" w:lineRule="auto"/>
        <w:jc w:val="both"/>
        <w:rPr>
          <w:rFonts w:ascii="Times New Roman" w:eastAsia="Aptos" w:hAnsi="Times New Roman" w:cs="Times New Roman"/>
          <w:color w:val="000000" w:themeColor="text1"/>
        </w:rPr>
      </w:pPr>
      <w:r w:rsidRPr="0023566D">
        <w:rPr>
          <w:rFonts w:ascii="Times New Roman" w:eastAsia="Aptos" w:hAnsi="Times New Roman" w:cs="Times New Roman"/>
          <w:color w:val="000000" w:themeColor="text1"/>
        </w:rPr>
        <w:t xml:space="preserve">Lecturer: </w:t>
      </w:r>
      <w:r w:rsidRPr="0023566D">
        <w:rPr>
          <w:rFonts w:ascii="Times New Roman" w:hAnsi="Times New Roman" w:cs="Times New Roman"/>
          <w:color w:val="000000" w:themeColor="text1"/>
        </w:rPr>
        <w:t>Dr Jessica Clapham</w:t>
      </w:r>
    </w:p>
    <w:p w:rsidR="009F7C1E" w:rsidRPr="0023566D" w:rsidRDefault="009F7C1E" w:rsidP="0023566D">
      <w:pPr>
        <w:spacing w:before="240" w:after="240" w:line="360" w:lineRule="auto"/>
        <w:jc w:val="both"/>
        <w:rPr>
          <w:rFonts w:ascii="Times New Roman" w:eastAsia="Aptos" w:hAnsi="Times New Roman" w:cs="Times New Roman"/>
          <w:color w:val="000000" w:themeColor="text1"/>
        </w:rPr>
      </w:pPr>
      <w:r w:rsidRPr="0023566D">
        <w:rPr>
          <w:rFonts w:ascii="Times New Roman" w:eastAsia="Aptos" w:hAnsi="Times New Roman" w:cs="Times New Roman"/>
          <w:color w:val="000000" w:themeColor="text1"/>
        </w:rPr>
        <w:t xml:space="preserve">Student Name: Galen </w:t>
      </w:r>
      <w:proofErr w:type="spellStart"/>
      <w:r w:rsidRPr="0023566D">
        <w:rPr>
          <w:rFonts w:ascii="Times New Roman" w:eastAsia="Aptos" w:hAnsi="Times New Roman" w:cs="Times New Roman"/>
          <w:color w:val="000000" w:themeColor="text1"/>
        </w:rPr>
        <w:t>Atanasov</w:t>
      </w:r>
      <w:proofErr w:type="spellEnd"/>
    </w:p>
    <w:p w:rsidR="009F7C1E" w:rsidRPr="0023566D" w:rsidRDefault="009F7C1E" w:rsidP="0023566D">
      <w:pPr>
        <w:spacing w:before="240" w:after="240" w:line="360" w:lineRule="auto"/>
        <w:jc w:val="both"/>
        <w:rPr>
          <w:rFonts w:ascii="Times New Roman" w:eastAsia="Aptos" w:hAnsi="Times New Roman" w:cs="Times New Roman"/>
          <w:color w:val="000000" w:themeColor="text1"/>
        </w:rPr>
      </w:pPr>
      <w:r w:rsidRPr="0023566D">
        <w:rPr>
          <w:rFonts w:ascii="Times New Roman" w:eastAsia="Aptos" w:hAnsi="Times New Roman" w:cs="Times New Roman"/>
          <w:color w:val="000000" w:themeColor="text1"/>
        </w:rPr>
        <w:t>Student Number:</w:t>
      </w:r>
      <w:r w:rsidRPr="0023566D">
        <w:rPr>
          <w:rFonts w:ascii="Times New Roman" w:eastAsia="Arial" w:hAnsi="Times New Roman" w:cs="Times New Roman"/>
          <w:color w:val="000000" w:themeColor="text1"/>
        </w:rPr>
        <w:t xml:space="preserve"> 2212026</w:t>
      </w:r>
    </w:p>
    <w:p w:rsidR="009F7C1E" w:rsidRPr="0023566D" w:rsidRDefault="009F7C1E" w:rsidP="0023566D">
      <w:pPr>
        <w:spacing w:before="240" w:after="240" w:line="360" w:lineRule="auto"/>
        <w:jc w:val="both"/>
        <w:rPr>
          <w:rFonts w:ascii="Times New Roman" w:eastAsia="Aptos" w:hAnsi="Times New Roman" w:cs="Times New Roman"/>
          <w:color w:val="000000" w:themeColor="text1"/>
        </w:rPr>
      </w:pPr>
      <w:r w:rsidRPr="0023566D">
        <w:rPr>
          <w:rFonts w:ascii="Times New Roman" w:eastAsia="Aptos" w:hAnsi="Times New Roman" w:cs="Times New Roman"/>
          <w:color w:val="000000" w:themeColor="text1"/>
        </w:rPr>
        <w:t>Module: Key Issues in Linguistics 7004</w:t>
      </w:r>
    </w:p>
    <w:p w:rsidR="009F7C1E" w:rsidRPr="0023566D" w:rsidRDefault="009F7C1E" w:rsidP="0023566D">
      <w:pPr>
        <w:pStyle w:val="Heading3"/>
        <w:spacing w:line="360" w:lineRule="auto"/>
        <w:jc w:val="both"/>
        <w:rPr>
          <w:b w:val="0"/>
          <w:bCs w:val="0"/>
          <w:color w:val="000000" w:themeColor="text1"/>
          <w:sz w:val="24"/>
          <w:szCs w:val="24"/>
        </w:rPr>
      </w:pPr>
      <w:r w:rsidRPr="0023566D">
        <w:rPr>
          <w:b w:val="0"/>
          <w:bCs w:val="0"/>
          <w:color w:val="000000" w:themeColor="text1"/>
          <w:sz w:val="24"/>
          <w:szCs w:val="24"/>
        </w:rPr>
        <w:t xml:space="preserve">Wordcount: </w:t>
      </w:r>
      <w:r w:rsidR="003A66F8" w:rsidRPr="0023566D">
        <w:rPr>
          <w:b w:val="0"/>
          <w:bCs w:val="0"/>
          <w:color w:val="000000" w:themeColor="text1"/>
          <w:sz w:val="24"/>
          <w:szCs w:val="24"/>
        </w:rPr>
        <w:t>1972</w:t>
      </w: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9F7C1E" w:rsidRPr="0023566D" w:rsidRDefault="009F7C1E" w:rsidP="0023566D">
      <w:pPr>
        <w:pStyle w:val="Heading3"/>
        <w:spacing w:line="360" w:lineRule="auto"/>
        <w:jc w:val="both"/>
        <w:rPr>
          <w:b w:val="0"/>
          <w:bCs w:val="0"/>
          <w:color w:val="000000" w:themeColor="text1"/>
          <w:sz w:val="24"/>
          <w:szCs w:val="24"/>
        </w:rPr>
      </w:pPr>
    </w:p>
    <w:p w:rsidR="003A66F8" w:rsidRPr="0023566D" w:rsidRDefault="003A66F8" w:rsidP="0023566D">
      <w:pPr>
        <w:pStyle w:val="Heading2"/>
        <w:spacing w:line="360" w:lineRule="auto"/>
        <w:jc w:val="both"/>
        <w:rPr>
          <w:color w:val="000000" w:themeColor="text1"/>
          <w:sz w:val="24"/>
          <w:szCs w:val="24"/>
        </w:rPr>
      </w:pPr>
    </w:p>
    <w:p w:rsidR="009F7C1E" w:rsidRPr="009F7C1E" w:rsidRDefault="009F7C1E" w:rsidP="0023566D">
      <w:pPr>
        <w:pStyle w:val="Heading2"/>
        <w:spacing w:line="360" w:lineRule="auto"/>
        <w:jc w:val="both"/>
        <w:rPr>
          <w:color w:val="000000" w:themeColor="text1"/>
          <w:sz w:val="24"/>
          <w:szCs w:val="24"/>
        </w:rPr>
      </w:pPr>
      <w:r w:rsidRPr="0023566D">
        <w:rPr>
          <w:color w:val="000000" w:themeColor="text1"/>
          <w:sz w:val="24"/>
          <w:szCs w:val="24"/>
        </w:rPr>
        <w:lastRenderedPageBreak/>
        <w:t xml:space="preserve">Critical assessment of </w:t>
      </w:r>
      <w:proofErr w:type="spellStart"/>
      <w:r w:rsidRPr="0023566D">
        <w:rPr>
          <w:color w:val="000000" w:themeColor="text1"/>
          <w:sz w:val="24"/>
          <w:szCs w:val="24"/>
        </w:rPr>
        <w:t>Händel</w:t>
      </w:r>
      <w:proofErr w:type="spellEnd"/>
      <w:r w:rsidRPr="0023566D">
        <w:rPr>
          <w:color w:val="000000" w:themeColor="text1"/>
          <w:sz w:val="24"/>
          <w:szCs w:val="24"/>
        </w:rPr>
        <w:t xml:space="preserve"> et al. (2022):</w:t>
      </w:r>
      <w:r w:rsidRPr="0023566D">
        <w:rPr>
          <w:rStyle w:val="apple-converted-space"/>
          <w:color w:val="000000" w:themeColor="text1"/>
          <w:sz w:val="24"/>
          <w:szCs w:val="24"/>
        </w:rPr>
        <w:t> </w:t>
      </w:r>
      <w:r w:rsidRPr="0023566D">
        <w:rPr>
          <w:rStyle w:val="Emphasis"/>
          <w:i w:val="0"/>
          <w:iCs w:val="0"/>
          <w:color w:val="000000" w:themeColor="text1"/>
          <w:sz w:val="24"/>
          <w:szCs w:val="24"/>
        </w:rPr>
        <w:t>The webcam and student engagement</w:t>
      </w:r>
      <w:r w:rsidRPr="0023566D">
        <w:rPr>
          <w:rStyle w:val="Emphasis"/>
          <w:i w:val="0"/>
          <w:iCs w:val="0"/>
          <w:color w:val="000000" w:themeColor="text1"/>
          <w:sz w:val="24"/>
          <w:szCs w:val="24"/>
        </w:rPr>
        <w:t xml:space="preserve"> </w:t>
      </w:r>
      <w:r w:rsidRPr="009F7C1E">
        <w:rPr>
          <w:color w:val="000000" w:themeColor="text1"/>
          <w:sz w:val="24"/>
          <w:szCs w:val="24"/>
        </w:rPr>
        <w:t>in synchronous online learning: visually or verbally?</w:t>
      </w:r>
    </w:p>
    <w:p w:rsidR="009F7C1E" w:rsidRPr="009F7C1E" w:rsidRDefault="009F7C1E" w:rsidP="0023566D">
      <w:pPr>
        <w:spacing w:before="100" w:beforeAutospacing="1" w:after="100" w:afterAutospacing="1" w:line="360" w:lineRule="auto"/>
        <w:jc w:val="both"/>
        <w:outlineLvl w:val="2"/>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Introduction</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 xml:space="preserve">This paper investigates a very current issue in online education: when teaching happens live on Zoom/Teams-style platforms, does “having the camera on” signal genuine engagement, and what factors predict whether students participate visually (webcam use) and verbally (contributing to the session)? </w:t>
      </w:r>
      <w:proofErr w:type="spellStart"/>
      <w:r w:rsidRPr="009F7C1E">
        <w:rPr>
          <w:rFonts w:ascii="Times New Roman" w:eastAsia="Times New Roman" w:hAnsi="Times New Roman" w:cs="Times New Roman"/>
          <w:color w:val="000000" w:themeColor="text1"/>
          <w:lang w:eastAsia="en-GB"/>
        </w:rPr>
        <w:t>Händel</w:t>
      </w:r>
      <w:proofErr w:type="spellEnd"/>
      <w:r w:rsidRPr="009F7C1E">
        <w:rPr>
          <w:rFonts w:ascii="Times New Roman" w:eastAsia="Times New Roman" w:hAnsi="Times New Roman" w:cs="Times New Roman"/>
          <w:color w:val="000000" w:themeColor="text1"/>
          <w:lang w:eastAsia="en-GB"/>
        </w:rPr>
        <w:t xml:space="preserve"> et al. approach this by (1) estimating how common webcam use and verbal participation are, (2) testing which contextual factors predict them, and (3) examining whether visual and verbal engagement are strongly connected or largely separate behaviours</w:t>
      </w:r>
      <w:r w:rsidRPr="0023566D">
        <w:rPr>
          <w:rFonts w:ascii="Times New Roman" w:eastAsia="Times New Roman" w:hAnsi="Times New Roman" w:cs="Times New Roman"/>
          <w:color w:val="000000" w:themeColor="text1"/>
          <w:lang w:eastAsia="en-GB"/>
        </w:rPr>
        <w:t xml:space="preserve"> (Handel, 2022).</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Although the module learning outcomes focus on “language” (sound/structure/meaning/change), this article still connects well to a linguistics/applied-linguistics lens because it treats interaction and participation as observable behaviours in communicative events. In synchronous learning, “verbal engagement” is essentially participation in discourse (spoken or written), while “open communication” reflects how safe and available the interactional space feels—both key concerns in classroom discourse and online interaction research.</w:t>
      </w:r>
    </w:p>
    <w:p w:rsidR="009F7C1E" w:rsidRPr="009F7C1E" w:rsidRDefault="009F7C1E" w:rsidP="0023566D">
      <w:pPr>
        <w:spacing w:before="100" w:beforeAutospacing="1" w:after="100" w:afterAutospacing="1" w:line="360" w:lineRule="auto"/>
        <w:jc w:val="both"/>
        <w:outlineLvl w:val="1"/>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Question 1: Scientific method / theoretical considerations</w:t>
      </w:r>
    </w:p>
    <w:p w:rsidR="009F7C1E" w:rsidRPr="009F7C1E" w:rsidRDefault="009F7C1E" w:rsidP="0023566D">
      <w:pPr>
        <w:spacing w:before="100" w:beforeAutospacing="1" w:after="100" w:afterAutospacing="1" w:line="360" w:lineRule="auto"/>
        <w:jc w:val="both"/>
        <w:outlineLvl w:val="2"/>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(a) What theory does the article aim to test?</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The authors are not testing one single “grand” theory in the strict way a laboratory psycholinguistics paper might. Instead, they combine two main theoretical/conceptual strands:</w:t>
      </w:r>
    </w:p>
    <w:p w:rsidR="009F7C1E" w:rsidRPr="009F7C1E" w:rsidRDefault="009F7C1E" w:rsidP="0023566D">
      <w:pPr>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Kahu’s (2013) framework of student engagement</w:t>
      </w:r>
      <w:r w:rsidRPr="009F7C1E">
        <w:rPr>
          <w:rFonts w:ascii="Times New Roman" w:eastAsia="Times New Roman" w:hAnsi="Times New Roman" w:cs="Times New Roman"/>
          <w:color w:val="000000" w:themeColor="text1"/>
          <w:lang w:eastAsia="en-GB"/>
        </w:rPr>
        <w:t xml:space="preserve">, which organises engagement research into phases (state of engagement, antecedents, consequences) and highlights that engagement is multi-dimensional and context shaped. </w:t>
      </w:r>
      <w:proofErr w:type="spellStart"/>
      <w:r w:rsidRPr="009F7C1E">
        <w:rPr>
          <w:rFonts w:ascii="Times New Roman" w:eastAsia="Times New Roman" w:hAnsi="Times New Roman" w:cs="Times New Roman"/>
          <w:color w:val="000000" w:themeColor="text1"/>
          <w:lang w:eastAsia="en-GB"/>
        </w:rPr>
        <w:t>Händel</w:t>
      </w:r>
      <w:proofErr w:type="spellEnd"/>
      <w:r w:rsidRPr="009F7C1E">
        <w:rPr>
          <w:rFonts w:ascii="Times New Roman" w:eastAsia="Times New Roman" w:hAnsi="Times New Roman" w:cs="Times New Roman"/>
          <w:color w:val="000000" w:themeColor="text1"/>
          <w:lang w:eastAsia="en-GB"/>
        </w:rPr>
        <w:t xml:space="preserve"> et al. explicitly say they follow Kahu’s framing when structuring their research aims around these phases. </w:t>
      </w:r>
      <w:r w:rsidR="00B92C03" w:rsidRPr="0023566D">
        <w:rPr>
          <w:rFonts w:ascii="Times New Roman" w:eastAsia="Times New Roman" w:hAnsi="Times New Roman" w:cs="Times New Roman"/>
          <w:color w:val="000000" w:themeColor="text1"/>
          <w:lang w:eastAsia="en-GB"/>
        </w:rPr>
        <w:t>(Handel, 2022).</w:t>
      </w:r>
      <w:r w:rsidR="00B92C03"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Social presence / Community of Inquiry (</w:t>
      </w:r>
      <w:proofErr w:type="spellStart"/>
      <w:r w:rsidRPr="009F7C1E">
        <w:rPr>
          <w:rFonts w:ascii="Times New Roman" w:eastAsia="Times New Roman" w:hAnsi="Times New Roman" w:cs="Times New Roman"/>
          <w:b/>
          <w:bCs/>
          <w:color w:val="000000" w:themeColor="text1"/>
          <w:lang w:eastAsia="en-GB"/>
        </w:rPr>
        <w:t>CoI</w:t>
      </w:r>
      <w:proofErr w:type="spellEnd"/>
      <w:r w:rsidRPr="009F7C1E">
        <w:rPr>
          <w:rFonts w:ascii="Times New Roman" w:eastAsia="Times New Roman" w:hAnsi="Times New Roman" w:cs="Times New Roman"/>
          <w:b/>
          <w:bCs/>
          <w:color w:val="000000" w:themeColor="text1"/>
          <w:lang w:eastAsia="en-GB"/>
        </w:rPr>
        <w:t>)</w:t>
      </w:r>
      <w:r w:rsidRPr="009F7C1E">
        <w:rPr>
          <w:rFonts w:ascii="Times New Roman" w:eastAsia="Times New Roman" w:hAnsi="Times New Roman" w:cs="Times New Roman"/>
          <w:color w:val="000000" w:themeColor="text1"/>
          <w:lang w:eastAsia="en-GB"/>
        </w:rPr>
        <w:t xml:space="preserve"> thinking, especially the idea that learners participate more when communication feels open and socially “present”. In the </w:t>
      </w:r>
      <w:proofErr w:type="spellStart"/>
      <w:r w:rsidRPr="009F7C1E">
        <w:rPr>
          <w:rFonts w:ascii="Times New Roman" w:eastAsia="Times New Roman" w:hAnsi="Times New Roman" w:cs="Times New Roman"/>
          <w:color w:val="000000" w:themeColor="text1"/>
          <w:lang w:eastAsia="en-GB"/>
        </w:rPr>
        <w:t>CoI</w:t>
      </w:r>
      <w:proofErr w:type="spellEnd"/>
      <w:r w:rsidRPr="009F7C1E">
        <w:rPr>
          <w:rFonts w:ascii="Times New Roman" w:eastAsia="Times New Roman" w:hAnsi="Times New Roman" w:cs="Times New Roman"/>
          <w:color w:val="000000" w:themeColor="text1"/>
          <w:lang w:eastAsia="en-GB"/>
        </w:rPr>
        <w:t xml:space="preserve"> tradition, “social presence” includes elements such as open communication, and </w:t>
      </w:r>
      <w:r w:rsidRPr="009F7C1E">
        <w:rPr>
          <w:rFonts w:ascii="Times New Roman" w:eastAsia="Times New Roman" w:hAnsi="Times New Roman" w:cs="Times New Roman"/>
          <w:color w:val="000000" w:themeColor="text1"/>
          <w:lang w:eastAsia="en-GB"/>
        </w:rPr>
        <w:lastRenderedPageBreak/>
        <w:t xml:space="preserve">the authors operationalise open communication using a </w:t>
      </w:r>
      <w:proofErr w:type="spellStart"/>
      <w:r w:rsidRPr="009F7C1E">
        <w:rPr>
          <w:rFonts w:ascii="Times New Roman" w:eastAsia="Times New Roman" w:hAnsi="Times New Roman" w:cs="Times New Roman"/>
          <w:color w:val="000000" w:themeColor="text1"/>
          <w:lang w:eastAsia="en-GB"/>
        </w:rPr>
        <w:t>CoI</w:t>
      </w:r>
      <w:proofErr w:type="spellEnd"/>
      <w:r w:rsidRPr="009F7C1E">
        <w:rPr>
          <w:rFonts w:ascii="Times New Roman" w:eastAsia="Times New Roman" w:hAnsi="Times New Roman" w:cs="Times New Roman"/>
          <w:color w:val="000000" w:themeColor="text1"/>
          <w:lang w:eastAsia="en-GB"/>
        </w:rPr>
        <w:t>-based scale</w:t>
      </w:r>
      <w:r w:rsidR="00B92C03" w:rsidRPr="0023566D">
        <w:rPr>
          <w:rFonts w:ascii="Times New Roman" w:eastAsia="Times New Roman" w:hAnsi="Times New Roman" w:cs="Times New Roman"/>
          <w:color w:val="000000" w:themeColor="text1"/>
          <w:lang w:eastAsia="en-GB"/>
        </w:rPr>
        <w:t xml:space="preserve"> </w:t>
      </w:r>
      <w:r w:rsidR="00B92C03" w:rsidRPr="0023566D">
        <w:rPr>
          <w:rFonts w:ascii="Times New Roman" w:eastAsia="Times New Roman" w:hAnsi="Times New Roman" w:cs="Times New Roman"/>
          <w:color w:val="000000" w:themeColor="text1"/>
          <w:lang w:eastAsia="en-GB"/>
        </w:rPr>
        <w:t>(Handel, 2022).</w:t>
      </w:r>
      <w:r w:rsidR="00B92C03"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 xml:space="preserve">Alongside these, the paper also draws on well-established assumptions in online learning research </w:t>
      </w:r>
      <w:r w:rsidR="00B92C03" w:rsidRPr="0023566D">
        <w:rPr>
          <w:rFonts w:ascii="Times New Roman" w:eastAsia="Times New Roman" w:hAnsi="Times New Roman" w:cs="Times New Roman"/>
          <w:color w:val="000000" w:themeColor="text1"/>
          <w:lang w:eastAsia="en-GB"/>
        </w:rPr>
        <w:t>those contextual constraints</w:t>
      </w:r>
      <w:r w:rsidRPr="009F7C1E">
        <w:rPr>
          <w:rFonts w:ascii="Times New Roman" w:eastAsia="Times New Roman" w:hAnsi="Times New Roman" w:cs="Times New Roman"/>
          <w:color w:val="000000" w:themeColor="text1"/>
          <w:lang w:eastAsia="en-GB"/>
        </w:rPr>
        <w:t> and </w:t>
      </w:r>
      <w:r w:rsidRPr="009F7C1E">
        <w:rPr>
          <w:rFonts w:ascii="Times New Roman" w:eastAsia="Times New Roman" w:hAnsi="Times New Roman" w:cs="Times New Roman"/>
          <w:b/>
          <w:bCs/>
          <w:color w:val="000000" w:themeColor="text1"/>
          <w:lang w:eastAsia="en-GB"/>
        </w:rPr>
        <w:t>social norms</w:t>
      </w:r>
      <w:r w:rsidRPr="009F7C1E">
        <w:rPr>
          <w:rFonts w:ascii="Times New Roman" w:eastAsia="Times New Roman" w:hAnsi="Times New Roman" w:cs="Times New Roman"/>
          <w:color w:val="000000" w:themeColor="text1"/>
          <w:lang w:eastAsia="en-GB"/>
        </w:rPr>
        <w:t> (what peers and the instructor do) shape participation. In other words, even when participation is an individual choice, it is influenced by the surrounding communicative environment.</w:t>
      </w:r>
    </w:p>
    <w:p w:rsidR="009F7C1E" w:rsidRPr="009F7C1E" w:rsidRDefault="009F7C1E" w:rsidP="0023566D">
      <w:pPr>
        <w:spacing w:before="100" w:beforeAutospacing="1" w:after="100" w:afterAutospacing="1" w:line="360" w:lineRule="auto"/>
        <w:jc w:val="both"/>
        <w:outlineLvl w:val="2"/>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(b) What specific predictions of that theory are being tested (hypotheses)?</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The paper’s hypotheses map neatly onto the “engagement phase” structure described above:</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State of engagement (H1):</w:t>
      </w:r>
    </w:p>
    <w:p w:rsidR="009F7C1E" w:rsidRPr="009F7C1E" w:rsidRDefault="009F7C1E" w:rsidP="0023566D">
      <w:pPr>
        <w:numPr>
          <w:ilvl w:val="0"/>
          <w:numId w:val="5"/>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H1a:</w:t>
      </w:r>
      <w:r w:rsidRPr="009F7C1E">
        <w:rPr>
          <w:rFonts w:ascii="Times New Roman" w:eastAsia="Times New Roman" w:hAnsi="Times New Roman" w:cs="Times New Roman"/>
          <w:color w:val="000000" w:themeColor="text1"/>
          <w:lang w:eastAsia="en-GB"/>
        </w:rPr>
        <w:t> A considerable proportion of students will not be visually present via webcam.</w:t>
      </w:r>
    </w:p>
    <w:p w:rsidR="009F7C1E" w:rsidRPr="009F7C1E" w:rsidRDefault="009F7C1E" w:rsidP="0023566D">
      <w:pPr>
        <w:numPr>
          <w:ilvl w:val="0"/>
          <w:numId w:val="5"/>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H1b:</w:t>
      </w:r>
      <w:r w:rsidRPr="009F7C1E">
        <w:rPr>
          <w:rFonts w:ascii="Times New Roman" w:eastAsia="Times New Roman" w:hAnsi="Times New Roman" w:cs="Times New Roman"/>
          <w:color w:val="000000" w:themeColor="text1"/>
          <w:lang w:eastAsia="en-GB"/>
        </w:rPr>
        <w:t> A considerable proportion of students will not actively participate via verbal contributions. </w:t>
      </w:r>
      <w:r w:rsidR="00B92C03" w:rsidRPr="0023566D">
        <w:rPr>
          <w:rFonts w:ascii="Times New Roman" w:eastAsia="Times New Roman" w:hAnsi="Times New Roman" w:cs="Times New Roman"/>
          <w:color w:val="000000" w:themeColor="text1"/>
          <w:lang w:eastAsia="en-GB"/>
        </w:rPr>
        <w:t>(Handel, 2022).</w:t>
      </w:r>
      <w:r w:rsidR="00B92C03"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These are observational predictions: if engagement is problematic in synchronous online environments (as earlier surveys suggested), rates of visible/verbal participation should be low.</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Antecedents (H2):</w:t>
      </w:r>
    </w:p>
    <w:p w:rsidR="009F7C1E" w:rsidRPr="009F7C1E" w:rsidRDefault="009F7C1E" w:rsidP="0023566D">
      <w:pPr>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H2a:</w:t>
      </w:r>
      <w:r w:rsidRPr="009F7C1E">
        <w:rPr>
          <w:rFonts w:ascii="Times New Roman" w:eastAsia="Times New Roman" w:hAnsi="Times New Roman" w:cs="Times New Roman"/>
          <w:color w:val="000000" w:themeColor="text1"/>
          <w:lang w:eastAsia="en-GB"/>
        </w:rPr>
        <w:t> Verbal and visual engagement will be negatively related to group size, and positively related to others’ behaviour (peers/instructor) and</w:t>
      </w:r>
      <w:r w:rsidR="00B92C03" w:rsidRPr="0023566D">
        <w:rPr>
          <w:rFonts w:ascii="Times New Roman" w:eastAsia="Times New Roman" w:hAnsi="Times New Roman" w:cs="Times New Roman"/>
          <w:color w:val="000000" w:themeColor="text1"/>
          <w:lang w:eastAsia="en-GB"/>
        </w:rPr>
        <w:t xml:space="preserve"> </w:t>
      </w:r>
      <w:r w:rsidRPr="009F7C1E">
        <w:rPr>
          <w:rFonts w:ascii="Times New Roman" w:eastAsia="Times New Roman" w:hAnsi="Times New Roman" w:cs="Times New Roman"/>
          <w:color w:val="000000" w:themeColor="text1"/>
          <w:lang w:eastAsia="en-GB"/>
        </w:rPr>
        <w:t>perceived open communication.</w:t>
      </w:r>
    </w:p>
    <w:p w:rsidR="009F7C1E" w:rsidRPr="009F7C1E" w:rsidRDefault="009F7C1E" w:rsidP="0023566D">
      <w:pPr>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H2b:</w:t>
      </w:r>
      <w:r w:rsidRPr="009F7C1E">
        <w:rPr>
          <w:rFonts w:ascii="Times New Roman" w:eastAsia="Times New Roman" w:hAnsi="Times New Roman" w:cs="Times New Roman"/>
          <w:color w:val="000000" w:themeColor="text1"/>
          <w:lang w:eastAsia="en-GB"/>
        </w:rPr>
        <w:t> The effect of group size on engagement will be mediated by others’ behaviour (especially peers).</w:t>
      </w:r>
    </w:p>
    <w:p w:rsidR="009F7C1E" w:rsidRPr="009F7C1E" w:rsidRDefault="009F7C1E" w:rsidP="0023566D">
      <w:pPr>
        <w:numPr>
          <w:ilvl w:val="0"/>
          <w:numId w:val="6"/>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H2c:</w:t>
      </w:r>
      <w:r w:rsidRPr="009F7C1E">
        <w:rPr>
          <w:rFonts w:ascii="Times New Roman" w:eastAsia="Times New Roman" w:hAnsi="Times New Roman" w:cs="Times New Roman"/>
          <w:color w:val="000000" w:themeColor="text1"/>
          <w:lang w:eastAsia="en-GB"/>
        </w:rPr>
        <w:t> The effect of lecturer encouragement will be mediated by peer behaviour</w:t>
      </w:r>
      <w:r w:rsidR="00B92C03" w:rsidRPr="0023566D">
        <w:rPr>
          <w:rFonts w:ascii="Times New Roman" w:eastAsia="Times New Roman" w:hAnsi="Times New Roman" w:cs="Times New Roman"/>
          <w:color w:val="000000" w:themeColor="text1"/>
          <w:lang w:eastAsia="en-GB"/>
        </w:rPr>
        <w:t xml:space="preserve"> </w:t>
      </w:r>
      <w:r w:rsidR="00B92C03" w:rsidRPr="0023566D">
        <w:rPr>
          <w:rFonts w:ascii="Times New Roman" w:eastAsia="Times New Roman" w:hAnsi="Times New Roman" w:cs="Times New Roman"/>
          <w:color w:val="000000" w:themeColor="text1"/>
          <w:lang w:eastAsia="en-GB"/>
        </w:rPr>
        <w:t>(Handel, 2022).</w:t>
      </w:r>
      <w:r w:rsidR="00B92C03"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 xml:space="preserve">These hypotheses follow a clear logic: Kahu’s framework encourages looking at antecedents, and </w:t>
      </w:r>
      <w:proofErr w:type="spellStart"/>
      <w:r w:rsidRPr="009F7C1E">
        <w:rPr>
          <w:rFonts w:ascii="Times New Roman" w:eastAsia="Times New Roman" w:hAnsi="Times New Roman" w:cs="Times New Roman"/>
          <w:color w:val="000000" w:themeColor="text1"/>
          <w:lang w:eastAsia="en-GB"/>
        </w:rPr>
        <w:t>CoI</w:t>
      </w:r>
      <w:proofErr w:type="spellEnd"/>
      <w:r w:rsidRPr="009F7C1E">
        <w:rPr>
          <w:rFonts w:ascii="Times New Roman" w:eastAsia="Times New Roman" w:hAnsi="Times New Roman" w:cs="Times New Roman"/>
          <w:color w:val="000000" w:themeColor="text1"/>
          <w:lang w:eastAsia="en-GB"/>
        </w:rPr>
        <w:t>/social presence literature suggests that an open communicative climate should support participation. The mediation predictions also reflect a realistic mechanism: instructors and class structure may influence the peer norm (how many peers use cameras), and peer norms then shape an individual’s behaviour.</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lastRenderedPageBreak/>
        <w:t>Consequences / relationship between engagement forms (H3):</w:t>
      </w:r>
    </w:p>
    <w:p w:rsidR="009F7C1E" w:rsidRPr="009F7C1E" w:rsidRDefault="009F7C1E" w:rsidP="0023566D">
      <w:pPr>
        <w:numPr>
          <w:ilvl w:val="0"/>
          <w:numId w:val="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H3:</w:t>
      </w:r>
      <w:r w:rsidRPr="009F7C1E">
        <w:rPr>
          <w:rFonts w:ascii="Times New Roman" w:eastAsia="Times New Roman" w:hAnsi="Times New Roman" w:cs="Times New Roman"/>
          <w:color w:val="000000" w:themeColor="text1"/>
          <w:lang w:eastAsia="en-GB"/>
        </w:rPr>
        <w:t> Visual and verbal engagement will correlate only weakly; being on camera is not the same thing as contributing to discussion</w:t>
      </w:r>
      <w:r w:rsidR="00B92C03" w:rsidRPr="0023566D">
        <w:rPr>
          <w:rFonts w:ascii="Times New Roman" w:eastAsia="Times New Roman" w:hAnsi="Times New Roman" w:cs="Times New Roman"/>
          <w:color w:val="000000" w:themeColor="text1"/>
          <w:lang w:eastAsia="en-GB"/>
        </w:rPr>
        <w:t xml:space="preserve"> </w:t>
      </w:r>
      <w:r w:rsidR="00B92C03" w:rsidRPr="0023566D">
        <w:rPr>
          <w:rFonts w:ascii="Times New Roman" w:eastAsia="Times New Roman" w:hAnsi="Times New Roman" w:cs="Times New Roman"/>
          <w:color w:val="000000" w:themeColor="text1"/>
          <w:lang w:eastAsia="en-GB"/>
        </w:rPr>
        <w:t>(Handel, 2022).</w:t>
      </w:r>
      <w:r w:rsidR="00B92C03"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This is theoretically interesting because it challenges a simplistic “camera on = engaged” assumption. If supported, it suggests engagement is multi-channel (visual vs verbal) and not reducible to a single marker.</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Critical assessment of theory-to-hypothesis link</w:t>
      </w:r>
      <w:r w:rsidRPr="009F7C1E">
        <w:rPr>
          <w:rFonts w:ascii="Times New Roman" w:eastAsia="Times New Roman" w:hAnsi="Times New Roman" w:cs="Times New Roman"/>
          <w:color w:val="000000" w:themeColor="text1"/>
          <w:lang w:eastAsia="en-GB"/>
        </w:rPr>
        <w:br/>
        <w:t>Overall, the hypotheses are reasonable and largely grounded in the literature the authors review, especially around (a) engagement as multi-dimensional and (b) social presence and communication climate facilitating participation</w:t>
      </w:r>
      <w:r w:rsidR="00B92C03" w:rsidRPr="0023566D">
        <w:rPr>
          <w:rFonts w:ascii="Times New Roman" w:eastAsia="Times New Roman" w:hAnsi="Times New Roman" w:cs="Times New Roman"/>
          <w:color w:val="000000" w:themeColor="text1"/>
          <w:lang w:eastAsia="en-GB"/>
        </w:rPr>
        <w:t xml:space="preserve"> </w:t>
      </w:r>
      <w:r w:rsidR="00B92C03" w:rsidRPr="0023566D">
        <w:rPr>
          <w:rFonts w:ascii="Times New Roman" w:eastAsia="Times New Roman" w:hAnsi="Times New Roman" w:cs="Times New Roman"/>
          <w:color w:val="000000" w:themeColor="text1"/>
          <w:lang w:eastAsia="en-GB"/>
        </w:rPr>
        <w:t>(Handel, 2022).</w:t>
      </w:r>
      <w:r w:rsidR="00B92C03"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However, one limitation is that the paper sometimes uses “theory” in a broad, conceptual sense. For example, Kahu (2013) is a framing model rather than a narrow causal theory with precise, falsifiable predictions. That is not a flaw—engagement research often requires integrative frameworks—but it means the hypotheses are partly plausible expectations rather than strict deductions from a strongly specified theory</w:t>
      </w:r>
      <w:r w:rsidR="00B92C03" w:rsidRPr="0023566D">
        <w:rPr>
          <w:rFonts w:ascii="Times New Roman" w:eastAsia="Times New Roman" w:hAnsi="Times New Roman" w:cs="Times New Roman"/>
          <w:color w:val="000000" w:themeColor="text1"/>
          <w:lang w:eastAsia="en-GB"/>
        </w:rPr>
        <w:t xml:space="preserve"> (Kahu, 2011)</w:t>
      </w:r>
      <w:r w:rsidRPr="009F7C1E">
        <w:rPr>
          <w:rFonts w:ascii="Times New Roman" w:eastAsia="Times New Roman" w:hAnsi="Times New Roman" w:cs="Times New Roman"/>
          <w:color w:val="000000" w:themeColor="text1"/>
          <w:lang w:eastAsia="en-GB"/>
        </w:rPr>
        <w:t>.</w:t>
      </w:r>
      <w:r w:rsidR="00B92C03"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outlineLvl w:val="1"/>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Question 2: Methodology</w:t>
      </w:r>
    </w:p>
    <w:p w:rsidR="009F7C1E" w:rsidRPr="009F7C1E" w:rsidRDefault="009F7C1E" w:rsidP="0023566D">
      <w:pPr>
        <w:spacing w:before="100" w:beforeAutospacing="1" w:after="100" w:afterAutospacing="1" w:line="360" w:lineRule="auto"/>
        <w:jc w:val="both"/>
        <w:outlineLvl w:val="2"/>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(a) What methodology is used to test the predictions/hypotheses?</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The study uses a cross-sectional survey design with a large student sample from a German university. After exclusions, the analysed sample is </w:t>
      </w:r>
      <w:r w:rsidRPr="009F7C1E">
        <w:rPr>
          <w:rFonts w:ascii="Times New Roman" w:eastAsia="Times New Roman" w:hAnsi="Times New Roman" w:cs="Times New Roman"/>
          <w:b/>
          <w:bCs/>
          <w:color w:val="000000" w:themeColor="text1"/>
          <w:lang w:eastAsia="en-GB"/>
        </w:rPr>
        <w:t>3,610 students</w:t>
      </w:r>
      <w:r w:rsidR="00B92C03" w:rsidRPr="0023566D">
        <w:rPr>
          <w:rFonts w:ascii="Times New Roman" w:eastAsia="Times New Roman" w:hAnsi="Times New Roman" w:cs="Times New Roman"/>
          <w:color w:val="000000" w:themeColor="text1"/>
          <w:lang w:eastAsia="en-GB"/>
        </w:rPr>
        <w:t xml:space="preserve"> </w:t>
      </w:r>
      <w:r w:rsidR="00B92C03" w:rsidRPr="0023566D">
        <w:rPr>
          <w:rFonts w:ascii="Times New Roman" w:eastAsia="Times New Roman" w:hAnsi="Times New Roman" w:cs="Times New Roman"/>
          <w:color w:val="000000" w:themeColor="text1"/>
          <w:lang w:eastAsia="en-GB"/>
        </w:rPr>
        <w:t>(Handel, 2022).</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roofErr w:type="spellStart"/>
      <w:r w:rsidRPr="009F7C1E">
        <w:rPr>
          <w:rFonts w:ascii="Times New Roman" w:eastAsia="Times New Roman" w:hAnsi="Times New Roman" w:cs="Times New Roman"/>
          <w:b/>
          <w:bCs/>
          <w:color w:val="000000" w:themeColor="text1"/>
          <w:lang w:eastAsia="en-GB"/>
        </w:rPr>
        <w:t>Keyoperationalisations</w:t>
      </w:r>
      <w:proofErr w:type="spellEnd"/>
      <w:r w:rsidRPr="009F7C1E">
        <w:rPr>
          <w:rFonts w:ascii="Times New Roman" w:eastAsia="Times New Roman" w:hAnsi="Times New Roman" w:cs="Times New Roman"/>
          <w:color w:val="000000" w:themeColor="text1"/>
          <w:lang w:eastAsia="en-GB"/>
        </w:rPr>
        <w:br/>
        <w:t>A major methodological choice is how they operationalise “engagement”:</w:t>
      </w:r>
    </w:p>
    <w:p w:rsidR="009F7C1E" w:rsidRPr="009F7C1E" w:rsidRDefault="009F7C1E" w:rsidP="0023566D">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Visual engagement</w:t>
      </w:r>
      <w:r w:rsidRPr="009F7C1E">
        <w:rPr>
          <w:rFonts w:ascii="Times New Roman" w:eastAsia="Times New Roman" w:hAnsi="Times New Roman" w:cs="Times New Roman"/>
          <w:color w:val="000000" w:themeColor="text1"/>
          <w:lang w:eastAsia="en-GB"/>
        </w:rPr>
        <w:t> = self-reported webcam use (3 levels: not at all / as required / always).</w:t>
      </w:r>
    </w:p>
    <w:p w:rsidR="009F7C1E" w:rsidRPr="009F7C1E" w:rsidRDefault="009F7C1E" w:rsidP="0023566D">
      <w:pPr>
        <w:numPr>
          <w:ilvl w:val="0"/>
          <w:numId w:val="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Verbal engagement</w:t>
      </w:r>
      <w:r w:rsidRPr="009F7C1E">
        <w:rPr>
          <w:rFonts w:ascii="Times New Roman" w:eastAsia="Times New Roman" w:hAnsi="Times New Roman" w:cs="Times New Roman"/>
          <w:color w:val="000000" w:themeColor="text1"/>
          <w:lang w:eastAsia="en-GB"/>
        </w:rPr>
        <w:t> = self-reported contributions (passive listener / contributed a few times / actively discussed or presented) </w:t>
      </w:r>
      <w:r w:rsidR="00B92C03" w:rsidRPr="0023566D">
        <w:rPr>
          <w:rFonts w:ascii="Times New Roman" w:eastAsia="Times New Roman" w:hAnsi="Times New Roman" w:cs="Times New Roman"/>
          <w:color w:val="000000" w:themeColor="text1"/>
          <w:lang w:eastAsia="en-GB"/>
        </w:rPr>
        <w:t xml:space="preserve">(Handel, 2022). </w:t>
      </w:r>
      <w:r w:rsidR="00B92C03"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They intentionally make the survey situation-specific: students respond about the last session of the first course in the week that had an interactive synchronous character (not just a one-</w:t>
      </w:r>
      <w:r w:rsidRPr="009F7C1E">
        <w:rPr>
          <w:rFonts w:ascii="Times New Roman" w:eastAsia="Times New Roman" w:hAnsi="Times New Roman" w:cs="Times New Roman"/>
          <w:color w:val="000000" w:themeColor="text1"/>
          <w:lang w:eastAsia="en-GB"/>
        </w:rPr>
        <w:lastRenderedPageBreak/>
        <w:t>way lecture). The authors argue this reduces bias from students cherry-picking their “best” or “worst” course and reduces the need to average across many different course contexts</w:t>
      </w:r>
      <w:r w:rsidR="00B92C03" w:rsidRPr="0023566D">
        <w:rPr>
          <w:rFonts w:ascii="Times New Roman" w:eastAsia="Times New Roman" w:hAnsi="Times New Roman" w:cs="Times New Roman"/>
          <w:color w:val="000000" w:themeColor="text1"/>
          <w:lang w:eastAsia="en-GB"/>
        </w:rPr>
        <w:t xml:space="preserve"> </w:t>
      </w:r>
      <w:r w:rsidR="00B92C03" w:rsidRPr="0023566D">
        <w:rPr>
          <w:rFonts w:ascii="Times New Roman" w:eastAsia="Times New Roman" w:hAnsi="Times New Roman" w:cs="Times New Roman"/>
          <w:color w:val="000000" w:themeColor="text1"/>
          <w:lang w:eastAsia="en-GB"/>
        </w:rPr>
        <w:t xml:space="preserve">(Handel, 2022). </w:t>
      </w:r>
      <w:r w:rsidR="00B92C03"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Predictor variables</w:t>
      </w:r>
    </w:p>
    <w:p w:rsidR="009F7C1E" w:rsidRPr="009F7C1E" w:rsidRDefault="009F7C1E" w:rsidP="0023566D">
      <w:pPr>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Course size (categorical bands)</w:t>
      </w:r>
    </w:p>
    <w:p w:rsidR="009F7C1E" w:rsidRPr="009F7C1E" w:rsidRDefault="009F7C1E" w:rsidP="0023566D">
      <w:pPr>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Lecturer encouragement of webcam use (not discussed / friendly suggestion / mandatory)</w:t>
      </w:r>
    </w:p>
    <w:p w:rsidR="009F7C1E" w:rsidRPr="009F7C1E" w:rsidRDefault="009F7C1E" w:rsidP="0023566D">
      <w:pPr>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Peers’ webcam use (none/few/most etc.)</w:t>
      </w:r>
    </w:p>
    <w:p w:rsidR="009F7C1E" w:rsidRPr="009F7C1E" w:rsidRDefault="009F7C1E" w:rsidP="0023566D">
      <w:pPr>
        <w:numPr>
          <w:ilvl w:val="0"/>
          <w:numId w:val="9"/>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 xml:space="preserve">Perceived open communication (latent construct; </w:t>
      </w:r>
      <w:proofErr w:type="spellStart"/>
      <w:r w:rsidRPr="009F7C1E">
        <w:rPr>
          <w:rFonts w:ascii="Times New Roman" w:eastAsia="Times New Roman" w:hAnsi="Times New Roman" w:cs="Times New Roman"/>
          <w:color w:val="000000" w:themeColor="text1"/>
          <w:lang w:eastAsia="en-GB"/>
        </w:rPr>
        <w:t>CoI</w:t>
      </w:r>
      <w:proofErr w:type="spellEnd"/>
      <w:r w:rsidRPr="009F7C1E">
        <w:rPr>
          <w:rFonts w:ascii="Times New Roman" w:eastAsia="Times New Roman" w:hAnsi="Times New Roman" w:cs="Times New Roman"/>
          <w:color w:val="000000" w:themeColor="text1"/>
          <w:lang w:eastAsia="en-GB"/>
        </w:rPr>
        <w:t>-based scale, α≈.85)</w:t>
      </w:r>
      <w:r w:rsidR="004F2C3D" w:rsidRPr="0023566D">
        <w:rPr>
          <w:rFonts w:ascii="Times New Roman" w:eastAsia="Times New Roman" w:hAnsi="Times New Roman" w:cs="Times New Roman"/>
          <w:color w:val="000000" w:themeColor="text1"/>
          <w:lang w:eastAsia="en-GB"/>
        </w:rPr>
        <w:t xml:space="preserve"> </w:t>
      </w:r>
      <w:r w:rsidR="004F2C3D" w:rsidRPr="0023566D">
        <w:rPr>
          <w:rFonts w:ascii="Times New Roman" w:eastAsia="Times New Roman" w:hAnsi="Times New Roman" w:cs="Times New Roman"/>
          <w:color w:val="000000" w:themeColor="text1"/>
          <w:lang w:eastAsia="en-GB"/>
        </w:rPr>
        <w:t>(Handel, 2022).</w:t>
      </w:r>
      <w:r w:rsidR="004F2C3D"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Analyses</w:t>
      </w:r>
    </w:p>
    <w:p w:rsidR="009F7C1E" w:rsidRPr="009F7C1E" w:rsidRDefault="009F7C1E" w:rsidP="0023566D">
      <w:pPr>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Frequencies for H1.</w:t>
      </w:r>
    </w:p>
    <w:p w:rsidR="009F7C1E" w:rsidRPr="009F7C1E" w:rsidRDefault="009F7C1E" w:rsidP="0023566D">
      <w:pPr>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Wilcoxon matched-pairs tests comparing webcam use in different settings (course vs breakout rooms vs self-organised groups).</w:t>
      </w:r>
    </w:p>
    <w:p w:rsidR="009F7C1E" w:rsidRPr="009F7C1E" w:rsidRDefault="009F7C1E" w:rsidP="0023566D">
      <w:pPr>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Structural Equation Modelling (SEM) in R using </w:t>
      </w:r>
      <w:proofErr w:type="spellStart"/>
      <w:r w:rsidRPr="009F7C1E">
        <w:rPr>
          <w:rFonts w:ascii="Times New Roman" w:eastAsia="Times New Roman" w:hAnsi="Times New Roman" w:cs="Times New Roman"/>
          <w:b/>
          <w:bCs/>
          <w:color w:val="000000" w:themeColor="text1"/>
          <w:lang w:eastAsia="en-GB"/>
        </w:rPr>
        <w:t>lavaan</w:t>
      </w:r>
      <w:proofErr w:type="spellEnd"/>
      <w:r w:rsidRPr="009F7C1E">
        <w:rPr>
          <w:rFonts w:ascii="Times New Roman" w:eastAsia="Times New Roman" w:hAnsi="Times New Roman" w:cs="Times New Roman"/>
          <w:color w:val="000000" w:themeColor="text1"/>
          <w:lang w:eastAsia="en-GB"/>
        </w:rPr>
        <w:t>, with categorical variables and a DWLS estimator, to test direct and indirect paths (H2)</w:t>
      </w:r>
      <w:r w:rsidR="004F2C3D" w:rsidRPr="0023566D">
        <w:rPr>
          <w:rFonts w:ascii="Times New Roman" w:eastAsia="Times New Roman" w:hAnsi="Times New Roman" w:cs="Times New Roman"/>
          <w:color w:val="000000" w:themeColor="text1"/>
          <w:lang w:eastAsia="en-GB"/>
        </w:rPr>
        <w:t xml:space="preserve"> </w:t>
      </w:r>
      <w:r w:rsidR="004F2C3D" w:rsidRPr="0023566D">
        <w:rPr>
          <w:rFonts w:ascii="Times New Roman" w:eastAsia="Times New Roman" w:hAnsi="Times New Roman" w:cs="Times New Roman"/>
          <w:color w:val="000000" w:themeColor="text1"/>
          <w:lang w:eastAsia="en-GB"/>
        </w:rPr>
        <w:t xml:space="preserve">(Handel, 2022). </w:t>
      </w:r>
      <w:r w:rsidR="004F2C3D"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Spearman correlation for H3</w:t>
      </w:r>
      <w:r w:rsidR="004F2C3D" w:rsidRPr="0023566D">
        <w:rPr>
          <w:rFonts w:ascii="Times New Roman" w:eastAsia="Times New Roman" w:hAnsi="Times New Roman" w:cs="Times New Roman"/>
          <w:color w:val="000000" w:themeColor="text1"/>
          <w:lang w:eastAsia="en-GB"/>
        </w:rPr>
        <w:t xml:space="preserve"> </w:t>
      </w:r>
      <w:r w:rsidR="004F2C3D" w:rsidRPr="0023566D">
        <w:rPr>
          <w:rFonts w:ascii="Times New Roman" w:eastAsia="Times New Roman" w:hAnsi="Times New Roman" w:cs="Times New Roman"/>
          <w:color w:val="000000" w:themeColor="text1"/>
          <w:lang w:eastAsia="en-GB"/>
        </w:rPr>
        <w:t xml:space="preserve">(Handel, 2022). </w:t>
      </w:r>
      <w:r w:rsidR="004F2C3D"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outlineLvl w:val="2"/>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Is the methodology suitable for the research questions?</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For what the authors are trying to do—produce a broad, cross-disciplinary picture of webcam and participation patterns in synchronous higher education—this methodology is quite suitable.</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Strengths</w:t>
      </w:r>
    </w:p>
    <w:p w:rsidR="009F7C1E" w:rsidRPr="009F7C1E" w:rsidRDefault="009F7C1E" w:rsidP="0023566D">
      <w:pPr>
        <w:numPr>
          <w:ilvl w:val="0"/>
          <w:numId w:val="11"/>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Very large sample</w:t>
      </w:r>
      <w:r w:rsidRPr="009F7C1E">
        <w:rPr>
          <w:rFonts w:ascii="Times New Roman" w:eastAsia="Times New Roman" w:hAnsi="Times New Roman" w:cs="Times New Roman"/>
          <w:color w:val="000000" w:themeColor="text1"/>
          <w:lang w:eastAsia="en-GB"/>
        </w:rPr>
        <w:t> gives stable estimates and power for SEM.</w:t>
      </w:r>
    </w:p>
    <w:p w:rsidR="009F7C1E" w:rsidRPr="009F7C1E" w:rsidRDefault="009F7C1E" w:rsidP="0023566D">
      <w:pPr>
        <w:numPr>
          <w:ilvl w:val="0"/>
          <w:numId w:val="11"/>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The </w:t>
      </w:r>
      <w:r w:rsidRPr="009F7C1E">
        <w:rPr>
          <w:rFonts w:ascii="Times New Roman" w:eastAsia="Times New Roman" w:hAnsi="Times New Roman" w:cs="Times New Roman"/>
          <w:b/>
          <w:bCs/>
          <w:color w:val="000000" w:themeColor="text1"/>
          <w:lang w:eastAsia="en-GB"/>
        </w:rPr>
        <w:t>situation-specific design</w:t>
      </w:r>
      <w:r w:rsidRPr="009F7C1E">
        <w:rPr>
          <w:rFonts w:ascii="Times New Roman" w:eastAsia="Times New Roman" w:hAnsi="Times New Roman" w:cs="Times New Roman"/>
          <w:color w:val="000000" w:themeColor="text1"/>
          <w:lang w:eastAsia="en-GB"/>
        </w:rPr>
        <w:t> is a smart compromise between “general impressions” (too vague) and high-intensity observation (too costly at this scale)</w:t>
      </w:r>
      <w:r w:rsidR="004F2C3D" w:rsidRPr="0023566D">
        <w:rPr>
          <w:rFonts w:ascii="Times New Roman" w:eastAsia="Times New Roman" w:hAnsi="Times New Roman" w:cs="Times New Roman"/>
          <w:color w:val="000000" w:themeColor="text1"/>
          <w:lang w:eastAsia="en-GB"/>
        </w:rPr>
        <w:t xml:space="preserve"> </w:t>
      </w:r>
      <w:r w:rsidR="004F2C3D" w:rsidRPr="0023566D">
        <w:rPr>
          <w:rFonts w:ascii="Times New Roman" w:eastAsia="Times New Roman" w:hAnsi="Times New Roman" w:cs="Times New Roman"/>
          <w:color w:val="000000" w:themeColor="text1"/>
          <w:lang w:eastAsia="en-GB"/>
        </w:rPr>
        <w:t xml:space="preserve">(Handel, 2022). </w:t>
      </w:r>
      <w:r w:rsidR="004F2C3D"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11"/>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Using SEM allows them to test a mechanism-shaped model (including mediation), rather than relying purely on bivariate correlations</w:t>
      </w:r>
      <w:r w:rsidR="004F2C3D" w:rsidRPr="0023566D">
        <w:rPr>
          <w:rFonts w:ascii="Times New Roman" w:eastAsia="Times New Roman" w:hAnsi="Times New Roman" w:cs="Times New Roman"/>
          <w:color w:val="000000" w:themeColor="text1"/>
          <w:lang w:eastAsia="en-GB"/>
        </w:rPr>
        <w:t xml:space="preserve"> </w:t>
      </w:r>
      <w:r w:rsidR="004F2C3D" w:rsidRPr="0023566D">
        <w:rPr>
          <w:rFonts w:ascii="Times New Roman" w:eastAsia="Times New Roman" w:hAnsi="Times New Roman" w:cs="Times New Roman"/>
          <w:color w:val="000000" w:themeColor="text1"/>
          <w:lang w:eastAsia="en-GB"/>
        </w:rPr>
        <w:t xml:space="preserve">(Handel, 2022). </w:t>
      </w:r>
      <w:r w:rsidR="004F2C3D"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Limitations (and why they matter)</w:t>
      </w:r>
    </w:p>
    <w:p w:rsidR="009F7C1E" w:rsidRPr="009F7C1E" w:rsidRDefault="009F7C1E" w:rsidP="0023566D">
      <w:pPr>
        <w:numPr>
          <w:ilvl w:val="0"/>
          <w:numId w:val="12"/>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lastRenderedPageBreak/>
        <w:t>Cross-sectional survey</w:t>
      </w:r>
      <w:r w:rsidRPr="009F7C1E">
        <w:rPr>
          <w:rFonts w:ascii="Times New Roman" w:eastAsia="Times New Roman" w:hAnsi="Times New Roman" w:cs="Times New Roman"/>
          <w:color w:val="000000" w:themeColor="text1"/>
          <w:lang w:eastAsia="en-GB"/>
        </w:rPr>
        <w:t> data cannot establish causality, even if SEM paths look directional. The authors acknowledge this explicitly</w:t>
      </w:r>
      <w:r w:rsidR="004F2C3D" w:rsidRPr="0023566D">
        <w:rPr>
          <w:rFonts w:ascii="Times New Roman" w:eastAsia="Times New Roman" w:hAnsi="Times New Roman" w:cs="Times New Roman"/>
          <w:color w:val="000000" w:themeColor="text1"/>
          <w:lang w:eastAsia="en-GB"/>
        </w:rPr>
        <w:t xml:space="preserve"> </w:t>
      </w:r>
      <w:r w:rsidR="004F2C3D" w:rsidRPr="0023566D">
        <w:rPr>
          <w:rFonts w:ascii="Times New Roman" w:eastAsia="Times New Roman" w:hAnsi="Times New Roman" w:cs="Times New Roman"/>
          <w:color w:val="000000" w:themeColor="text1"/>
          <w:lang w:eastAsia="en-GB"/>
        </w:rPr>
        <w:t xml:space="preserve">(Handel, 2022). </w:t>
      </w:r>
      <w:r w:rsidR="004F2C3D"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12"/>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Measures of engagement are mostly single-item, self-report, categorical indicators. That can reduce reliability and does not capture quality of contributions (e.g., short chat message vs extended spoken turn). The authors also acknowledge that they did not track actual webcam time or number/quality of contributions</w:t>
      </w:r>
      <w:r w:rsidR="004F2C3D" w:rsidRPr="0023566D">
        <w:rPr>
          <w:rFonts w:ascii="Times New Roman" w:eastAsia="Times New Roman" w:hAnsi="Times New Roman" w:cs="Times New Roman"/>
          <w:color w:val="000000" w:themeColor="text1"/>
          <w:lang w:eastAsia="en-GB"/>
        </w:rPr>
        <w:t xml:space="preserve"> </w:t>
      </w:r>
      <w:r w:rsidR="004F2C3D" w:rsidRPr="0023566D">
        <w:rPr>
          <w:rFonts w:ascii="Times New Roman" w:eastAsia="Times New Roman" w:hAnsi="Times New Roman" w:cs="Times New Roman"/>
          <w:color w:val="000000" w:themeColor="text1"/>
          <w:lang w:eastAsia="en-GB"/>
        </w:rPr>
        <w:t xml:space="preserve">(Handel, 2022). </w:t>
      </w:r>
      <w:r w:rsidR="004F2C3D"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12"/>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Because this is self-report, there is potential social desirability bias (“I contributed a few times” might feel more acceptable than “passive listener”), even if anonymity reduces that risk.</w:t>
      </w:r>
    </w:p>
    <w:p w:rsidR="009F7C1E" w:rsidRPr="009F7C1E" w:rsidRDefault="009F7C1E" w:rsidP="0023566D">
      <w:pPr>
        <w:numPr>
          <w:ilvl w:val="0"/>
          <w:numId w:val="12"/>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The modelling uses “good fit” criteria (CFI, RMSEA, SRMR etc.). That is standard practice, but model fit does not prove the model is the only or true causal structure; it only shows it is consistent with the data</w:t>
      </w:r>
      <w:r w:rsidR="004F2C3D" w:rsidRPr="0023566D">
        <w:rPr>
          <w:rFonts w:ascii="Times New Roman" w:eastAsia="Times New Roman" w:hAnsi="Times New Roman" w:cs="Times New Roman"/>
          <w:color w:val="000000" w:themeColor="text1"/>
          <w:lang w:eastAsia="en-GB"/>
        </w:rPr>
        <w:t xml:space="preserve"> </w:t>
      </w:r>
      <w:r w:rsidR="004F2C3D" w:rsidRPr="0023566D">
        <w:rPr>
          <w:rFonts w:ascii="Times New Roman" w:eastAsia="Times New Roman" w:hAnsi="Times New Roman" w:cs="Times New Roman"/>
          <w:color w:val="000000" w:themeColor="text1"/>
          <w:lang w:eastAsia="en-GB"/>
        </w:rPr>
        <w:t>(Handel, 2022).</w:t>
      </w:r>
    </w:p>
    <w:p w:rsidR="009F7C1E" w:rsidRPr="009F7C1E" w:rsidRDefault="009F7C1E" w:rsidP="0023566D">
      <w:pPr>
        <w:spacing w:before="100" w:beforeAutospacing="1" w:after="100" w:afterAutospacing="1" w:line="360" w:lineRule="auto"/>
        <w:jc w:val="both"/>
        <w:outlineLvl w:val="2"/>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(b) What alternative methodology could have been used?</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A very strong alternative would be </w:t>
      </w:r>
      <w:r w:rsidRPr="009F7C1E">
        <w:rPr>
          <w:rFonts w:ascii="Times New Roman" w:eastAsia="Times New Roman" w:hAnsi="Times New Roman" w:cs="Times New Roman"/>
          <w:b/>
          <w:bCs/>
          <w:color w:val="000000" w:themeColor="text1"/>
          <w:lang w:eastAsia="en-GB"/>
        </w:rPr>
        <w:t>mixed methods</w:t>
      </w:r>
      <w:r w:rsidRPr="009F7C1E">
        <w:rPr>
          <w:rFonts w:ascii="Times New Roman" w:eastAsia="Times New Roman" w:hAnsi="Times New Roman" w:cs="Times New Roman"/>
          <w:color w:val="000000" w:themeColor="text1"/>
          <w:lang w:eastAsia="en-GB"/>
        </w:rPr>
        <w:t>:</w:t>
      </w:r>
    </w:p>
    <w:p w:rsidR="009F7C1E" w:rsidRPr="009F7C1E" w:rsidRDefault="009F7C1E" w:rsidP="0023566D">
      <w:pPr>
        <w:numPr>
          <w:ilvl w:val="0"/>
          <w:numId w:val="13"/>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Behavioural / learning-analytics data</w:t>
      </w:r>
      <w:r w:rsidRPr="009F7C1E">
        <w:rPr>
          <w:rFonts w:ascii="Times New Roman" w:eastAsia="Times New Roman" w:hAnsi="Times New Roman" w:cs="Times New Roman"/>
          <w:color w:val="000000" w:themeColor="text1"/>
          <w:lang w:eastAsia="en-GB"/>
        </w:rPr>
        <w:br/>
        <w:t>Pull platform logs (camera on/off duration, microphone activity, chat messages and timestamps, speaking time) and combine with class context (size, format). This would directly address the self-report limitation and allow more fine-grained measurement of “verbal engagement” (frequency, duration, turn-taking). It would also align with wider work on how online participation should be studied beyond self-reported impressions</w:t>
      </w:r>
      <w:r w:rsidR="00992B86" w:rsidRPr="0023566D">
        <w:rPr>
          <w:rFonts w:ascii="Times New Roman" w:eastAsia="Times New Roman" w:hAnsi="Times New Roman" w:cs="Times New Roman"/>
          <w:color w:val="000000" w:themeColor="text1"/>
          <w:lang w:eastAsia="en-GB"/>
        </w:rPr>
        <w:t xml:space="preserve"> </w:t>
      </w:r>
      <w:r w:rsidR="00992B86" w:rsidRPr="0023566D">
        <w:rPr>
          <w:rFonts w:ascii="Times New Roman" w:eastAsia="Times New Roman" w:hAnsi="Times New Roman" w:cs="Times New Roman"/>
          <w:color w:val="000000" w:themeColor="text1"/>
          <w:lang w:eastAsia="en-GB"/>
        </w:rPr>
        <w:t xml:space="preserve">(Handel, 2022). </w:t>
      </w:r>
      <w:r w:rsidR="00992B86"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13"/>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Experimental or quasi-experimental designs</w:t>
      </w:r>
      <w:r w:rsidRPr="009F7C1E">
        <w:rPr>
          <w:rFonts w:ascii="Times New Roman" w:eastAsia="Times New Roman" w:hAnsi="Times New Roman" w:cs="Times New Roman"/>
          <w:color w:val="000000" w:themeColor="text1"/>
          <w:lang w:eastAsia="en-GB"/>
        </w:rPr>
        <w:br/>
        <w:t>For example, manipulate instructor messaging (encouragement vs neutral vs mandatory camera policy) or manipulate interaction format (whole-class vs breakout-heavy). This would improve causal inference about whether lecturer encouragement truly causes changes in participation, rather than simply co-occurring with certain course types. The authors themselves note the lack of manipulation and the risk of alternative explanations (e.g., students who prefer invisibility selecting larger courses)</w:t>
      </w:r>
      <w:r w:rsidR="00992B86" w:rsidRPr="0023566D">
        <w:rPr>
          <w:rFonts w:ascii="Times New Roman" w:eastAsia="Times New Roman" w:hAnsi="Times New Roman" w:cs="Times New Roman"/>
          <w:color w:val="000000" w:themeColor="text1"/>
          <w:lang w:eastAsia="en-GB"/>
        </w:rPr>
        <w:t xml:space="preserve"> </w:t>
      </w:r>
      <w:r w:rsidR="00992B86" w:rsidRPr="0023566D">
        <w:rPr>
          <w:rFonts w:ascii="Times New Roman" w:eastAsia="Times New Roman" w:hAnsi="Times New Roman" w:cs="Times New Roman"/>
          <w:color w:val="000000" w:themeColor="text1"/>
          <w:lang w:eastAsia="en-GB"/>
        </w:rPr>
        <w:t xml:space="preserve">(Handel, 2022). </w:t>
      </w:r>
      <w:r w:rsidR="00992B86"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13"/>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Conversation/discourse analysis for “verbal engagement” quality</w:t>
      </w:r>
      <w:r w:rsidRPr="009F7C1E">
        <w:rPr>
          <w:rFonts w:ascii="Times New Roman" w:eastAsia="Times New Roman" w:hAnsi="Times New Roman" w:cs="Times New Roman"/>
          <w:color w:val="000000" w:themeColor="text1"/>
          <w:lang w:eastAsia="en-GB"/>
        </w:rPr>
        <w:br/>
        <w:t xml:space="preserve">If the project goal were more linguistics-forward, a smaller study could analyse the interactional patterns (turn-taking, repair, politeness strategies, or chat vs spoken </w:t>
      </w:r>
      <w:r w:rsidRPr="009F7C1E">
        <w:rPr>
          <w:rFonts w:ascii="Times New Roman" w:eastAsia="Times New Roman" w:hAnsi="Times New Roman" w:cs="Times New Roman"/>
          <w:color w:val="000000" w:themeColor="text1"/>
          <w:lang w:eastAsia="en-GB"/>
        </w:rPr>
        <w:lastRenderedPageBreak/>
        <w:t>participation) and relate them to camera use norms. That would capture the “language as action” element that a survey necessarily simplifies.</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The trade-off is clear: these alternatives increase validity and causal strength but reduce scale and feasibility. Given the paper’s aim to create a broad foundation in a novel context, starting with a large survey is defensible—especially because the paper is transparent about what the method can and cannot claim</w:t>
      </w:r>
      <w:r w:rsidR="00992B86" w:rsidRPr="0023566D">
        <w:rPr>
          <w:rFonts w:ascii="Times New Roman" w:eastAsia="Times New Roman" w:hAnsi="Times New Roman" w:cs="Times New Roman"/>
          <w:color w:val="000000" w:themeColor="text1"/>
          <w:lang w:eastAsia="en-GB"/>
        </w:rPr>
        <w:t xml:space="preserve"> </w:t>
      </w:r>
      <w:r w:rsidR="00992B86" w:rsidRPr="0023566D">
        <w:rPr>
          <w:rFonts w:ascii="Times New Roman" w:eastAsia="Times New Roman" w:hAnsi="Times New Roman" w:cs="Times New Roman"/>
          <w:color w:val="000000" w:themeColor="text1"/>
          <w:lang w:eastAsia="en-GB"/>
        </w:rPr>
        <w:t xml:space="preserve">(Handel, 2022). </w:t>
      </w:r>
      <w:r w:rsidR="00992B86"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outlineLvl w:val="1"/>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Question 3: Results and relevance to theory</w:t>
      </w:r>
    </w:p>
    <w:p w:rsidR="009F7C1E" w:rsidRPr="009F7C1E" w:rsidRDefault="009F7C1E" w:rsidP="0023566D">
      <w:pPr>
        <w:spacing w:before="100" w:beforeAutospacing="1" w:after="100" w:afterAutospacing="1" w:line="360" w:lineRule="auto"/>
        <w:jc w:val="both"/>
        <w:outlineLvl w:val="2"/>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(a) What are the results of the data collection?</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H1 state of engagement:</w:t>
      </w:r>
    </w:p>
    <w:p w:rsidR="009F7C1E" w:rsidRPr="009F7C1E" w:rsidRDefault="009F7C1E" w:rsidP="0023566D">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Webcam use in the target course session: </w:t>
      </w:r>
      <w:r w:rsidRPr="009F7C1E">
        <w:rPr>
          <w:rFonts w:ascii="Times New Roman" w:eastAsia="Times New Roman" w:hAnsi="Times New Roman" w:cs="Times New Roman"/>
          <w:b/>
          <w:bCs/>
          <w:color w:val="000000" w:themeColor="text1"/>
          <w:lang w:eastAsia="en-GB"/>
        </w:rPr>
        <w:t>30.9% not at all</w:t>
      </w:r>
      <w:r w:rsidRPr="009F7C1E">
        <w:rPr>
          <w:rFonts w:ascii="Times New Roman" w:eastAsia="Times New Roman" w:hAnsi="Times New Roman" w:cs="Times New Roman"/>
          <w:color w:val="000000" w:themeColor="text1"/>
          <w:lang w:eastAsia="en-GB"/>
        </w:rPr>
        <w:t>, </w:t>
      </w:r>
      <w:r w:rsidRPr="009F7C1E">
        <w:rPr>
          <w:rFonts w:ascii="Times New Roman" w:eastAsia="Times New Roman" w:hAnsi="Times New Roman" w:cs="Times New Roman"/>
          <w:b/>
          <w:bCs/>
          <w:color w:val="000000" w:themeColor="text1"/>
          <w:lang w:eastAsia="en-GB"/>
        </w:rPr>
        <w:t>36.0% as required</w:t>
      </w:r>
      <w:r w:rsidRPr="009F7C1E">
        <w:rPr>
          <w:rFonts w:ascii="Times New Roman" w:eastAsia="Times New Roman" w:hAnsi="Times New Roman" w:cs="Times New Roman"/>
          <w:color w:val="000000" w:themeColor="text1"/>
          <w:lang w:eastAsia="en-GB"/>
        </w:rPr>
        <w:t>, </w:t>
      </w:r>
      <w:r w:rsidRPr="009F7C1E">
        <w:rPr>
          <w:rFonts w:ascii="Times New Roman" w:eastAsia="Times New Roman" w:hAnsi="Times New Roman" w:cs="Times New Roman"/>
          <w:b/>
          <w:bCs/>
          <w:color w:val="000000" w:themeColor="text1"/>
          <w:lang w:eastAsia="en-GB"/>
        </w:rPr>
        <w:t>33.1% whole time</w:t>
      </w:r>
      <w:r w:rsidRPr="009F7C1E">
        <w:rPr>
          <w:rFonts w:ascii="Times New Roman" w:eastAsia="Times New Roman" w:hAnsi="Times New Roman" w:cs="Times New Roman"/>
          <w:color w:val="000000" w:themeColor="text1"/>
          <w:lang w:eastAsia="en-GB"/>
        </w:rPr>
        <w:t xml:space="preserve">. </w:t>
      </w:r>
      <w:proofErr w:type="gramStart"/>
      <w:r w:rsidRPr="009F7C1E">
        <w:rPr>
          <w:rFonts w:ascii="Times New Roman" w:eastAsia="Times New Roman" w:hAnsi="Times New Roman" w:cs="Times New Roman"/>
          <w:color w:val="000000" w:themeColor="text1"/>
          <w:lang w:eastAsia="en-GB"/>
        </w:rPr>
        <w:t>So</w:t>
      </w:r>
      <w:proofErr w:type="gramEnd"/>
      <w:r w:rsidRPr="009F7C1E">
        <w:rPr>
          <w:rFonts w:ascii="Times New Roman" w:eastAsia="Times New Roman" w:hAnsi="Times New Roman" w:cs="Times New Roman"/>
          <w:color w:val="000000" w:themeColor="text1"/>
          <w:lang w:eastAsia="en-GB"/>
        </w:rPr>
        <w:t xml:space="preserve"> about a third were not visually present</w:t>
      </w:r>
      <w:r w:rsidR="00010D79" w:rsidRPr="0023566D">
        <w:rPr>
          <w:rFonts w:ascii="Times New Roman" w:eastAsia="Times New Roman" w:hAnsi="Times New Roman" w:cs="Times New Roman"/>
          <w:color w:val="000000" w:themeColor="text1"/>
          <w:lang w:eastAsia="en-GB"/>
        </w:rPr>
        <w:t xml:space="preserve"> </w:t>
      </w:r>
      <w:r w:rsidR="00010D79" w:rsidRPr="0023566D">
        <w:rPr>
          <w:rFonts w:ascii="Times New Roman" w:eastAsia="Times New Roman" w:hAnsi="Times New Roman" w:cs="Times New Roman"/>
          <w:color w:val="000000" w:themeColor="text1"/>
          <w:lang w:eastAsia="en-GB"/>
        </w:rPr>
        <w:t xml:space="preserve">(Handel, 2022). </w:t>
      </w:r>
      <w:r w:rsidR="00010D79"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Verbal engagement: </w:t>
      </w:r>
      <w:r w:rsidRPr="009F7C1E">
        <w:rPr>
          <w:rFonts w:ascii="Times New Roman" w:eastAsia="Times New Roman" w:hAnsi="Times New Roman" w:cs="Times New Roman"/>
          <w:b/>
          <w:bCs/>
          <w:color w:val="000000" w:themeColor="text1"/>
          <w:lang w:eastAsia="en-GB"/>
        </w:rPr>
        <w:t>48.3% passive listeners</w:t>
      </w:r>
      <w:r w:rsidRPr="009F7C1E">
        <w:rPr>
          <w:rFonts w:ascii="Times New Roman" w:eastAsia="Times New Roman" w:hAnsi="Times New Roman" w:cs="Times New Roman"/>
          <w:color w:val="000000" w:themeColor="text1"/>
          <w:lang w:eastAsia="en-GB"/>
        </w:rPr>
        <w:t>, </w:t>
      </w:r>
      <w:r w:rsidRPr="009F7C1E">
        <w:rPr>
          <w:rFonts w:ascii="Times New Roman" w:eastAsia="Times New Roman" w:hAnsi="Times New Roman" w:cs="Times New Roman"/>
          <w:b/>
          <w:bCs/>
          <w:color w:val="000000" w:themeColor="text1"/>
          <w:lang w:eastAsia="en-GB"/>
        </w:rPr>
        <w:t>41.3% contributed a few times</w:t>
      </w:r>
      <w:r w:rsidRPr="009F7C1E">
        <w:rPr>
          <w:rFonts w:ascii="Times New Roman" w:eastAsia="Times New Roman" w:hAnsi="Times New Roman" w:cs="Times New Roman"/>
          <w:color w:val="000000" w:themeColor="text1"/>
          <w:lang w:eastAsia="en-GB"/>
        </w:rPr>
        <w:t>, </w:t>
      </w:r>
      <w:r w:rsidRPr="009F7C1E">
        <w:rPr>
          <w:rFonts w:ascii="Times New Roman" w:eastAsia="Times New Roman" w:hAnsi="Times New Roman" w:cs="Times New Roman"/>
          <w:b/>
          <w:bCs/>
          <w:color w:val="000000" w:themeColor="text1"/>
          <w:lang w:eastAsia="en-GB"/>
        </w:rPr>
        <w:t>10.5% actively discussed</w:t>
      </w:r>
      <w:r w:rsidR="00010D79" w:rsidRPr="0023566D">
        <w:rPr>
          <w:rFonts w:ascii="Times New Roman" w:eastAsia="Times New Roman" w:hAnsi="Times New Roman" w:cs="Times New Roman"/>
          <w:color w:val="000000" w:themeColor="text1"/>
          <w:lang w:eastAsia="en-GB"/>
        </w:rPr>
        <w:t xml:space="preserve"> </w:t>
      </w:r>
      <w:r w:rsidR="00010D79" w:rsidRPr="0023566D">
        <w:rPr>
          <w:rFonts w:ascii="Times New Roman" w:eastAsia="Times New Roman" w:hAnsi="Times New Roman" w:cs="Times New Roman"/>
          <w:color w:val="000000" w:themeColor="text1"/>
          <w:lang w:eastAsia="en-GB"/>
        </w:rPr>
        <w:t xml:space="preserve">(Handel, 2022). </w:t>
      </w:r>
      <w:r w:rsidR="00010D79"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Webcam use was </w:t>
      </w:r>
      <w:r w:rsidRPr="009F7C1E">
        <w:rPr>
          <w:rFonts w:ascii="Times New Roman" w:eastAsia="Times New Roman" w:hAnsi="Times New Roman" w:cs="Times New Roman"/>
          <w:b/>
          <w:bCs/>
          <w:color w:val="000000" w:themeColor="text1"/>
          <w:lang w:eastAsia="en-GB"/>
        </w:rPr>
        <w:t>higher in breakout rooms and self-organised study groups</w:t>
      </w:r>
      <w:r w:rsidRPr="009F7C1E">
        <w:rPr>
          <w:rFonts w:ascii="Times New Roman" w:eastAsia="Times New Roman" w:hAnsi="Times New Roman" w:cs="Times New Roman"/>
          <w:color w:val="000000" w:themeColor="text1"/>
          <w:lang w:eastAsia="en-GB"/>
        </w:rPr>
        <w:t> than in the course setting, with statistically significant differences (Wilcoxon tests)</w:t>
      </w:r>
      <w:r w:rsidR="00010D79" w:rsidRPr="0023566D">
        <w:rPr>
          <w:rFonts w:ascii="Times New Roman" w:eastAsia="Times New Roman" w:hAnsi="Times New Roman" w:cs="Times New Roman"/>
          <w:color w:val="000000" w:themeColor="text1"/>
          <w:lang w:eastAsia="en-GB"/>
        </w:rPr>
        <w:t xml:space="preserve"> </w:t>
      </w:r>
      <w:r w:rsidR="00010D79" w:rsidRPr="0023566D">
        <w:rPr>
          <w:rFonts w:ascii="Times New Roman" w:eastAsia="Times New Roman" w:hAnsi="Times New Roman" w:cs="Times New Roman"/>
          <w:color w:val="000000" w:themeColor="text1"/>
          <w:lang w:eastAsia="en-GB"/>
        </w:rPr>
        <w:t xml:space="preserve">(Handel, 2022). </w:t>
      </w:r>
      <w:r w:rsidR="00010D79"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H2:</w:t>
      </w:r>
      <w:r w:rsidRPr="009F7C1E">
        <w:rPr>
          <w:rFonts w:ascii="Times New Roman" w:eastAsia="Times New Roman" w:hAnsi="Times New Roman" w:cs="Times New Roman"/>
          <w:color w:val="000000" w:themeColor="text1"/>
          <w:lang w:eastAsia="en-GB"/>
        </w:rPr>
        <w:br/>
        <w:t>The SEM showed:</w:t>
      </w:r>
    </w:p>
    <w:p w:rsidR="009F7C1E" w:rsidRPr="009F7C1E" w:rsidRDefault="009F7C1E" w:rsidP="0023566D">
      <w:pPr>
        <w:numPr>
          <w:ilvl w:val="0"/>
          <w:numId w:val="15"/>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Smaller course size and lecturer encouragement had small positive effects on both visual and verbal engagement.</w:t>
      </w:r>
    </w:p>
    <w:p w:rsidR="009F7C1E" w:rsidRPr="009F7C1E" w:rsidRDefault="009F7C1E" w:rsidP="0023566D">
      <w:pPr>
        <w:numPr>
          <w:ilvl w:val="0"/>
          <w:numId w:val="15"/>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Peer webcam use</w:t>
      </w:r>
      <w:r w:rsidRPr="009F7C1E">
        <w:rPr>
          <w:rFonts w:ascii="Times New Roman" w:eastAsia="Times New Roman" w:hAnsi="Times New Roman" w:cs="Times New Roman"/>
          <w:color w:val="000000" w:themeColor="text1"/>
          <w:lang w:eastAsia="en-GB"/>
        </w:rPr>
        <w:t xml:space="preserve"> related strongly to visual engagement and </w:t>
      </w:r>
      <w:proofErr w:type="gramStart"/>
      <w:r w:rsidRPr="009F7C1E">
        <w:rPr>
          <w:rFonts w:ascii="Times New Roman" w:eastAsia="Times New Roman" w:hAnsi="Times New Roman" w:cs="Times New Roman"/>
          <w:color w:val="000000" w:themeColor="text1"/>
          <w:lang w:eastAsia="en-GB"/>
        </w:rPr>
        <w:t>more weakly</w:t>
      </w:r>
      <w:proofErr w:type="gramEnd"/>
      <w:r w:rsidRPr="009F7C1E">
        <w:rPr>
          <w:rFonts w:ascii="Times New Roman" w:eastAsia="Times New Roman" w:hAnsi="Times New Roman" w:cs="Times New Roman"/>
          <w:color w:val="000000" w:themeColor="text1"/>
          <w:lang w:eastAsia="en-GB"/>
        </w:rPr>
        <w:t xml:space="preserve"> to verbal engagement.</w:t>
      </w:r>
    </w:p>
    <w:p w:rsidR="009F7C1E" w:rsidRPr="009F7C1E" w:rsidRDefault="009F7C1E" w:rsidP="0023566D">
      <w:pPr>
        <w:numPr>
          <w:ilvl w:val="0"/>
          <w:numId w:val="15"/>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Open communication</w:t>
      </w:r>
      <w:r w:rsidRPr="009F7C1E">
        <w:rPr>
          <w:rFonts w:ascii="Times New Roman" w:eastAsia="Times New Roman" w:hAnsi="Times New Roman" w:cs="Times New Roman"/>
          <w:color w:val="000000" w:themeColor="text1"/>
          <w:lang w:eastAsia="en-GB"/>
        </w:rPr>
        <w:t> had positive effects: small for visual, small-to-medium for verbal.</w:t>
      </w:r>
    </w:p>
    <w:p w:rsidR="009F7C1E" w:rsidRPr="009F7C1E" w:rsidRDefault="009F7C1E" w:rsidP="0023566D">
      <w:pPr>
        <w:numPr>
          <w:ilvl w:val="0"/>
          <w:numId w:val="15"/>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Indirect (mediated) effects were significant: group size and lecturer encouragement influenced engagement partly via peer behaviour</w:t>
      </w:r>
      <w:r w:rsidR="00010D79" w:rsidRPr="0023566D">
        <w:rPr>
          <w:rFonts w:ascii="Times New Roman" w:eastAsia="Times New Roman" w:hAnsi="Times New Roman" w:cs="Times New Roman"/>
          <w:color w:val="000000" w:themeColor="text1"/>
          <w:lang w:eastAsia="en-GB"/>
        </w:rPr>
        <w:t xml:space="preserve"> </w:t>
      </w:r>
      <w:r w:rsidR="00010D79" w:rsidRPr="0023566D">
        <w:rPr>
          <w:rFonts w:ascii="Times New Roman" w:eastAsia="Times New Roman" w:hAnsi="Times New Roman" w:cs="Times New Roman"/>
          <w:color w:val="000000" w:themeColor="text1"/>
          <w:lang w:eastAsia="en-GB"/>
        </w:rPr>
        <w:t xml:space="preserve">(Handel, 2022). </w:t>
      </w:r>
      <w:r w:rsidR="00010D79"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H3 (relationship between visual and verbal):</w:t>
      </w:r>
    </w:p>
    <w:p w:rsidR="009F7C1E" w:rsidRPr="009F7C1E" w:rsidRDefault="009F7C1E" w:rsidP="0023566D">
      <w:pPr>
        <w:numPr>
          <w:ilvl w:val="0"/>
          <w:numId w:val="16"/>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lastRenderedPageBreak/>
        <w:t>Spearman’s rho between visual and verbal engagement was </w:t>
      </w:r>
      <w:r w:rsidRPr="009F7C1E">
        <w:rPr>
          <w:rFonts w:ascii="Times New Roman" w:eastAsia="Times New Roman" w:hAnsi="Times New Roman" w:cs="Times New Roman"/>
          <w:b/>
          <w:bCs/>
          <w:color w:val="000000" w:themeColor="text1"/>
          <w:lang w:eastAsia="en-GB"/>
        </w:rPr>
        <w:t>.42</w:t>
      </w:r>
      <w:r w:rsidRPr="009F7C1E">
        <w:rPr>
          <w:rFonts w:ascii="Times New Roman" w:eastAsia="Times New Roman" w:hAnsi="Times New Roman" w:cs="Times New Roman"/>
          <w:color w:val="000000" w:themeColor="text1"/>
          <w:lang w:eastAsia="en-GB"/>
        </w:rPr>
        <w:t>, which the authors interpret as a relatively weak association—supporting the point that camera-on behaviour is not the same thing as verbal participation</w:t>
      </w:r>
      <w:r w:rsidR="00010D79" w:rsidRPr="0023566D">
        <w:rPr>
          <w:rFonts w:ascii="Times New Roman" w:eastAsia="Times New Roman" w:hAnsi="Times New Roman" w:cs="Times New Roman"/>
          <w:color w:val="000000" w:themeColor="text1"/>
          <w:lang w:eastAsia="en-GB"/>
        </w:rPr>
        <w:t xml:space="preserve"> </w:t>
      </w:r>
      <w:r w:rsidR="00010D79" w:rsidRPr="0023566D">
        <w:rPr>
          <w:rFonts w:ascii="Times New Roman" w:eastAsia="Times New Roman" w:hAnsi="Times New Roman" w:cs="Times New Roman"/>
          <w:color w:val="000000" w:themeColor="text1"/>
          <w:lang w:eastAsia="en-GB"/>
        </w:rPr>
        <w:t xml:space="preserve">(Handel, 2022). </w:t>
      </w:r>
      <w:r w:rsidR="00010D79"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outlineLvl w:val="2"/>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(b) Do the results support the theory? Explaining the empirical cycle (data → hypothesis → theory)</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Here’s the empirical cycle as applied in the article:</w:t>
      </w:r>
    </w:p>
    <w:p w:rsidR="009F7C1E" w:rsidRPr="009F7C1E" w:rsidRDefault="009F7C1E" w:rsidP="0023566D">
      <w:pPr>
        <w:numPr>
          <w:ilvl w:val="0"/>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Theory / conceptual framing</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Engagement is multi-dimensional and shaped by antecedents (Kahu</w:t>
      </w:r>
      <w:r w:rsidR="00010D79" w:rsidRPr="0023566D">
        <w:rPr>
          <w:rFonts w:ascii="Times New Roman" w:eastAsia="Times New Roman" w:hAnsi="Times New Roman" w:cs="Times New Roman"/>
          <w:color w:val="000000" w:themeColor="text1"/>
          <w:lang w:eastAsia="en-GB"/>
        </w:rPr>
        <w:t>, 2011</w:t>
      </w:r>
      <w:r w:rsidRPr="009F7C1E">
        <w:rPr>
          <w:rFonts w:ascii="Times New Roman" w:eastAsia="Times New Roman" w:hAnsi="Times New Roman" w:cs="Times New Roman"/>
          <w:color w:val="000000" w:themeColor="text1"/>
          <w:lang w:eastAsia="en-GB"/>
        </w:rPr>
        <w:t>).</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Communication climate and social presence matter in online learning (</w:t>
      </w:r>
      <w:proofErr w:type="spellStart"/>
      <w:r w:rsidRPr="009F7C1E">
        <w:rPr>
          <w:rFonts w:ascii="Times New Roman" w:eastAsia="Times New Roman" w:hAnsi="Times New Roman" w:cs="Times New Roman"/>
          <w:color w:val="000000" w:themeColor="text1"/>
          <w:lang w:eastAsia="en-GB"/>
        </w:rPr>
        <w:t>CoI</w:t>
      </w:r>
      <w:proofErr w:type="spellEnd"/>
      <w:r w:rsidRPr="009F7C1E">
        <w:rPr>
          <w:rFonts w:ascii="Times New Roman" w:eastAsia="Times New Roman" w:hAnsi="Times New Roman" w:cs="Times New Roman"/>
          <w:color w:val="000000" w:themeColor="text1"/>
          <w:lang w:eastAsia="en-GB"/>
        </w:rPr>
        <w:t>/social presence)</w:t>
      </w:r>
      <w:r w:rsidR="00010D79" w:rsidRPr="0023566D">
        <w:rPr>
          <w:rFonts w:ascii="Times New Roman" w:eastAsia="Times New Roman" w:hAnsi="Times New Roman" w:cs="Times New Roman"/>
          <w:color w:val="000000" w:themeColor="text1"/>
          <w:lang w:eastAsia="en-GB"/>
        </w:rPr>
        <w:t xml:space="preserve"> (Kahu, 2011) </w:t>
      </w:r>
    </w:p>
    <w:p w:rsidR="009F7C1E" w:rsidRPr="009F7C1E" w:rsidRDefault="009F7C1E" w:rsidP="0023566D">
      <w:pPr>
        <w:numPr>
          <w:ilvl w:val="0"/>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Hypotheses derived</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Many students will not engage visually/verbal (H1).</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Course size, instructor/peer behaviour, and open communication will predict engagement (H2).</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Visual and verbal engagement are separable (H3)</w:t>
      </w:r>
      <w:r w:rsidR="00010D79" w:rsidRPr="0023566D">
        <w:rPr>
          <w:rFonts w:ascii="Times New Roman" w:eastAsia="Times New Roman" w:hAnsi="Times New Roman" w:cs="Times New Roman"/>
          <w:color w:val="000000" w:themeColor="text1"/>
          <w:lang w:eastAsia="en-GB"/>
        </w:rPr>
        <w:t xml:space="preserve"> </w:t>
      </w:r>
      <w:r w:rsidR="00010D79" w:rsidRPr="0023566D">
        <w:rPr>
          <w:rFonts w:ascii="Times New Roman" w:eastAsia="Times New Roman" w:hAnsi="Times New Roman" w:cs="Times New Roman"/>
          <w:color w:val="000000" w:themeColor="text1"/>
          <w:lang w:eastAsia="en-GB"/>
        </w:rPr>
        <w:t xml:space="preserve">(Handel, 2022). </w:t>
      </w:r>
      <w:r w:rsidR="00010D79"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Data and analysis</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Large, situation-specific survey; SEM tests both direct and mediated pathways</w:t>
      </w:r>
      <w:r w:rsidR="00010D79" w:rsidRPr="0023566D">
        <w:rPr>
          <w:rFonts w:ascii="Times New Roman" w:eastAsia="Times New Roman" w:hAnsi="Times New Roman" w:cs="Times New Roman"/>
          <w:color w:val="000000" w:themeColor="text1"/>
          <w:lang w:eastAsia="en-GB"/>
        </w:rPr>
        <w:t xml:space="preserve"> </w:t>
      </w:r>
      <w:r w:rsidR="00010D79" w:rsidRPr="0023566D">
        <w:rPr>
          <w:rFonts w:ascii="Times New Roman" w:eastAsia="Times New Roman" w:hAnsi="Times New Roman" w:cs="Times New Roman"/>
          <w:color w:val="000000" w:themeColor="text1"/>
          <w:lang w:eastAsia="en-GB"/>
        </w:rPr>
        <w:t xml:space="preserve">(Handel, 2022). </w:t>
      </w:r>
      <w:r w:rsidR="00010D79"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Results interpreted against hypotheses</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H1 is supported: substantial proportions are not visually present and not actively contributing.</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H2 is broadly supported: predicted variables relate to engagement in the expected directions, and mediation via peer behaviour appears plausible in the data.</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H3 is supported in the sense the relationship is not strong, reinforcing multi-dimensional engagement</w:t>
      </w:r>
      <w:r w:rsidR="00010D79" w:rsidRPr="0023566D">
        <w:rPr>
          <w:rFonts w:ascii="Times New Roman" w:eastAsia="Times New Roman" w:hAnsi="Times New Roman" w:cs="Times New Roman"/>
          <w:color w:val="000000" w:themeColor="text1"/>
          <w:lang w:eastAsia="en-GB"/>
        </w:rPr>
        <w:t xml:space="preserve"> </w:t>
      </w:r>
      <w:r w:rsidR="00010D79" w:rsidRPr="0023566D">
        <w:rPr>
          <w:rFonts w:ascii="Times New Roman" w:eastAsia="Times New Roman" w:hAnsi="Times New Roman" w:cs="Times New Roman"/>
          <w:color w:val="000000" w:themeColor="text1"/>
          <w:lang w:eastAsia="en-GB"/>
        </w:rPr>
        <w:t xml:space="preserve">(Handel, 2022). </w:t>
      </w:r>
      <w:r w:rsidR="00010D79"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numPr>
          <w:ilvl w:val="0"/>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t>Back to theory</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The findings are consistent with engagement-as-multi-dimensional (Kahu) because webcam use and verbal participation are not interchangeable.</w:t>
      </w:r>
    </w:p>
    <w:p w:rsidR="009F7C1E" w:rsidRPr="009F7C1E" w:rsidRDefault="009F7C1E" w:rsidP="0023566D">
      <w:pPr>
        <w:numPr>
          <w:ilvl w:val="1"/>
          <w:numId w:val="17"/>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The positive role of open communication supports the relevance of social presence/</w:t>
      </w:r>
      <w:proofErr w:type="spellStart"/>
      <w:r w:rsidRPr="009F7C1E">
        <w:rPr>
          <w:rFonts w:ascii="Times New Roman" w:eastAsia="Times New Roman" w:hAnsi="Times New Roman" w:cs="Times New Roman"/>
          <w:color w:val="000000" w:themeColor="text1"/>
          <w:lang w:eastAsia="en-GB"/>
        </w:rPr>
        <w:t>CoI</w:t>
      </w:r>
      <w:proofErr w:type="spellEnd"/>
      <w:r w:rsidRPr="009F7C1E">
        <w:rPr>
          <w:rFonts w:ascii="Times New Roman" w:eastAsia="Times New Roman" w:hAnsi="Times New Roman" w:cs="Times New Roman"/>
          <w:color w:val="000000" w:themeColor="text1"/>
          <w:lang w:eastAsia="en-GB"/>
        </w:rPr>
        <w:t xml:space="preserve"> ideas for synchronous sessions, particularly for verbal participation</w:t>
      </w:r>
      <w:r w:rsidR="00010D79" w:rsidRPr="0023566D">
        <w:rPr>
          <w:rFonts w:ascii="Times New Roman" w:eastAsia="Times New Roman" w:hAnsi="Times New Roman" w:cs="Times New Roman"/>
          <w:color w:val="000000" w:themeColor="text1"/>
          <w:lang w:eastAsia="en-GB"/>
        </w:rPr>
        <w:t xml:space="preserve"> </w:t>
      </w:r>
      <w:r w:rsidR="00010D79" w:rsidRPr="0023566D">
        <w:rPr>
          <w:rFonts w:ascii="Times New Roman" w:eastAsia="Times New Roman" w:hAnsi="Times New Roman" w:cs="Times New Roman"/>
          <w:color w:val="000000" w:themeColor="text1"/>
          <w:lang w:eastAsia="en-GB"/>
        </w:rPr>
        <w:t xml:space="preserve">(Handel, 2022). </w:t>
      </w:r>
      <w:r w:rsidR="00010D79" w:rsidRPr="0023566D">
        <w:rPr>
          <w:rFonts w:ascii="Times New Roman" w:eastAsia="Times New Roman" w:hAnsi="Times New Roman" w:cs="Times New Roman"/>
          <w:color w:val="000000" w:themeColor="text1"/>
          <w:lang w:eastAsia="en-GB"/>
        </w:rPr>
        <w:t xml:space="preserve"> </w:t>
      </w:r>
    </w:p>
    <w:p w:rsidR="009F7C1E" w:rsidRPr="009F7C1E"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b/>
          <w:bCs/>
          <w:color w:val="000000" w:themeColor="text1"/>
          <w:lang w:eastAsia="en-GB"/>
        </w:rPr>
        <w:lastRenderedPageBreak/>
        <w:t>Critical note</w:t>
      </w:r>
      <w:r w:rsidRPr="009F7C1E">
        <w:rPr>
          <w:rFonts w:ascii="Times New Roman" w:eastAsia="Times New Roman" w:hAnsi="Times New Roman" w:cs="Times New Roman"/>
          <w:color w:val="000000" w:themeColor="text1"/>
          <w:lang w:eastAsia="en-GB"/>
        </w:rPr>
        <w:br/>
        <w:t>The strongest theoretical support is for the general direction of relationships (open communication ↔ more participation; peer norms ↔ webcam behaviour). What cannot be claimed—due to cross-sectional self-report—is the full causal story (e.g., “lecturer encouragement causes peers to turn cameras on, which causes individuals to participate”). The paper is quite careful about this limitation, and that transparency is a key mark of good scientific reporting</w:t>
      </w:r>
      <w:r w:rsidR="00407733" w:rsidRPr="0023566D">
        <w:rPr>
          <w:rFonts w:ascii="Times New Roman" w:eastAsia="Times New Roman" w:hAnsi="Times New Roman" w:cs="Times New Roman"/>
          <w:color w:val="000000" w:themeColor="text1"/>
          <w:lang w:eastAsia="en-GB"/>
        </w:rPr>
        <w:t xml:space="preserve"> </w:t>
      </w:r>
      <w:r w:rsidR="00407733" w:rsidRPr="0023566D">
        <w:rPr>
          <w:rFonts w:ascii="Times New Roman" w:eastAsia="Times New Roman" w:hAnsi="Times New Roman" w:cs="Times New Roman"/>
          <w:color w:val="000000" w:themeColor="text1"/>
          <w:lang w:eastAsia="en-GB"/>
        </w:rPr>
        <w:t>(Handel, 2022).</w:t>
      </w:r>
    </w:p>
    <w:p w:rsidR="009F7C1E" w:rsidRPr="009F7C1E" w:rsidRDefault="009F7C1E" w:rsidP="0023566D">
      <w:pPr>
        <w:spacing w:before="100" w:beforeAutospacing="1" w:after="100" w:afterAutospacing="1" w:line="360" w:lineRule="auto"/>
        <w:jc w:val="both"/>
        <w:outlineLvl w:val="1"/>
        <w:rPr>
          <w:rFonts w:ascii="Times New Roman" w:eastAsia="Times New Roman" w:hAnsi="Times New Roman" w:cs="Times New Roman"/>
          <w:b/>
          <w:bCs/>
          <w:color w:val="000000" w:themeColor="text1"/>
          <w:lang w:eastAsia="en-GB"/>
        </w:rPr>
      </w:pPr>
      <w:r w:rsidRPr="009F7C1E">
        <w:rPr>
          <w:rFonts w:ascii="Times New Roman" w:eastAsia="Times New Roman" w:hAnsi="Times New Roman" w:cs="Times New Roman"/>
          <w:b/>
          <w:bCs/>
          <w:color w:val="000000" w:themeColor="text1"/>
          <w:lang w:eastAsia="en-GB"/>
        </w:rPr>
        <w:t>Final evaluation (scope, contribution, and limits)</w:t>
      </w:r>
    </w:p>
    <w:p w:rsidR="009F7C1E" w:rsidRPr="0023566D" w:rsidRDefault="009F7C1E"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9F7C1E">
        <w:rPr>
          <w:rFonts w:ascii="Times New Roman" w:eastAsia="Times New Roman" w:hAnsi="Times New Roman" w:cs="Times New Roman"/>
          <w:color w:val="000000" w:themeColor="text1"/>
          <w:lang w:eastAsia="en-GB"/>
        </w:rPr>
        <w:t xml:space="preserve">Overall, </w:t>
      </w:r>
      <w:proofErr w:type="spellStart"/>
      <w:r w:rsidRPr="009F7C1E">
        <w:rPr>
          <w:rFonts w:ascii="Times New Roman" w:eastAsia="Times New Roman" w:hAnsi="Times New Roman" w:cs="Times New Roman"/>
          <w:color w:val="000000" w:themeColor="text1"/>
          <w:lang w:eastAsia="en-GB"/>
        </w:rPr>
        <w:t>Händel</w:t>
      </w:r>
      <w:proofErr w:type="spellEnd"/>
      <w:r w:rsidRPr="009F7C1E">
        <w:rPr>
          <w:rFonts w:ascii="Times New Roman" w:eastAsia="Times New Roman" w:hAnsi="Times New Roman" w:cs="Times New Roman"/>
          <w:color w:val="000000" w:themeColor="text1"/>
          <w:lang w:eastAsia="en-GB"/>
        </w:rPr>
        <w:t xml:space="preserve"> et al. deliver a well-structured, methodologically transparent study that fills a real gap: we often talk about “student engagement” in synchronous online learning, but the simplest behavioural markers camera use and participation are not well mapped at scale. Their approach is especially strong as a foundation study: large sample, clearly stated hypotheses, and an analysis model that tries to capture mechanisms while still acknowledging its causal limits</w:t>
      </w:r>
      <w:r w:rsidR="00407733" w:rsidRPr="0023566D">
        <w:rPr>
          <w:rFonts w:ascii="Times New Roman" w:eastAsia="Times New Roman" w:hAnsi="Times New Roman" w:cs="Times New Roman"/>
          <w:color w:val="000000" w:themeColor="text1"/>
          <w:lang w:eastAsia="en-GB"/>
        </w:rPr>
        <w:t xml:space="preserve"> </w:t>
      </w:r>
      <w:r w:rsidR="00407733" w:rsidRPr="0023566D">
        <w:rPr>
          <w:rFonts w:ascii="Times New Roman" w:eastAsia="Times New Roman" w:hAnsi="Times New Roman" w:cs="Times New Roman"/>
          <w:color w:val="000000" w:themeColor="text1"/>
          <w:lang w:eastAsia="en-GB"/>
        </w:rPr>
        <w:t>(Handel, 2022).</w:t>
      </w:r>
      <w:r w:rsidR="00407733" w:rsidRPr="0023566D">
        <w:rPr>
          <w:rFonts w:ascii="Times New Roman" w:eastAsia="Times New Roman" w:hAnsi="Times New Roman" w:cs="Times New Roman"/>
          <w:color w:val="000000" w:themeColor="text1"/>
          <w:lang w:eastAsia="en-GB"/>
        </w:rPr>
        <w:t xml:space="preserve"> </w:t>
      </w:r>
    </w:p>
    <w:p w:rsidR="00FD7567" w:rsidRPr="0023566D" w:rsidRDefault="00FD7567"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FD7567" w:rsidRPr="0023566D" w:rsidRDefault="00FD7567"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FD7567" w:rsidRPr="0023566D" w:rsidRDefault="00FD7567"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FD7567" w:rsidRPr="0023566D" w:rsidRDefault="00FD7567"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FD7567" w:rsidRPr="0023566D" w:rsidRDefault="00FD7567"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FD7567" w:rsidRPr="0023566D" w:rsidRDefault="00FD7567"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FD7567" w:rsidRPr="0023566D" w:rsidRDefault="00FD7567"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FD7567" w:rsidRPr="0023566D" w:rsidRDefault="00FD7567"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23566D" w:rsidRPr="0023566D" w:rsidRDefault="0023566D"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23566D" w:rsidRPr="0023566D" w:rsidRDefault="0023566D"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23566D" w:rsidRPr="0023566D" w:rsidRDefault="0023566D"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FD7567" w:rsidRPr="0023566D" w:rsidRDefault="00FD7567"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23566D">
        <w:rPr>
          <w:rFonts w:ascii="Times New Roman" w:eastAsia="Times New Roman" w:hAnsi="Times New Roman" w:cs="Times New Roman"/>
          <w:color w:val="000000" w:themeColor="text1"/>
          <w:lang w:eastAsia="en-GB"/>
        </w:rPr>
        <w:lastRenderedPageBreak/>
        <w:t>References:</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proofErr w:type="spellStart"/>
      <w:r w:rsidRPr="00FD7567">
        <w:rPr>
          <w:rFonts w:ascii="Times New Roman" w:eastAsia="Times New Roman" w:hAnsi="Times New Roman" w:cs="Times New Roman"/>
          <w:color w:val="000000" w:themeColor="text1"/>
          <w:lang w:eastAsia="en-GB"/>
        </w:rPr>
        <w:t>Arbaugh</w:t>
      </w:r>
      <w:proofErr w:type="spellEnd"/>
      <w:r w:rsidRPr="00FD7567">
        <w:rPr>
          <w:rFonts w:ascii="Times New Roman" w:eastAsia="Times New Roman" w:hAnsi="Times New Roman" w:cs="Times New Roman"/>
          <w:color w:val="000000" w:themeColor="text1"/>
          <w:lang w:eastAsia="en-GB"/>
        </w:rPr>
        <w:t>, J.B., Cleveland-Innes, M., Diaz, S.R., Garrison, D.R., Ice, P., Richardson, J.C., Shea, P. and Swan, K. (2008) ‘Developing a community of inquiry instrument: Testing a measure of the Community of Inquiry framework using a multi-institutional sample’, </w:t>
      </w:r>
      <w:r w:rsidRPr="00FD7567">
        <w:rPr>
          <w:rFonts w:ascii="Times New Roman" w:eastAsia="Times New Roman" w:hAnsi="Times New Roman" w:cs="Times New Roman"/>
          <w:i/>
          <w:iCs/>
          <w:color w:val="000000" w:themeColor="text1"/>
          <w:lang w:eastAsia="en-GB"/>
        </w:rPr>
        <w:t>The Internet and Higher Education</w:t>
      </w:r>
      <w:r w:rsidRPr="00FD7567">
        <w:rPr>
          <w:rFonts w:ascii="Times New Roman" w:eastAsia="Times New Roman" w:hAnsi="Times New Roman" w:cs="Times New Roman"/>
          <w:color w:val="000000" w:themeColor="text1"/>
          <w:lang w:eastAsia="en-GB"/>
        </w:rPr>
        <w:t>, 11(3–4), pp. 133–136. Available at: </w:t>
      </w:r>
      <w:hyperlink r:id="rId5" w:history="1">
        <w:r w:rsidRPr="00FD7567">
          <w:rPr>
            <w:rFonts w:ascii="Times New Roman" w:eastAsia="Times New Roman" w:hAnsi="Times New Roman" w:cs="Times New Roman"/>
            <w:color w:val="000000" w:themeColor="text1"/>
            <w:u w:val="single"/>
            <w:lang w:eastAsia="en-GB"/>
          </w:rPr>
          <w:t>https://doi.org/10.1016/j.iheduc.2008.06.003</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4</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proofErr w:type="spellStart"/>
      <w:r w:rsidRPr="00FD7567">
        <w:rPr>
          <w:rFonts w:ascii="Times New Roman" w:eastAsia="Times New Roman" w:hAnsi="Times New Roman" w:cs="Times New Roman"/>
          <w:color w:val="000000" w:themeColor="text1"/>
          <w:lang w:eastAsia="en-GB"/>
        </w:rPr>
        <w:t>Bailenson</w:t>
      </w:r>
      <w:proofErr w:type="spellEnd"/>
      <w:r w:rsidRPr="00FD7567">
        <w:rPr>
          <w:rFonts w:ascii="Times New Roman" w:eastAsia="Times New Roman" w:hAnsi="Times New Roman" w:cs="Times New Roman"/>
          <w:color w:val="000000" w:themeColor="text1"/>
          <w:lang w:eastAsia="en-GB"/>
        </w:rPr>
        <w:t>, J.N. (2021) ‘Nonverbal overload: A theoretical argument for the causes of Zoom fatigue’, </w:t>
      </w:r>
      <w:r w:rsidRPr="00FD7567">
        <w:rPr>
          <w:rFonts w:ascii="Times New Roman" w:eastAsia="Times New Roman" w:hAnsi="Times New Roman" w:cs="Times New Roman"/>
          <w:i/>
          <w:iCs/>
          <w:color w:val="000000" w:themeColor="text1"/>
          <w:lang w:eastAsia="en-GB"/>
        </w:rPr>
        <w:t xml:space="preserve">Technology, Mind, and </w:t>
      </w:r>
      <w:proofErr w:type="spellStart"/>
      <w:r w:rsidRPr="00FD7567">
        <w:rPr>
          <w:rFonts w:ascii="Times New Roman" w:eastAsia="Times New Roman" w:hAnsi="Times New Roman" w:cs="Times New Roman"/>
          <w:i/>
          <w:iCs/>
          <w:color w:val="000000" w:themeColor="text1"/>
          <w:lang w:eastAsia="en-GB"/>
        </w:rPr>
        <w:t>Behavior</w:t>
      </w:r>
      <w:proofErr w:type="spellEnd"/>
      <w:r w:rsidRPr="00FD7567">
        <w:rPr>
          <w:rFonts w:ascii="Times New Roman" w:eastAsia="Times New Roman" w:hAnsi="Times New Roman" w:cs="Times New Roman"/>
          <w:color w:val="000000" w:themeColor="text1"/>
          <w:lang w:eastAsia="en-GB"/>
        </w:rPr>
        <w:t>, 2(1). Available at: </w:t>
      </w:r>
      <w:hyperlink r:id="rId6" w:history="1">
        <w:r w:rsidRPr="00FD7567">
          <w:rPr>
            <w:rFonts w:ascii="Times New Roman" w:eastAsia="Times New Roman" w:hAnsi="Times New Roman" w:cs="Times New Roman"/>
            <w:color w:val="000000" w:themeColor="text1"/>
            <w:u w:val="single"/>
            <w:lang w:eastAsia="en-GB"/>
          </w:rPr>
          <w:t>https://doi.org/10.1037/tmb0000030</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4</w:t>
      </w:r>
      <w:r w:rsidRPr="00FD7567">
        <w:rPr>
          <w:rFonts w:ascii="Times New Roman" w:eastAsia="Times New Roman" w:hAnsi="Times New Roman" w:cs="Times New Roman"/>
          <w:color w:val="000000" w:themeColor="text1"/>
          <w:lang w:eastAsia="en-GB"/>
        </w:rPr>
        <w:t xml:space="preserve"> November 2025). </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Brown, T.A. (2015) </w:t>
      </w:r>
      <w:r w:rsidRPr="00FD7567">
        <w:rPr>
          <w:rFonts w:ascii="Times New Roman" w:eastAsia="Times New Roman" w:hAnsi="Times New Roman" w:cs="Times New Roman"/>
          <w:i/>
          <w:iCs/>
          <w:color w:val="000000" w:themeColor="text1"/>
          <w:lang w:eastAsia="en-GB"/>
        </w:rPr>
        <w:t>Confirmatory Factor Analysis for Applied Research</w:t>
      </w:r>
      <w:r w:rsidRPr="00FD7567">
        <w:rPr>
          <w:rFonts w:ascii="Times New Roman" w:eastAsia="Times New Roman" w:hAnsi="Times New Roman" w:cs="Times New Roman"/>
          <w:color w:val="000000" w:themeColor="text1"/>
          <w:lang w:eastAsia="en-GB"/>
        </w:rPr>
        <w:t xml:space="preserve">. 2nd </w:t>
      </w:r>
      <w:proofErr w:type="spellStart"/>
      <w:r w:rsidRPr="00FD7567">
        <w:rPr>
          <w:rFonts w:ascii="Times New Roman" w:eastAsia="Times New Roman" w:hAnsi="Times New Roman" w:cs="Times New Roman"/>
          <w:color w:val="000000" w:themeColor="text1"/>
          <w:lang w:eastAsia="en-GB"/>
        </w:rPr>
        <w:t>edn</w:t>
      </w:r>
      <w:proofErr w:type="spellEnd"/>
      <w:r w:rsidRPr="00FD7567">
        <w:rPr>
          <w:rFonts w:ascii="Times New Roman" w:eastAsia="Times New Roman" w:hAnsi="Times New Roman" w:cs="Times New Roman"/>
          <w:color w:val="000000" w:themeColor="text1"/>
          <w:lang w:eastAsia="en-GB"/>
        </w:rPr>
        <w:t>. New York: Guilford Press. Available at: </w:t>
      </w:r>
      <w:hyperlink r:id="rId7" w:history="1">
        <w:r w:rsidRPr="00FD7567">
          <w:rPr>
            <w:rFonts w:ascii="Times New Roman" w:eastAsia="Times New Roman" w:hAnsi="Times New Roman" w:cs="Times New Roman"/>
            <w:color w:val="000000" w:themeColor="text1"/>
            <w:u w:val="single"/>
            <w:lang w:eastAsia="en-GB"/>
          </w:rPr>
          <w:t>https://www.guilford.com/books/Confirmatory-Factor-Analysis-for-Applied-Research/Timothy-Brown/9781462515363</w:t>
        </w:r>
      </w:hyperlink>
      <w:r w:rsidRPr="00FD7567">
        <w:rPr>
          <w:rFonts w:ascii="Times New Roman" w:eastAsia="Times New Roman" w:hAnsi="Times New Roman" w:cs="Times New Roman"/>
          <w:color w:val="000000" w:themeColor="text1"/>
          <w:lang w:eastAsia="en-GB"/>
        </w:rPr>
        <w:t> (Accessed: 26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 xml:space="preserve">Castelli, F.R. and </w:t>
      </w:r>
      <w:proofErr w:type="spellStart"/>
      <w:r w:rsidRPr="00FD7567">
        <w:rPr>
          <w:rFonts w:ascii="Times New Roman" w:eastAsia="Times New Roman" w:hAnsi="Times New Roman" w:cs="Times New Roman"/>
          <w:color w:val="000000" w:themeColor="text1"/>
          <w:lang w:eastAsia="en-GB"/>
        </w:rPr>
        <w:t>Sarvary</w:t>
      </w:r>
      <w:proofErr w:type="spellEnd"/>
      <w:r w:rsidRPr="00FD7567">
        <w:rPr>
          <w:rFonts w:ascii="Times New Roman" w:eastAsia="Times New Roman" w:hAnsi="Times New Roman" w:cs="Times New Roman"/>
          <w:color w:val="000000" w:themeColor="text1"/>
          <w:lang w:eastAsia="en-GB"/>
        </w:rPr>
        <w:t>, M.A. (2021) ‘Why students do not turn on their video cameras during online classes and an equitable and inclusive plan to encourage them to do so’, </w:t>
      </w:r>
      <w:r w:rsidRPr="00FD7567">
        <w:rPr>
          <w:rFonts w:ascii="Times New Roman" w:eastAsia="Times New Roman" w:hAnsi="Times New Roman" w:cs="Times New Roman"/>
          <w:i/>
          <w:iCs/>
          <w:color w:val="000000" w:themeColor="text1"/>
          <w:lang w:eastAsia="en-GB"/>
        </w:rPr>
        <w:t>Ecology and Evolution</w:t>
      </w:r>
      <w:r w:rsidRPr="00FD7567">
        <w:rPr>
          <w:rFonts w:ascii="Times New Roman" w:eastAsia="Times New Roman" w:hAnsi="Times New Roman" w:cs="Times New Roman"/>
          <w:color w:val="000000" w:themeColor="text1"/>
          <w:lang w:eastAsia="en-GB"/>
        </w:rPr>
        <w:t>, 11(8), pp. 3565–3576. Available at: </w:t>
      </w:r>
      <w:hyperlink r:id="rId8" w:history="1">
        <w:r w:rsidRPr="00FD7567">
          <w:rPr>
            <w:rFonts w:ascii="Times New Roman" w:eastAsia="Times New Roman" w:hAnsi="Times New Roman" w:cs="Times New Roman"/>
            <w:color w:val="000000" w:themeColor="text1"/>
            <w:u w:val="single"/>
            <w:lang w:eastAsia="en-GB"/>
          </w:rPr>
          <w:t>https://doi.org/10.1002/ece3.7123</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3</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Dixson, M.D. (2015) ‘Measuring student engagement in the online course: The Online Student Engagement Scale (OSE)’, </w:t>
      </w:r>
      <w:r w:rsidRPr="00FD7567">
        <w:rPr>
          <w:rFonts w:ascii="Times New Roman" w:eastAsia="Times New Roman" w:hAnsi="Times New Roman" w:cs="Times New Roman"/>
          <w:i/>
          <w:iCs/>
          <w:color w:val="000000" w:themeColor="text1"/>
          <w:lang w:eastAsia="en-GB"/>
        </w:rPr>
        <w:t>Online Learning</w:t>
      </w:r>
      <w:r w:rsidRPr="00FD7567">
        <w:rPr>
          <w:rFonts w:ascii="Times New Roman" w:eastAsia="Times New Roman" w:hAnsi="Times New Roman" w:cs="Times New Roman"/>
          <w:color w:val="000000" w:themeColor="text1"/>
          <w:lang w:eastAsia="en-GB"/>
        </w:rPr>
        <w:t>, 19(4), pp. 1–15. Available at: </w:t>
      </w:r>
      <w:hyperlink r:id="rId9" w:history="1">
        <w:r w:rsidRPr="00FD7567">
          <w:rPr>
            <w:rFonts w:ascii="Times New Roman" w:eastAsia="Times New Roman" w:hAnsi="Times New Roman" w:cs="Times New Roman"/>
            <w:color w:val="000000" w:themeColor="text1"/>
            <w:u w:val="single"/>
            <w:lang w:eastAsia="en-GB"/>
          </w:rPr>
          <w:t>https://doi.org/10.24059/olj.v19i4.561</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4</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proofErr w:type="spellStart"/>
      <w:r w:rsidRPr="00FD7567">
        <w:rPr>
          <w:rFonts w:ascii="Times New Roman" w:eastAsia="Times New Roman" w:hAnsi="Times New Roman" w:cs="Times New Roman"/>
          <w:color w:val="000000" w:themeColor="text1"/>
          <w:lang w:eastAsia="en-GB"/>
        </w:rPr>
        <w:t>Fauville</w:t>
      </w:r>
      <w:proofErr w:type="spellEnd"/>
      <w:r w:rsidRPr="00FD7567">
        <w:rPr>
          <w:rFonts w:ascii="Times New Roman" w:eastAsia="Times New Roman" w:hAnsi="Times New Roman" w:cs="Times New Roman"/>
          <w:color w:val="000000" w:themeColor="text1"/>
          <w:lang w:eastAsia="en-GB"/>
        </w:rPr>
        <w:t xml:space="preserve">, G., Luo, M., Queiroz, A.C.M., </w:t>
      </w:r>
      <w:proofErr w:type="spellStart"/>
      <w:r w:rsidRPr="00FD7567">
        <w:rPr>
          <w:rFonts w:ascii="Times New Roman" w:eastAsia="Times New Roman" w:hAnsi="Times New Roman" w:cs="Times New Roman"/>
          <w:color w:val="000000" w:themeColor="text1"/>
          <w:lang w:eastAsia="en-GB"/>
        </w:rPr>
        <w:t>Bailenson</w:t>
      </w:r>
      <w:proofErr w:type="spellEnd"/>
      <w:r w:rsidRPr="00FD7567">
        <w:rPr>
          <w:rFonts w:ascii="Times New Roman" w:eastAsia="Times New Roman" w:hAnsi="Times New Roman" w:cs="Times New Roman"/>
          <w:color w:val="000000" w:themeColor="text1"/>
          <w:lang w:eastAsia="en-GB"/>
        </w:rPr>
        <w:t>, J.N. and Hancock, J. (2021) ‘Zoom Exhaustion &amp; Fatigue Scale’, </w:t>
      </w:r>
      <w:r w:rsidRPr="00FD7567">
        <w:rPr>
          <w:rFonts w:ascii="Times New Roman" w:eastAsia="Times New Roman" w:hAnsi="Times New Roman" w:cs="Times New Roman"/>
          <w:i/>
          <w:iCs/>
          <w:color w:val="000000" w:themeColor="text1"/>
          <w:lang w:eastAsia="en-GB"/>
        </w:rPr>
        <w:t xml:space="preserve">Computers in Human </w:t>
      </w:r>
      <w:proofErr w:type="spellStart"/>
      <w:r w:rsidRPr="00FD7567">
        <w:rPr>
          <w:rFonts w:ascii="Times New Roman" w:eastAsia="Times New Roman" w:hAnsi="Times New Roman" w:cs="Times New Roman"/>
          <w:i/>
          <w:iCs/>
          <w:color w:val="000000" w:themeColor="text1"/>
          <w:lang w:eastAsia="en-GB"/>
        </w:rPr>
        <w:t>Behavior</w:t>
      </w:r>
      <w:proofErr w:type="spellEnd"/>
      <w:r w:rsidRPr="00FD7567">
        <w:rPr>
          <w:rFonts w:ascii="Times New Roman" w:eastAsia="Times New Roman" w:hAnsi="Times New Roman" w:cs="Times New Roman"/>
          <w:i/>
          <w:iCs/>
          <w:color w:val="000000" w:themeColor="text1"/>
          <w:lang w:eastAsia="en-GB"/>
        </w:rPr>
        <w:t xml:space="preserve"> Reports</w:t>
      </w:r>
      <w:r w:rsidRPr="00FD7567">
        <w:rPr>
          <w:rFonts w:ascii="Times New Roman" w:eastAsia="Times New Roman" w:hAnsi="Times New Roman" w:cs="Times New Roman"/>
          <w:color w:val="000000" w:themeColor="text1"/>
          <w:lang w:eastAsia="en-GB"/>
        </w:rPr>
        <w:t>, 4, 100119. Available at: </w:t>
      </w:r>
      <w:hyperlink r:id="rId10" w:history="1">
        <w:r w:rsidRPr="00FD7567">
          <w:rPr>
            <w:rFonts w:ascii="Times New Roman" w:eastAsia="Times New Roman" w:hAnsi="Times New Roman" w:cs="Times New Roman"/>
            <w:color w:val="000000" w:themeColor="text1"/>
            <w:u w:val="single"/>
            <w:lang w:eastAsia="en-GB"/>
          </w:rPr>
          <w:t>https://doi.org/10.1016/j.chbr.2021.100119</w:t>
        </w:r>
      </w:hyperlink>
      <w:r w:rsidRPr="00FD7567">
        <w:rPr>
          <w:rFonts w:ascii="Times New Roman" w:eastAsia="Times New Roman" w:hAnsi="Times New Roman" w:cs="Times New Roman"/>
          <w:color w:val="000000" w:themeColor="text1"/>
          <w:lang w:eastAsia="en-GB"/>
        </w:rPr>
        <w:t>(Accessed: 2</w:t>
      </w:r>
      <w:r w:rsidRPr="0023566D">
        <w:rPr>
          <w:rFonts w:ascii="Times New Roman" w:eastAsia="Times New Roman" w:hAnsi="Times New Roman" w:cs="Times New Roman"/>
          <w:color w:val="000000" w:themeColor="text1"/>
          <w:lang w:eastAsia="en-GB"/>
        </w:rPr>
        <w:t>4</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Fredricks, J.A., Blumenfeld, P.C. and Paris, A.H. (2004) ‘School engagement: Potential of the concept, state of the evidence’, </w:t>
      </w:r>
      <w:r w:rsidRPr="00FD7567">
        <w:rPr>
          <w:rFonts w:ascii="Times New Roman" w:eastAsia="Times New Roman" w:hAnsi="Times New Roman" w:cs="Times New Roman"/>
          <w:i/>
          <w:iCs/>
          <w:color w:val="000000" w:themeColor="text1"/>
          <w:lang w:eastAsia="en-GB"/>
        </w:rPr>
        <w:t>Review of Educational Research</w:t>
      </w:r>
      <w:r w:rsidRPr="00FD7567">
        <w:rPr>
          <w:rFonts w:ascii="Times New Roman" w:eastAsia="Times New Roman" w:hAnsi="Times New Roman" w:cs="Times New Roman"/>
          <w:color w:val="000000" w:themeColor="text1"/>
          <w:lang w:eastAsia="en-GB"/>
        </w:rPr>
        <w:t>, 74(1), pp. 59–109. Available at: </w:t>
      </w:r>
      <w:hyperlink r:id="rId11" w:history="1">
        <w:r w:rsidRPr="00FD7567">
          <w:rPr>
            <w:rFonts w:ascii="Times New Roman" w:eastAsia="Times New Roman" w:hAnsi="Times New Roman" w:cs="Times New Roman"/>
            <w:color w:val="000000" w:themeColor="text1"/>
            <w:u w:val="single"/>
            <w:lang w:eastAsia="en-GB"/>
          </w:rPr>
          <w:t>https://doi.org/10.3102/00346543074001059</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5</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Garrison, D.R., Anderson, T. and Archer, W. (2000) ‘Critical inquiry in a text-based environment: Computer conferencing in higher education’, </w:t>
      </w:r>
      <w:r w:rsidRPr="00FD7567">
        <w:rPr>
          <w:rFonts w:ascii="Times New Roman" w:eastAsia="Times New Roman" w:hAnsi="Times New Roman" w:cs="Times New Roman"/>
          <w:i/>
          <w:iCs/>
          <w:color w:val="000000" w:themeColor="text1"/>
          <w:lang w:eastAsia="en-GB"/>
        </w:rPr>
        <w:t>The Internet and Higher Education</w:t>
      </w:r>
      <w:r w:rsidRPr="00FD7567">
        <w:rPr>
          <w:rFonts w:ascii="Times New Roman" w:eastAsia="Times New Roman" w:hAnsi="Times New Roman" w:cs="Times New Roman"/>
          <w:color w:val="000000" w:themeColor="text1"/>
          <w:lang w:eastAsia="en-GB"/>
        </w:rPr>
        <w:t>, 2(2–3), pp. 87–105. Available at: </w:t>
      </w:r>
      <w:hyperlink r:id="rId12" w:history="1">
        <w:r w:rsidRPr="00FD7567">
          <w:rPr>
            <w:rFonts w:ascii="Times New Roman" w:eastAsia="Times New Roman" w:hAnsi="Times New Roman" w:cs="Times New Roman"/>
            <w:color w:val="000000" w:themeColor="text1"/>
            <w:u w:val="single"/>
            <w:lang w:eastAsia="en-GB"/>
          </w:rPr>
          <w:t>https://doi.org/10.1016/S1096-7516(00)00016-6</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4</w:t>
      </w:r>
      <w:r w:rsidRPr="00FD7567">
        <w:rPr>
          <w:rFonts w:ascii="Times New Roman" w:eastAsia="Times New Roman" w:hAnsi="Times New Roman" w:cs="Times New Roman"/>
          <w:color w:val="000000" w:themeColor="text1"/>
          <w:lang w:eastAsia="en-GB"/>
        </w:rPr>
        <w:t xml:space="preserve"> November 2025). </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proofErr w:type="spellStart"/>
      <w:r w:rsidRPr="00FD7567">
        <w:rPr>
          <w:rFonts w:ascii="Times New Roman" w:eastAsia="Times New Roman" w:hAnsi="Times New Roman" w:cs="Times New Roman"/>
          <w:color w:val="000000" w:themeColor="text1"/>
          <w:lang w:eastAsia="en-GB"/>
        </w:rPr>
        <w:lastRenderedPageBreak/>
        <w:t>Händel</w:t>
      </w:r>
      <w:proofErr w:type="spellEnd"/>
      <w:r w:rsidRPr="00FD7567">
        <w:rPr>
          <w:rFonts w:ascii="Times New Roman" w:eastAsia="Times New Roman" w:hAnsi="Times New Roman" w:cs="Times New Roman"/>
          <w:color w:val="000000" w:themeColor="text1"/>
          <w:lang w:eastAsia="en-GB"/>
        </w:rPr>
        <w:t xml:space="preserve">, M., </w:t>
      </w:r>
      <w:proofErr w:type="spellStart"/>
      <w:r w:rsidRPr="00FD7567">
        <w:rPr>
          <w:rFonts w:ascii="Times New Roman" w:eastAsia="Times New Roman" w:hAnsi="Times New Roman" w:cs="Times New Roman"/>
          <w:color w:val="000000" w:themeColor="text1"/>
          <w:lang w:eastAsia="en-GB"/>
        </w:rPr>
        <w:t>Bedenlier</w:t>
      </w:r>
      <w:proofErr w:type="spellEnd"/>
      <w:r w:rsidRPr="00FD7567">
        <w:rPr>
          <w:rFonts w:ascii="Times New Roman" w:eastAsia="Times New Roman" w:hAnsi="Times New Roman" w:cs="Times New Roman"/>
          <w:color w:val="000000" w:themeColor="text1"/>
          <w:lang w:eastAsia="en-GB"/>
        </w:rPr>
        <w:t xml:space="preserve">, S., Kopp, B., </w:t>
      </w:r>
      <w:proofErr w:type="spellStart"/>
      <w:r w:rsidRPr="00FD7567">
        <w:rPr>
          <w:rFonts w:ascii="Times New Roman" w:eastAsia="Times New Roman" w:hAnsi="Times New Roman" w:cs="Times New Roman"/>
          <w:color w:val="000000" w:themeColor="text1"/>
          <w:lang w:eastAsia="en-GB"/>
        </w:rPr>
        <w:t>Gläser-Zikuda</w:t>
      </w:r>
      <w:proofErr w:type="spellEnd"/>
      <w:r w:rsidRPr="00FD7567">
        <w:rPr>
          <w:rFonts w:ascii="Times New Roman" w:eastAsia="Times New Roman" w:hAnsi="Times New Roman" w:cs="Times New Roman"/>
          <w:color w:val="000000" w:themeColor="text1"/>
          <w:lang w:eastAsia="en-GB"/>
        </w:rPr>
        <w:t xml:space="preserve">, M., </w:t>
      </w:r>
      <w:proofErr w:type="spellStart"/>
      <w:r w:rsidRPr="00FD7567">
        <w:rPr>
          <w:rFonts w:ascii="Times New Roman" w:eastAsia="Times New Roman" w:hAnsi="Times New Roman" w:cs="Times New Roman"/>
          <w:color w:val="000000" w:themeColor="text1"/>
          <w:lang w:eastAsia="en-GB"/>
        </w:rPr>
        <w:t>Kammerl</w:t>
      </w:r>
      <w:proofErr w:type="spellEnd"/>
      <w:r w:rsidRPr="00FD7567">
        <w:rPr>
          <w:rFonts w:ascii="Times New Roman" w:eastAsia="Times New Roman" w:hAnsi="Times New Roman" w:cs="Times New Roman"/>
          <w:color w:val="000000" w:themeColor="text1"/>
          <w:lang w:eastAsia="en-GB"/>
        </w:rPr>
        <w:t>, R. and Ziegler, A. (2022) ‘The webcam and student engagement in synchronous online learning: visually or verbally?’, </w:t>
      </w:r>
      <w:r w:rsidRPr="00FD7567">
        <w:rPr>
          <w:rFonts w:ascii="Times New Roman" w:eastAsia="Times New Roman" w:hAnsi="Times New Roman" w:cs="Times New Roman"/>
          <w:i/>
          <w:iCs/>
          <w:color w:val="000000" w:themeColor="text1"/>
          <w:lang w:eastAsia="en-GB"/>
        </w:rPr>
        <w:t>Education and Information Technologies</w:t>
      </w:r>
      <w:r w:rsidRPr="00FD7567">
        <w:rPr>
          <w:rFonts w:ascii="Times New Roman" w:eastAsia="Times New Roman" w:hAnsi="Times New Roman" w:cs="Times New Roman"/>
          <w:color w:val="000000" w:themeColor="text1"/>
          <w:lang w:eastAsia="en-GB"/>
        </w:rPr>
        <w:t>, 27(7), pp. 10405–10428. Available at: </w:t>
      </w:r>
      <w:hyperlink r:id="rId13" w:history="1">
        <w:r w:rsidRPr="00FD7567">
          <w:rPr>
            <w:rFonts w:ascii="Times New Roman" w:eastAsia="Times New Roman" w:hAnsi="Times New Roman" w:cs="Times New Roman"/>
            <w:color w:val="000000" w:themeColor="text1"/>
            <w:u w:val="single"/>
            <w:lang w:eastAsia="en-GB"/>
          </w:rPr>
          <w:t>https://d</w:t>
        </w:r>
        <w:r w:rsidRPr="00FD7567">
          <w:rPr>
            <w:rFonts w:ascii="Times New Roman" w:eastAsia="Times New Roman" w:hAnsi="Times New Roman" w:cs="Times New Roman"/>
            <w:color w:val="000000" w:themeColor="text1"/>
            <w:u w:val="single"/>
            <w:lang w:eastAsia="en-GB"/>
          </w:rPr>
          <w:t>o</w:t>
        </w:r>
        <w:r w:rsidRPr="00FD7567">
          <w:rPr>
            <w:rFonts w:ascii="Times New Roman" w:eastAsia="Times New Roman" w:hAnsi="Times New Roman" w:cs="Times New Roman"/>
            <w:color w:val="000000" w:themeColor="text1"/>
            <w:u w:val="single"/>
            <w:lang w:eastAsia="en-GB"/>
          </w:rPr>
          <w:t>i.org/10.1007/s10639-022-11050-3</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0</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Ho, C.-H. and Swan, K. (2007) ‘Evaluating online conversation in an asynchronous learning environment: An application of Grice’s cooperative principle’, </w:t>
      </w:r>
      <w:r w:rsidRPr="00FD7567">
        <w:rPr>
          <w:rFonts w:ascii="Times New Roman" w:eastAsia="Times New Roman" w:hAnsi="Times New Roman" w:cs="Times New Roman"/>
          <w:i/>
          <w:iCs/>
          <w:color w:val="000000" w:themeColor="text1"/>
          <w:lang w:eastAsia="en-GB"/>
        </w:rPr>
        <w:t>The Internet and Higher Education</w:t>
      </w:r>
      <w:r w:rsidRPr="00FD7567">
        <w:rPr>
          <w:rFonts w:ascii="Times New Roman" w:eastAsia="Times New Roman" w:hAnsi="Times New Roman" w:cs="Times New Roman"/>
          <w:color w:val="000000" w:themeColor="text1"/>
          <w:lang w:eastAsia="en-GB"/>
        </w:rPr>
        <w:t>, 10, pp. 3–14. Available at: </w:t>
      </w:r>
      <w:hyperlink r:id="rId14" w:history="1">
        <w:r w:rsidRPr="00FD7567">
          <w:rPr>
            <w:rFonts w:ascii="Times New Roman" w:eastAsia="Times New Roman" w:hAnsi="Times New Roman" w:cs="Times New Roman"/>
            <w:color w:val="000000" w:themeColor="text1"/>
            <w:u w:val="single"/>
            <w:lang w:eastAsia="en-GB"/>
          </w:rPr>
          <w:t>https://www.sciencedirect.com/science/article/pii/S1</w:t>
        </w:r>
        <w:r w:rsidRPr="00FD7567">
          <w:rPr>
            <w:rFonts w:ascii="Times New Roman" w:eastAsia="Times New Roman" w:hAnsi="Times New Roman" w:cs="Times New Roman"/>
            <w:color w:val="000000" w:themeColor="text1"/>
            <w:u w:val="single"/>
            <w:lang w:eastAsia="en-GB"/>
          </w:rPr>
          <w:t>0</w:t>
        </w:r>
        <w:r w:rsidRPr="00FD7567">
          <w:rPr>
            <w:rFonts w:ascii="Times New Roman" w:eastAsia="Times New Roman" w:hAnsi="Times New Roman" w:cs="Times New Roman"/>
            <w:color w:val="000000" w:themeColor="text1"/>
            <w:u w:val="single"/>
            <w:lang w:eastAsia="en-GB"/>
          </w:rPr>
          <w:t>96751606000765</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5</w:t>
      </w:r>
      <w:r w:rsidRPr="00FD7567">
        <w:rPr>
          <w:rFonts w:ascii="Times New Roman" w:eastAsia="Times New Roman" w:hAnsi="Times New Roman" w:cs="Times New Roman"/>
          <w:color w:val="000000" w:themeColor="text1"/>
          <w:lang w:eastAsia="en-GB"/>
        </w:rPr>
        <w:t xml:space="preserve"> November 2025).</w:t>
      </w:r>
    </w:p>
    <w:p w:rsidR="0023566D" w:rsidRPr="0023566D"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proofErr w:type="spellStart"/>
      <w:r w:rsidRPr="00FD7567">
        <w:rPr>
          <w:rFonts w:ascii="Times New Roman" w:eastAsia="Times New Roman" w:hAnsi="Times New Roman" w:cs="Times New Roman"/>
          <w:color w:val="000000" w:themeColor="text1"/>
          <w:lang w:eastAsia="en-GB"/>
        </w:rPr>
        <w:t>Hrastinski</w:t>
      </w:r>
      <w:proofErr w:type="spellEnd"/>
      <w:r w:rsidRPr="00FD7567">
        <w:rPr>
          <w:rFonts w:ascii="Times New Roman" w:eastAsia="Times New Roman" w:hAnsi="Times New Roman" w:cs="Times New Roman"/>
          <w:color w:val="000000" w:themeColor="text1"/>
          <w:lang w:eastAsia="en-GB"/>
        </w:rPr>
        <w:t>, S. (2008) ‘Asynchronous and synchronous e-learning’, </w:t>
      </w:r>
      <w:r w:rsidRPr="00FD7567">
        <w:rPr>
          <w:rFonts w:ascii="Times New Roman" w:eastAsia="Times New Roman" w:hAnsi="Times New Roman" w:cs="Times New Roman"/>
          <w:i/>
          <w:iCs/>
          <w:color w:val="000000" w:themeColor="text1"/>
          <w:lang w:eastAsia="en-GB"/>
        </w:rPr>
        <w:t>EDUCAUSE Quarterly</w:t>
      </w:r>
      <w:r w:rsidRPr="00FD7567">
        <w:rPr>
          <w:rFonts w:ascii="Times New Roman" w:eastAsia="Times New Roman" w:hAnsi="Times New Roman" w:cs="Times New Roman"/>
          <w:color w:val="000000" w:themeColor="text1"/>
          <w:lang w:eastAsia="en-GB"/>
        </w:rPr>
        <w:t>, 31(4), pp. 51–55. Available at: </w:t>
      </w:r>
      <w:hyperlink r:id="rId15" w:history="1">
        <w:r w:rsidRPr="00FD7567">
          <w:rPr>
            <w:rFonts w:ascii="Times New Roman" w:eastAsia="Times New Roman" w:hAnsi="Times New Roman" w:cs="Times New Roman"/>
            <w:color w:val="000000" w:themeColor="text1"/>
            <w:u w:val="single"/>
            <w:lang w:eastAsia="en-GB"/>
          </w:rPr>
          <w:t>https://er.educause.edu/articles/2008/11/asynchronous-and-synchronous-elearning</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4</w:t>
      </w:r>
      <w:r w:rsidRPr="00FD7567">
        <w:rPr>
          <w:rFonts w:ascii="Times New Roman" w:eastAsia="Times New Roman" w:hAnsi="Times New Roman" w:cs="Times New Roman"/>
          <w:color w:val="000000" w:themeColor="text1"/>
          <w:lang w:eastAsia="en-GB"/>
        </w:rPr>
        <w:t xml:space="preserve"> November 2025). </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Kahu, E.R. (2013) ‘Framing student engagement in higher education’, </w:t>
      </w:r>
      <w:r w:rsidRPr="00FD7567">
        <w:rPr>
          <w:rFonts w:ascii="Times New Roman" w:eastAsia="Times New Roman" w:hAnsi="Times New Roman" w:cs="Times New Roman"/>
          <w:i/>
          <w:iCs/>
          <w:color w:val="000000" w:themeColor="text1"/>
          <w:lang w:eastAsia="en-GB"/>
        </w:rPr>
        <w:t>Studies in Higher Education</w:t>
      </w:r>
      <w:r w:rsidRPr="00FD7567">
        <w:rPr>
          <w:rFonts w:ascii="Times New Roman" w:eastAsia="Times New Roman" w:hAnsi="Times New Roman" w:cs="Times New Roman"/>
          <w:color w:val="000000" w:themeColor="text1"/>
          <w:lang w:eastAsia="en-GB"/>
        </w:rPr>
        <w:t>, 38(5), pp. 758–773. Available at: </w:t>
      </w:r>
      <w:hyperlink r:id="rId16" w:history="1">
        <w:r w:rsidRPr="00FD7567">
          <w:rPr>
            <w:rFonts w:ascii="Times New Roman" w:eastAsia="Times New Roman" w:hAnsi="Times New Roman" w:cs="Times New Roman"/>
            <w:color w:val="000000" w:themeColor="text1"/>
            <w:u w:val="single"/>
            <w:lang w:eastAsia="en-GB"/>
          </w:rPr>
          <w:t>https://doi.org/10.1080/03075079.2011.598505</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4</w:t>
      </w:r>
      <w:r w:rsidRPr="00FD7567">
        <w:rPr>
          <w:rFonts w:ascii="Times New Roman" w:eastAsia="Times New Roman" w:hAnsi="Times New Roman" w:cs="Times New Roman"/>
          <w:color w:val="000000" w:themeColor="text1"/>
          <w:lang w:eastAsia="en-GB"/>
        </w:rPr>
        <w:t xml:space="preserve"> November 2025). </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Kline, R.B. (2016) </w:t>
      </w:r>
      <w:r w:rsidRPr="00FD7567">
        <w:rPr>
          <w:rFonts w:ascii="Times New Roman" w:eastAsia="Times New Roman" w:hAnsi="Times New Roman" w:cs="Times New Roman"/>
          <w:i/>
          <w:iCs/>
          <w:color w:val="000000" w:themeColor="text1"/>
          <w:lang w:eastAsia="en-GB"/>
        </w:rPr>
        <w:t xml:space="preserve">Principles and Practice of Structural Equation </w:t>
      </w:r>
      <w:proofErr w:type="spellStart"/>
      <w:r w:rsidRPr="00FD7567">
        <w:rPr>
          <w:rFonts w:ascii="Times New Roman" w:eastAsia="Times New Roman" w:hAnsi="Times New Roman" w:cs="Times New Roman"/>
          <w:i/>
          <w:iCs/>
          <w:color w:val="000000" w:themeColor="text1"/>
          <w:lang w:eastAsia="en-GB"/>
        </w:rPr>
        <w:t>Modeling</w:t>
      </w:r>
      <w:proofErr w:type="spellEnd"/>
      <w:r w:rsidRPr="00FD7567">
        <w:rPr>
          <w:rFonts w:ascii="Times New Roman" w:eastAsia="Times New Roman" w:hAnsi="Times New Roman" w:cs="Times New Roman"/>
          <w:color w:val="000000" w:themeColor="text1"/>
          <w:lang w:eastAsia="en-GB"/>
        </w:rPr>
        <w:t xml:space="preserve">. 4th </w:t>
      </w:r>
      <w:proofErr w:type="spellStart"/>
      <w:r w:rsidRPr="00FD7567">
        <w:rPr>
          <w:rFonts w:ascii="Times New Roman" w:eastAsia="Times New Roman" w:hAnsi="Times New Roman" w:cs="Times New Roman"/>
          <w:color w:val="000000" w:themeColor="text1"/>
          <w:lang w:eastAsia="en-GB"/>
        </w:rPr>
        <w:t>edn</w:t>
      </w:r>
      <w:proofErr w:type="spellEnd"/>
      <w:r w:rsidRPr="00FD7567">
        <w:rPr>
          <w:rFonts w:ascii="Times New Roman" w:eastAsia="Times New Roman" w:hAnsi="Times New Roman" w:cs="Times New Roman"/>
          <w:color w:val="000000" w:themeColor="text1"/>
          <w:lang w:eastAsia="en-GB"/>
        </w:rPr>
        <w:t>. New York: Guilford Press. Available at: </w:t>
      </w:r>
      <w:hyperlink r:id="rId17" w:history="1">
        <w:r w:rsidRPr="00FD7567">
          <w:rPr>
            <w:rFonts w:ascii="Times New Roman" w:eastAsia="Times New Roman" w:hAnsi="Times New Roman" w:cs="Times New Roman"/>
            <w:color w:val="000000" w:themeColor="text1"/>
            <w:u w:val="single"/>
            <w:lang w:eastAsia="en-GB"/>
          </w:rPr>
          <w:t>https://www.guilford.com/books/Principles-and-Practice-of-Structural-Equation-Modeling/Rex-Kline/9781462523344</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0</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 xml:space="preserve">Martin, F. and </w:t>
      </w:r>
      <w:proofErr w:type="spellStart"/>
      <w:r w:rsidRPr="00FD7567">
        <w:rPr>
          <w:rFonts w:ascii="Times New Roman" w:eastAsia="Times New Roman" w:hAnsi="Times New Roman" w:cs="Times New Roman"/>
          <w:color w:val="000000" w:themeColor="text1"/>
          <w:lang w:eastAsia="en-GB"/>
        </w:rPr>
        <w:t>Bolliger</w:t>
      </w:r>
      <w:proofErr w:type="spellEnd"/>
      <w:r w:rsidRPr="00FD7567">
        <w:rPr>
          <w:rFonts w:ascii="Times New Roman" w:eastAsia="Times New Roman" w:hAnsi="Times New Roman" w:cs="Times New Roman"/>
          <w:color w:val="000000" w:themeColor="text1"/>
          <w:lang w:eastAsia="en-GB"/>
        </w:rPr>
        <w:t>, D.U. (2018) ‘Engagement matters: Student perceptions on the importance of engagement strategies in the online learning environment’, </w:t>
      </w:r>
      <w:r w:rsidRPr="00FD7567">
        <w:rPr>
          <w:rFonts w:ascii="Times New Roman" w:eastAsia="Times New Roman" w:hAnsi="Times New Roman" w:cs="Times New Roman"/>
          <w:i/>
          <w:iCs/>
          <w:color w:val="000000" w:themeColor="text1"/>
          <w:lang w:eastAsia="en-GB"/>
        </w:rPr>
        <w:t>Online Learning</w:t>
      </w:r>
      <w:r w:rsidRPr="00FD7567">
        <w:rPr>
          <w:rFonts w:ascii="Times New Roman" w:eastAsia="Times New Roman" w:hAnsi="Times New Roman" w:cs="Times New Roman"/>
          <w:color w:val="000000" w:themeColor="text1"/>
          <w:lang w:eastAsia="en-GB"/>
        </w:rPr>
        <w:t>, 22(1), pp. 205–222. Available at: </w:t>
      </w:r>
      <w:hyperlink r:id="rId18" w:history="1">
        <w:r w:rsidRPr="00FD7567">
          <w:rPr>
            <w:rFonts w:ascii="Times New Roman" w:eastAsia="Times New Roman" w:hAnsi="Times New Roman" w:cs="Times New Roman"/>
            <w:color w:val="000000" w:themeColor="text1"/>
            <w:u w:val="single"/>
            <w:lang w:eastAsia="en-GB"/>
          </w:rPr>
          <w:t>https://doi.org/10.24059/olj.v22i1.1092</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3</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 xml:space="preserve">Podsakoff, P.M., </w:t>
      </w:r>
      <w:proofErr w:type="spellStart"/>
      <w:r w:rsidRPr="00FD7567">
        <w:rPr>
          <w:rFonts w:ascii="Times New Roman" w:eastAsia="Times New Roman" w:hAnsi="Times New Roman" w:cs="Times New Roman"/>
          <w:color w:val="000000" w:themeColor="text1"/>
          <w:lang w:eastAsia="en-GB"/>
        </w:rPr>
        <w:t>MacKenzie</w:t>
      </w:r>
      <w:proofErr w:type="spellEnd"/>
      <w:r w:rsidRPr="00FD7567">
        <w:rPr>
          <w:rFonts w:ascii="Times New Roman" w:eastAsia="Times New Roman" w:hAnsi="Times New Roman" w:cs="Times New Roman"/>
          <w:color w:val="000000" w:themeColor="text1"/>
          <w:lang w:eastAsia="en-GB"/>
        </w:rPr>
        <w:t xml:space="preserve">, S.B., Lee, J.-Y. and Podsakoff, N.P. (2003) ‘Common method biases in </w:t>
      </w:r>
      <w:proofErr w:type="spellStart"/>
      <w:r w:rsidRPr="00FD7567">
        <w:rPr>
          <w:rFonts w:ascii="Times New Roman" w:eastAsia="Times New Roman" w:hAnsi="Times New Roman" w:cs="Times New Roman"/>
          <w:color w:val="000000" w:themeColor="text1"/>
          <w:lang w:eastAsia="en-GB"/>
        </w:rPr>
        <w:t>behavioral</w:t>
      </w:r>
      <w:proofErr w:type="spellEnd"/>
      <w:r w:rsidRPr="00FD7567">
        <w:rPr>
          <w:rFonts w:ascii="Times New Roman" w:eastAsia="Times New Roman" w:hAnsi="Times New Roman" w:cs="Times New Roman"/>
          <w:color w:val="000000" w:themeColor="text1"/>
          <w:lang w:eastAsia="en-GB"/>
        </w:rPr>
        <w:t xml:space="preserve"> research: A critical review of the literature and recommended remedies’, </w:t>
      </w:r>
      <w:r w:rsidRPr="00FD7567">
        <w:rPr>
          <w:rFonts w:ascii="Times New Roman" w:eastAsia="Times New Roman" w:hAnsi="Times New Roman" w:cs="Times New Roman"/>
          <w:i/>
          <w:iCs/>
          <w:color w:val="000000" w:themeColor="text1"/>
          <w:lang w:eastAsia="en-GB"/>
        </w:rPr>
        <w:t>Journal of Applied Psychology</w:t>
      </w:r>
      <w:r w:rsidRPr="00FD7567">
        <w:rPr>
          <w:rFonts w:ascii="Times New Roman" w:eastAsia="Times New Roman" w:hAnsi="Times New Roman" w:cs="Times New Roman"/>
          <w:color w:val="000000" w:themeColor="text1"/>
          <w:lang w:eastAsia="en-GB"/>
        </w:rPr>
        <w:t>, 88(5), pp. 879–903. Available at: </w:t>
      </w:r>
      <w:hyperlink r:id="rId19" w:history="1">
        <w:r w:rsidRPr="00FD7567">
          <w:rPr>
            <w:rFonts w:ascii="Times New Roman" w:eastAsia="Times New Roman" w:hAnsi="Times New Roman" w:cs="Times New Roman"/>
            <w:color w:val="000000" w:themeColor="text1"/>
            <w:u w:val="single"/>
            <w:lang w:eastAsia="en-GB"/>
          </w:rPr>
          <w:t>https://doi.org/10.1037/0021-9010.88.5.879</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3</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 xml:space="preserve">Redstone, A.E., </w:t>
      </w:r>
      <w:proofErr w:type="spellStart"/>
      <w:r w:rsidRPr="00FD7567">
        <w:rPr>
          <w:rFonts w:ascii="Times New Roman" w:eastAsia="Times New Roman" w:hAnsi="Times New Roman" w:cs="Times New Roman"/>
          <w:color w:val="000000" w:themeColor="text1"/>
          <w:lang w:eastAsia="en-GB"/>
        </w:rPr>
        <w:t>Stefaniak</w:t>
      </w:r>
      <w:proofErr w:type="spellEnd"/>
      <w:r w:rsidRPr="00FD7567">
        <w:rPr>
          <w:rFonts w:ascii="Times New Roman" w:eastAsia="Times New Roman" w:hAnsi="Times New Roman" w:cs="Times New Roman"/>
          <w:color w:val="000000" w:themeColor="text1"/>
          <w:lang w:eastAsia="en-GB"/>
        </w:rPr>
        <w:t>, J.E. and Luo, T. (2018) ‘Measuring presence: A review of research using the Community of Inquiry instrument’, </w:t>
      </w:r>
      <w:r w:rsidRPr="00FD7567">
        <w:rPr>
          <w:rFonts w:ascii="Times New Roman" w:eastAsia="Times New Roman" w:hAnsi="Times New Roman" w:cs="Times New Roman"/>
          <w:i/>
          <w:iCs/>
          <w:color w:val="000000" w:themeColor="text1"/>
          <w:lang w:eastAsia="en-GB"/>
        </w:rPr>
        <w:t>Quarterly Review of Distance Education</w:t>
      </w:r>
      <w:r w:rsidRPr="00FD7567">
        <w:rPr>
          <w:rFonts w:ascii="Times New Roman" w:eastAsia="Times New Roman" w:hAnsi="Times New Roman" w:cs="Times New Roman"/>
          <w:color w:val="000000" w:themeColor="text1"/>
          <w:lang w:eastAsia="en-GB"/>
        </w:rPr>
        <w:t xml:space="preserve">, 19(2), pp. 27–36. Available </w:t>
      </w:r>
      <w:r w:rsidRPr="00FD7567">
        <w:rPr>
          <w:rFonts w:ascii="Times New Roman" w:eastAsia="Times New Roman" w:hAnsi="Times New Roman" w:cs="Times New Roman"/>
          <w:color w:val="000000" w:themeColor="text1"/>
          <w:lang w:eastAsia="en-GB"/>
        </w:rPr>
        <w:lastRenderedPageBreak/>
        <w:t>at: </w:t>
      </w:r>
      <w:hyperlink r:id="rId20" w:history="1">
        <w:r w:rsidRPr="00FD7567">
          <w:rPr>
            <w:rFonts w:ascii="Times New Roman" w:eastAsia="Times New Roman" w:hAnsi="Times New Roman" w:cs="Times New Roman"/>
            <w:color w:val="000000" w:themeColor="text1"/>
            <w:u w:val="single"/>
            <w:lang w:eastAsia="en-GB"/>
          </w:rPr>
          <w:t>https://digitalcommons.odu.edu/cgi/viewcontent.cgi?article=1006&amp;context=distancelearning_pubs</w:t>
        </w:r>
      </w:hyperlink>
      <w:r w:rsidRPr="00FD7567">
        <w:rPr>
          <w:rFonts w:ascii="Times New Roman" w:eastAsia="Times New Roman" w:hAnsi="Times New Roman" w:cs="Times New Roman"/>
          <w:color w:val="000000" w:themeColor="text1"/>
          <w:lang w:eastAsia="en-GB"/>
        </w:rPr>
        <w:t> (Accessed: 26 November 2025). (</w:t>
      </w:r>
      <w:hyperlink r:id="rId21" w:tooltip="Measuring Presence: A Review of Research Using the ..." w:history="1">
        <w:r w:rsidRPr="00FD7567">
          <w:rPr>
            <w:rFonts w:ascii="Times New Roman" w:eastAsia="Times New Roman" w:hAnsi="Times New Roman" w:cs="Times New Roman"/>
            <w:color w:val="000000" w:themeColor="text1"/>
            <w:u w:val="single"/>
            <w:lang w:eastAsia="en-GB"/>
          </w:rPr>
          <w:t>digitalcommons.odu.edu</w:t>
        </w:r>
      </w:hyperlink>
      <w:r w:rsidRPr="00FD7567">
        <w:rPr>
          <w:rFonts w:ascii="Times New Roman" w:eastAsia="Times New Roman" w:hAnsi="Times New Roman" w:cs="Times New Roman"/>
          <w:color w:val="000000" w:themeColor="text1"/>
          <w:lang w:eastAsia="en-GB"/>
        </w:rPr>
        <w:t>)</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 xml:space="preserve">Richardson, J.C., Maeda, Y., </w:t>
      </w:r>
      <w:proofErr w:type="spellStart"/>
      <w:r w:rsidRPr="00FD7567">
        <w:rPr>
          <w:rFonts w:ascii="Times New Roman" w:eastAsia="Times New Roman" w:hAnsi="Times New Roman" w:cs="Times New Roman"/>
          <w:color w:val="000000" w:themeColor="text1"/>
          <w:lang w:eastAsia="en-GB"/>
        </w:rPr>
        <w:t>Lv</w:t>
      </w:r>
      <w:proofErr w:type="spellEnd"/>
      <w:r w:rsidRPr="00FD7567">
        <w:rPr>
          <w:rFonts w:ascii="Times New Roman" w:eastAsia="Times New Roman" w:hAnsi="Times New Roman" w:cs="Times New Roman"/>
          <w:color w:val="000000" w:themeColor="text1"/>
          <w:lang w:eastAsia="en-GB"/>
        </w:rPr>
        <w:t xml:space="preserve">, J. and </w:t>
      </w:r>
      <w:proofErr w:type="spellStart"/>
      <w:r w:rsidRPr="00FD7567">
        <w:rPr>
          <w:rFonts w:ascii="Times New Roman" w:eastAsia="Times New Roman" w:hAnsi="Times New Roman" w:cs="Times New Roman"/>
          <w:color w:val="000000" w:themeColor="text1"/>
          <w:lang w:eastAsia="en-GB"/>
        </w:rPr>
        <w:t>Caskurlu</w:t>
      </w:r>
      <w:proofErr w:type="spellEnd"/>
      <w:r w:rsidRPr="00FD7567">
        <w:rPr>
          <w:rFonts w:ascii="Times New Roman" w:eastAsia="Times New Roman" w:hAnsi="Times New Roman" w:cs="Times New Roman"/>
          <w:color w:val="000000" w:themeColor="text1"/>
          <w:lang w:eastAsia="en-GB"/>
        </w:rPr>
        <w:t>, S. (2017) ‘Social presence in relation to students’ satisfaction and learning in the online environment: A meta-analysis’, </w:t>
      </w:r>
      <w:r w:rsidRPr="00FD7567">
        <w:rPr>
          <w:rFonts w:ascii="Times New Roman" w:eastAsia="Times New Roman" w:hAnsi="Times New Roman" w:cs="Times New Roman"/>
          <w:i/>
          <w:iCs/>
          <w:color w:val="000000" w:themeColor="text1"/>
          <w:lang w:eastAsia="en-GB"/>
        </w:rPr>
        <w:t xml:space="preserve">Computers in Human </w:t>
      </w:r>
      <w:proofErr w:type="spellStart"/>
      <w:r w:rsidRPr="00FD7567">
        <w:rPr>
          <w:rFonts w:ascii="Times New Roman" w:eastAsia="Times New Roman" w:hAnsi="Times New Roman" w:cs="Times New Roman"/>
          <w:i/>
          <w:iCs/>
          <w:color w:val="000000" w:themeColor="text1"/>
          <w:lang w:eastAsia="en-GB"/>
        </w:rPr>
        <w:t>Behavior</w:t>
      </w:r>
      <w:proofErr w:type="spellEnd"/>
      <w:r w:rsidRPr="00FD7567">
        <w:rPr>
          <w:rFonts w:ascii="Times New Roman" w:eastAsia="Times New Roman" w:hAnsi="Times New Roman" w:cs="Times New Roman"/>
          <w:color w:val="000000" w:themeColor="text1"/>
          <w:lang w:eastAsia="en-GB"/>
        </w:rPr>
        <w:t>, 71, pp. 402–417. Available at: </w:t>
      </w:r>
      <w:hyperlink r:id="rId22" w:history="1">
        <w:r w:rsidRPr="00FD7567">
          <w:rPr>
            <w:rFonts w:ascii="Times New Roman" w:eastAsia="Times New Roman" w:hAnsi="Times New Roman" w:cs="Times New Roman"/>
            <w:color w:val="000000" w:themeColor="text1"/>
            <w:u w:val="single"/>
            <w:lang w:eastAsia="en-GB"/>
          </w:rPr>
          <w:t>https://doi.org/10.1016/j.chb.2017.02.001</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4</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proofErr w:type="spellStart"/>
      <w:r w:rsidRPr="00FD7567">
        <w:rPr>
          <w:rFonts w:ascii="Times New Roman" w:eastAsia="Times New Roman" w:hAnsi="Times New Roman" w:cs="Times New Roman"/>
          <w:color w:val="000000" w:themeColor="text1"/>
          <w:lang w:eastAsia="en-GB"/>
        </w:rPr>
        <w:t>Rosseel</w:t>
      </w:r>
      <w:proofErr w:type="spellEnd"/>
      <w:r w:rsidRPr="00FD7567">
        <w:rPr>
          <w:rFonts w:ascii="Times New Roman" w:eastAsia="Times New Roman" w:hAnsi="Times New Roman" w:cs="Times New Roman"/>
          <w:color w:val="000000" w:themeColor="text1"/>
          <w:lang w:eastAsia="en-GB"/>
        </w:rPr>
        <w:t>, Y. (2012) ‘</w:t>
      </w:r>
      <w:proofErr w:type="spellStart"/>
      <w:r w:rsidRPr="00FD7567">
        <w:rPr>
          <w:rFonts w:ascii="Times New Roman" w:eastAsia="Times New Roman" w:hAnsi="Times New Roman" w:cs="Times New Roman"/>
          <w:color w:val="000000" w:themeColor="text1"/>
          <w:lang w:eastAsia="en-GB"/>
        </w:rPr>
        <w:t>lavaan</w:t>
      </w:r>
      <w:proofErr w:type="spellEnd"/>
      <w:r w:rsidRPr="00FD7567">
        <w:rPr>
          <w:rFonts w:ascii="Times New Roman" w:eastAsia="Times New Roman" w:hAnsi="Times New Roman" w:cs="Times New Roman"/>
          <w:color w:val="000000" w:themeColor="text1"/>
          <w:lang w:eastAsia="en-GB"/>
        </w:rPr>
        <w:t xml:space="preserve">: An R package for structural equation </w:t>
      </w:r>
      <w:proofErr w:type="spellStart"/>
      <w:r w:rsidRPr="00FD7567">
        <w:rPr>
          <w:rFonts w:ascii="Times New Roman" w:eastAsia="Times New Roman" w:hAnsi="Times New Roman" w:cs="Times New Roman"/>
          <w:color w:val="000000" w:themeColor="text1"/>
          <w:lang w:eastAsia="en-GB"/>
        </w:rPr>
        <w:t>modeling</w:t>
      </w:r>
      <w:proofErr w:type="spellEnd"/>
      <w:r w:rsidRPr="00FD7567">
        <w:rPr>
          <w:rFonts w:ascii="Times New Roman" w:eastAsia="Times New Roman" w:hAnsi="Times New Roman" w:cs="Times New Roman"/>
          <w:color w:val="000000" w:themeColor="text1"/>
          <w:lang w:eastAsia="en-GB"/>
        </w:rPr>
        <w:t>’, </w:t>
      </w:r>
      <w:r w:rsidRPr="00FD7567">
        <w:rPr>
          <w:rFonts w:ascii="Times New Roman" w:eastAsia="Times New Roman" w:hAnsi="Times New Roman" w:cs="Times New Roman"/>
          <w:i/>
          <w:iCs/>
          <w:color w:val="000000" w:themeColor="text1"/>
          <w:lang w:eastAsia="en-GB"/>
        </w:rPr>
        <w:t>Journal of Statistical Software</w:t>
      </w:r>
      <w:r w:rsidRPr="00FD7567">
        <w:rPr>
          <w:rFonts w:ascii="Times New Roman" w:eastAsia="Times New Roman" w:hAnsi="Times New Roman" w:cs="Times New Roman"/>
          <w:color w:val="000000" w:themeColor="text1"/>
          <w:lang w:eastAsia="en-GB"/>
        </w:rPr>
        <w:t>, 48(2), pp. 1–36. Available at: </w:t>
      </w:r>
      <w:hyperlink r:id="rId23" w:history="1">
        <w:r w:rsidRPr="00FD7567">
          <w:rPr>
            <w:rFonts w:ascii="Times New Roman" w:eastAsia="Times New Roman" w:hAnsi="Times New Roman" w:cs="Times New Roman"/>
            <w:color w:val="000000" w:themeColor="text1"/>
            <w:u w:val="single"/>
            <w:lang w:eastAsia="en-GB"/>
          </w:rPr>
          <w:t>https://doi.org/10.18637/jss.v048.i02</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4</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Short, J., Williams, E. and Christie, B. (1976) </w:t>
      </w:r>
      <w:r w:rsidRPr="00FD7567">
        <w:rPr>
          <w:rFonts w:ascii="Times New Roman" w:eastAsia="Times New Roman" w:hAnsi="Times New Roman" w:cs="Times New Roman"/>
          <w:i/>
          <w:iCs/>
          <w:color w:val="000000" w:themeColor="text1"/>
          <w:lang w:eastAsia="en-GB"/>
        </w:rPr>
        <w:t>The Social Psychology of Telecommunications</w:t>
      </w:r>
      <w:r w:rsidRPr="00FD7567">
        <w:rPr>
          <w:rFonts w:ascii="Times New Roman" w:eastAsia="Times New Roman" w:hAnsi="Times New Roman" w:cs="Times New Roman"/>
          <w:color w:val="000000" w:themeColor="text1"/>
          <w:lang w:eastAsia="en-GB"/>
        </w:rPr>
        <w:t>. London: John Wiley &amp; Sons. Available at: </w:t>
      </w:r>
      <w:hyperlink r:id="rId24" w:history="1">
        <w:r w:rsidRPr="00FD7567">
          <w:rPr>
            <w:rFonts w:ascii="Times New Roman" w:eastAsia="Times New Roman" w:hAnsi="Times New Roman" w:cs="Times New Roman"/>
            <w:color w:val="000000" w:themeColor="text1"/>
            <w:u w:val="single"/>
            <w:lang w:eastAsia="en-GB"/>
          </w:rPr>
          <w:t>https://books.google.com/books/about/The_Social_Psychology_of_Telecommunicati.html?id=Ze63AAAAIAAJ</w:t>
        </w:r>
      </w:hyperlink>
      <w:r w:rsidRPr="00FD7567">
        <w:rPr>
          <w:rFonts w:ascii="Times New Roman" w:eastAsia="Times New Roman" w:hAnsi="Times New Roman" w:cs="Times New Roman"/>
          <w:color w:val="000000" w:themeColor="text1"/>
          <w:lang w:eastAsia="en-GB"/>
        </w:rPr>
        <w:t> (Accessed: 2</w:t>
      </w:r>
      <w:r w:rsidRPr="0023566D">
        <w:rPr>
          <w:rFonts w:ascii="Times New Roman" w:eastAsia="Times New Roman" w:hAnsi="Times New Roman" w:cs="Times New Roman"/>
          <w:color w:val="000000" w:themeColor="text1"/>
          <w:lang w:eastAsia="en-GB"/>
        </w:rPr>
        <w:t>4</w:t>
      </w:r>
      <w:r w:rsidRPr="00FD7567">
        <w:rPr>
          <w:rFonts w:ascii="Times New Roman" w:eastAsia="Times New Roman" w:hAnsi="Times New Roman" w:cs="Times New Roman"/>
          <w:color w:val="000000" w:themeColor="text1"/>
          <w:lang w:eastAsia="en-GB"/>
        </w:rPr>
        <w:t xml:space="preserve"> November 2025).</w:t>
      </w:r>
    </w:p>
    <w:p w:rsidR="0023566D" w:rsidRPr="00FD7567" w:rsidRDefault="0023566D" w:rsidP="0023566D">
      <w:pPr>
        <w:numPr>
          <w:ilvl w:val="0"/>
          <w:numId w:val="18"/>
        </w:num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D7567">
        <w:rPr>
          <w:rFonts w:ascii="Times New Roman" w:eastAsia="Times New Roman" w:hAnsi="Times New Roman" w:cs="Times New Roman"/>
          <w:color w:val="000000" w:themeColor="text1"/>
          <w:lang w:eastAsia="en-GB"/>
        </w:rPr>
        <w:t>Wang, Q., Wen, Y. and Quek, C.L. (2023) ‘Engaging learners in synchronous online learning’, </w:t>
      </w:r>
      <w:r w:rsidRPr="00FD7567">
        <w:rPr>
          <w:rFonts w:ascii="Times New Roman" w:eastAsia="Times New Roman" w:hAnsi="Times New Roman" w:cs="Times New Roman"/>
          <w:i/>
          <w:iCs/>
          <w:color w:val="000000" w:themeColor="text1"/>
          <w:lang w:eastAsia="en-GB"/>
        </w:rPr>
        <w:t>Education and Information Technologies</w:t>
      </w:r>
      <w:r w:rsidRPr="00FD7567">
        <w:rPr>
          <w:rFonts w:ascii="Times New Roman" w:eastAsia="Times New Roman" w:hAnsi="Times New Roman" w:cs="Times New Roman"/>
          <w:color w:val="000000" w:themeColor="text1"/>
          <w:lang w:eastAsia="en-GB"/>
        </w:rPr>
        <w:t>, 28(4), pp. 4429–4452. Available at: </w:t>
      </w:r>
      <w:hyperlink r:id="rId25" w:history="1">
        <w:r w:rsidRPr="00FD7567">
          <w:rPr>
            <w:rFonts w:ascii="Times New Roman" w:eastAsia="Times New Roman" w:hAnsi="Times New Roman" w:cs="Times New Roman"/>
            <w:color w:val="000000" w:themeColor="text1"/>
            <w:u w:val="single"/>
            <w:lang w:eastAsia="en-GB"/>
          </w:rPr>
          <w:t>https://doi.org/10.1007/s10639-022-11393-x</w:t>
        </w:r>
      </w:hyperlink>
      <w:r w:rsidRPr="00FD7567">
        <w:rPr>
          <w:rFonts w:ascii="Times New Roman" w:eastAsia="Times New Roman" w:hAnsi="Times New Roman" w:cs="Times New Roman"/>
          <w:color w:val="000000" w:themeColor="text1"/>
          <w:lang w:eastAsia="en-GB"/>
        </w:rPr>
        <w:t>(Accessed: 2</w:t>
      </w:r>
      <w:r w:rsidRPr="0023566D">
        <w:rPr>
          <w:rFonts w:ascii="Times New Roman" w:eastAsia="Times New Roman" w:hAnsi="Times New Roman" w:cs="Times New Roman"/>
          <w:color w:val="000000" w:themeColor="text1"/>
          <w:lang w:eastAsia="en-GB"/>
        </w:rPr>
        <w:t>3</w:t>
      </w:r>
      <w:r w:rsidRPr="00FD7567">
        <w:rPr>
          <w:rFonts w:ascii="Times New Roman" w:eastAsia="Times New Roman" w:hAnsi="Times New Roman" w:cs="Times New Roman"/>
          <w:color w:val="000000" w:themeColor="text1"/>
          <w:lang w:eastAsia="en-GB"/>
        </w:rPr>
        <w:t xml:space="preserve"> November 2025). </w:t>
      </w:r>
    </w:p>
    <w:p w:rsidR="00FD7567" w:rsidRPr="009F7C1E" w:rsidRDefault="00FD7567" w:rsidP="0023566D">
      <w:pPr>
        <w:spacing w:before="100" w:beforeAutospacing="1" w:after="100" w:afterAutospacing="1" w:line="360" w:lineRule="auto"/>
        <w:jc w:val="both"/>
        <w:rPr>
          <w:rFonts w:ascii="Times New Roman" w:eastAsia="Times New Roman" w:hAnsi="Times New Roman" w:cs="Times New Roman"/>
          <w:color w:val="000000" w:themeColor="text1"/>
          <w:lang w:eastAsia="en-GB"/>
        </w:rPr>
      </w:pPr>
    </w:p>
    <w:p w:rsidR="009F7C1E" w:rsidRPr="0023566D" w:rsidRDefault="009F7C1E" w:rsidP="0023566D">
      <w:pPr>
        <w:pStyle w:val="Heading3"/>
        <w:spacing w:line="360" w:lineRule="auto"/>
        <w:jc w:val="both"/>
        <w:rPr>
          <w:b w:val="0"/>
          <w:bCs w:val="0"/>
          <w:color w:val="000000" w:themeColor="text1"/>
          <w:sz w:val="24"/>
          <w:szCs w:val="24"/>
        </w:rPr>
      </w:pPr>
    </w:p>
    <w:p w:rsidR="00000000" w:rsidRPr="0023566D" w:rsidRDefault="00000000" w:rsidP="0023566D">
      <w:pPr>
        <w:spacing w:line="360" w:lineRule="auto"/>
        <w:jc w:val="both"/>
        <w:rPr>
          <w:rFonts w:ascii="Times New Roman" w:hAnsi="Times New Roman" w:cs="Times New Roman"/>
          <w:color w:val="000000" w:themeColor="text1"/>
        </w:rPr>
      </w:pPr>
    </w:p>
    <w:sectPr w:rsidR="002974DC" w:rsidRPr="0023566D" w:rsidSect="00B7271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4466"/>
    <w:multiLevelType w:val="multilevel"/>
    <w:tmpl w:val="9A4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87E51"/>
    <w:multiLevelType w:val="multilevel"/>
    <w:tmpl w:val="5C78E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041DC4"/>
    <w:multiLevelType w:val="multilevel"/>
    <w:tmpl w:val="2B2E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8318A3"/>
    <w:multiLevelType w:val="multilevel"/>
    <w:tmpl w:val="CB62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D5165A"/>
    <w:multiLevelType w:val="multilevel"/>
    <w:tmpl w:val="46744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8974BB"/>
    <w:multiLevelType w:val="multilevel"/>
    <w:tmpl w:val="14F8C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C45FC6"/>
    <w:multiLevelType w:val="multilevel"/>
    <w:tmpl w:val="E26AA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3C6E8E"/>
    <w:multiLevelType w:val="multilevel"/>
    <w:tmpl w:val="16C85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175DC3"/>
    <w:multiLevelType w:val="multilevel"/>
    <w:tmpl w:val="80C0B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B646A4"/>
    <w:multiLevelType w:val="multilevel"/>
    <w:tmpl w:val="9AA6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F40872"/>
    <w:multiLevelType w:val="multilevel"/>
    <w:tmpl w:val="7E22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CA418C"/>
    <w:multiLevelType w:val="multilevel"/>
    <w:tmpl w:val="A30CA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A0CF5"/>
    <w:multiLevelType w:val="multilevel"/>
    <w:tmpl w:val="83C6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965064"/>
    <w:multiLevelType w:val="multilevel"/>
    <w:tmpl w:val="91B8B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090874"/>
    <w:multiLevelType w:val="multilevel"/>
    <w:tmpl w:val="D6A8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4A3A46"/>
    <w:multiLevelType w:val="multilevel"/>
    <w:tmpl w:val="8DD8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2A379E"/>
    <w:multiLevelType w:val="multilevel"/>
    <w:tmpl w:val="DE7C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757236"/>
    <w:multiLevelType w:val="multilevel"/>
    <w:tmpl w:val="87CCF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103499">
    <w:abstractNumId w:val="1"/>
  </w:num>
  <w:num w:numId="2" w16cid:durableId="544832887">
    <w:abstractNumId w:val="7"/>
  </w:num>
  <w:num w:numId="3" w16cid:durableId="1551109973">
    <w:abstractNumId w:val="8"/>
  </w:num>
  <w:num w:numId="4" w16cid:durableId="1027490635">
    <w:abstractNumId w:val="4"/>
  </w:num>
  <w:num w:numId="5" w16cid:durableId="660350308">
    <w:abstractNumId w:val="14"/>
  </w:num>
  <w:num w:numId="6" w16cid:durableId="2043744016">
    <w:abstractNumId w:val="3"/>
  </w:num>
  <w:num w:numId="7" w16cid:durableId="331185626">
    <w:abstractNumId w:val="2"/>
  </w:num>
  <w:num w:numId="8" w16cid:durableId="1709796812">
    <w:abstractNumId w:val="12"/>
  </w:num>
  <w:num w:numId="9" w16cid:durableId="459686221">
    <w:abstractNumId w:val="16"/>
  </w:num>
  <w:num w:numId="10" w16cid:durableId="465053363">
    <w:abstractNumId w:val="17"/>
  </w:num>
  <w:num w:numId="11" w16cid:durableId="1474058748">
    <w:abstractNumId w:val="10"/>
  </w:num>
  <w:num w:numId="12" w16cid:durableId="1141730203">
    <w:abstractNumId w:val="9"/>
  </w:num>
  <w:num w:numId="13" w16cid:durableId="1326739551">
    <w:abstractNumId w:val="13"/>
  </w:num>
  <w:num w:numId="14" w16cid:durableId="1566792148">
    <w:abstractNumId w:val="6"/>
  </w:num>
  <w:num w:numId="15" w16cid:durableId="1605380478">
    <w:abstractNumId w:val="15"/>
  </w:num>
  <w:num w:numId="16" w16cid:durableId="69735225">
    <w:abstractNumId w:val="0"/>
  </w:num>
  <w:num w:numId="17" w16cid:durableId="568077668">
    <w:abstractNumId w:val="5"/>
  </w:num>
  <w:num w:numId="18" w16cid:durableId="913182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5D4"/>
    <w:rsid w:val="00010D79"/>
    <w:rsid w:val="0023566D"/>
    <w:rsid w:val="003A66F8"/>
    <w:rsid w:val="00407733"/>
    <w:rsid w:val="004F2C3D"/>
    <w:rsid w:val="00604B87"/>
    <w:rsid w:val="007C45D4"/>
    <w:rsid w:val="00932997"/>
    <w:rsid w:val="009578AD"/>
    <w:rsid w:val="00992B86"/>
    <w:rsid w:val="009F7C1E"/>
    <w:rsid w:val="00B7271A"/>
    <w:rsid w:val="00B92C03"/>
    <w:rsid w:val="00FD7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A63A2"/>
  <w15:chartTrackingRefBased/>
  <w15:docId w15:val="{86D44302-C4FE-3143-9364-AD2432C2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C1E"/>
    <w:pPr>
      <w:spacing w:after="160" w:line="279" w:lineRule="auto"/>
    </w:pPr>
    <w:rPr>
      <w:rFonts w:eastAsiaTheme="minorEastAsia"/>
      <w:kern w:val="0"/>
      <w:lang w:eastAsia="ja-JP"/>
      <w14:ligatures w14:val="none"/>
    </w:rPr>
  </w:style>
  <w:style w:type="paragraph" w:styleId="Heading1">
    <w:name w:val="heading 1"/>
    <w:basedOn w:val="Normal"/>
    <w:link w:val="Heading1Char"/>
    <w:uiPriority w:val="9"/>
    <w:qFormat/>
    <w:rsid w:val="007C45D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C45D4"/>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C45D4"/>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5D4"/>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7C45D4"/>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7C45D4"/>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7C45D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C45D4"/>
  </w:style>
  <w:style w:type="character" w:styleId="Strong">
    <w:name w:val="Strong"/>
    <w:basedOn w:val="DefaultParagraphFont"/>
    <w:uiPriority w:val="22"/>
    <w:qFormat/>
    <w:rsid w:val="007C45D4"/>
    <w:rPr>
      <w:b/>
      <w:bCs/>
    </w:rPr>
  </w:style>
  <w:style w:type="character" w:styleId="Emphasis">
    <w:name w:val="Emphasis"/>
    <w:basedOn w:val="DefaultParagraphFont"/>
    <w:uiPriority w:val="20"/>
    <w:qFormat/>
    <w:rsid w:val="007C45D4"/>
    <w:rPr>
      <w:i/>
      <w:iCs/>
    </w:rPr>
  </w:style>
  <w:style w:type="character" w:customStyle="1" w:styleId="ms-1">
    <w:name w:val="ms-1"/>
    <w:basedOn w:val="DefaultParagraphFont"/>
    <w:rsid w:val="009F7C1E"/>
  </w:style>
  <w:style w:type="character" w:customStyle="1" w:styleId="max-w-15ch">
    <w:name w:val="max-w-[15ch]"/>
    <w:basedOn w:val="DefaultParagraphFont"/>
    <w:rsid w:val="009F7C1E"/>
  </w:style>
  <w:style w:type="character" w:customStyle="1" w:styleId="-me-1">
    <w:name w:val="-me-1"/>
    <w:basedOn w:val="DefaultParagraphFont"/>
    <w:rsid w:val="009F7C1E"/>
  </w:style>
  <w:style w:type="character" w:styleId="Hyperlink">
    <w:name w:val="Hyperlink"/>
    <w:basedOn w:val="DefaultParagraphFont"/>
    <w:uiPriority w:val="99"/>
    <w:semiHidden/>
    <w:unhideWhenUsed/>
    <w:rsid w:val="00FD75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635052">
      <w:bodyDiv w:val="1"/>
      <w:marLeft w:val="0"/>
      <w:marRight w:val="0"/>
      <w:marTop w:val="0"/>
      <w:marBottom w:val="0"/>
      <w:divBdr>
        <w:top w:val="none" w:sz="0" w:space="0" w:color="auto"/>
        <w:left w:val="none" w:sz="0" w:space="0" w:color="auto"/>
        <w:bottom w:val="none" w:sz="0" w:space="0" w:color="auto"/>
        <w:right w:val="none" w:sz="0" w:space="0" w:color="auto"/>
      </w:divBdr>
      <w:divsChild>
        <w:div w:id="1102528380">
          <w:marLeft w:val="0"/>
          <w:marRight w:val="0"/>
          <w:marTop w:val="0"/>
          <w:marBottom w:val="0"/>
          <w:divBdr>
            <w:top w:val="none" w:sz="0" w:space="0" w:color="auto"/>
            <w:left w:val="none" w:sz="0" w:space="0" w:color="auto"/>
            <w:bottom w:val="none" w:sz="0" w:space="0" w:color="auto"/>
            <w:right w:val="none" w:sz="0" w:space="0" w:color="auto"/>
          </w:divBdr>
          <w:divsChild>
            <w:div w:id="768894247">
              <w:marLeft w:val="0"/>
              <w:marRight w:val="0"/>
              <w:marTop w:val="0"/>
              <w:marBottom w:val="0"/>
              <w:divBdr>
                <w:top w:val="none" w:sz="0" w:space="0" w:color="auto"/>
                <w:left w:val="none" w:sz="0" w:space="0" w:color="auto"/>
                <w:bottom w:val="none" w:sz="0" w:space="0" w:color="auto"/>
                <w:right w:val="none" w:sz="0" w:space="0" w:color="auto"/>
              </w:divBdr>
              <w:divsChild>
                <w:div w:id="849685702">
                  <w:marLeft w:val="0"/>
                  <w:marRight w:val="0"/>
                  <w:marTop w:val="0"/>
                  <w:marBottom w:val="0"/>
                  <w:divBdr>
                    <w:top w:val="none" w:sz="0" w:space="0" w:color="auto"/>
                    <w:left w:val="none" w:sz="0" w:space="0" w:color="auto"/>
                    <w:bottom w:val="none" w:sz="0" w:space="0" w:color="auto"/>
                    <w:right w:val="none" w:sz="0" w:space="0" w:color="auto"/>
                  </w:divBdr>
                  <w:divsChild>
                    <w:div w:id="1348749452">
                      <w:marLeft w:val="0"/>
                      <w:marRight w:val="0"/>
                      <w:marTop w:val="0"/>
                      <w:marBottom w:val="0"/>
                      <w:divBdr>
                        <w:top w:val="none" w:sz="0" w:space="0" w:color="auto"/>
                        <w:left w:val="none" w:sz="0" w:space="0" w:color="auto"/>
                        <w:bottom w:val="none" w:sz="0" w:space="0" w:color="auto"/>
                        <w:right w:val="none" w:sz="0" w:space="0" w:color="auto"/>
                      </w:divBdr>
                      <w:divsChild>
                        <w:div w:id="1561942818">
                          <w:marLeft w:val="102"/>
                          <w:marRight w:val="102"/>
                          <w:marTop w:val="0"/>
                          <w:marBottom w:val="0"/>
                          <w:divBdr>
                            <w:top w:val="none" w:sz="0" w:space="0" w:color="auto"/>
                            <w:left w:val="none" w:sz="0" w:space="0" w:color="auto"/>
                            <w:bottom w:val="none" w:sz="0" w:space="0" w:color="auto"/>
                            <w:right w:val="none" w:sz="0" w:space="0" w:color="auto"/>
                          </w:divBdr>
                          <w:divsChild>
                            <w:div w:id="938366377">
                              <w:marLeft w:val="0"/>
                              <w:marRight w:val="0"/>
                              <w:marTop w:val="0"/>
                              <w:marBottom w:val="0"/>
                              <w:divBdr>
                                <w:top w:val="none" w:sz="0" w:space="0" w:color="auto"/>
                                <w:left w:val="none" w:sz="0" w:space="0" w:color="auto"/>
                                <w:bottom w:val="none" w:sz="0" w:space="0" w:color="auto"/>
                                <w:right w:val="none" w:sz="0" w:space="0" w:color="auto"/>
                              </w:divBdr>
                              <w:divsChild>
                                <w:div w:id="528614261">
                                  <w:marLeft w:val="0"/>
                                  <w:marRight w:val="0"/>
                                  <w:marTop w:val="0"/>
                                  <w:marBottom w:val="0"/>
                                  <w:divBdr>
                                    <w:top w:val="none" w:sz="0" w:space="0" w:color="auto"/>
                                    <w:left w:val="none" w:sz="0" w:space="0" w:color="auto"/>
                                    <w:bottom w:val="none" w:sz="0" w:space="0" w:color="auto"/>
                                    <w:right w:val="none" w:sz="0" w:space="0" w:color="auto"/>
                                  </w:divBdr>
                                  <w:divsChild>
                                    <w:div w:id="631208419">
                                      <w:marLeft w:val="0"/>
                                      <w:marRight w:val="0"/>
                                      <w:marTop w:val="0"/>
                                      <w:marBottom w:val="0"/>
                                      <w:divBdr>
                                        <w:top w:val="none" w:sz="0" w:space="0" w:color="auto"/>
                                        <w:left w:val="none" w:sz="0" w:space="0" w:color="auto"/>
                                        <w:bottom w:val="none" w:sz="0" w:space="0" w:color="auto"/>
                                        <w:right w:val="none" w:sz="0" w:space="0" w:color="auto"/>
                                      </w:divBdr>
                                      <w:divsChild>
                                        <w:div w:id="632953188">
                                          <w:marLeft w:val="0"/>
                                          <w:marRight w:val="0"/>
                                          <w:marTop w:val="0"/>
                                          <w:marBottom w:val="0"/>
                                          <w:divBdr>
                                            <w:top w:val="none" w:sz="0" w:space="0" w:color="auto"/>
                                            <w:left w:val="none" w:sz="0" w:space="0" w:color="auto"/>
                                            <w:bottom w:val="none" w:sz="0" w:space="0" w:color="auto"/>
                                            <w:right w:val="none" w:sz="0" w:space="0" w:color="auto"/>
                                          </w:divBdr>
                                          <w:divsChild>
                                            <w:div w:id="836581221">
                                              <w:marLeft w:val="0"/>
                                              <w:marRight w:val="0"/>
                                              <w:marTop w:val="0"/>
                                              <w:marBottom w:val="0"/>
                                              <w:divBdr>
                                                <w:top w:val="none" w:sz="0" w:space="0" w:color="auto"/>
                                                <w:left w:val="none" w:sz="0" w:space="0" w:color="auto"/>
                                                <w:bottom w:val="none" w:sz="0" w:space="0" w:color="auto"/>
                                                <w:right w:val="none" w:sz="0" w:space="0" w:color="auto"/>
                                              </w:divBdr>
                                              <w:divsChild>
                                                <w:div w:id="325130500">
                                                  <w:marLeft w:val="0"/>
                                                  <w:marRight w:val="0"/>
                                                  <w:marTop w:val="0"/>
                                                  <w:marBottom w:val="0"/>
                                                  <w:divBdr>
                                                    <w:top w:val="none" w:sz="0" w:space="0" w:color="auto"/>
                                                    <w:left w:val="none" w:sz="0" w:space="0" w:color="auto"/>
                                                    <w:bottom w:val="none" w:sz="0" w:space="0" w:color="auto"/>
                                                    <w:right w:val="none" w:sz="0" w:space="0" w:color="auto"/>
                                                  </w:divBdr>
                                                  <w:divsChild>
                                                    <w:div w:id="129899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936981">
                                  <w:marLeft w:val="0"/>
                                  <w:marRight w:val="0"/>
                                  <w:marTop w:val="0"/>
                                  <w:marBottom w:val="0"/>
                                  <w:divBdr>
                                    <w:top w:val="none" w:sz="0" w:space="0" w:color="auto"/>
                                    <w:left w:val="none" w:sz="0" w:space="0" w:color="auto"/>
                                    <w:bottom w:val="none" w:sz="0" w:space="0" w:color="auto"/>
                                    <w:right w:val="none" w:sz="0" w:space="0" w:color="auto"/>
                                  </w:divBdr>
                                  <w:divsChild>
                                    <w:div w:id="1303654425">
                                      <w:marLeft w:val="0"/>
                                      <w:marRight w:val="0"/>
                                      <w:marTop w:val="0"/>
                                      <w:marBottom w:val="0"/>
                                      <w:divBdr>
                                        <w:top w:val="none" w:sz="0" w:space="0" w:color="auto"/>
                                        <w:left w:val="none" w:sz="0" w:space="0" w:color="auto"/>
                                        <w:bottom w:val="none" w:sz="0" w:space="0" w:color="auto"/>
                                        <w:right w:val="none" w:sz="0" w:space="0" w:color="auto"/>
                                      </w:divBdr>
                                      <w:divsChild>
                                        <w:div w:id="1335378353">
                                          <w:marLeft w:val="0"/>
                                          <w:marRight w:val="0"/>
                                          <w:marTop w:val="0"/>
                                          <w:marBottom w:val="0"/>
                                          <w:divBdr>
                                            <w:top w:val="none" w:sz="0" w:space="0" w:color="auto"/>
                                            <w:left w:val="none" w:sz="0" w:space="0" w:color="auto"/>
                                            <w:bottom w:val="none" w:sz="0" w:space="0" w:color="auto"/>
                                            <w:right w:val="none" w:sz="0" w:space="0" w:color="auto"/>
                                          </w:divBdr>
                                          <w:divsChild>
                                            <w:div w:id="89552262">
                                              <w:marLeft w:val="0"/>
                                              <w:marRight w:val="0"/>
                                              <w:marTop w:val="0"/>
                                              <w:marBottom w:val="0"/>
                                              <w:divBdr>
                                                <w:top w:val="none" w:sz="0" w:space="0" w:color="auto"/>
                                                <w:left w:val="none" w:sz="0" w:space="0" w:color="auto"/>
                                                <w:bottom w:val="none" w:sz="0" w:space="0" w:color="auto"/>
                                                <w:right w:val="none" w:sz="0" w:space="0" w:color="auto"/>
                                              </w:divBdr>
                                              <w:divsChild>
                                                <w:div w:id="431778333">
                                                  <w:marLeft w:val="0"/>
                                                  <w:marRight w:val="0"/>
                                                  <w:marTop w:val="0"/>
                                                  <w:marBottom w:val="0"/>
                                                  <w:divBdr>
                                                    <w:top w:val="none" w:sz="0" w:space="0" w:color="auto"/>
                                                    <w:left w:val="none" w:sz="0" w:space="0" w:color="auto"/>
                                                    <w:bottom w:val="none" w:sz="0" w:space="0" w:color="auto"/>
                                                    <w:right w:val="none" w:sz="0" w:space="0" w:color="auto"/>
                                                  </w:divBdr>
                                                  <w:divsChild>
                                                    <w:div w:id="1151171193">
                                                      <w:marLeft w:val="0"/>
                                                      <w:marRight w:val="0"/>
                                                      <w:marTop w:val="0"/>
                                                      <w:marBottom w:val="0"/>
                                                      <w:divBdr>
                                                        <w:top w:val="none" w:sz="0" w:space="0" w:color="auto"/>
                                                        <w:left w:val="none" w:sz="0" w:space="0" w:color="auto"/>
                                                        <w:bottom w:val="none" w:sz="0" w:space="0" w:color="auto"/>
                                                        <w:right w:val="none" w:sz="0" w:space="0" w:color="auto"/>
                                                      </w:divBdr>
                                                      <w:divsChild>
                                                        <w:div w:id="96944847">
                                                          <w:marLeft w:val="0"/>
                                                          <w:marRight w:val="0"/>
                                                          <w:marTop w:val="0"/>
                                                          <w:marBottom w:val="0"/>
                                                          <w:divBdr>
                                                            <w:top w:val="none" w:sz="0" w:space="0" w:color="auto"/>
                                                            <w:left w:val="none" w:sz="0" w:space="0" w:color="auto"/>
                                                            <w:bottom w:val="none" w:sz="0" w:space="0" w:color="auto"/>
                                                            <w:right w:val="none" w:sz="0" w:space="0" w:color="auto"/>
                                                          </w:divBdr>
                                                          <w:divsChild>
                                                            <w:div w:id="146172435">
                                                              <w:marLeft w:val="0"/>
                                                              <w:marRight w:val="0"/>
                                                              <w:marTop w:val="0"/>
                                                              <w:marBottom w:val="0"/>
                                                              <w:divBdr>
                                                                <w:top w:val="none" w:sz="0" w:space="0" w:color="auto"/>
                                                                <w:left w:val="none" w:sz="0" w:space="0" w:color="auto"/>
                                                                <w:bottom w:val="none" w:sz="0" w:space="0" w:color="auto"/>
                                                                <w:right w:val="none" w:sz="0" w:space="0" w:color="auto"/>
                                                              </w:divBdr>
                                                              <w:divsChild>
                                                                <w:div w:id="58977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6501">
                                                          <w:marLeft w:val="0"/>
                                                          <w:marRight w:val="0"/>
                                                          <w:marTop w:val="0"/>
                                                          <w:marBottom w:val="0"/>
                                                          <w:divBdr>
                                                            <w:top w:val="none" w:sz="0" w:space="0" w:color="auto"/>
                                                            <w:left w:val="none" w:sz="0" w:space="0" w:color="auto"/>
                                                            <w:bottom w:val="none" w:sz="0" w:space="0" w:color="auto"/>
                                                            <w:right w:val="none" w:sz="0" w:space="0" w:color="auto"/>
                                                          </w:divBdr>
                                                          <w:divsChild>
                                                            <w:div w:id="184025091">
                                                              <w:marLeft w:val="0"/>
                                                              <w:marRight w:val="0"/>
                                                              <w:marTop w:val="0"/>
                                                              <w:marBottom w:val="0"/>
                                                              <w:divBdr>
                                                                <w:top w:val="none" w:sz="0" w:space="0" w:color="auto"/>
                                                                <w:left w:val="none" w:sz="0" w:space="0" w:color="auto"/>
                                                                <w:bottom w:val="none" w:sz="0" w:space="0" w:color="auto"/>
                                                                <w:right w:val="none" w:sz="0" w:space="0" w:color="auto"/>
                                                              </w:divBdr>
                                                              <w:divsChild>
                                                                <w:div w:id="168292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79269179">
      <w:bodyDiv w:val="1"/>
      <w:marLeft w:val="0"/>
      <w:marRight w:val="0"/>
      <w:marTop w:val="0"/>
      <w:marBottom w:val="0"/>
      <w:divBdr>
        <w:top w:val="none" w:sz="0" w:space="0" w:color="auto"/>
        <w:left w:val="none" w:sz="0" w:space="0" w:color="auto"/>
        <w:bottom w:val="none" w:sz="0" w:space="0" w:color="auto"/>
        <w:right w:val="none" w:sz="0" w:space="0" w:color="auto"/>
      </w:divBdr>
    </w:div>
    <w:div w:id="720641864">
      <w:bodyDiv w:val="1"/>
      <w:marLeft w:val="0"/>
      <w:marRight w:val="0"/>
      <w:marTop w:val="0"/>
      <w:marBottom w:val="0"/>
      <w:divBdr>
        <w:top w:val="none" w:sz="0" w:space="0" w:color="auto"/>
        <w:left w:val="none" w:sz="0" w:space="0" w:color="auto"/>
        <w:bottom w:val="none" w:sz="0" w:space="0" w:color="auto"/>
        <w:right w:val="none" w:sz="0" w:space="0" w:color="auto"/>
      </w:divBdr>
    </w:div>
    <w:div w:id="850417418">
      <w:bodyDiv w:val="1"/>
      <w:marLeft w:val="0"/>
      <w:marRight w:val="0"/>
      <w:marTop w:val="0"/>
      <w:marBottom w:val="0"/>
      <w:divBdr>
        <w:top w:val="none" w:sz="0" w:space="0" w:color="auto"/>
        <w:left w:val="none" w:sz="0" w:space="0" w:color="auto"/>
        <w:bottom w:val="none" w:sz="0" w:space="0" w:color="auto"/>
        <w:right w:val="none" w:sz="0" w:space="0" w:color="auto"/>
      </w:divBdr>
    </w:div>
    <w:div w:id="189473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ece3.7123" TargetMode="External"/><Relationship Id="rId13" Type="http://schemas.openxmlformats.org/officeDocument/2006/relationships/hyperlink" Target="https://doi.org/10.1007/s10639-022-11050-3" TargetMode="External"/><Relationship Id="rId18" Type="http://schemas.openxmlformats.org/officeDocument/2006/relationships/hyperlink" Target="https://doi.org/10.24059/olj.v22i1.109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igitalcommons.odu.edu/cgi/viewcontent.cgi?article=1006&amp;context=distancelearning_pubs&amp;utm_source=chatgpt.com" TargetMode="External"/><Relationship Id="rId7" Type="http://schemas.openxmlformats.org/officeDocument/2006/relationships/hyperlink" Target="https://www.guilford.com/books/Confirmatory-Factor-Analysis-for-Applied-Research/Timothy-Brown/9781462515363" TargetMode="External"/><Relationship Id="rId12" Type="http://schemas.openxmlformats.org/officeDocument/2006/relationships/hyperlink" Target="https://doi.org/10.1016/S1096-7516(00)00016-6" TargetMode="External"/><Relationship Id="rId17" Type="http://schemas.openxmlformats.org/officeDocument/2006/relationships/hyperlink" Target="https://www.guilford.com/books/Principles-and-Practice-of-Structural-Equation-Modeling/Rex-Kline/9781462523344" TargetMode="External"/><Relationship Id="rId25" Type="http://schemas.openxmlformats.org/officeDocument/2006/relationships/hyperlink" Target="https://doi.org/10.1007/s10639-022-11393-x" TargetMode="External"/><Relationship Id="rId2" Type="http://schemas.openxmlformats.org/officeDocument/2006/relationships/styles" Target="styles.xml"/><Relationship Id="rId16" Type="http://schemas.openxmlformats.org/officeDocument/2006/relationships/hyperlink" Target="https://doi.org/10.1080/03075079.2011.598505" TargetMode="External"/><Relationship Id="rId20" Type="http://schemas.openxmlformats.org/officeDocument/2006/relationships/hyperlink" Target="https://digitalcommons.odu.edu/cgi/viewcontent.cgi?article=1006&amp;context=distancelearning_pubs" TargetMode="External"/><Relationship Id="rId1" Type="http://schemas.openxmlformats.org/officeDocument/2006/relationships/numbering" Target="numbering.xml"/><Relationship Id="rId6" Type="http://schemas.openxmlformats.org/officeDocument/2006/relationships/hyperlink" Target="https://doi.org/10.1037/tmb0000030" TargetMode="External"/><Relationship Id="rId11" Type="http://schemas.openxmlformats.org/officeDocument/2006/relationships/hyperlink" Target="https://doi.org/10.3102/00346543074001059" TargetMode="External"/><Relationship Id="rId24" Type="http://schemas.openxmlformats.org/officeDocument/2006/relationships/hyperlink" Target="https://books.google.com/books/about/The_Social_Psychology_of_Telecommunicati.html?id=Ze63AAAAIAAJ" TargetMode="External"/><Relationship Id="rId5" Type="http://schemas.openxmlformats.org/officeDocument/2006/relationships/hyperlink" Target="https://doi.org/10.1016/j.iheduc.2008.06.003" TargetMode="External"/><Relationship Id="rId15" Type="http://schemas.openxmlformats.org/officeDocument/2006/relationships/hyperlink" Target="https://er.educause.edu/articles/2008/11/asynchronous-and-synchronous-elearning" TargetMode="External"/><Relationship Id="rId23" Type="http://schemas.openxmlformats.org/officeDocument/2006/relationships/hyperlink" Target="https://doi.org/10.18637/jss.v048.i02" TargetMode="External"/><Relationship Id="rId10" Type="http://schemas.openxmlformats.org/officeDocument/2006/relationships/hyperlink" Target="https://doi.org/10.1016/j.chbr.2021.100119" TargetMode="External"/><Relationship Id="rId19" Type="http://schemas.openxmlformats.org/officeDocument/2006/relationships/hyperlink" Target="https://doi.org/10.1037/0021-9010.88.5.879" TargetMode="External"/><Relationship Id="rId4" Type="http://schemas.openxmlformats.org/officeDocument/2006/relationships/webSettings" Target="webSettings.xml"/><Relationship Id="rId9" Type="http://schemas.openxmlformats.org/officeDocument/2006/relationships/hyperlink" Target="https://doi.org/10.24059/olj.v19i4.561" TargetMode="External"/><Relationship Id="rId14" Type="http://schemas.openxmlformats.org/officeDocument/2006/relationships/hyperlink" Target="https://www.sciencedirect.com/science/article/pii/S1096751606000765" TargetMode="External"/><Relationship Id="rId22" Type="http://schemas.openxmlformats.org/officeDocument/2006/relationships/hyperlink" Target="https://doi.org/10.1016/j.chb.2017.02.00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12</Pages>
  <Words>3182</Words>
  <Characters>18140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2025-11-26T11:43:00Z</dcterms:created>
  <dcterms:modified xsi:type="dcterms:W3CDTF">2025-11-26T12:44:00Z</dcterms:modified>
</cp:coreProperties>
</file>