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C9752A" w14:textId="77777777" w:rsidR="00517CDE" w:rsidRPr="00901264" w:rsidRDefault="00517CDE" w:rsidP="00901264">
      <w:pPr>
        <w:spacing w:line="360" w:lineRule="auto"/>
        <w:jc w:val="both"/>
        <w:rPr>
          <w:rStyle w:val="SubtleEmphasis"/>
          <w:rFonts w:cstheme="minorHAnsi"/>
          <w:i w:val="0"/>
          <w:iCs w:val="0"/>
          <w:color w:val="auto"/>
        </w:rPr>
      </w:pPr>
    </w:p>
    <w:p w14:paraId="51370D36" w14:textId="77777777"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drawing>
          <wp:inline distT="0" distB="0" distL="0" distR="0" wp14:anchorId="0072F570" wp14:editId="553E8913">
            <wp:extent cx="4524375" cy="1714500"/>
            <wp:effectExtent l="0" t="0" r="9525" b="0"/>
            <wp:docPr id="2013075523"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375" cy="1714500"/>
                    </a:xfrm>
                    <a:prstGeom prst="rect">
                      <a:avLst/>
                    </a:prstGeom>
                    <a:noFill/>
                    <a:ln>
                      <a:noFill/>
                    </a:ln>
                  </pic:spPr>
                </pic:pic>
              </a:graphicData>
            </a:graphic>
          </wp:inline>
        </w:drawing>
      </w:r>
    </w:p>
    <w:p w14:paraId="4802A7C2" w14:textId="77777777" w:rsidR="000D79CE" w:rsidRPr="00901264" w:rsidRDefault="000D79CE" w:rsidP="00901264">
      <w:pPr>
        <w:spacing w:line="360" w:lineRule="auto"/>
        <w:jc w:val="both"/>
        <w:rPr>
          <w:rStyle w:val="SubtleEmphasis"/>
          <w:rFonts w:cstheme="minorHAnsi"/>
          <w:i w:val="0"/>
          <w:iCs w:val="0"/>
          <w:color w:val="auto"/>
        </w:rPr>
      </w:pPr>
    </w:p>
    <w:p w14:paraId="28EAA0D5" w14:textId="0286F3BB" w:rsidR="000D79CE" w:rsidRPr="00901264" w:rsidRDefault="000D79CE" w:rsidP="00901264">
      <w:pPr>
        <w:spacing w:line="360" w:lineRule="auto"/>
        <w:jc w:val="center"/>
        <w:rPr>
          <w:rStyle w:val="SubtleEmphasis"/>
          <w:rFonts w:cstheme="minorHAnsi"/>
          <w:i w:val="0"/>
          <w:iCs w:val="0"/>
          <w:color w:val="auto"/>
        </w:rPr>
      </w:pPr>
      <w:bookmarkStart w:id="0" w:name="_Hlk164684111"/>
      <w:r w:rsidRPr="00901264">
        <w:rPr>
          <w:rStyle w:val="SubtleEmphasis"/>
          <w:rFonts w:cstheme="minorHAnsi"/>
          <w:i w:val="0"/>
          <w:iCs w:val="0"/>
          <w:color w:val="auto"/>
        </w:rPr>
        <w:t>Title: Strategic Analysis and Financial Evaluation of Pfizer Inc.</w:t>
      </w:r>
    </w:p>
    <w:p w14:paraId="4C28DFAC" w14:textId="77777777" w:rsidR="000D79CE" w:rsidRPr="00901264" w:rsidRDefault="000D79CE" w:rsidP="00901264">
      <w:pPr>
        <w:spacing w:line="360" w:lineRule="auto"/>
        <w:jc w:val="both"/>
        <w:rPr>
          <w:rStyle w:val="SubtleEmphasis"/>
          <w:rFonts w:cstheme="minorHAnsi"/>
          <w:i w:val="0"/>
          <w:iCs w:val="0"/>
          <w:color w:val="auto"/>
        </w:rPr>
      </w:pPr>
    </w:p>
    <w:p w14:paraId="5719B096" w14:textId="3755B4E3"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STUDENT NAME: V</w:t>
      </w:r>
      <w:r w:rsidR="00BE30EB" w:rsidRPr="00901264">
        <w:rPr>
          <w:rStyle w:val="SubtleEmphasis"/>
          <w:rFonts w:cstheme="minorHAnsi"/>
          <w:i w:val="0"/>
          <w:iCs w:val="0"/>
          <w:color w:val="auto"/>
        </w:rPr>
        <w:t xml:space="preserve">aleria Varga </w:t>
      </w:r>
    </w:p>
    <w:p w14:paraId="0F9841F0" w14:textId="77777777"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STUDENT ID: 2009456</w:t>
      </w:r>
    </w:p>
    <w:p w14:paraId="5F2646B0" w14:textId="58D5D2AE"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MODULE NAME: F</w:t>
      </w:r>
      <w:r w:rsidR="00BE30EB" w:rsidRPr="00901264">
        <w:rPr>
          <w:rStyle w:val="SubtleEmphasis"/>
          <w:rFonts w:cstheme="minorHAnsi"/>
          <w:i w:val="0"/>
          <w:iCs w:val="0"/>
          <w:color w:val="auto"/>
        </w:rPr>
        <w:t>inancial Management</w:t>
      </w:r>
    </w:p>
    <w:p w14:paraId="5A72B81C" w14:textId="37A76965"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MODULE CODE: </w:t>
      </w:r>
      <w:r w:rsidR="00BE30EB" w:rsidRPr="00901264">
        <w:rPr>
          <w:rStyle w:val="SubtleEmphasis"/>
          <w:rFonts w:cstheme="minorHAnsi"/>
          <w:i w:val="0"/>
          <w:iCs w:val="0"/>
          <w:color w:val="auto"/>
        </w:rPr>
        <w:t>LCMB7002_LON</w:t>
      </w:r>
    </w:p>
    <w:p w14:paraId="7E0DF2C5" w14:textId="7BB68D99"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LECTURER: </w:t>
      </w:r>
      <w:r w:rsidR="00BE30EB" w:rsidRPr="00901264">
        <w:rPr>
          <w:rStyle w:val="SubtleEmphasis"/>
          <w:rFonts w:cstheme="minorHAnsi"/>
          <w:i w:val="0"/>
          <w:iCs w:val="0"/>
          <w:color w:val="auto"/>
        </w:rPr>
        <w:t>David Coker</w:t>
      </w:r>
    </w:p>
    <w:p w14:paraId="78275F48" w14:textId="3F49CF16" w:rsidR="000D79CE" w:rsidRPr="00901264" w:rsidRDefault="000D79C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SUBMITTED ON:</w:t>
      </w:r>
      <w:r w:rsidR="00901264" w:rsidRPr="00901264">
        <w:rPr>
          <w:rStyle w:val="SubtleEmphasis"/>
          <w:rFonts w:cstheme="minorHAnsi"/>
          <w:i w:val="0"/>
          <w:iCs w:val="0"/>
          <w:color w:val="auto"/>
        </w:rPr>
        <w:t xml:space="preserve"> 23.04.2024</w:t>
      </w:r>
    </w:p>
    <w:p w14:paraId="197F46C4" w14:textId="77777777" w:rsidR="000D79CE" w:rsidRPr="00901264" w:rsidRDefault="000D79CE" w:rsidP="00901264">
      <w:pPr>
        <w:spacing w:line="360" w:lineRule="auto"/>
        <w:jc w:val="both"/>
        <w:rPr>
          <w:rStyle w:val="SubtleEmphasis"/>
          <w:rFonts w:cstheme="minorHAnsi"/>
          <w:i w:val="0"/>
          <w:iCs w:val="0"/>
          <w:color w:val="auto"/>
        </w:rPr>
      </w:pPr>
    </w:p>
    <w:p w14:paraId="42CA9F8D" w14:textId="77777777" w:rsidR="000D79CE" w:rsidRPr="00901264" w:rsidRDefault="000D79CE" w:rsidP="00901264">
      <w:pPr>
        <w:spacing w:line="360" w:lineRule="auto"/>
        <w:jc w:val="both"/>
        <w:rPr>
          <w:rStyle w:val="SubtleEmphasis"/>
          <w:rFonts w:cstheme="minorHAnsi"/>
          <w:i w:val="0"/>
          <w:iCs w:val="0"/>
          <w:color w:val="auto"/>
        </w:rPr>
      </w:pPr>
    </w:p>
    <w:p w14:paraId="7257AF99" w14:textId="77777777" w:rsidR="000D79CE" w:rsidRPr="00901264" w:rsidRDefault="000D79CE" w:rsidP="00901264">
      <w:pPr>
        <w:spacing w:line="360" w:lineRule="auto"/>
        <w:jc w:val="both"/>
        <w:rPr>
          <w:rStyle w:val="SubtleEmphasis"/>
          <w:rFonts w:cstheme="minorHAnsi"/>
          <w:i w:val="0"/>
          <w:iCs w:val="0"/>
          <w:color w:val="auto"/>
        </w:rPr>
      </w:pPr>
    </w:p>
    <w:p w14:paraId="28F87672" w14:textId="77777777" w:rsidR="000D79CE" w:rsidRPr="00901264" w:rsidRDefault="000D79CE" w:rsidP="00901264">
      <w:pPr>
        <w:spacing w:line="360" w:lineRule="auto"/>
        <w:jc w:val="both"/>
        <w:rPr>
          <w:rStyle w:val="SubtleEmphasis"/>
          <w:rFonts w:cstheme="minorHAnsi"/>
          <w:i w:val="0"/>
          <w:iCs w:val="0"/>
          <w:color w:val="auto"/>
        </w:rPr>
      </w:pPr>
    </w:p>
    <w:bookmarkEnd w:id="0"/>
    <w:p w14:paraId="5EE4C29D" w14:textId="4E79E9EB" w:rsidR="000D79CE" w:rsidRPr="00901264" w:rsidRDefault="00305A9C" w:rsidP="00901264">
      <w:pPr>
        <w:spacing w:line="360" w:lineRule="auto"/>
        <w:jc w:val="both"/>
        <w:rPr>
          <w:rStyle w:val="SubtleEmphasis"/>
          <w:rFonts w:cstheme="minorHAnsi"/>
          <w:i w:val="0"/>
          <w:iCs w:val="0"/>
          <w:color w:val="auto"/>
        </w:rPr>
      </w:pPr>
      <w:r>
        <w:rPr>
          <w:rStyle w:val="SubtleEmphasis"/>
          <w:rFonts w:cstheme="minorHAnsi"/>
          <w:i w:val="0"/>
          <w:iCs w:val="0"/>
          <w:color w:val="auto"/>
        </w:rPr>
        <w:t xml:space="preserve">5236 </w:t>
      </w:r>
      <w:r w:rsidR="001B45B5" w:rsidRPr="00901264">
        <w:rPr>
          <w:rStyle w:val="SubtleEmphasis"/>
          <w:rFonts w:cstheme="minorHAnsi"/>
          <w:i w:val="0"/>
          <w:iCs w:val="0"/>
          <w:color w:val="auto"/>
        </w:rPr>
        <w:t xml:space="preserve"> Words</w:t>
      </w:r>
      <w:r w:rsidR="00FF1678" w:rsidRPr="00901264">
        <w:rPr>
          <w:rStyle w:val="SubtleEmphasis"/>
          <w:rFonts w:cstheme="minorHAnsi"/>
          <w:i w:val="0"/>
          <w:iCs w:val="0"/>
          <w:color w:val="auto"/>
        </w:rPr>
        <w:t xml:space="preserve"> </w:t>
      </w:r>
    </w:p>
    <w:p w14:paraId="090ADAA7" w14:textId="77777777" w:rsidR="000D79CE" w:rsidRPr="00901264" w:rsidRDefault="000D79CE" w:rsidP="00901264">
      <w:pPr>
        <w:spacing w:line="360" w:lineRule="auto"/>
        <w:jc w:val="both"/>
        <w:rPr>
          <w:rStyle w:val="SubtleEmphasis"/>
          <w:rFonts w:cstheme="minorHAnsi"/>
          <w:i w:val="0"/>
          <w:iCs w:val="0"/>
          <w:color w:val="auto"/>
        </w:rPr>
      </w:pPr>
    </w:p>
    <w:p w14:paraId="0DDE74A7" w14:textId="77777777" w:rsidR="000D79CE" w:rsidRPr="00901264" w:rsidRDefault="000D79CE" w:rsidP="00901264">
      <w:pPr>
        <w:spacing w:line="360" w:lineRule="auto"/>
        <w:jc w:val="both"/>
        <w:rPr>
          <w:rStyle w:val="SubtleEmphasis"/>
          <w:rFonts w:cstheme="minorHAnsi"/>
          <w:i w:val="0"/>
          <w:iCs w:val="0"/>
          <w:color w:val="auto"/>
        </w:rPr>
      </w:pPr>
    </w:p>
    <w:p w14:paraId="52435DD4" w14:textId="77777777" w:rsidR="001D1A6E" w:rsidRPr="00901264" w:rsidRDefault="001D1A6E" w:rsidP="00901264">
      <w:pPr>
        <w:spacing w:line="360" w:lineRule="auto"/>
        <w:rPr>
          <w:rStyle w:val="SubtleEmphasis"/>
          <w:rFonts w:cstheme="minorHAnsi"/>
          <w:i w:val="0"/>
          <w:iCs w:val="0"/>
          <w:color w:val="auto"/>
        </w:rPr>
      </w:pPr>
      <w:bookmarkStart w:id="1" w:name="_Hlk163321198"/>
    </w:p>
    <w:bookmarkStart w:id="2" w:name="_Toc164787227" w:displacedByCustomXml="next"/>
    <w:bookmarkEnd w:id="2" w:displacedByCustomXml="next"/>
    <w:sdt>
      <w:sdtPr>
        <w:rPr>
          <w:rFonts w:asciiTheme="minorHAnsi" w:eastAsiaTheme="minorHAnsi" w:hAnsiTheme="minorHAnsi" w:cstheme="minorHAnsi"/>
          <w:i/>
          <w:iCs/>
          <w:noProof/>
          <w:color w:val="auto"/>
          <w:kern w:val="2"/>
          <w:sz w:val="22"/>
          <w:szCs w:val="22"/>
          <w:lang w:val="en-GB"/>
          <w14:ligatures w14:val="standardContextual"/>
        </w:rPr>
        <w:id w:val="-1717507314"/>
        <w:docPartObj>
          <w:docPartGallery w:val="Table of Contents"/>
          <w:docPartUnique/>
        </w:docPartObj>
      </w:sdtPr>
      <w:sdtContent>
        <w:p w14:paraId="2635877A" w14:textId="5BD3C2F9" w:rsidR="00853009" w:rsidRPr="00901264" w:rsidRDefault="00853009" w:rsidP="00901264">
          <w:pPr>
            <w:pStyle w:val="TOCHeading"/>
            <w:spacing w:line="360" w:lineRule="auto"/>
            <w:rPr>
              <w:rFonts w:asciiTheme="minorHAnsi" w:hAnsiTheme="minorHAnsi" w:cstheme="minorHAnsi"/>
              <w:color w:val="auto"/>
              <w:sz w:val="22"/>
              <w:szCs w:val="22"/>
            </w:rPr>
          </w:pPr>
          <w:r w:rsidRPr="00901264">
            <w:rPr>
              <w:rFonts w:asciiTheme="minorHAnsi" w:hAnsiTheme="minorHAnsi" w:cstheme="minorHAnsi"/>
              <w:color w:val="auto"/>
              <w:sz w:val="22"/>
              <w:szCs w:val="22"/>
            </w:rPr>
            <w:t>Table of Contents</w:t>
          </w:r>
        </w:p>
        <w:p w14:paraId="6E9B0898" w14:textId="0F891DC7" w:rsidR="00853009" w:rsidRPr="00901264" w:rsidRDefault="00853009" w:rsidP="00901264">
          <w:pPr>
            <w:pStyle w:val="TOC1"/>
            <w:spacing w:line="360" w:lineRule="auto"/>
            <w:rPr>
              <w:rFonts w:cstheme="minorHAnsi"/>
            </w:rPr>
          </w:pPr>
          <w:r w:rsidRPr="00901264">
            <w:rPr>
              <w:rFonts w:cstheme="minorHAnsi"/>
              <w:b/>
              <w:bCs/>
            </w:rPr>
            <w:t>PART A</w:t>
          </w:r>
          <w:r w:rsidRPr="00901264">
            <w:rPr>
              <w:rFonts w:cstheme="minorHAnsi"/>
            </w:rPr>
            <w:t xml:space="preserve"> </w:t>
          </w:r>
          <w:r w:rsidRPr="00901264">
            <w:rPr>
              <w:rFonts w:cstheme="minorHAnsi"/>
            </w:rPr>
            <w:ptab w:relativeTo="margin" w:alignment="right" w:leader="dot"/>
          </w:r>
          <w:r w:rsidR="00A5258F" w:rsidRPr="00901264">
            <w:rPr>
              <w:rFonts w:cstheme="minorHAnsi"/>
              <w:b/>
              <w:bCs/>
            </w:rPr>
            <w:t>3</w:t>
          </w:r>
        </w:p>
        <w:p w14:paraId="065F6C93" w14:textId="589C768C" w:rsidR="00853009" w:rsidRPr="00901264" w:rsidRDefault="00853009" w:rsidP="00901264">
          <w:pPr>
            <w:spacing w:line="360" w:lineRule="auto"/>
            <w:jc w:val="both"/>
            <w:rPr>
              <w:rFonts w:cstheme="minorHAnsi"/>
              <w:b/>
              <w:bCs/>
              <w:lang w:val="en-US"/>
            </w:rPr>
          </w:pPr>
          <w:bookmarkStart w:id="3" w:name="_Hlk164787814"/>
          <w:r w:rsidRPr="00901264">
            <w:rPr>
              <w:rFonts w:cstheme="minorHAnsi"/>
              <w:b/>
              <w:bCs/>
              <w:lang w:val="en-US"/>
            </w:rPr>
            <w:t>Evolution of Pfizer Inc.: A Five-Year Overview of Strategic Events and Industry Dynamics</w:t>
          </w:r>
          <w:r w:rsidRPr="00901264">
            <w:rPr>
              <w:rFonts w:cstheme="minorHAnsi"/>
            </w:rPr>
            <w:ptab w:relativeTo="margin" w:alignment="right" w:leader="dot"/>
          </w:r>
          <w:r w:rsidR="00A5258F" w:rsidRPr="00901264">
            <w:rPr>
              <w:rFonts w:cstheme="minorHAnsi"/>
            </w:rPr>
            <w:t>3</w:t>
          </w:r>
        </w:p>
        <w:bookmarkEnd w:id="3"/>
        <w:p w14:paraId="15D50232" w14:textId="2007DEDA" w:rsidR="00853009" w:rsidRPr="00901264" w:rsidRDefault="00853009" w:rsidP="00901264">
          <w:pPr>
            <w:pStyle w:val="TOC1"/>
            <w:spacing w:line="360" w:lineRule="auto"/>
            <w:rPr>
              <w:rFonts w:cstheme="minorHAnsi"/>
            </w:rPr>
          </w:pPr>
          <w:r w:rsidRPr="00901264">
            <w:rPr>
              <w:rFonts w:cstheme="minorHAnsi"/>
              <w:b/>
              <w:bCs/>
            </w:rPr>
            <w:t xml:space="preserve">PART B </w:t>
          </w:r>
          <w:r w:rsidRPr="00901264">
            <w:rPr>
              <w:rFonts w:cstheme="minorHAnsi"/>
            </w:rPr>
            <w:ptab w:relativeTo="margin" w:alignment="right" w:leader="dot"/>
          </w:r>
          <w:r w:rsidR="00A5258F" w:rsidRPr="00901264">
            <w:rPr>
              <w:rFonts w:cstheme="minorHAnsi"/>
              <w:b/>
              <w:bCs/>
            </w:rPr>
            <w:t>6</w:t>
          </w:r>
        </w:p>
        <w:p w14:paraId="55B256CD" w14:textId="4F0D7C1F" w:rsidR="00853009" w:rsidRPr="00901264" w:rsidRDefault="00853009" w:rsidP="00901264">
          <w:pPr>
            <w:spacing w:line="360" w:lineRule="auto"/>
            <w:jc w:val="both"/>
            <w:rPr>
              <w:rFonts w:cstheme="minorHAnsi"/>
            </w:rPr>
          </w:pPr>
          <w:r w:rsidRPr="00901264">
            <w:rPr>
              <w:rFonts w:cstheme="minorHAnsi"/>
              <w:b/>
              <w:bCs/>
              <w:lang w:val="en-US"/>
            </w:rPr>
            <w:t>Critical Review of Pfizer Inc.'s Financial Performance: Analysis, Evaluation, Comparison, and Recommendations</w:t>
          </w:r>
          <w:r w:rsidRPr="00901264">
            <w:rPr>
              <w:rFonts w:cstheme="minorHAnsi"/>
            </w:rPr>
            <w:ptab w:relativeTo="margin" w:alignment="right" w:leader="dot"/>
          </w:r>
          <w:r w:rsidR="00A5258F" w:rsidRPr="00901264">
            <w:rPr>
              <w:rFonts w:cstheme="minorHAnsi"/>
            </w:rPr>
            <w:t>6</w:t>
          </w:r>
        </w:p>
        <w:p w14:paraId="35B8DB7A" w14:textId="652EA4E0" w:rsidR="00853009" w:rsidRPr="00901264" w:rsidRDefault="00853009" w:rsidP="00901264">
          <w:pPr>
            <w:pStyle w:val="TOC1"/>
            <w:spacing w:line="360" w:lineRule="auto"/>
            <w:rPr>
              <w:rFonts w:cstheme="minorHAnsi"/>
            </w:rPr>
          </w:pPr>
          <w:r w:rsidRPr="00901264">
            <w:rPr>
              <w:rFonts w:cstheme="minorHAnsi"/>
              <w:b/>
              <w:bCs/>
            </w:rPr>
            <w:t>PART C</w:t>
          </w:r>
          <w:r w:rsidRPr="00901264">
            <w:rPr>
              <w:rFonts w:cstheme="minorHAnsi"/>
            </w:rPr>
            <w:t xml:space="preserve"> </w:t>
          </w:r>
          <w:r w:rsidRPr="00901264">
            <w:rPr>
              <w:rFonts w:cstheme="minorHAnsi"/>
            </w:rPr>
            <w:ptab w:relativeTo="margin" w:alignment="right" w:leader="dot"/>
          </w:r>
          <w:r w:rsidR="00A5258F" w:rsidRPr="00901264">
            <w:rPr>
              <w:rFonts w:cstheme="minorHAnsi"/>
              <w:b/>
              <w:bCs/>
            </w:rPr>
            <w:t>12</w:t>
          </w:r>
        </w:p>
        <w:p w14:paraId="0FC8AB78" w14:textId="35551F25" w:rsidR="00853009" w:rsidRPr="00901264" w:rsidRDefault="00853009" w:rsidP="00901264">
          <w:pPr>
            <w:spacing w:line="360" w:lineRule="auto"/>
            <w:jc w:val="both"/>
            <w:rPr>
              <w:rFonts w:cstheme="minorHAnsi"/>
              <w:b/>
              <w:bCs/>
              <w:lang w:val="en-US"/>
            </w:rPr>
          </w:pPr>
          <w:r w:rsidRPr="00901264">
            <w:rPr>
              <w:rFonts w:cstheme="minorHAnsi"/>
              <w:b/>
              <w:bCs/>
              <w:lang w:val="en-US"/>
            </w:rPr>
            <w:t>Evaluation of Investment Opportunities and Nonfinancial Considerations</w:t>
          </w:r>
          <w:r w:rsidRPr="00901264">
            <w:rPr>
              <w:rFonts w:cstheme="minorHAnsi"/>
            </w:rPr>
            <w:ptab w:relativeTo="margin" w:alignment="right" w:leader="dot"/>
          </w:r>
          <w:r w:rsidR="00A5258F" w:rsidRPr="00901264">
            <w:rPr>
              <w:rFonts w:cstheme="minorHAnsi"/>
            </w:rPr>
            <w:t>12</w:t>
          </w:r>
        </w:p>
        <w:p w14:paraId="56B5F606" w14:textId="1944E96D" w:rsidR="00853009" w:rsidRPr="00901264" w:rsidRDefault="00000000" w:rsidP="00901264">
          <w:pPr>
            <w:spacing w:line="360" w:lineRule="auto"/>
            <w:jc w:val="both"/>
            <w:rPr>
              <w:rFonts w:cstheme="minorHAnsi"/>
            </w:rPr>
          </w:pPr>
        </w:p>
      </w:sdtContent>
    </w:sdt>
    <w:p w14:paraId="4F446FA7" w14:textId="77777777" w:rsidR="001D1A6E" w:rsidRPr="00901264" w:rsidRDefault="001D1A6E" w:rsidP="00901264">
      <w:pPr>
        <w:pStyle w:val="Heading1"/>
        <w:numPr>
          <w:ilvl w:val="0"/>
          <w:numId w:val="0"/>
        </w:numPr>
        <w:spacing w:line="360" w:lineRule="auto"/>
        <w:ind w:left="432" w:hanging="432"/>
        <w:rPr>
          <w:rStyle w:val="SubtleEmphasis"/>
          <w:rFonts w:asciiTheme="minorHAnsi" w:hAnsiTheme="minorHAnsi" w:cstheme="minorHAnsi"/>
          <w:i w:val="0"/>
          <w:iCs w:val="0"/>
          <w:color w:val="auto"/>
          <w:sz w:val="22"/>
          <w:szCs w:val="22"/>
        </w:rPr>
      </w:pPr>
    </w:p>
    <w:p w14:paraId="2BCDC885" w14:textId="77777777" w:rsidR="001D1A6E" w:rsidRPr="00901264" w:rsidRDefault="001D1A6E" w:rsidP="00901264">
      <w:pPr>
        <w:spacing w:line="360" w:lineRule="auto"/>
        <w:rPr>
          <w:rStyle w:val="SubtleEmphasis"/>
          <w:rFonts w:cstheme="minorHAnsi"/>
          <w:i w:val="0"/>
          <w:iCs w:val="0"/>
          <w:color w:val="auto"/>
        </w:rPr>
      </w:pPr>
    </w:p>
    <w:p w14:paraId="5A395EFB" w14:textId="77777777" w:rsidR="001D1A6E" w:rsidRPr="00901264" w:rsidRDefault="001D1A6E" w:rsidP="00901264">
      <w:pPr>
        <w:spacing w:line="360" w:lineRule="auto"/>
        <w:rPr>
          <w:rStyle w:val="SubtleEmphasis"/>
          <w:rFonts w:cstheme="minorHAnsi"/>
          <w:i w:val="0"/>
          <w:iCs w:val="0"/>
          <w:color w:val="auto"/>
        </w:rPr>
      </w:pPr>
    </w:p>
    <w:p w14:paraId="50AE1C1F" w14:textId="77777777" w:rsidR="001D1A6E" w:rsidRPr="00901264" w:rsidRDefault="001D1A6E" w:rsidP="00901264">
      <w:pPr>
        <w:spacing w:line="360" w:lineRule="auto"/>
        <w:rPr>
          <w:rStyle w:val="SubtleEmphasis"/>
          <w:rFonts w:cstheme="minorHAnsi"/>
          <w:i w:val="0"/>
          <w:iCs w:val="0"/>
          <w:color w:val="auto"/>
        </w:rPr>
      </w:pPr>
    </w:p>
    <w:p w14:paraId="5368F64D" w14:textId="77777777" w:rsidR="001D1A6E" w:rsidRPr="00901264" w:rsidRDefault="001D1A6E" w:rsidP="00901264">
      <w:pPr>
        <w:spacing w:line="360" w:lineRule="auto"/>
        <w:rPr>
          <w:rStyle w:val="SubtleEmphasis"/>
          <w:rFonts w:cstheme="minorHAnsi"/>
          <w:i w:val="0"/>
          <w:iCs w:val="0"/>
          <w:color w:val="auto"/>
        </w:rPr>
      </w:pPr>
    </w:p>
    <w:p w14:paraId="19FCF4FE" w14:textId="77777777" w:rsidR="001D1A6E" w:rsidRPr="00901264" w:rsidRDefault="001D1A6E" w:rsidP="00901264">
      <w:pPr>
        <w:spacing w:line="360" w:lineRule="auto"/>
        <w:rPr>
          <w:rStyle w:val="SubtleEmphasis"/>
          <w:rFonts w:cstheme="minorHAnsi"/>
          <w:i w:val="0"/>
          <w:iCs w:val="0"/>
          <w:color w:val="auto"/>
        </w:rPr>
      </w:pPr>
    </w:p>
    <w:p w14:paraId="399C7ECD" w14:textId="77777777" w:rsidR="001D1A6E" w:rsidRPr="00901264" w:rsidRDefault="001D1A6E" w:rsidP="00901264">
      <w:pPr>
        <w:spacing w:line="360" w:lineRule="auto"/>
        <w:rPr>
          <w:rStyle w:val="SubtleEmphasis"/>
          <w:rFonts w:cstheme="minorHAnsi"/>
          <w:i w:val="0"/>
          <w:iCs w:val="0"/>
          <w:color w:val="auto"/>
        </w:rPr>
      </w:pPr>
    </w:p>
    <w:p w14:paraId="38610807" w14:textId="77777777" w:rsidR="001D1A6E" w:rsidRPr="00901264" w:rsidRDefault="001D1A6E" w:rsidP="00901264">
      <w:pPr>
        <w:spacing w:line="360" w:lineRule="auto"/>
        <w:rPr>
          <w:rStyle w:val="SubtleEmphasis"/>
          <w:rFonts w:cstheme="minorHAnsi"/>
          <w:i w:val="0"/>
          <w:iCs w:val="0"/>
          <w:color w:val="auto"/>
        </w:rPr>
      </w:pPr>
    </w:p>
    <w:p w14:paraId="5EBF5322" w14:textId="77777777" w:rsidR="001D1A6E" w:rsidRPr="00901264" w:rsidRDefault="001D1A6E" w:rsidP="00901264">
      <w:pPr>
        <w:spacing w:line="360" w:lineRule="auto"/>
        <w:rPr>
          <w:rStyle w:val="SubtleEmphasis"/>
          <w:rFonts w:cstheme="minorHAnsi"/>
          <w:i w:val="0"/>
          <w:iCs w:val="0"/>
          <w:color w:val="auto"/>
        </w:rPr>
      </w:pPr>
    </w:p>
    <w:p w14:paraId="2F3499BF" w14:textId="77777777" w:rsidR="001D1A6E" w:rsidRPr="00901264" w:rsidRDefault="001D1A6E" w:rsidP="00901264">
      <w:pPr>
        <w:spacing w:line="360" w:lineRule="auto"/>
        <w:rPr>
          <w:rStyle w:val="SubtleEmphasis"/>
          <w:rFonts w:cstheme="minorHAnsi"/>
          <w:i w:val="0"/>
          <w:iCs w:val="0"/>
          <w:color w:val="auto"/>
        </w:rPr>
      </w:pPr>
    </w:p>
    <w:p w14:paraId="2A66BAE3" w14:textId="77777777" w:rsidR="001D1A6E" w:rsidRPr="00901264" w:rsidRDefault="001D1A6E" w:rsidP="00901264">
      <w:pPr>
        <w:spacing w:line="360" w:lineRule="auto"/>
        <w:rPr>
          <w:rStyle w:val="SubtleEmphasis"/>
          <w:rFonts w:cstheme="minorHAnsi"/>
          <w:i w:val="0"/>
          <w:iCs w:val="0"/>
          <w:color w:val="auto"/>
        </w:rPr>
      </w:pPr>
    </w:p>
    <w:p w14:paraId="544D1D34" w14:textId="77777777" w:rsidR="001D1A6E" w:rsidRPr="00901264" w:rsidRDefault="001D1A6E" w:rsidP="00901264">
      <w:pPr>
        <w:spacing w:line="360" w:lineRule="auto"/>
        <w:rPr>
          <w:rStyle w:val="SubtleEmphasis"/>
          <w:rFonts w:cstheme="minorHAnsi"/>
          <w:i w:val="0"/>
          <w:iCs w:val="0"/>
          <w:color w:val="auto"/>
        </w:rPr>
      </w:pPr>
    </w:p>
    <w:p w14:paraId="4331B966" w14:textId="77777777" w:rsidR="001D1A6E" w:rsidRPr="00901264" w:rsidRDefault="001D1A6E" w:rsidP="00901264">
      <w:pPr>
        <w:spacing w:line="360" w:lineRule="auto"/>
        <w:rPr>
          <w:rStyle w:val="SubtleEmphasis"/>
          <w:rFonts w:cstheme="minorHAnsi"/>
          <w:i w:val="0"/>
          <w:iCs w:val="0"/>
          <w:color w:val="auto"/>
        </w:rPr>
      </w:pPr>
    </w:p>
    <w:p w14:paraId="23AA71D9" w14:textId="77777777" w:rsidR="00A42D26" w:rsidRPr="00901264" w:rsidRDefault="00A42D26" w:rsidP="00901264">
      <w:pPr>
        <w:pStyle w:val="Heading2"/>
        <w:numPr>
          <w:ilvl w:val="0"/>
          <w:numId w:val="0"/>
        </w:numPr>
        <w:spacing w:line="360" w:lineRule="auto"/>
        <w:rPr>
          <w:rStyle w:val="SubtleEmphasis"/>
          <w:rFonts w:asciiTheme="minorHAnsi" w:hAnsiTheme="minorHAnsi" w:cstheme="minorHAnsi"/>
          <w:i w:val="0"/>
          <w:iCs w:val="0"/>
          <w:color w:val="auto"/>
          <w:sz w:val="22"/>
          <w:szCs w:val="22"/>
        </w:rPr>
      </w:pPr>
    </w:p>
    <w:p w14:paraId="74167E8C" w14:textId="77777777" w:rsidR="00901264" w:rsidRPr="00901264" w:rsidRDefault="00901264" w:rsidP="00901264"/>
    <w:p w14:paraId="429DA87A" w14:textId="77777777" w:rsidR="00901264" w:rsidRPr="00901264" w:rsidRDefault="00901264" w:rsidP="00901264"/>
    <w:p w14:paraId="7A69F1E7" w14:textId="21002721" w:rsidR="001D1A6E" w:rsidRPr="00901264" w:rsidRDefault="001D1A6E" w:rsidP="00901264">
      <w:pPr>
        <w:pStyle w:val="ListParagraph"/>
        <w:numPr>
          <w:ilvl w:val="0"/>
          <w:numId w:val="11"/>
        </w:num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lastRenderedPageBreak/>
        <w:t xml:space="preserve">PART A </w:t>
      </w:r>
    </w:p>
    <w:p w14:paraId="4ED89625" w14:textId="4F65BBAB" w:rsidR="00A5258F" w:rsidRPr="00901264" w:rsidRDefault="00A5258F" w:rsidP="00901264">
      <w:pPr>
        <w:spacing w:line="360" w:lineRule="auto"/>
        <w:ind w:left="360"/>
        <w:jc w:val="both"/>
        <w:rPr>
          <w:rStyle w:val="SubtleEmphasis"/>
          <w:rFonts w:cstheme="minorHAnsi"/>
          <w:b/>
          <w:bCs/>
          <w:i w:val="0"/>
          <w:iCs w:val="0"/>
          <w:color w:val="auto"/>
          <w:lang w:val="en-US"/>
        </w:rPr>
      </w:pPr>
      <w:bookmarkStart w:id="4" w:name="_Hlk164789295"/>
      <w:r w:rsidRPr="00901264">
        <w:rPr>
          <w:rFonts w:cstheme="minorHAnsi"/>
          <w:b/>
          <w:bCs/>
          <w:lang w:val="en-US"/>
        </w:rPr>
        <w:t>Evolution of Pfizer Inc.: A Five-Year Overview of Strategic Events and Industry Dynamics</w:t>
      </w:r>
    </w:p>
    <w:p w14:paraId="0EB73255" w14:textId="0DCCEDCE" w:rsidR="00FA21E3" w:rsidRPr="00901264" w:rsidRDefault="00FA21E3"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Brief Overview of Pfizer Inc.</w:t>
      </w:r>
    </w:p>
    <w:p w14:paraId="2F0F7CCC" w14:textId="49C47D1A"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 founded in 1849, is a titan in the pharmaceutical and biotechnology industry, known for its pioneering contributions (Garattini &amp; Bertele, 2015). The company excels in discovering, developing, manufacturing, and marketing an extensive array of prescription drugs and vaccines across various therapeutic areas (Atrill &amp; McClaney, 2018). Pfizer's core ethos is groundbreaking research and development (IQVIA, 2022).</w:t>
      </w:r>
    </w:p>
    <w:p w14:paraId="519BD64D" w14:textId="583216AE"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At the heart of Pfizer's operations lies a strategic framework that leverages partnerships and licensing agreements with fellow pharmaceutical entities (Garattini &amp; Bertele, 2015). These collaborations continuously enrich Pfizer's product portfolio, ensuring a comprehensive suite of offerings to meet evolving healthcare needs (Atrill &amp; McClaney, 2018).</w:t>
      </w:r>
    </w:p>
    <w:p w14:paraId="5EAB0ABF" w14:textId="149CE8CE"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On the global stage, Pfizer commands a formidable presence, deeply rooted in developed markets across North America and Europe (IQVIA, 2022). Moreover, the company actively pursues expansion initiatives, penetrating emerging markets with a zeal for broadening its global footprint (IQVIA, 2022).</w:t>
      </w:r>
    </w:p>
    <w:p w14:paraId="27ABC8C8" w14:textId="2AE84C43" w:rsidR="00FA21E3"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However, Pfizer's ascent is not challenging, as it contends with formidable rivals within the industry (Garattini &amp; Bertele, 2015). Established pharmaceutical powerhouses like Johnson &amp; Johnson, Merck &amp; Co., Novartis, Roche, and GlaxoSmithKline stand as formidable adversaries, driving Pfizer to continuously innovate and fortify its competitive edge in the ever-dynamic pharmaceutical landscape (Garattini &amp; Bertele, 2015).</w:t>
      </w:r>
    </w:p>
    <w:p w14:paraId="04425D6D" w14:textId="63E7E1BC" w:rsidR="00FA21E3" w:rsidRPr="00901264" w:rsidRDefault="00FA21E3"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Major Events Over the Past Five Years</w:t>
      </w:r>
    </w:p>
    <w:p w14:paraId="0106DDFE" w14:textId="5AF6E35A"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Pfizer Inc. is also a global pharmaceutical corporation headquartered in New York City. It </w:t>
      </w:r>
      <w:r w:rsidR="001B45B5" w:rsidRPr="00901264">
        <w:rPr>
          <w:rStyle w:val="SubtleEmphasis"/>
          <w:rFonts w:cstheme="minorHAnsi"/>
          <w:i w:val="0"/>
          <w:iCs w:val="0"/>
          <w:color w:val="auto"/>
        </w:rPr>
        <w:t>discovers, develops, manufactures, and markets</w:t>
      </w:r>
      <w:r w:rsidRPr="00901264">
        <w:rPr>
          <w:rStyle w:val="SubtleEmphasis"/>
          <w:rFonts w:cstheme="minorHAnsi"/>
          <w:i w:val="0"/>
          <w:iCs w:val="0"/>
          <w:color w:val="auto"/>
        </w:rPr>
        <w:t xml:space="preserve"> prescription medicines for humans and animals. Pfizer operates in various therapeutic areas, including oncology, immunology, cardiovascular disease, and vaccines. The company's business model involves investing heavily in research and development to bring innovative drugs to market while focusing on strategic partnerships and acquisitions to expand its product portfolio.</w:t>
      </w:r>
    </w:p>
    <w:p w14:paraId="7F7F0002" w14:textId="06A75269" w:rsidR="00FA21E3" w:rsidRPr="00901264" w:rsidRDefault="00FA21E3"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Historical Highlights (2019-2024)</w:t>
      </w:r>
    </w:p>
    <w:p w14:paraId="46304969" w14:textId="77777777"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2019: Pfizer acquires Allergan, a leading manufacturer of Botox and other aesthetic products, in a $68 billion deal, aiming to diversify its revenue stream and tap into the growing aesthetics market (CNBC, 2016).</w:t>
      </w:r>
    </w:p>
    <w:p w14:paraId="457D09C0" w14:textId="77777777"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2020: The COVID-19 pandemic disrupts clinical trials but propels Pfizer into the spotlight. Partnering with BioNTech, they developed one of the first highly effective mRNA vaccines against COVID-19 (Pfizer, 2020).</w:t>
      </w:r>
    </w:p>
    <w:p w14:paraId="68EBE4F6" w14:textId="77777777"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2021: Pfizer faces questions regarding vaccine equity as some countries struggle to access sufficient doses. They announce initiatives to increase production and access in developing nations (CFR, 2021).</w:t>
      </w:r>
    </w:p>
    <w:p w14:paraId="3CBBA5E2" w14:textId="3700A30B"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2022: Pfizer expands its vaccine portfolio, receiving emergency use authorization for its booster shots against COVID-19 variants. They also continue pipeline development for diseases like RSV (respiratory syncytial virus) (ClinicalTrials.gov, 2022).</w:t>
      </w:r>
    </w:p>
    <w:p w14:paraId="05D793E4" w14:textId="77777777"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2023: Pfizer navigates a post-pandemic landscape where demand for COVID-19 vaccines stabilizes. They focus on developing new treatments for chronic illnesses and expanding their oncology portfolio through acquisitions (Fierce Pharma, 2023).</w:t>
      </w:r>
    </w:p>
    <w:p w14:paraId="3A513B90" w14:textId="09527F24" w:rsidR="00FA21E3" w:rsidRPr="00901264" w:rsidRDefault="00FA21E3"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2024 (YTD): </w:t>
      </w:r>
      <w:r w:rsidR="00BE30EB" w:rsidRPr="00901264">
        <w:rPr>
          <w:rStyle w:val="SubtleEmphasis"/>
          <w:rFonts w:cstheme="minorHAnsi"/>
          <w:i w:val="0"/>
          <w:iCs w:val="0"/>
          <w:color w:val="auto"/>
        </w:rPr>
        <w:t>Pfizer faces potential patent challenges in some countri</w:t>
      </w:r>
      <w:r w:rsidR="0009016F" w:rsidRPr="00901264">
        <w:rPr>
          <w:rStyle w:val="SubtleEmphasis"/>
          <w:rFonts w:cstheme="minorHAnsi"/>
          <w:i w:val="0"/>
          <w:iCs w:val="0"/>
          <w:color w:val="auto"/>
        </w:rPr>
        <w:t>es for its COVID-19 vaccine</w:t>
      </w:r>
      <w:r w:rsidRPr="00901264">
        <w:rPr>
          <w:rStyle w:val="SubtleEmphasis"/>
          <w:rFonts w:cstheme="minorHAnsi"/>
          <w:i w:val="0"/>
          <w:iCs w:val="0"/>
          <w:color w:val="auto"/>
        </w:rPr>
        <w:t>. They continue to invest in research and development, exploring new technologies like gene therapy and mRNA applications beyond COVID-19 vaccines (Reuters, 2022).</w:t>
      </w:r>
    </w:p>
    <w:p w14:paraId="5966E3D2" w14:textId="14CCADD0" w:rsidR="00FA21E3" w:rsidRPr="00901264" w:rsidRDefault="00FA21E3"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Marketplace and Major Competitors</w:t>
      </w:r>
    </w:p>
    <w:p w14:paraId="0E0EAB7B" w14:textId="4D1F6A04"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 the highly competitive pharmaceutical sector, Pfizer faces formidable rivals such as Johnson &amp; Johnson, Merck &amp; Co., Novartis, and GlaxoSmithKline. These industry giants have extensive portfolios encompassing a wide range of pharmaceutical products, from cutting-edge medications to life-saving vaccines. To secure their positions in the market, these competitors employ aggressive marketing strategies and lead ambitious research and development initiatives to pioneer new treatments and therapies. With each company striving for a larger share of the global pharmaceutical market, competition remains intense, prompting Pfizer to continuously innovate and differentiate itself to maintain its competitive edge (Garattini &amp; Bertele, 2015).</w:t>
      </w:r>
    </w:p>
    <w:p w14:paraId="08738516" w14:textId="44D91A52"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In their efforts to dominate the market, Pfizer and its competitors invest heavily in research and development to bring innovative products to market. Pfizer, for instance, has been involved in developing various drugs and vaccines, including those aimed at addressing the COVID-19 pandemic (Fierce Pharma, n.d.). However, challenges arise, such as patent battles over COVID-19 vaccines, which have continued into </w:t>
      </w:r>
      <w:r w:rsidRPr="00901264">
        <w:rPr>
          <w:rStyle w:val="SubtleEmphasis"/>
          <w:rFonts w:cstheme="minorHAnsi"/>
          <w:i w:val="0"/>
          <w:iCs w:val="0"/>
          <w:color w:val="auto"/>
        </w:rPr>
        <w:lastRenderedPageBreak/>
        <w:t>recent years (Reuters, n.d.). These battles not only affect the revenue streams of these companies but also have broader implications for global health.</w:t>
      </w:r>
    </w:p>
    <w:p w14:paraId="766DA01C" w14:textId="57D39780"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Market dynamics also influence Pfizer's strategies. For example, Pfizer's revenue guidance 2024 reflects a decrease in demand for COVID-19 products, indicating the impact of changing market conditions (Fierce Pharma, n.d.). Additionally, Pfizer's ongoing development of an RSV vaccine demonstrates its commitment to addressing unmet medical needs (ClinicalTrials.gov, n.d.).</w:t>
      </w:r>
    </w:p>
    <w:p w14:paraId="453EA98F" w14:textId="0C5BC4F8"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Furthermore, Pfizer, like other pharmaceutical companies, faces regulatory challenges. Changes in regulations, such as those regarding tax inversion, can impact Pfizer's business decisions, as seen in the termination of the Pfizer-Allergan merger due to inversion rule changes (CNBC, 2016).</w:t>
      </w:r>
    </w:p>
    <w:p w14:paraId="442C3E0C" w14:textId="2633AD70"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financial performance is closely watched, with metrics like debt-to-equity Ratio providing insights into its financial health (YCharts, 2024). Economic indicators are crucial for investors and stakeholders in assessing Pfizer's stability and growth prospects.</w:t>
      </w:r>
    </w:p>
    <w:p w14:paraId="0950AE16" w14:textId="122E87E0"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 conclusion, Pfizer operates in a fiercely competitive pharmaceutical industry, where innovation, market dynamics, regulatory changes, and financial performance play critical roles. Through continuous innovation and strategic decisions, Pfizer strives to maintain its competitive edge amid the ever-evolving pharmaceutical market landscape.</w:t>
      </w:r>
    </w:p>
    <w:p w14:paraId="04ECF35F" w14:textId="77777777" w:rsidR="001D1A6E" w:rsidRPr="00901264" w:rsidRDefault="001D1A6E" w:rsidP="00901264">
      <w:pPr>
        <w:spacing w:line="360" w:lineRule="auto"/>
        <w:jc w:val="both"/>
        <w:rPr>
          <w:rStyle w:val="SubtleEmphasis"/>
          <w:rFonts w:cstheme="minorHAnsi"/>
          <w:i w:val="0"/>
          <w:iCs w:val="0"/>
          <w:color w:val="auto"/>
        </w:rPr>
      </w:pPr>
    </w:p>
    <w:p w14:paraId="32C5AA2E" w14:textId="77777777" w:rsidR="001D1A6E" w:rsidRPr="00901264" w:rsidRDefault="001D1A6E" w:rsidP="00901264">
      <w:pPr>
        <w:spacing w:line="360" w:lineRule="auto"/>
        <w:jc w:val="both"/>
        <w:rPr>
          <w:rStyle w:val="SubtleEmphasis"/>
          <w:rFonts w:cstheme="minorHAnsi"/>
          <w:i w:val="0"/>
          <w:iCs w:val="0"/>
          <w:color w:val="auto"/>
        </w:rPr>
      </w:pPr>
    </w:p>
    <w:p w14:paraId="7CF7E3C7" w14:textId="77777777" w:rsidR="001D1A6E" w:rsidRPr="00901264" w:rsidRDefault="001D1A6E" w:rsidP="00901264">
      <w:pPr>
        <w:spacing w:line="360" w:lineRule="auto"/>
        <w:jc w:val="both"/>
        <w:rPr>
          <w:rStyle w:val="SubtleEmphasis"/>
          <w:rFonts w:cstheme="minorHAnsi"/>
          <w:i w:val="0"/>
          <w:iCs w:val="0"/>
          <w:color w:val="auto"/>
        </w:rPr>
      </w:pPr>
    </w:p>
    <w:p w14:paraId="50BC79C8" w14:textId="77777777" w:rsidR="001D1A6E" w:rsidRPr="00901264" w:rsidRDefault="001D1A6E" w:rsidP="00901264">
      <w:pPr>
        <w:spacing w:line="360" w:lineRule="auto"/>
        <w:jc w:val="both"/>
        <w:rPr>
          <w:rStyle w:val="SubtleEmphasis"/>
          <w:rFonts w:cstheme="minorHAnsi"/>
          <w:i w:val="0"/>
          <w:iCs w:val="0"/>
          <w:color w:val="auto"/>
        </w:rPr>
      </w:pPr>
    </w:p>
    <w:p w14:paraId="281E22CC" w14:textId="77777777" w:rsidR="001D1A6E" w:rsidRPr="00901264" w:rsidRDefault="001D1A6E" w:rsidP="00901264">
      <w:pPr>
        <w:spacing w:line="360" w:lineRule="auto"/>
        <w:jc w:val="both"/>
        <w:rPr>
          <w:rStyle w:val="SubtleEmphasis"/>
          <w:rFonts w:cstheme="minorHAnsi"/>
          <w:i w:val="0"/>
          <w:iCs w:val="0"/>
          <w:color w:val="auto"/>
        </w:rPr>
      </w:pPr>
    </w:p>
    <w:p w14:paraId="0717BE69" w14:textId="77777777" w:rsidR="001D1A6E" w:rsidRPr="00901264" w:rsidRDefault="001D1A6E" w:rsidP="00901264">
      <w:pPr>
        <w:spacing w:line="360" w:lineRule="auto"/>
        <w:jc w:val="both"/>
        <w:rPr>
          <w:rStyle w:val="SubtleEmphasis"/>
          <w:rFonts w:cstheme="minorHAnsi"/>
          <w:i w:val="0"/>
          <w:iCs w:val="0"/>
          <w:color w:val="auto"/>
        </w:rPr>
      </w:pPr>
    </w:p>
    <w:p w14:paraId="0AAEA5FA" w14:textId="77777777" w:rsidR="001D1A6E" w:rsidRPr="00901264" w:rsidRDefault="001D1A6E" w:rsidP="00901264">
      <w:pPr>
        <w:spacing w:line="360" w:lineRule="auto"/>
        <w:jc w:val="both"/>
        <w:rPr>
          <w:rStyle w:val="SubtleEmphasis"/>
          <w:rFonts w:cstheme="minorHAnsi"/>
          <w:i w:val="0"/>
          <w:iCs w:val="0"/>
          <w:color w:val="auto"/>
        </w:rPr>
      </w:pPr>
    </w:p>
    <w:p w14:paraId="5CA36299" w14:textId="77777777" w:rsidR="001D1A6E" w:rsidRPr="00901264" w:rsidRDefault="001D1A6E" w:rsidP="00901264">
      <w:pPr>
        <w:spacing w:line="360" w:lineRule="auto"/>
        <w:jc w:val="both"/>
        <w:rPr>
          <w:rStyle w:val="SubtleEmphasis"/>
          <w:rFonts w:cstheme="minorHAnsi"/>
          <w:i w:val="0"/>
          <w:iCs w:val="0"/>
          <w:color w:val="auto"/>
        </w:rPr>
      </w:pPr>
    </w:p>
    <w:p w14:paraId="43AF36B8" w14:textId="77777777" w:rsidR="001D1A6E" w:rsidRPr="00901264" w:rsidRDefault="001D1A6E" w:rsidP="00901264">
      <w:pPr>
        <w:spacing w:line="360" w:lineRule="auto"/>
        <w:jc w:val="both"/>
        <w:rPr>
          <w:rStyle w:val="SubtleEmphasis"/>
          <w:rFonts w:cstheme="minorHAnsi"/>
          <w:i w:val="0"/>
          <w:iCs w:val="0"/>
          <w:color w:val="auto"/>
        </w:rPr>
      </w:pPr>
    </w:p>
    <w:p w14:paraId="6256603B" w14:textId="77777777" w:rsidR="001D1A6E" w:rsidRPr="00901264" w:rsidRDefault="001D1A6E" w:rsidP="00901264">
      <w:pPr>
        <w:spacing w:line="360" w:lineRule="auto"/>
        <w:jc w:val="both"/>
        <w:rPr>
          <w:rStyle w:val="SubtleEmphasis"/>
          <w:rFonts w:cstheme="minorHAnsi"/>
          <w:i w:val="0"/>
          <w:iCs w:val="0"/>
          <w:color w:val="auto"/>
        </w:rPr>
      </w:pPr>
    </w:p>
    <w:p w14:paraId="22E53E09" w14:textId="335E58A0" w:rsidR="001D1A6E" w:rsidRPr="00901264" w:rsidRDefault="001D1A6E" w:rsidP="00901264">
      <w:pPr>
        <w:pStyle w:val="ListParagraph"/>
        <w:numPr>
          <w:ilvl w:val="0"/>
          <w:numId w:val="11"/>
        </w:num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lastRenderedPageBreak/>
        <w:t xml:space="preserve">PART B </w:t>
      </w:r>
    </w:p>
    <w:p w14:paraId="46DBEB8C" w14:textId="001C0EE2" w:rsidR="009E23C7" w:rsidRPr="00901264" w:rsidRDefault="00A5258F" w:rsidP="00901264">
      <w:pPr>
        <w:spacing w:line="360" w:lineRule="auto"/>
        <w:jc w:val="both"/>
        <w:rPr>
          <w:rStyle w:val="SubtleEmphasis"/>
          <w:rFonts w:cstheme="minorHAnsi"/>
          <w:i w:val="0"/>
          <w:iCs w:val="0"/>
          <w:color w:val="auto"/>
        </w:rPr>
      </w:pPr>
      <w:r w:rsidRPr="00901264">
        <w:rPr>
          <w:rFonts w:cstheme="minorHAnsi"/>
          <w:b/>
          <w:bCs/>
          <w:lang w:val="en-US"/>
        </w:rPr>
        <w:t>Critical Review of Pfizer Inc.'s Financial Performance: Analysis, Evaluation, Comparison, and Recommendations</w:t>
      </w:r>
      <w:bookmarkStart w:id="5" w:name="_Hlk164337311"/>
    </w:p>
    <w:p w14:paraId="602E7A2E" w14:textId="798332BA" w:rsidR="009E23C7" w:rsidRPr="00901264" w:rsidRDefault="009E23C7"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Objectives </w:t>
      </w:r>
    </w:p>
    <w:p w14:paraId="7424818A" w14:textId="113A0CB9" w:rsidR="009E23C7" w:rsidRPr="00901264" w:rsidRDefault="009E23C7"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This critical review evaluates Pfizer Inc.'s financial performance by analyzing key financial ratios and comparing them to industry benchmarks. By thoroughly assessing Pfizer's financial position, the review aims to provide insight into its strengths and weaknesses and recommend improving its financial management practices.</w:t>
      </w:r>
    </w:p>
    <w:bookmarkEnd w:id="1"/>
    <w:p w14:paraId="00CD0B8A" w14:textId="4CC2653E" w:rsidR="00D1393B" w:rsidRPr="00901264" w:rsidRDefault="009E23C7"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Financial Ratio Analysis </w:t>
      </w:r>
    </w:p>
    <w:p w14:paraId="212BD955" w14:textId="6310C589" w:rsidR="00D1393B" w:rsidRPr="00901264" w:rsidRDefault="00D1393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Pfizer Inc.'s financial performance is crucial for understanding its ability to sustain growth, manage risks, and deliver value to shareholders. </w:t>
      </w:r>
    </w:p>
    <w:p w14:paraId="0C1BDFEA" w14:textId="169532F9" w:rsidR="00D1393B" w:rsidRPr="00901264" w:rsidRDefault="00D1393B"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Profitability Ratios</w:t>
      </w:r>
    </w:p>
    <w:p w14:paraId="09F9C781" w14:textId="2A0C6A91" w:rsidR="00D1393B" w:rsidRPr="00901264" w:rsidRDefault="00D1393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net profit margin of 29.5% in 2022 signifies robust profitability and efficient cost management strategies (Pfizer Inc., 2023). This figure aligns with industry standards and underscores Pfizer's adeptness in converting revenue into profits. However, a deeper analysis of trends is needed for sustainability assessment. Garattini and Bertele (2015) offer insights into pharmaceutical companies' financial dynamics, which can complement this analysis. Additionally, while specific ROE values aren't provided, a comparison with industry benchmarks suggested by Krishnan (2018) is crucial to understanding Pfizer's profitability efficiency.</w:t>
      </w:r>
    </w:p>
    <w:p w14:paraId="6FD7C10A" w14:textId="7AB82F4C" w:rsidR="00D1393B" w:rsidRPr="00901264" w:rsidRDefault="00D1393B"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Liquidity Ratios</w:t>
      </w:r>
    </w:p>
    <w:p w14:paraId="2B9F5890" w14:textId="5A0EB5A1" w:rsidR="00D1393B" w:rsidRPr="00901264" w:rsidRDefault="00D1393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current Ratio of 1.27 in 2022 indicates a reasonably sound liquidity position (Pfizer Inc., 2023). However, further examination is needed to evaluate working capital management and cash flow dynamics. Dyllick and Hockerts (2002) discuss liquidity management strategies, which can provide a broader context for this assessment.</w:t>
      </w:r>
    </w:p>
    <w:p w14:paraId="1B8FFF49" w14:textId="7B6217DD" w:rsidR="00D1393B" w:rsidRPr="00901264" w:rsidRDefault="00D1393B"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Gearing Ratios</w:t>
      </w:r>
    </w:p>
    <w:p w14:paraId="2DA02485" w14:textId="5E2E120C" w:rsidR="00D1393B" w:rsidRPr="00901264" w:rsidRDefault="00D1393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Pfizer's debt-to-equity (D/E) ratio of 0.48 in 2022 indicates a moderate level of financial leverage (Pfizer Inc., 2023). It suggests Pfizer's ability to manage debt prudently while optimizing its capital structure. </w:t>
      </w:r>
      <w:r w:rsidRPr="00901264">
        <w:rPr>
          <w:rStyle w:val="SubtleEmphasis"/>
          <w:rFonts w:cstheme="minorHAnsi"/>
          <w:i w:val="0"/>
          <w:iCs w:val="0"/>
          <w:color w:val="auto"/>
        </w:rPr>
        <w:lastRenderedPageBreak/>
        <w:t>Academic literature, such as Daemmrich (2010) and Johnson &amp; Pfizer (2009), provides insights into corporate sustainability and economic risk, which can further inform this analysis.</w:t>
      </w:r>
    </w:p>
    <w:p w14:paraId="3ADF5484" w14:textId="3F0498C1" w:rsidR="00D1393B" w:rsidRPr="00901264" w:rsidRDefault="00D1393B"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Efficiency Ratios</w:t>
      </w:r>
    </w:p>
    <w:p w14:paraId="155CA201" w14:textId="015AB7E2" w:rsidR="00D1393B" w:rsidRPr="00901264" w:rsidRDefault="00D1393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inventory turnover ratio 4.82 for 2022 indicates efficient inventory management practices and supply chain optimization (Pfizer Inc., 2023). Daemmrich (2010) and Grabowski &amp; Vernon (2017) offer insights into pharmaceutical industry dynamics, which can enhance our understanding of Pfizer's operational efficiency and competitive positioning.</w:t>
      </w:r>
    </w:p>
    <w:p w14:paraId="1B0EBF15" w14:textId="7CBC1371" w:rsidR="009E23C7" w:rsidRPr="00901264" w:rsidRDefault="009E23C7"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Critical Evaluation of Financial Ratios</w:t>
      </w:r>
    </w:p>
    <w:p w14:paraId="57D34DA5" w14:textId="104D1D24" w:rsidR="009E23C7" w:rsidRPr="00901264" w:rsidRDefault="009E23C7"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 Inc.'s financial performance is fundamental for evaluating its ability to navigate the pharmaceutical industry's complexities effectively. We can gain valuable insights into Pfizer's operational efficiency and overall economic well-being by scrutinizing vital financial ratios, including profitability, liquidity, gearing, and efficiency. Drawing upon data from Pfizer's annual reports and academic literature, this critical evaluation aims to analyze Pfizer's financial ratios and their implications comprehensively.</w:t>
      </w:r>
      <w:r w:rsidR="00D1393B" w:rsidRPr="00901264">
        <w:rPr>
          <w:rStyle w:val="SubtleEmphasis"/>
          <w:rFonts w:cstheme="minorHAnsi"/>
          <w:i w:val="0"/>
          <w:iCs w:val="0"/>
          <w:color w:val="auto"/>
        </w:rPr>
        <w:t xml:space="preserve"> Pfizer's financial performance is fundamental for evaluating its ability to navigate the pharmaceutical industry effectively. Analysis of profitability, liquidity, gearing, and efficiency ratios, along with insights from academic literature and industry reports, provides a comprehensive assessment. This holistic approach, integrating quantitative analysis with insights from scholarly works, enables stakeholders to make informed decisions regarding investment and strategic initiatives. Based on the calculated financial ratios, Pfizer demonstrates strong profitability, adequate liquidity, moderate gearing, and efficient asset utilization. Pfizer Inc.'s financial performance is crucial for understanding its ability to sustain growth, manage risks, and deliver value to shareholders. We can gain insights into Pfizer's profitability, liquidity, gearing, and efficiency through a critical review of key financial metrics and ratios. Utilizing data from reputable sources such as Pfizer's annual reports and academic journals, this section aims to provide a comprehensive analysis of Pfizer's financial health.</w:t>
      </w:r>
    </w:p>
    <w:p w14:paraId="101D9681" w14:textId="174B6980" w:rsidR="009E23C7" w:rsidRPr="00901264" w:rsidRDefault="004A6349"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Comparison with Competitor </w:t>
      </w:r>
      <w:r w:rsidR="009E23C7" w:rsidRPr="00901264">
        <w:rPr>
          <w:rStyle w:val="SubtleEmphasis"/>
          <w:rFonts w:cstheme="minorHAnsi"/>
          <w:i w:val="0"/>
          <w:iCs w:val="0"/>
          <w:color w:val="auto"/>
        </w:rPr>
        <w:t xml:space="preserve"> Pfizer Inc. vs. Johnson &amp; Johnson</w:t>
      </w:r>
    </w:p>
    <w:p w14:paraId="2713ACE4" w14:textId="23336A0C" w:rsidR="004A6349" w:rsidRPr="00901264" w:rsidRDefault="004A6349"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Financial Comparison </w:t>
      </w:r>
    </w:p>
    <w:p w14:paraId="2291AA80" w14:textId="1B1245FD" w:rsidR="009E23C7" w:rsidRPr="00901264" w:rsidRDefault="009E23C7"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It is essential to compare its financial ratios with those of a significant competitor, Johnson &amp; Johnson. Leveraging data from Johnson &amp; Johnson's annual reports allows for a meaningful comparison, shedding light on both companies' competitive positions and financial strategies.</w:t>
      </w:r>
    </w:p>
    <w:p w14:paraId="4D26048D" w14:textId="1E88B6C5"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Interpretation</w:t>
      </w:r>
    </w:p>
    <w:p w14:paraId="46898072"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Profitability Ratio</w:t>
      </w:r>
    </w:p>
    <w:p w14:paraId="4B7B8712" w14:textId="1B7B4F6E"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net profit margin of 29.5% for 2022 demonstrates robust profitability, aligning with industry standards (Pfizer Inc., 2023; Atrill &amp; McClaney, 2018). In contrast, Johnson &amp; Johnson's net profit margin may vary, potentially reflecting cost structure differences, product portfolio, and market dynamics (Atrill &amp; McClaney, 2018). A detailed analysis of Johnson &amp; Johnson's profitability ratios would provide insights into companies' relative performance in generating revenue profits (JNJ.com, 2024a).</w:t>
      </w:r>
    </w:p>
    <w:p w14:paraId="5CF995F4"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Liquidity Ratio</w:t>
      </w:r>
    </w:p>
    <w:p w14:paraId="41B4291D" w14:textId="35435343"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current ratio 1.27 indicates a relatively healthy liquidity position, suggesting sufficient current assets to cover short-term liabilities (Pfizer Inc., 2023; Atrill &amp; McClaney, 2018). Comparing this with Johnson &amp; Johnson's current Ratio would reveal differences in liquidity management and working capital efficiency between the two companies (JNJ.com, 2024b). Any significant disparities in liquidity ratios could signal varying approaches to managing short-term financial obligations and cash flow dynamics (Atrill &amp; McClaney, 2018).</w:t>
      </w:r>
    </w:p>
    <w:p w14:paraId="379A04CB"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Gearing Ratio</w:t>
      </w:r>
    </w:p>
    <w:p w14:paraId="3D7C325D" w14:textId="72DE03AF"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debt-to-equity (D/E) ratio of 0.48 reflects a moderate level of financial leverage and a balanced capital structure (Pfizer Inc., 2023; Atrill &amp; McClaney, 2018). Contrasting this with Johnson &amp; Johnson's D/E ratio would reveal differences in debt management strategies and risk exposure (JNJ.com, 2024b). Variations in gearing ratios could influence investors' perceptions of each company's financial stability and long-term growth potential (Atrill &amp; McClaney, 2018).</w:t>
      </w:r>
    </w:p>
    <w:p w14:paraId="60A4FE30"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Efficiency Ratio</w:t>
      </w:r>
    </w:p>
    <w:p w14:paraId="205D4816" w14:textId="1E3CED14"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Pfizer's inventory turnover ratio 4.82 highlights its efficiency in managing inventory levels and optimizing supply chain operations (Pfizer Inc., 2023; Atrill &amp; McClaney, 2018). Comparing this with Johnson &amp; Johnson's inventory turnover ratio would illustrate operational effectiveness and asset utilization differences (JNJ.com, 2024b). Disparities in efficiency ratios could indicate the two companies' distinct inventory management and production process approaches (Atrill &amp; McClaney, 2018).</w:t>
      </w:r>
    </w:p>
    <w:p w14:paraId="4F9B335A" w14:textId="44DE0E42"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Implications</w:t>
      </w:r>
    </w:p>
    <w:p w14:paraId="100DD9F1"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Competitive Position</w:t>
      </w:r>
    </w:p>
    <w:p w14:paraId="7648C7AF" w14:textId="5093A422"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The comparison of financial ratios between Pfizer and Johnson &amp; Johnson provides insights into their relative competitive positions within the pharmaceutical industry (Atrill &amp; McClaney, 2018). Variations in profitability, liquidity, gearing, and efficiency metrics may influence market perceptions of each company's performance and competitiveness (JNJ.com, 2024a).</w:t>
      </w:r>
    </w:p>
    <w:p w14:paraId="61218D9E"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Financial Strategies</w:t>
      </w:r>
    </w:p>
    <w:p w14:paraId="201D6717" w14:textId="4B0C945A"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Analyzing differences or similarities in financial ratios helps identify potential areas of strength or weakness in each company's economic strategies (Atrill &amp; McClaney, 2018). Pfizer and Johnson &amp; Johnson may adopt different approaches to financial management, capital allocation, and risk mitigation based on their respective financial profiles and market objectives (JNJ.com, 2024b).</w:t>
      </w:r>
    </w:p>
    <w:p w14:paraId="6A32EBC5" w14:textId="2308AD4E"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 conclusion, comparing financial ratios between Pfizer Inc. and Johnson &amp; Johnson offers valuable insights into their economic performance, competitive dynamics, and strategic priorities. By examining key metrics, stakeholders can better understand the nuances of each company's financial position and make informed decisions regarding investment, partnership, or competitive positioning strategies.</w:t>
      </w:r>
    </w:p>
    <w:p w14:paraId="57EC81DC" w14:textId="794DF4E2"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Recommendations for Financial Management Improvement</w:t>
      </w:r>
    </w:p>
    <w:p w14:paraId="2D3BA410" w14:textId="14CB2B1B"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Drawing insights from the critical analysis of Pfizer Inc.'s financial performance and industry comparisons, the following recommendations are proposed to augment the company's financial management practices:</w:t>
      </w:r>
    </w:p>
    <w:p w14:paraId="173CEA05" w14:textId="6D92F78A"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Profitability Enhancement</w:t>
      </w:r>
    </w:p>
    <w:p w14:paraId="3E2672F3" w14:textId="57B61B0E"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Streamline Operational Processes: Based on academic research insights (Dyllick &amp; Hockerts, 2002), Pfizer should focus on streamlining its operational processes to reduce costs and enhance profitability. By optimizing resource allocation and eliminating inefficiencies, Pfizer can improve its bottom line while maintaining product quality.</w:t>
      </w:r>
    </w:p>
    <w:p w14:paraId="07FB4B7D" w14:textId="0038D509"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Invest in Research and Development (R&amp;D): As Krishnan (2018) highlighted, investing in R&amp;D is essential for sustaining growth and innovation in the pharmaceutical sector. Pfizer should allocate resources strategically to fund R&amp;D initiatives to develop new drugs and therapies, secure future revenue streams, and maintain a competitive edge.</w:t>
      </w:r>
    </w:p>
    <w:p w14:paraId="4E8BB095" w14:textId="01B5E800"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Liquidity Management</w:t>
      </w:r>
    </w:p>
    <w:p w14:paraId="60022A7B" w14:textId="77777777" w:rsidR="001D1A6E" w:rsidRPr="00901264" w:rsidRDefault="001D1A6E" w:rsidP="00901264">
      <w:pPr>
        <w:spacing w:line="360" w:lineRule="auto"/>
        <w:jc w:val="both"/>
        <w:rPr>
          <w:rStyle w:val="SubtleEmphasis"/>
          <w:rFonts w:cstheme="minorHAnsi"/>
          <w:i w:val="0"/>
          <w:iCs w:val="0"/>
          <w:color w:val="auto"/>
        </w:rPr>
      </w:pPr>
    </w:p>
    <w:p w14:paraId="6B954055" w14:textId="1F5171CB"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Enhance Working Capital Management: According to industry reports (EvaluatePharma, 2023), efficient working capital management is crucial for pharmaceutical companies to maintain liquidity and operational flexibility. To enhance liquidity, Pfizer should implement best practices in working capital management, such as optimizing inventory levels and negotiating favorable payment terms with suppliers.</w:t>
      </w:r>
    </w:p>
    <w:p w14:paraId="2A0A0CDE" w14:textId="12874314"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Implement Cash Flow Forecasting Mechanisms: Daemmrich (2010) emphasizes the importance of cash flow forecasting in managing liquidity risks. Pfizer should establish robust cash flow forecasting mechanisms to accurately anticipate cash inflows and outflows, enabling proactive liquidity management and strategic decision-making.</w:t>
      </w:r>
    </w:p>
    <w:p w14:paraId="2F093927" w14:textId="38A57FB1"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Debt Optimization</w:t>
      </w:r>
    </w:p>
    <w:p w14:paraId="771B9CFF" w14:textId="2D2F6A73"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Monitor Debt Levels: Following insights from Grabowski &amp; Vernon (2017), Pfizer should closely monitor its debt levels and assess the cost-effectiveness of debt financing options. Regular monitoring will allow Pfizer to identify opportunities to refinance existing debt at favorable terms, minimize interest expenses, and optimize the capital structure.</w:t>
      </w:r>
    </w:p>
    <w:p w14:paraId="60C7CDE2" w14:textId="0F139991"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Consider Refinancing: Johnson &amp; Pfizer (2009) suggest refinancing existing debt obligations can improve financial flexibility and reduce debt-related risks. Pfizer should explore opportunities to refinance its debt obligations, taking advantage of favorable interest rates and extending debt maturities to enhance financial stability.</w:t>
      </w:r>
    </w:p>
    <w:p w14:paraId="602435D6" w14:textId="35B830A7"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Operational Efficiency</w:t>
      </w:r>
    </w:p>
    <w:p w14:paraId="6B7178EE" w14:textId="0B2EFF1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Streamline Supply Chain Operations: Garattini &amp; Bertele (2015) highlight the importance of supply chain optimization in improving operational efficiency. Pfizer should assess its supply chain operations to identify areas for improvement, such as reducing lead times and optimizing inventory levels, ultimately enhancing operational efficiency and reducing costs.</w:t>
      </w:r>
    </w:p>
    <w:p w14:paraId="7B39444F" w14:textId="7777777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Leverage Data Analytics and Technology Solutions: According to IQVIA (2022), leveraging data analytics and technology solutions can drive operational efficiencies in the pharmaceutical industry. Pfizer should invest in advanced analytics tools and technology solutions to optimize production processes, improve resource allocation, and enhance decision-making capabilities.</w:t>
      </w:r>
    </w:p>
    <w:p w14:paraId="5EFE82A8" w14:textId="77777777" w:rsidR="001D1A6E" w:rsidRPr="00901264" w:rsidRDefault="001D1A6E" w:rsidP="00901264">
      <w:pPr>
        <w:spacing w:line="360" w:lineRule="auto"/>
        <w:jc w:val="both"/>
        <w:rPr>
          <w:rStyle w:val="SubtleEmphasis"/>
          <w:rFonts w:cstheme="minorHAnsi"/>
          <w:i w:val="0"/>
          <w:iCs w:val="0"/>
          <w:color w:val="auto"/>
        </w:rPr>
      </w:pPr>
    </w:p>
    <w:p w14:paraId="1B568725" w14:textId="24FCC709"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By implementing these recommendations, Pfizer can strengthen its financial management practices, improve operational performance, and sustain long-term growth and profitability in the competitive pharmaceutical landscape.</w:t>
      </w:r>
    </w:p>
    <w:p w14:paraId="3A966BE7" w14:textId="5826EFA6" w:rsidR="001D1A6E" w:rsidRPr="00901264" w:rsidRDefault="001D1A6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Conclusion</w:t>
      </w:r>
    </w:p>
    <w:p w14:paraId="6708FAB8" w14:textId="4ED03F3C"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 conclusion, the critical analysis of Pfizer Inc.'s financial performance, supported by insights from academic literature and industry reports, provides valuable perspectives on the company's strengths, challenges, and opportunities for improvement.</w:t>
      </w:r>
    </w:p>
    <w:p w14:paraId="07C6F6DE" w14:textId="658DC6BC"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As evidenced by a healthy net profit margin and return on equity, Pfizer's robust profitability underscores its efficiency in generating earnings and maximizing shareholder value (Pfizer Inc., 2023; Atrill &amp; McClaney, 2018). Academic research by Garattini &amp; Bertele (2015) and Johnson &amp; Pfizer (2009) emphasizes the importance of profitability in sustaining competitiveness and driving long-term growth in the pharmaceutical industry.</w:t>
      </w:r>
    </w:p>
    <w:p w14:paraId="56D71662" w14:textId="62AE2BB9"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Moreover, Pfizer's liquidity position appears relatively stable, with a current ratio indicating sufficient assets to meet short-term obligations (Pfizer Inc., 2023; Atrill &amp; McClaney, 2018). However, opportunities exist to enhance working capital management and cash flow forecasting, as suggested by Daemmrich (2010) and EvaluatePharma (2023), to strengthen liquidity and operational flexibility further.</w:t>
      </w:r>
    </w:p>
    <w:p w14:paraId="6E08D1EE" w14:textId="2616B146"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The company's moderate gearing ratio reflects a prudent approach to debt management, aligning with recommendations from Grabowski &amp; Vernon (2017) to monitor debt levels and explore refinancing options. By optimizing its capital structure and minimizing debt-related risks, Pfizer can enhance financial stability and mitigate potential challenges in a dynamic market environment.</w:t>
      </w:r>
    </w:p>
    <w:p w14:paraId="1D9420DD" w14:textId="4F9B810D"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Furthermore, Pfizer's operational efficiency, demonstrated by a favorable inventory turnover ratio, underscores its effective inventory management practices and supply chain optimization efforts (Pfizer Inc., 2023; Atrill &amp; McClaney, 2018). Academic insights from Dyllick &amp; Hockerts (2002) and IQVIA (2022) highlight the importance of operational efficiency in driving cost savings and enhancing competitiveness.</w:t>
      </w:r>
    </w:p>
    <w:p w14:paraId="504417E3" w14:textId="77ED9497" w:rsidR="001D1A6E" w:rsidRPr="00901264" w:rsidRDefault="001D1A6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 conclusion, while Pfizer exhibits strengths in profitability, liquidity, gearing, and efficiency, there are areas for improvement, particularly in working capital management, debt optimization, and supply chain operations. By implementing the recommended strategies and leveraging insights from academic literature and industry reports, Pfizer can strengthen its financial management practices, mitigate risks, and position itself for sustained success in the pharmaceutical industry.</w:t>
      </w:r>
      <w:bookmarkStart w:id="6" w:name="_Hlk164684177"/>
      <w:bookmarkEnd w:id="5"/>
    </w:p>
    <w:bookmarkEnd w:id="6"/>
    <w:p w14:paraId="7E06CC4E" w14:textId="0D848BE1" w:rsidR="00883435" w:rsidRPr="00901264" w:rsidRDefault="001D1A6E" w:rsidP="00901264">
      <w:pPr>
        <w:pStyle w:val="ListParagraph"/>
        <w:numPr>
          <w:ilvl w:val="0"/>
          <w:numId w:val="11"/>
        </w:num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lastRenderedPageBreak/>
        <w:t>PART C</w:t>
      </w:r>
    </w:p>
    <w:p w14:paraId="55CF62D9" w14:textId="1D98AB94" w:rsidR="00A5258F" w:rsidRPr="00901264" w:rsidRDefault="00901264" w:rsidP="00901264">
      <w:pPr>
        <w:spacing w:line="360" w:lineRule="auto"/>
        <w:ind w:left="360"/>
        <w:jc w:val="both"/>
        <w:rPr>
          <w:rStyle w:val="SubtleEmphasis"/>
          <w:rFonts w:cstheme="minorHAnsi"/>
          <w:b/>
          <w:bCs/>
          <w:i w:val="0"/>
          <w:iCs w:val="0"/>
          <w:color w:val="auto"/>
          <w:lang w:val="en-US"/>
        </w:rPr>
      </w:pPr>
      <w:r w:rsidRPr="00901264">
        <w:rPr>
          <w:rFonts w:cstheme="minorHAnsi"/>
          <w:b/>
          <w:bCs/>
          <w:lang w:val="en-US"/>
        </w:rPr>
        <w:t>Evaluation of Investment Opportunities and Nonfinancial Considerations</w:t>
      </w:r>
    </w:p>
    <w:p w14:paraId="27FD0481" w14:textId="03FEE62E" w:rsidR="00CA6176" w:rsidRPr="00901264" w:rsidRDefault="00C13023"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Financial Analysis and Recommendation for Project Selection</w:t>
      </w:r>
    </w:p>
    <w:p w14:paraId="335C5560" w14:textId="690CA57B" w:rsidR="00016CE8"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The cash flow details of two promising projects, which are mutually exclusive, have been provided for analysis. </w:t>
      </w:r>
      <w:r w:rsidR="00016CE8" w:rsidRPr="00901264">
        <w:rPr>
          <w:rStyle w:val="SubtleEmphasis"/>
          <w:rFonts w:cstheme="minorHAnsi"/>
          <w:i w:val="0"/>
          <w:iCs w:val="0"/>
          <w:color w:val="auto"/>
        </w:rPr>
        <w:t xml:space="preserve">Year Projected Cash Flows (£m) </w:t>
      </w:r>
    </w:p>
    <w:tbl>
      <w:tblPr>
        <w:tblW w:w="3775" w:type="dxa"/>
        <w:jc w:val="center"/>
        <w:tblLook w:val="04A0" w:firstRow="1" w:lastRow="0" w:firstColumn="1" w:lastColumn="0" w:noHBand="0" w:noVBand="1"/>
      </w:tblPr>
      <w:tblGrid>
        <w:gridCol w:w="720"/>
        <w:gridCol w:w="1525"/>
        <w:gridCol w:w="1530"/>
      </w:tblGrid>
      <w:tr w:rsidR="00901264" w:rsidRPr="00901264" w14:paraId="000694DB" w14:textId="77777777" w:rsidTr="00901264">
        <w:trPr>
          <w:trHeight w:val="300"/>
          <w:jc w:val="center"/>
        </w:trPr>
        <w:tc>
          <w:tcPr>
            <w:tcW w:w="7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811D80" w14:textId="17BC8F67" w:rsidR="00016CE8" w:rsidRPr="00901264" w:rsidRDefault="0009016F"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Year</w:t>
            </w:r>
          </w:p>
        </w:tc>
        <w:tc>
          <w:tcPr>
            <w:tcW w:w="1525" w:type="dxa"/>
            <w:tcBorders>
              <w:top w:val="single" w:sz="4" w:space="0" w:color="auto"/>
              <w:left w:val="nil"/>
              <w:bottom w:val="single" w:sz="4" w:space="0" w:color="auto"/>
              <w:right w:val="single" w:sz="4" w:space="0" w:color="auto"/>
            </w:tcBorders>
            <w:shd w:val="clear" w:color="auto" w:fill="auto"/>
            <w:noWrap/>
            <w:vAlign w:val="bottom"/>
            <w:hideMark/>
          </w:tcPr>
          <w:p w14:paraId="6B55B3E1" w14:textId="188BFD7F" w:rsidR="00016CE8" w:rsidRPr="00901264" w:rsidRDefault="0009016F"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 xml:space="preserve">Project </w:t>
            </w:r>
            <w:r w:rsidR="00016CE8" w:rsidRPr="00901264">
              <w:rPr>
                <w:rStyle w:val="SubtleEmphasis"/>
                <w:rFonts w:cstheme="minorHAnsi"/>
                <w:i w:val="0"/>
                <w:iCs w:val="0"/>
                <w:color w:val="auto"/>
              </w:rPr>
              <w:t>A</w:t>
            </w:r>
          </w:p>
        </w:tc>
        <w:tc>
          <w:tcPr>
            <w:tcW w:w="1530" w:type="dxa"/>
            <w:tcBorders>
              <w:top w:val="single" w:sz="4" w:space="0" w:color="auto"/>
              <w:left w:val="nil"/>
              <w:bottom w:val="single" w:sz="4" w:space="0" w:color="auto"/>
              <w:right w:val="single" w:sz="4" w:space="0" w:color="auto"/>
            </w:tcBorders>
            <w:shd w:val="clear" w:color="auto" w:fill="auto"/>
            <w:noWrap/>
            <w:vAlign w:val="bottom"/>
            <w:hideMark/>
          </w:tcPr>
          <w:p w14:paraId="51E2ACA8" w14:textId="37D619CA" w:rsidR="00016CE8" w:rsidRPr="00901264" w:rsidRDefault="0009016F"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 xml:space="preserve">Project </w:t>
            </w:r>
            <w:r w:rsidR="00016CE8" w:rsidRPr="00901264">
              <w:rPr>
                <w:rStyle w:val="SubtleEmphasis"/>
                <w:rFonts w:cstheme="minorHAnsi"/>
                <w:i w:val="0"/>
                <w:iCs w:val="0"/>
                <w:color w:val="auto"/>
              </w:rPr>
              <w:t>B</w:t>
            </w:r>
          </w:p>
        </w:tc>
      </w:tr>
      <w:tr w:rsidR="00901264" w:rsidRPr="00901264" w14:paraId="3082A8BF" w14:textId="77777777" w:rsidTr="00901264">
        <w:trPr>
          <w:trHeight w:val="315"/>
          <w:jc w:val="center"/>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178957A6"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0</w:t>
            </w:r>
          </w:p>
        </w:tc>
        <w:tc>
          <w:tcPr>
            <w:tcW w:w="1525" w:type="dxa"/>
            <w:tcBorders>
              <w:top w:val="nil"/>
              <w:left w:val="nil"/>
              <w:bottom w:val="single" w:sz="4" w:space="0" w:color="auto"/>
              <w:right w:val="single" w:sz="4" w:space="0" w:color="auto"/>
            </w:tcBorders>
            <w:shd w:val="clear" w:color="auto" w:fill="auto"/>
            <w:noWrap/>
            <w:vAlign w:val="bottom"/>
            <w:hideMark/>
          </w:tcPr>
          <w:p w14:paraId="0AF436BA"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-5000</w:t>
            </w:r>
          </w:p>
        </w:tc>
        <w:tc>
          <w:tcPr>
            <w:tcW w:w="1530" w:type="dxa"/>
            <w:tcBorders>
              <w:top w:val="nil"/>
              <w:left w:val="nil"/>
              <w:bottom w:val="single" w:sz="4" w:space="0" w:color="auto"/>
              <w:right w:val="single" w:sz="4" w:space="0" w:color="auto"/>
            </w:tcBorders>
            <w:shd w:val="clear" w:color="auto" w:fill="auto"/>
            <w:noWrap/>
            <w:vAlign w:val="bottom"/>
            <w:hideMark/>
          </w:tcPr>
          <w:p w14:paraId="55E44046"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7227B7CB" w14:textId="77777777" w:rsidTr="00901264">
        <w:trPr>
          <w:trHeight w:val="315"/>
          <w:jc w:val="center"/>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1F907D8E"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w:t>
            </w:r>
          </w:p>
        </w:tc>
        <w:tc>
          <w:tcPr>
            <w:tcW w:w="1525" w:type="dxa"/>
            <w:tcBorders>
              <w:top w:val="nil"/>
              <w:left w:val="nil"/>
              <w:bottom w:val="single" w:sz="4" w:space="0" w:color="auto"/>
              <w:right w:val="single" w:sz="4" w:space="0" w:color="auto"/>
            </w:tcBorders>
            <w:shd w:val="clear" w:color="auto" w:fill="auto"/>
            <w:noWrap/>
            <w:vAlign w:val="bottom"/>
            <w:hideMark/>
          </w:tcPr>
          <w:p w14:paraId="052D8615"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2500</w:t>
            </w:r>
          </w:p>
        </w:tc>
        <w:tc>
          <w:tcPr>
            <w:tcW w:w="1530" w:type="dxa"/>
            <w:tcBorders>
              <w:top w:val="nil"/>
              <w:left w:val="nil"/>
              <w:bottom w:val="single" w:sz="4" w:space="0" w:color="auto"/>
              <w:right w:val="single" w:sz="4" w:space="0" w:color="auto"/>
            </w:tcBorders>
            <w:shd w:val="clear" w:color="auto" w:fill="auto"/>
            <w:noWrap/>
            <w:vAlign w:val="bottom"/>
            <w:hideMark/>
          </w:tcPr>
          <w:p w14:paraId="3E7D90C5"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1500</w:t>
            </w:r>
          </w:p>
        </w:tc>
      </w:tr>
      <w:tr w:rsidR="00901264" w:rsidRPr="00901264" w14:paraId="6E3B4795" w14:textId="77777777" w:rsidTr="00901264">
        <w:trPr>
          <w:trHeight w:val="300"/>
          <w:jc w:val="center"/>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78C2EBF7"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w:t>
            </w:r>
          </w:p>
        </w:tc>
        <w:tc>
          <w:tcPr>
            <w:tcW w:w="1525" w:type="dxa"/>
            <w:tcBorders>
              <w:top w:val="nil"/>
              <w:left w:val="nil"/>
              <w:bottom w:val="single" w:sz="4" w:space="0" w:color="auto"/>
              <w:right w:val="single" w:sz="4" w:space="0" w:color="auto"/>
            </w:tcBorders>
            <w:shd w:val="clear" w:color="auto" w:fill="auto"/>
            <w:noWrap/>
            <w:vAlign w:val="bottom"/>
            <w:hideMark/>
          </w:tcPr>
          <w:p w14:paraId="68E3616F"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2000</w:t>
            </w:r>
          </w:p>
        </w:tc>
        <w:tc>
          <w:tcPr>
            <w:tcW w:w="1530" w:type="dxa"/>
            <w:tcBorders>
              <w:top w:val="nil"/>
              <w:left w:val="nil"/>
              <w:bottom w:val="single" w:sz="4" w:space="0" w:color="auto"/>
              <w:right w:val="single" w:sz="4" w:space="0" w:color="auto"/>
            </w:tcBorders>
            <w:shd w:val="clear" w:color="auto" w:fill="auto"/>
            <w:noWrap/>
            <w:vAlign w:val="bottom"/>
            <w:hideMark/>
          </w:tcPr>
          <w:p w14:paraId="761DBF28"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243E0BA6" w14:textId="77777777" w:rsidTr="00901264">
        <w:trPr>
          <w:trHeight w:val="300"/>
          <w:jc w:val="center"/>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73360840"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3</w:t>
            </w:r>
          </w:p>
        </w:tc>
        <w:tc>
          <w:tcPr>
            <w:tcW w:w="1525" w:type="dxa"/>
            <w:tcBorders>
              <w:top w:val="nil"/>
              <w:left w:val="nil"/>
              <w:bottom w:val="single" w:sz="4" w:space="0" w:color="auto"/>
              <w:right w:val="single" w:sz="4" w:space="0" w:color="auto"/>
            </w:tcBorders>
            <w:shd w:val="clear" w:color="auto" w:fill="auto"/>
            <w:noWrap/>
            <w:vAlign w:val="bottom"/>
            <w:hideMark/>
          </w:tcPr>
          <w:p w14:paraId="7AE77974"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c>
          <w:tcPr>
            <w:tcW w:w="1530" w:type="dxa"/>
            <w:tcBorders>
              <w:top w:val="nil"/>
              <w:left w:val="nil"/>
              <w:bottom w:val="single" w:sz="4" w:space="0" w:color="auto"/>
              <w:right w:val="single" w:sz="4" w:space="0" w:color="auto"/>
            </w:tcBorders>
            <w:shd w:val="clear" w:color="auto" w:fill="auto"/>
            <w:noWrap/>
            <w:vAlign w:val="bottom"/>
            <w:hideMark/>
          </w:tcPr>
          <w:p w14:paraId="1D2B613C"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43CEA85D" w14:textId="77777777" w:rsidTr="00901264">
        <w:trPr>
          <w:trHeight w:val="300"/>
          <w:jc w:val="center"/>
        </w:trPr>
        <w:tc>
          <w:tcPr>
            <w:tcW w:w="720" w:type="dxa"/>
            <w:tcBorders>
              <w:top w:val="nil"/>
              <w:left w:val="single" w:sz="4" w:space="0" w:color="auto"/>
              <w:bottom w:val="single" w:sz="4" w:space="0" w:color="auto"/>
              <w:right w:val="single" w:sz="4" w:space="0" w:color="auto"/>
            </w:tcBorders>
            <w:shd w:val="clear" w:color="auto" w:fill="auto"/>
            <w:noWrap/>
            <w:vAlign w:val="bottom"/>
            <w:hideMark/>
          </w:tcPr>
          <w:p w14:paraId="7B519267"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w:t>
            </w:r>
          </w:p>
        </w:tc>
        <w:tc>
          <w:tcPr>
            <w:tcW w:w="1525" w:type="dxa"/>
            <w:tcBorders>
              <w:top w:val="nil"/>
              <w:left w:val="nil"/>
              <w:bottom w:val="single" w:sz="4" w:space="0" w:color="auto"/>
              <w:right w:val="single" w:sz="4" w:space="0" w:color="auto"/>
            </w:tcBorders>
            <w:shd w:val="clear" w:color="auto" w:fill="auto"/>
            <w:noWrap/>
            <w:vAlign w:val="bottom"/>
            <w:hideMark/>
          </w:tcPr>
          <w:p w14:paraId="036A74FB"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-442</w:t>
            </w:r>
          </w:p>
        </w:tc>
        <w:tc>
          <w:tcPr>
            <w:tcW w:w="1530" w:type="dxa"/>
            <w:tcBorders>
              <w:top w:val="nil"/>
              <w:left w:val="nil"/>
              <w:bottom w:val="single" w:sz="4" w:space="0" w:color="auto"/>
              <w:right w:val="single" w:sz="4" w:space="0" w:color="auto"/>
            </w:tcBorders>
            <w:shd w:val="clear" w:color="auto" w:fill="auto"/>
            <w:noWrap/>
            <w:vAlign w:val="bottom"/>
            <w:hideMark/>
          </w:tcPr>
          <w:p w14:paraId="26166287" w14:textId="77777777" w:rsidR="00016CE8" w:rsidRPr="00901264" w:rsidRDefault="00016CE8"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-470</w:t>
            </w:r>
          </w:p>
        </w:tc>
      </w:tr>
    </w:tbl>
    <w:p w14:paraId="62AF1CD3" w14:textId="62E42F46" w:rsidR="00016CE8" w:rsidRDefault="00016CE8" w:rsidP="00901264">
      <w:pPr>
        <w:spacing w:line="360" w:lineRule="auto"/>
        <w:jc w:val="both"/>
        <w:rPr>
          <w:rStyle w:val="SubtleEmphasis"/>
          <w:rFonts w:cstheme="minorHAnsi"/>
          <w:i w:val="0"/>
          <w:iCs w:val="0"/>
          <w:color w:val="auto"/>
        </w:rPr>
      </w:pPr>
    </w:p>
    <w:p w14:paraId="74881FAC" w14:textId="718A9D8B" w:rsidR="00901264" w:rsidRPr="00901264" w:rsidRDefault="00901264"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Table 3.1. Cash Flows for project A and B</w:t>
      </w:r>
    </w:p>
    <w:p w14:paraId="1DD2CA19" w14:textId="47468111" w:rsidR="000D79CE"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Assume that the company's cost of capital is currently at 0.75 percent. Assume all cash flows arise at year</w:t>
      </w:r>
      <w:r w:rsidR="00CA6176" w:rsidRPr="00901264">
        <w:rPr>
          <w:rStyle w:val="SubtleEmphasis"/>
          <w:rFonts w:cstheme="minorHAnsi"/>
          <w:i w:val="0"/>
          <w:iCs w:val="0"/>
          <w:color w:val="auto"/>
        </w:rPr>
        <w:t xml:space="preserve"> </w:t>
      </w:r>
      <w:r w:rsidRPr="00901264">
        <w:rPr>
          <w:rStyle w:val="SubtleEmphasis"/>
          <w:rFonts w:cstheme="minorHAnsi"/>
          <w:i w:val="0"/>
          <w:iCs w:val="0"/>
          <w:color w:val="auto"/>
        </w:rPr>
        <w:t>ends and ignore taxation and inflation.</w:t>
      </w:r>
    </w:p>
    <w:p w14:paraId="3A9FEDE2" w14:textId="5BC87E66" w:rsidR="000D79CE" w:rsidRPr="00901264" w:rsidRDefault="000D79CE"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Payback Period (PBP)</w:t>
      </w:r>
    </w:p>
    <w:p w14:paraId="496BBC38" w14:textId="75BD9A20"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The payback period (PBP) is a simple financial metric used to evaluate the time it takes for an investment to recover its initial cost. The formula for calculating the payback period is:</w:t>
      </w:r>
    </w:p>
    <w:p w14:paraId="3522A154" w14:textId="4591FCA9" w:rsidR="0009016F" w:rsidRPr="00901264" w:rsidRDefault="0009016F" w:rsidP="00901264">
      <w:pPr>
        <w:spacing w:line="360" w:lineRule="auto"/>
        <w:jc w:val="center"/>
        <w:rPr>
          <w:rStyle w:val="SubtleEmphasis"/>
          <w:rFonts w:cstheme="minorHAnsi"/>
          <w:i w:val="0"/>
          <w:iCs w:val="0"/>
          <w:color w:val="auto"/>
        </w:rPr>
      </w:pPr>
      <w:r w:rsidRPr="00901264">
        <w:rPr>
          <w:rStyle w:val="SubtleEmphasis"/>
          <w:rFonts w:cstheme="minorHAnsi"/>
          <w:i w:val="0"/>
          <w:iCs w:val="0"/>
          <w:color w:val="auto"/>
        </w:rPr>
        <w:t>Payback period</w:t>
      </w:r>
      <m:oMath>
        <m:r>
          <m:rPr>
            <m:sty m:val="p"/>
          </m:rPr>
          <w:rPr>
            <w:rStyle w:val="SubtleEmphasis"/>
            <w:rFonts w:ascii="Cambria Math" w:hAnsi="Cambria Math" w:cstheme="minorHAnsi"/>
            <w:color w:val="auto"/>
          </w:rPr>
          <m:t>=</m:t>
        </m:r>
      </m:oMath>
      <w:r w:rsidRPr="00901264">
        <w:rPr>
          <w:rStyle w:val="SubtleEmphasis"/>
          <w:rFonts w:cstheme="minorHAnsi"/>
          <w:i w:val="0"/>
          <w:iCs w:val="0"/>
          <w:color w:val="auto"/>
        </w:rPr>
        <w:t xml:space="preserve"> </w:t>
      </w:r>
      <m:oMath>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Initial Investment</m:t>
            </m:r>
          </m:num>
          <m:den>
            <m:r>
              <m:rPr>
                <m:sty m:val="p"/>
              </m:rPr>
              <w:rPr>
                <w:rStyle w:val="SubtleEmphasis"/>
                <w:rFonts w:ascii="Cambria Math" w:hAnsi="Cambria Math" w:cstheme="minorHAnsi"/>
                <w:color w:val="auto"/>
              </w:rPr>
              <m:t>Net Anual Cash Inflow</m:t>
            </m:r>
          </m:den>
        </m:f>
      </m:oMath>
    </w:p>
    <w:p w14:paraId="6699DFB7" w14:textId="6A441AC8"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Equation </w:t>
      </w:r>
      <w:r w:rsidR="00901264" w:rsidRPr="00901264">
        <w:rPr>
          <w:rStyle w:val="SubtleEmphasis"/>
          <w:rFonts w:cstheme="minorHAnsi"/>
          <w:color w:val="767171" w:themeColor="background2" w:themeShade="80"/>
        </w:rPr>
        <w:t xml:space="preserve">3.1. Payback period </w:t>
      </w:r>
    </w:p>
    <w:p w14:paraId="74BFC8AD" w14:textId="0F08C58D"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Where:</w:t>
      </w:r>
    </w:p>
    <w:p w14:paraId="29BF50C9" w14:textId="27311EAC"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The initial investment is the amount of money invested initially. Net Annual Cash Inflow refers to the cash inflow generated by the investment on an annual basis. However, if the net annual cash inflow is constant each year, you can use a simpler version of the formula:</w:t>
      </w:r>
    </w:p>
    <w:p w14:paraId="24C50E9B" w14:textId="484786F7" w:rsidR="00CA6176" w:rsidRPr="00901264" w:rsidRDefault="0009016F" w:rsidP="00901264">
      <w:pPr>
        <w:spacing w:line="360" w:lineRule="auto"/>
        <w:jc w:val="center"/>
        <w:rPr>
          <w:rStyle w:val="SubtleEmphasis"/>
          <w:rFonts w:cstheme="minorHAnsi"/>
          <w:i w:val="0"/>
          <w:iCs w:val="0"/>
          <w:color w:val="auto"/>
        </w:rPr>
      </w:pPr>
      <w:r w:rsidRPr="00901264">
        <w:rPr>
          <w:rStyle w:val="SubtleEmphasis"/>
          <w:rFonts w:cstheme="minorHAnsi"/>
          <w:i w:val="0"/>
          <w:iCs w:val="0"/>
          <w:color w:val="auto"/>
        </w:rPr>
        <w:t>Payback period</w:t>
      </w:r>
      <m:oMath>
        <m:r>
          <m:rPr>
            <m:sty m:val="p"/>
          </m:rPr>
          <w:rPr>
            <w:rStyle w:val="SubtleEmphasis"/>
            <w:rFonts w:ascii="Cambria Math" w:hAnsi="Cambria Math" w:cstheme="minorHAnsi"/>
            <w:color w:val="auto"/>
          </w:rPr>
          <m:t>=</m:t>
        </m:r>
      </m:oMath>
      <w:r w:rsidRPr="00901264">
        <w:rPr>
          <w:rStyle w:val="SubtleEmphasis"/>
          <w:rFonts w:cstheme="minorHAnsi"/>
          <w:i w:val="0"/>
          <w:iCs w:val="0"/>
          <w:color w:val="auto"/>
        </w:rPr>
        <w:t xml:space="preserve"> </w:t>
      </w:r>
      <m:oMath>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 xml:space="preserve">Initial Investment </m:t>
            </m:r>
          </m:num>
          <m:den>
            <m:r>
              <m:rPr>
                <m:sty m:val="p"/>
              </m:rPr>
              <w:rPr>
                <w:rStyle w:val="SubtleEmphasis"/>
                <w:rFonts w:ascii="Cambria Math" w:hAnsi="Cambria Math" w:cstheme="minorHAnsi"/>
                <w:color w:val="auto"/>
              </w:rPr>
              <m:t xml:space="preserve">Annual Cech Inflow </m:t>
            </m:r>
          </m:den>
        </m:f>
      </m:oMath>
    </w:p>
    <w:p w14:paraId="39A88147" w14:textId="0E2FF281"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Equation </w:t>
      </w:r>
      <w:r w:rsidR="00901264" w:rsidRPr="00901264">
        <w:rPr>
          <w:rStyle w:val="SubtleEmphasis"/>
          <w:rFonts w:cstheme="minorHAnsi"/>
          <w:color w:val="767171" w:themeColor="background2" w:themeShade="80"/>
        </w:rPr>
        <w:t xml:space="preserve">3.2. Payback period </w:t>
      </w:r>
    </w:p>
    <w:p w14:paraId="23E0D7D9" w14:textId="1D3B22FB" w:rsidR="00CA6176" w:rsidRPr="00901264" w:rsidRDefault="0009016F" w:rsidP="00901264">
      <w:pPr>
        <w:spacing w:line="360" w:lineRule="auto"/>
        <w:rPr>
          <w:rStyle w:val="SubtleEmphasis"/>
          <w:rFonts w:cstheme="minorHAnsi"/>
          <w:b/>
          <w:bCs/>
          <w:i w:val="0"/>
          <w:iCs w:val="0"/>
          <w:color w:val="auto"/>
        </w:rPr>
      </w:pPr>
      <w:r w:rsidRPr="00901264">
        <w:rPr>
          <w:rStyle w:val="SubtleEmphasis"/>
          <w:rFonts w:cstheme="minorHAnsi"/>
          <w:b/>
          <w:bCs/>
          <w:i w:val="0"/>
          <w:iCs w:val="0"/>
          <w:color w:val="auto"/>
        </w:rPr>
        <w:lastRenderedPageBreak/>
        <w:t>P</w:t>
      </w:r>
      <w:r w:rsidR="00CA6176" w:rsidRPr="00901264">
        <w:rPr>
          <w:rStyle w:val="SubtleEmphasis"/>
          <w:rFonts w:cstheme="minorHAnsi"/>
          <w:b/>
          <w:bCs/>
          <w:i w:val="0"/>
          <w:iCs w:val="0"/>
          <w:color w:val="auto"/>
        </w:rPr>
        <w:t>R</w:t>
      </w:r>
      <w:r w:rsidRPr="00901264">
        <w:rPr>
          <w:rStyle w:val="SubtleEmphasis"/>
          <w:rFonts w:cstheme="minorHAnsi"/>
          <w:b/>
          <w:bCs/>
          <w:i w:val="0"/>
          <w:iCs w:val="0"/>
          <w:color w:val="auto"/>
        </w:rPr>
        <w:t>OJECT  A</w:t>
      </w:r>
    </w:p>
    <w:tbl>
      <w:tblPr>
        <w:tblpPr w:leftFromText="180" w:rightFromText="180" w:vertAnchor="text" w:tblpXSpec="center" w:tblpY="1"/>
        <w:tblOverlap w:val="never"/>
        <w:tblW w:w="6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134"/>
        <w:gridCol w:w="5521"/>
      </w:tblGrid>
      <w:tr w:rsidR="00901264" w:rsidRPr="00901264" w14:paraId="42C472E4" w14:textId="77777777" w:rsidTr="00901264">
        <w:trPr>
          <w:trHeight w:val="298"/>
        </w:trPr>
        <w:tc>
          <w:tcPr>
            <w:tcW w:w="0" w:type="auto"/>
            <w:tcMar>
              <w:top w:w="30" w:type="dxa"/>
              <w:left w:w="45" w:type="dxa"/>
              <w:bottom w:w="30" w:type="dxa"/>
              <w:right w:w="45" w:type="dxa"/>
            </w:tcMar>
            <w:vAlign w:val="bottom"/>
            <w:hideMark/>
          </w:tcPr>
          <w:p w14:paraId="5C3A6C7C"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**Year</w:t>
            </w:r>
          </w:p>
        </w:tc>
        <w:tc>
          <w:tcPr>
            <w:tcW w:w="5521" w:type="dxa"/>
            <w:tcMar>
              <w:top w:w="30" w:type="dxa"/>
              <w:left w:w="45" w:type="dxa"/>
              <w:bottom w:w="30" w:type="dxa"/>
              <w:right w:w="45" w:type="dxa"/>
            </w:tcMar>
            <w:vAlign w:val="bottom"/>
            <w:hideMark/>
          </w:tcPr>
          <w:p w14:paraId="4860C077"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Cash Flow (CFt)**</w:t>
            </w:r>
          </w:p>
        </w:tc>
      </w:tr>
      <w:tr w:rsidR="00901264" w:rsidRPr="00901264" w14:paraId="26D3714B" w14:textId="77777777" w:rsidTr="00901264">
        <w:trPr>
          <w:trHeight w:val="298"/>
        </w:trPr>
        <w:tc>
          <w:tcPr>
            <w:tcW w:w="0" w:type="auto"/>
            <w:tcMar>
              <w:top w:w="30" w:type="dxa"/>
              <w:left w:w="45" w:type="dxa"/>
              <w:bottom w:w="30" w:type="dxa"/>
              <w:right w:w="45" w:type="dxa"/>
            </w:tcMar>
            <w:vAlign w:val="bottom"/>
            <w:hideMark/>
          </w:tcPr>
          <w:p w14:paraId="0578709F" w14:textId="00B9B84D"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0</w:t>
            </w:r>
          </w:p>
        </w:tc>
        <w:tc>
          <w:tcPr>
            <w:tcW w:w="5521" w:type="dxa"/>
            <w:tcMar>
              <w:top w:w="30" w:type="dxa"/>
              <w:left w:w="45" w:type="dxa"/>
              <w:bottom w:w="30" w:type="dxa"/>
              <w:right w:w="45" w:type="dxa"/>
            </w:tcMar>
            <w:vAlign w:val="bottom"/>
            <w:hideMark/>
          </w:tcPr>
          <w:p w14:paraId="7885246D"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-5000 (Initial Investment)</w:t>
            </w:r>
          </w:p>
        </w:tc>
      </w:tr>
      <w:tr w:rsidR="00901264" w:rsidRPr="00901264" w14:paraId="4B0332C5" w14:textId="77777777" w:rsidTr="00901264">
        <w:trPr>
          <w:trHeight w:val="298"/>
        </w:trPr>
        <w:tc>
          <w:tcPr>
            <w:tcW w:w="0" w:type="auto"/>
            <w:tcMar>
              <w:top w:w="30" w:type="dxa"/>
              <w:left w:w="45" w:type="dxa"/>
              <w:bottom w:w="30" w:type="dxa"/>
              <w:right w:w="45" w:type="dxa"/>
            </w:tcMar>
            <w:vAlign w:val="bottom"/>
            <w:hideMark/>
          </w:tcPr>
          <w:p w14:paraId="18AE224A"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w:t>
            </w:r>
          </w:p>
        </w:tc>
        <w:tc>
          <w:tcPr>
            <w:tcW w:w="5521" w:type="dxa"/>
            <w:tcMar>
              <w:top w:w="30" w:type="dxa"/>
              <w:left w:w="45" w:type="dxa"/>
              <w:bottom w:w="30" w:type="dxa"/>
              <w:right w:w="45" w:type="dxa"/>
            </w:tcMar>
            <w:vAlign w:val="bottom"/>
            <w:hideMark/>
          </w:tcPr>
          <w:p w14:paraId="6B6634C4"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2500</w:t>
            </w:r>
          </w:p>
        </w:tc>
      </w:tr>
      <w:tr w:rsidR="00901264" w:rsidRPr="00901264" w14:paraId="5AB7A982" w14:textId="77777777" w:rsidTr="00901264">
        <w:trPr>
          <w:trHeight w:val="298"/>
        </w:trPr>
        <w:tc>
          <w:tcPr>
            <w:tcW w:w="0" w:type="auto"/>
            <w:tcMar>
              <w:top w:w="30" w:type="dxa"/>
              <w:left w:w="45" w:type="dxa"/>
              <w:bottom w:w="30" w:type="dxa"/>
              <w:right w:w="45" w:type="dxa"/>
            </w:tcMar>
            <w:vAlign w:val="bottom"/>
            <w:hideMark/>
          </w:tcPr>
          <w:p w14:paraId="54BF9B3D"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w:t>
            </w:r>
          </w:p>
        </w:tc>
        <w:tc>
          <w:tcPr>
            <w:tcW w:w="5521" w:type="dxa"/>
            <w:tcMar>
              <w:top w:w="30" w:type="dxa"/>
              <w:left w:w="45" w:type="dxa"/>
              <w:bottom w:w="30" w:type="dxa"/>
              <w:right w:w="45" w:type="dxa"/>
            </w:tcMar>
            <w:vAlign w:val="bottom"/>
            <w:hideMark/>
          </w:tcPr>
          <w:p w14:paraId="55B34DAC"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2000</w:t>
            </w:r>
          </w:p>
        </w:tc>
      </w:tr>
      <w:tr w:rsidR="00901264" w:rsidRPr="00901264" w14:paraId="1758BE06" w14:textId="77777777" w:rsidTr="00901264">
        <w:trPr>
          <w:trHeight w:val="298"/>
        </w:trPr>
        <w:tc>
          <w:tcPr>
            <w:tcW w:w="0" w:type="auto"/>
            <w:tcMar>
              <w:top w:w="30" w:type="dxa"/>
              <w:left w:w="45" w:type="dxa"/>
              <w:bottom w:w="30" w:type="dxa"/>
              <w:right w:w="45" w:type="dxa"/>
            </w:tcMar>
            <w:vAlign w:val="bottom"/>
            <w:hideMark/>
          </w:tcPr>
          <w:p w14:paraId="52EEBAE4"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3</w:t>
            </w:r>
          </w:p>
        </w:tc>
        <w:tc>
          <w:tcPr>
            <w:tcW w:w="5521" w:type="dxa"/>
            <w:tcMar>
              <w:top w:w="30" w:type="dxa"/>
              <w:left w:w="45" w:type="dxa"/>
              <w:bottom w:w="30" w:type="dxa"/>
              <w:right w:w="45" w:type="dxa"/>
            </w:tcMar>
            <w:vAlign w:val="bottom"/>
            <w:hideMark/>
          </w:tcPr>
          <w:p w14:paraId="2B848E6D"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59F592B6" w14:textId="77777777" w:rsidTr="00901264">
        <w:trPr>
          <w:trHeight w:val="298"/>
        </w:trPr>
        <w:tc>
          <w:tcPr>
            <w:tcW w:w="0" w:type="auto"/>
            <w:tcMar>
              <w:top w:w="30" w:type="dxa"/>
              <w:left w:w="45" w:type="dxa"/>
              <w:bottom w:w="30" w:type="dxa"/>
              <w:right w:w="45" w:type="dxa"/>
            </w:tcMar>
            <w:vAlign w:val="bottom"/>
            <w:hideMark/>
          </w:tcPr>
          <w:p w14:paraId="427E982A"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w:t>
            </w:r>
          </w:p>
        </w:tc>
        <w:tc>
          <w:tcPr>
            <w:tcW w:w="5521" w:type="dxa"/>
            <w:tcMar>
              <w:top w:w="30" w:type="dxa"/>
              <w:left w:w="45" w:type="dxa"/>
              <w:bottom w:w="30" w:type="dxa"/>
              <w:right w:w="45" w:type="dxa"/>
            </w:tcMar>
            <w:vAlign w:val="bottom"/>
            <w:hideMark/>
          </w:tcPr>
          <w:p w14:paraId="0DA04EA4"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-442</w:t>
            </w:r>
          </w:p>
        </w:tc>
      </w:tr>
    </w:tbl>
    <w:p w14:paraId="2ED6D040" w14:textId="77777777" w:rsidR="00CA6176" w:rsidRPr="00901264" w:rsidRDefault="00CA6176" w:rsidP="00901264">
      <w:pPr>
        <w:spacing w:line="360" w:lineRule="auto"/>
        <w:rPr>
          <w:rStyle w:val="SubtleEmphasis"/>
          <w:rFonts w:cstheme="minorHAnsi"/>
          <w:i w:val="0"/>
          <w:iCs w:val="0"/>
          <w:color w:val="auto"/>
        </w:rPr>
      </w:pPr>
    </w:p>
    <w:p w14:paraId="6093D71C" w14:textId="77777777" w:rsidR="00F85905" w:rsidRPr="00901264" w:rsidRDefault="00F85905" w:rsidP="00901264">
      <w:pPr>
        <w:spacing w:line="360" w:lineRule="auto"/>
        <w:jc w:val="center"/>
        <w:rPr>
          <w:rStyle w:val="SubtleEmphasis"/>
          <w:rFonts w:cstheme="minorHAnsi"/>
          <w:i w:val="0"/>
          <w:iCs w:val="0"/>
          <w:color w:val="auto"/>
        </w:rPr>
      </w:pPr>
    </w:p>
    <w:p w14:paraId="66A27DEC" w14:textId="77777777" w:rsidR="001D1A6E" w:rsidRPr="00901264" w:rsidRDefault="001D1A6E" w:rsidP="00901264">
      <w:pPr>
        <w:spacing w:line="360" w:lineRule="auto"/>
        <w:jc w:val="center"/>
        <w:rPr>
          <w:rStyle w:val="SubtleEmphasis"/>
          <w:rFonts w:cstheme="minorHAnsi"/>
          <w:i w:val="0"/>
          <w:iCs w:val="0"/>
          <w:color w:val="auto"/>
        </w:rPr>
      </w:pPr>
    </w:p>
    <w:p w14:paraId="75AA96AC" w14:textId="77777777" w:rsidR="001D1A6E" w:rsidRPr="00901264" w:rsidRDefault="001D1A6E" w:rsidP="00901264">
      <w:pPr>
        <w:spacing w:line="360" w:lineRule="auto"/>
        <w:jc w:val="both"/>
        <w:rPr>
          <w:rStyle w:val="SubtleEmphasis"/>
          <w:rFonts w:cstheme="minorHAnsi"/>
          <w:i w:val="0"/>
          <w:iCs w:val="0"/>
          <w:color w:val="auto"/>
        </w:rPr>
      </w:pPr>
    </w:p>
    <w:p w14:paraId="73F0A368" w14:textId="77777777" w:rsidR="001D1A6E" w:rsidRPr="00901264" w:rsidRDefault="001D1A6E" w:rsidP="00901264">
      <w:pPr>
        <w:spacing w:line="360" w:lineRule="auto"/>
        <w:jc w:val="both"/>
        <w:rPr>
          <w:rStyle w:val="SubtleEmphasis"/>
          <w:rFonts w:cstheme="minorHAnsi"/>
          <w:i w:val="0"/>
          <w:iCs w:val="0"/>
          <w:color w:val="auto"/>
        </w:rPr>
      </w:pPr>
    </w:p>
    <w:p w14:paraId="0BBADC9A" w14:textId="77777777" w:rsidR="00901264" w:rsidRDefault="00901264" w:rsidP="00901264">
      <w:pPr>
        <w:spacing w:line="360" w:lineRule="auto"/>
        <w:rPr>
          <w:rStyle w:val="SubtleEmphasis"/>
          <w:rFonts w:cstheme="minorHAnsi"/>
          <w:i w:val="0"/>
          <w:iCs w:val="0"/>
          <w:color w:val="auto"/>
        </w:rPr>
      </w:pPr>
    </w:p>
    <w:p w14:paraId="2EC696FE" w14:textId="150B2B9D"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Table </w:t>
      </w:r>
      <w:r w:rsidR="00901264">
        <w:rPr>
          <w:rStyle w:val="SubtleEmphasis"/>
          <w:rFonts w:cstheme="minorHAnsi"/>
          <w:color w:val="767171" w:themeColor="background2" w:themeShade="80"/>
        </w:rPr>
        <w:t xml:space="preserve">3.2. </w:t>
      </w:r>
      <w:r w:rsidRPr="00901264">
        <w:rPr>
          <w:rStyle w:val="SubtleEmphasis"/>
          <w:rFonts w:cstheme="minorHAnsi"/>
          <w:color w:val="767171" w:themeColor="background2" w:themeShade="80"/>
        </w:rPr>
        <w:t>Cash Flow Analysis for Project A</w:t>
      </w:r>
    </w:p>
    <w:p w14:paraId="7FDA12A3" w14:textId="77777777" w:rsidR="001D1A6E" w:rsidRPr="00901264" w:rsidRDefault="001D1A6E" w:rsidP="00901264">
      <w:pPr>
        <w:spacing w:line="360" w:lineRule="auto"/>
        <w:jc w:val="center"/>
        <w:rPr>
          <w:rStyle w:val="SubtleEmphasis"/>
          <w:rFonts w:cstheme="minorHAnsi"/>
          <w:i w:val="0"/>
          <w:iCs w:val="0"/>
          <w:color w:val="auto"/>
        </w:rPr>
      </w:pPr>
    </w:p>
    <w:tbl>
      <w:tblPr>
        <w:tblW w:w="665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877"/>
        <w:gridCol w:w="30"/>
        <w:gridCol w:w="4100"/>
        <w:gridCol w:w="1648"/>
      </w:tblGrid>
      <w:tr w:rsidR="00901264" w:rsidRPr="00901264" w14:paraId="6D93DDBD" w14:textId="77777777" w:rsidTr="00901264">
        <w:trPr>
          <w:trHeight w:val="315"/>
          <w:jc w:val="center"/>
        </w:trPr>
        <w:tc>
          <w:tcPr>
            <w:tcW w:w="0" w:type="auto"/>
            <w:tcMar>
              <w:top w:w="30" w:type="dxa"/>
              <w:left w:w="45" w:type="dxa"/>
              <w:bottom w:w="30" w:type="dxa"/>
              <w:right w:w="45" w:type="dxa"/>
            </w:tcMar>
            <w:vAlign w:val="bottom"/>
            <w:hideMark/>
          </w:tcPr>
          <w:p w14:paraId="1588CBF9"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Year</w:t>
            </w:r>
          </w:p>
        </w:tc>
        <w:tc>
          <w:tcPr>
            <w:tcW w:w="0" w:type="auto"/>
          </w:tcPr>
          <w:p w14:paraId="7AD2C10E" w14:textId="77777777" w:rsidR="007E4FEB" w:rsidRPr="00901264" w:rsidRDefault="007E4FEB" w:rsidP="00901264">
            <w:pPr>
              <w:spacing w:after="0" w:line="360" w:lineRule="auto"/>
              <w:jc w:val="center"/>
              <w:rPr>
                <w:rStyle w:val="SubtleEmphasis"/>
                <w:rFonts w:cstheme="minorHAnsi"/>
                <w:i w:val="0"/>
                <w:iCs w:val="0"/>
                <w:color w:val="auto"/>
              </w:rPr>
            </w:pPr>
          </w:p>
        </w:tc>
        <w:tc>
          <w:tcPr>
            <w:tcW w:w="0" w:type="auto"/>
            <w:tcMar>
              <w:top w:w="30" w:type="dxa"/>
              <w:left w:w="45" w:type="dxa"/>
              <w:bottom w:w="30" w:type="dxa"/>
              <w:right w:w="45" w:type="dxa"/>
            </w:tcMar>
            <w:vAlign w:val="bottom"/>
            <w:hideMark/>
          </w:tcPr>
          <w:p w14:paraId="3C05DA16" w14:textId="7FF5267F"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Accumulated Cash Flow</w:t>
            </w:r>
          </w:p>
        </w:tc>
        <w:tc>
          <w:tcPr>
            <w:tcW w:w="1648" w:type="dxa"/>
            <w:tcMar>
              <w:top w:w="30" w:type="dxa"/>
              <w:left w:w="45" w:type="dxa"/>
              <w:bottom w:w="30" w:type="dxa"/>
              <w:right w:w="45" w:type="dxa"/>
            </w:tcMar>
            <w:vAlign w:val="bottom"/>
            <w:hideMark/>
          </w:tcPr>
          <w:p w14:paraId="478C5489"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Notes</w:t>
            </w:r>
          </w:p>
        </w:tc>
      </w:tr>
      <w:tr w:rsidR="00901264" w:rsidRPr="00901264" w14:paraId="6F429B33" w14:textId="77777777" w:rsidTr="00901264">
        <w:trPr>
          <w:trHeight w:val="315"/>
          <w:jc w:val="center"/>
        </w:trPr>
        <w:tc>
          <w:tcPr>
            <w:tcW w:w="0" w:type="auto"/>
            <w:tcMar>
              <w:top w:w="30" w:type="dxa"/>
              <w:left w:w="45" w:type="dxa"/>
              <w:bottom w:w="30" w:type="dxa"/>
              <w:right w:w="45" w:type="dxa"/>
            </w:tcMar>
            <w:vAlign w:val="bottom"/>
            <w:hideMark/>
          </w:tcPr>
          <w:p w14:paraId="5CAE90EC"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0</w:t>
            </w:r>
          </w:p>
        </w:tc>
        <w:tc>
          <w:tcPr>
            <w:tcW w:w="0" w:type="auto"/>
          </w:tcPr>
          <w:p w14:paraId="356B792E" w14:textId="77777777" w:rsidR="007E4FEB" w:rsidRPr="00901264" w:rsidRDefault="007E4FEB" w:rsidP="00901264">
            <w:pPr>
              <w:spacing w:after="0" w:line="360" w:lineRule="auto"/>
              <w:jc w:val="center"/>
              <w:rPr>
                <w:rStyle w:val="SubtleEmphasis"/>
                <w:rFonts w:cstheme="minorHAnsi"/>
                <w:i w:val="0"/>
                <w:iCs w:val="0"/>
                <w:color w:val="auto"/>
              </w:rPr>
            </w:pPr>
          </w:p>
        </w:tc>
        <w:tc>
          <w:tcPr>
            <w:tcW w:w="0" w:type="auto"/>
            <w:tcMar>
              <w:top w:w="30" w:type="dxa"/>
              <w:left w:w="45" w:type="dxa"/>
              <w:bottom w:w="30" w:type="dxa"/>
              <w:right w:w="45" w:type="dxa"/>
            </w:tcMar>
            <w:vAlign w:val="bottom"/>
            <w:hideMark/>
          </w:tcPr>
          <w:p w14:paraId="2FFA91EA" w14:textId="02453E16"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-£5000</w:t>
            </w:r>
          </w:p>
        </w:tc>
        <w:tc>
          <w:tcPr>
            <w:tcW w:w="1648" w:type="dxa"/>
            <w:tcMar>
              <w:top w:w="30" w:type="dxa"/>
              <w:left w:w="45" w:type="dxa"/>
              <w:bottom w:w="30" w:type="dxa"/>
              <w:right w:w="45" w:type="dxa"/>
            </w:tcMar>
            <w:vAlign w:val="bottom"/>
            <w:hideMark/>
          </w:tcPr>
          <w:p w14:paraId="3ABC923A"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Initial Investment</w:t>
            </w:r>
          </w:p>
        </w:tc>
      </w:tr>
      <w:tr w:rsidR="00901264" w:rsidRPr="00901264" w14:paraId="328D1EB3" w14:textId="77777777" w:rsidTr="00901264">
        <w:trPr>
          <w:trHeight w:val="315"/>
          <w:jc w:val="center"/>
        </w:trPr>
        <w:tc>
          <w:tcPr>
            <w:tcW w:w="0" w:type="auto"/>
            <w:tcMar>
              <w:top w:w="30" w:type="dxa"/>
              <w:left w:w="45" w:type="dxa"/>
              <w:bottom w:w="30" w:type="dxa"/>
              <w:right w:w="45" w:type="dxa"/>
            </w:tcMar>
            <w:vAlign w:val="bottom"/>
            <w:hideMark/>
          </w:tcPr>
          <w:p w14:paraId="6948F573"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w:t>
            </w:r>
          </w:p>
        </w:tc>
        <w:tc>
          <w:tcPr>
            <w:tcW w:w="0" w:type="auto"/>
          </w:tcPr>
          <w:p w14:paraId="70363106" w14:textId="77777777" w:rsidR="007E4FEB" w:rsidRPr="00901264" w:rsidRDefault="007E4FEB" w:rsidP="00901264">
            <w:pPr>
              <w:spacing w:after="0" w:line="360" w:lineRule="auto"/>
              <w:jc w:val="center"/>
              <w:rPr>
                <w:rStyle w:val="SubtleEmphasis"/>
                <w:rFonts w:cstheme="minorHAnsi"/>
                <w:i w:val="0"/>
                <w:iCs w:val="0"/>
                <w:color w:val="auto"/>
              </w:rPr>
            </w:pPr>
          </w:p>
        </w:tc>
        <w:tc>
          <w:tcPr>
            <w:tcW w:w="0" w:type="auto"/>
            <w:tcMar>
              <w:top w:w="30" w:type="dxa"/>
              <w:left w:w="45" w:type="dxa"/>
              <w:bottom w:w="30" w:type="dxa"/>
              <w:right w:w="45" w:type="dxa"/>
            </w:tcMar>
            <w:vAlign w:val="bottom"/>
            <w:hideMark/>
          </w:tcPr>
          <w:p w14:paraId="2EFD3BC8" w14:textId="7714B379"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-£2500</w:t>
            </w:r>
          </w:p>
        </w:tc>
        <w:tc>
          <w:tcPr>
            <w:tcW w:w="1648" w:type="dxa"/>
            <w:tcMar>
              <w:top w:w="30" w:type="dxa"/>
              <w:left w:w="45" w:type="dxa"/>
              <w:bottom w:w="30" w:type="dxa"/>
              <w:right w:w="45" w:type="dxa"/>
            </w:tcMar>
            <w:vAlign w:val="bottom"/>
            <w:hideMark/>
          </w:tcPr>
          <w:p w14:paraId="43EB3CED"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-5000 + 2500</w:t>
            </w:r>
          </w:p>
        </w:tc>
      </w:tr>
      <w:tr w:rsidR="00901264" w:rsidRPr="00901264" w14:paraId="0537CA29" w14:textId="77777777" w:rsidTr="00901264">
        <w:trPr>
          <w:trHeight w:val="315"/>
          <w:jc w:val="center"/>
        </w:trPr>
        <w:tc>
          <w:tcPr>
            <w:tcW w:w="0" w:type="auto"/>
            <w:tcMar>
              <w:top w:w="30" w:type="dxa"/>
              <w:left w:w="45" w:type="dxa"/>
              <w:bottom w:w="30" w:type="dxa"/>
              <w:right w:w="45" w:type="dxa"/>
            </w:tcMar>
            <w:vAlign w:val="bottom"/>
            <w:hideMark/>
          </w:tcPr>
          <w:p w14:paraId="6ADF8142"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w:t>
            </w:r>
          </w:p>
        </w:tc>
        <w:tc>
          <w:tcPr>
            <w:tcW w:w="0" w:type="auto"/>
          </w:tcPr>
          <w:p w14:paraId="2A3691A9" w14:textId="77777777" w:rsidR="007E4FEB" w:rsidRPr="00901264" w:rsidRDefault="007E4FEB" w:rsidP="00901264">
            <w:pPr>
              <w:spacing w:after="0" w:line="360" w:lineRule="auto"/>
              <w:jc w:val="center"/>
              <w:rPr>
                <w:rStyle w:val="SubtleEmphasis"/>
                <w:rFonts w:cstheme="minorHAnsi"/>
                <w:i w:val="0"/>
                <w:iCs w:val="0"/>
                <w:color w:val="auto"/>
              </w:rPr>
            </w:pPr>
          </w:p>
        </w:tc>
        <w:tc>
          <w:tcPr>
            <w:tcW w:w="0" w:type="auto"/>
            <w:tcMar>
              <w:top w:w="30" w:type="dxa"/>
              <w:left w:w="45" w:type="dxa"/>
              <w:bottom w:w="30" w:type="dxa"/>
              <w:right w:w="45" w:type="dxa"/>
            </w:tcMar>
            <w:vAlign w:val="bottom"/>
            <w:hideMark/>
          </w:tcPr>
          <w:p w14:paraId="1B6E9EB7" w14:textId="6A03ADFC"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w:t>
            </w:r>
          </w:p>
        </w:tc>
        <w:tc>
          <w:tcPr>
            <w:tcW w:w="1648" w:type="dxa"/>
            <w:tcMar>
              <w:top w:w="30" w:type="dxa"/>
              <w:left w:w="45" w:type="dxa"/>
              <w:bottom w:w="30" w:type="dxa"/>
              <w:right w:w="45" w:type="dxa"/>
            </w:tcMar>
            <w:vAlign w:val="bottom"/>
            <w:hideMark/>
          </w:tcPr>
          <w:p w14:paraId="7DCB8EF2"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-2500 + 2000</w:t>
            </w:r>
          </w:p>
        </w:tc>
      </w:tr>
      <w:tr w:rsidR="00901264" w:rsidRPr="00901264" w14:paraId="0134E201" w14:textId="77777777" w:rsidTr="00901264">
        <w:trPr>
          <w:trHeight w:val="252"/>
          <w:jc w:val="center"/>
        </w:trPr>
        <w:tc>
          <w:tcPr>
            <w:tcW w:w="0" w:type="auto"/>
            <w:tcMar>
              <w:top w:w="30" w:type="dxa"/>
              <w:left w:w="45" w:type="dxa"/>
              <w:bottom w:w="30" w:type="dxa"/>
              <w:right w:w="45" w:type="dxa"/>
            </w:tcMar>
            <w:vAlign w:val="bottom"/>
            <w:hideMark/>
          </w:tcPr>
          <w:p w14:paraId="48533E44"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3</w:t>
            </w:r>
          </w:p>
        </w:tc>
        <w:tc>
          <w:tcPr>
            <w:tcW w:w="0" w:type="auto"/>
          </w:tcPr>
          <w:p w14:paraId="3EFA27CE" w14:textId="77777777" w:rsidR="007E4FEB" w:rsidRPr="00901264" w:rsidRDefault="007E4FEB" w:rsidP="00901264">
            <w:pPr>
              <w:spacing w:after="0" w:line="360" w:lineRule="auto"/>
              <w:jc w:val="center"/>
              <w:rPr>
                <w:rStyle w:val="SubtleEmphasis"/>
                <w:rFonts w:cstheme="minorHAnsi"/>
                <w:i w:val="0"/>
                <w:iCs w:val="0"/>
                <w:color w:val="auto"/>
              </w:rPr>
            </w:pPr>
          </w:p>
        </w:tc>
        <w:tc>
          <w:tcPr>
            <w:tcW w:w="0" w:type="auto"/>
            <w:tcMar>
              <w:top w:w="30" w:type="dxa"/>
              <w:left w:w="45" w:type="dxa"/>
              <w:bottom w:w="30" w:type="dxa"/>
              <w:right w:w="45" w:type="dxa"/>
            </w:tcMar>
            <w:vAlign w:val="bottom"/>
            <w:hideMark/>
          </w:tcPr>
          <w:p w14:paraId="3C889976" w14:textId="0A7ED691"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w:t>
            </w:r>
          </w:p>
        </w:tc>
        <w:tc>
          <w:tcPr>
            <w:tcW w:w="1648" w:type="dxa"/>
            <w:tcMar>
              <w:top w:w="30" w:type="dxa"/>
              <w:left w:w="45" w:type="dxa"/>
              <w:bottom w:w="30" w:type="dxa"/>
              <w:right w:w="45" w:type="dxa"/>
            </w:tcMar>
            <w:vAlign w:val="bottom"/>
            <w:hideMark/>
          </w:tcPr>
          <w:p w14:paraId="5F7406C7" w14:textId="77777777" w:rsidR="007E4FEB" w:rsidRPr="00901264" w:rsidRDefault="007E4FEB"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 + 1000</w:t>
            </w:r>
          </w:p>
        </w:tc>
      </w:tr>
    </w:tbl>
    <w:p w14:paraId="212E2E00" w14:textId="77777777" w:rsidR="00CA6176" w:rsidRPr="00901264" w:rsidRDefault="00CA6176" w:rsidP="00901264">
      <w:pPr>
        <w:spacing w:line="360" w:lineRule="auto"/>
        <w:jc w:val="center"/>
        <w:rPr>
          <w:rStyle w:val="SubtleEmphasis"/>
          <w:rFonts w:cstheme="minorHAnsi"/>
          <w:i w:val="0"/>
          <w:iCs w:val="0"/>
          <w:color w:val="auto"/>
        </w:rPr>
      </w:pPr>
    </w:p>
    <w:p w14:paraId="0BF78DF7" w14:textId="561DA538" w:rsidR="001D1A6E" w:rsidRPr="00901264" w:rsidRDefault="001D1A6E" w:rsidP="00901264">
      <w:pPr>
        <w:spacing w:line="360" w:lineRule="auto"/>
        <w:jc w:val="center"/>
        <w:rPr>
          <w:rStyle w:val="SubtleEmphasis"/>
          <w:rFonts w:cstheme="minorHAnsi"/>
          <w:color w:val="767171" w:themeColor="background2" w:themeShade="80"/>
        </w:rPr>
      </w:pPr>
      <w:bookmarkStart w:id="7" w:name="_Hlk164785091"/>
      <w:r w:rsidRPr="00901264">
        <w:rPr>
          <w:rStyle w:val="SubtleEmphasis"/>
          <w:rFonts w:cstheme="minorHAnsi"/>
          <w:color w:val="767171" w:themeColor="background2" w:themeShade="80"/>
        </w:rPr>
        <w:t>Table 3</w:t>
      </w:r>
      <w:r w:rsidR="00901264">
        <w:rPr>
          <w:rStyle w:val="SubtleEmphasis"/>
          <w:rFonts w:cstheme="minorHAnsi"/>
          <w:color w:val="767171" w:themeColor="background2" w:themeShade="80"/>
        </w:rPr>
        <w:t>.3.</w:t>
      </w:r>
      <w:r w:rsidRPr="00901264">
        <w:rPr>
          <w:rStyle w:val="SubtleEmphasis"/>
          <w:rFonts w:cstheme="minorHAnsi"/>
          <w:color w:val="767171" w:themeColor="background2" w:themeShade="80"/>
        </w:rPr>
        <w:t xml:space="preserve"> Accumulated Cash Flow for Project A</w:t>
      </w:r>
    </w:p>
    <w:bookmarkEnd w:id="7"/>
    <w:p w14:paraId="272CB4A6" w14:textId="0DFF961A"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Since the cash flows for Project A are not constant each year, the cumulative approach must be used to calculate the payback period. Here's the process:</w:t>
      </w:r>
    </w:p>
    <w:p w14:paraId="29778203" w14:textId="77777777"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Methodology:</w:t>
      </w:r>
    </w:p>
    <w:p w14:paraId="2B0604B8" w14:textId="25FE170B"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The cumulative approach is used to calculate the payback period. This method involves cumulating the cash flows until the total cash flow equals or exceeds the initial investment. The payback period is then determined by considering any partial years required to reach the breakeven point.</w:t>
      </w:r>
    </w:p>
    <w:p w14:paraId="20EFD346" w14:textId="77777777"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Analysis:</w:t>
      </w:r>
    </w:p>
    <w:p w14:paraId="30C25121" w14:textId="5CF16F67"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Using the cumulative approach,  calculated the cumulative cash flow for each year. The payback period was found to fall between year three and year four. To determine the precise payback period, we adjusted for the partial year using the formula:</w:t>
      </w:r>
    </w:p>
    <w:p w14:paraId="4FB7EFC0" w14:textId="4F9F8D0B" w:rsidR="00CA6176" w:rsidRPr="00901264" w:rsidRDefault="00CA6176" w:rsidP="00901264">
      <w:pPr>
        <w:pStyle w:val="NormalWeb"/>
        <w:shd w:val="clear" w:color="auto" w:fill="FFFFFF"/>
        <w:spacing w:line="360" w:lineRule="auto"/>
        <w:rPr>
          <w:rStyle w:val="SubtleEmphasis"/>
          <w:rFonts w:asciiTheme="minorHAnsi" w:hAnsiTheme="minorHAnsi" w:cstheme="minorHAnsi"/>
          <w:i w:val="0"/>
          <w:iCs w:val="0"/>
          <w:color w:val="auto"/>
          <w:sz w:val="22"/>
          <w:szCs w:val="22"/>
        </w:rPr>
      </w:pPr>
      <w:r w:rsidRPr="00901264">
        <w:rPr>
          <w:rStyle w:val="SubtleEmphasis"/>
          <w:rFonts w:asciiTheme="minorHAnsi" w:hAnsiTheme="minorHAnsi" w:cstheme="minorHAnsi"/>
          <w:i w:val="0"/>
          <w:iCs w:val="0"/>
          <w:color w:val="auto"/>
          <w:sz w:val="22"/>
          <w:szCs w:val="22"/>
        </w:rPr>
        <w:t>Payback year = year before positive cash flow + (Initial Investment - Accumulated cash flow in previous year) / Cash flow in payback year</w:t>
      </w:r>
    </w:p>
    <w:p w14:paraId="5E7565A0" w14:textId="77777777" w:rsidR="00CA6176" w:rsidRPr="00901264" w:rsidRDefault="00CA6176" w:rsidP="00901264">
      <w:pPr>
        <w:pStyle w:val="NormalWeb"/>
        <w:shd w:val="clear" w:color="auto" w:fill="FFFFFF"/>
        <w:spacing w:line="360" w:lineRule="auto"/>
        <w:rPr>
          <w:rStyle w:val="SubtleEmphasis"/>
          <w:rFonts w:asciiTheme="minorHAnsi" w:hAnsiTheme="minorHAnsi" w:cstheme="minorHAnsi"/>
          <w:i w:val="0"/>
          <w:iCs w:val="0"/>
          <w:color w:val="auto"/>
          <w:sz w:val="22"/>
          <w:szCs w:val="22"/>
        </w:rPr>
      </w:pPr>
      <w:r w:rsidRPr="00901264">
        <w:rPr>
          <w:rStyle w:val="SubtleEmphasis"/>
          <w:rFonts w:asciiTheme="minorHAnsi" w:hAnsiTheme="minorHAnsi" w:cstheme="minorHAnsi"/>
          <w:i w:val="0"/>
          <w:iCs w:val="0"/>
          <w:color w:val="auto"/>
          <w:sz w:val="22"/>
          <w:szCs w:val="22"/>
        </w:rPr>
        <w:t>Payback year for Project A = 3 + (£5000 - £500) / £1000 ≈ 3.5 years</w:t>
      </w:r>
    </w:p>
    <w:p w14:paraId="18B2711D" w14:textId="0ABC91BB" w:rsidR="00CA6176" w:rsidRPr="00901264" w:rsidRDefault="00CA6176" w:rsidP="00901264">
      <w:pPr>
        <w:pStyle w:val="NormalWeb"/>
        <w:shd w:val="clear" w:color="auto" w:fill="FFFFFF"/>
        <w:spacing w:line="360" w:lineRule="auto"/>
        <w:rPr>
          <w:rStyle w:val="SubtleEmphasis"/>
          <w:rFonts w:asciiTheme="minorHAnsi" w:hAnsiTheme="minorHAnsi" w:cstheme="minorHAnsi"/>
          <w:i w:val="0"/>
          <w:iCs w:val="0"/>
          <w:color w:val="auto"/>
          <w:sz w:val="22"/>
          <w:szCs w:val="22"/>
        </w:rPr>
      </w:pPr>
      <w:r w:rsidRPr="00901264">
        <w:rPr>
          <w:rStyle w:val="SubtleEmphasis"/>
          <w:rFonts w:asciiTheme="minorHAnsi" w:hAnsiTheme="minorHAnsi" w:cstheme="minorHAnsi"/>
          <w:i w:val="0"/>
          <w:iCs w:val="0"/>
          <w:color w:val="auto"/>
          <w:sz w:val="22"/>
          <w:szCs w:val="22"/>
        </w:rPr>
        <w:t>Project A Payback Period is 3.5 years.</w:t>
      </w:r>
    </w:p>
    <w:p w14:paraId="4CA88271" w14:textId="6FE00F87" w:rsidR="0009016F" w:rsidRPr="00901264" w:rsidRDefault="0009016F" w:rsidP="00901264">
      <w:pPr>
        <w:spacing w:line="360" w:lineRule="auto"/>
        <w:rPr>
          <w:rStyle w:val="SubtleEmphasis"/>
          <w:rFonts w:cstheme="minorHAnsi"/>
          <w:b/>
          <w:bCs/>
          <w:i w:val="0"/>
          <w:iCs w:val="0"/>
          <w:color w:val="auto"/>
        </w:rPr>
      </w:pPr>
      <w:r w:rsidRPr="00901264">
        <w:rPr>
          <w:rStyle w:val="SubtleEmphasis"/>
          <w:rFonts w:cstheme="minorHAnsi"/>
          <w:b/>
          <w:bCs/>
          <w:i w:val="0"/>
          <w:iCs w:val="0"/>
          <w:color w:val="auto"/>
        </w:rPr>
        <w:t>PROJECT B</w:t>
      </w:r>
    </w:p>
    <w:tbl>
      <w:tblPr>
        <w:tblW w:w="535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1224"/>
        <w:gridCol w:w="4132"/>
      </w:tblGrid>
      <w:tr w:rsidR="00901264" w:rsidRPr="00901264" w14:paraId="1DB6ADAD" w14:textId="77777777" w:rsidTr="00901264">
        <w:trPr>
          <w:trHeight w:val="345"/>
          <w:jc w:val="center"/>
        </w:trPr>
        <w:tc>
          <w:tcPr>
            <w:tcW w:w="0" w:type="auto"/>
            <w:tcMar>
              <w:top w:w="30" w:type="dxa"/>
              <w:left w:w="45" w:type="dxa"/>
              <w:bottom w:w="30" w:type="dxa"/>
              <w:right w:w="45" w:type="dxa"/>
            </w:tcMar>
            <w:vAlign w:val="bottom"/>
            <w:hideMark/>
          </w:tcPr>
          <w:p w14:paraId="55C63450"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**Year</w:t>
            </w:r>
          </w:p>
        </w:tc>
        <w:tc>
          <w:tcPr>
            <w:tcW w:w="0" w:type="auto"/>
            <w:tcMar>
              <w:top w:w="30" w:type="dxa"/>
              <w:left w:w="45" w:type="dxa"/>
              <w:bottom w:w="30" w:type="dxa"/>
              <w:right w:w="45" w:type="dxa"/>
            </w:tcMar>
            <w:vAlign w:val="bottom"/>
            <w:hideMark/>
          </w:tcPr>
          <w:p w14:paraId="2FD1C671"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Cash Flow (CFt)**</w:t>
            </w:r>
          </w:p>
        </w:tc>
      </w:tr>
      <w:tr w:rsidR="00901264" w:rsidRPr="00901264" w14:paraId="01E2651E" w14:textId="77777777" w:rsidTr="00901264">
        <w:trPr>
          <w:trHeight w:val="345"/>
          <w:jc w:val="center"/>
        </w:trPr>
        <w:tc>
          <w:tcPr>
            <w:tcW w:w="0" w:type="auto"/>
            <w:tcMar>
              <w:top w:w="30" w:type="dxa"/>
              <w:left w:w="45" w:type="dxa"/>
              <w:bottom w:w="30" w:type="dxa"/>
              <w:right w:w="45" w:type="dxa"/>
            </w:tcMar>
            <w:vAlign w:val="bottom"/>
            <w:hideMark/>
          </w:tcPr>
          <w:p w14:paraId="04318A69"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0</w:t>
            </w:r>
          </w:p>
        </w:tc>
        <w:tc>
          <w:tcPr>
            <w:tcW w:w="0" w:type="auto"/>
            <w:tcMar>
              <w:top w:w="30" w:type="dxa"/>
              <w:left w:w="45" w:type="dxa"/>
              <w:bottom w:w="30" w:type="dxa"/>
              <w:right w:w="45" w:type="dxa"/>
            </w:tcMar>
            <w:vAlign w:val="bottom"/>
            <w:hideMark/>
          </w:tcPr>
          <w:p w14:paraId="7B979956"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 (Initial Investment)</w:t>
            </w:r>
          </w:p>
        </w:tc>
      </w:tr>
      <w:tr w:rsidR="00901264" w:rsidRPr="00901264" w14:paraId="07065269" w14:textId="77777777" w:rsidTr="00901264">
        <w:trPr>
          <w:trHeight w:val="345"/>
          <w:jc w:val="center"/>
        </w:trPr>
        <w:tc>
          <w:tcPr>
            <w:tcW w:w="0" w:type="auto"/>
            <w:tcMar>
              <w:top w:w="30" w:type="dxa"/>
              <w:left w:w="45" w:type="dxa"/>
              <w:bottom w:w="30" w:type="dxa"/>
              <w:right w:w="45" w:type="dxa"/>
            </w:tcMar>
            <w:vAlign w:val="bottom"/>
            <w:hideMark/>
          </w:tcPr>
          <w:p w14:paraId="654DE086"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w:t>
            </w:r>
          </w:p>
        </w:tc>
        <w:tc>
          <w:tcPr>
            <w:tcW w:w="0" w:type="auto"/>
            <w:tcMar>
              <w:top w:w="30" w:type="dxa"/>
              <w:left w:w="45" w:type="dxa"/>
              <w:bottom w:w="30" w:type="dxa"/>
              <w:right w:w="45" w:type="dxa"/>
            </w:tcMar>
            <w:vAlign w:val="bottom"/>
            <w:hideMark/>
          </w:tcPr>
          <w:p w14:paraId="77AB7076"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1500</w:t>
            </w:r>
          </w:p>
        </w:tc>
      </w:tr>
      <w:tr w:rsidR="00901264" w:rsidRPr="00901264" w14:paraId="56950877" w14:textId="77777777" w:rsidTr="00901264">
        <w:trPr>
          <w:trHeight w:val="345"/>
          <w:jc w:val="center"/>
        </w:trPr>
        <w:tc>
          <w:tcPr>
            <w:tcW w:w="0" w:type="auto"/>
            <w:tcMar>
              <w:top w:w="30" w:type="dxa"/>
              <w:left w:w="45" w:type="dxa"/>
              <w:bottom w:w="30" w:type="dxa"/>
              <w:right w:w="45" w:type="dxa"/>
            </w:tcMar>
            <w:vAlign w:val="bottom"/>
            <w:hideMark/>
          </w:tcPr>
          <w:p w14:paraId="18943D38"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2</w:t>
            </w:r>
          </w:p>
        </w:tc>
        <w:tc>
          <w:tcPr>
            <w:tcW w:w="0" w:type="auto"/>
            <w:tcMar>
              <w:top w:w="30" w:type="dxa"/>
              <w:left w:w="45" w:type="dxa"/>
              <w:bottom w:w="30" w:type="dxa"/>
              <w:right w:w="45" w:type="dxa"/>
            </w:tcMar>
            <w:vAlign w:val="bottom"/>
            <w:hideMark/>
          </w:tcPr>
          <w:p w14:paraId="09FD543B"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15249CB7" w14:textId="77777777" w:rsidTr="00901264">
        <w:trPr>
          <w:trHeight w:val="345"/>
          <w:jc w:val="center"/>
        </w:trPr>
        <w:tc>
          <w:tcPr>
            <w:tcW w:w="0" w:type="auto"/>
            <w:tcMar>
              <w:top w:w="30" w:type="dxa"/>
              <w:left w:w="45" w:type="dxa"/>
              <w:bottom w:w="30" w:type="dxa"/>
              <w:right w:w="45" w:type="dxa"/>
            </w:tcMar>
            <w:vAlign w:val="bottom"/>
            <w:hideMark/>
          </w:tcPr>
          <w:p w14:paraId="2E729D71"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3</w:t>
            </w:r>
          </w:p>
        </w:tc>
        <w:tc>
          <w:tcPr>
            <w:tcW w:w="0" w:type="auto"/>
            <w:tcMar>
              <w:top w:w="30" w:type="dxa"/>
              <w:left w:w="45" w:type="dxa"/>
              <w:bottom w:w="30" w:type="dxa"/>
              <w:right w:w="45" w:type="dxa"/>
            </w:tcMar>
            <w:vAlign w:val="bottom"/>
            <w:hideMark/>
          </w:tcPr>
          <w:p w14:paraId="7E0EB437"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2B201380" w14:textId="77777777" w:rsidTr="00901264">
        <w:trPr>
          <w:trHeight w:val="345"/>
          <w:jc w:val="center"/>
        </w:trPr>
        <w:tc>
          <w:tcPr>
            <w:tcW w:w="0" w:type="auto"/>
            <w:tcMar>
              <w:top w:w="30" w:type="dxa"/>
              <w:left w:w="45" w:type="dxa"/>
              <w:bottom w:w="30" w:type="dxa"/>
              <w:right w:w="45" w:type="dxa"/>
            </w:tcMar>
            <w:vAlign w:val="bottom"/>
            <w:hideMark/>
          </w:tcPr>
          <w:p w14:paraId="389CE056"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w:t>
            </w:r>
          </w:p>
        </w:tc>
        <w:tc>
          <w:tcPr>
            <w:tcW w:w="0" w:type="auto"/>
            <w:tcMar>
              <w:top w:w="30" w:type="dxa"/>
              <w:left w:w="45" w:type="dxa"/>
              <w:bottom w:w="30" w:type="dxa"/>
              <w:right w:w="45" w:type="dxa"/>
            </w:tcMar>
            <w:vAlign w:val="bottom"/>
            <w:hideMark/>
          </w:tcPr>
          <w:p w14:paraId="7557247F"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-470</w:t>
            </w:r>
          </w:p>
        </w:tc>
      </w:tr>
    </w:tbl>
    <w:p w14:paraId="4EC3E36B" w14:textId="77777777" w:rsidR="00CA6176" w:rsidRPr="00901264" w:rsidRDefault="00CA6176" w:rsidP="00901264">
      <w:pPr>
        <w:spacing w:line="360" w:lineRule="auto"/>
        <w:jc w:val="center"/>
        <w:rPr>
          <w:rStyle w:val="SubtleEmphasis"/>
          <w:rFonts w:cstheme="minorHAnsi"/>
          <w:i w:val="0"/>
          <w:iCs w:val="0"/>
          <w:color w:val="auto"/>
        </w:rPr>
      </w:pPr>
    </w:p>
    <w:p w14:paraId="75226EC4" w14:textId="2DCDEF18" w:rsidR="001D1A6E" w:rsidRPr="00901264" w:rsidRDefault="001D1A6E" w:rsidP="00901264">
      <w:pPr>
        <w:spacing w:line="360" w:lineRule="auto"/>
        <w:jc w:val="center"/>
        <w:rPr>
          <w:rStyle w:val="SubtleEmphasis"/>
          <w:rFonts w:cstheme="minorHAnsi"/>
          <w:color w:val="auto"/>
        </w:rPr>
      </w:pPr>
      <w:r w:rsidRPr="00901264">
        <w:rPr>
          <w:rStyle w:val="SubtleEmphasis"/>
          <w:rFonts w:cstheme="minorHAnsi"/>
          <w:color w:val="767171" w:themeColor="background2" w:themeShade="80"/>
        </w:rPr>
        <w:t xml:space="preserve">Table </w:t>
      </w:r>
      <w:r w:rsidR="00901264">
        <w:rPr>
          <w:rStyle w:val="SubtleEmphasis"/>
          <w:rFonts w:cstheme="minorHAnsi"/>
          <w:color w:val="767171" w:themeColor="background2" w:themeShade="80"/>
        </w:rPr>
        <w:t>3.4.</w:t>
      </w:r>
      <w:r w:rsidRPr="00901264">
        <w:rPr>
          <w:rStyle w:val="SubtleEmphasis"/>
          <w:rFonts w:cstheme="minorHAnsi"/>
          <w:color w:val="767171" w:themeColor="background2" w:themeShade="80"/>
        </w:rPr>
        <w:t xml:space="preserve"> Cash Flow Analysis for Project B</w:t>
      </w:r>
    </w:p>
    <w:tbl>
      <w:tblPr>
        <w:tblW w:w="539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87"/>
        <w:gridCol w:w="2273"/>
        <w:gridCol w:w="2635"/>
      </w:tblGrid>
      <w:tr w:rsidR="00901264" w:rsidRPr="00901264" w14:paraId="63E230BD" w14:textId="77777777" w:rsidTr="00901264">
        <w:trPr>
          <w:trHeight w:val="315"/>
          <w:jc w:val="center"/>
        </w:trPr>
        <w:tc>
          <w:tcPr>
            <w:tcW w:w="0" w:type="auto"/>
            <w:tcMar>
              <w:top w:w="30" w:type="dxa"/>
              <w:left w:w="45" w:type="dxa"/>
              <w:bottom w:w="30" w:type="dxa"/>
              <w:right w:w="45" w:type="dxa"/>
            </w:tcMar>
            <w:vAlign w:val="bottom"/>
            <w:hideMark/>
          </w:tcPr>
          <w:p w14:paraId="3C035A4A"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Year</w:t>
            </w:r>
          </w:p>
        </w:tc>
        <w:tc>
          <w:tcPr>
            <w:tcW w:w="0" w:type="auto"/>
            <w:tcMar>
              <w:top w:w="30" w:type="dxa"/>
              <w:left w:w="45" w:type="dxa"/>
              <w:bottom w:w="30" w:type="dxa"/>
              <w:right w:w="45" w:type="dxa"/>
            </w:tcMar>
            <w:vAlign w:val="bottom"/>
            <w:hideMark/>
          </w:tcPr>
          <w:p w14:paraId="67ABA9D7"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Accumulated Cash Flow</w:t>
            </w:r>
          </w:p>
        </w:tc>
        <w:tc>
          <w:tcPr>
            <w:tcW w:w="2635" w:type="dxa"/>
            <w:tcMar>
              <w:top w:w="30" w:type="dxa"/>
              <w:left w:w="45" w:type="dxa"/>
              <w:bottom w:w="30" w:type="dxa"/>
              <w:right w:w="45" w:type="dxa"/>
            </w:tcMar>
            <w:vAlign w:val="bottom"/>
            <w:hideMark/>
          </w:tcPr>
          <w:p w14:paraId="3F9F7898"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Notes</w:t>
            </w:r>
          </w:p>
        </w:tc>
      </w:tr>
      <w:tr w:rsidR="00901264" w:rsidRPr="00901264" w14:paraId="62A24ABA" w14:textId="77777777" w:rsidTr="00901264">
        <w:trPr>
          <w:trHeight w:val="315"/>
          <w:jc w:val="center"/>
        </w:trPr>
        <w:tc>
          <w:tcPr>
            <w:tcW w:w="0" w:type="auto"/>
            <w:tcMar>
              <w:top w:w="30" w:type="dxa"/>
              <w:left w:w="45" w:type="dxa"/>
              <w:bottom w:w="30" w:type="dxa"/>
              <w:right w:w="45" w:type="dxa"/>
            </w:tcMar>
            <w:vAlign w:val="bottom"/>
            <w:hideMark/>
          </w:tcPr>
          <w:p w14:paraId="7774B479"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0</w:t>
            </w:r>
          </w:p>
        </w:tc>
        <w:tc>
          <w:tcPr>
            <w:tcW w:w="0" w:type="auto"/>
            <w:tcMar>
              <w:top w:w="30" w:type="dxa"/>
              <w:left w:w="45" w:type="dxa"/>
              <w:bottom w:w="30" w:type="dxa"/>
              <w:right w:w="45" w:type="dxa"/>
            </w:tcMar>
            <w:vAlign w:val="bottom"/>
            <w:hideMark/>
          </w:tcPr>
          <w:p w14:paraId="533C82C9"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w:t>
            </w:r>
          </w:p>
        </w:tc>
        <w:tc>
          <w:tcPr>
            <w:tcW w:w="2635" w:type="dxa"/>
            <w:tcMar>
              <w:top w:w="30" w:type="dxa"/>
              <w:left w:w="45" w:type="dxa"/>
              <w:bottom w:w="30" w:type="dxa"/>
              <w:right w:w="45" w:type="dxa"/>
            </w:tcMar>
            <w:vAlign w:val="bottom"/>
            <w:hideMark/>
          </w:tcPr>
          <w:p w14:paraId="53724A89"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Initial Investment</w:t>
            </w:r>
          </w:p>
        </w:tc>
      </w:tr>
      <w:tr w:rsidR="00901264" w:rsidRPr="00901264" w14:paraId="47313130" w14:textId="77777777" w:rsidTr="00901264">
        <w:trPr>
          <w:trHeight w:val="315"/>
          <w:jc w:val="center"/>
        </w:trPr>
        <w:tc>
          <w:tcPr>
            <w:tcW w:w="0" w:type="auto"/>
            <w:tcMar>
              <w:top w:w="30" w:type="dxa"/>
              <w:left w:w="45" w:type="dxa"/>
              <w:bottom w:w="30" w:type="dxa"/>
              <w:right w:w="45" w:type="dxa"/>
            </w:tcMar>
            <w:vAlign w:val="bottom"/>
            <w:hideMark/>
          </w:tcPr>
          <w:p w14:paraId="07199D10"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w:t>
            </w:r>
          </w:p>
        </w:tc>
        <w:tc>
          <w:tcPr>
            <w:tcW w:w="0" w:type="auto"/>
            <w:tcMar>
              <w:top w:w="30" w:type="dxa"/>
              <w:left w:w="45" w:type="dxa"/>
              <w:bottom w:w="30" w:type="dxa"/>
              <w:right w:w="45" w:type="dxa"/>
            </w:tcMar>
            <w:vAlign w:val="bottom"/>
            <w:hideMark/>
          </w:tcPr>
          <w:p w14:paraId="7CAB19F8"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£500</w:t>
            </w:r>
          </w:p>
        </w:tc>
        <w:tc>
          <w:tcPr>
            <w:tcW w:w="2635" w:type="dxa"/>
            <w:tcMar>
              <w:top w:w="30" w:type="dxa"/>
              <w:left w:w="45" w:type="dxa"/>
              <w:bottom w:w="30" w:type="dxa"/>
              <w:right w:w="45" w:type="dxa"/>
            </w:tcMar>
            <w:vAlign w:val="bottom"/>
            <w:hideMark/>
          </w:tcPr>
          <w:p w14:paraId="4B1030E9" w14:textId="77777777" w:rsidR="00CA6176" w:rsidRPr="00901264" w:rsidRDefault="00CA6176" w:rsidP="00901264">
            <w:pPr>
              <w:spacing w:after="0" w:line="360" w:lineRule="auto"/>
              <w:jc w:val="center"/>
              <w:rPr>
                <w:rStyle w:val="SubtleEmphasis"/>
                <w:rFonts w:cstheme="minorHAnsi"/>
                <w:i w:val="0"/>
                <w:iCs w:val="0"/>
                <w:color w:val="auto"/>
              </w:rPr>
            </w:pPr>
            <w:r w:rsidRPr="00901264">
              <w:rPr>
                <w:rStyle w:val="SubtleEmphasis"/>
                <w:rFonts w:cstheme="minorHAnsi"/>
                <w:i w:val="0"/>
                <w:iCs w:val="0"/>
                <w:color w:val="auto"/>
              </w:rPr>
              <w:t>-1000 + 1500</w:t>
            </w:r>
          </w:p>
        </w:tc>
      </w:tr>
    </w:tbl>
    <w:p w14:paraId="31E58C50" w14:textId="77777777" w:rsidR="00CA6176" w:rsidRPr="00901264" w:rsidRDefault="00CA6176" w:rsidP="00901264">
      <w:pPr>
        <w:spacing w:line="360" w:lineRule="auto"/>
        <w:jc w:val="both"/>
        <w:rPr>
          <w:rStyle w:val="SubtleEmphasis"/>
          <w:rFonts w:cstheme="minorHAnsi"/>
          <w:i w:val="0"/>
          <w:iCs w:val="0"/>
          <w:color w:val="auto"/>
        </w:rPr>
      </w:pPr>
    </w:p>
    <w:p w14:paraId="6577F781" w14:textId="505A3A18"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Table </w:t>
      </w:r>
      <w:r w:rsidR="00901264">
        <w:rPr>
          <w:rStyle w:val="SubtleEmphasis"/>
          <w:rFonts w:cstheme="minorHAnsi"/>
          <w:color w:val="767171" w:themeColor="background2" w:themeShade="80"/>
        </w:rPr>
        <w:t>3.5.</w:t>
      </w:r>
      <w:r w:rsidRPr="00901264">
        <w:rPr>
          <w:rStyle w:val="SubtleEmphasis"/>
          <w:rFonts w:cstheme="minorHAnsi"/>
          <w:color w:val="767171" w:themeColor="background2" w:themeShade="80"/>
        </w:rPr>
        <w:t xml:space="preserve"> Accumulated Cash Flow for Project </w:t>
      </w:r>
      <w:r w:rsidR="00901264">
        <w:rPr>
          <w:rStyle w:val="SubtleEmphasis"/>
          <w:rFonts w:cstheme="minorHAnsi"/>
          <w:color w:val="767171" w:themeColor="background2" w:themeShade="80"/>
        </w:rPr>
        <w:t>B</w:t>
      </w:r>
    </w:p>
    <w:p w14:paraId="451DFF1F" w14:textId="42B82F64"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Project B's Payback Period is 1 year.</w:t>
      </w:r>
    </w:p>
    <w:p w14:paraId="39ADB340" w14:textId="77777777"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Methodology:</w:t>
      </w:r>
    </w:p>
    <w:p w14:paraId="5B2C9486" w14:textId="62F50679"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To calculate the payback period, we employed the cumulative approach. This method involves cumulating the cash flows until the total cash flow equals or exceeds the initial investment. The payback period is then determined by considering any partial years required to reach the breakeven point.</w:t>
      </w:r>
    </w:p>
    <w:p w14:paraId="584ACF97" w14:textId="77777777"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Analysis:</w:t>
      </w:r>
    </w:p>
    <w:p w14:paraId="7B4EDB0A" w14:textId="0309970D"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Using the cumulative approach, we calculated the cumulative cash flow for each year. The payback period was found to fall between year three and year four. </w:t>
      </w:r>
    </w:p>
    <w:p w14:paraId="30796880" w14:textId="54685CAD"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 shorter payback period is generally considered more favorable as it indicates a faster recovery of the initial investment. Project B seems a better option based on the payback period alone. However, the payback period is a limited metric and doesn't consider the time value of money. NPV analysis, as performed previously, incorporates the discount rate and provides a more comprehensive view of project profitability.</w:t>
      </w:r>
    </w:p>
    <w:p w14:paraId="59CB849A" w14:textId="07E5FCD1" w:rsidR="0009016F" w:rsidRPr="00901264" w:rsidRDefault="0009016F"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The accounting rate of return (ARR)</w:t>
      </w:r>
    </w:p>
    <w:p w14:paraId="7EC4AF86" w14:textId="2A5C2424"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is a financial ratio used to measure the profitability of an investment relative to its initial cost. It is calculated by dividing the average annual accounting profit by the initial investment and expressing the result as a percentage. The formula for ARR is:</w:t>
      </w:r>
    </w:p>
    <w:p w14:paraId="705ABC6B" w14:textId="580E0B22" w:rsidR="0009016F" w:rsidRPr="00901264" w:rsidRDefault="0009016F" w:rsidP="00901264">
      <w:pPr>
        <w:spacing w:line="360" w:lineRule="auto"/>
        <w:jc w:val="center"/>
        <w:rPr>
          <w:rStyle w:val="SubtleEmphasis"/>
          <w:rFonts w:cstheme="minorHAnsi"/>
          <w:i w:val="0"/>
          <w:iCs w:val="0"/>
          <w:color w:val="auto"/>
        </w:rPr>
      </w:pPr>
      <w:r w:rsidRPr="00901264">
        <w:rPr>
          <w:rStyle w:val="SubtleEmphasis"/>
          <w:rFonts w:cstheme="minorHAnsi"/>
          <w:i w:val="0"/>
          <w:iCs w:val="0"/>
          <w:color w:val="auto"/>
        </w:rPr>
        <w:t xml:space="preserve">Accounting Rate of Return </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 xml:space="preserve">Average Annual Accounting Profit </m:t>
            </m:r>
          </m:num>
          <m:den>
            <m:r>
              <m:rPr>
                <m:sty m:val="p"/>
              </m:rPr>
              <w:rPr>
                <w:rStyle w:val="SubtleEmphasis"/>
                <w:rFonts w:ascii="Cambria Math" w:hAnsi="Cambria Math" w:cstheme="minorHAnsi"/>
                <w:color w:val="auto"/>
              </w:rPr>
              <m:t xml:space="preserve">Initial Investment </m:t>
            </m:r>
          </m:den>
        </m:f>
        <m:r>
          <m:rPr>
            <m:sty m:val="p"/>
          </m:rPr>
          <w:rPr>
            <w:rStyle w:val="SubtleEmphasis"/>
            <w:rFonts w:ascii="Cambria Math" w:hAnsi="Cambria Math" w:cstheme="minorHAnsi"/>
            <w:color w:val="auto"/>
          </w:rPr>
          <m:t>)×100%</m:t>
        </m:r>
      </m:oMath>
    </w:p>
    <w:p w14:paraId="5C47B490" w14:textId="6EE410BD"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Equation 3</w:t>
      </w:r>
      <w:r w:rsidR="00901264">
        <w:rPr>
          <w:rStyle w:val="SubtleEmphasis"/>
          <w:rFonts w:cstheme="minorHAnsi"/>
          <w:color w:val="767171" w:themeColor="background2" w:themeShade="80"/>
        </w:rPr>
        <w:t xml:space="preserve">.3. Accounting Rate of Return </w:t>
      </w:r>
    </w:p>
    <w:p w14:paraId="14A554D6" w14:textId="64AE60D2"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To calculate the average annual accounting profit, sum the yearly cash flows and divide by the number of years.</w:t>
      </w:r>
    </w:p>
    <w:p w14:paraId="34BA4869" w14:textId="45543C2D" w:rsidR="0009016F" w:rsidRPr="00901264" w:rsidRDefault="0009016F" w:rsidP="00901264">
      <w:p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t>PROJECT A</w:t>
      </w:r>
    </w:p>
    <w:p w14:paraId="134316C7" w14:textId="7FD8B3AD"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Investment of £5000 million </w:t>
      </w:r>
    </w:p>
    <w:p w14:paraId="19CC51DF" w14:textId="737BB536"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Average Annual Accounting Profit </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2500+2000+1000+</m:t>
            </m:r>
            <m:d>
              <m:dPr>
                <m:ctrlPr>
                  <w:rPr>
                    <w:rStyle w:val="SubtleEmphasis"/>
                    <w:rFonts w:ascii="Cambria Math" w:hAnsi="Cambria Math" w:cstheme="minorHAnsi"/>
                    <w:i w:val="0"/>
                    <w:iCs w:val="0"/>
                    <w:color w:val="auto"/>
                    <w:lang w:val="en-US"/>
                  </w:rPr>
                </m:ctrlPr>
              </m:dPr>
              <m:e>
                <m:r>
                  <m:rPr>
                    <m:sty m:val="p"/>
                  </m:rPr>
                  <w:rPr>
                    <w:rStyle w:val="SubtleEmphasis"/>
                    <w:rFonts w:ascii="Cambria Math" w:hAnsi="Cambria Math" w:cstheme="minorHAnsi"/>
                    <w:color w:val="auto"/>
                  </w:rPr>
                  <m:t>-442</m:t>
                </m:r>
              </m:e>
            </m:d>
          </m:num>
          <m:den>
            <m:r>
              <m:rPr>
                <m:sty m:val="p"/>
              </m:rPr>
              <w:rPr>
                <w:rStyle w:val="SubtleEmphasis"/>
                <w:rFonts w:ascii="Cambria Math" w:hAnsi="Cambria Math" w:cstheme="minorHAnsi"/>
                <w:color w:val="auto"/>
              </w:rPr>
              <m:t>4</m:t>
            </m:r>
          </m:den>
        </m:f>
        <m:r>
          <m:rPr>
            <m:sty m:val="p"/>
          </m:rPr>
          <w:rPr>
            <w:rStyle w:val="SubtleEmphasis"/>
            <w:rFonts w:ascii="Cambria Math" w:hAnsi="Cambria Math" w:cstheme="minorHAnsi"/>
            <w:color w:val="auto"/>
          </w:rPr>
          <m:t xml:space="preserve">) </m:t>
        </m:r>
      </m:oMath>
    </w:p>
    <w:p w14:paraId="60ABC9A2" w14:textId="60391900"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ARR</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 xml:space="preserve">6054 </m:t>
            </m:r>
          </m:num>
          <m:den>
            <m:r>
              <m:rPr>
                <m:sty m:val="p"/>
              </m:rPr>
              <w:rPr>
                <w:rStyle w:val="SubtleEmphasis"/>
                <w:rFonts w:ascii="Cambria Math" w:hAnsi="Cambria Math" w:cstheme="minorHAnsi"/>
                <w:color w:val="auto"/>
              </w:rPr>
              <m:t>4</m:t>
            </m:r>
          </m:den>
        </m:f>
        <m:r>
          <m:rPr>
            <m:sty m:val="p"/>
          </m:rPr>
          <w:rPr>
            <w:rStyle w:val="SubtleEmphasis"/>
            <w:rFonts w:ascii="Cambria Math" w:hAnsi="Cambria Math" w:cstheme="minorHAnsi"/>
            <w:color w:val="auto"/>
          </w:rPr>
          <m:t>=1514.5</m:t>
        </m:r>
      </m:oMath>
    </w:p>
    <w:p w14:paraId="4774C6A5" w14:textId="55941B5B"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ARR</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1514.5</m:t>
            </m:r>
          </m:num>
          <m:den>
            <m:r>
              <m:rPr>
                <m:sty m:val="p"/>
              </m:rPr>
              <w:rPr>
                <w:rStyle w:val="SubtleEmphasis"/>
                <w:rFonts w:ascii="Cambria Math" w:hAnsi="Cambria Math" w:cstheme="minorHAnsi"/>
                <w:color w:val="auto"/>
              </w:rPr>
              <m:t>5000</m:t>
            </m:r>
          </m:den>
        </m:f>
        <m:r>
          <m:rPr>
            <m:sty m:val="p"/>
          </m:rPr>
          <w:rPr>
            <w:rStyle w:val="SubtleEmphasis"/>
            <w:rFonts w:ascii="Cambria Math" w:hAnsi="Cambria Math" w:cstheme="minorHAnsi"/>
            <w:color w:val="auto"/>
          </w:rPr>
          <m:t>)×100=</m:t>
        </m:r>
        <m:r>
          <m:rPr>
            <m:sty m:val="b"/>
          </m:rPr>
          <w:rPr>
            <w:rStyle w:val="SubtleEmphasis"/>
            <w:rFonts w:ascii="Cambria Math" w:hAnsi="Cambria Math" w:cstheme="minorHAnsi"/>
            <w:color w:val="auto"/>
          </w:rPr>
          <m:t>30.29%</m:t>
        </m:r>
      </m:oMath>
    </w:p>
    <w:p w14:paraId="1728BFF1" w14:textId="1AD314D0" w:rsidR="0009016F" w:rsidRPr="00901264" w:rsidRDefault="0009016F" w:rsidP="00901264">
      <w:p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t xml:space="preserve">PROJECT B </w:t>
      </w:r>
    </w:p>
    <w:p w14:paraId="767FC93C" w14:textId="168E5132"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 xml:space="preserve">Investment of £1000 million </w:t>
      </w:r>
    </w:p>
    <w:p w14:paraId="2734CC49" w14:textId="5A4FED03"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Average Annual Accounting Profit </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1500+1000+1000+</m:t>
            </m:r>
            <m:d>
              <m:dPr>
                <m:ctrlPr>
                  <w:rPr>
                    <w:rStyle w:val="SubtleEmphasis"/>
                    <w:rFonts w:ascii="Cambria Math" w:hAnsi="Cambria Math" w:cstheme="minorHAnsi"/>
                    <w:i w:val="0"/>
                    <w:iCs w:val="0"/>
                    <w:color w:val="auto"/>
                    <w:lang w:val="en-US"/>
                  </w:rPr>
                </m:ctrlPr>
              </m:dPr>
              <m:e>
                <m:r>
                  <m:rPr>
                    <m:sty m:val="p"/>
                  </m:rPr>
                  <w:rPr>
                    <w:rStyle w:val="SubtleEmphasis"/>
                    <w:rFonts w:ascii="Cambria Math" w:hAnsi="Cambria Math" w:cstheme="minorHAnsi"/>
                    <w:color w:val="auto"/>
                  </w:rPr>
                  <m:t>-470</m:t>
                </m:r>
              </m:e>
            </m:d>
          </m:num>
          <m:den>
            <m:r>
              <m:rPr>
                <m:sty m:val="p"/>
              </m:rPr>
              <w:rPr>
                <w:rStyle w:val="SubtleEmphasis"/>
                <w:rFonts w:ascii="Cambria Math" w:hAnsi="Cambria Math" w:cstheme="minorHAnsi"/>
                <w:color w:val="auto"/>
              </w:rPr>
              <m:t>4</m:t>
            </m:r>
          </m:den>
        </m:f>
        <m:r>
          <m:rPr>
            <m:sty m:val="p"/>
          </m:rPr>
          <w:rPr>
            <w:rStyle w:val="SubtleEmphasis"/>
            <w:rFonts w:ascii="Cambria Math" w:hAnsi="Cambria Math" w:cstheme="minorHAnsi"/>
            <w:color w:val="auto"/>
          </w:rPr>
          <m:t>)</m:t>
        </m:r>
      </m:oMath>
    </w:p>
    <w:p w14:paraId="27E13A0C" w14:textId="68C09DE9"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ARR</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3030</m:t>
            </m:r>
          </m:num>
          <m:den>
            <m:r>
              <m:rPr>
                <m:sty m:val="p"/>
              </m:rPr>
              <w:rPr>
                <w:rStyle w:val="SubtleEmphasis"/>
                <w:rFonts w:ascii="Cambria Math" w:hAnsi="Cambria Math" w:cstheme="minorHAnsi"/>
                <w:color w:val="auto"/>
              </w:rPr>
              <m:t>4</m:t>
            </m:r>
          </m:den>
        </m:f>
        <m:r>
          <m:rPr>
            <m:sty m:val="p"/>
          </m:rPr>
          <w:rPr>
            <w:rStyle w:val="SubtleEmphasis"/>
            <w:rFonts w:ascii="Cambria Math" w:hAnsi="Cambria Math" w:cstheme="minorHAnsi"/>
            <w:color w:val="auto"/>
          </w:rPr>
          <m:t xml:space="preserve">=757.5 </m:t>
        </m:r>
      </m:oMath>
    </w:p>
    <w:p w14:paraId="63F4090C" w14:textId="3D8B88FA" w:rsidR="0009016F"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ARR</w:t>
      </w:r>
      <m:oMath>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lang w:val="en-US"/>
              </w:rPr>
            </m:ctrlPr>
          </m:fPr>
          <m:num>
            <m:r>
              <m:rPr>
                <m:sty m:val="p"/>
              </m:rPr>
              <w:rPr>
                <w:rStyle w:val="SubtleEmphasis"/>
                <w:rFonts w:ascii="Cambria Math" w:hAnsi="Cambria Math" w:cstheme="minorHAnsi"/>
                <w:color w:val="auto"/>
              </w:rPr>
              <m:t>757.5</m:t>
            </m:r>
          </m:num>
          <m:den>
            <m:r>
              <m:rPr>
                <m:sty m:val="p"/>
              </m:rPr>
              <w:rPr>
                <w:rStyle w:val="SubtleEmphasis"/>
                <w:rFonts w:ascii="Cambria Math" w:hAnsi="Cambria Math" w:cstheme="minorHAnsi"/>
                <w:color w:val="auto"/>
              </w:rPr>
              <m:t>1000</m:t>
            </m:r>
          </m:den>
        </m:f>
        <m:r>
          <m:rPr>
            <m:sty m:val="p"/>
          </m:rPr>
          <w:rPr>
            <w:rStyle w:val="SubtleEmphasis"/>
            <w:rFonts w:ascii="Cambria Math" w:hAnsi="Cambria Math" w:cstheme="minorHAnsi"/>
            <w:color w:val="auto"/>
          </w:rPr>
          <m:t>)×100=</m:t>
        </m:r>
        <m:r>
          <m:rPr>
            <m:sty m:val="b"/>
          </m:rPr>
          <w:rPr>
            <w:rStyle w:val="SubtleEmphasis"/>
            <w:rFonts w:ascii="Cambria Math" w:hAnsi="Cambria Math" w:cstheme="minorHAnsi"/>
            <w:color w:val="auto"/>
          </w:rPr>
          <m:t>75.75%</m:t>
        </m:r>
      </m:oMath>
    </w:p>
    <w:p w14:paraId="6FFBE35A" w14:textId="2A24FBFA"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Based on the calculations:</w:t>
      </w:r>
    </w:p>
    <w:p w14:paraId="2D4DDB19"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Project A has an ARR of approximately </w:t>
      </w:r>
      <w:r w:rsidRPr="00901264">
        <w:rPr>
          <w:rStyle w:val="SubtleEmphasis"/>
          <w:rFonts w:cstheme="minorHAnsi"/>
          <w:b/>
          <w:bCs/>
          <w:i w:val="0"/>
          <w:iCs w:val="0"/>
          <w:color w:val="auto"/>
        </w:rPr>
        <w:t>30.29%.</w:t>
      </w:r>
    </w:p>
    <w:p w14:paraId="1EDB1B09" w14:textId="77777777" w:rsidR="00CA6176" w:rsidRPr="00901264" w:rsidRDefault="00CA6176" w:rsidP="00901264">
      <w:pPr>
        <w:spacing w:line="360" w:lineRule="auto"/>
        <w:jc w:val="both"/>
        <w:rPr>
          <w:rStyle w:val="SubtleEmphasis"/>
          <w:rFonts w:cstheme="minorHAnsi"/>
          <w:b/>
          <w:bCs/>
          <w:i w:val="0"/>
          <w:iCs w:val="0"/>
          <w:color w:val="auto"/>
        </w:rPr>
      </w:pPr>
      <w:r w:rsidRPr="00901264">
        <w:rPr>
          <w:rStyle w:val="SubtleEmphasis"/>
          <w:rFonts w:cstheme="minorHAnsi"/>
          <w:i w:val="0"/>
          <w:iCs w:val="0"/>
          <w:color w:val="auto"/>
        </w:rPr>
        <w:t xml:space="preserve">Project B has an ARR of approximately </w:t>
      </w:r>
      <w:r w:rsidRPr="00901264">
        <w:rPr>
          <w:rStyle w:val="SubtleEmphasis"/>
          <w:rFonts w:cstheme="minorHAnsi"/>
          <w:b/>
          <w:bCs/>
          <w:i w:val="0"/>
          <w:iCs w:val="0"/>
          <w:color w:val="auto"/>
        </w:rPr>
        <w:t>75.75%.</w:t>
      </w:r>
    </w:p>
    <w:p w14:paraId="42854FA7" w14:textId="1DBF26E8"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Comparing the ARR values, Project B has a higher accounting rate of return than Project A. Therefore, based on the ARR criterion alone, Project B would be preferred as it offers a higher return than the initial investment.</w:t>
      </w:r>
    </w:p>
    <w:p w14:paraId="57E8D332" w14:textId="47DC9502" w:rsidR="000D79CE" w:rsidRPr="00901264" w:rsidRDefault="000D79CE" w:rsidP="00901264">
      <w:pPr>
        <w:pStyle w:val="ListParagraph"/>
        <w:numPr>
          <w:ilvl w:val="1"/>
          <w:numId w:val="11"/>
        </w:numPr>
        <w:spacing w:line="360" w:lineRule="auto"/>
        <w:jc w:val="both"/>
        <w:rPr>
          <w:rStyle w:val="SubtleEmphasis"/>
          <w:rFonts w:cstheme="minorHAnsi"/>
          <w:i w:val="0"/>
          <w:iCs w:val="0"/>
          <w:color w:val="auto"/>
        </w:rPr>
      </w:pPr>
      <w:bookmarkStart w:id="8" w:name="_Hlk164338055"/>
      <w:r w:rsidRPr="00901264">
        <w:rPr>
          <w:rStyle w:val="SubtleEmphasis"/>
          <w:rFonts w:cstheme="minorHAnsi"/>
          <w:i w:val="0"/>
          <w:iCs w:val="0"/>
          <w:color w:val="auto"/>
        </w:rPr>
        <w:t>Net Present Value (NPV)</w:t>
      </w:r>
    </w:p>
    <w:bookmarkEnd w:id="8"/>
    <w:p w14:paraId="04145FBB" w14:textId="4E6D8D1F"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To calculate the Net Present Value (NPV) for both projects, we need to discount each cash flow to its present value and then sum these present values. The formula for NPV is:</w:t>
      </w:r>
    </w:p>
    <w:p w14:paraId="30293D37" w14:textId="671AF844" w:rsidR="0009016F" w:rsidRPr="00901264" w:rsidRDefault="0009016F" w:rsidP="00901264">
      <w:pPr>
        <w:spacing w:line="360" w:lineRule="auto"/>
        <w:jc w:val="center"/>
        <w:rPr>
          <w:rStyle w:val="SubtleEmphasis"/>
          <w:rFonts w:cstheme="minorHAnsi"/>
          <w:i w:val="0"/>
          <w:iCs w:val="0"/>
          <w:color w:val="auto"/>
        </w:rPr>
      </w:pPr>
      <w:bookmarkStart w:id="9" w:name="_Hlk164182526"/>
      <w:r w:rsidRPr="00901264">
        <w:rPr>
          <w:rStyle w:val="SubtleEmphasis"/>
          <w:rFonts w:cstheme="minorHAnsi"/>
          <w:i w:val="0"/>
          <w:iCs w:val="0"/>
          <w:color w:val="auto"/>
        </w:rPr>
        <w:t xml:space="preserve">Net Present Value </w:t>
      </w:r>
      <m:oMath>
        <m:r>
          <m:rPr>
            <m:sty m:val="p"/>
          </m:rPr>
          <w:rPr>
            <w:rStyle w:val="SubtleEmphasis"/>
            <w:rFonts w:ascii="Cambria Math" w:hAnsi="Cambria Math" w:cstheme="minorHAnsi"/>
            <w:color w:val="auto"/>
          </w:rPr>
          <m:t>=</m:t>
        </m:r>
      </m:oMath>
      <w:r w:rsidRPr="00901264">
        <w:rPr>
          <w:rStyle w:val="SubtleEmphasis"/>
          <w:rFonts w:cstheme="minorHAnsi"/>
          <w:i w:val="0"/>
          <w:iCs w:val="0"/>
          <w:color w:val="auto"/>
        </w:rPr>
        <w:t xml:space="preserve"> </w:t>
      </w:r>
      <m:oMath>
        <m:nary>
          <m:naryPr>
            <m:chr m:val="∑"/>
            <m:limLoc m:val="undOvr"/>
            <m:ctrlPr>
              <w:rPr>
                <w:rStyle w:val="SubtleEmphasis"/>
                <w:rFonts w:ascii="Cambria Math" w:hAnsi="Cambria Math" w:cstheme="minorHAnsi"/>
                <w:i w:val="0"/>
                <w:iCs w:val="0"/>
                <w:color w:val="auto"/>
              </w:rPr>
            </m:ctrlPr>
          </m:naryPr>
          <m:sub>
            <m:r>
              <m:rPr>
                <m:sty m:val="p"/>
              </m:rPr>
              <w:rPr>
                <w:rStyle w:val="SubtleEmphasis"/>
                <w:rFonts w:ascii="Cambria Math" w:hAnsi="Cambria Math" w:cstheme="minorHAnsi"/>
                <w:color w:val="auto"/>
              </w:rPr>
              <m:t>t=0</m:t>
            </m:r>
          </m:sub>
          <m:sup>
            <m:r>
              <m:rPr>
                <m:sty m:val="p"/>
              </m:rPr>
              <w:rPr>
                <w:rStyle w:val="SubtleEmphasis"/>
                <w:rFonts w:ascii="Cambria Math" w:hAnsi="Cambria Math" w:cstheme="minorHAnsi"/>
                <w:color w:val="auto"/>
              </w:rPr>
              <m:t>n</m:t>
            </m:r>
          </m:sup>
          <m:e>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CFt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(1+r)</m:t>
                    </m:r>
                  </m:e>
                  <m:sup>
                    <m:r>
                      <m:rPr>
                        <m:sty m:val="p"/>
                      </m:rPr>
                      <w:rPr>
                        <w:rStyle w:val="SubtleEmphasis"/>
                        <w:rFonts w:ascii="Cambria Math" w:hAnsi="Cambria Math" w:cstheme="minorHAnsi"/>
                        <w:color w:val="auto"/>
                      </w:rPr>
                      <m:t xml:space="preserve">t </m:t>
                    </m:r>
                  </m:sup>
                </m:sSup>
              </m:den>
            </m:f>
          </m:e>
        </m:nary>
      </m:oMath>
      <w:r w:rsidRPr="00901264">
        <w:rPr>
          <w:rStyle w:val="SubtleEmphasis"/>
          <w:rFonts w:cstheme="minorHAnsi"/>
          <w:i w:val="0"/>
          <w:iCs w:val="0"/>
          <w:color w:val="auto"/>
        </w:rPr>
        <w:t>–</w:t>
      </w:r>
    </w:p>
    <w:p w14:paraId="75DDF6FE" w14:textId="1D0D3031"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Equation </w:t>
      </w:r>
      <w:r w:rsidR="00901264">
        <w:rPr>
          <w:rStyle w:val="SubtleEmphasis"/>
          <w:rFonts w:cstheme="minorHAnsi"/>
          <w:color w:val="767171" w:themeColor="background2" w:themeShade="80"/>
        </w:rPr>
        <w:t xml:space="preserve">3.4. Net Present Value </w:t>
      </w:r>
    </w:p>
    <w:bookmarkEnd w:id="9"/>
    <w:p w14:paraId="5DF502C1" w14:textId="03F0D3CB"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Where:</w:t>
      </w:r>
    </w:p>
    <w:p w14:paraId="40A49F90" w14:textId="528C4394"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w:t>
      </w:r>
      <m:oMath>
        <m:sSub>
          <m:sSubPr>
            <m:ctrlPr>
              <w:rPr>
                <w:rStyle w:val="SubtleEmphasis"/>
                <w:rFonts w:ascii="Cambria Math" w:hAnsi="Cambria Math" w:cstheme="minorHAnsi"/>
                <w:i w:val="0"/>
                <w:iCs w:val="0"/>
                <w:color w:val="auto"/>
              </w:rPr>
            </m:ctrlPr>
          </m:sSubPr>
          <m:e>
            <m:r>
              <m:rPr>
                <m:sty m:val="p"/>
              </m:rPr>
              <w:rPr>
                <w:rStyle w:val="SubtleEmphasis"/>
                <w:rFonts w:ascii="Cambria Math" w:hAnsi="Cambria Math" w:cstheme="minorHAnsi"/>
                <w:color w:val="auto"/>
              </w:rPr>
              <m:t>CF</m:t>
            </m:r>
          </m:e>
          <m:sub>
            <m:r>
              <m:rPr>
                <m:sty m:val="p"/>
              </m:rPr>
              <w:rPr>
                <w:rStyle w:val="SubtleEmphasis"/>
                <w:rFonts w:ascii="Cambria Math" w:hAnsi="Cambria Math" w:cstheme="minorHAnsi"/>
                <w:color w:val="auto"/>
              </w:rPr>
              <m:t>t</m:t>
            </m:r>
          </m:sub>
        </m:sSub>
      </m:oMath>
      <w:r w:rsidRPr="00901264">
        <w:rPr>
          <w:rStyle w:val="SubtleEmphasis"/>
          <w:rFonts w:cstheme="minorHAnsi"/>
          <w:i w:val="0"/>
          <w:iCs w:val="0"/>
          <w:color w:val="auto"/>
        </w:rPr>
        <w:t>- Cash Flow at time t</w:t>
      </w:r>
    </w:p>
    <w:p w14:paraId="05BBD007" w14:textId="4D20776E"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r- Discount rate (the company cost of capital)</w:t>
      </w:r>
    </w:p>
    <w:p w14:paraId="20146B46" w14:textId="7DD6FB5E"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 Number of periods (years)</w:t>
      </w:r>
    </w:p>
    <w:p w14:paraId="432A0133" w14:textId="5342AB65"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Initial Investment – Initial investment cost</w:t>
      </w:r>
    </w:p>
    <w:p w14:paraId="1875FF7D" w14:textId="77777777" w:rsidR="006C3680"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Given the cash flows for Projects A and B, the initial investment, and the company's cost of capital, we can calculate the NPV for each project.</w:t>
      </w:r>
    </w:p>
    <w:p w14:paraId="311C8936" w14:textId="50C267A8" w:rsidR="00901264" w:rsidRDefault="00901264" w:rsidP="00901264">
      <w:pPr>
        <w:spacing w:line="360" w:lineRule="auto"/>
        <w:jc w:val="both"/>
        <w:rPr>
          <w:rStyle w:val="SubtleEmphasis"/>
          <w:rFonts w:cstheme="minorHAnsi"/>
          <w:i w:val="0"/>
          <w:iCs w:val="0"/>
          <w:color w:val="auto"/>
        </w:rPr>
      </w:pPr>
      <w:r>
        <w:rPr>
          <w:rStyle w:val="SubtleEmphasis"/>
          <w:rFonts w:cstheme="minorHAnsi"/>
          <w:i w:val="0"/>
          <w:iCs w:val="0"/>
          <w:color w:val="auto"/>
        </w:rPr>
        <w:t>Calculation of  NPV</w:t>
      </w:r>
    </w:p>
    <w:p w14:paraId="56520423" w14:textId="43BC7D37" w:rsidR="0009016F" w:rsidRPr="00901264" w:rsidRDefault="006C3680" w:rsidP="00901264">
      <w:pPr>
        <w:spacing w:line="360" w:lineRule="auto"/>
        <w:jc w:val="both"/>
        <w:rPr>
          <w:rStyle w:val="SubtleEmphasis"/>
          <w:rFonts w:cstheme="minorHAnsi"/>
          <w:b/>
          <w:bCs/>
          <w:i w:val="0"/>
          <w:iCs w:val="0"/>
          <w:color w:val="auto"/>
        </w:rPr>
      </w:pPr>
      <w:r w:rsidRPr="00901264">
        <w:rPr>
          <w:rStyle w:val="SubtleEmphasis"/>
          <w:rFonts w:cstheme="minorHAnsi"/>
          <w:i w:val="0"/>
          <w:iCs w:val="0"/>
          <w:color w:val="auto"/>
        </w:rPr>
        <w:lastRenderedPageBreak/>
        <w:t xml:space="preserve"> </w:t>
      </w:r>
      <w:r w:rsidR="0009016F" w:rsidRPr="00901264">
        <w:rPr>
          <w:rStyle w:val="SubtleEmphasis"/>
          <w:rFonts w:cstheme="minorHAnsi"/>
          <w:b/>
          <w:bCs/>
          <w:i w:val="0"/>
          <w:iCs w:val="0"/>
          <w:color w:val="auto"/>
        </w:rPr>
        <w:t xml:space="preserve">PROJECT A </w:t>
      </w:r>
    </w:p>
    <w:p w14:paraId="2EAA5117" w14:textId="7CF6159E" w:rsidR="0009016F" w:rsidRPr="00901264" w:rsidRDefault="0009016F" w:rsidP="00901264">
      <w:pPr>
        <w:spacing w:line="360" w:lineRule="auto"/>
        <w:jc w:val="both"/>
        <w:rPr>
          <w:rStyle w:val="SubtleEmphasis"/>
          <w:rFonts w:cstheme="minorHAnsi"/>
          <w:i w:val="0"/>
          <w:iCs w:val="0"/>
          <w:color w:val="auto"/>
        </w:rPr>
      </w:pPr>
      <w:bookmarkStart w:id="10" w:name="_Hlk164184346"/>
      <w:r w:rsidRPr="00901264">
        <w:rPr>
          <w:rStyle w:val="SubtleEmphasis"/>
          <w:rFonts w:cstheme="minorHAnsi"/>
          <w:i w:val="0"/>
          <w:iCs w:val="0"/>
          <w:color w:val="auto"/>
        </w:rPr>
        <w:t xml:space="preserve">NPV = </w:t>
      </w:r>
      <m:oMath>
        <m:nary>
          <m:naryPr>
            <m:chr m:val="∑"/>
            <m:limLoc m:val="undOvr"/>
            <m:ctrlPr>
              <w:rPr>
                <w:rStyle w:val="SubtleEmphasis"/>
                <w:rFonts w:ascii="Cambria Math" w:hAnsi="Cambria Math" w:cstheme="minorHAnsi"/>
                <w:i w:val="0"/>
                <w:iCs w:val="0"/>
                <w:color w:val="auto"/>
              </w:rPr>
            </m:ctrlPr>
          </m:naryPr>
          <m:sub>
            <m:r>
              <m:rPr>
                <m:sty m:val="p"/>
              </m:rPr>
              <w:rPr>
                <w:rStyle w:val="SubtleEmphasis"/>
                <w:rFonts w:ascii="Cambria Math" w:hAnsi="Cambria Math" w:cstheme="minorHAnsi"/>
                <w:color w:val="auto"/>
              </w:rPr>
              <m:t>t=0</m:t>
            </m:r>
          </m:sub>
          <m:sup>
            <m:r>
              <m:rPr>
                <m:sty m:val="p"/>
              </m:rPr>
              <w:rPr>
                <w:rStyle w:val="SubtleEmphasis"/>
                <w:rFonts w:ascii="Cambria Math" w:hAnsi="Cambria Math" w:cstheme="minorHAnsi"/>
                <w:color w:val="auto"/>
              </w:rPr>
              <m:t>n</m:t>
            </m:r>
          </m:sup>
          <m:e>
            <m:r>
              <m:rPr>
                <m:sty m:val="p"/>
              </m:rPr>
              <w:rPr>
                <w:rStyle w:val="SubtleEmphasis"/>
                <w:rFonts w:ascii="Cambria Math" w:hAnsi="Cambria Math" w:cstheme="minorHAnsi"/>
                <w:color w:val="auto"/>
              </w:rPr>
              <m:t>=</m:t>
            </m:r>
            <w:bookmarkStart w:id="11" w:name="_Hlk164105510"/>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-5000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0</m:t>
                    </m:r>
                  </m:sup>
                </m:sSup>
              </m:den>
            </m:f>
            <w:bookmarkEnd w:id="11"/>
          </m:e>
        </m:nary>
        <m:r>
          <m:rPr>
            <m:sty m:val="p"/>
          </m:rPr>
          <w:rPr>
            <w:rStyle w:val="SubtleEmphasis"/>
            <w:rFonts w:ascii="Cambria Math" w:hAnsi="Cambria Math" w:cstheme="minorHAnsi"/>
            <w:color w:val="auto"/>
          </w:rPr>
          <m:t xml:space="preserve">+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2500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1  </m:t>
                </m:r>
              </m:sup>
            </m:sSup>
          </m:den>
        </m:f>
      </m:oMath>
      <w:r w:rsidRPr="00901264">
        <w:rPr>
          <w:rStyle w:val="SubtleEmphasis"/>
          <w:rFonts w:cstheme="minorHAnsi"/>
          <w:i w:val="0"/>
          <w:iCs w:val="0"/>
          <w:color w:val="auto"/>
        </w:rPr>
        <w:t xml:space="preserve"> +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2000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2 </m:t>
                </m:r>
              </m:sup>
            </m:sSup>
          </m:den>
        </m:f>
      </m:oMath>
      <w:r w:rsidRPr="00901264">
        <w:rPr>
          <w:rStyle w:val="SubtleEmphasis"/>
          <w:rFonts w:cstheme="minorHAnsi"/>
          <w:i w:val="0"/>
          <w:iCs w:val="0"/>
          <w:color w:val="auto"/>
        </w:rPr>
        <w:t xml:space="preserve">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1000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3</m:t>
                </m:r>
              </m:sup>
            </m:sSup>
          </m:den>
        </m:f>
      </m:oMath>
      <w:r w:rsidRPr="00901264">
        <w:rPr>
          <w:rStyle w:val="SubtleEmphasis"/>
          <w:rFonts w:cstheme="minorHAnsi"/>
          <w:i w:val="0"/>
          <w:iCs w:val="0"/>
          <w:color w:val="auto"/>
        </w:rPr>
        <w:t xml:space="preserve">  +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-442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4</m:t>
                </m:r>
              </m:sup>
            </m:sSup>
          </m:den>
        </m:f>
      </m:oMath>
    </w:p>
    <w:p w14:paraId="4962DF07" w14:textId="6180A87A"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p"/>
          </m:rPr>
          <w:rPr>
            <w:rStyle w:val="SubtleEmphasis"/>
            <w:rFonts w:ascii="Cambria Math" w:hAnsi="Cambria Math" w:cstheme="minorHAnsi"/>
            <w:color w:val="auto"/>
          </w:rPr>
          <m:t>=(-5000)+2476.63+1971.39+975.09+</m:t>
        </m:r>
        <m:d>
          <m:dPr>
            <m:ctrlPr>
              <w:rPr>
                <w:rStyle w:val="SubtleEmphasis"/>
                <w:rFonts w:ascii="Cambria Math" w:hAnsi="Cambria Math" w:cstheme="minorHAnsi"/>
                <w:i w:val="0"/>
                <w:iCs w:val="0"/>
                <w:color w:val="auto"/>
              </w:rPr>
            </m:ctrlPr>
          </m:dPr>
          <m:e>
            <m:r>
              <m:rPr>
                <m:sty m:val="p"/>
              </m:rPr>
              <w:rPr>
                <w:rStyle w:val="SubtleEmphasis"/>
                <w:rFonts w:ascii="Cambria Math" w:hAnsi="Cambria Math" w:cstheme="minorHAnsi"/>
                <w:color w:val="auto"/>
              </w:rPr>
              <m:t>-428.73</m:t>
            </m:r>
          </m:e>
        </m:d>
      </m:oMath>
    </w:p>
    <w:p w14:paraId="3A7D3229" w14:textId="77DBC8A8" w:rsidR="00D9581A" w:rsidRPr="00901264" w:rsidRDefault="00D9581A"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NPV</w:t>
      </w:r>
      <m:oMath>
        <m:r>
          <m:rPr>
            <m:sty m:val="p"/>
          </m:rPr>
          <w:rPr>
            <w:rStyle w:val="SubtleEmphasis"/>
            <w:rFonts w:ascii="Cambria Math" w:hAnsi="Cambria Math" w:cstheme="minorHAnsi"/>
            <w:color w:val="auto"/>
          </w:rPr>
          <m:t>=5423.11+(-5428.73)</m:t>
        </m:r>
      </m:oMath>
    </w:p>
    <w:p w14:paraId="1F1A955B" w14:textId="4BA08E59" w:rsidR="00CA6176"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b"/>
          </m:rPr>
          <w:rPr>
            <w:rStyle w:val="SubtleEmphasis"/>
            <w:rFonts w:ascii="Cambria Math" w:hAnsi="Cambria Math" w:cstheme="minorHAnsi"/>
            <w:color w:val="auto"/>
          </w:rPr>
          <m:t xml:space="preserve">=- 5.62  million  </m:t>
        </m:r>
      </m:oMath>
      <w:bookmarkEnd w:id="10"/>
    </w:p>
    <w:p w14:paraId="3D1C3802" w14:textId="381D71DF" w:rsidR="0009016F" w:rsidRPr="00901264" w:rsidRDefault="0009016F" w:rsidP="00901264">
      <w:p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t>PROJECT B</w:t>
      </w:r>
    </w:p>
    <w:p w14:paraId="235B7E99" w14:textId="05791CC9" w:rsidR="0009016F" w:rsidRPr="00901264" w:rsidRDefault="0009016F" w:rsidP="00901264">
      <w:pPr>
        <w:spacing w:line="360" w:lineRule="auto"/>
        <w:jc w:val="both"/>
        <w:rPr>
          <w:rStyle w:val="SubtleEmphasis"/>
          <w:rFonts w:cstheme="minorHAnsi"/>
          <w:i w:val="0"/>
          <w:iCs w:val="0"/>
          <w:color w:val="auto"/>
        </w:rPr>
      </w:pPr>
      <w:bookmarkStart w:id="12" w:name="_Hlk164184409"/>
      <w:r w:rsidRPr="00901264">
        <w:rPr>
          <w:rStyle w:val="SubtleEmphasis"/>
          <w:rFonts w:cstheme="minorHAnsi"/>
          <w:i w:val="0"/>
          <w:iCs w:val="0"/>
          <w:color w:val="auto"/>
        </w:rPr>
        <w:t xml:space="preserve">NPV </w:t>
      </w:r>
      <m:oMath>
        <m:r>
          <m:rPr>
            <m:sty m:val="p"/>
          </m:rPr>
          <w:rPr>
            <w:rStyle w:val="SubtleEmphasis"/>
            <w:rFonts w:ascii="Cambria Math" w:hAnsi="Cambria Math" w:cstheme="minorHAnsi"/>
            <w:color w:val="auto"/>
          </w:rPr>
          <m:t>=</m:t>
        </m:r>
        <m:nary>
          <m:naryPr>
            <m:chr m:val="∑"/>
            <m:limLoc m:val="undOvr"/>
            <m:ctrlPr>
              <w:rPr>
                <w:rStyle w:val="SubtleEmphasis"/>
                <w:rFonts w:ascii="Cambria Math" w:hAnsi="Cambria Math" w:cstheme="minorHAnsi"/>
                <w:i w:val="0"/>
                <w:iCs w:val="0"/>
                <w:color w:val="auto"/>
              </w:rPr>
            </m:ctrlPr>
          </m:naryPr>
          <m:sub>
            <m:r>
              <m:rPr>
                <m:sty m:val="p"/>
              </m:rPr>
              <w:rPr>
                <w:rStyle w:val="SubtleEmphasis"/>
                <w:rFonts w:ascii="Cambria Math" w:hAnsi="Cambria Math" w:cstheme="minorHAnsi"/>
                <w:color w:val="auto"/>
              </w:rPr>
              <m:t>t=0</m:t>
            </m:r>
          </m:sub>
          <m:sup>
            <m:r>
              <m:rPr>
                <m:sty m:val="p"/>
              </m:rPr>
              <w:rPr>
                <w:rStyle w:val="SubtleEmphasis"/>
                <w:rFonts w:ascii="Cambria Math" w:hAnsi="Cambria Math" w:cstheme="minorHAnsi"/>
                <w:color w:val="auto"/>
              </w:rPr>
              <m:t>n</m:t>
            </m:r>
          </m:sup>
          <m:e>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-1000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0</m:t>
                    </m:r>
                  </m:sup>
                </m:sSup>
              </m:den>
            </m:f>
          </m:e>
        </m:nary>
        <m:r>
          <m:rPr>
            <m:sty m:val="p"/>
          </m:rPr>
          <w:rPr>
            <w:rStyle w:val="SubtleEmphasis"/>
            <w:rFonts w:ascii="Cambria Math" w:hAnsi="Cambria Math" w:cstheme="minorHAnsi"/>
            <w:color w:val="auto"/>
          </w:rPr>
          <m:t xml:space="preserve">+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1500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1  </m:t>
                </m:r>
              </m:sup>
            </m:sSup>
          </m:den>
        </m:f>
      </m:oMath>
      <w:r w:rsidRPr="00901264">
        <w:rPr>
          <w:rStyle w:val="SubtleEmphasis"/>
          <w:rFonts w:cstheme="minorHAnsi"/>
          <w:i w:val="0"/>
          <w:iCs w:val="0"/>
          <w:color w:val="auto"/>
        </w:rPr>
        <w:t xml:space="preserve"> </w:t>
      </w:r>
      <m:oMath>
        <m:r>
          <m:rPr>
            <m:sty m:val="p"/>
          </m:rPr>
          <w:rPr>
            <w:rStyle w:val="SubtleEmphasis"/>
            <w:rFonts w:ascii="Cambria Math" w:hAnsi="Cambria Math" w:cstheme="minorHAnsi"/>
            <w:color w:val="auto"/>
          </w:rPr>
          <m:t xml:space="preserve">+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1000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2  </m:t>
                </m:r>
              </m:sup>
            </m:sSup>
          </m:den>
        </m:f>
      </m:oMath>
      <w:r w:rsidRPr="00901264">
        <w:rPr>
          <w:rStyle w:val="SubtleEmphasis"/>
          <w:rFonts w:cstheme="minorHAnsi"/>
          <w:i w:val="0"/>
          <w:iCs w:val="0"/>
          <w:color w:val="auto"/>
        </w:rPr>
        <w:t xml:space="preserve">  </w:t>
      </w:r>
      <m:oMath>
        <m:r>
          <m:rPr>
            <m:sty m:val="p"/>
          </m:rPr>
          <w:rPr>
            <w:rStyle w:val="SubtleEmphasis"/>
            <w:rFonts w:ascii="Cambria Math" w:hAnsi="Cambria Math" w:cstheme="minorHAnsi"/>
            <w:color w:val="auto"/>
          </w:rPr>
          <m:t xml:space="preserve">+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1000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3 </m:t>
                </m:r>
              </m:sup>
            </m:sSup>
          </m:den>
        </m:f>
        <m:r>
          <m:rPr>
            <m:sty m:val="p"/>
          </m:rPr>
          <w:rPr>
            <w:rStyle w:val="SubtleEmphasis"/>
            <w:rFonts w:ascii="Cambria Math" w:hAnsi="Cambria Math" w:cstheme="minorHAnsi"/>
            <w:color w:val="auto"/>
          </w:rPr>
          <m:t xml:space="preserve"> +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-470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4 </m:t>
                </m:r>
              </m:sup>
            </m:sSup>
          </m:den>
        </m:f>
      </m:oMath>
    </w:p>
    <w:p w14:paraId="47B6A124" w14:textId="67B8315B" w:rsidR="0009016F"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NPV</w:t>
      </w:r>
      <m:oMath>
        <m:r>
          <m:rPr>
            <m:sty m:val="p"/>
          </m:rPr>
          <w:rPr>
            <w:rStyle w:val="SubtleEmphasis"/>
            <w:rFonts w:ascii="Cambria Math" w:hAnsi="Cambria Math" w:cstheme="minorHAnsi"/>
            <w:color w:val="auto"/>
          </w:rPr>
          <m:t>=</m:t>
        </m:r>
        <m:d>
          <m:dPr>
            <m:ctrlPr>
              <w:rPr>
                <w:rStyle w:val="SubtleEmphasis"/>
                <w:rFonts w:ascii="Cambria Math" w:hAnsi="Cambria Math" w:cstheme="minorHAnsi"/>
                <w:i w:val="0"/>
                <w:iCs w:val="0"/>
                <w:color w:val="auto"/>
              </w:rPr>
            </m:ctrlPr>
          </m:dPr>
          <m:e>
            <m:r>
              <m:rPr>
                <m:sty m:val="p"/>
              </m:rPr>
              <w:rPr>
                <w:rStyle w:val="SubtleEmphasis"/>
                <w:rFonts w:ascii="Cambria Math" w:hAnsi="Cambria Math" w:cstheme="minorHAnsi"/>
                <w:color w:val="auto"/>
              </w:rPr>
              <m:t>- 1000</m:t>
            </m:r>
          </m:e>
        </m:d>
        <m:r>
          <m:rPr>
            <m:sty m:val="p"/>
          </m:rPr>
          <w:rPr>
            <w:rStyle w:val="SubtleEmphasis"/>
            <w:rFonts w:ascii="Cambria Math" w:hAnsi="Cambria Math" w:cstheme="minorHAnsi"/>
            <w:color w:val="auto"/>
          </w:rPr>
          <m:t>+1488.83+985.17+977.89+</m:t>
        </m:r>
        <m:d>
          <m:dPr>
            <m:ctrlPr>
              <w:rPr>
                <w:rStyle w:val="SubtleEmphasis"/>
                <w:rFonts w:ascii="Cambria Math" w:hAnsi="Cambria Math" w:cstheme="minorHAnsi"/>
                <w:i w:val="0"/>
                <w:iCs w:val="0"/>
                <w:color w:val="auto"/>
              </w:rPr>
            </m:ctrlPr>
          </m:dPr>
          <m:e>
            <m:r>
              <m:rPr>
                <m:sty m:val="p"/>
              </m:rPr>
              <w:rPr>
                <w:rStyle w:val="SubtleEmphasis"/>
                <w:rFonts w:ascii="Cambria Math" w:hAnsi="Cambria Math" w:cstheme="minorHAnsi"/>
                <w:color w:val="auto"/>
              </w:rPr>
              <m:t>-456.16</m:t>
            </m:r>
          </m:e>
        </m:d>
      </m:oMath>
    </w:p>
    <w:p w14:paraId="70F66602" w14:textId="5E2CC0C6" w:rsidR="00D9581A" w:rsidRPr="00901264" w:rsidRDefault="00D9581A"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p"/>
          </m:rPr>
          <w:rPr>
            <w:rStyle w:val="SubtleEmphasis"/>
            <w:rFonts w:ascii="Cambria Math" w:hAnsi="Cambria Math" w:cstheme="minorHAnsi"/>
            <w:color w:val="auto"/>
          </w:rPr>
          <m:t>=3451.89+(-1456.16)</m:t>
        </m:r>
      </m:oMath>
    </w:p>
    <w:p w14:paraId="03C53B85" w14:textId="17EDA810" w:rsidR="00CA6176" w:rsidRPr="00901264" w:rsidRDefault="0009016F"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b"/>
          </m:rPr>
          <w:rPr>
            <w:rStyle w:val="SubtleEmphasis"/>
            <w:rFonts w:ascii="Cambria Math" w:hAnsi="Cambria Math" w:cstheme="minorHAnsi"/>
            <w:color w:val="auto"/>
          </w:rPr>
          <m:t xml:space="preserve">=1995.73 million </m:t>
        </m:r>
      </m:oMath>
    </w:p>
    <w:p w14:paraId="739020D7" w14:textId="11420EC6" w:rsidR="00883435" w:rsidRPr="00901264" w:rsidRDefault="00883435" w:rsidP="00901264">
      <w:pPr>
        <w:pStyle w:val="ListParagraph"/>
        <w:numPr>
          <w:ilvl w:val="1"/>
          <w:numId w:val="11"/>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Conclusion </w:t>
      </w:r>
    </w:p>
    <w:bookmarkEnd w:id="12"/>
    <w:p w14:paraId="5E3485C9" w14:textId="551E1502" w:rsidR="00CA6176"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Revised Financial Analysis and Recommendation for Project Selection</w:t>
      </w:r>
    </w:p>
    <w:p w14:paraId="2F7F91F6" w14:textId="1B05F5F8"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 comprehensive analysis of two promising investment opportunities, Project A and Project B, has been conducted. The evaluation focused on three key financial metrics: Payback Period (PBP), Accounting Rate of Return (ARR), and Net Present Value (NPV).</w:t>
      </w:r>
    </w:p>
    <w:p w14:paraId="51CC27B2" w14:textId="0A838E39"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w:t>
      </w:r>
      <w:r w:rsidR="00CA6176" w:rsidRPr="00901264">
        <w:rPr>
          <w:rStyle w:val="SubtleEmphasis"/>
          <w:rFonts w:cstheme="minorHAnsi"/>
          <w:i w:val="0"/>
          <w:iCs w:val="0"/>
          <w:color w:val="auto"/>
        </w:rPr>
        <w:t>NPV The Net Present Value (NPV)</w:t>
      </w:r>
    </w:p>
    <w:p w14:paraId="06FCBF41" w14:textId="3944EB21" w:rsidR="0009016F"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w:t>
      </w:r>
      <w:r w:rsidR="00883435" w:rsidRPr="00901264">
        <w:rPr>
          <w:rStyle w:val="SubtleEmphasis"/>
          <w:rFonts w:cstheme="minorHAnsi"/>
          <w:i w:val="0"/>
          <w:iCs w:val="0"/>
          <w:color w:val="auto"/>
        </w:rPr>
        <w:t>It i</w:t>
      </w:r>
      <w:r w:rsidRPr="00901264">
        <w:rPr>
          <w:rStyle w:val="SubtleEmphasis"/>
          <w:rFonts w:cstheme="minorHAnsi"/>
          <w:i w:val="0"/>
          <w:iCs w:val="0"/>
          <w:color w:val="auto"/>
        </w:rPr>
        <w:t>s a financial metric used to evaluate the profitability of an investment or project. It represents the difference between cash inflows' present value and cash outflows' present value over a specific period. In essence, the NPV calculates the present value of future cash flows generated by an investment, discounted back to the present at a specified rate of return. If the NPV is positive, the investment is expected to generate returns higher than the discount rate and is considered profitable. Conversely, if the NPV is negative, the investment is expected to generate returns lower than the discount rate and may not be financially viable.</w:t>
      </w:r>
    </w:p>
    <w:p w14:paraId="0EC0DA3F" w14:textId="09FAEA43" w:rsidR="00CA6176" w:rsidRPr="00901264" w:rsidRDefault="00CA6176" w:rsidP="00901264">
      <w:pPr>
        <w:spacing w:line="360" w:lineRule="auto"/>
        <w:jc w:val="center"/>
        <w:rPr>
          <w:rStyle w:val="SubtleEmphasis"/>
          <w:rFonts w:cstheme="minorHAnsi"/>
          <w:i w:val="0"/>
          <w:iCs w:val="0"/>
          <w:color w:val="auto"/>
        </w:rPr>
      </w:pPr>
      <w:r w:rsidRPr="00901264">
        <w:rPr>
          <w:rStyle w:val="SubtleEmphasis"/>
          <w:rFonts w:cstheme="minorHAnsi"/>
          <w:i w:val="0"/>
          <w:iCs w:val="0"/>
          <w:color w:val="auto"/>
        </w:rPr>
        <w:t xml:space="preserve">Net Present Value </w:t>
      </w:r>
      <m:oMath>
        <m:r>
          <m:rPr>
            <m:sty m:val="p"/>
          </m:rPr>
          <w:rPr>
            <w:rStyle w:val="SubtleEmphasis"/>
            <w:rFonts w:ascii="Cambria Math" w:hAnsi="Cambria Math" w:cstheme="minorHAnsi"/>
            <w:color w:val="auto"/>
          </w:rPr>
          <m:t>=</m:t>
        </m:r>
      </m:oMath>
      <w:r w:rsidRPr="00901264">
        <w:rPr>
          <w:rStyle w:val="SubtleEmphasis"/>
          <w:rFonts w:cstheme="minorHAnsi"/>
          <w:i w:val="0"/>
          <w:iCs w:val="0"/>
          <w:color w:val="auto"/>
        </w:rPr>
        <w:t xml:space="preserve"> </w:t>
      </w:r>
      <m:oMath>
        <m:nary>
          <m:naryPr>
            <m:chr m:val="∑"/>
            <m:limLoc m:val="undOvr"/>
            <m:ctrlPr>
              <w:rPr>
                <w:rStyle w:val="SubtleEmphasis"/>
                <w:rFonts w:ascii="Cambria Math" w:hAnsi="Cambria Math" w:cstheme="minorHAnsi"/>
                <w:i w:val="0"/>
                <w:iCs w:val="0"/>
                <w:color w:val="auto"/>
              </w:rPr>
            </m:ctrlPr>
          </m:naryPr>
          <m:sub>
            <m:r>
              <m:rPr>
                <m:sty m:val="p"/>
              </m:rPr>
              <w:rPr>
                <w:rStyle w:val="SubtleEmphasis"/>
                <w:rFonts w:ascii="Cambria Math" w:hAnsi="Cambria Math" w:cstheme="minorHAnsi"/>
                <w:color w:val="auto"/>
              </w:rPr>
              <m:t>t=0</m:t>
            </m:r>
          </m:sub>
          <m:sup>
            <m:r>
              <m:rPr>
                <m:sty m:val="p"/>
              </m:rPr>
              <w:rPr>
                <w:rStyle w:val="SubtleEmphasis"/>
                <w:rFonts w:ascii="Cambria Math" w:hAnsi="Cambria Math" w:cstheme="minorHAnsi"/>
                <w:color w:val="auto"/>
              </w:rPr>
              <m:t>n</m:t>
            </m:r>
          </m:sup>
          <m:e>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CFt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(1+r)</m:t>
                    </m:r>
                  </m:e>
                  <m:sup>
                    <m:r>
                      <m:rPr>
                        <m:sty m:val="p"/>
                      </m:rPr>
                      <w:rPr>
                        <w:rStyle w:val="SubtleEmphasis"/>
                        <w:rFonts w:ascii="Cambria Math" w:hAnsi="Cambria Math" w:cstheme="minorHAnsi"/>
                        <w:color w:val="auto"/>
                      </w:rPr>
                      <m:t xml:space="preserve">t </m:t>
                    </m:r>
                  </m:sup>
                </m:sSup>
              </m:den>
            </m:f>
          </m:e>
        </m:nary>
      </m:oMath>
      <w:r w:rsidRPr="00901264">
        <w:rPr>
          <w:rStyle w:val="SubtleEmphasis"/>
          <w:rFonts w:cstheme="minorHAnsi"/>
          <w:i w:val="0"/>
          <w:iCs w:val="0"/>
          <w:color w:val="auto"/>
        </w:rPr>
        <w:t>–</w:t>
      </w:r>
    </w:p>
    <w:p w14:paraId="4E44CAFD" w14:textId="72A2E97B"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Equation </w:t>
      </w:r>
      <w:r w:rsidR="00901264">
        <w:rPr>
          <w:rStyle w:val="SubtleEmphasis"/>
          <w:rFonts w:cstheme="minorHAnsi"/>
          <w:color w:val="767171" w:themeColor="background2" w:themeShade="80"/>
        </w:rPr>
        <w:t xml:space="preserve">3.5. Net Present Value </w:t>
      </w:r>
    </w:p>
    <w:p w14:paraId="4DCC8ED9"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Where:</w:t>
      </w:r>
    </w:p>
    <w:p w14:paraId="3B90E84F" w14:textId="7FFF9782"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 </w:t>
      </w:r>
      <m:oMath>
        <m:sSub>
          <m:sSubPr>
            <m:ctrlPr>
              <w:rPr>
                <w:rStyle w:val="SubtleEmphasis"/>
                <w:rFonts w:ascii="Cambria Math" w:hAnsi="Cambria Math" w:cstheme="minorHAnsi"/>
                <w:i w:val="0"/>
                <w:iCs w:val="0"/>
                <w:color w:val="auto"/>
              </w:rPr>
            </m:ctrlPr>
          </m:sSubPr>
          <m:e>
            <m:r>
              <m:rPr>
                <m:sty m:val="p"/>
              </m:rPr>
              <w:rPr>
                <w:rStyle w:val="SubtleEmphasis"/>
                <w:rFonts w:ascii="Cambria Math" w:hAnsi="Cambria Math" w:cstheme="minorHAnsi"/>
                <w:color w:val="auto"/>
              </w:rPr>
              <m:t>CF</m:t>
            </m:r>
          </m:e>
          <m:sub>
            <m:r>
              <m:rPr>
                <m:sty m:val="p"/>
              </m:rPr>
              <w:rPr>
                <w:rStyle w:val="SubtleEmphasis"/>
                <w:rFonts w:ascii="Cambria Math" w:hAnsi="Cambria Math" w:cstheme="minorHAnsi"/>
                <w:color w:val="auto"/>
              </w:rPr>
              <m:t>t</m:t>
            </m:r>
          </m:sub>
        </m:sSub>
      </m:oMath>
      <w:r w:rsidRPr="00901264">
        <w:rPr>
          <w:rStyle w:val="SubtleEmphasis"/>
          <w:rFonts w:cstheme="minorHAnsi"/>
          <w:i w:val="0"/>
          <w:iCs w:val="0"/>
          <w:color w:val="auto"/>
        </w:rPr>
        <w:t>- Cash Flow at time t</w:t>
      </w:r>
    </w:p>
    <w:p w14:paraId="412CF17F"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r- Discount rate (the company cost of capital)</w:t>
      </w:r>
    </w:p>
    <w:p w14:paraId="743963F5"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 Number of periods (years)</w:t>
      </w:r>
    </w:p>
    <w:p w14:paraId="58BCB180"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Initial Investment – Initial investment cost</w:t>
      </w:r>
    </w:p>
    <w:p w14:paraId="2E78B46E" w14:textId="5411E8FD"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Adjusted Initial Investments:</w:t>
      </w:r>
    </w:p>
    <w:p w14:paraId="67AEA3C5"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For Project A: Increase the original initial investment by 10%: £5000 million * 1.10 = £5500 million</w:t>
      </w:r>
    </w:p>
    <w:p w14:paraId="31CDA52B" w14:textId="77777777"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For Project B: Increase the original initial investment by 10%: £1000 million * 1.10 = £1100 million</w:t>
      </w:r>
    </w:p>
    <w:p w14:paraId="0F7C1992" w14:textId="3B2F1C53" w:rsidR="00CA6176" w:rsidRPr="00901264" w:rsidRDefault="00CA6176"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We'll use a discount rate of 0.75% for both projects.</w:t>
      </w:r>
    </w:p>
    <w:tbl>
      <w:tblPr>
        <w:tblW w:w="9628" w:type="dxa"/>
        <w:tblCellMar>
          <w:left w:w="0" w:type="dxa"/>
          <w:right w:w="0" w:type="dxa"/>
        </w:tblCellMar>
        <w:tblLook w:val="04A0" w:firstRow="1" w:lastRow="0" w:firstColumn="1" w:lastColumn="0" w:noHBand="0" w:noVBand="1"/>
      </w:tblPr>
      <w:tblGrid>
        <w:gridCol w:w="3013"/>
        <w:gridCol w:w="3396"/>
        <w:gridCol w:w="3219"/>
      </w:tblGrid>
      <w:tr w:rsidR="00901264" w:rsidRPr="00901264" w14:paraId="115025EE"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42F0F13"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Year</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C622525"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Project A</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C37BCBB"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Project B</w:t>
            </w:r>
          </w:p>
        </w:tc>
      </w:tr>
      <w:tr w:rsidR="00901264" w:rsidRPr="00901264" w14:paraId="6B231690"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ACBE6B0"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0 (Initial Investment)</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B5DD5DE"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-£5500 (10% increase)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9E256A7"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-£1100 (10% increase)</w:t>
            </w:r>
          </w:p>
        </w:tc>
      </w:tr>
      <w:tr w:rsidR="00901264" w:rsidRPr="00901264" w14:paraId="3BED57B8"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C25809C"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1</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5C3A28A"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£2500</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3D3F2EA5"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£1500</w:t>
            </w:r>
          </w:p>
        </w:tc>
      </w:tr>
      <w:tr w:rsidR="00901264" w:rsidRPr="00901264" w14:paraId="33997D9D"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1B4AF747"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2</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5FD1292"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£2000</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8BE3238"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69DA31E1"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274BFD6"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3</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3F03960"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£1000</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1D60066"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£1000</w:t>
            </w:r>
          </w:p>
        </w:tc>
      </w:tr>
      <w:tr w:rsidR="00901264" w:rsidRPr="00901264" w14:paraId="44401053"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2B862FF"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4</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6BABDCF"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-£442</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5107AB3"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-£470</w:t>
            </w:r>
          </w:p>
        </w:tc>
      </w:tr>
      <w:tr w:rsidR="00901264" w:rsidRPr="00901264" w14:paraId="3B42B8EB"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68BF1E2F"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Adjusted Cash Flow</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6F5EFB5" w14:textId="44EDE623" w:rsidR="00CA6176" w:rsidRPr="00901264" w:rsidRDefault="00B519FB"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Project A</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3F9A52F" w14:textId="5668F962" w:rsidR="00CA6176" w:rsidRPr="00901264" w:rsidRDefault="00B519FB"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Project B</w:t>
            </w:r>
          </w:p>
        </w:tc>
      </w:tr>
      <w:tr w:rsidR="00901264" w:rsidRPr="00901264" w14:paraId="031084F1"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9BCD5BB"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1</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C602FEA"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£2250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011AFAB4"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£1350 (10% decrease)</w:t>
            </w:r>
          </w:p>
        </w:tc>
      </w:tr>
      <w:tr w:rsidR="00901264" w:rsidRPr="00901264" w14:paraId="13415EB7"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BC8B1D9"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2</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D5B9BD2"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£1800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E75AB81"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£900 (10% decrease)</w:t>
            </w:r>
          </w:p>
        </w:tc>
      </w:tr>
      <w:tr w:rsidR="00901264" w:rsidRPr="00901264" w14:paraId="7007237C"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4DDB46B4"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3</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0345861"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£900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232F7E25"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£900 (10% decrease)</w:t>
            </w:r>
          </w:p>
        </w:tc>
      </w:tr>
      <w:tr w:rsidR="00901264" w:rsidRPr="00901264" w14:paraId="70CDF208" w14:textId="77777777" w:rsidTr="004E46D8">
        <w:trPr>
          <w:trHeight w:val="319"/>
        </w:trPr>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CE94847" w14:textId="77777777" w:rsidR="00CA6176" w:rsidRPr="00901264" w:rsidRDefault="00CA6176" w:rsidP="00901264">
            <w:pPr>
              <w:spacing w:after="0" w:line="360" w:lineRule="auto"/>
              <w:jc w:val="right"/>
              <w:rPr>
                <w:rStyle w:val="SubtleEmphasis"/>
                <w:rFonts w:cstheme="minorHAnsi"/>
                <w:i w:val="0"/>
                <w:iCs w:val="0"/>
                <w:color w:val="auto"/>
              </w:rPr>
            </w:pPr>
            <w:r w:rsidRPr="00901264">
              <w:rPr>
                <w:rStyle w:val="SubtleEmphasis"/>
                <w:rFonts w:cstheme="minorHAnsi"/>
                <w:i w:val="0"/>
                <w:iCs w:val="0"/>
                <w:color w:val="auto"/>
              </w:rPr>
              <w:t>4</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7C86ABEC"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-£397.8 (10% decrease)</w:t>
            </w:r>
          </w:p>
        </w:tc>
        <w:tc>
          <w:tcPr>
            <w:tcW w:w="0" w:type="auto"/>
            <w:tcBorders>
              <w:top w:val="single" w:sz="4" w:space="0" w:color="auto"/>
              <w:left w:val="single" w:sz="4" w:space="0" w:color="auto"/>
              <w:bottom w:val="single" w:sz="4" w:space="0" w:color="auto"/>
              <w:right w:val="single" w:sz="4" w:space="0" w:color="auto"/>
            </w:tcBorders>
            <w:tcMar>
              <w:top w:w="30" w:type="dxa"/>
              <w:left w:w="45" w:type="dxa"/>
              <w:bottom w:w="30" w:type="dxa"/>
              <w:right w:w="45" w:type="dxa"/>
            </w:tcMar>
            <w:vAlign w:val="bottom"/>
            <w:hideMark/>
          </w:tcPr>
          <w:p w14:paraId="557E7EA9" w14:textId="77777777" w:rsidR="00CA6176" w:rsidRPr="00901264" w:rsidRDefault="00CA6176" w:rsidP="00901264">
            <w:pPr>
              <w:spacing w:after="0" w:line="360" w:lineRule="auto"/>
              <w:rPr>
                <w:rStyle w:val="SubtleEmphasis"/>
                <w:rFonts w:cstheme="minorHAnsi"/>
                <w:i w:val="0"/>
                <w:iCs w:val="0"/>
                <w:color w:val="auto"/>
              </w:rPr>
            </w:pPr>
            <w:r w:rsidRPr="00901264">
              <w:rPr>
                <w:rStyle w:val="SubtleEmphasis"/>
                <w:rFonts w:cstheme="minorHAnsi"/>
                <w:i w:val="0"/>
                <w:iCs w:val="0"/>
                <w:color w:val="auto"/>
              </w:rPr>
              <w:t>-£423 (10% decrease)</w:t>
            </w:r>
          </w:p>
        </w:tc>
      </w:tr>
    </w:tbl>
    <w:p w14:paraId="571DD4B2" w14:textId="07596313" w:rsidR="0009016F" w:rsidRPr="00901264" w:rsidRDefault="0009016F" w:rsidP="00901264">
      <w:pPr>
        <w:spacing w:line="360" w:lineRule="auto"/>
        <w:jc w:val="both"/>
        <w:rPr>
          <w:rStyle w:val="SubtleEmphasis"/>
          <w:rFonts w:cstheme="minorHAnsi"/>
          <w:i w:val="0"/>
          <w:iCs w:val="0"/>
          <w:color w:val="auto"/>
        </w:rPr>
      </w:pPr>
    </w:p>
    <w:p w14:paraId="47F6FE71" w14:textId="0E49AB82" w:rsidR="001D1A6E" w:rsidRPr="00901264" w:rsidRDefault="001D1A6E" w:rsidP="00901264">
      <w:pPr>
        <w:spacing w:line="360" w:lineRule="auto"/>
        <w:jc w:val="center"/>
        <w:rPr>
          <w:rStyle w:val="SubtleEmphasis"/>
          <w:rFonts w:cstheme="minorHAnsi"/>
          <w:color w:val="767171" w:themeColor="background2" w:themeShade="80"/>
        </w:rPr>
      </w:pPr>
      <w:r w:rsidRPr="00901264">
        <w:rPr>
          <w:rStyle w:val="SubtleEmphasis"/>
          <w:rFonts w:cstheme="minorHAnsi"/>
          <w:color w:val="767171" w:themeColor="background2" w:themeShade="80"/>
        </w:rPr>
        <w:t xml:space="preserve">Table </w:t>
      </w:r>
      <w:r w:rsidR="00901264">
        <w:rPr>
          <w:rStyle w:val="SubtleEmphasis"/>
          <w:rFonts w:cstheme="minorHAnsi"/>
          <w:color w:val="767171" w:themeColor="background2" w:themeShade="80"/>
        </w:rPr>
        <w:t>3.6.</w:t>
      </w:r>
      <w:r w:rsidRPr="00901264">
        <w:rPr>
          <w:rStyle w:val="SubtleEmphasis"/>
          <w:rFonts w:cstheme="minorHAnsi"/>
          <w:color w:val="767171" w:themeColor="background2" w:themeShade="80"/>
        </w:rPr>
        <w:t xml:space="preserve"> Adjusted Cash Flows for Projects A and B</w:t>
      </w:r>
    </w:p>
    <w:p w14:paraId="1CEE3247" w14:textId="790B8F80" w:rsidR="0002540E" w:rsidRDefault="0002540E" w:rsidP="00901264">
      <w:pPr>
        <w:spacing w:line="360" w:lineRule="auto"/>
        <w:jc w:val="both"/>
        <w:rPr>
          <w:rStyle w:val="SubtleEmphasis"/>
          <w:rFonts w:cstheme="minorHAnsi"/>
          <w:b/>
          <w:bCs/>
          <w:i w:val="0"/>
          <w:iCs w:val="0"/>
          <w:color w:val="auto"/>
        </w:rPr>
      </w:pPr>
      <w:r>
        <w:rPr>
          <w:rStyle w:val="SubtleEmphasis"/>
          <w:rFonts w:cstheme="minorHAnsi"/>
          <w:b/>
          <w:bCs/>
          <w:i w:val="0"/>
          <w:iCs w:val="0"/>
          <w:color w:val="auto"/>
        </w:rPr>
        <w:t xml:space="preserve">Calculations: </w:t>
      </w:r>
    </w:p>
    <w:p w14:paraId="2B335586" w14:textId="7B62EB6A" w:rsidR="00B519FB" w:rsidRPr="00901264" w:rsidRDefault="00B519FB" w:rsidP="00901264">
      <w:p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t>P</w:t>
      </w:r>
      <w:r w:rsidR="00D9581A" w:rsidRPr="00901264">
        <w:rPr>
          <w:rStyle w:val="SubtleEmphasis"/>
          <w:rFonts w:cstheme="minorHAnsi"/>
          <w:b/>
          <w:bCs/>
          <w:i w:val="0"/>
          <w:iCs w:val="0"/>
          <w:color w:val="auto"/>
        </w:rPr>
        <w:t>ROJECT</w:t>
      </w:r>
      <w:r w:rsidRPr="00901264">
        <w:rPr>
          <w:rStyle w:val="SubtleEmphasis"/>
          <w:rFonts w:cstheme="minorHAnsi"/>
          <w:b/>
          <w:bCs/>
          <w:i w:val="0"/>
          <w:iCs w:val="0"/>
          <w:color w:val="auto"/>
        </w:rPr>
        <w:t xml:space="preserve"> A </w:t>
      </w:r>
    </w:p>
    <w:p w14:paraId="24C0D954" w14:textId="448F4346" w:rsidR="004E46D8" w:rsidRPr="00901264" w:rsidRDefault="004E46D8"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 </w:t>
      </w:r>
      <m:oMath>
        <m:nary>
          <m:naryPr>
            <m:chr m:val="∑"/>
            <m:limLoc m:val="undOvr"/>
            <m:ctrlPr>
              <w:rPr>
                <w:rStyle w:val="SubtleEmphasis"/>
                <w:rFonts w:ascii="Cambria Math" w:hAnsi="Cambria Math" w:cstheme="minorHAnsi"/>
                <w:i w:val="0"/>
                <w:iCs w:val="0"/>
                <w:color w:val="auto"/>
              </w:rPr>
            </m:ctrlPr>
          </m:naryPr>
          <m:sub>
            <m:r>
              <m:rPr>
                <m:sty m:val="p"/>
              </m:rPr>
              <w:rPr>
                <w:rStyle w:val="SubtleEmphasis"/>
                <w:rFonts w:ascii="Cambria Math" w:hAnsi="Cambria Math" w:cstheme="minorHAnsi"/>
                <w:color w:val="auto"/>
              </w:rPr>
              <m:t>t=0</m:t>
            </m:r>
          </m:sub>
          <m:sup>
            <m:r>
              <m:rPr>
                <m:sty m:val="p"/>
              </m:rPr>
              <w:rPr>
                <w:rStyle w:val="SubtleEmphasis"/>
                <w:rFonts w:ascii="Cambria Math" w:hAnsi="Cambria Math" w:cstheme="minorHAnsi"/>
                <w:color w:val="auto"/>
              </w:rPr>
              <m:t>n</m:t>
            </m:r>
          </m:sup>
          <m:e>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-5500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0</m:t>
                    </m:r>
                  </m:sup>
                </m:sSup>
              </m:den>
            </m:f>
          </m:e>
        </m:nary>
        <m:r>
          <m:rPr>
            <m:sty m:val="p"/>
          </m:rPr>
          <w:rPr>
            <w:rStyle w:val="SubtleEmphasis"/>
            <w:rFonts w:ascii="Cambria Math" w:hAnsi="Cambria Math" w:cstheme="minorHAnsi"/>
            <w:color w:val="auto"/>
          </w:rPr>
          <m:t xml:space="preserve">+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2250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1  </m:t>
                </m:r>
              </m:sup>
            </m:sSup>
          </m:den>
        </m:f>
      </m:oMath>
      <w:r w:rsidRPr="00901264">
        <w:rPr>
          <w:rStyle w:val="SubtleEmphasis"/>
          <w:rFonts w:cstheme="minorHAnsi"/>
          <w:i w:val="0"/>
          <w:iCs w:val="0"/>
          <w:color w:val="auto"/>
        </w:rPr>
        <w:t xml:space="preserve"> +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1800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2 </m:t>
                </m:r>
              </m:sup>
            </m:sSup>
          </m:den>
        </m:f>
      </m:oMath>
      <w:r w:rsidRPr="00901264">
        <w:rPr>
          <w:rStyle w:val="SubtleEmphasis"/>
          <w:rFonts w:cstheme="minorHAnsi"/>
          <w:i w:val="0"/>
          <w:iCs w:val="0"/>
          <w:color w:val="auto"/>
        </w:rPr>
        <w:t xml:space="preserve">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900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3</m:t>
                </m:r>
              </m:sup>
            </m:sSup>
          </m:den>
        </m:f>
      </m:oMath>
      <w:r w:rsidRPr="00901264">
        <w:rPr>
          <w:rStyle w:val="SubtleEmphasis"/>
          <w:rFonts w:cstheme="minorHAnsi"/>
          <w:i w:val="0"/>
          <w:iCs w:val="0"/>
          <w:color w:val="auto"/>
        </w:rPr>
        <w:t xml:space="preserve">  +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-397</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4</m:t>
                </m:r>
              </m:sup>
            </m:sSup>
          </m:den>
        </m:f>
      </m:oMath>
    </w:p>
    <w:p w14:paraId="0D3F6E54" w14:textId="77777777" w:rsidR="00B519FB" w:rsidRPr="00901264" w:rsidRDefault="00B519F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Year 1: £2250 / (1 + 0.0075)¹ = £2233.82</w:t>
      </w:r>
    </w:p>
    <w:p w14:paraId="55784E27" w14:textId="77777777" w:rsidR="00B519FB" w:rsidRPr="00901264" w:rsidRDefault="00B519F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2: £1800 / (1 + 0.0075)² = £1776.12</w:t>
      </w:r>
    </w:p>
    <w:p w14:paraId="035B0C82" w14:textId="77777777" w:rsidR="00B519FB" w:rsidRPr="00901264" w:rsidRDefault="00B519F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3: £900 / (1 + 0.0075)³ = £869.05</w:t>
      </w:r>
    </w:p>
    <w:p w14:paraId="6D7A4165" w14:textId="093621E3" w:rsidR="00B519FB" w:rsidRPr="00901264" w:rsidRDefault="00B519F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4: £-397.8 / (1 + 0.0075)⁴ = £-392.38</w:t>
      </w:r>
    </w:p>
    <w:p w14:paraId="155E419C" w14:textId="5432F28B" w:rsidR="004E46D8" w:rsidRPr="00901264" w:rsidRDefault="004E46D8"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p"/>
          </m:rPr>
          <w:rPr>
            <w:rStyle w:val="SubtleEmphasis"/>
            <w:rFonts w:ascii="Cambria Math" w:hAnsi="Cambria Math" w:cstheme="minorHAnsi"/>
            <w:color w:val="auto"/>
          </w:rPr>
          <m:t>=(-5500)+2233.82+1776.12+869.05+</m:t>
        </m:r>
        <m:d>
          <m:dPr>
            <m:ctrlPr>
              <w:rPr>
                <w:rStyle w:val="SubtleEmphasis"/>
                <w:rFonts w:ascii="Cambria Math" w:hAnsi="Cambria Math" w:cstheme="minorHAnsi"/>
                <w:i w:val="0"/>
                <w:iCs w:val="0"/>
                <w:color w:val="auto"/>
              </w:rPr>
            </m:ctrlPr>
          </m:dPr>
          <m:e>
            <m:r>
              <m:rPr>
                <m:sty m:val="p"/>
              </m:rPr>
              <w:rPr>
                <w:rStyle w:val="SubtleEmphasis"/>
                <w:rFonts w:ascii="Cambria Math" w:hAnsi="Cambria Math" w:cstheme="minorHAnsi"/>
                <w:color w:val="auto"/>
              </w:rPr>
              <m:t>-392.38</m:t>
            </m:r>
          </m:e>
        </m:d>
      </m:oMath>
    </w:p>
    <w:p w14:paraId="5C07CC32" w14:textId="13D04480" w:rsidR="004E46D8" w:rsidRPr="00901264" w:rsidRDefault="004E46D8"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b"/>
          </m:rPr>
          <w:rPr>
            <w:rStyle w:val="SubtleEmphasis"/>
            <w:rFonts w:ascii="Cambria Math" w:hAnsi="Cambria Math" w:cstheme="minorHAnsi"/>
            <w:color w:val="auto"/>
          </w:rPr>
          <m:t xml:space="preserve">=- 913.39 million </m:t>
        </m:r>
      </m:oMath>
    </w:p>
    <w:p w14:paraId="235E17CD" w14:textId="607B7C45" w:rsidR="00CA6176" w:rsidRPr="00901264" w:rsidRDefault="00B519FB" w:rsidP="00901264">
      <w:pPr>
        <w:spacing w:line="360" w:lineRule="auto"/>
        <w:jc w:val="both"/>
        <w:rPr>
          <w:rStyle w:val="SubtleEmphasis"/>
          <w:rFonts w:cstheme="minorHAnsi"/>
          <w:b/>
          <w:bCs/>
          <w:i w:val="0"/>
          <w:iCs w:val="0"/>
          <w:color w:val="auto"/>
        </w:rPr>
      </w:pPr>
      <w:r w:rsidRPr="00901264">
        <w:rPr>
          <w:rStyle w:val="SubtleEmphasis"/>
          <w:rFonts w:cstheme="minorHAnsi"/>
          <w:b/>
          <w:bCs/>
          <w:i w:val="0"/>
          <w:iCs w:val="0"/>
          <w:color w:val="auto"/>
        </w:rPr>
        <w:t>P</w:t>
      </w:r>
      <w:r w:rsidR="00D9581A" w:rsidRPr="00901264">
        <w:rPr>
          <w:rStyle w:val="SubtleEmphasis"/>
          <w:rFonts w:cstheme="minorHAnsi"/>
          <w:b/>
          <w:bCs/>
          <w:i w:val="0"/>
          <w:iCs w:val="0"/>
          <w:color w:val="auto"/>
        </w:rPr>
        <w:t xml:space="preserve">ROJECT </w:t>
      </w:r>
      <w:r w:rsidRPr="00901264">
        <w:rPr>
          <w:rStyle w:val="SubtleEmphasis"/>
          <w:rFonts w:cstheme="minorHAnsi"/>
          <w:b/>
          <w:bCs/>
          <w:i w:val="0"/>
          <w:iCs w:val="0"/>
          <w:color w:val="auto"/>
        </w:rPr>
        <w:t xml:space="preserve"> B </w:t>
      </w:r>
    </w:p>
    <w:p w14:paraId="518D2512" w14:textId="48E1BD2D" w:rsidR="00B519FB" w:rsidRPr="00901264" w:rsidRDefault="00B519F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 </w:t>
      </w:r>
      <m:oMath>
        <m:nary>
          <m:naryPr>
            <m:chr m:val="∑"/>
            <m:limLoc m:val="undOvr"/>
            <m:ctrlPr>
              <w:rPr>
                <w:rStyle w:val="SubtleEmphasis"/>
                <w:rFonts w:ascii="Cambria Math" w:hAnsi="Cambria Math" w:cstheme="minorHAnsi"/>
                <w:i w:val="0"/>
                <w:iCs w:val="0"/>
                <w:color w:val="auto"/>
              </w:rPr>
            </m:ctrlPr>
          </m:naryPr>
          <m:sub>
            <m:r>
              <m:rPr>
                <m:sty m:val="p"/>
              </m:rPr>
              <w:rPr>
                <w:rStyle w:val="SubtleEmphasis"/>
                <w:rFonts w:ascii="Cambria Math" w:hAnsi="Cambria Math" w:cstheme="minorHAnsi"/>
                <w:color w:val="auto"/>
              </w:rPr>
              <m:t>t=0</m:t>
            </m:r>
          </m:sub>
          <m:sup>
            <m:r>
              <m:rPr>
                <m:sty m:val="p"/>
              </m:rPr>
              <w:rPr>
                <w:rStyle w:val="SubtleEmphasis"/>
                <w:rFonts w:ascii="Cambria Math" w:hAnsi="Cambria Math" w:cstheme="minorHAnsi"/>
                <w:color w:val="auto"/>
              </w:rPr>
              <m:t>n</m:t>
            </m:r>
          </m:sup>
          <m:e>
            <m:r>
              <m:rPr>
                <m:sty m:val="p"/>
              </m:rPr>
              <w:rPr>
                <w:rStyle w:val="SubtleEmphasis"/>
                <w:rFonts w:ascii="Cambria Math" w:hAnsi="Cambria Math" w:cstheme="minorHAnsi"/>
                <w:color w:val="auto"/>
              </w:rPr>
              <m:t>=</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 xml:space="preserve">-1100 </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0</m:t>
                    </m:r>
                  </m:sup>
                </m:sSup>
              </m:den>
            </m:f>
          </m:e>
        </m:nary>
        <m:r>
          <m:rPr>
            <m:sty m:val="p"/>
          </m:rPr>
          <w:rPr>
            <w:rStyle w:val="SubtleEmphasis"/>
            <w:rFonts w:ascii="Cambria Math" w:hAnsi="Cambria Math" w:cstheme="minorHAnsi"/>
            <w:color w:val="auto"/>
          </w:rPr>
          <m:t xml:space="preserve">+ </m:t>
        </m:r>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1350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1  </m:t>
                </m:r>
              </m:sup>
            </m:sSup>
          </m:den>
        </m:f>
      </m:oMath>
      <w:r w:rsidRPr="00901264">
        <w:rPr>
          <w:rStyle w:val="SubtleEmphasis"/>
          <w:rFonts w:cstheme="minorHAnsi"/>
          <w:i w:val="0"/>
          <w:iCs w:val="0"/>
          <w:color w:val="auto"/>
        </w:rPr>
        <w:t xml:space="preserve"> +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900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 xml:space="preserve">2 </m:t>
                </m:r>
              </m:sup>
            </m:sSup>
          </m:den>
        </m:f>
      </m:oMath>
      <w:r w:rsidRPr="00901264">
        <w:rPr>
          <w:rStyle w:val="SubtleEmphasis"/>
          <w:rFonts w:cstheme="minorHAnsi"/>
          <w:i w:val="0"/>
          <w:iCs w:val="0"/>
          <w:color w:val="auto"/>
        </w:rPr>
        <w:t xml:space="preserve">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900</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3</m:t>
                </m:r>
              </m:sup>
            </m:sSup>
          </m:den>
        </m:f>
      </m:oMath>
      <w:r w:rsidRPr="00901264">
        <w:rPr>
          <w:rStyle w:val="SubtleEmphasis"/>
          <w:rFonts w:cstheme="minorHAnsi"/>
          <w:i w:val="0"/>
          <w:iCs w:val="0"/>
          <w:color w:val="auto"/>
        </w:rPr>
        <w:t xml:space="preserve">  + </w:t>
      </w:r>
      <m:oMath>
        <m:f>
          <m:fPr>
            <m:ctrlPr>
              <w:rPr>
                <w:rStyle w:val="SubtleEmphasis"/>
                <w:rFonts w:ascii="Cambria Math" w:hAnsi="Cambria Math" w:cstheme="minorHAnsi"/>
                <w:i w:val="0"/>
                <w:iCs w:val="0"/>
                <w:color w:val="auto"/>
              </w:rPr>
            </m:ctrlPr>
          </m:fPr>
          <m:num>
            <m:r>
              <m:rPr>
                <m:sty m:val="p"/>
              </m:rPr>
              <w:rPr>
                <w:rStyle w:val="SubtleEmphasis"/>
                <w:rFonts w:ascii="Cambria Math" w:hAnsi="Cambria Math" w:cstheme="minorHAnsi"/>
                <w:color w:val="auto"/>
              </w:rPr>
              <m:t>-423</m:t>
            </m:r>
          </m:num>
          <m:den>
            <m:sSup>
              <m:sSupPr>
                <m:ctrlPr>
                  <w:rPr>
                    <w:rStyle w:val="SubtleEmphasis"/>
                    <w:rFonts w:ascii="Cambria Math" w:hAnsi="Cambria Math" w:cstheme="minorHAnsi"/>
                    <w:i w:val="0"/>
                    <w:iCs w:val="0"/>
                    <w:color w:val="auto"/>
                  </w:rPr>
                </m:ctrlPr>
              </m:sSupPr>
              <m:e>
                <m:r>
                  <m:rPr>
                    <m:sty m:val="p"/>
                  </m:rPr>
                  <w:rPr>
                    <w:rStyle w:val="SubtleEmphasis"/>
                    <w:rFonts w:ascii="Cambria Math" w:hAnsi="Cambria Math" w:cstheme="minorHAnsi"/>
                    <w:color w:val="auto"/>
                  </w:rPr>
                  <m:t>(1+0.0075)</m:t>
                </m:r>
              </m:e>
              <m:sup>
                <m:r>
                  <m:rPr>
                    <m:sty m:val="p"/>
                  </m:rPr>
                  <w:rPr>
                    <w:rStyle w:val="SubtleEmphasis"/>
                    <w:rFonts w:ascii="Cambria Math" w:hAnsi="Cambria Math" w:cstheme="minorHAnsi"/>
                    <w:color w:val="auto"/>
                  </w:rPr>
                  <m:t>4</m:t>
                </m:r>
              </m:sup>
            </m:sSup>
          </m:den>
        </m:f>
      </m:oMath>
    </w:p>
    <w:p w14:paraId="3F150071" w14:textId="77777777" w:rsidR="0032020B"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1: £1350 / (1 + 0.0075)¹ = £1340.23</w:t>
      </w:r>
    </w:p>
    <w:p w14:paraId="23BEC645" w14:textId="77777777" w:rsidR="0032020B"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2: £900 / (1 + 0.0075)² = £882.35</w:t>
      </w:r>
    </w:p>
    <w:p w14:paraId="68C90906" w14:textId="77777777" w:rsidR="0032020B"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3: £900 / (1 + 0.0075)³ = £864.97</w:t>
      </w:r>
    </w:p>
    <w:p w14:paraId="11935832" w14:textId="036C21B8" w:rsidR="00B519FB"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Year 4: £-423 / (1 + 0.0075)⁴ = £-418.13</w:t>
      </w:r>
    </w:p>
    <w:p w14:paraId="70716FF6" w14:textId="42228047" w:rsidR="0009016F"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NPV</w:t>
      </w:r>
      <m:oMath>
        <m:r>
          <m:rPr>
            <m:sty m:val="p"/>
          </m:rPr>
          <w:rPr>
            <w:rStyle w:val="SubtleEmphasis"/>
            <w:rFonts w:ascii="Cambria Math" w:hAnsi="Cambria Math" w:cstheme="minorHAnsi"/>
            <w:color w:val="auto"/>
          </w:rPr>
          <m:t>=</m:t>
        </m:r>
        <m:d>
          <m:dPr>
            <m:ctrlPr>
              <w:rPr>
                <w:rStyle w:val="SubtleEmphasis"/>
                <w:rFonts w:ascii="Cambria Math" w:hAnsi="Cambria Math" w:cstheme="minorHAnsi"/>
                <w:i w:val="0"/>
                <w:iCs w:val="0"/>
                <w:color w:val="auto"/>
              </w:rPr>
            </m:ctrlPr>
          </m:dPr>
          <m:e>
            <m:r>
              <m:rPr>
                <m:sty m:val="p"/>
              </m:rPr>
              <w:rPr>
                <w:rStyle w:val="SubtleEmphasis"/>
                <w:rFonts w:ascii="Cambria Math" w:hAnsi="Cambria Math" w:cstheme="minorHAnsi"/>
                <w:color w:val="auto"/>
              </w:rPr>
              <m:t>-1100</m:t>
            </m:r>
          </m:e>
        </m:d>
        <m:r>
          <m:rPr>
            <m:sty m:val="p"/>
          </m:rPr>
          <w:rPr>
            <w:rStyle w:val="SubtleEmphasis"/>
            <w:rFonts w:ascii="Cambria Math" w:hAnsi="Cambria Math" w:cstheme="minorHAnsi"/>
            <w:color w:val="auto"/>
          </w:rPr>
          <m:t>+1340.23+882.35+864.97+</m:t>
        </m:r>
        <m:d>
          <m:dPr>
            <m:ctrlPr>
              <w:rPr>
                <w:rStyle w:val="SubtleEmphasis"/>
                <w:rFonts w:ascii="Cambria Math" w:hAnsi="Cambria Math" w:cstheme="minorHAnsi"/>
                <w:i w:val="0"/>
                <w:iCs w:val="0"/>
                <w:color w:val="auto"/>
              </w:rPr>
            </m:ctrlPr>
          </m:dPr>
          <m:e>
            <m:r>
              <m:rPr>
                <m:sty m:val="p"/>
              </m:rPr>
              <w:rPr>
                <w:rStyle w:val="SubtleEmphasis"/>
                <w:rFonts w:ascii="Cambria Math" w:hAnsi="Cambria Math" w:cstheme="minorHAnsi"/>
                <w:color w:val="auto"/>
              </w:rPr>
              <m:t>-418.13</m:t>
            </m:r>
          </m:e>
        </m:d>
      </m:oMath>
    </w:p>
    <w:p w14:paraId="4F099130" w14:textId="5578BA06" w:rsidR="0032020B"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NPV </w:t>
      </w:r>
      <m:oMath>
        <m:r>
          <m:rPr>
            <m:sty m:val="p"/>
          </m:rPr>
          <w:rPr>
            <w:rStyle w:val="SubtleEmphasis"/>
            <w:rFonts w:ascii="Cambria Math" w:hAnsi="Cambria Math" w:cstheme="minorHAnsi"/>
            <w:color w:val="auto"/>
          </w:rPr>
          <m:t xml:space="preserve">=3087.55-1518.13 </m:t>
        </m:r>
      </m:oMath>
    </w:p>
    <w:p w14:paraId="30C5D85C" w14:textId="484BB5F2" w:rsidR="0032020B" w:rsidRPr="00901264" w:rsidRDefault="0032020B"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NPV</w:t>
      </w:r>
      <m:oMath>
        <m:r>
          <m:rPr>
            <m:sty m:val="b"/>
          </m:rPr>
          <w:rPr>
            <w:rStyle w:val="SubtleEmphasis"/>
            <w:rFonts w:ascii="Cambria Math" w:hAnsi="Cambria Math" w:cstheme="minorHAnsi"/>
            <w:color w:val="auto"/>
          </w:rPr>
          <m:t xml:space="preserve">=1569.42 million </m:t>
        </m:r>
      </m:oMath>
    </w:p>
    <w:p w14:paraId="2E6996B8" w14:textId="23C7E73D"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In this scenario, the NPV for two projects, A and B, is recalculated after adjusting their initial investments and cash flows. The adjustments involve increasing the initial investments and reducing all cash flows by 10%. The rationale behind this adjustment is to account for potential changes in investment requirements and cash inflows/outflows, which might occur due to inflation, changes in market conditions, or unforeseen expenses.</w:t>
      </w:r>
    </w:p>
    <w:p w14:paraId="27C4D5E7" w14:textId="32E24B25" w:rsidR="006943DE" w:rsidRPr="00901264" w:rsidRDefault="006943D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For Project A, the initial investment is increased from £5000 million to £5500 million, and for Project B, it is increased from £1000 million to £1100 million. Additionally, all cash flows for both projects are reduced by 10%.</w:t>
      </w:r>
    </w:p>
    <w:p w14:paraId="09D11DAC" w14:textId="39850DF6" w:rsidR="006943DE" w:rsidRPr="00901264" w:rsidRDefault="006943D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The NPV formula considers these adjusted cash flows and initial investments, discounting them by the company's cost of capital (represented by the discount rate) over the project's duration.</w:t>
      </w:r>
    </w:p>
    <w:p w14:paraId="678F767D" w14:textId="7064C559" w:rsidR="006943DE" w:rsidRPr="00901264" w:rsidRDefault="006943D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Given a discount rate of 0.75% for both projects, the recalculated NPV values are approximately -£913.39 million for Project A and £1569.42 million for Project B.</w:t>
      </w:r>
    </w:p>
    <w:p w14:paraId="6A5AE551" w14:textId="30FA2F4A" w:rsidR="006943DE" w:rsidRPr="00901264" w:rsidRDefault="006943D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Project A's negative NPV indicates that, after considering the adjusted initial investment and cash flows, the project is not expected to generate returns exceeding the cost of capital. Suggests that Project A may not be economically viable under the given assumptions.</w:t>
      </w:r>
    </w:p>
    <w:p w14:paraId="21302C7B" w14:textId="08F4EF32" w:rsidR="006943DE" w:rsidRPr="00901264" w:rsidRDefault="006943D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Conversely, Project B demonstrates a positive NPV, indicating that the adjusted cash flows and initial investment are expected to result in returns exceeding the cost of capital. Therefore, Project B appears financially viable and potentially profitable under the given assumptions.</w:t>
      </w:r>
    </w:p>
    <w:p w14:paraId="680A9D3E" w14:textId="77777777"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Conclusion </w:t>
      </w:r>
    </w:p>
    <w:p w14:paraId="427A61BD" w14:textId="1AFD0DFF" w:rsidR="00883435" w:rsidRPr="00901264" w:rsidRDefault="006943DE"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Overall, the adjusted NPV values reflect the impact of changes in initial investments and cash flows on the projects' profitability, providing insights into their feasibility and potential returns relative to the company's cost</w:t>
      </w:r>
      <w:r w:rsidR="00883435" w:rsidRPr="00901264">
        <w:rPr>
          <w:rStyle w:val="SubtleEmphasis"/>
          <w:rFonts w:cstheme="minorHAnsi"/>
          <w:i w:val="0"/>
          <w:iCs w:val="0"/>
          <w:color w:val="auto"/>
        </w:rPr>
        <w:t>.</w:t>
      </w:r>
    </w:p>
    <w:p w14:paraId="6C0468AC"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After careful consideration of these metrics and their implications for shareholder value, we recommend investing in Project B. Here's why:</w:t>
      </w:r>
    </w:p>
    <w:p w14:paraId="00308699"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Faster Return on Investment: Project B demonstrates a significantly shorter payback period, indicating a quicker initial investment recovery than Project A. suggests reduced risk and improved liquidity.</w:t>
      </w:r>
    </w:p>
    <w:p w14:paraId="60A855A6"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Higher Profitability: With an accounting rate of return of 75.75%, Project B outperforms Project A, showcasing its ability to generate higher profits relative to the initial investment.</w:t>
      </w:r>
    </w:p>
    <w:p w14:paraId="34EAB8BE"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Positive Net Present Value: Project B presents a positive NPV of approximately £1995.73 million, indicating that its expected cash flows exceed the initial investment. In summary, Project B emerges as the superior investment choice, offering faster returns, higher profitability, and a positive NPV. We believe allocating resources toward Project B aligns with our goal of maximizing shareholder value and driving sustainable growth.</w:t>
      </w:r>
    </w:p>
    <w:p w14:paraId="7329D89E" w14:textId="2C9E5B12"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The initial investments for each project increase by 10%, and all cash flows fall by 10%. NPV is recalculated accordingly, and appropriate comments are provided.</w:t>
      </w:r>
    </w:p>
    <w:p w14:paraId="65FF9625" w14:textId="483FD808"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Critical Analysis of Capital Project Evaluation Techniques: PBP, ARR, and NPV</w:t>
      </w:r>
    </w:p>
    <w:p w14:paraId="5C6D56BB" w14:textId="7304A2D4"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 critical discussion of the advantages and shortcomings of the PBP, ARR, and NPV techniques to evaluate capital projects is presented and supported by relevant literature.</w:t>
      </w:r>
    </w:p>
    <w:p w14:paraId="00AD2D00" w14:textId="2A20E1D2"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The evaluation of capital projects involves using various financial metrics to determine their feasibility and profitability. In this analysis, we critically examine the advantages and shortcomings of three commonly used techniques: Payback Period (PBP), Accounting Rate of Return (ARR), and Net Present Value (NPV), applied to two mutually exclusive projects—Project A and Project B. Relevant literature sources support these evaluations.</w:t>
      </w:r>
    </w:p>
    <w:p w14:paraId="44E1889E" w14:textId="798960DC"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bookmarkStart w:id="13" w:name="_Hlk164680684"/>
      <w:r w:rsidRPr="00901264">
        <w:rPr>
          <w:rStyle w:val="SubtleEmphasis"/>
          <w:rFonts w:cstheme="minorHAnsi"/>
          <w:i w:val="0"/>
          <w:iCs w:val="0"/>
          <w:color w:val="auto"/>
        </w:rPr>
        <w:t>Payback Period (PBP)</w:t>
      </w:r>
    </w:p>
    <w:bookmarkEnd w:id="13"/>
    <w:p w14:paraId="707AE8F8" w14:textId="03DEFA4E"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PBP is a straightforward metric that indicates the time taken for an investment to recover its initial cost. While PBP indicates liquidity and risk, it has significant limitations. For example, it ignores the time value of money and cash flows beyond the payback period (Atrill &amp; Mclaney, 2018). Despite these limitations, PBP can be useful for projects where short-term liquidity is a primary concern.</w:t>
      </w:r>
    </w:p>
    <w:p w14:paraId="1130C392" w14:textId="4523F068"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Accounting Rate of Return (ARR)</w:t>
      </w:r>
    </w:p>
    <w:p w14:paraId="16558834" w14:textId="7389A348"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ARR measures the average annual accounting profit relative to the initial investment. This metric is easy to calculate and understand, making it accessible to nonfinancial managers. However, ARR does not consider the time value of money and relies heavily on accounting profits, which can be manipulated (Atrill &amp; Mclaney, 2012). Nevertheless, ARR provides insights into the project's profitability from an accounting perspective.</w:t>
      </w:r>
    </w:p>
    <w:p w14:paraId="24CD3EEE" w14:textId="42DD57B8"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Net Present Value (NPV)</w:t>
      </w:r>
    </w:p>
    <w:p w14:paraId="5D169F53" w14:textId="33581BD3"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NPV calculates the present value of all cash flows, discounted at the company's cost of capital. It considers the time value of money and provides a comprehensive measure of project profitability (Collis et al., 2017). NPV accounts for all cash flows and allows for comparisons across projects. However, NPV requires estimating discount rates and cash flows, which can be complex and subject to assumptions.</w:t>
      </w:r>
    </w:p>
    <w:p w14:paraId="21976457" w14:textId="2972620E"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Comparison of Project A and Project B</w:t>
      </w:r>
    </w:p>
    <w:p w14:paraId="47F12CA8"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Payback Period: Project B has a shorter payback period of 1 year compared to Project A's 3.5 years. However, PBP does not consider the time value of money.</w:t>
      </w:r>
    </w:p>
    <w:p w14:paraId="0A4AF4B6"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Accounting Rate of Return: Project B has a higher ARR of approximately 75.75% compared to Project A's 30.29%. However, ARR does not consider the time value of money or the project's duration.</w:t>
      </w:r>
    </w:p>
    <w:p w14:paraId="789AAF1F" w14:textId="77777777"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Net Present Value: Project A has a negative NPV of £5.62 million, while Project B has a positive NPV of £1995.73 million. NPV accounts for the time value of money and provides a clearer picture of project profitability.</w:t>
      </w:r>
    </w:p>
    <w:p w14:paraId="06584BA3" w14:textId="3B313BC6" w:rsidR="00883435" w:rsidRPr="00901264" w:rsidRDefault="00883435"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Conclusion</w:t>
      </w:r>
    </w:p>
    <w:p w14:paraId="5EB1BB9F" w14:textId="40BD30F6" w:rsidR="00883435"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While each evaluation technique has advantages and shortcomings, NPV remains the most comprehensive metric for evaluating capital projects. Despite Project A's shorter payback period and Project B's higher ARR, NPV indicates that </w:t>
      </w:r>
      <w:r w:rsidR="00D1393B" w:rsidRPr="00901264">
        <w:rPr>
          <w:rStyle w:val="SubtleEmphasis"/>
          <w:rFonts w:cstheme="minorHAnsi"/>
          <w:i w:val="0"/>
          <w:iCs w:val="0"/>
          <w:color w:val="auto"/>
        </w:rPr>
        <w:t>it</w:t>
      </w:r>
      <w:r w:rsidRPr="00901264">
        <w:rPr>
          <w:rStyle w:val="SubtleEmphasis"/>
          <w:rFonts w:cstheme="minorHAnsi"/>
          <w:i w:val="0"/>
          <w:iCs w:val="0"/>
          <w:color w:val="auto"/>
        </w:rPr>
        <w:t xml:space="preserve"> is the superior investment option due to its positive NPV. This analysis highlights the importance of considering the time value of money and all cash flows when evaluating investment opportunities.</w:t>
      </w:r>
    </w:p>
    <w:p w14:paraId="6B2A4615" w14:textId="1F61211C" w:rsidR="00D1393B" w:rsidRPr="00901264" w:rsidRDefault="00D1393B" w:rsidP="00901264">
      <w:pPr>
        <w:pStyle w:val="ListParagraph"/>
        <w:numPr>
          <w:ilvl w:val="1"/>
          <w:numId w:val="32"/>
        </w:numPr>
        <w:spacing w:line="360" w:lineRule="auto"/>
        <w:jc w:val="both"/>
        <w:rPr>
          <w:rStyle w:val="SubtleEmphasis"/>
          <w:rFonts w:cstheme="minorHAnsi"/>
          <w:i w:val="0"/>
          <w:iCs w:val="0"/>
          <w:color w:val="auto"/>
        </w:rPr>
      </w:pPr>
      <w:r w:rsidRPr="00901264">
        <w:rPr>
          <w:rStyle w:val="SubtleEmphasis"/>
          <w:rFonts w:cstheme="minorHAnsi"/>
          <w:i w:val="0"/>
          <w:iCs w:val="0"/>
          <w:color w:val="auto"/>
        </w:rPr>
        <w:t>Essential Considerations for Management</w:t>
      </w:r>
    </w:p>
    <w:p w14:paraId="40BDFC8C" w14:textId="3F09B236" w:rsidR="0009016F" w:rsidRPr="00901264" w:rsidRDefault="00883435"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 xml:space="preserve">Nonfinancial factors and financial metrics </w:t>
      </w:r>
      <w:r w:rsidR="00D1393B" w:rsidRPr="00901264">
        <w:rPr>
          <w:rStyle w:val="SubtleEmphasis"/>
          <w:rFonts w:cstheme="minorHAnsi"/>
          <w:i w:val="0"/>
          <w:iCs w:val="0"/>
          <w:color w:val="auto"/>
        </w:rPr>
        <w:t>are crucial</w:t>
      </w:r>
      <w:r w:rsidRPr="00901264">
        <w:rPr>
          <w:rStyle w:val="SubtleEmphasis"/>
          <w:rFonts w:cstheme="minorHAnsi"/>
          <w:i w:val="0"/>
          <w:iCs w:val="0"/>
          <w:color w:val="auto"/>
        </w:rPr>
        <w:t xml:space="preserve"> in project evaluation and decision-making. Here, we discuss several nonfinancial factors that management needs to consider when evaluating capital projects, drawing insights from relevant literature. Projects should align with the organization's strategic objectives and long-term goals (Fields, 2016). Strategic fit ensures that projects contribute to the company's growth, competitiveness, and sustainability (Atrill &amp; Mclaney, 2018). Management should assess the risks associated with each project, including operational, market, and regulatory risks (Marsh, 2012). Understanding and mitigating risks are crucial for safeguarding the company's assets and reputation (Collis et al., 2017). Companies are increasingly expected to consider the environmental impact of their projects (Dyllick &amp; Hockerts, 2002). Ecological sustainability is a legal requirement and an essential aspect of corporate social responsibility (CSR) and stakeholder management (Fields, 2016). Projects should adhere to ethical standards and promote social welfare (Atrill &amp; Mclaney, 2012). Socially responsible projects enhance the company's reputation and brand value, fostering customer loyalty and trust (Atrill &amp; Mclaney, 2018). Compliance with regulations and legal requirements is essential for avoiding penalties and lawsuits (Collis et al., 2017). Projects should adhere to industry-specific regulations, such as those governing pharmaceuticals (Daemmrich, 2010). Engaging with stakeholders, including employees, customers, and investors, is critical for project success (Fields, 2016). Understanding stakeholder expectations and addressing concerns can mitigate resistance and improve project acceptance (Marsh, 2012). Advances in technology can impact project feasibility and competitiveness (Collis et al., 2017). Projects should leverage appropriate technologies to enhance efficiency, productivity, and innovation (Atrill &amp; Mclaney, 2018 Market conditions, such as demand trends, competition, and industry dynamics, should be analyzed </w:t>
      </w:r>
      <w:r w:rsidRPr="00901264">
        <w:rPr>
          <w:rStyle w:val="SubtleEmphasis"/>
          <w:rFonts w:cstheme="minorHAnsi"/>
          <w:i w:val="0"/>
          <w:iCs w:val="0"/>
          <w:color w:val="auto"/>
        </w:rPr>
        <w:lastRenderedPageBreak/>
        <w:t>(Fields, 2016). Projects should address market needs and capitalize on emerging opportunities while mitigating threats (Marsh, 2012). Management should assess whether the organization has the necessary skills and expertise to execute the project (Collis et al., 2017). Training programs may be required to enhance employee capabilities and adapt to new project requirements (Fields, 2016). Cultural factors, both internal and external, can influence project outcomes (Atrill &amp; Mclaney, 2012). Projects should respect cultural diversity and adapt strategies to ensure acceptance and success (Marsh, 2012). Incorporating these nonfinancial factors into project evaluation ensures a holistic assessment of feasibility and impact. While financial metrics provide quantifiable insights, considering nonfinancial factors is essential for long-term sustainability and value creation.</w:t>
      </w:r>
    </w:p>
    <w:p w14:paraId="116BFF29" w14:textId="77777777" w:rsidR="006943DE" w:rsidRPr="00901264" w:rsidRDefault="006943DE" w:rsidP="00901264">
      <w:pPr>
        <w:spacing w:line="360" w:lineRule="auto"/>
        <w:jc w:val="both"/>
        <w:rPr>
          <w:rStyle w:val="SubtleEmphasis"/>
          <w:rFonts w:cstheme="minorHAnsi"/>
          <w:i w:val="0"/>
          <w:iCs w:val="0"/>
          <w:color w:val="auto"/>
        </w:rPr>
      </w:pPr>
    </w:p>
    <w:bookmarkEnd w:id="4"/>
    <w:p w14:paraId="68893181" w14:textId="77777777" w:rsidR="006943DE" w:rsidRDefault="006943DE" w:rsidP="00901264">
      <w:pPr>
        <w:spacing w:line="360" w:lineRule="auto"/>
        <w:jc w:val="both"/>
        <w:rPr>
          <w:rStyle w:val="SubtleEmphasis"/>
          <w:rFonts w:cstheme="minorHAnsi"/>
          <w:i w:val="0"/>
          <w:iCs w:val="0"/>
          <w:color w:val="auto"/>
        </w:rPr>
      </w:pPr>
    </w:p>
    <w:p w14:paraId="47D34C4D" w14:textId="77777777" w:rsidR="00901264" w:rsidRDefault="00901264" w:rsidP="00901264">
      <w:pPr>
        <w:spacing w:line="360" w:lineRule="auto"/>
        <w:jc w:val="both"/>
        <w:rPr>
          <w:rStyle w:val="SubtleEmphasis"/>
          <w:rFonts w:cstheme="minorHAnsi"/>
          <w:i w:val="0"/>
          <w:iCs w:val="0"/>
          <w:color w:val="auto"/>
        </w:rPr>
      </w:pPr>
    </w:p>
    <w:p w14:paraId="2C01461D" w14:textId="77777777" w:rsidR="00901264" w:rsidRDefault="00901264" w:rsidP="00901264">
      <w:pPr>
        <w:spacing w:line="360" w:lineRule="auto"/>
        <w:jc w:val="both"/>
        <w:rPr>
          <w:rStyle w:val="SubtleEmphasis"/>
          <w:rFonts w:cstheme="minorHAnsi"/>
          <w:i w:val="0"/>
          <w:iCs w:val="0"/>
          <w:color w:val="auto"/>
        </w:rPr>
      </w:pPr>
    </w:p>
    <w:p w14:paraId="7486A2C1" w14:textId="77777777" w:rsidR="00901264" w:rsidRDefault="00901264" w:rsidP="00901264">
      <w:pPr>
        <w:spacing w:line="360" w:lineRule="auto"/>
        <w:jc w:val="both"/>
        <w:rPr>
          <w:rStyle w:val="SubtleEmphasis"/>
          <w:rFonts w:cstheme="minorHAnsi"/>
          <w:i w:val="0"/>
          <w:iCs w:val="0"/>
          <w:color w:val="auto"/>
        </w:rPr>
      </w:pPr>
    </w:p>
    <w:p w14:paraId="37DFD0AB" w14:textId="77777777" w:rsidR="00901264" w:rsidRDefault="00901264" w:rsidP="00901264">
      <w:pPr>
        <w:spacing w:line="360" w:lineRule="auto"/>
        <w:jc w:val="both"/>
        <w:rPr>
          <w:rStyle w:val="SubtleEmphasis"/>
          <w:rFonts w:cstheme="minorHAnsi"/>
          <w:i w:val="0"/>
          <w:iCs w:val="0"/>
          <w:color w:val="auto"/>
        </w:rPr>
      </w:pPr>
    </w:p>
    <w:p w14:paraId="0266426E" w14:textId="77777777" w:rsidR="00901264" w:rsidRDefault="00901264" w:rsidP="00901264">
      <w:pPr>
        <w:spacing w:line="360" w:lineRule="auto"/>
        <w:jc w:val="both"/>
        <w:rPr>
          <w:rStyle w:val="SubtleEmphasis"/>
          <w:rFonts w:cstheme="minorHAnsi"/>
          <w:i w:val="0"/>
          <w:iCs w:val="0"/>
          <w:color w:val="auto"/>
        </w:rPr>
      </w:pPr>
    </w:p>
    <w:p w14:paraId="2DC65873" w14:textId="77777777" w:rsidR="00901264" w:rsidRDefault="00901264" w:rsidP="00901264">
      <w:pPr>
        <w:spacing w:line="360" w:lineRule="auto"/>
        <w:jc w:val="both"/>
        <w:rPr>
          <w:rStyle w:val="SubtleEmphasis"/>
          <w:rFonts w:cstheme="minorHAnsi"/>
          <w:i w:val="0"/>
          <w:iCs w:val="0"/>
          <w:color w:val="auto"/>
        </w:rPr>
      </w:pPr>
    </w:p>
    <w:p w14:paraId="3CFAD52D" w14:textId="77777777" w:rsidR="00901264" w:rsidRDefault="00901264" w:rsidP="00901264">
      <w:pPr>
        <w:spacing w:line="360" w:lineRule="auto"/>
        <w:jc w:val="both"/>
        <w:rPr>
          <w:rStyle w:val="SubtleEmphasis"/>
          <w:rFonts w:cstheme="minorHAnsi"/>
          <w:i w:val="0"/>
          <w:iCs w:val="0"/>
          <w:color w:val="auto"/>
        </w:rPr>
      </w:pPr>
    </w:p>
    <w:p w14:paraId="78A6A622" w14:textId="77777777" w:rsidR="00901264" w:rsidRDefault="00901264" w:rsidP="00901264">
      <w:pPr>
        <w:spacing w:line="360" w:lineRule="auto"/>
        <w:jc w:val="both"/>
        <w:rPr>
          <w:rStyle w:val="SubtleEmphasis"/>
          <w:rFonts w:cstheme="minorHAnsi"/>
          <w:i w:val="0"/>
          <w:iCs w:val="0"/>
          <w:color w:val="auto"/>
        </w:rPr>
      </w:pPr>
    </w:p>
    <w:p w14:paraId="71562A61" w14:textId="77777777" w:rsidR="00901264" w:rsidRDefault="00901264" w:rsidP="00901264">
      <w:pPr>
        <w:spacing w:line="360" w:lineRule="auto"/>
        <w:jc w:val="both"/>
        <w:rPr>
          <w:rStyle w:val="SubtleEmphasis"/>
          <w:rFonts w:cstheme="minorHAnsi"/>
          <w:i w:val="0"/>
          <w:iCs w:val="0"/>
          <w:color w:val="auto"/>
        </w:rPr>
      </w:pPr>
    </w:p>
    <w:p w14:paraId="27497602" w14:textId="77777777" w:rsidR="00901264" w:rsidRDefault="00901264" w:rsidP="00901264">
      <w:pPr>
        <w:spacing w:line="360" w:lineRule="auto"/>
        <w:jc w:val="both"/>
        <w:rPr>
          <w:rStyle w:val="SubtleEmphasis"/>
          <w:rFonts w:cstheme="minorHAnsi"/>
          <w:i w:val="0"/>
          <w:iCs w:val="0"/>
          <w:color w:val="auto"/>
        </w:rPr>
      </w:pPr>
    </w:p>
    <w:p w14:paraId="246AF97F" w14:textId="77777777" w:rsidR="00901264" w:rsidRDefault="00901264" w:rsidP="00901264">
      <w:pPr>
        <w:spacing w:line="360" w:lineRule="auto"/>
        <w:jc w:val="both"/>
        <w:rPr>
          <w:rStyle w:val="SubtleEmphasis"/>
          <w:rFonts w:cstheme="minorHAnsi"/>
          <w:i w:val="0"/>
          <w:iCs w:val="0"/>
          <w:color w:val="auto"/>
        </w:rPr>
      </w:pPr>
    </w:p>
    <w:p w14:paraId="685C22A2" w14:textId="77777777" w:rsidR="00901264" w:rsidRDefault="00901264" w:rsidP="00901264">
      <w:pPr>
        <w:spacing w:line="360" w:lineRule="auto"/>
        <w:jc w:val="both"/>
        <w:rPr>
          <w:rStyle w:val="SubtleEmphasis"/>
          <w:rFonts w:cstheme="minorHAnsi"/>
          <w:i w:val="0"/>
          <w:iCs w:val="0"/>
          <w:color w:val="auto"/>
        </w:rPr>
      </w:pPr>
    </w:p>
    <w:p w14:paraId="29E447FE" w14:textId="77777777" w:rsidR="00901264" w:rsidRDefault="00901264" w:rsidP="00901264">
      <w:pPr>
        <w:spacing w:line="360" w:lineRule="auto"/>
        <w:jc w:val="both"/>
        <w:rPr>
          <w:rStyle w:val="SubtleEmphasis"/>
          <w:rFonts w:cstheme="minorHAnsi"/>
          <w:i w:val="0"/>
          <w:iCs w:val="0"/>
          <w:color w:val="auto"/>
        </w:rPr>
      </w:pPr>
    </w:p>
    <w:p w14:paraId="4E09440D" w14:textId="77777777" w:rsidR="00901264" w:rsidRPr="00901264" w:rsidRDefault="00901264" w:rsidP="00901264">
      <w:pPr>
        <w:spacing w:line="360" w:lineRule="auto"/>
        <w:jc w:val="both"/>
        <w:rPr>
          <w:rStyle w:val="SubtleEmphasis"/>
          <w:rFonts w:cstheme="minorHAnsi"/>
          <w:i w:val="0"/>
          <w:iCs w:val="0"/>
          <w:color w:val="auto"/>
        </w:rPr>
      </w:pPr>
    </w:p>
    <w:p w14:paraId="75B924B2" w14:textId="4DD94DEA" w:rsidR="00883435" w:rsidRPr="00901264" w:rsidRDefault="00883435" w:rsidP="00901264">
      <w:pPr>
        <w:spacing w:line="360" w:lineRule="auto"/>
        <w:jc w:val="both"/>
        <w:rPr>
          <w:rStyle w:val="SubtleEmphasis"/>
          <w:rFonts w:cstheme="minorHAnsi"/>
          <w:i w:val="0"/>
          <w:iCs w:val="0"/>
          <w:color w:val="auto"/>
        </w:rPr>
      </w:pPr>
      <w:bookmarkStart w:id="14" w:name="_Hlk164684212"/>
      <w:r w:rsidRPr="00901264">
        <w:rPr>
          <w:rStyle w:val="SubtleEmphasis"/>
          <w:rFonts w:cstheme="minorHAnsi"/>
          <w:i w:val="0"/>
          <w:iCs w:val="0"/>
          <w:color w:val="auto"/>
        </w:rPr>
        <w:lastRenderedPageBreak/>
        <w:t xml:space="preserve">Reference list </w:t>
      </w:r>
    </w:p>
    <w:bookmarkEnd w:id="14"/>
    <w:p w14:paraId="7DEAFAED" w14:textId="53C3F61C"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Atrill, P. and McClaney, E. (2018). Accounting and Finance for Non-Specialists (11th ed.). Harlow: Pearson.</w:t>
      </w:r>
    </w:p>
    <w:p w14:paraId="0A38DE23" w14:textId="1FC57507"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Atrill, P. and McClaney, E.J. (2012). Management accounting for decision makers. New York: Pearson Financial Times/Prentice Hall.</w:t>
      </w:r>
    </w:p>
    <w:p w14:paraId="4227DDE8" w14:textId="752753BF"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Collis, J., Holt, A. and Hussey, R. (2017). Business accounting: an introduction to financial and management accounting. London: Palgrave, An Imprint Of Macmillan Publishers Limited.</w:t>
      </w:r>
    </w:p>
    <w:p w14:paraId="51D9A451" w14:textId="00C4CE29"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Fields, E. (2016). The Essentials of Finance and Accounting for Nonfinancial Managers (3rd ed.). New York: American Management Association.</w:t>
      </w:r>
    </w:p>
    <w:p w14:paraId="78EAB5A3" w14:textId="47C00CCD"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Marsh, C. (2012). Financial management for nonfinancial managers. London; Philadelphia, Pa: Kogan Page.</w:t>
      </w:r>
    </w:p>
    <w:p w14:paraId="46908A47" w14:textId="5662BB64"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Ycharts.com. (2024). Pfizer Debt to Equity Ratio. [online] Available at: https://ycharts.com/companies/PFE/debt_equity_ratio [Accessed March 7, 2024].</w:t>
      </w:r>
    </w:p>
    <w:p w14:paraId="04B36358" w14:textId="56080F8E"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Garattini, S. and Bertele, V. (2015). Pfizer: The industrial grand tour. Journal of Market Access &amp; Health Policy, 3(1), 26340. doi 10.3402/jmahp.v3.26340</w:t>
      </w:r>
    </w:p>
    <w:p w14:paraId="48947FAE" w14:textId="526F656E"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Dyllick, T. and Hockerts, K. (2002). Beyond the business case for corporate sustainability. Business Strategy and the Environment, 11(2), 130-141. doi: 10.1002/bse.323</w:t>
      </w:r>
    </w:p>
    <w:p w14:paraId="216D755C" w14:textId="16930681"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Krishnan, V. (2018). Valuation of Pfizer Inc.: An industry and company analysis. The Journal of Private Equity, 21(3), 43-55.</w:t>
      </w:r>
    </w:p>
    <w:p w14:paraId="3CB8E485" w14:textId="216D38AA"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Daemmrich, A. (2010). Pharmacopolitics: Drug Regulation in the United States and Germany. University of North Carolina Press.</w:t>
      </w:r>
    </w:p>
    <w:p w14:paraId="1AE01697" w14:textId="2DB7DCEE"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Johnson, J.L. and Pfizer, K. (2009). Competitive Intelligence Advantage: How to Minimize Risk, Avoid Surprises, and Grow Your Business in a Changing World. John Wiley &amp; Sons.</w:t>
      </w:r>
    </w:p>
    <w:p w14:paraId="21CF4E96" w14:textId="77777777"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Grabowski, H.G. and Vernon, J.M. (2017). The Economics of Pharmaceutical Pricing. Cambridge University Press.</w:t>
      </w:r>
    </w:p>
    <w:p w14:paraId="29069F05" w14:textId="77777777" w:rsidR="00DD7690" w:rsidRPr="00901264" w:rsidRDefault="00DD7690" w:rsidP="00901264">
      <w:pPr>
        <w:spacing w:line="360" w:lineRule="auto"/>
        <w:jc w:val="both"/>
        <w:rPr>
          <w:rStyle w:val="SubtleEmphasis"/>
          <w:rFonts w:cstheme="minorHAnsi"/>
          <w:i w:val="0"/>
          <w:iCs w:val="0"/>
          <w:color w:val="auto"/>
        </w:rPr>
      </w:pPr>
    </w:p>
    <w:p w14:paraId="2AB39520" w14:textId="13B5F997"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EvaluatePharma. (2023). World Preview 2023, Outlook to 2028: Returning to Growth. Retrieved from https://www.evaluate.com/thought-leadership/pharma/evaluatepharma-world-preview-2023-outlook-2028 [Accessed March 7, 2024]</w:t>
      </w:r>
    </w:p>
    <w:p w14:paraId="5194481D" w14:textId="4734C12A"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IQVIA. (2022). Global Pharmaceuticals Market Forecast 2022-2026. Retrieved from https://www.iqvia.com/insights/the-iqvia-institute/reports/global-pharmaceutical-market-forecast-2022-2026 [Accessed March 7, 2024]</w:t>
      </w:r>
    </w:p>
    <w:p w14:paraId="3F6303A1" w14:textId="4DE341A6"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U.S. Food and Drug Administration. (2023). Drug Approvals and Databases. Retrieved from https://www.fda.gov/drugs/drug-approvals-and-databases [Accessed March 7, 2024]</w:t>
      </w:r>
    </w:p>
    <w:p w14:paraId="0F81963A" w14:textId="225A4B88"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 Inc. (2023). Annual Report 2022. Retrieved from https://investors.pfizer.com/investor-news/press-release-details/2023/Pfizer-Reports-Strong-Operating-Results-in-Fourth-Quarter-and-Full-Year- 2022/default.aspx [Accessed March 7, 2024]</w:t>
      </w:r>
    </w:p>
    <w:p w14:paraId="605BB09E" w14:textId="7D106C28"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Securities and Exchange Commission (SEC). (2023). Pfizer Inc. Form 10-K. Retrieved from https://www.sec.gov/Archives/edgar/data/78003/000007800322000019/pfe-20211231.htm [Accessed March 7, 2024]</w:t>
      </w:r>
    </w:p>
    <w:p w14:paraId="0E6E9886" w14:textId="1EFB4D5E"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CNBC. (2016, April 5). Sources say that Pfizer and Allergan will mutually terminate the merger over inversion rule changes. Retrieved from https://www.cnbc.com/2016/04/05/pfizer-allergan-will-mutually-terminate-merger-over-inversion-rule-changes-sources-say.html [Accessed March 7, 2024]</w:t>
      </w:r>
    </w:p>
    <w:p w14:paraId="35881DEA" w14:textId="29D3CA0B"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Pfizer. (n.d.). Real-world evidence confirms the high effectiveness of Pfizer. Retrieved from https://www.pfizer.com/news/press-release/press-release-detail/real-world-evidence-confirms-high-effectiveness-pfizer [Accessed March 7, 2024]</w:t>
      </w:r>
    </w:p>
    <w:p w14:paraId="3D0146E3" w14:textId="3CFAD8FE"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Council on Foreign Relations. (n.d.). Vaccine equity and global economic recovery. Retrieved from https://www.cfr.org/event/vaccine-equity-and-global-economic-recovery [Accessed March 7, 2024]</w:t>
      </w:r>
    </w:p>
    <w:p w14:paraId="02D7C5F5" w14:textId="7E636FAC"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ClinicalTrials.gov. (n.d.). Pfizer's development of the RSV vaccine. Retrieved from https://clinicaltrials.gov/ct2/show/NCT05788237 [Accessed March 7, 2024]</w:t>
      </w:r>
    </w:p>
    <w:p w14:paraId="2AD1FBC8" w14:textId="77777777" w:rsidR="00DD7690"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t>Fierce Pharma. (n.d.). Pfizer's 2024 revenue guidance reflects plummeting demand for COVID-19 products. Retrieved from https://www.fiercepharma.com/pharma/pfizers-2024-revenue-guidance-reflects-plummeting-demand-covid-products [Accessed March 7, 2024]</w:t>
      </w:r>
    </w:p>
    <w:p w14:paraId="54B4EED7" w14:textId="77777777" w:rsidR="00DD7690" w:rsidRPr="00901264" w:rsidRDefault="00DD7690" w:rsidP="00901264">
      <w:pPr>
        <w:spacing w:line="360" w:lineRule="auto"/>
        <w:jc w:val="both"/>
        <w:rPr>
          <w:rStyle w:val="SubtleEmphasis"/>
          <w:rFonts w:cstheme="minorHAnsi"/>
          <w:i w:val="0"/>
          <w:iCs w:val="0"/>
          <w:color w:val="auto"/>
        </w:rPr>
      </w:pPr>
    </w:p>
    <w:p w14:paraId="7316EBF7" w14:textId="3C3B8E04" w:rsidR="001D1A6E" w:rsidRPr="00901264" w:rsidRDefault="00DD7690" w:rsidP="00901264">
      <w:pPr>
        <w:spacing w:line="360" w:lineRule="auto"/>
        <w:jc w:val="both"/>
        <w:rPr>
          <w:rStyle w:val="SubtleEmphasis"/>
          <w:rFonts w:cstheme="minorHAnsi"/>
          <w:i w:val="0"/>
          <w:iCs w:val="0"/>
          <w:color w:val="auto"/>
        </w:rPr>
      </w:pPr>
      <w:r w:rsidRPr="00901264">
        <w:rPr>
          <w:rStyle w:val="SubtleEmphasis"/>
          <w:rFonts w:cstheme="minorHAnsi"/>
          <w:i w:val="0"/>
          <w:iCs w:val="0"/>
          <w:color w:val="auto"/>
        </w:rPr>
        <w:lastRenderedPageBreak/>
        <w:t>Reuters. (n.d.). COVID-19 vaccine patent battles continue into 2023. Retrieved from https://www.reuters.com/legal/litigation/covid-19-vaccine-patent-battles-continue-into-2023-2022-12-27/ [Accessed March 7, 2024]</w:t>
      </w:r>
    </w:p>
    <w:sectPr w:rsidR="001D1A6E" w:rsidRPr="00901264" w:rsidSect="007D20D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FC2858" w14:textId="77777777" w:rsidR="007D20DC" w:rsidRDefault="007D20DC" w:rsidP="0009016F">
      <w:pPr>
        <w:spacing w:after="0" w:line="240" w:lineRule="auto"/>
      </w:pPr>
      <w:r>
        <w:separator/>
      </w:r>
    </w:p>
  </w:endnote>
  <w:endnote w:type="continuationSeparator" w:id="0">
    <w:p w14:paraId="56F20DDE" w14:textId="77777777" w:rsidR="007D20DC" w:rsidRDefault="007D20DC" w:rsidP="00090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0E30D4" w14:textId="77777777" w:rsidR="0009016F" w:rsidRDefault="000901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noProof w:val="0"/>
      </w:rPr>
      <w:id w:val="1706903824"/>
      <w:docPartObj>
        <w:docPartGallery w:val="Page Numbers (Bottom of Page)"/>
        <w:docPartUnique/>
      </w:docPartObj>
    </w:sdtPr>
    <w:sdtEndPr>
      <w:rPr>
        <w:noProof/>
      </w:rPr>
    </w:sdtEndPr>
    <w:sdtContent>
      <w:p w14:paraId="0B2F2EAC" w14:textId="38D3DD54" w:rsidR="0009016F" w:rsidRDefault="0009016F">
        <w:pPr>
          <w:pStyle w:val="Footer"/>
          <w:jc w:val="center"/>
        </w:pPr>
        <w:r>
          <w:rPr>
            <w:noProof w:val="0"/>
          </w:rPr>
          <w:fldChar w:fldCharType="begin"/>
        </w:r>
        <w:r>
          <w:instrText xml:space="preserve"> PAGE   \* MERGEFORMAT </w:instrText>
        </w:r>
        <w:r>
          <w:rPr>
            <w:noProof w:val="0"/>
          </w:rPr>
          <w:fldChar w:fldCharType="separate"/>
        </w:r>
        <w:r>
          <w:t>2</w:t>
        </w:r>
        <w:r>
          <w:fldChar w:fldCharType="end"/>
        </w:r>
      </w:p>
    </w:sdtContent>
  </w:sdt>
  <w:p w14:paraId="534A411A" w14:textId="77777777" w:rsidR="0009016F" w:rsidRDefault="000901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EDF725" w14:textId="77777777" w:rsidR="0009016F" w:rsidRDefault="00090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AD3E7C" w14:textId="77777777" w:rsidR="007D20DC" w:rsidRDefault="007D20DC" w:rsidP="0009016F">
      <w:pPr>
        <w:spacing w:after="0" w:line="240" w:lineRule="auto"/>
      </w:pPr>
      <w:r>
        <w:separator/>
      </w:r>
    </w:p>
  </w:footnote>
  <w:footnote w:type="continuationSeparator" w:id="0">
    <w:p w14:paraId="7DF24982" w14:textId="77777777" w:rsidR="007D20DC" w:rsidRDefault="007D20DC" w:rsidP="000901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3D3BFA" w14:textId="77777777" w:rsidR="0009016F" w:rsidRDefault="000901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37E75C" w14:textId="77777777" w:rsidR="0009016F" w:rsidRDefault="000901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ED95E1" w14:textId="77777777" w:rsidR="0009016F" w:rsidRDefault="000901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90451"/>
    <w:multiLevelType w:val="multilevel"/>
    <w:tmpl w:val="AF26BA7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1E3122E"/>
    <w:multiLevelType w:val="multilevel"/>
    <w:tmpl w:val="574C6238"/>
    <w:lvl w:ilvl="0">
      <w:start w:val="2"/>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F76276"/>
    <w:multiLevelType w:val="multilevel"/>
    <w:tmpl w:val="94EEF570"/>
    <w:lvl w:ilvl="0">
      <w:start w:val="1"/>
      <w:numFmt w:val="decimal"/>
      <w:pStyle w:val="Heading1"/>
      <w:lvlText w:val="%1."/>
      <w:lvlJc w:val="left"/>
      <w:pPr>
        <w:ind w:left="432" w:hanging="432"/>
      </w:pPr>
      <w:rPr>
        <w:rFonts w:asciiTheme="majorHAnsi" w:eastAsiaTheme="majorEastAsia" w:hAnsiTheme="majorHAnsi"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09D0205"/>
    <w:multiLevelType w:val="multilevel"/>
    <w:tmpl w:val="57B8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F1FA9"/>
    <w:multiLevelType w:val="multilevel"/>
    <w:tmpl w:val="96F2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6813D8"/>
    <w:multiLevelType w:val="multilevel"/>
    <w:tmpl w:val="F290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EB7630"/>
    <w:multiLevelType w:val="hybridMultilevel"/>
    <w:tmpl w:val="3C888602"/>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9A137BC"/>
    <w:multiLevelType w:val="hybridMultilevel"/>
    <w:tmpl w:val="C008A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A472C37"/>
    <w:multiLevelType w:val="multilevel"/>
    <w:tmpl w:val="DB1EC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4854C4"/>
    <w:multiLevelType w:val="multilevel"/>
    <w:tmpl w:val="9364D3EE"/>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2AA817DD"/>
    <w:multiLevelType w:val="multilevel"/>
    <w:tmpl w:val="0B481D2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395D7B"/>
    <w:multiLevelType w:val="hybridMultilevel"/>
    <w:tmpl w:val="C47A33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D393259"/>
    <w:multiLevelType w:val="multilevel"/>
    <w:tmpl w:val="6550084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881E59"/>
    <w:multiLevelType w:val="multilevel"/>
    <w:tmpl w:val="E5A0BAF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367C67F2"/>
    <w:multiLevelType w:val="multilevel"/>
    <w:tmpl w:val="19E84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A0321A"/>
    <w:multiLevelType w:val="hybridMultilevel"/>
    <w:tmpl w:val="7A765D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DAC3938"/>
    <w:multiLevelType w:val="hybridMultilevel"/>
    <w:tmpl w:val="2CA8854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0C056B8"/>
    <w:multiLevelType w:val="multilevel"/>
    <w:tmpl w:val="E5A0BAFE"/>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43B42014"/>
    <w:multiLevelType w:val="multilevel"/>
    <w:tmpl w:val="BCE069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A5720F2"/>
    <w:multiLevelType w:val="hybridMultilevel"/>
    <w:tmpl w:val="681C87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6B0027"/>
    <w:multiLevelType w:val="multilevel"/>
    <w:tmpl w:val="28A004B8"/>
    <w:lvl w:ilvl="0">
      <w:start w:val="1"/>
      <w:numFmt w:val="decimal"/>
      <w:lvlText w:val="%1."/>
      <w:lvlJc w:val="left"/>
      <w:pPr>
        <w:ind w:left="720" w:hanging="360"/>
      </w:pPr>
      <w:rPr>
        <w:rFonts w:hint="default"/>
      </w:rPr>
    </w:lvl>
    <w:lvl w:ilvl="1">
      <w:start w:val="1"/>
      <w:numFmt w:val="decimal"/>
      <w:isLgl/>
      <w:lvlText w:val="%1.%2."/>
      <w:lvlJc w:val="left"/>
      <w:pPr>
        <w:ind w:left="90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547D0A06"/>
    <w:multiLevelType w:val="multilevel"/>
    <w:tmpl w:val="69D21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CC414EC"/>
    <w:multiLevelType w:val="hybridMultilevel"/>
    <w:tmpl w:val="924021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A7F658F"/>
    <w:multiLevelType w:val="multilevel"/>
    <w:tmpl w:val="8698F45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6B9C0323"/>
    <w:multiLevelType w:val="hybridMultilevel"/>
    <w:tmpl w:val="E446CE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72A27BDF"/>
    <w:multiLevelType w:val="multilevel"/>
    <w:tmpl w:val="5E6A9688"/>
    <w:lvl w:ilvl="0">
      <w:start w:val="1"/>
      <w:numFmt w:val="decimal"/>
      <w:lvlText w:val="%1."/>
      <w:lvlJc w:val="left"/>
      <w:pPr>
        <w:ind w:left="720" w:hanging="360"/>
      </w:pPr>
      <w:rPr>
        <w:rFonts w:asciiTheme="minorHAnsi" w:eastAsiaTheme="minorHAnsi" w:hAnsiTheme="minorHAnsi" w:cstheme="minorHAnsi"/>
        <w:b w:val="0"/>
        <w:bCs w:val="0"/>
      </w:rPr>
    </w:lvl>
    <w:lvl w:ilvl="1">
      <w:start w:val="1"/>
      <w:numFmt w:val="decimal"/>
      <w:isLgl/>
      <w:lvlText w:val="%1.%2."/>
      <w:lvlJc w:val="left"/>
      <w:pPr>
        <w:ind w:left="1530" w:hanging="360"/>
      </w:pPr>
      <w:rPr>
        <w:rFonts w:hint="default"/>
        <w:b w:val="0"/>
        <w:bCs w:val="0"/>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abstractNum w:abstractNumId="26" w15:restartNumberingAfterBreak="0">
    <w:nsid w:val="766D7B45"/>
    <w:multiLevelType w:val="multilevel"/>
    <w:tmpl w:val="BCE069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7FA0D57"/>
    <w:multiLevelType w:val="multilevel"/>
    <w:tmpl w:val="B4C0CFD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7E7D4268"/>
    <w:multiLevelType w:val="multilevel"/>
    <w:tmpl w:val="9670F690"/>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62753303">
    <w:abstractNumId w:val="16"/>
  </w:num>
  <w:num w:numId="2" w16cid:durableId="2061323321">
    <w:abstractNumId w:val="21"/>
  </w:num>
  <w:num w:numId="3" w16cid:durableId="897672119">
    <w:abstractNumId w:val="19"/>
  </w:num>
  <w:num w:numId="4" w16cid:durableId="1028289783">
    <w:abstractNumId w:val="12"/>
  </w:num>
  <w:num w:numId="5" w16cid:durableId="882449520">
    <w:abstractNumId w:val="18"/>
  </w:num>
  <w:num w:numId="6" w16cid:durableId="419835326">
    <w:abstractNumId w:val="14"/>
  </w:num>
  <w:num w:numId="7" w16cid:durableId="1698237353">
    <w:abstractNumId w:val="26"/>
  </w:num>
  <w:num w:numId="8" w16cid:durableId="2103379271">
    <w:abstractNumId w:val="3"/>
  </w:num>
  <w:num w:numId="9" w16cid:durableId="626741642">
    <w:abstractNumId w:val="24"/>
  </w:num>
  <w:num w:numId="10" w16cid:durableId="1185285123">
    <w:abstractNumId w:val="25"/>
  </w:num>
  <w:num w:numId="11" w16cid:durableId="53962917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44408141">
    <w:abstractNumId w:val="10"/>
  </w:num>
  <w:num w:numId="13" w16cid:durableId="500703296">
    <w:abstractNumId w:val="22"/>
  </w:num>
  <w:num w:numId="14" w16cid:durableId="2012948656">
    <w:abstractNumId w:val="7"/>
  </w:num>
  <w:num w:numId="15" w16cid:durableId="717975981">
    <w:abstractNumId w:val="15"/>
  </w:num>
  <w:num w:numId="16" w16cid:durableId="819620478">
    <w:abstractNumId w:val="8"/>
  </w:num>
  <w:num w:numId="17" w16cid:durableId="775250771">
    <w:abstractNumId w:val="5"/>
  </w:num>
  <w:num w:numId="18" w16cid:durableId="680745575">
    <w:abstractNumId w:val="4"/>
  </w:num>
  <w:num w:numId="19" w16cid:durableId="1969627186">
    <w:abstractNumId w:val="20"/>
  </w:num>
  <w:num w:numId="20" w16cid:durableId="805780332">
    <w:abstractNumId w:val="0"/>
  </w:num>
  <w:num w:numId="21" w16cid:durableId="870843501">
    <w:abstractNumId w:val="1"/>
  </w:num>
  <w:num w:numId="22" w16cid:durableId="1559318479">
    <w:abstractNumId w:val="28"/>
  </w:num>
  <w:num w:numId="23" w16cid:durableId="1967344820">
    <w:abstractNumId w:val="11"/>
  </w:num>
  <w:num w:numId="24" w16cid:durableId="1362365633">
    <w:abstractNumId w:val="23"/>
  </w:num>
  <w:num w:numId="25" w16cid:durableId="2101215232">
    <w:abstractNumId w:val="6"/>
  </w:num>
  <w:num w:numId="26" w16cid:durableId="2084983048">
    <w:abstractNumId w:val="13"/>
  </w:num>
  <w:num w:numId="27" w16cid:durableId="366805771">
    <w:abstractNumId w:val="17"/>
  </w:num>
  <w:num w:numId="28" w16cid:durableId="1136071590">
    <w:abstractNumId w:val="27"/>
  </w:num>
  <w:num w:numId="29" w16cid:durableId="706174021">
    <w:abstractNumId w:val="2"/>
  </w:num>
  <w:num w:numId="30" w16cid:durableId="1512179008">
    <w:abstractNumId w:val="2"/>
    <w:lvlOverride w:ilvl="0">
      <w:startOverride w:val="2"/>
    </w:lvlOverride>
  </w:num>
  <w:num w:numId="31" w16cid:durableId="760684920">
    <w:abstractNumId w:val="2"/>
    <w:lvlOverride w:ilvl="0">
      <w:startOverride w:val="3"/>
    </w:lvlOverride>
  </w:num>
  <w:num w:numId="32" w16cid:durableId="190502197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wswTSRubGxgZGhko6SsGpxcWZ+XkgBUaGtQDKu4/yLQAAAA=="/>
  </w:docVars>
  <w:rsids>
    <w:rsidRoot w:val="00CC1467"/>
    <w:rsid w:val="00016CE8"/>
    <w:rsid w:val="0002540E"/>
    <w:rsid w:val="0009016F"/>
    <w:rsid w:val="000B4C30"/>
    <w:rsid w:val="000D79CE"/>
    <w:rsid w:val="000F6540"/>
    <w:rsid w:val="0012079C"/>
    <w:rsid w:val="00186F1B"/>
    <w:rsid w:val="001B3553"/>
    <w:rsid w:val="001B45B5"/>
    <w:rsid w:val="001C4B94"/>
    <w:rsid w:val="001D1A6E"/>
    <w:rsid w:val="00223642"/>
    <w:rsid w:val="0026056E"/>
    <w:rsid w:val="002835D6"/>
    <w:rsid w:val="00296521"/>
    <w:rsid w:val="00305A9C"/>
    <w:rsid w:val="0032020B"/>
    <w:rsid w:val="003504C7"/>
    <w:rsid w:val="00357CFE"/>
    <w:rsid w:val="0037122C"/>
    <w:rsid w:val="003F48AB"/>
    <w:rsid w:val="00434382"/>
    <w:rsid w:val="004862CC"/>
    <w:rsid w:val="004A6349"/>
    <w:rsid w:val="004E46D8"/>
    <w:rsid w:val="00517CDE"/>
    <w:rsid w:val="0059224B"/>
    <w:rsid w:val="00606773"/>
    <w:rsid w:val="00627883"/>
    <w:rsid w:val="006943DE"/>
    <w:rsid w:val="006C3680"/>
    <w:rsid w:val="006E69BF"/>
    <w:rsid w:val="00717E0E"/>
    <w:rsid w:val="00733E60"/>
    <w:rsid w:val="00790A05"/>
    <w:rsid w:val="007D20DC"/>
    <w:rsid w:val="007E4FEB"/>
    <w:rsid w:val="00853009"/>
    <w:rsid w:val="00883435"/>
    <w:rsid w:val="008F44FA"/>
    <w:rsid w:val="00901264"/>
    <w:rsid w:val="009C4D93"/>
    <w:rsid w:val="009E23C7"/>
    <w:rsid w:val="00A42D26"/>
    <w:rsid w:val="00A5258F"/>
    <w:rsid w:val="00B36EF3"/>
    <w:rsid w:val="00B519FB"/>
    <w:rsid w:val="00BC3198"/>
    <w:rsid w:val="00BC3CF8"/>
    <w:rsid w:val="00BC5F98"/>
    <w:rsid w:val="00BE30EB"/>
    <w:rsid w:val="00C063A0"/>
    <w:rsid w:val="00C13023"/>
    <w:rsid w:val="00C219C5"/>
    <w:rsid w:val="00C33BC6"/>
    <w:rsid w:val="00CA6176"/>
    <w:rsid w:val="00CB74F9"/>
    <w:rsid w:val="00CC1467"/>
    <w:rsid w:val="00D10F22"/>
    <w:rsid w:val="00D1393B"/>
    <w:rsid w:val="00D9581A"/>
    <w:rsid w:val="00DC0E0F"/>
    <w:rsid w:val="00DD7690"/>
    <w:rsid w:val="00E175D6"/>
    <w:rsid w:val="00E33996"/>
    <w:rsid w:val="00E46135"/>
    <w:rsid w:val="00E77337"/>
    <w:rsid w:val="00E86BDB"/>
    <w:rsid w:val="00EE1C63"/>
    <w:rsid w:val="00EE4F07"/>
    <w:rsid w:val="00EF2E54"/>
    <w:rsid w:val="00EF5970"/>
    <w:rsid w:val="00F150F7"/>
    <w:rsid w:val="00F33B3D"/>
    <w:rsid w:val="00F85905"/>
    <w:rsid w:val="00FA21E3"/>
    <w:rsid w:val="00FF16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10D4E"/>
  <w15:chartTrackingRefBased/>
  <w15:docId w15:val="{AE33D7F8-D816-4E1E-AAA4-73FDE1FE65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1D1A6E"/>
    <w:pPr>
      <w:keepNext/>
      <w:keepLines/>
      <w:numPr>
        <w:numId w:val="29"/>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1A6E"/>
    <w:pPr>
      <w:keepNext/>
      <w:keepLines/>
      <w:numPr>
        <w:ilvl w:val="1"/>
        <w:numId w:val="29"/>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D1A6E"/>
    <w:pPr>
      <w:keepNext/>
      <w:keepLines/>
      <w:numPr>
        <w:ilvl w:val="2"/>
        <w:numId w:val="29"/>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D1A6E"/>
    <w:pPr>
      <w:keepNext/>
      <w:keepLines/>
      <w:numPr>
        <w:ilvl w:val="3"/>
        <w:numId w:val="29"/>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D1A6E"/>
    <w:pPr>
      <w:keepNext/>
      <w:keepLines/>
      <w:numPr>
        <w:ilvl w:val="4"/>
        <w:numId w:val="29"/>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D1A6E"/>
    <w:pPr>
      <w:keepNext/>
      <w:keepLines/>
      <w:numPr>
        <w:ilvl w:val="5"/>
        <w:numId w:val="29"/>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D1A6E"/>
    <w:pPr>
      <w:keepNext/>
      <w:keepLines/>
      <w:numPr>
        <w:ilvl w:val="6"/>
        <w:numId w:val="29"/>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D1A6E"/>
    <w:pPr>
      <w:keepNext/>
      <w:keepLines/>
      <w:numPr>
        <w:ilvl w:val="7"/>
        <w:numId w:val="2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D1A6E"/>
    <w:pPr>
      <w:keepNext/>
      <w:keepLines/>
      <w:numPr>
        <w:ilvl w:val="8"/>
        <w:numId w:val="29"/>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0F7"/>
    <w:pPr>
      <w:ind w:left="720"/>
      <w:contextualSpacing/>
    </w:pPr>
  </w:style>
  <w:style w:type="paragraph" w:styleId="NormalWeb">
    <w:name w:val="Normal (Web)"/>
    <w:basedOn w:val="Normal"/>
    <w:uiPriority w:val="99"/>
    <w:unhideWhenUsed/>
    <w:rsid w:val="000D79CE"/>
    <w:pPr>
      <w:spacing w:before="100" w:beforeAutospacing="1" w:after="100" w:afterAutospacing="1" w:line="240" w:lineRule="auto"/>
    </w:pPr>
    <w:rPr>
      <w:rFonts w:ascii="Times New Roman" w:eastAsia="Times New Roman" w:hAnsi="Times New Roman" w:cs="Times New Roman"/>
      <w:noProof w:val="0"/>
      <w:kern w:val="0"/>
      <w:sz w:val="24"/>
      <w:szCs w:val="24"/>
      <w:lang w:val="en-US"/>
      <w14:ligatures w14:val="none"/>
    </w:rPr>
  </w:style>
  <w:style w:type="character" w:styleId="Strong">
    <w:name w:val="Strong"/>
    <w:basedOn w:val="DefaultParagraphFont"/>
    <w:uiPriority w:val="22"/>
    <w:qFormat/>
    <w:rsid w:val="000D79CE"/>
    <w:rPr>
      <w:b/>
      <w:bCs/>
    </w:rPr>
  </w:style>
  <w:style w:type="character" w:styleId="Hyperlink">
    <w:name w:val="Hyperlink"/>
    <w:basedOn w:val="DefaultParagraphFont"/>
    <w:uiPriority w:val="99"/>
    <w:unhideWhenUsed/>
    <w:rsid w:val="00CB74F9"/>
    <w:rPr>
      <w:color w:val="0563C1" w:themeColor="hyperlink"/>
      <w:u w:val="single"/>
    </w:rPr>
  </w:style>
  <w:style w:type="character" w:styleId="UnresolvedMention">
    <w:name w:val="Unresolved Mention"/>
    <w:basedOn w:val="DefaultParagraphFont"/>
    <w:uiPriority w:val="99"/>
    <w:semiHidden/>
    <w:unhideWhenUsed/>
    <w:rsid w:val="00CB74F9"/>
    <w:rPr>
      <w:color w:val="605E5C"/>
      <w:shd w:val="clear" w:color="auto" w:fill="E1DFDD"/>
    </w:rPr>
  </w:style>
  <w:style w:type="character" w:styleId="PlaceholderText">
    <w:name w:val="Placeholder Text"/>
    <w:basedOn w:val="DefaultParagraphFont"/>
    <w:uiPriority w:val="99"/>
    <w:semiHidden/>
    <w:rsid w:val="00FA21E3"/>
    <w:rPr>
      <w:color w:val="666666"/>
    </w:rPr>
  </w:style>
  <w:style w:type="character" w:customStyle="1" w:styleId="mord">
    <w:name w:val="mord"/>
    <w:basedOn w:val="DefaultParagraphFont"/>
    <w:rsid w:val="0009016F"/>
  </w:style>
  <w:style w:type="character" w:customStyle="1" w:styleId="mspace">
    <w:name w:val="mspace"/>
    <w:basedOn w:val="DefaultParagraphFont"/>
    <w:rsid w:val="0009016F"/>
  </w:style>
  <w:style w:type="character" w:customStyle="1" w:styleId="mrel">
    <w:name w:val="mrel"/>
    <w:basedOn w:val="DefaultParagraphFont"/>
    <w:rsid w:val="0009016F"/>
  </w:style>
  <w:style w:type="character" w:customStyle="1" w:styleId="mop">
    <w:name w:val="mop"/>
    <w:basedOn w:val="DefaultParagraphFont"/>
    <w:rsid w:val="0009016F"/>
  </w:style>
  <w:style w:type="character" w:customStyle="1" w:styleId="vlist-s">
    <w:name w:val="vlist-s"/>
    <w:basedOn w:val="DefaultParagraphFont"/>
    <w:rsid w:val="0009016F"/>
  </w:style>
  <w:style w:type="character" w:customStyle="1" w:styleId="mopen">
    <w:name w:val="mopen"/>
    <w:basedOn w:val="DefaultParagraphFont"/>
    <w:rsid w:val="0009016F"/>
  </w:style>
  <w:style w:type="character" w:customStyle="1" w:styleId="mbin">
    <w:name w:val="mbin"/>
    <w:basedOn w:val="DefaultParagraphFont"/>
    <w:rsid w:val="0009016F"/>
  </w:style>
  <w:style w:type="character" w:customStyle="1" w:styleId="mclose">
    <w:name w:val="mclose"/>
    <w:basedOn w:val="DefaultParagraphFont"/>
    <w:rsid w:val="0009016F"/>
  </w:style>
  <w:style w:type="paragraph" w:styleId="Header">
    <w:name w:val="header"/>
    <w:basedOn w:val="Normal"/>
    <w:link w:val="HeaderChar"/>
    <w:uiPriority w:val="99"/>
    <w:unhideWhenUsed/>
    <w:rsid w:val="000901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016F"/>
    <w:rPr>
      <w:noProof/>
      <w:lang w:val="en-GB"/>
    </w:rPr>
  </w:style>
  <w:style w:type="paragraph" w:styleId="Footer">
    <w:name w:val="footer"/>
    <w:basedOn w:val="Normal"/>
    <w:link w:val="FooterChar"/>
    <w:uiPriority w:val="99"/>
    <w:unhideWhenUsed/>
    <w:rsid w:val="000901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016F"/>
    <w:rPr>
      <w:noProof/>
      <w:lang w:val="en-GB"/>
    </w:rPr>
  </w:style>
  <w:style w:type="paragraph" w:styleId="TableofFigures">
    <w:name w:val="table of figures"/>
    <w:basedOn w:val="Normal"/>
    <w:next w:val="Normal"/>
    <w:uiPriority w:val="99"/>
    <w:unhideWhenUsed/>
    <w:rsid w:val="001D1A6E"/>
    <w:pPr>
      <w:spacing w:after="0"/>
      <w:ind w:left="440" w:hanging="440"/>
    </w:pPr>
    <w:rPr>
      <w:rFonts w:cstheme="minorHAnsi"/>
      <w:caps/>
      <w:sz w:val="20"/>
      <w:szCs w:val="20"/>
    </w:rPr>
  </w:style>
  <w:style w:type="character" w:customStyle="1" w:styleId="Heading1Char">
    <w:name w:val="Heading 1 Char"/>
    <w:basedOn w:val="DefaultParagraphFont"/>
    <w:link w:val="Heading1"/>
    <w:uiPriority w:val="9"/>
    <w:rsid w:val="001D1A6E"/>
    <w:rPr>
      <w:rFonts w:asciiTheme="majorHAnsi" w:eastAsiaTheme="majorEastAsia" w:hAnsiTheme="majorHAnsi" w:cstheme="majorBidi"/>
      <w:noProof/>
      <w:color w:val="2F5496" w:themeColor="accent1" w:themeShade="BF"/>
      <w:sz w:val="32"/>
      <w:szCs w:val="32"/>
      <w:lang w:val="en-GB"/>
    </w:rPr>
  </w:style>
  <w:style w:type="character" w:customStyle="1" w:styleId="Heading2Char">
    <w:name w:val="Heading 2 Char"/>
    <w:basedOn w:val="DefaultParagraphFont"/>
    <w:link w:val="Heading2"/>
    <w:uiPriority w:val="9"/>
    <w:rsid w:val="001D1A6E"/>
    <w:rPr>
      <w:rFonts w:asciiTheme="majorHAnsi" w:eastAsiaTheme="majorEastAsia" w:hAnsiTheme="majorHAnsi" w:cstheme="majorBidi"/>
      <w:noProof/>
      <w:color w:val="2F5496" w:themeColor="accent1" w:themeShade="BF"/>
      <w:sz w:val="26"/>
      <w:szCs w:val="26"/>
      <w:lang w:val="en-GB"/>
    </w:rPr>
  </w:style>
  <w:style w:type="character" w:customStyle="1" w:styleId="Heading3Char">
    <w:name w:val="Heading 3 Char"/>
    <w:basedOn w:val="DefaultParagraphFont"/>
    <w:link w:val="Heading3"/>
    <w:uiPriority w:val="9"/>
    <w:semiHidden/>
    <w:rsid w:val="001D1A6E"/>
    <w:rPr>
      <w:rFonts w:asciiTheme="majorHAnsi" w:eastAsiaTheme="majorEastAsia" w:hAnsiTheme="majorHAnsi" w:cstheme="majorBidi"/>
      <w:noProof/>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1D1A6E"/>
    <w:rPr>
      <w:rFonts w:asciiTheme="majorHAnsi" w:eastAsiaTheme="majorEastAsia" w:hAnsiTheme="majorHAnsi" w:cstheme="majorBidi"/>
      <w:i/>
      <w:iCs/>
      <w:noProof/>
      <w:color w:val="2F5496" w:themeColor="accent1" w:themeShade="BF"/>
      <w:lang w:val="en-GB"/>
    </w:rPr>
  </w:style>
  <w:style w:type="character" w:customStyle="1" w:styleId="Heading5Char">
    <w:name w:val="Heading 5 Char"/>
    <w:basedOn w:val="DefaultParagraphFont"/>
    <w:link w:val="Heading5"/>
    <w:uiPriority w:val="9"/>
    <w:semiHidden/>
    <w:rsid w:val="001D1A6E"/>
    <w:rPr>
      <w:rFonts w:asciiTheme="majorHAnsi" w:eastAsiaTheme="majorEastAsia" w:hAnsiTheme="majorHAnsi" w:cstheme="majorBidi"/>
      <w:noProof/>
      <w:color w:val="2F5496" w:themeColor="accent1" w:themeShade="BF"/>
      <w:lang w:val="en-GB"/>
    </w:rPr>
  </w:style>
  <w:style w:type="character" w:customStyle="1" w:styleId="Heading6Char">
    <w:name w:val="Heading 6 Char"/>
    <w:basedOn w:val="DefaultParagraphFont"/>
    <w:link w:val="Heading6"/>
    <w:uiPriority w:val="9"/>
    <w:semiHidden/>
    <w:rsid w:val="001D1A6E"/>
    <w:rPr>
      <w:rFonts w:asciiTheme="majorHAnsi" w:eastAsiaTheme="majorEastAsia" w:hAnsiTheme="majorHAnsi" w:cstheme="majorBidi"/>
      <w:noProof/>
      <w:color w:val="1F3763" w:themeColor="accent1" w:themeShade="7F"/>
      <w:lang w:val="en-GB"/>
    </w:rPr>
  </w:style>
  <w:style w:type="character" w:customStyle="1" w:styleId="Heading7Char">
    <w:name w:val="Heading 7 Char"/>
    <w:basedOn w:val="DefaultParagraphFont"/>
    <w:link w:val="Heading7"/>
    <w:uiPriority w:val="9"/>
    <w:semiHidden/>
    <w:rsid w:val="001D1A6E"/>
    <w:rPr>
      <w:rFonts w:asciiTheme="majorHAnsi" w:eastAsiaTheme="majorEastAsia" w:hAnsiTheme="majorHAnsi" w:cstheme="majorBidi"/>
      <w:i/>
      <w:iCs/>
      <w:noProof/>
      <w:color w:val="1F3763" w:themeColor="accent1" w:themeShade="7F"/>
      <w:lang w:val="en-GB"/>
    </w:rPr>
  </w:style>
  <w:style w:type="character" w:customStyle="1" w:styleId="Heading8Char">
    <w:name w:val="Heading 8 Char"/>
    <w:basedOn w:val="DefaultParagraphFont"/>
    <w:link w:val="Heading8"/>
    <w:uiPriority w:val="9"/>
    <w:semiHidden/>
    <w:rsid w:val="001D1A6E"/>
    <w:rPr>
      <w:rFonts w:asciiTheme="majorHAnsi" w:eastAsiaTheme="majorEastAsia" w:hAnsiTheme="majorHAnsi" w:cstheme="majorBidi"/>
      <w:noProof/>
      <w:color w:val="272727" w:themeColor="text1" w:themeTint="D8"/>
      <w:sz w:val="21"/>
      <w:szCs w:val="21"/>
      <w:lang w:val="en-GB"/>
    </w:rPr>
  </w:style>
  <w:style w:type="character" w:customStyle="1" w:styleId="Heading9Char">
    <w:name w:val="Heading 9 Char"/>
    <w:basedOn w:val="DefaultParagraphFont"/>
    <w:link w:val="Heading9"/>
    <w:uiPriority w:val="9"/>
    <w:semiHidden/>
    <w:rsid w:val="001D1A6E"/>
    <w:rPr>
      <w:rFonts w:asciiTheme="majorHAnsi" w:eastAsiaTheme="majorEastAsia" w:hAnsiTheme="majorHAnsi" w:cstheme="majorBidi"/>
      <w:i/>
      <w:iCs/>
      <w:noProof/>
      <w:color w:val="272727" w:themeColor="text1" w:themeTint="D8"/>
      <w:sz w:val="21"/>
      <w:szCs w:val="21"/>
      <w:lang w:val="en-GB"/>
    </w:rPr>
  </w:style>
  <w:style w:type="paragraph" w:styleId="TOCHeading">
    <w:name w:val="TOC Heading"/>
    <w:basedOn w:val="Heading1"/>
    <w:next w:val="Normal"/>
    <w:uiPriority w:val="39"/>
    <w:unhideWhenUsed/>
    <w:qFormat/>
    <w:rsid w:val="00DD7690"/>
    <w:pPr>
      <w:numPr>
        <w:numId w:val="0"/>
      </w:numPr>
      <w:outlineLvl w:val="9"/>
    </w:pPr>
    <w:rPr>
      <w:noProof w:val="0"/>
      <w:kern w:val="0"/>
      <w:lang w:val="en-US"/>
      <w14:ligatures w14:val="none"/>
    </w:rPr>
  </w:style>
  <w:style w:type="paragraph" w:styleId="TOC2">
    <w:name w:val="toc 2"/>
    <w:basedOn w:val="Normal"/>
    <w:next w:val="Normal"/>
    <w:autoRedefine/>
    <w:uiPriority w:val="39"/>
    <w:unhideWhenUsed/>
    <w:rsid w:val="00853009"/>
    <w:pPr>
      <w:spacing w:after="100"/>
      <w:ind w:left="216"/>
    </w:pPr>
    <w:rPr>
      <w:rFonts w:eastAsiaTheme="minorEastAsia" w:cs="Times New Roman"/>
      <w:noProof w:val="0"/>
      <w:kern w:val="0"/>
      <w:lang w:val="en-US"/>
      <w14:ligatures w14:val="none"/>
    </w:rPr>
  </w:style>
  <w:style w:type="paragraph" w:styleId="TOC1">
    <w:name w:val="toc 1"/>
    <w:basedOn w:val="Normal"/>
    <w:next w:val="Normal"/>
    <w:autoRedefine/>
    <w:uiPriority w:val="39"/>
    <w:unhideWhenUsed/>
    <w:rsid w:val="00DD7690"/>
    <w:pPr>
      <w:spacing w:after="100"/>
    </w:pPr>
    <w:rPr>
      <w:rFonts w:eastAsiaTheme="minorEastAsia" w:cs="Times New Roman"/>
      <w:noProof w:val="0"/>
      <w:kern w:val="0"/>
      <w:lang w:val="en-US"/>
      <w14:ligatures w14:val="none"/>
    </w:rPr>
  </w:style>
  <w:style w:type="paragraph" w:styleId="TOC3">
    <w:name w:val="toc 3"/>
    <w:basedOn w:val="Normal"/>
    <w:next w:val="Normal"/>
    <w:autoRedefine/>
    <w:uiPriority w:val="39"/>
    <w:unhideWhenUsed/>
    <w:rsid w:val="00DD7690"/>
    <w:pPr>
      <w:spacing w:after="100"/>
      <w:ind w:left="440"/>
    </w:pPr>
    <w:rPr>
      <w:rFonts w:eastAsiaTheme="minorEastAsia" w:cs="Times New Roman"/>
      <w:noProof w:val="0"/>
      <w:kern w:val="0"/>
      <w:lang w:val="en-US"/>
      <w14:ligatures w14:val="none"/>
    </w:rPr>
  </w:style>
  <w:style w:type="character" w:styleId="SubtleEmphasis">
    <w:name w:val="Subtle Emphasis"/>
    <w:basedOn w:val="DefaultParagraphFont"/>
    <w:uiPriority w:val="19"/>
    <w:qFormat/>
    <w:rsid w:val="0085300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35473">
      <w:bodyDiv w:val="1"/>
      <w:marLeft w:val="0"/>
      <w:marRight w:val="0"/>
      <w:marTop w:val="0"/>
      <w:marBottom w:val="0"/>
      <w:divBdr>
        <w:top w:val="none" w:sz="0" w:space="0" w:color="auto"/>
        <w:left w:val="none" w:sz="0" w:space="0" w:color="auto"/>
        <w:bottom w:val="none" w:sz="0" w:space="0" w:color="auto"/>
        <w:right w:val="none" w:sz="0" w:space="0" w:color="auto"/>
      </w:divBdr>
    </w:div>
    <w:div w:id="60444947">
      <w:bodyDiv w:val="1"/>
      <w:marLeft w:val="0"/>
      <w:marRight w:val="0"/>
      <w:marTop w:val="0"/>
      <w:marBottom w:val="0"/>
      <w:divBdr>
        <w:top w:val="none" w:sz="0" w:space="0" w:color="auto"/>
        <w:left w:val="none" w:sz="0" w:space="0" w:color="auto"/>
        <w:bottom w:val="none" w:sz="0" w:space="0" w:color="auto"/>
        <w:right w:val="none" w:sz="0" w:space="0" w:color="auto"/>
      </w:divBdr>
    </w:div>
    <w:div w:id="116995367">
      <w:bodyDiv w:val="1"/>
      <w:marLeft w:val="0"/>
      <w:marRight w:val="0"/>
      <w:marTop w:val="0"/>
      <w:marBottom w:val="0"/>
      <w:divBdr>
        <w:top w:val="none" w:sz="0" w:space="0" w:color="auto"/>
        <w:left w:val="none" w:sz="0" w:space="0" w:color="auto"/>
        <w:bottom w:val="none" w:sz="0" w:space="0" w:color="auto"/>
        <w:right w:val="none" w:sz="0" w:space="0" w:color="auto"/>
      </w:divBdr>
    </w:div>
    <w:div w:id="158205087">
      <w:bodyDiv w:val="1"/>
      <w:marLeft w:val="0"/>
      <w:marRight w:val="0"/>
      <w:marTop w:val="0"/>
      <w:marBottom w:val="0"/>
      <w:divBdr>
        <w:top w:val="none" w:sz="0" w:space="0" w:color="auto"/>
        <w:left w:val="none" w:sz="0" w:space="0" w:color="auto"/>
        <w:bottom w:val="none" w:sz="0" w:space="0" w:color="auto"/>
        <w:right w:val="none" w:sz="0" w:space="0" w:color="auto"/>
      </w:divBdr>
    </w:div>
    <w:div w:id="166412204">
      <w:bodyDiv w:val="1"/>
      <w:marLeft w:val="0"/>
      <w:marRight w:val="0"/>
      <w:marTop w:val="0"/>
      <w:marBottom w:val="0"/>
      <w:divBdr>
        <w:top w:val="none" w:sz="0" w:space="0" w:color="auto"/>
        <w:left w:val="none" w:sz="0" w:space="0" w:color="auto"/>
        <w:bottom w:val="none" w:sz="0" w:space="0" w:color="auto"/>
        <w:right w:val="none" w:sz="0" w:space="0" w:color="auto"/>
      </w:divBdr>
    </w:div>
    <w:div w:id="170219044">
      <w:bodyDiv w:val="1"/>
      <w:marLeft w:val="0"/>
      <w:marRight w:val="0"/>
      <w:marTop w:val="0"/>
      <w:marBottom w:val="0"/>
      <w:divBdr>
        <w:top w:val="none" w:sz="0" w:space="0" w:color="auto"/>
        <w:left w:val="none" w:sz="0" w:space="0" w:color="auto"/>
        <w:bottom w:val="none" w:sz="0" w:space="0" w:color="auto"/>
        <w:right w:val="none" w:sz="0" w:space="0" w:color="auto"/>
      </w:divBdr>
    </w:div>
    <w:div w:id="203911878">
      <w:bodyDiv w:val="1"/>
      <w:marLeft w:val="0"/>
      <w:marRight w:val="0"/>
      <w:marTop w:val="0"/>
      <w:marBottom w:val="0"/>
      <w:divBdr>
        <w:top w:val="none" w:sz="0" w:space="0" w:color="auto"/>
        <w:left w:val="none" w:sz="0" w:space="0" w:color="auto"/>
        <w:bottom w:val="none" w:sz="0" w:space="0" w:color="auto"/>
        <w:right w:val="none" w:sz="0" w:space="0" w:color="auto"/>
      </w:divBdr>
    </w:div>
    <w:div w:id="220334399">
      <w:bodyDiv w:val="1"/>
      <w:marLeft w:val="0"/>
      <w:marRight w:val="0"/>
      <w:marTop w:val="0"/>
      <w:marBottom w:val="0"/>
      <w:divBdr>
        <w:top w:val="none" w:sz="0" w:space="0" w:color="auto"/>
        <w:left w:val="none" w:sz="0" w:space="0" w:color="auto"/>
        <w:bottom w:val="none" w:sz="0" w:space="0" w:color="auto"/>
        <w:right w:val="none" w:sz="0" w:space="0" w:color="auto"/>
      </w:divBdr>
    </w:div>
    <w:div w:id="348606360">
      <w:bodyDiv w:val="1"/>
      <w:marLeft w:val="0"/>
      <w:marRight w:val="0"/>
      <w:marTop w:val="0"/>
      <w:marBottom w:val="0"/>
      <w:divBdr>
        <w:top w:val="none" w:sz="0" w:space="0" w:color="auto"/>
        <w:left w:val="none" w:sz="0" w:space="0" w:color="auto"/>
        <w:bottom w:val="none" w:sz="0" w:space="0" w:color="auto"/>
        <w:right w:val="none" w:sz="0" w:space="0" w:color="auto"/>
      </w:divBdr>
    </w:div>
    <w:div w:id="391465131">
      <w:bodyDiv w:val="1"/>
      <w:marLeft w:val="0"/>
      <w:marRight w:val="0"/>
      <w:marTop w:val="0"/>
      <w:marBottom w:val="0"/>
      <w:divBdr>
        <w:top w:val="none" w:sz="0" w:space="0" w:color="auto"/>
        <w:left w:val="none" w:sz="0" w:space="0" w:color="auto"/>
        <w:bottom w:val="none" w:sz="0" w:space="0" w:color="auto"/>
        <w:right w:val="none" w:sz="0" w:space="0" w:color="auto"/>
      </w:divBdr>
      <w:divsChild>
        <w:div w:id="426660724">
          <w:marLeft w:val="0"/>
          <w:marRight w:val="0"/>
          <w:marTop w:val="0"/>
          <w:marBottom w:val="0"/>
          <w:divBdr>
            <w:top w:val="none" w:sz="0" w:space="0" w:color="auto"/>
            <w:left w:val="none" w:sz="0" w:space="0" w:color="auto"/>
            <w:bottom w:val="none" w:sz="0" w:space="0" w:color="auto"/>
            <w:right w:val="none" w:sz="0" w:space="0" w:color="auto"/>
          </w:divBdr>
          <w:divsChild>
            <w:div w:id="18704819">
              <w:marLeft w:val="0"/>
              <w:marRight w:val="0"/>
              <w:marTop w:val="0"/>
              <w:marBottom w:val="0"/>
              <w:divBdr>
                <w:top w:val="none" w:sz="0" w:space="0" w:color="auto"/>
                <w:left w:val="none" w:sz="0" w:space="0" w:color="auto"/>
                <w:bottom w:val="none" w:sz="0" w:space="0" w:color="auto"/>
                <w:right w:val="none" w:sz="0" w:space="0" w:color="auto"/>
              </w:divBdr>
              <w:divsChild>
                <w:div w:id="378168737">
                  <w:marLeft w:val="0"/>
                  <w:marRight w:val="0"/>
                  <w:marTop w:val="0"/>
                  <w:marBottom w:val="0"/>
                  <w:divBdr>
                    <w:top w:val="none" w:sz="0" w:space="0" w:color="auto"/>
                    <w:left w:val="none" w:sz="0" w:space="0" w:color="auto"/>
                    <w:bottom w:val="none" w:sz="0" w:space="0" w:color="auto"/>
                    <w:right w:val="none" w:sz="0" w:space="0" w:color="auto"/>
                  </w:divBdr>
                  <w:divsChild>
                    <w:div w:id="1106118488">
                      <w:marLeft w:val="0"/>
                      <w:marRight w:val="0"/>
                      <w:marTop w:val="0"/>
                      <w:marBottom w:val="0"/>
                      <w:divBdr>
                        <w:top w:val="none" w:sz="0" w:space="0" w:color="auto"/>
                        <w:left w:val="none" w:sz="0" w:space="0" w:color="auto"/>
                        <w:bottom w:val="none" w:sz="0" w:space="0" w:color="auto"/>
                        <w:right w:val="none" w:sz="0" w:space="0" w:color="auto"/>
                      </w:divBdr>
                    </w:div>
                    <w:div w:id="118825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2966379">
      <w:bodyDiv w:val="1"/>
      <w:marLeft w:val="0"/>
      <w:marRight w:val="0"/>
      <w:marTop w:val="0"/>
      <w:marBottom w:val="0"/>
      <w:divBdr>
        <w:top w:val="none" w:sz="0" w:space="0" w:color="auto"/>
        <w:left w:val="none" w:sz="0" w:space="0" w:color="auto"/>
        <w:bottom w:val="none" w:sz="0" w:space="0" w:color="auto"/>
        <w:right w:val="none" w:sz="0" w:space="0" w:color="auto"/>
      </w:divBdr>
    </w:div>
    <w:div w:id="469789637">
      <w:bodyDiv w:val="1"/>
      <w:marLeft w:val="0"/>
      <w:marRight w:val="0"/>
      <w:marTop w:val="0"/>
      <w:marBottom w:val="0"/>
      <w:divBdr>
        <w:top w:val="none" w:sz="0" w:space="0" w:color="auto"/>
        <w:left w:val="none" w:sz="0" w:space="0" w:color="auto"/>
        <w:bottom w:val="none" w:sz="0" w:space="0" w:color="auto"/>
        <w:right w:val="none" w:sz="0" w:space="0" w:color="auto"/>
      </w:divBdr>
    </w:div>
    <w:div w:id="545138488">
      <w:bodyDiv w:val="1"/>
      <w:marLeft w:val="0"/>
      <w:marRight w:val="0"/>
      <w:marTop w:val="0"/>
      <w:marBottom w:val="0"/>
      <w:divBdr>
        <w:top w:val="none" w:sz="0" w:space="0" w:color="auto"/>
        <w:left w:val="none" w:sz="0" w:space="0" w:color="auto"/>
        <w:bottom w:val="none" w:sz="0" w:space="0" w:color="auto"/>
        <w:right w:val="none" w:sz="0" w:space="0" w:color="auto"/>
      </w:divBdr>
    </w:div>
    <w:div w:id="558633119">
      <w:bodyDiv w:val="1"/>
      <w:marLeft w:val="0"/>
      <w:marRight w:val="0"/>
      <w:marTop w:val="0"/>
      <w:marBottom w:val="0"/>
      <w:divBdr>
        <w:top w:val="none" w:sz="0" w:space="0" w:color="auto"/>
        <w:left w:val="none" w:sz="0" w:space="0" w:color="auto"/>
        <w:bottom w:val="none" w:sz="0" w:space="0" w:color="auto"/>
        <w:right w:val="none" w:sz="0" w:space="0" w:color="auto"/>
      </w:divBdr>
    </w:div>
    <w:div w:id="673069642">
      <w:bodyDiv w:val="1"/>
      <w:marLeft w:val="0"/>
      <w:marRight w:val="0"/>
      <w:marTop w:val="0"/>
      <w:marBottom w:val="0"/>
      <w:divBdr>
        <w:top w:val="none" w:sz="0" w:space="0" w:color="auto"/>
        <w:left w:val="none" w:sz="0" w:space="0" w:color="auto"/>
        <w:bottom w:val="none" w:sz="0" w:space="0" w:color="auto"/>
        <w:right w:val="none" w:sz="0" w:space="0" w:color="auto"/>
      </w:divBdr>
    </w:div>
    <w:div w:id="689263053">
      <w:bodyDiv w:val="1"/>
      <w:marLeft w:val="0"/>
      <w:marRight w:val="0"/>
      <w:marTop w:val="0"/>
      <w:marBottom w:val="0"/>
      <w:divBdr>
        <w:top w:val="none" w:sz="0" w:space="0" w:color="auto"/>
        <w:left w:val="none" w:sz="0" w:space="0" w:color="auto"/>
        <w:bottom w:val="none" w:sz="0" w:space="0" w:color="auto"/>
        <w:right w:val="none" w:sz="0" w:space="0" w:color="auto"/>
      </w:divBdr>
    </w:div>
    <w:div w:id="853810190">
      <w:bodyDiv w:val="1"/>
      <w:marLeft w:val="0"/>
      <w:marRight w:val="0"/>
      <w:marTop w:val="0"/>
      <w:marBottom w:val="0"/>
      <w:divBdr>
        <w:top w:val="none" w:sz="0" w:space="0" w:color="auto"/>
        <w:left w:val="none" w:sz="0" w:space="0" w:color="auto"/>
        <w:bottom w:val="none" w:sz="0" w:space="0" w:color="auto"/>
        <w:right w:val="none" w:sz="0" w:space="0" w:color="auto"/>
      </w:divBdr>
    </w:div>
    <w:div w:id="905922206">
      <w:bodyDiv w:val="1"/>
      <w:marLeft w:val="0"/>
      <w:marRight w:val="0"/>
      <w:marTop w:val="0"/>
      <w:marBottom w:val="0"/>
      <w:divBdr>
        <w:top w:val="none" w:sz="0" w:space="0" w:color="auto"/>
        <w:left w:val="none" w:sz="0" w:space="0" w:color="auto"/>
        <w:bottom w:val="none" w:sz="0" w:space="0" w:color="auto"/>
        <w:right w:val="none" w:sz="0" w:space="0" w:color="auto"/>
      </w:divBdr>
    </w:div>
    <w:div w:id="1017315878">
      <w:bodyDiv w:val="1"/>
      <w:marLeft w:val="0"/>
      <w:marRight w:val="0"/>
      <w:marTop w:val="0"/>
      <w:marBottom w:val="0"/>
      <w:divBdr>
        <w:top w:val="none" w:sz="0" w:space="0" w:color="auto"/>
        <w:left w:val="none" w:sz="0" w:space="0" w:color="auto"/>
        <w:bottom w:val="none" w:sz="0" w:space="0" w:color="auto"/>
        <w:right w:val="none" w:sz="0" w:space="0" w:color="auto"/>
      </w:divBdr>
    </w:div>
    <w:div w:id="1119497826">
      <w:bodyDiv w:val="1"/>
      <w:marLeft w:val="0"/>
      <w:marRight w:val="0"/>
      <w:marTop w:val="0"/>
      <w:marBottom w:val="0"/>
      <w:divBdr>
        <w:top w:val="none" w:sz="0" w:space="0" w:color="auto"/>
        <w:left w:val="none" w:sz="0" w:space="0" w:color="auto"/>
        <w:bottom w:val="none" w:sz="0" w:space="0" w:color="auto"/>
        <w:right w:val="none" w:sz="0" w:space="0" w:color="auto"/>
      </w:divBdr>
    </w:div>
    <w:div w:id="1133838501">
      <w:bodyDiv w:val="1"/>
      <w:marLeft w:val="0"/>
      <w:marRight w:val="0"/>
      <w:marTop w:val="0"/>
      <w:marBottom w:val="0"/>
      <w:divBdr>
        <w:top w:val="none" w:sz="0" w:space="0" w:color="auto"/>
        <w:left w:val="none" w:sz="0" w:space="0" w:color="auto"/>
        <w:bottom w:val="none" w:sz="0" w:space="0" w:color="auto"/>
        <w:right w:val="none" w:sz="0" w:space="0" w:color="auto"/>
      </w:divBdr>
    </w:div>
    <w:div w:id="1155223116">
      <w:bodyDiv w:val="1"/>
      <w:marLeft w:val="0"/>
      <w:marRight w:val="0"/>
      <w:marTop w:val="0"/>
      <w:marBottom w:val="0"/>
      <w:divBdr>
        <w:top w:val="none" w:sz="0" w:space="0" w:color="auto"/>
        <w:left w:val="none" w:sz="0" w:space="0" w:color="auto"/>
        <w:bottom w:val="none" w:sz="0" w:space="0" w:color="auto"/>
        <w:right w:val="none" w:sz="0" w:space="0" w:color="auto"/>
      </w:divBdr>
    </w:div>
    <w:div w:id="1348678305">
      <w:bodyDiv w:val="1"/>
      <w:marLeft w:val="0"/>
      <w:marRight w:val="0"/>
      <w:marTop w:val="0"/>
      <w:marBottom w:val="0"/>
      <w:divBdr>
        <w:top w:val="none" w:sz="0" w:space="0" w:color="auto"/>
        <w:left w:val="none" w:sz="0" w:space="0" w:color="auto"/>
        <w:bottom w:val="none" w:sz="0" w:space="0" w:color="auto"/>
        <w:right w:val="none" w:sz="0" w:space="0" w:color="auto"/>
      </w:divBdr>
      <w:divsChild>
        <w:div w:id="609046121">
          <w:marLeft w:val="0"/>
          <w:marRight w:val="0"/>
          <w:marTop w:val="0"/>
          <w:marBottom w:val="0"/>
          <w:divBdr>
            <w:top w:val="single" w:sz="2" w:space="0" w:color="E3E3E3"/>
            <w:left w:val="single" w:sz="2" w:space="0" w:color="E3E3E3"/>
            <w:bottom w:val="single" w:sz="2" w:space="0" w:color="E3E3E3"/>
            <w:right w:val="single" w:sz="2" w:space="0" w:color="E3E3E3"/>
          </w:divBdr>
          <w:divsChild>
            <w:div w:id="2027172982">
              <w:marLeft w:val="0"/>
              <w:marRight w:val="0"/>
              <w:marTop w:val="0"/>
              <w:marBottom w:val="0"/>
              <w:divBdr>
                <w:top w:val="single" w:sz="2" w:space="0" w:color="E3E3E3"/>
                <w:left w:val="single" w:sz="2" w:space="0" w:color="E3E3E3"/>
                <w:bottom w:val="single" w:sz="2" w:space="0" w:color="E3E3E3"/>
                <w:right w:val="single" w:sz="2" w:space="0" w:color="E3E3E3"/>
              </w:divBdr>
              <w:divsChild>
                <w:div w:id="1970822280">
                  <w:marLeft w:val="0"/>
                  <w:marRight w:val="0"/>
                  <w:marTop w:val="0"/>
                  <w:marBottom w:val="0"/>
                  <w:divBdr>
                    <w:top w:val="single" w:sz="2" w:space="0" w:color="E3E3E3"/>
                    <w:left w:val="single" w:sz="2" w:space="0" w:color="E3E3E3"/>
                    <w:bottom w:val="single" w:sz="2" w:space="0" w:color="E3E3E3"/>
                    <w:right w:val="single" w:sz="2" w:space="0" w:color="E3E3E3"/>
                  </w:divBdr>
                  <w:divsChild>
                    <w:div w:id="1159467619">
                      <w:marLeft w:val="0"/>
                      <w:marRight w:val="0"/>
                      <w:marTop w:val="0"/>
                      <w:marBottom w:val="0"/>
                      <w:divBdr>
                        <w:top w:val="single" w:sz="2" w:space="0" w:color="E3E3E3"/>
                        <w:left w:val="single" w:sz="2" w:space="0" w:color="E3E3E3"/>
                        <w:bottom w:val="single" w:sz="2" w:space="0" w:color="E3E3E3"/>
                        <w:right w:val="single" w:sz="2" w:space="0" w:color="E3E3E3"/>
                      </w:divBdr>
                      <w:divsChild>
                        <w:div w:id="371266696">
                          <w:marLeft w:val="0"/>
                          <w:marRight w:val="0"/>
                          <w:marTop w:val="0"/>
                          <w:marBottom w:val="0"/>
                          <w:divBdr>
                            <w:top w:val="single" w:sz="2" w:space="0" w:color="E3E3E3"/>
                            <w:left w:val="single" w:sz="2" w:space="0" w:color="E3E3E3"/>
                            <w:bottom w:val="single" w:sz="2" w:space="0" w:color="E3E3E3"/>
                            <w:right w:val="single" w:sz="2" w:space="0" w:color="E3E3E3"/>
                          </w:divBdr>
                          <w:divsChild>
                            <w:div w:id="841814865">
                              <w:marLeft w:val="0"/>
                              <w:marRight w:val="0"/>
                              <w:marTop w:val="0"/>
                              <w:marBottom w:val="0"/>
                              <w:divBdr>
                                <w:top w:val="single" w:sz="2" w:space="0" w:color="E3E3E3"/>
                                <w:left w:val="single" w:sz="2" w:space="0" w:color="E3E3E3"/>
                                <w:bottom w:val="single" w:sz="2" w:space="0" w:color="E3E3E3"/>
                                <w:right w:val="single" w:sz="2" w:space="0" w:color="E3E3E3"/>
                              </w:divBdr>
                              <w:divsChild>
                                <w:div w:id="687755915">
                                  <w:marLeft w:val="0"/>
                                  <w:marRight w:val="0"/>
                                  <w:marTop w:val="100"/>
                                  <w:marBottom w:val="100"/>
                                  <w:divBdr>
                                    <w:top w:val="single" w:sz="2" w:space="0" w:color="E3E3E3"/>
                                    <w:left w:val="single" w:sz="2" w:space="0" w:color="E3E3E3"/>
                                    <w:bottom w:val="single" w:sz="2" w:space="0" w:color="E3E3E3"/>
                                    <w:right w:val="single" w:sz="2" w:space="0" w:color="E3E3E3"/>
                                  </w:divBdr>
                                  <w:divsChild>
                                    <w:div w:id="1929384649">
                                      <w:marLeft w:val="0"/>
                                      <w:marRight w:val="0"/>
                                      <w:marTop w:val="0"/>
                                      <w:marBottom w:val="0"/>
                                      <w:divBdr>
                                        <w:top w:val="single" w:sz="2" w:space="0" w:color="E3E3E3"/>
                                        <w:left w:val="single" w:sz="2" w:space="0" w:color="E3E3E3"/>
                                        <w:bottom w:val="single" w:sz="2" w:space="0" w:color="E3E3E3"/>
                                        <w:right w:val="single" w:sz="2" w:space="0" w:color="E3E3E3"/>
                                      </w:divBdr>
                                      <w:divsChild>
                                        <w:div w:id="1816558180">
                                          <w:marLeft w:val="0"/>
                                          <w:marRight w:val="0"/>
                                          <w:marTop w:val="0"/>
                                          <w:marBottom w:val="0"/>
                                          <w:divBdr>
                                            <w:top w:val="single" w:sz="2" w:space="0" w:color="E3E3E3"/>
                                            <w:left w:val="single" w:sz="2" w:space="0" w:color="E3E3E3"/>
                                            <w:bottom w:val="single" w:sz="2" w:space="0" w:color="E3E3E3"/>
                                            <w:right w:val="single" w:sz="2" w:space="0" w:color="E3E3E3"/>
                                          </w:divBdr>
                                          <w:divsChild>
                                            <w:div w:id="355085651">
                                              <w:marLeft w:val="0"/>
                                              <w:marRight w:val="0"/>
                                              <w:marTop w:val="0"/>
                                              <w:marBottom w:val="0"/>
                                              <w:divBdr>
                                                <w:top w:val="single" w:sz="2" w:space="0" w:color="E3E3E3"/>
                                                <w:left w:val="single" w:sz="2" w:space="0" w:color="E3E3E3"/>
                                                <w:bottom w:val="single" w:sz="2" w:space="0" w:color="E3E3E3"/>
                                                <w:right w:val="single" w:sz="2" w:space="0" w:color="E3E3E3"/>
                                              </w:divBdr>
                                              <w:divsChild>
                                                <w:div w:id="1416249382">
                                                  <w:marLeft w:val="0"/>
                                                  <w:marRight w:val="0"/>
                                                  <w:marTop w:val="0"/>
                                                  <w:marBottom w:val="0"/>
                                                  <w:divBdr>
                                                    <w:top w:val="single" w:sz="2" w:space="0" w:color="E3E3E3"/>
                                                    <w:left w:val="single" w:sz="2" w:space="0" w:color="E3E3E3"/>
                                                    <w:bottom w:val="single" w:sz="2" w:space="0" w:color="E3E3E3"/>
                                                    <w:right w:val="single" w:sz="2" w:space="0" w:color="E3E3E3"/>
                                                  </w:divBdr>
                                                  <w:divsChild>
                                                    <w:div w:id="1363825782">
                                                      <w:marLeft w:val="0"/>
                                                      <w:marRight w:val="0"/>
                                                      <w:marTop w:val="0"/>
                                                      <w:marBottom w:val="0"/>
                                                      <w:divBdr>
                                                        <w:top w:val="single" w:sz="2" w:space="0" w:color="E3E3E3"/>
                                                        <w:left w:val="single" w:sz="2" w:space="0" w:color="E3E3E3"/>
                                                        <w:bottom w:val="single" w:sz="2" w:space="0" w:color="E3E3E3"/>
                                                        <w:right w:val="single" w:sz="2" w:space="0" w:color="E3E3E3"/>
                                                      </w:divBdr>
                                                      <w:divsChild>
                                                        <w:div w:id="20891835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04263282">
          <w:marLeft w:val="0"/>
          <w:marRight w:val="0"/>
          <w:marTop w:val="0"/>
          <w:marBottom w:val="0"/>
          <w:divBdr>
            <w:top w:val="none" w:sz="0" w:space="0" w:color="auto"/>
            <w:left w:val="none" w:sz="0" w:space="0" w:color="auto"/>
            <w:bottom w:val="none" w:sz="0" w:space="0" w:color="auto"/>
            <w:right w:val="none" w:sz="0" w:space="0" w:color="auto"/>
          </w:divBdr>
        </w:div>
      </w:divsChild>
    </w:div>
    <w:div w:id="1363238428">
      <w:bodyDiv w:val="1"/>
      <w:marLeft w:val="0"/>
      <w:marRight w:val="0"/>
      <w:marTop w:val="0"/>
      <w:marBottom w:val="0"/>
      <w:divBdr>
        <w:top w:val="none" w:sz="0" w:space="0" w:color="auto"/>
        <w:left w:val="none" w:sz="0" w:space="0" w:color="auto"/>
        <w:bottom w:val="none" w:sz="0" w:space="0" w:color="auto"/>
        <w:right w:val="none" w:sz="0" w:space="0" w:color="auto"/>
      </w:divBdr>
    </w:div>
    <w:div w:id="1575242617">
      <w:bodyDiv w:val="1"/>
      <w:marLeft w:val="0"/>
      <w:marRight w:val="0"/>
      <w:marTop w:val="0"/>
      <w:marBottom w:val="0"/>
      <w:divBdr>
        <w:top w:val="none" w:sz="0" w:space="0" w:color="auto"/>
        <w:left w:val="none" w:sz="0" w:space="0" w:color="auto"/>
        <w:bottom w:val="none" w:sz="0" w:space="0" w:color="auto"/>
        <w:right w:val="none" w:sz="0" w:space="0" w:color="auto"/>
      </w:divBdr>
    </w:div>
    <w:div w:id="1681548421">
      <w:bodyDiv w:val="1"/>
      <w:marLeft w:val="0"/>
      <w:marRight w:val="0"/>
      <w:marTop w:val="0"/>
      <w:marBottom w:val="0"/>
      <w:divBdr>
        <w:top w:val="none" w:sz="0" w:space="0" w:color="auto"/>
        <w:left w:val="none" w:sz="0" w:space="0" w:color="auto"/>
        <w:bottom w:val="none" w:sz="0" w:space="0" w:color="auto"/>
        <w:right w:val="none" w:sz="0" w:space="0" w:color="auto"/>
      </w:divBdr>
      <w:divsChild>
        <w:div w:id="1630553301">
          <w:marLeft w:val="0"/>
          <w:marRight w:val="0"/>
          <w:marTop w:val="0"/>
          <w:marBottom w:val="0"/>
          <w:divBdr>
            <w:top w:val="none" w:sz="0" w:space="0" w:color="auto"/>
            <w:left w:val="none" w:sz="0" w:space="0" w:color="auto"/>
            <w:bottom w:val="none" w:sz="0" w:space="0" w:color="auto"/>
            <w:right w:val="none" w:sz="0" w:space="0" w:color="auto"/>
          </w:divBdr>
          <w:divsChild>
            <w:div w:id="289479784">
              <w:marLeft w:val="0"/>
              <w:marRight w:val="0"/>
              <w:marTop w:val="0"/>
              <w:marBottom w:val="0"/>
              <w:divBdr>
                <w:top w:val="none" w:sz="0" w:space="0" w:color="auto"/>
                <w:left w:val="none" w:sz="0" w:space="0" w:color="auto"/>
                <w:bottom w:val="none" w:sz="0" w:space="0" w:color="auto"/>
                <w:right w:val="none" w:sz="0" w:space="0" w:color="auto"/>
              </w:divBdr>
              <w:divsChild>
                <w:div w:id="1058014315">
                  <w:marLeft w:val="0"/>
                  <w:marRight w:val="0"/>
                  <w:marTop w:val="0"/>
                  <w:marBottom w:val="0"/>
                  <w:divBdr>
                    <w:top w:val="none" w:sz="0" w:space="0" w:color="auto"/>
                    <w:left w:val="none" w:sz="0" w:space="0" w:color="auto"/>
                    <w:bottom w:val="none" w:sz="0" w:space="0" w:color="auto"/>
                    <w:right w:val="none" w:sz="0" w:space="0" w:color="auto"/>
                  </w:divBdr>
                  <w:divsChild>
                    <w:div w:id="7030187">
                      <w:marLeft w:val="0"/>
                      <w:marRight w:val="0"/>
                      <w:marTop w:val="0"/>
                      <w:marBottom w:val="0"/>
                      <w:divBdr>
                        <w:top w:val="none" w:sz="0" w:space="0" w:color="auto"/>
                        <w:left w:val="none" w:sz="0" w:space="0" w:color="auto"/>
                        <w:bottom w:val="none" w:sz="0" w:space="0" w:color="auto"/>
                        <w:right w:val="none" w:sz="0" w:space="0" w:color="auto"/>
                      </w:divBdr>
                    </w:div>
                    <w:div w:id="133106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270557">
          <w:marLeft w:val="0"/>
          <w:marRight w:val="0"/>
          <w:marTop w:val="0"/>
          <w:marBottom w:val="0"/>
          <w:divBdr>
            <w:top w:val="none" w:sz="0" w:space="0" w:color="auto"/>
            <w:left w:val="none" w:sz="0" w:space="0" w:color="auto"/>
            <w:bottom w:val="none" w:sz="0" w:space="0" w:color="auto"/>
            <w:right w:val="none" w:sz="0" w:space="0" w:color="auto"/>
          </w:divBdr>
          <w:divsChild>
            <w:div w:id="2118941477">
              <w:marLeft w:val="0"/>
              <w:marRight w:val="0"/>
              <w:marTop w:val="0"/>
              <w:marBottom w:val="0"/>
              <w:divBdr>
                <w:top w:val="none" w:sz="0" w:space="0" w:color="auto"/>
                <w:left w:val="none" w:sz="0" w:space="0" w:color="auto"/>
                <w:bottom w:val="none" w:sz="0" w:space="0" w:color="auto"/>
                <w:right w:val="none" w:sz="0" w:space="0" w:color="auto"/>
              </w:divBdr>
              <w:divsChild>
                <w:div w:id="1545556414">
                  <w:marLeft w:val="0"/>
                  <w:marRight w:val="0"/>
                  <w:marTop w:val="0"/>
                  <w:marBottom w:val="0"/>
                  <w:divBdr>
                    <w:top w:val="none" w:sz="0" w:space="0" w:color="auto"/>
                    <w:left w:val="none" w:sz="0" w:space="0" w:color="auto"/>
                    <w:bottom w:val="none" w:sz="0" w:space="0" w:color="auto"/>
                    <w:right w:val="none" w:sz="0" w:space="0" w:color="auto"/>
                  </w:divBdr>
                  <w:divsChild>
                    <w:div w:id="1532567396">
                      <w:marLeft w:val="0"/>
                      <w:marRight w:val="0"/>
                      <w:marTop w:val="0"/>
                      <w:marBottom w:val="0"/>
                      <w:divBdr>
                        <w:top w:val="none" w:sz="0" w:space="0" w:color="auto"/>
                        <w:left w:val="none" w:sz="0" w:space="0" w:color="auto"/>
                        <w:bottom w:val="none" w:sz="0" w:space="0" w:color="auto"/>
                        <w:right w:val="none" w:sz="0" w:space="0" w:color="auto"/>
                      </w:divBdr>
                    </w:div>
                    <w:div w:id="112138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131631">
          <w:marLeft w:val="0"/>
          <w:marRight w:val="0"/>
          <w:marTop w:val="0"/>
          <w:marBottom w:val="0"/>
          <w:divBdr>
            <w:top w:val="none" w:sz="0" w:space="0" w:color="auto"/>
            <w:left w:val="none" w:sz="0" w:space="0" w:color="auto"/>
            <w:bottom w:val="none" w:sz="0" w:space="0" w:color="auto"/>
            <w:right w:val="none" w:sz="0" w:space="0" w:color="auto"/>
          </w:divBdr>
          <w:divsChild>
            <w:div w:id="1901987081">
              <w:marLeft w:val="0"/>
              <w:marRight w:val="0"/>
              <w:marTop w:val="0"/>
              <w:marBottom w:val="0"/>
              <w:divBdr>
                <w:top w:val="none" w:sz="0" w:space="0" w:color="auto"/>
                <w:left w:val="none" w:sz="0" w:space="0" w:color="auto"/>
                <w:bottom w:val="none" w:sz="0" w:space="0" w:color="auto"/>
                <w:right w:val="none" w:sz="0" w:space="0" w:color="auto"/>
              </w:divBdr>
              <w:divsChild>
                <w:div w:id="2084448996">
                  <w:marLeft w:val="0"/>
                  <w:marRight w:val="0"/>
                  <w:marTop w:val="0"/>
                  <w:marBottom w:val="0"/>
                  <w:divBdr>
                    <w:top w:val="none" w:sz="0" w:space="0" w:color="auto"/>
                    <w:left w:val="none" w:sz="0" w:space="0" w:color="auto"/>
                    <w:bottom w:val="none" w:sz="0" w:space="0" w:color="auto"/>
                    <w:right w:val="none" w:sz="0" w:space="0" w:color="auto"/>
                  </w:divBdr>
                  <w:divsChild>
                    <w:div w:id="721293127">
                      <w:marLeft w:val="0"/>
                      <w:marRight w:val="0"/>
                      <w:marTop w:val="0"/>
                      <w:marBottom w:val="0"/>
                      <w:divBdr>
                        <w:top w:val="none" w:sz="0" w:space="0" w:color="auto"/>
                        <w:left w:val="none" w:sz="0" w:space="0" w:color="auto"/>
                        <w:bottom w:val="none" w:sz="0" w:space="0" w:color="auto"/>
                        <w:right w:val="none" w:sz="0" w:space="0" w:color="auto"/>
                      </w:divBdr>
                    </w:div>
                    <w:div w:id="59625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14317">
          <w:marLeft w:val="0"/>
          <w:marRight w:val="0"/>
          <w:marTop w:val="0"/>
          <w:marBottom w:val="0"/>
          <w:divBdr>
            <w:top w:val="none" w:sz="0" w:space="0" w:color="auto"/>
            <w:left w:val="none" w:sz="0" w:space="0" w:color="auto"/>
            <w:bottom w:val="none" w:sz="0" w:space="0" w:color="auto"/>
            <w:right w:val="none" w:sz="0" w:space="0" w:color="auto"/>
          </w:divBdr>
          <w:divsChild>
            <w:div w:id="630357438">
              <w:marLeft w:val="0"/>
              <w:marRight w:val="0"/>
              <w:marTop w:val="0"/>
              <w:marBottom w:val="0"/>
              <w:divBdr>
                <w:top w:val="none" w:sz="0" w:space="0" w:color="auto"/>
                <w:left w:val="none" w:sz="0" w:space="0" w:color="auto"/>
                <w:bottom w:val="none" w:sz="0" w:space="0" w:color="auto"/>
                <w:right w:val="none" w:sz="0" w:space="0" w:color="auto"/>
              </w:divBdr>
              <w:divsChild>
                <w:div w:id="1416325011">
                  <w:marLeft w:val="0"/>
                  <w:marRight w:val="0"/>
                  <w:marTop w:val="0"/>
                  <w:marBottom w:val="0"/>
                  <w:divBdr>
                    <w:top w:val="none" w:sz="0" w:space="0" w:color="auto"/>
                    <w:left w:val="none" w:sz="0" w:space="0" w:color="auto"/>
                    <w:bottom w:val="none" w:sz="0" w:space="0" w:color="auto"/>
                    <w:right w:val="none" w:sz="0" w:space="0" w:color="auto"/>
                  </w:divBdr>
                  <w:divsChild>
                    <w:div w:id="935401869">
                      <w:marLeft w:val="0"/>
                      <w:marRight w:val="0"/>
                      <w:marTop w:val="0"/>
                      <w:marBottom w:val="0"/>
                      <w:divBdr>
                        <w:top w:val="none" w:sz="0" w:space="0" w:color="auto"/>
                        <w:left w:val="none" w:sz="0" w:space="0" w:color="auto"/>
                        <w:bottom w:val="none" w:sz="0" w:space="0" w:color="auto"/>
                        <w:right w:val="none" w:sz="0" w:space="0" w:color="auto"/>
                      </w:divBdr>
                    </w:div>
                    <w:div w:id="145621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664991">
      <w:bodyDiv w:val="1"/>
      <w:marLeft w:val="0"/>
      <w:marRight w:val="0"/>
      <w:marTop w:val="0"/>
      <w:marBottom w:val="0"/>
      <w:divBdr>
        <w:top w:val="none" w:sz="0" w:space="0" w:color="auto"/>
        <w:left w:val="none" w:sz="0" w:space="0" w:color="auto"/>
        <w:bottom w:val="none" w:sz="0" w:space="0" w:color="auto"/>
        <w:right w:val="none" w:sz="0" w:space="0" w:color="auto"/>
      </w:divBdr>
    </w:div>
    <w:div w:id="1747611410">
      <w:bodyDiv w:val="1"/>
      <w:marLeft w:val="0"/>
      <w:marRight w:val="0"/>
      <w:marTop w:val="0"/>
      <w:marBottom w:val="0"/>
      <w:divBdr>
        <w:top w:val="none" w:sz="0" w:space="0" w:color="auto"/>
        <w:left w:val="none" w:sz="0" w:space="0" w:color="auto"/>
        <w:bottom w:val="none" w:sz="0" w:space="0" w:color="auto"/>
        <w:right w:val="none" w:sz="0" w:space="0" w:color="auto"/>
      </w:divBdr>
    </w:div>
    <w:div w:id="1794446982">
      <w:bodyDiv w:val="1"/>
      <w:marLeft w:val="0"/>
      <w:marRight w:val="0"/>
      <w:marTop w:val="0"/>
      <w:marBottom w:val="0"/>
      <w:divBdr>
        <w:top w:val="none" w:sz="0" w:space="0" w:color="auto"/>
        <w:left w:val="none" w:sz="0" w:space="0" w:color="auto"/>
        <w:bottom w:val="none" w:sz="0" w:space="0" w:color="auto"/>
        <w:right w:val="none" w:sz="0" w:space="0" w:color="auto"/>
      </w:divBdr>
    </w:div>
    <w:div w:id="1880121764">
      <w:bodyDiv w:val="1"/>
      <w:marLeft w:val="0"/>
      <w:marRight w:val="0"/>
      <w:marTop w:val="0"/>
      <w:marBottom w:val="0"/>
      <w:divBdr>
        <w:top w:val="none" w:sz="0" w:space="0" w:color="auto"/>
        <w:left w:val="none" w:sz="0" w:space="0" w:color="auto"/>
        <w:bottom w:val="none" w:sz="0" w:space="0" w:color="auto"/>
        <w:right w:val="none" w:sz="0" w:space="0" w:color="auto"/>
      </w:divBdr>
    </w:div>
    <w:div w:id="1909145294">
      <w:bodyDiv w:val="1"/>
      <w:marLeft w:val="0"/>
      <w:marRight w:val="0"/>
      <w:marTop w:val="0"/>
      <w:marBottom w:val="0"/>
      <w:divBdr>
        <w:top w:val="none" w:sz="0" w:space="0" w:color="auto"/>
        <w:left w:val="none" w:sz="0" w:space="0" w:color="auto"/>
        <w:bottom w:val="none" w:sz="0" w:space="0" w:color="auto"/>
        <w:right w:val="none" w:sz="0" w:space="0" w:color="auto"/>
      </w:divBdr>
    </w:div>
    <w:div w:id="1959599172">
      <w:bodyDiv w:val="1"/>
      <w:marLeft w:val="0"/>
      <w:marRight w:val="0"/>
      <w:marTop w:val="0"/>
      <w:marBottom w:val="0"/>
      <w:divBdr>
        <w:top w:val="none" w:sz="0" w:space="0" w:color="auto"/>
        <w:left w:val="none" w:sz="0" w:space="0" w:color="auto"/>
        <w:bottom w:val="none" w:sz="0" w:space="0" w:color="auto"/>
        <w:right w:val="none" w:sz="0" w:space="0" w:color="auto"/>
      </w:divBdr>
    </w:div>
    <w:div w:id="1968047456">
      <w:bodyDiv w:val="1"/>
      <w:marLeft w:val="0"/>
      <w:marRight w:val="0"/>
      <w:marTop w:val="0"/>
      <w:marBottom w:val="0"/>
      <w:divBdr>
        <w:top w:val="none" w:sz="0" w:space="0" w:color="auto"/>
        <w:left w:val="none" w:sz="0" w:space="0" w:color="auto"/>
        <w:bottom w:val="none" w:sz="0" w:space="0" w:color="auto"/>
        <w:right w:val="none" w:sz="0" w:space="0" w:color="auto"/>
      </w:divBdr>
      <w:divsChild>
        <w:div w:id="1064255342">
          <w:marLeft w:val="0"/>
          <w:marRight w:val="0"/>
          <w:marTop w:val="0"/>
          <w:marBottom w:val="0"/>
          <w:divBdr>
            <w:top w:val="single" w:sz="2" w:space="0" w:color="E3E3E3"/>
            <w:left w:val="single" w:sz="2" w:space="0" w:color="E3E3E3"/>
            <w:bottom w:val="single" w:sz="2" w:space="0" w:color="E3E3E3"/>
            <w:right w:val="single" w:sz="2" w:space="0" w:color="E3E3E3"/>
          </w:divBdr>
          <w:divsChild>
            <w:div w:id="593561732">
              <w:marLeft w:val="0"/>
              <w:marRight w:val="0"/>
              <w:marTop w:val="0"/>
              <w:marBottom w:val="0"/>
              <w:divBdr>
                <w:top w:val="single" w:sz="2" w:space="0" w:color="E3E3E3"/>
                <w:left w:val="single" w:sz="2" w:space="0" w:color="E3E3E3"/>
                <w:bottom w:val="single" w:sz="2" w:space="0" w:color="E3E3E3"/>
                <w:right w:val="single" w:sz="2" w:space="0" w:color="E3E3E3"/>
              </w:divBdr>
              <w:divsChild>
                <w:div w:id="2128573572">
                  <w:marLeft w:val="0"/>
                  <w:marRight w:val="0"/>
                  <w:marTop w:val="0"/>
                  <w:marBottom w:val="0"/>
                  <w:divBdr>
                    <w:top w:val="single" w:sz="2" w:space="0" w:color="E3E3E3"/>
                    <w:left w:val="single" w:sz="2" w:space="0" w:color="E3E3E3"/>
                    <w:bottom w:val="single" w:sz="2" w:space="0" w:color="E3E3E3"/>
                    <w:right w:val="single" w:sz="2" w:space="0" w:color="E3E3E3"/>
                  </w:divBdr>
                  <w:divsChild>
                    <w:div w:id="477965562">
                      <w:marLeft w:val="0"/>
                      <w:marRight w:val="0"/>
                      <w:marTop w:val="0"/>
                      <w:marBottom w:val="0"/>
                      <w:divBdr>
                        <w:top w:val="single" w:sz="2" w:space="0" w:color="E3E3E3"/>
                        <w:left w:val="single" w:sz="2" w:space="0" w:color="E3E3E3"/>
                        <w:bottom w:val="single" w:sz="2" w:space="0" w:color="E3E3E3"/>
                        <w:right w:val="single" w:sz="2" w:space="0" w:color="E3E3E3"/>
                      </w:divBdr>
                      <w:divsChild>
                        <w:div w:id="781221227">
                          <w:marLeft w:val="0"/>
                          <w:marRight w:val="0"/>
                          <w:marTop w:val="0"/>
                          <w:marBottom w:val="0"/>
                          <w:divBdr>
                            <w:top w:val="single" w:sz="2" w:space="0" w:color="E3E3E3"/>
                            <w:left w:val="single" w:sz="2" w:space="0" w:color="E3E3E3"/>
                            <w:bottom w:val="single" w:sz="2" w:space="0" w:color="E3E3E3"/>
                            <w:right w:val="single" w:sz="2" w:space="0" w:color="E3E3E3"/>
                          </w:divBdr>
                          <w:divsChild>
                            <w:div w:id="1209148353">
                              <w:marLeft w:val="0"/>
                              <w:marRight w:val="0"/>
                              <w:marTop w:val="0"/>
                              <w:marBottom w:val="0"/>
                              <w:divBdr>
                                <w:top w:val="single" w:sz="2" w:space="0" w:color="E3E3E3"/>
                                <w:left w:val="single" w:sz="2" w:space="0" w:color="E3E3E3"/>
                                <w:bottom w:val="single" w:sz="2" w:space="0" w:color="E3E3E3"/>
                                <w:right w:val="single" w:sz="2" w:space="0" w:color="E3E3E3"/>
                              </w:divBdr>
                              <w:divsChild>
                                <w:div w:id="597829216">
                                  <w:marLeft w:val="0"/>
                                  <w:marRight w:val="0"/>
                                  <w:marTop w:val="100"/>
                                  <w:marBottom w:val="100"/>
                                  <w:divBdr>
                                    <w:top w:val="single" w:sz="2" w:space="0" w:color="E3E3E3"/>
                                    <w:left w:val="single" w:sz="2" w:space="0" w:color="E3E3E3"/>
                                    <w:bottom w:val="single" w:sz="2" w:space="0" w:color="E3E3E3"/>
                                    <w:right w:val="single" w:sz="2" w:space="0" w:color="E3E3E3"/>
                                  </w:divBdr>
                                  <w:divsChild>
                                    <w:div w:id="65033323">
                                      <w:marLeft w:val="0"/>
                                      <w:marRight w:val="0"/>
                                      <w:marTop w:val="0"/>
                                      <w:marBottom w:val="0"/>
                                      <w:divBdr>
                                        <w:top w:val="single" w:sz="2" w:space="0" w:color="E3E3E3"/>
                                        <w:left w:val="single" w:sz="2" w:space="0" w:color="E3E3E3"/>
                                        <w:bottom w:val="single" w:sz="2" w:space="0" w:color="E3E3E3"/>
                                        <w:right w:val="single" w:sz="2" w:space="0" w:color="E3E3E3"/>
                                      </w:divBdr>
                                      <w:divsChild>
                                        <w:div w:id="1979140251">
                                          <w:marLeft w:val="0"/>
                                          <w:marRight w:val="0"/>
                                          <w:marTop w:val="0"/>
                                          <w:marBottom w:val="0"/>
                                          <w:divBdr>
                                            <w:top w:val="single" w:sz="2" w:space="0" w:color="E3E3E3"/>
                                            <w:left w:val="single" w:sz="2" w:space="0" w:color="E3E3E3"/>
                                            <w:bottom w:val="single" w:sz="2" w:space="0" w:color="E3E3E3"/>
                                            <w:right w:val="single" w:sz="2" w:space="0" w:color="E3E3E3"/>
                                          </w:divBdr>
                                          <w:divsChild>
                                            <w:div w:id="777022017">
                                              <w:marLeft w:val="0"/>
                                              <w:marRight w:val="0"/>
                                              <w:marTop w:val="0"/>
                                              <w:marBottom w:val="0"/>
                                              <w:divBdr>
                                                <w:top w:val="single" w:sz="2" w:space="0" w:color="E3E3E3"/>
                                                <w:left w:val="single" w:sz="2" w:space="0" w:color="E3E3E3"/>
                                                <w:bottom w:val="single" w:sz="2" w:space="0" w:color="E3E3E3"/>
                                                <w:right w:val="single" w:sz="2" w:space="0" w:color="E3E3E3"/>
                                              </w:divBdr>
                                              <w:divsChild>
                                                <w:div w:id="1406687172">
                                                  <w:marLeft w:val="0"/>
                                                  <w:marRight w:val="0"/>
                                                  <w:marTop w:val="0"/>
                                                  <w:marBottom w:val="0"/>
                                                  <w:divBdr>
                                                    <w:top w:val="single" w:sz="2" w:space="0" w:color="E3E3E3"/>
                                                    <w:left w:val="single" w:sz="2" w:space="0" w:color="E3E3E3"/>
                                                    <w:bottom w:val="single" w:sz="2" w:space="0" w:color="E3E3E3"/>
                                                    <w:right w:val="single" w:sz="2" w:space="0" w:color="E3E3E3"/>
                                                  </w:divBdr>
                                                  <w:divsChild>
                                                    <w:div w:id="275212574">
                                                      <w:marLeft w:val="0"/>
                                                      <w:marRight w:val="0"/>
                                                      <w:marTop w:val="0"/>
                                                      <w:marBottom w:val="0"/>
                                                      <w:divBdr>
                                                        <w:top w:val="single" w:sz="2" w:space="0" w:color="E3E3E3"/>
                                                        <w:left w:val="single" w:sz="2" w:space="0" w:color="E3E3E3"/>
                                                        <w:bottom w:val="single" w:sz="2" w:space="0" w:color="E3E3E3"/>
                                                        <w:right w:val="single" w:sz="2" w:space="0" w:color="E3E3E3"/>
                                                      </w:divBdr>
                                                      <w:divsChild>
                                                        <w:div w:id="1783498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640963776">
          <w:marLeft w:val="0"/>
          <w:marRight w:val="0"/>
          <w:marTop w:val="0"/>
          <w:marBottom w:val="0"/>
          <w:divBdr>
            <w:top w:val="none" w:sz="0" w:space="0" w:color="auto"/>
            <w:left w:val="none" w:sz="0" w:space="0" w:color="auto"/>
            <w:bottom w:val="none" w:sz="0" w:space="0" w:color="auto"/>
            <w:right w:val="none" w:sz="0" w:space="0" w:color="auto"/>
          </w:divBdr>
        </w:div>
      </w:divsChild>
    </w:div>
    <w:div w:id="1992708055">
      <w:bodyDiv w:val="1"/>
      <w:marLeft w:val="0"/>
      <w:marRight w:val="0"/>
      <w:marTop w:val="0"/>
      <w:marBottom w:val="0"/>
      <w:divBdr>
        <w:top w:val="none" w:sz="0" w:space="0" w:color="auto"/>
        <w:left w:val="none" w:sz="0" w:space="0" w:color="auto"/>
        <w:bottom w:val="none" w:sz="0" w:space="0" w:color="auto"/>
        <w:right w:val="none" w:sz="0" w:space="0" w:color="auto"/>
      </w:divBdr>
    </w:div>
    <w:div w:id="2144887294">
      <w:bodyDiv w:val="1"/>
      <w:marLeft w:val="0"/>
      <w:marRight w:val="0"/>
      <w:marTop w:val="0"/>
      <w:marBottom w:val="0"/>
      <w:divBdr>
        <w:top w:val="none" w:sz="0" w:space="0" w:color="auto"/>
        <w:left w:val="none" w:sz="0" w:space="0" w:color="auto"/>
        <w:bottom w:val="none" w:sz="0" w:space="0" w:color="auto"/>
        <w:right w:val="none" w:sz="0" w:space="0" w:color="auto"/>
      </w:divBdr>
    </w:div>
    <w:div w:id="214658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357F3-A8D7-4E5A-9BC1-C3B3BFE8A0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TotalTime>
  <Pages>26</Pages>
  <Words>6314</Words>
  <Characters>35996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Varga (2009456)</dc:creator>
  <cp:keywords/>
  <dc:description/>
  <cp:lastModifiedBy>Valeria Varga (2009456)</cp:lastModifiedBy>
  <cp:revision>48</cp:revision>
  <dcterms:created xsi:type="dcterms:W3CDTF">2024-02-22T09:42:00Z</dcterms:created>
  <dcterms:modified xsi:type="dcterms:W3CDTF">2024-04-23T16:39:00Z</dcterms:modified>
</cp:coreProperties>
</file>