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9A1FD8" w14:textId="77777777" w:rsidR="00E23B2E" w:rsidRPr="002460FC" w:rsidRDefault="00E23B2E" w:rsidP="002460FC">
      <w:pPr>
        <w:jc w:val="both"/>
        <w:rPr>
          <w:rFonts w:ascii="Arial" w:hAnsi="Arial" w:cs="Arial"/>
          <w:sz w:val="22"/>
          <w:szCs w:val="22"/>
        </w:rPr>
      </w:pPr>
      <w:r w:rsidRPr="002460FC">
        <w:rPr>
          <w:rFonts w:ascii="Arial" w:hAnsi="Arial" w:cs="Arial"/>
          <w:noProof/>
          <w:sz w:val="22"/>
          <w:szCs w:val="22"/>
        </w:rPr>
        <w:drawing>
          <wp:inline distT="0" distB="0" distL="0" distR="0" wp14:anchorId="7C587796" wp14:editId="68F0A356">
            <wp:extent cx="2619299" cy="1165860"/>
            <wp:effectExtent l="0" t="0" r="0" b="254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38888" cy="1219089"/>
                    </a:xfrm>
                    <a:prstGeom prst="rect">
                      <a:avLst/>
                    </a:prstGeom>
                    <a:noFill/>
                  </pic:spPr>
                </pic:pic>
              </a:graphicData>
            </a:graphic>
          </wp:inline>
        </w:drawing>
      </w:r>
    </w:p>
    <w:p w14:paraId="1FC495E9" w14:textId="77777777" w:rsidR="00E23B2E" w:rsidRPr="002460FC" w:rsidRDefault="00E23B2E" w:rsidP="002460FC">
      <w:pPr>
        <w:jc w:val="both"/>
        <w:rPr>
          <w:rFonts w:ascii="Arial" w:hAnsi="Arial" w:cs="Arial"/>
          <w:sz w:val="22"/>
          <w:szCs w:val="22"/>
        </w:rPr>
      </w:pPr>
    </w:p>
    <w:p w14:paraId="53B7C976" w14:textId="77777777" w:rsidR="00E23B2E" w:rsidRPr="002460FC" w:rsidRDefault="00E23B2E" w:rsidP="002460FC">
      <w:pPr>
        <w:jc w:val="both"/>
        <w:rPr>
          <w:rFonts w:ascii="Arial" w:hAnsi="Arial" w:cs="Arial"/>
          <w:sz w:val="22"/>
          <w:szCs w:val="22"/>
        </w:rPr>
      </w:pPr>
    </w:p>
    <w:p w14:paraId="054BBFBF" w14:textId="0488DEAD" w:rsidR="0070359F" w:rsidRPr="00B24BB3" w:rsidRDefault="0070359F" w:rsidP="0070359F">
      <w:pPr>
        <w:spacing w:line="360" w:lineRule="auto"/>
        <w:rPr>
          <w:b/>
          <w:bCs/>
          <w:color w:val="000000" w:themeColor="text1"/>
        </w:rPr>
      </w:pPr>
      <w:r w:rsidRPr="00B24BB3">
        <w:rPr>
          <w:b/>
          <w:bCs/>
          <w:color w:val="000000" w:themeColor="text1"/>
        </w:rPr>
        <w:t>STUDENT NAME:</w:t>
      </w:r>
      <w:r>
        <w:rPr>
          <w:b/>
          <w:bCs/>
          <w:color w:val="000000" w:themeColor="text1"/>
        </w:rPr>
        <w:tab/>
      </w:r>
      <w:r>
        <w:rPr>
          <w:b/>
          <w:bCs/>
          <w:color w:val="000000" w:themeColor="text1"/>
        </w:rPr>
        <w:tab/>
      </w:r>
      <w:r w:rsidRPr="00B24BB3">
        <w:rPr>
          <w:b/>
          <w:bCs/>
          <w:color w:val="000000" w:themeColor="text1"/>
        </w:rPr>
        <w:t>FATOUMATA MALIKA DOSSO</w:t>
      </w:r>
    </w:p>
    <w:p w14:paraId="4607A856" w14:textId="78014183" w:rsidR="0070359F" w:rsidRPr="00B24BB3" w:rsidRDefault="0070359F" w:rsidP="0070359F">
      <w:pPr>
        <w:spacing w:line="360" w:lineRule="auto"/>
        <w:rPr>
          <w:b/>
          <w:bCs/>
          <w:color w:val="000000" w:themeColor="text1"/>
        </w:rPr>
      </w:pPr>
      <w:r w:rsidRPr="00B24BB3">
        <w:rPr>
          <w:b/>
          <w:bCs/>
          <w:color w:val="000000" w:themeColor="text1"/>
        </w:rPr>
        <w:t>STUDENT ID:</w:t>
      </w:r>
      <w:r w:rsidRPr="00B24BB3">
        <w:rPr>
          <w:b/>
          <w:bCs/>
          <w:color w:val="000000" w:themeColor="text1"/>
        </w:rPr>
        <w:tab/>
      </w:r>
      <w:r w:rsidRPr="00B24BB3">
        <w:rPr>
          <w:b/>
          <w:bCs/>
          <w:color w:val="000000" w:themeColor="text1"/>
        </w:rPr>
        <w:tab/>
      </w:r>
      <w:r>
        <w:rPr>
          <w:b/>
          <w:bCs/>
          <w:color w:val="000000" w:themeColor="text1"/>
        </w:rPr>
        <w:tab/>
      </w:r>
      <w:r w:rsidRPr="00B24BB3">
        <w:rPr>
          <w:b/>
          <w:bCs/>
          <w:color w:val="000000" w:themeColor="text1"/>
        </w:rPr>
        <w:t>2514002</w:t>
      </w:r>
    </w:p>
    <w:p w14:paraId="331C6C29" w14:textId="6FEDE5A2" w:rsidR="00E23B2E" w:rsidRPr="002460FC" w:rsidRDefault="0070359F" w:rsidP="002460FC">
      <w:pPr>
        <w:spacing w:line="600" w:lineRule="auto"/>
        <w:jc w:val="both"/>
        <w:rPr>
          <w:rFonts w:ascii="Arial" w:hAnsi="Arial" w:cs="Arial"/>
          <w:b/>
          <w:bCs/>
          <w:sz w:val="22"/>
          <w:szCs w:val="22"/>
        </w:rPr>
      </w:pPr>
      <w:r w:rsidRPr="002460FC">
        <w:rPr>
          <w:rFonts w:ascii="Arial" w:hAnsi="Arial" w:cs="Arial"/>
          <w:b/>
          <w:bCs/>
          <w:sz w:val="22"/>
          <w:szCs w:val="22"/>
        </w:rPr>
        <w:t>MODULE CODE:</w:t>
      </w:r>
      <w:r w:rsidRPr="002460FC">
        <w:rPr>
          <w:rFonts w:ascii="Arial" w:hAnsi="Arial" w:cs="Arial"/>
          <w:b/>
          <w:bCs/>
          <w:sz w:val="22"/>
          <w:szCs w:val="22"/>
        </w:rPr>
        <w:tab/>
      </w:r>
      <w:r w:rsidRPr="002460FC">
        <w:rPr>
          <w:rFonts w:ascii="Arial" w:hAnsi="Arial" w:cs="Arial"/>
          <w:b/>
          <w:bCs/>
          <w:sz w:val="22"/>
          <w:szCs w:val="22"/>
        </w:rPr>
        <w:tab/>
        <w:t>LCHS4010</w:t>
      </w:r>
    </w:p>
    <w:p w14:paraId="31B18745" w14:textId="5C48C213" w:rsidR="00E23B2E" w:rsidRPr="002460FC" w:rsidRDefault="0070359F" w:rsidP="002460FC">
      <w:pPr>
        <w:spacing w:line="600" w:lineRule="auto"/>
        <w:jc w:val="both"/>
        <w:rPr>
          <w:rFonts w:ascii="Arial" w:hAnsi="Arial" w:cs="Arial"/>
          <w:b/>
          <w:bCs/>
          <w:sz w:val="22"/>
          <w:szCs w:val="22"/>
        </w:rPr>
      </w:pPr>
      <w:r w:rsidRPr="002460FC">
        <w:rPr>
          <w:rFonts w:ascii="Arial" w:hAnsi="Arial" w:cs="Arial"/>
          <w:b/>
          <w:bCs/>
          <w:sz w:val="22"/>
          <w:szCs w:val="22"/>
        </w:rPr>
        <w:t xml:space="preserve">MODULE: </w:t>
      </w:r>
      <w:r w:rsidRPr="002460FC">
        <w:rPr>
          <w:rFonts w:ascii="Arial" w:hAnsi="Arial" w:cs="Arial"/>
          <w:b/>
          <w:bCs/>
          <w:sz w:val="22"/>
          <w:szCs w:val="22"/>
        </w:rPr>
        <w:tab/>
      </w:r>
      <w:r w:rsidRPr="002460FC">
        <w:rPr>
          <w:rFonts w:ascii="Arial" w:hAnsi="Arial" w:cs="Arial"/>
          <w:b/>
          <w:bCs/>
          <w:sz w:val="22"/>
          <w:szCs w:val="22"/>
        </w:rPr>
        <w:tab/>
      </w:r>
      <w:r w:rsidRPr="002460FC">
        <w:rPr>
          <w:rFonts w:ascii="Arial" w:hAnsi="Arial" w:cs="Arial"/>
          <w:b/>
          <w:bCs/>
          <w:sz w:val="22"/>
          <w:szCs w:val="22"/>
        </w:rPr>
        <w:tab/>
        <w:t>PHYSCOLOGY IN HEALTH IN SOCIAL CARE</w:t>
      </w:r>
    </w:p>
    <w:p w14:paraId="6F7C9781" w14:textId="3004D6CA" w:rsidR="00E23B2E" w:rsidRDefault="0070359F" w:rsidP="002460FC">
      <w:pPr>
        <w:spacing w:line="600" w:lineRule="auto"/>
        <w:jc w:val="both"/>
        <w:rPr>
          <w:rFonts w:ascii="Arial" w:hAnsi="Arial" w:cs="Arial"/>
          <w:b/>
          <w:bCs/>
          <w:sz w:val="22"/>
          <w:szCs w:val="22"/>
        </w:rPr>
      </w:pPr>
      <w:r w:rsidRPr="002460FC">
        <w:rPr>
          <w:rFonts w:ascii="Arial" w:hAnsi="Arial" w:cs="Arial"/>
          <w:b/>
          <w:bCs/>
          <w:sz w:val="22"/>
          <w:szCs w:val="22"/>
        </w:rPr>
        <w:t>LECTURER:</w:t>
      </w:r>
      <w:r w:rsidRPr="002460FC">
        <w:rPr>
          <w:rFonts w:ascii="Arial" w:hAnsi="Arial" w:cs="Arial"/>
          <w:b/>
          <w:bCs/>
          <w:sz w:val="22"/>
          <w:szCs w:val="22"/>
        </w:rPr>
        <w:tab/>
      </w:r>
      <w:r w:rsidRPr="002460FC">
        <w:rPr>
          <w:rFonts w:ascii="Arial" w:hAnsi="Arial" w:cs="Arial"/>
          <w:b/>
          <w:bCs/>
          <w:sz w:val="22"/>
          <w:szCs w:val="22"/>
        </w:rPr>
        <w:tab/>
      </w:r>
      <w:r w:rsidRPr="002460FC">
        <w:rPr>
          <w:rFonts w:ascii="Arial" w:hAnsi="Arial" w:cs="Arial"/>
          <w:b/>
          <w:bCs/>
          <w:sz w:val="22"/>
          <w:szCs w:val="22"/>
        </w:rPr>
        <w:tab/>
        <w:t>SAM PARKER</w:t>
      </w:r>
    </w:p>
    <w:p w14:paraId="208034E5" w14:textId="4EDBF41F" w:rsidR="00D36D1B" w:rsidRDefault="0070359F" w:rsidP="002460FC">
      <w:pPr>
        <w:spacing w:line="600" w:lineRule="auto"/>
        <w:jc w:val="both"/>
        <w:rPr>
          <w:rFonts w:ascii="Arial" w:hAnsi="Arial" w:cs="Arial"/>
          <w:b/>
          <w:bCs/>
          <w:sz w:val="22"/>
          <w:szCs w:val="22"/>
        </w:rPr>
      </w:pPr>
      <w:r>
        <w:rPr>
          <w:rFonts w:ascii="Arial" w:hAnsi="Arial" w:cs="Arial"/>
          <w:b/>
          <w:bCs/>
          <w:sz w:val="22"/>
          <w:szCs w:val="22"/>
        </w:rPr>
        <w:t>WORD COUNTS:</w:t>
      </w:r>
      <w:r>
        <w:rPr>
          <w:rFonts w:ascii="Arial" w:hAnsi="Arial" w:cs="Arial"/>
          <w:b/>
          <w:bCs/>
          <w:sz w:val="22"/>
          <w:szCs w:val="22"/>
        </w:rPr>
        <w:tab/>
      </w:r>
      <w:r>
        <w:rPr>
          <w:rFonts w:ascii="Arial" w:hAnsi="Arial" w:cs="Arial"/>
          <w:b/>
          <w:bCs/>
          <w:sz w:val="22"/>
          <w:szCs w:val="22"/>
        </w:rPr>
        <w:tab/>
        <w:t>1500</w:t>
      </w:r>
    </w:p>
    <w:p w14:paraId="50B39DC4" w14:textId="64755E99" w:rsidR="00D36D1B" w:rsidRPr="002460FC" w:rsidRDefault="0070359F" w:rsidP="002460FC">
      <w:pPr>
        <w:spacing w:line="600" w:lineRule="auto"/>
        <w:jc w:val="both"/>
        <w:rPr>
          <w:rFonts w:ascii="Arial" w:hAnsi="Arial" w:cs="Arial"/>
          <w:b/>
          <w:bCs/>
          <w:sz w:val="22"/>
          <w:szCs w:val="22"/>
        </w:rPr>
      </w:pPr>
      <w:r>
        <w:rPr>
          <w:rFonts w:ascii="Arial" w:hAnsi="Arial" w:cs="Arial"/>
          <w:b/>
          <w:bCs/>
          <w:sz w:val="22"/>
          <w:szCs w:val="22"/>
        </w:rPr>
        <w:t>SUBMISSION DATE:</w:t>
      </w:r>
      <w:r>
        <w:rPr>
          <w:rFonts w:ascii="Arial" w:hAnsi="Arial" w:cs="Arial"/>
          <w:b/>
          <w:bCs/>
          <w:sz w:val="22"/>
          <w:szCs w:val="22"/>
        </w:rPr>
        <w:tab/>
      </w:r>
      <w:r w:rsidR="00D36D1B">
        <w:rPr>
          <w:rFonts w:ascii="Arial" w:hAnsi="Arial" w:cs="Arial"/>
          <w:b/>
          <w:bCs/>
          <w:sz w:val="22"/>
          <w:szCs w:val="22"/>
        </w:rPr>
        <w:tab/>
      </w:r>
    </w:p>
    <w:p w14:paraId="105852B0" w14:textId="77777777" w:rsidR="00E23B2E" w:rsidRPr="002460FC" w:rsidRDefault="00E23B2E" w:rsidP="002460FC">
      <w:pPr>
        <w:spacing w:line="600" w:lineRule="auto"/>
        <w:jc w:val="both"/>
        <w:rPr>
          <w:rFonts w:ascii="Arial" w:hAnsi="Arial" w:cs="Arial"/>
          <w:b/>
          <w:bCs/>
          <w:sz w:val="22"/>
          <w:szCs w:val="22"/>
        </w:rPr>
      </w:pPr>
    </w:p>
    <w:p w14:paraId="7F75A0FC" w14:textId="77777777" w:rsidR="00E23B2E" w:rsidRPr="002460FC" w:rsidRDefault="00E23B2E" w:rsidP="002460FC">
      <w:pPr>
        <w:jc w:val="both"/>
        <w:rPr>
          <w:rFonts w:ascii="Arial" w:hAnsi="Arial" w:cs="Arial"/>
          <w:b/>
          <w:bCs/>
          <w:sz w:val="22"/>
          <w:szCs w:val="22"/>
        </w:rPr>
      </w:pPr>
    </w:p>
    <w:p w14:paraId="4D8EAAF3" w14:textId="77777777" w:rsidR="00E23B2E" w:rsidRPr="002460FC" w:rsidRDefault="00E23B2E" w:rsidP="002460FC">
      <w:pPr>
        <w:jc w:val="both"/>
        <w:rPr>
          <w:rFonts w:ascii="Arial" w:hAnsi="Arial" w:cs="Arial"/>
          <w:b/>
          <w:bCs/>
          <w:sz w:val="22"/>
          <w:szCs w:val="22"/>
        </w:rPr>
      </w:pPr>
    </w:p>
    <w:p w14:paraId="7117CBFD" w14:textId="77777777" w:rsidR="00E23B2E" w:rsidRPr="002460FC" w:rsidRDefault="00E23B2E" w:rsidP="002460FC">
      <w:pPr>
        <w:jc w:val="both"/>
        <w:rPr>
          <w:rFonts w:ascii="Arial" w:hAnsi="Arial" w:cs="Arial"/>
          <w:b/>
          <w:bCs/>
          <w:sz w:val="22"/>
          <w:szCs w:val="22"/>
        </w:rPr>
      </w:pPr>
    </w:p>
    <w:p w14:paraId="5AB767DA" w14:textId="77777777" w:rsidR="00E23B2E" w:rsidRPr="002460FC" w:rsidRDefault="00E23B2E" w:rsidP="002460FC">
      <w:pPr>
        <w:jc w:val="both"/>
        <w:rPr>
          <w:rFonts w:ascii="Arial" w:hAnsi="Arial" w:cs="Arial"/>
          <w:b/>
          <w:bCs/>
          <w:sz w:val="22"/>
          <w:szCs w:val="22"/>
        </w:rPr>
      </w:pPr>
    </w:p>
    <w:p w14:paraId="39B61488" w14:textId="77777777" w:rsidR="00E23B2E" w:rsidRPr="002460FC" w:rsidRDefault="00E23B2E" w:rsidP="002460FC">
      <w:pPr>
        <w:jc w:val="both"/>
        <w:rPr>
          <w:rFonts w:ascii="Arial" w:hAnsi="Arial" w:cs="Arial"/>
          <w:b/>
          <w:bCs/>
          <w:sz w:val="22"/>
          <w:szCs w:val="22"/>
        </w:rPr>
      </w:pPr>
    </w:p>
    <w:p w14:paraId="0E200000" w14:textId="77777777" w:rsidR="00E23B2E" w:rsidRPr="002460FC" w:rsidRDefault="00E23B2E" w:rsidP="002460FC">
      <w:pPr>
        <w:jc w:val="both"/>
        <w:rPr>
          <w:rFonts w:ascii="Arial" w:hAnsi="Arial" w:cs="Arial"/>
          <w:b/>
          <w:bCs/>
          <w:sz w:val="22"/>
          <w:szCs w:val="22"/>
        </w:rPr>
      </w:pPr>
    </w:p>
    <w:p w14:paraId="59722BA2" w14:textId="77777777" w:rsidR="00E23B2E" w:rsidRDefault="00E23B2E" w:rsidP="002460FC">
      <w:pPr>
        <w:jc w:val="both"/>
        <w:rPr>
          <w:rFonts w:ascii="Arial" w:hAnsi="Arial" w:cs="Arial"/>
          <w:b/>
          <w:bCs/>
          <w:sz w:val="22"/>
          <w:szCs w:val="22"/>
        </w:rPr>
      </w:pPr>
    </w:p>
    <w:p w14:paraId="6FC2D370" w14:textId="77777777" w:rsidR="0070359F" w:rsidRPr="002460FC" w:rsidRDefault="0070359F" w:rsidP="002460FC">
      <w:pPr>
        <w:jc w:val="both"/>
        <w:rPr>
          <w:rFonts w:ascii="Arial" w:hAnsi="Arial" w:cs="Arial"/>
          <w:b/>
          <w:bCs/>
          <w:sz w:val="22"/>
          <w:szCs w:val="22"/>
        </w:rPr>
      </w:pPr>
    </w:p>
    <w:p w14:paraId="0A8D688E" w14:textId="77777777" w:rsidR="00E23B2E" w:rsidRPr="002460FC" w:rsidRDefault="00E23B2E" w:rsidP="002460FC">
      <w:pPr>
        <w:jc w:val="both"/>
        <w:rPr>
          <w:rFonts w:ascii="Arial" w:hAnsi="Arial" w:cs="Arial"/>
          <w:b/>
          <w:bCs/>
          <w:sz w:val="22"/>
          <w:szCs w:val="22"/>
        </w:rPr>
      </w:pPr>
    </w:p>
    <w:p w14:paraId="3FD61125" w14:textId="7EC47E35" w:rsidR="00E23B2E" w:rsidRPr="002460FC" w:rsidRDefault="009922CF" w:rsidP="002460FC">
      <w:pPr>
        <w:jc w:val="both"/>
        <w:rPr>
          <w:rFonts w:ascii="Arial" w:hAnsi="Arial" w:cs="Arial"/>
          <w:b/>
          <w:bCs/>
          <w:sz w:val="22"/>
          <w:szCs w:val="22"/>
        </w:rPr>
      </w:pPr>
      <w:r w:rsidRPr="002460FC">
        <w:rPr>
          <w:rFonts w:ascii="Arial" w:hAnsi="Arial" w:cs="Arial"/>
          <w:b/>
          <w:bCs/>
          <w:sz w:val="22"/>
          <w:szCs w:val="22"/>
        </w:rPr>
        <w:t>TABLE OF CONTENTS</w:t>
      </w:r>
    </w:p>
    <w:p w14:paraId="532AC013" w14:textId="77777777" w:rsidR="009922CF" w:rsidRDefault="009922CF" w:rsidP="009922C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Title page</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1</w:t>
      </w:r>
    </w:p>
    <w:p w14:paraId="2A1771D8" w14:textId="77777777" w:rsidR="009922CF" w:rsidRDefault="009922CF" w:rsidP="009922CF">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Contents Table</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2</w:t>
      </w:r>
    </w:p>
    <w:p w14:paraId="6077363F" w14:textId="77777777" w:rsidR="009922CF" w:rsidRPr="00817ACB" w:rsidRDefault="009922CF" w:rsidP="009922CF">
      <w:pPr>
        <w:spacing w:line="360" w:lineRule="auto"/>
        <w:jc w:val="both"/>
        <w:rPr>
          <w:rFonts w:ascii="Arial" w:hAnsi="Arial" w:cs="Arial"/>
          <w:color w:val="000000" w:themeColor="text1"/>
          <w:sz w:val="22"/>
          <w:szCs w:val="22"/>
        </w:rPr>
      </w:pPr>
      <w:r w:rsidRPr="00817ACB">
        <w:rPr>
          <w:rFonts w:ascii="Arial" w:hAnsi="Arial" w:cs="Arial"/>
          <w:color w:val="000000" w:themeColor="text1"/>
          <w:sz w:val="22"/>
          <w:szCs w:val="22"/>
        </w:rPr>
        <w:t>1.0</w:t>
      </w:r>
      <w:r w:rsidRPr="00817ACB">
        <w:rPr>
          <w:rFonts w:ascii="Arial" w:hAnsi="Arial" w:cs="Arial"/>
          <w:color w:val="000000" w:themeColor="text1"/>
          <w:sz w:val="22"/>
          <w:szCs w:val="22"/>
        </w:rPr>
        <w:tab/>
        <w:t>Introduction</w:t>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t>3</w:t>
      </w:r>
    </w:p>
    <w:p w14:paraId="5868F35D" w14:textId="77777777" w:rsidR="009922CF" w:rsidRPr="00817ACB" w:rsidRDefault="009922CF" w:rsidP="009922CF">
      <w:pPr>
        <w:spacing w:line="360" w:lineRule="auto"/>
        <w:jc w:val="both"/>
        <w:rPr>
          <w:rFonts w:ascii="Arial" w:hAnsi="Arial" w:cs="Arial"/>
          <w:color w:val="000000" w:themeColor="text1"/>
          <w:sz w:val="22"/>
          <w:szCs w:val="22"/>
        </w:rPr>
      </w:pPr>
      <w:r w:rsidRPr="00817ACB">
        <w:rPr>
          <w:rFonts w:ascii="Arial" w:hAnsi="Arial" w:cs="Arial"/>
          <w:color w:val="000000" w:themeColor="text1"/>
          <w:sz w:val="22"/>
          <w:szCs w:val="22"/>
        </w:rPr>
        <w:t>2.0</w:t>
      </w:r>
      <w:r w:rsidRPr="00817ACB">
        <w:rPr>
          <w:rFonts w:ascii="Arial" w:hAnsi="Arial" w:cs="Arial"/>
          <w:color w:val="000000" w:themeColor="text1"/>
          <w:sz w:val="22"/>
          <w:szCs w:val="22"/>
        </w:rPr>
        <w:tab/>
        <w:t>Main Discussion</w:t>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t>3</w:t>
      </w:r>
    </w:p>
    <w:p w14:paraId="4D4D26E1" w14:textId="77777777" w:rsidR="009922CF" w:rsidRPr="00817ACB" w:rsidRDefault="009922CF" w:rsidP="009922CF">
      <w:pPr>
        <w:spacing w:line="360" w:lineRule="auto"/>
        <w:jc w:val="both"/>
        <w:rPr>
          <w:rFonts w:ascii="Arial" w:hAnsi="Arial" w:cs="Arial"/>
          <w:color w:val="000000" w:themeColor="text1"/>
          <w:sz w:val="22"/>
          <w:szCs w:val="22"/>
        </w:rPr>
      </w:pPr>
      <w:r w:rsidRPr="00817ACB">
        <w:rPr>
          <w:rFonts w:ascii="Arial" w:hAnsi="Arial" w:cs="Arial"/>
          <w:color w:val="000000" w:themeColor="text1"/>
          <w:sz w:val="22"/>
          <w:szCs w:val="22"/>
        </w:rPr>
        <w:t>2.1</w:t>
      </w:r>
      <w:r w:rsidRPr="00817ACB">
        <w:rPr>
          <w:rFonts w:ascii="Arial" w:hAnsi="Arial" w:cs="Arial"/>
          <w:color w:val="000000" w:themeColor="text1"/>
          <w:sz w:val="22"/>
          <w:szCs w:val="22"/>
        </w:rPr>
        <w:tab/>
        <w:t>Social Media, Anxiety, Depression and Emotional Wellbeing</w:t>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t>3</w:t>
      </w:r>
    </w:p>
    <w:p w14:paraId="23D95564" w14:textId="77777777" w:rsidR="009922CF" w:rsidRPr="00817ACB" w:rsidRDefault="009922CF" w:rsidP="009922CF">
      <w:pPr>
        <w:spacing w:line="360" w:lineRule="auto"/>
        <w:jc w:val="both"/>
        <w:rPr>
          <w:rFonts w:ascii="Arial" w:hAnsi="Arial" w:cs="Arial"/>
          <w:color w:val="000000" w:themeColor="text1"/>
          <w:sz w:val="22"/>
          <w:szCs w:val="22"/>
        </w:rPr>
      </w:pPr>
      <w:r w:rsidRPr="00817ACB">
        <w:rPr>
          <w:rFonts w:ascii="Arial" w:hAnsi="Arial" w:cs="Arial"/>
          <w:color w:val="000000" w:themeColor="text1"/>
          <w:sz w:val="22"/>
          <w:szCs w:val="22"/>
        </w:rPr>
        <w:t>2.2</w:t>
      </w:r>
      <w:r w:rsidRPr="00817ACB">
        <w:rPr>
          <w:rFonts w:ascii="Arial" w:hAnsi="Arial" w:cs="Arial"/>
          <w:color w:val="000000" w:themeColor="text1"/>
          <w:sz w:val="22"/>
          <w:szCs w:val="22"/>
        </w:rPr>
        <w:tab/>
        <w:t>Cyberbullying, sleeping disruption, and social comparison effects</w:t>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Pr>
          <w:rFonts w:ascii="Arial" w:hAnsi="Arial" w:cs="Arial"/>
          <w:color w:val="000000" w:themeColor="text1"/>
          <w:sz w:val="22"/>
          <w:szCs w:val="22"/>
        </w:rPr>
        <w:tab/>
      </w:r>
      <w:r w:rsidRPr="00817ACB">
        <w:rPr>
          <w:rFonts w:ascii="Arial" w:hAnsi="Arial" w:cs="Arial"/>
          <w:color w:val="000000" w:themeColor="text1"/>
          <w:sz w:val="22"/>
          <w:szCs w:val="22"/>
        </w:rPr>
        <w:t>4</w:t>
      </w:r>
    </w:p>
    <w:p w14:paraId="63AD9406" w14:textId="77777777" w:rsidR="009922CF" w:rsidRPr="00817ACB" w:rsidRDefault="009922CF" w:rsidP="009922CF">
      <w:pPr>
        <w:spacing w:line="360" w:lineRule="auto"/>
        <w:jc w:val="both"/>
        <w:rPr>
          <w:rFonts w:ascii="Arial" w:hAnsi="Arial" w:cs="Arial"/>
          <w:color w:val="000000" w:themeColor="text1"/>
          <w:sz w:val="22"/>
          <w:szCs w:val="22"/>
        </w:rPr>
      </w:pPr>
      <w:r w:rsidRPr="00817ACB">
        <w:rPr>
          <w:rFonts w:ascii="Arial" w:hAnsi="Arial" w:cs="Arial"/>
          <w:color w:val="000000" w:themeColor="text1"/>
          <w:sz w:val="22"/>
          <w:szCs w:val="22"/>
        </w:rPr>
        <w:t>2.3</w:t>
      </w:r>
      <w:r w:rsidRPr="00817ACB">
        <w:rPr>
          <w:rFonts w:ascii="Arial" w:hAnsi="Arial" w:cs="Arial"/>
          <w:color w:val="000000" w:themeColor="text1"/>
          <w:sz w:val="22"/>
          <w:szCs w:val="22"/>
        </w:rPr>
        <w:tab/>
        <w:t>Erikson’s Identity vs Role Confusion and Social Media identity formation</w:t>
      </w:r>
      <w:r w:rsidRPr="00817ACB">
        <w:rPr>
          <w:rFonts w:ascii="Arial" w:hAnsi="Arial" w:cs="Arial"/>
          <w:color w:val="000000" w:themeColor="text1"/>
          <w:sz w:val="22"/>
          <w:szCs w:val="22"/>
        </w:rPr>
        <w:tab/>
      </w:r>
      <w:r>
        <w:rPr>
          <w:rFonts w:ascii="Arial" w:hAnsi="Arial" w:cs="Arial"/>
          <w:color w:val="000000" w:themeColor="text1"/>
          <w:sz w:val="22"/>
          <w:szCs w:val="22"/>
        </w:rPr>
        <w:tab/>
      </w:r>
      <w:r w:rsidRPr="00817ACB">
        <w:rPr>
          <w:rFonts w:ascii="Arial" w:hAnsi="Arial" w:cs="Arial"/>
          <w:color w:val="000000" w:themeColor="text1"/>
          <w:sz w:val="22"/>
          <w:szCs w:val="22"/>
        </w:rPr>
        <w:t>4</w:t>
      </w:r>
    </w:p>
    <w:p w14:paraId="15149AF3" w14:textId="77777777" w:rsidR="009922CF" w:rsidRPr="00817ACB" w:rsidRDefault="009922CF" w:rsidP="009922CF">
      <w:pPr>
        <w:spacing w:line="360" w:lineRule="auto"/>
        <w:jc w:val="both"/>
        <w:rPr>
          <w:rFonts w:ascii="Arial" w:hAnsi="Arial" w:cs="Arial"/>
          <w:color w:val="000000" w:themeColor="text1"/>
          <w:sz w:val="22"/>
          <w:szCs w:val="22"/>
        </w:rPr>
      </w:pPr>
      <w:r w:rsidRPr="00817ACB">
        <w:rPr>
          <w:rFonts w:ascii="Arial" w:hAnsi="Arial" w:cs="Arial"/>
          <w:color w:val="000000" w:themeColor="text1"/>
          <w:sz w:val="22"/>
          <w:szCs w:val="22"/>
        </w:rPr>
        <w:t>2.4</w:t>
      </w:r>
      <w:r w:rsidRPr="00817ACB">
        <w:rPr>
          <w:rFonts w:ascii="Arial" w:hAnsi="Arial" w:cs="Arial"/>
          <w:color w:val="000000" w:themeColor="text1"/>
          <w:sz w:val="22"/>
          <w:szCs w:val="22"/>
        </w:rPr>
        <w:tab/>
        <w:t>Bowlby’s Attachment Theory and online relationships</w:t>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t>5</w:t>
      </w:r>
    </w:p>
    <w:p w14:paraId="52891DEA" w14:textId="77777777" w:rsidR="009922CF" w:rsidRPr="00817ACB" w:rsidRDefault="009922CF" w:rsidP="009922CF">
      <w:pPr>
        <w:spacing w:line="360" w:lineRule="auto"/>
        <w:jc w:val="both"/>
        <w:rPr>
          <w:rFonts w:ascii="Arial" w:hAnsi="Arial" w:cs="Arial"/>
          <w:color w:val="000000" w:themeColor="text1"/>
          <w:sz w:val="22"/>
          <w:szCs w:val="22"/>
        </w:rPr>
      </w:pPr>
      <w:r w:rsidRPr="00817ACB">
        <w:rPr>
          <w:rFonts w:ascii="Arial" w:hAnsi="Arial" w:cs="Arial"/>
          <w:color w:val="000000" w:themeColor="text1"/>
          <w:sz w:val="22"/>
          <w:szCs w:val="22"/>
        </w:rPr>
        <w:t>2.5</w:t>
      </w:r>
      <w:r w:rsidRPr="00817ACB">
        <w:rPr>
          <w:rFonts w:ascii="Arial" w:hAnsi="Arial" w:cs="Arial"/>
          <w:color w:val="000000" w:themeColor="text1"/>
          <w:sz w:val="22"/>
          <w:szCs w:val="22"/>
        </w:rPr>
        <w:tab/>
        <w:t>Biological and environmental influences on adolescent behaviour</w:t>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Pr>
          <w:rFonts w:ascii="Arial" w:hAnsi="Arial" w:cs="Arial"/>
          <w:color w:val="000000" w:themeColor="text1"/>
          <w:sz w:val="22"/>
          <w:szCs w:val="22"/>
        </w:rPr>
        <w:tab/>
      </w:r>
      <w:r w:rsidRPr="00817ACB">
        <w:rPr>
          <w:rFonts w:ascii="Arial" w:hAnsi="Arial" w:cs="Arial"/>
          <w:color w:val="000000" w:themeColor="text1"/>
          <w:sz w:val="22"/>
          <w:szCs w:val="22"/>
        </w:rPr>
        <w:t>6</w:t>
      </w:r>
    </w:p>
    <w:p w14:paraId="714D7857" w14:textId="77777777" w:rsidR="009922CF" w:rsidRPr="00817ACB" w:rsidRDefault="009922CF" w:rsidP="009922CF">
      <w:pPr>
        <w:spacing w:line="360" w:lineRule="auto"/>
        <w:jc w:val="both"/>
        <w:rPr>
          <w:rFonts w:ascii="Arial" w:hAnsi="Arial" w:cs="Arial"/>
          <w:color w:val="000000" w:themeColor="text1"/>
          <w:sz w:val="22"/>
          <w:szCs w:val="22"/>
        </w:rPr>
      </w:pPr>
      <w:r w:rsidRPr="00817ACB">
        <w:rPr>
          <w:rFonts w:ascii="Arial" w:hAnsi="Arial" w:cs="Arial"/>
          <w:color w:val="000000" w:themeColor="text1"/>
          <w:sz w:val="22"/>
          <w:szCs w:val="22"/>
        </w:rPr>
        <w:t>3.0</w:t>
      </w:r>
      <w:r w:rsidRPr="00817ACB">
        <w:rPr>
          <w:rFonts w:ascii="Arial" w:hAnsi="Arial" w:cs="Arial"/>
          <w:color w:val="000000" w:themeColor="text1"/>
          <w:sz w:val="22"/>
          <w:szCs w:val="22"/>
        </w:rPr>
        <w:tab/>
        <w:t>Conclusion</w:t>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t>7</w:t>
      </w:r>
    </w:p>
    <w:p w14:paraId="440E95BF" w14:textId="77777777" w:rsidR="009922CF" w:rsidRPr="00817ACB" w:rsidRDefault="009922CF" w:rsidP="009922CF">
      <w:pPr>
        <w:spacing w:line="240" w:lineRule="auto"/>
        <w:jc w:val="both"/>
        <w:rPr>
          <w:rFonts w:ascii="Arial" w:hAnsi="Arial" w:cs="Arial"/>
          <w:color w:val="000000" w:themeColor="text1"/>
          <w:sz w:val="22"/>
          <w:szCs w:val="22"/>
        </w:rPr>
      </w:pPr>
      <w:r w:rsidRPr="00817ACB">
        <w:rPr>
          <w:rFonts w:ascii="Arial" w:hAnsi="Arial" w:cs="Arial"/>
          <w:color w:val="000000" w:themeColor="text1"/>
          <w:sz w:val="22"/>
          <w:szCs w:val="22"/>
        </w:rPr>
        <w:t>4.0</w:t>
      </w:r>
      <w:r w:rsidRPr="00817ACB">
        <w:rPr>
          <w:rFonts w:ascii="Arial" w:hAnsi="Arial" w:cs="Arial"/>
          <w:color w:val="000000" w:themeColor="text1"/>
          <w:sz w:val="22"/>
          <w:szCs w:val="22"/>
        </w:rPr>
        <w:tab/>
        <w:t>References</w:t>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t>8</w:t>
      </w:r>
    </w:p>
    <w:p w14:paraId="7E9388D7" w14:textId="77777777" w:rsidR="009922CF" w:rsidRPr="00817ACB" w:rsidRDefault="009922CF" w:rsidP="009922CF">
      <w:pPr>
        <w:spacing w:line="360" w:lineRule="auto"/>
        <w:jc w:val="both"/>
        <w:rPr>
          <w:rFonts w:ascii="Arial" w:hAnsi="Arial" w:cs="Arial"/>
          <w:color w:val="000000" w:themeColor="text1"/>
          <w:sz w:val="22"/>
          <w:szCs w:val="22"/>
        </w:rPr>
      </w:pPr>
      <w:r w:rsidRPr="00817ACB">
        <w:rPr>
          <w:rFonts w:ascii="Arial" w:hAnsi="Arial" w:cs="Arial"/>
          <w:color w:val="000000" w:themeColor="text1"/>
          <w:sz w:val="22"/>
          <w:szCs w:val="22"/>
        </w:rPr>
        <w:t>5.0</w:t>
      </w:r>
      <w:r w:rsidRPr="00817ACB">
        <w:rPr>
          <w:rFonts w:ascii="Arial" w:hAnsi="Arial" w:cs="Arial"/>
          <w:color w:val="000000" w:themeColor="text1"/>
          <w:sz w:val="22"/>
          <w:szCs w:val="22"/>
        </w:rPr>
        <w:tab/>
        <w:t>Appendices</w:t>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r>
      <w:r w:rsidRPr="00817ACB">
        <w:rPr>
          <w:rFonts w:ascii="Arial" w:hAnsi="Arial" w:cs="Arial"/>
          <w:color w:val="000000" w:themeColor="text1"/>
          <w:sz w:val="22"/>
          <w:szCs w:val="22"/>
        </w:rPr>
        <w:tab/>
        <w:t>9</w:t>
      </w:r>
    </w:p>
    <w:p w14:paraId="7CF592BE" w14:textId="77777777" w:rsidR="009922CF" w:rsidRPr="00817ACB" w:rsidRDefault="009922CF" w:rsidP="009922CF">
      <w:pPr>
        <w:spacing w:line="240" w:lineRule="auto"/>
        <w:jc w:val="both"/>
        <w:rPr>
          <w:rFonts w:ascii="Arial" w:hAnsi="Arial" w:cs="Arial"/>
          <w:color w:val="000000" w:themeColor="text1"/>
          <w:sz w:val="22"/>
          <w:szCs w:val="22"/>
        </w:rPr>
      </w:pPr>
    </w:p>
    <w:p w14:paraId="740B7FED" w14:textId="77777777" w:rsidR="009922CF" w:rsidRPr="00817ACB" w:rsidRDefault="009922CF" w:rsidP="009922CF">
      <w:pPr>
        <w:spacing w:line="360" w:lineRule="auto"/>
        <w:jc w:val="both"/>
        <w:rPr>
          <w:rFonts w:ascii="Arial" w:hAnsi="Arial" w:cs="Arial"/>
          <w:color w:val="000000" w:themeColor="text1"/>
          <w:sz w:val="22"/>
          <w:szCs w:val="22"/>
        </w:rPr>
      </w:pPr>
    </w:p>
    <w:p w14:paraId="78379F81" w14:textId="77777777" w:rsidR="009922CF" w:rsidRPr="00817ACB" w:rsidRDefault="009922CF" w:rsidP="009922CF">
      <w:pPr>
        <w:spacing w:line="360" w:lineRule="auto"/>
        <w:jc w:val="both"/>
        <w:rPr>
          <w:rFonts w:ascii="Arial" w:hAnsi="Arial" w:cs="Arial"/>
          <w:color w:val="000000" w:themeColor="text1"/>
          <w:sz w:val="22"/>
          <w:szCs w:val="22"/>
        </w:rPr>
      </w:pPr>
    </w:p>
    <w:p w14:paraId="08EF142C" w14:textId="77777777" w:rsidR="009922CF" w:rsidRPr="00817ACB" w:rsidRDefault="009922CF" w:rsidP="009922CF">
      <w:pPr>
        <w:spacing w:line="360" w:lineRule="auto"/>
        <w:jc w:val="both"/>
        <w:rPr>
          <w:rFonts w:ascii="Arial" w:hAnsi="Arial" w:cs="Arial"/>
          <w:color w:val="000000" w:themeColor="text1"/>
          <w:sz w:val="22"/>
          <w:szCs w:val="22"/>
        </w:rPr>
      </w:pPr>
    </w:p>
    <w:p w14:paraId="56E59CA5" w14:textId="77777777" w:rsidR="009922CF" w:rsidRPr="00817ACB" w:rsidRDefault="009922CF" w:rsidP="009922CF">
      <w:pPr>
        <w:spacing w:line="360" w:lineRule="auto"/>
        <w:jc w:val="both"/>
        <w:rPr>
          <w:rFonts w:ascii="Arial" w:hAnsi="Arial" w:cs="Arial"/>
          <w:color w:val="000000" w:themeColor="text1"/>
          <w:sz w:val="22"/>
          <w:szCs w:val="22"/>
        </w:rPr>
      </w:pPr>
    </w:p>
    <w:p w14:paraId="41B75CC7" w14:textId="77777777" w:rsidR="009922CF" w:rsidRPr="00817ACB" w:rsidRDefault="009922CF" w:rsidP="009922CF">
      <w:pPr>
        <w:spacing w:line="360" w:lineRule="auto"/>
        <w:jc w:val="both"/>
        <w:rPr>
          <w:rFonts w:ascii="Arial" w:hAnsi="Arial" w:cs="Arial"/>
          <w:color w:val="000000" w:themeColor="text1"/>
          <w:sz w:val="22"/>
          <w:szCs w:val="22"/>
        </w:rPr>
      </w:pPr>
    </w:p>
    <w:p w14:paraId="326F1B48" w14:textId="77777777" w:rsidR="009922CF" w:rsidRPr="00817ACB" w:rsidRDefault="009922CF" w:rsidP="009922CF"/>
    <w:p w14:paraId="060852F3" w14:textId="77777777" w:rsidR="00E23B2E" w:rsidRPr="002460FC" w:rsidRDefault="00E23B2E" w:rsidP="002460FC">
      <w:pPr>
        <w:jc w:val="both"/>
        <w:rPr>
          <w:rFonts w:ascii="Arial" w:hAnsi="Arial" w:cs="Arial"/>
          <w:b/>
          <w:bCs/>
          <w:sz w:val="22"/>
          <w:szCs w:val="22"/>
        </w:rPr>
      </w:pPr>
    </w:p>
    <w:p w14:paraId="5722149C" w14:textId="77777777" w:rsidR="00E23B2E" w:rsidRPr="002460FC" w:rsidRDefault="00E23B2E" w:rsidP="002460FC">
      <w:pPr>
        <w:jc w:val="both"/>
        <w:rPr>
          <w:rFonts w:ascii="Arial" w:hAnsi="Arial" w:cs="Arial"/>
          <w:b/>
          <w:bCs/>
          <w:sz w:val="22"/>
          <w:szCs w:val="22"/>
        </w:rPr>
      </w:pPr>
    </w:p>
    <w:p w14:paraId="57BE6A00" w14:textId="77777777" w:rsidR="00E23B2E" w:rsidRPr="002460FC" w:rsidRDefault="00E23B2E" w:rsidP="002460FC">
      <w:pPr>
        <w:jc w:val="both"/>
        <w:rPr>
          <w:rFonts w:ascii="Arial" w:hAnsi="Arial" w:cs="Arial"/>
          <w:b/>
          <w:bCs/>
          <w:sz w:val="22"/>
          <w:szCs w:val="22"/>
        </w:rPr>
      </w:pPr>
    </w:p>
    <w:p w14:paraId="679D0415" w14:textId="77777777" w:rsidR="00E23B2E" w:rsidRPr="002460FC" w:rsidRDefault="00E23B2E" w:rsidP="002460FC">
      <w:pPr>
        <w:jc w:val="both"/>
        <w:rPr>
          <w:rFonts w:ascii="Arial" w:hAnsi="Arial" w:cs="Arial"/>
          <w:b/>
          <w:bCs/>
          <w:sz w:val="22"/>
          <w:szCs w:val="22"/>
        </w:rPr>
      </w:pPr>
    </w:p>
    <w:p w14:paraId="169F1F3F" w14:textId="77777777" w:rsidR="00E23B2E" w:rsidRPr="002460FC" w:rsidRDefault="00E23B2E" w:rsidP="002460FC">
      <w:pPr>
        <w:jc w:val="both"/>
        <w:rPr>
          <w:rFonts w:ascii="Arial" w:hAnsi="Arial" w:cs="Arial"/>
          <w:b/>
          <w:bCs/>
          <w:sz w:val="22"/>
          <w:szCs w:val="22"/>
        </w:rPr>
      </w:pPr>
    </w:p>
    <w:p w14:paraId="18FFB015" w14:textId="77777777" w:rsidR="00E23B2E" w:rsidRPr="002460FC" w:rsidRDefault="00E23B2E" w:rsidP="002460FC">
      <w:pPr>
        <w:jc w:val="both"/>
        <w:rPr>
          <w:rFonts w:ascii="Arial" w:hAnsi="Arial" w:cs="Arial"/>
          <w:b/>
          <w:bCs/>
          <w:sz w:val="22"/>
          <w:szCs w:val="22"/>
        </w:rPr>
      </w:pPr>
    </w:p>
    <w:p w14:paraId="167DB977" w14:textId="77777777" w:rsidR="00E23B2E" w:rsidRPr="002460FC" w:rsidRDefault="00E23B2E" w:rsidP="002460FC">
      <w:pPr>
        <w:spacing w:line="360" w:lineRule="auto"/>
        <w:jc w:val="both"/>
        <w:rPr>
          <w:rFonts w:ascii="Arial" w:hAnsi="Arial" w:cs="Arial"/>
          <w:b/>
          <w:bCs/>
          <w:color w:val="000000" w:themeColor="text1"/>
          <w:sz w:val="22"/>
          <w:szCs w:val="22"/>
        </w:rPr>
      </w:pPr>
      <w:r w:rsidRPr="002460FC">
        <w:rPr>
          <w:rFonts w:ascii="Arial" w:hAnsi="Arial" w:cs="Arial"/>
          <w:b/>
          <w:bCs/>
          <w:color w:val="000000" w:themeColor="text1"/>
          <w:sz w:val="22"/>
          <w:szCs w:val="22"/>
        </w:rPr>
        <w:t>1.0</w:t>
      </w:r>
      <w:r w:rsidRPr="002460FC">
        <w:rPr>
          <w:rFonts w:ascii="Arial" w:hAnsi="Arial" w:cs="Arial"/>
          <w:b/>
          <w:bCs/>
          <w:color w:val="000000" w:themeColor="text1"/>
          <w:sz w:val="22"/>
          <w:szCs w:val="22"/>
        </w:rPr>
        <w:tab/>
        <w:t>Introduction</w:t>
      </w:r>
    </w:p>
    <w:p w14:paraId="6F7B02AF" w14:textId="77777777" w:rsidR="00E23B2E" w:rsidRPr="002460FC" w:rsidRDefault="00E23B2E" w:rsidP="00511DD7">
      <w:pPr>
        <w:spacing w:line="360" w:lineRule="auto"/>
        <w:jc w:val="both"/>
        <w:rPr>
          <w:rFonts w:ascii="Arial" w:hAnsi="Arial" w:cs="Arial"/>
          <w:color w:val="000000" w:themeColor="text1"/>
          <w:sz w:val="22"/>
          <w:szCs w:val="22"/>
        </w:rPr>
      </w:pPr>
      <w:r w:rsidRPr="002460FC">
        <w:rPr>
          <w:rFonts w:ascii="Arial" w:hAnsi="Arial" w:cs="Arial"/>
          <w:color w:val="000000" w:themeColor="text1"/>
          <w:sz w:val="22"/>
          <w:szCs w:val="22"/>
        </w:rPr>
        <w:t>Adolescence is a critical developmental stage that occurs between the ages of 10 and 19. It is distinguished by rapid biological maturation, cognitive growth, and psychosocial transformations, particularly in identity formation and emotional control (World Health Organization, 2023). During this time, people become extremely vulnerable to peer influence and social approval, which has a huge impact on their mental health outcomes. Instagram, TikTok, Snapchat, and X (previously Twitter) are examples of social media platforms where users can create, share, and interact with material in real time (Ofcom, 2025). Adolescent use of social media is now nearly universal in the United Kingdom, with digital surroundings serving as the primary framework for social interaction and identity development.</w:t>
      </w:r>
    </w:p>
    <w:p w14:paraId="40FC5450" w14:textId="338FA3A7" w:rsidR="00240DCB" w:rsidRPr="002460FC" w:rsidRDefault="00E23B2E" w:rsidP="00511DD7">
      <w:pPr>
        <w:spacing w:line="360" w:lineRule="auto"/>
        <w:jc w:val="both"/>
        <w:rPr>
          <w:rFonts w:ascii="Arial" w:hAnsi="Arial" w:cs="Arial"/>
          <w:color w:val="000000" w:themeColor="text1"/>
          <w:sz w:val="22"/>
          <w:szCs w:val="22"/>
        </w:rPr>
      </w:pPr>
      <w:r w:rsidRPr="002460FC">
        <w:rPr>
          <w:rFonts w:ascii="Arial" w:hAnsi="Arial" w:cs="Arial"/>
          <w:color w:val="000000" w:themeColor="text1"/>
          <w:sz w:val="22"/>
          <w:szCs w:val="22"/>
        </w:rPr>
        <w:t>Increasing research connects social media use to mental health issues such as anxiety, depression, low self-esteem, cyberbullying exposure, body dissatisfaction, and sleep disturbance (Royal Society for Public Health, 2017). However, research has identified possible benefits such as peer support, identity exploration, and community belonging. This essay uses Erikson's Psychosocial Theory, notably the "Identity vs Role Confusion" stage, and Bowlby's Attachment Theory to critically explore how social media affects teenage mental health. It assesses both good and negative impacts using current UK evidence, providing a balanced and critical perspective.</w:t>
      </w:r>
    </w:p>
    <w:p w14:paraId="473F8C5B" w14:textId="77777777" w:rsidR="00CC2DBB" w:rsidRDefault="00CC2DBB" w:rsidP="00CC2DBB">
      <w:pPr>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t>2.0</w:t>
      </w:r>
      <w:r>
        <w:rPr>
          <w:rFonts w:ascii="Arial" w:hAnsi="Arial" w:cs="Arial"/>
          <w:b/>
          <w:bCs/>
          <w:color w:val="000000" w:themeColor="text1"/>
          <w:sz w:val="22"/>
          <w:szCs w:val="22"/>
        </w:rPr>
        <w:tab/>
        <w:t>Main Discussion</w:t>
      </w:r>
    </w:p>
    <w:p w14:paraId="1CFCB128" w14:textId="77777777" w:rsidR="00CC2DBB" w:rsidRPr="00CC2DBB" w:rsidRDefault="00CC2DBB" w:rsidP="00CC2DBB">
      <w:pPr>
        <w:spacing w:line="360" w:lineRule="auto"/>
        <w:jc w:val="both"/>
        <w:rPr>
          <w:rFonts w:ascii="Arial" w:hAnsi="Arial" w:cs="Arial"/>
          <w:color w:val="000000" w:themeColor="text1"/>
          <w:sz w:val="22"/>
          <w:szCs w:val="22"/>
        </w:rPr>
      </w:pPr>
      <w:r w:rsidRPr="00CC2DBB">
        <w:rPr>
          <w:rFonts w:ascii="Arial" w:hAnsi="Arial" w:cs="Arial"/>
          <w:color w:val="000000" w:themeColor="text1"/>
          <w:sz w:val="22"/>
          <w:szCs w:val="22"/>
        </w:rPr>
        <w:t>Social media has become a vital part of adolescents' everyday life, influencing their psychological well-being, social interactions, and identity formation. However, its impact on mental health is multifaceted and cannot be categorised as totally positive or negative. According to current studies, the impact of social media is heavily influenced by how adolescents interact with digital platforms, the type of information they consume, the frequency of use, and individual psychological and environmental variables (Ofcom, 2025; UK Health Security Agency (UKHSA), 2023). As a result, knowing active and passive social media use, as well as content exposure, helps to explain why social media contributes to both positive and bad mental health outcomes in teenagers.</w:t>
      </w:r>
    </w:p>
    <w:p w14:paraId="79C36C14" w14:textId="77777777" w:rsidR="00CC2DBB" w:rsidRDefault="00CC2DBB" w:rsidP="00CC2DBB">
      <w:pPr>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t>2.1</w:t>
      </w:r>
      <w:r>
        <w:rPr>
          <w:rFonts w:ascii="Arial" w:hAnsi="Arial" w:cs="Arial"/>
          <w:b/>
          <w:bCs/>
          <w:color w:val="000000" w:themeColor="text1"/>
          <w:sz w:val="22"/>
          <w:szCs w:val="22"/>
        </w:rPr>
        <w:tab/>
        <w:t>Social Media, Anxiety, Depression and Emotional Wellbeing</w:t>
      </w:r>
    </w:p>
    <w:p w14:paraId="0162553E" w14:textId="7D68A54C" w:rsidR="00CC2DBB" w:rsidRPr="00CC2DBB" w:rsidRDefault="00CC2DBB" w:rsidP="00CC2DBB">
      <w:pPr>
        <w:spacing w:line="360" w:lineRule="auto"/>
        <w:jc w:val="both"/>
        <w:rPr>
          <w:rFonts w:ascii="Arial" w:hAnsi="Arial" w:cs="Arial"/>
          <w:color w:val="000000" w:themeColor="text1"/>
          <w:sz w:val="22"/>
          <w:szCs w:val="22"/>
        </w:rPr>
      </w:pPr>
      <w:r w:rsidRPr="00CC2DBB">
        <w:rPr>
          <w:rFonts w:ascii="Arial" w:hAnsi="Arial" w:cs="Arial"/>
          <w:color w:val="000000" w:themeColor="text1"/>
          <w:sz w:val="22"/>
          <w:szCs w:val="22"/>
        </w:rPr>
        <w:t>Excessive social media use is consistently associated with lower emotional well-being among adolescents, according to research. However, this link is influenced not only by how much time young people spend online, but also by how they interact with social media platforms (Ofcom, 2025</w:t>
      </w:r>
      <w:r>
        <w:rPr>
          <w:rFonts w:ascii="Arial" w:hAnsi="Arial" w:cs="Arial"/>
          <w:color w:val="000000" w:themeColor="text1"/>
          <w:sz w:val="22"/>
          <w:szCs w:val="22"/>
        </w:rPr>
        <w:t xml:space="preserve"> and</w:t>
      </w:r>
      <w:r w:rsidRPr="00CC2DBB">
        <w:rPr>
          <w:rFonts w:ascii="Arial" w:hAnsi="Arial" w:cs="Arial"/>
          <w:color w:val="000000" w:themeColor="text1"/>
          <w:sz w:val="22"/>
          <w:szCs w:val="22"/>
        </w:rPr>
        <w:t xml:space="preserve"> NICE, 2022). Adolescence is marked by greater sensitivity to peer validation, identity discovery, and emotional regulation, making young people especially vulnerable to the psychological effects of digital settings (World Health Organi</w:t>
      </w:r>
      <w:r>
        <w:rPr>
          <w:rFonts w:ascii="Arial" w:hAnsi="Arial" w:cs="Arial"/>
          <w:color w:val="000000" w:themeColor="text1"/>
          <w:sz w:val="22"/>
          <w:szCs w:val="22"/>
        </w:rPr>
        <w:t>s</w:t>
      </w:r>
      <w:r w:rsidRPr="00CC2DBB">
        <w:rPr>
          <w:rFonts w:ascii="Arial" w:hAnsi="Arial" w:cs="Arial"/>
          <w:color w:val="000000" w:themeColor="text1"/>
          <w:sz w:val="22"/>
          <w:szCs w:val="22"/>
        </w:rPr>
        <w:t>ation, 2023).</w:t>
      </w:r>
    </w:p>
    <w:p w14:paraId="26D9A5F5" w14:textId="064D71C0" w:rsidR="00CC2DBB" w:rsidRPr="00CC2DBB" w:rsidRDefault="00CC2DBB" w:rsidP="00CC2DBB">
      <w:pPr>
        <w:spacing w:line="360" w:lineRule="auto"/>
        <w:jc w:val="both"/>
        <w:rPr>
          <w:rFonts w:ascii="Arial" w:hAnsi="Arial" w:cs="Arial"/>
          <w:color w:val="000000" w:themeColor="text1"/>
          <w:sz w:val="22"/>
          <w:szCs w:val="22"/>
        </w:rPr>
      </w:pPr>
      <w:r w:rsidRPr="00CC2DBB">
        <w:rPr>
          <w:rFonts w:ascii="Arial" w:hAnsi="Arial" w:cs="Arial"/>
          <w:color w:val="000000" w:themeColor="text1"/>
          <w:sz w:val="22"/>
          <w:szCs w:val="22"/>
        </w:rPr>
        <w:t>Active social media usage includes direct contact activities such as submitting content, commenting, communicating, exchanging information, participating in online conversations, and sustaining social relationships (Ofcom, 2025). Active participation can improve teenagers' mental health by boosting social connectedness, providing emotional support, and stimulating meaningful conversation. Adolescents who actively participate in supportive online communities, especially those suffering from chronic illness, disability, or social isolation, frequently report less loneliness, increased self-confidence, and a stronger sense of belonging (Royal College of Psychiatrists, 2023</w:t>
      </w:r>
      <w:r>
        <w:rPr>
          <w:rFonts w:ascii="Arial" w:hAnsi="Arial" w:cs="Arial"/>
          <w:color w:val="000000" w:themeColor="text1"/>
          <w:sz w:val="22"/>
          <w:szCs w:val="22"/>
        </w:rPr>
        <w:t xml:space="preserve"> and </w:t>
      </w:r>
      <w:r w:rsidRPr="00CC2DBB">
        <w:rPr>
          <w:rFonts w:ascii="Arial" w:hAnsi="Arial" w:cs="Arial"/>
          <w:color w:val="000000" w:themeColor="text1"/>
          <w:sz w:val="22"/>
          <w:szCs w:val="22"/>
        </w:rPr>
        <w:t>UKHSA, 2023). Furthermore, active involvement allows young people to express themselves artistically, explore their identities, and have access to mental health information, which may lead to early help-seeking behaviour (NICE, 2022 and Royal College of Psychiatrists, 2023).</w:t>
      </w:r>
    </w:p>
    <w:p w14:paraId="717B9C6D" w14:textId="77777777" w:rsidR="00CC2DBB" w:rsidRPr="00CC2DBB" w:rsidRDefault="00CC2DBB" w:rsidP="00CC2DBB">
      <w:pPr>
        <w:spacing w:line="360" w:lineRule="auto"/>
        <w:jc w:val="both"/>
        <w:rPr>
          <w:rFonts w:ascii="Arial" w:hAnsi="Arial" w:cs="Arial"/>
          <w:color w:val="000000" w:themeColor="text1"/>
          <w:sz w:val="22"/>
          <w:szCs w:val="22"/>
        </w:rPr>
      </w:pPr>
      <w:r w:rsidRPr="00CC2DBB">
        <w:rPr>
          <w:rFonts w:ascii="Arial" w:hAnsi="Arial" w:cs="Arial"/>
          <w:color w:val="000000" w:themeColor="text1"/>
          <w:sz w:val="22"/>
          <w:szCs w:val="22"/>
        </w:rPr>
        <w:t>Despite these advantages, active engagement poses problems when teenagers become emotionally dependent on online approbation. Continuous monitoring of likes, comments, follows, and shares may promote external validation, causing self-esteem to fluctuate in response to digital input rather than internal confidence (Royal College of Psychiatrists, 2023). As a result, teenagers who identify self-worth with online popularity may suffer increased anxiety, disappointment, and depression symptoms when expected social reinforcement is not there (UKHSA, 2023).</w:t>
      </w:r>
    </w:p>
    <w:p w14:paraId="1206A56B" w14:textId="77777777" w:rsidR="00CC2DBB" w:rsidRPr="00CC2DBB" w:rsidRDefault="00CC2DBB" w:rsidP="00CC2DBB">
      <w:pPr>
        <w:spacing w:line="360" w:lineRule="auto"/>
        <w:jc w:val="both"/>
        <w:rPr>
          <w:rFonts w:ascii="Arial" w:hAnsi="Arial" w:cs="Arial"/>
          <w:color w:val="000000" w:themeColor="text1"/>
          <w:sz w:val="22"/>
          <w:szCs w:val="22"/>
        </w:rPr>
      </w:pPr>
      <w:r w:rsidRPr="00CC2DBB">
        <w:rPr>
          <w:rFonts w:ascii="Arial" w:hAnsi="Arial" w:cs="Arial"/>
          <w:color w:val="000000" w:themeColor="text1"/>
          <w:sz w:val="22"/>
          <w:szCs w:val="22"/>
        </w:rPr>
        <w:t>Passive social media usage, on the other hand, entails observing rather than interacting, such as skimming through feeds, watching videos, examining images, and reading postings without actively participating (Ofcom, 2025). According to current findings, passive use poses more psychological dangers than active participation because it encourages continuous exposure to idealised representations of others without genuine social connection (NICE, 2022). Continuous exposure to well edited lives promotes upward social comparison, causing adolescents to believe they are less attractive, successful, or socially accepted than their classmates (Royal College of Psychiatrists, 2023). These comparisons frequently lower self-esteem and exacerbate anxiety, despair, loneliness, and emotional discontent (UKHSA, 2023; Ofcom, 2025).</w:t>
      </w:r>
    </w:p>
    <w:p w14:paraId="22936754" w14:textId="77777777" w:rsidR="00CC2DBB" w:rsidRPr="00CC2DBB" w:rsidRDefault="00CC2DBB" w:rsidP="00CC2DBB">
      <w:pPr>
        <w:spacing w:line="360" w:lineRule="auto"/>
        <w:jc w:val="both"/>
        <w:rPr>
          <w:rFonts w:ascii="Arial" w:hAnsi="Arial" w:cs="Arial"/>
          <w:color w:val="000000" w:themeColor="text1"/>
          <w:sz w:val="22"/>
          <w:szCs w:val="22"/>
        </w:rPr>
      </w:pPr>
      <w:r w:rsidRPr="00CC2DBB">
        <w:rPr>
          <w:rFonts w:ascii="Arial" w:hAnsi="Arial" w:cs="Arial"/>
          <w:color w:val="000000" w:themeColor="text1"/>
          <w:sz w:val="22"/>
          <w:szCs w:val="22"/>
        </w:rPr>
        <w:t>Passive browsing also adds to Fear of Missing Out (FOMO), in which adolescents are always concerned that others are having pleasant experiences without them. This frequently leads to compulsive checking behaviours, excessive screen time, emotional weariness, and increased psychological distress (NICE, 2022). As a result, while social media can promote emotional well-being when utilised actively and purposefully, passive and excessive interaction is consistently associated with lower mental health outcomes among adolescents.</w:t>
      </w:r>
    </w:p>
    <w:p w14:paraId="05CD22C5" w14:textId="052D762C" w:rsidR="00CC2DBB" w:rsidRPr="00CC2DBB" w:rsidRDefault="00CC2DBB" w:rsidP="00CC2DBB">
      <w:pPr>
        <w:spacing w:line="360" w:lineRule="auto"/>
        <w:jc w:val="both"/>
        <w:rPr>
          <w:rFonts w:ascii="Arial" w:hAnsi="Arial" w:cs="Arial"/>
          <w:color w:val="000000" w:themeColor="text1"/>
          <w:sz w:val="22"/>
          <w:szCs w:val="22"/>
        </w:rPr>
      </w:pPr>
      <w:r w:rsidRPr="00CC2DBB">
        <w:rPr>
          <w:rFonts w:ascii="Arial" w:hAnsi="Arial" w:cs="Arial"/>
          <w:color w:val="000000" w:themeColor="text1"/>
          <w:sz w:val="22"/>
          <w:szCs w:val="22"/>
        </w:rPr>
        <w:t>Another major factor influencing teenage mental health is content exposure. Social media algorithms tailor content based on previous interactions, boosting exposure to similar information and reinforcing existing behaviours (Ofcom, 2025). Educational resources, mental health awareness campaigns, peer support groups, inspirational stories, and health promotion programs are all examples of positive content exposure. Such information increases mental health literacy, lowers stigma associated with mental illness, builds resilience, and encourages teenagers to seek professional help when needed (Royal College of Psychiatrists, 2023</w:t>
      </w:r>
      <w:r>
        <w:rPr>
          <w:rFonts w:ascii="Arial" w:hAnsi="Arial" w:cs="Arial"/>
          <w:color w:val="000000" w:themeColor="text1"/>
          <w:sz w:val="22"/>
          <w:szCs w:val="22"/>
        </w:rPr>
        <w:t xml:space="preserve"> and</w:t>
      </w:r>
      <w:r w:rsidRPr="00CC2DBB">
        <w:rPr>
          <w:rFonts w:ascii="Arial" w:hAnsi="Arial" w:cs="Arial"/>
          <w:color w:val="000000" w:themeColor="text1"/>
          <w:sz w:val="22"/>
          <w:szCs w:val="22"/>
        </w:rPr>
        <w:t xml:space="preserve"> UKHSA, 2023).</w:t>
      </w:r>
    </w:p>
    <w:p w14:paraId="12003FDC" w14:textId="3C3A2CC1" w:rsidR="00BB689B" w:rsidRPr="00BB689B" w:rsidRDefault="00BB689B" w:rsidP="00CC2DBB">
      <w:pPr>
        <w:spacing w:line="360" w:lineRule="auto"/>
        <w:jc w:val="both"/>
        <w:rPr>
          <w:rFonts w:ascii="Arial" w:hAnsi="Arial" w:cs="Arial"/>
          <w:color w:val="000000" w:themeColor="text1"/>
          <w:sz w:val="22"/>
          <w:szCs w:val="22"/>
        </w:rPr>
      </w:pPr>
      <w:r w:rsidRPr="00BB689B">
        <w:rPr>
          <w:rFonts w:ascii="Arial" w:hAnsi="Arial" w:cs="Arial"/>
          <w:color w:val="000000" w:themeColor="text1"/>
          <w:sz w:val="22"/>
          <w:szCs w:val="22"/>
        </w:rPr>
        <w:t>Conversely, repeated exposure to dangerous content dramatically raises psychological risk. Adolescents are frequently exposed to cyberbullying, unrealistic beauty standards, misinformation, appearance-focused influencers, violent material, and self-harm content, all of which have been linked to increased anxiety, depressive symptoms, body dissatisfaction, and emotional distress (NICE, 2022</w:t>
      </w:r>
      <w:r>
        <w:rPr>
          <w:rFonts w:ascii="Arial" w:hAnsi="Arial" w:cs="Arial"/>
          <w:color w:val="000000" w:themeColor="text1"/>
          <w:sz w:val="22"/>
          <w:szCs w:val="22"/>
        </w:rPr>
        <w:t xml:space="preserve"> and </w:t>
      </w:r>
      <w:r w:rsidRPr="00BB689B">
        <w:rPr>
          <w:rFonts w:ascii="Arial" w:hAnsi="Arial" w:cs="Arial"/>
          <w:color w:val="000000" w:themeColor="text1"/>
          <w:sz w:val="22"/>
          <w:szCs w:val="22"/>
        </w:rPr>
        <w:t>British Psychological Society, 2023). Algorithmic amplification exacerbates these dangers by constantly proposing emotionally charged or appearance-based content, resulting in negative feedback loops that promote poor mental health in vulnerable teenagers (Ofcom, 2025). When assessing the impact of social media on adolescent well-being, the quality of online content is just as essential as the duration of use.</w:t>
      </w:r>
    </w:p>
    <w:p w14:paraId="08C4C7ED" w14:textId="6FCE8374" w:rsidR="00BB689B" w:rsidRPr="00BB689B" w:rsidRDefault="00BB689B" w:rsidP="00CC2DBB">
      <w:pPr>
        <w:spacing w:line="360" w:lineRule="auto"/>
        <w:jc w:val="both"/>
        <w:rPr>
          <w:rFonts w:ascii="Arial" w:hAnsi="Arial" w:cs="Arial"/>
          <w:color w:val="000000" w:themeColor="text1"/>
          <w:sz w:val="22"/>
          <w:szCs w:val="22"/>
        </w:rPr>
      </w:pPr>
      <w:r w:rsidRPr="00BB689B">
        <w:rPr>
          <w:rFonts w:ascii="Arial" w:hAnsi="Arial" w:cs="Arial"/>
          <w:color w:val="000000" w:themeColor="text1"/>
          <w:sz w:val="22"/>
          <w:szCs w:val="22"/>
        </w:rPr>
        <w:t>Overall, social media has positive and negative effects on teenage mental health. Positively, it promotes communication, emotional support, identity development, creativity, and access to mental health resources, hence increasing resilience and decreasing social isolation (Royal College of Psychiatrists, 2023</w:t>
      </w:r>
      <w:r>
        <w:rPr>
          <w:rFonts w:ascii="Arial" w:hAnsi="Arial" w:cs="Arial"/>
          <w:color w:val="000000" w:themeColor="text1"/>
          <w:sz w:val="22"/>
          <w:szCs w:val="22"/>
        </w:rPr>
        <w:t xml:space="preserve"> and</w:t>
      </w:r>
      <w:r w:rsidRPr="00BB689B">
        <w:rPr>
          <w:rFonts w:ascii="Arial" w:hAnsi="Arial" w:cs="Arial"/>
          <w:color w:val="000000" w:themeColor="text1"/>
          <w:sz w:val="22"/>
          <w:szCs w:val="22"/>
        </w:rPr>
        <w:t xml:space="preserve"> UKHSA, 2023). However, these advantages are frequently negated when adolescents engage in excessive screen time, unhealthy social comparison, online validation-seeking, cyberbullying, sleep disturbance, and prolonged exposure to dangerous digital content (NICE, 2022</w:t>
      </w:r>
      <w:r>
        <w:rPr>
          <w:rFonts w:ascii="Arial" w:hAnsi="Arial" w:cs="Arial"/>
          <w:color w:val="000000" w:themeColor="text1"/>
          <w:sz w:val="22"/>
          <w:szCs w:val="22"/>
        </w:rPr>
        <w:t xml:space="preserve"> and </w:t>
      </w:r>
      <w:r w:rsidRPr="00BB689B">
        <w:rPr>
          <w:rFonts w:ascii="Arial" w:hAnsi="Arial" w:cs="Arial"/>
          <w:color w:val="000000" w:themeColor="text1"/>
          <w:sz w:val="22"/>
          <w:szCs w:val="22"/>
        </w:rPr>
        <w:t>Ofcom, 2025). As a result, recent evidence suggests that the impact of social media is determined less by the technology itself than by patterns of use, the quality of online interactions, and adolescents' existing psychological resilience and social support systems.</w:t>
      </w:r>
    </w:p>
    <w:p w14:paraId="70F00585" w14:textId="5EF11AC4" w:rsidR="00BB689B" w:rsidRDefault="00BB689B" w:rsidP="00CC2DBB">
      <w:pPr>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t>2.2</w:t>
      </w:r>
      <w:r>
        <w:rPr>
          <w:rFonts w:ascii="Arial" w:hAnsi="Arial" w:cs="Arial"/>
          <w:b/>
          <w:bCs/>
          <w:color w:val="000000" w:themeColor="text1"/>
          <w:sz w:val="22"/>
          <w:szCs w:val="22"/>
        </w:rPr>
        <w:tab/>
        <w:t>Cyberbullying, Sleeping Disruption and Social Comparison Effects</w:t>
      </w:r>
    </w:p>
    <w:p w14:paraId="3FC28125" w14:textId="33980BEE" w:rsidR="00BB689B" w:rsidRDefault="00BB689B" w:rsidP="00CC2DBB">
      <w:pPr>
        <w:spacing w:line="360" w:lineRule="auto"/>
        <w:jc w:val="both"/>
        <w:rPr>
          <w:rFonts w:ascii="Arial" w:hAnsi="Arial" w:cs="Arial"/>
          <w:b/>
          <w:bCs/>
          <w:color w:val="000000" w:themeColor="text1"/>
          <w:sz w:val="22"/>
          <w:szCs w:val="22"/>
        </w:rPr>
      </w:pPr>
      <w:r w:rsidRPr="00BB689B">
        <w:rPr>
          <w:rFonts w:ascii="Arial" w:hAnsi="Arial" w:cs="Arial"/>
          <w:color w:val="000000" w:themeColor="text1"/>
          <w:sz w:val="22"/>
          <w:szCs w:val="22"/>
        </w:rPr>
        <w:t>Cyberbullying is still one of the most harmful outcomes of adolescent social media use because it can occur on a continuous, anonymous basis and outside of school settings. Unlike conventional bullying, damaging internet content can be widely disseminated, remain permanently available, and regularly subject victims to psychological trauma (NHS Digital, 2024). Adolescents who have experienced cyberbullying are much more likely to express anxiety, despair, emotional withdrawal, self-harm, suicide thoughts, and lower academic engagement than those who have not (NHS Digital, 2024</w:t>
      </w:r>
      <w:r>
        <w:rPr>
          <w:rFonts w:ascii="Arial" w:hAnsi="Arial" w:cs="Arial"/>
          <w:color w:val="000000" w:themeColor="text1"/>
          <w:sz w:val="22"/>
          <w:szCs w:val="22"/>
        </w:rPr>
        <w:t xml:space="preserve"> and </w:t>
      </w:r>
      <w:r w:rsidRPr="00BB689B">
        <w:rPr>
          <w:rFonts w:ascii="Arial" w:hAnsi="Arial" w:cs="Arial"/>
          <w:color w:val="000000" w:themeColor="text1"/>
          <w:sz w:val="22"/>
          <w:szCs w:val="22"/>
        </w:rPr>
        <w:t>UKHSA, 2023). The permanency and public visibility of online abuse frequently exacerbate emotional pain, making rehabilitation more difficult than in-person bullying</w:t>
      </w:r>
      <w:r w:rsidRPr="00BB689B">
        <w:rPr>
          <w:rFonts w:ascii="Arial" w:hAnsi="Arial" w:cs="Arial"/>
          <w:b/>
          <w:bCs/>
          <w:color w:val="000000" w:themeColor="text1"/>
          <w:sz w:val="22"/>
          <w:szCs w:val="22"/>
        </w:rPr>
        <w:t>.</w:t>
      </w:r>
    </w:p>
    <w:p w14:paraId="69BF995A" w14:textId="77777777" w:rsidR="00BB689B" w:rsidRPr="00BB689B" w:rsidRDefault="00BB689B" w:rsidP="00CC2DBB">
      <w:pPr>
        <w:spacing w:line="360" w:lineRule="auto"/>
        <w:jc w:val="both"/>
        <w:rPr>
          <w:rFonts w:ascii="Arial" w:hAnsi="Arial" w:cs="Arial"/>
          <w:color w:val="000000" w:themeColor="text1"/>
          <w:sz w:val="22"/>
          <w:szCs w:val="22"/>
        </w:rPr>
      </w:pPr>
      <w:r w:rsidRPr="00BB689B">
        <w:rPr>
          <w:rFonts w:ascii="Arial" w:hAnsi="Arial" w:cs="Arial"/>
          <w:color w:val="000000" w:themeColor="text1"/>
          <w:sz w:val="22"/>
          <w:szCs w:val="22"/>
        </w:rPr>
        <w:t>Excessive social media use impairs teenage sleep patterns. Evening screen time exposes teenagers to blue light while boosting emotional and cognitive stimulation, delaying melatonin generation, and decreasing sleep quality and length (British Psychological Society, 2023). Poor sleep is directly linked to decreased focus, irritability, emotional dysregulation, anxiety, depressive symptoms, and worse educational success (British Psychological Society, 2023). Importantly, this association is bidirectional, since teenagers suffering from anxiety or depression frequently utilise social media during moments of insomnia, continuing a cycle of poor mental health.</w:t>
      </w:r>
    </w:p>
    <w:p w14:paraId="3E94DF8E" w14:textId="19BAEF77" w:rsidR="00BB689B" w:rsidRPr="00BB689B" w:rsidRDefault="00BB689B" w:rsidP="002460FC">
      <w:pPr>
        <w:spacing w:line="360" w:lineRule="auto"/>
        <w:jc w:val="both"/>
        <w:rPr>
          <w:rFonts w:ascii="Arial" w:hAnsi="Arial" w:cs="Arial"/>
          <w:color w:val="000000" w:themeColor="text1"/>
          <w:sz w:val="22"/>
          <w:szCs w:val="22"/>
        </w:rPr>
      </w:pPr>
      <w:r w:rsidRPr="00BB689B">
        <w:rPr>
          <w:rFonts w:ascii="Arial" w:hAnsi="Arial" w:cs="Arial"/>
          <w:color w:val="000000" w:themeColor="text1"/>
          <w:sz w:val="22"/>
          <w:szCs w:val="22"/>
        </w:rPr>
        <w:t>Social comparison further shows why social media has a negative impact on psychological well-being. Adolescents are regularly exposed to highly curated images that depict unattainable standards of beauty, prosperity, and happiness. Frequent comparison to these idealised images leads to body dissatisfaction, low self-esteem, and poor emotional well-being, especially among female teenagers (Ofcom, 2025</w:t>
      </w:r>
      <w:r>
        <w:rPr>
          <w:rFonts w:ascii="Arial" w:hAnsi="Arial" w:cs="Arial"/>
          <w:color w:val="000000" w:themeColor="text1"/>
          <w:sz w:val="22"/>
          <w:szCs w:val="22"/>
        </w:rPr>
        <w:t xml:space="preserve"> and</w:t>
      </w:r>
      <w:r w:rsidRPr="00BB689B">
        <w:rPr>
          <w:rFonts w:ascii="Arial" w:hAnsi="Arial" w:cs="Arial"/>
          <w:color w:val="000000" w:themeColor="text1"/>
          <w:sz w:val="22"/>
          <w:szCs w:val="22"/>
        </w:rPr>
        <w:t xml:space="preserve"> NICE, 2022). Nonetheless, digital literacy education, parental participation, and critical media awareness can help adolescents identify manipulative digital information and algorithmic influence, reducing susceptibility to unrealistic online comparisons (Ofcom, 2025). As a result, while cyberbullying, interrupted sleep, and social comparison pose significant risks, their impacts can be minimised by supportive family interactions, digital education, and appropriate mental health therapies.</w:t>
      </w:r>
    </w:p>
    <w:p w14:paraId="2CA55A24" w14:textId="3F01AE9F" w:rsidR="006825FA" w:rsidRPr="002460FC" w:rsidRDefault="006825FA" w:rsidP="002460FC">
      <w:pPr>
        <w:spacing w:line="360" w:lineRule="auto"/>
        <w:jc w:val="both"/>
        <w:rPr>
          <w:rFonts w:ascii="Arial" w:hAnsi="Arial" w:cs="Arial"/>
          <w:b/>
          <w:bCs/>
          <w:color w:val="000000" w:themeColor="text1"/>
          <w:sz w:val="22"/>
          <w:szCs w:val="22"/>
        </w:rPr>
      </w:pPr>
      <w:r w:rsidRPr="002460FC">
        <w:rPr>
          <w:rFonts w:ascii="Arial" w:hAnsi="Arial" w:cs="Arial"/>
          <w:b/>
          <w:bCs/>
          <w:color w:val="000000" w:themeColor="text1"/>
          <w:sz w:val="22"/>
          <w:szCs w:val="22"/>
        </w:rPr>
        <w:t>3.0</w:t>
      </w:r>
      <w:r w:rsidRPr="002460FC">
        <w:rPr>
          <w:rFonts w:ascii="Arial" w:hAnsi="Arial" w:cs="Arial"/>
          <w:b/>
          <w:bCs/>
          <w:color w:val="000000" w:themeColor="text1"/>
          <w:sz w:val="22"/>
          <w:szCs w:val="22"/>
        </w:rPr>
        <w:tab/>
        <w:t>Conclusion</w:t>
      </w:r>
    </w:p>
    <w:p w14:paraId="712B11DF" w14:textId="729BB217" w:rsidR="006825FA" w:rsidRPr="002460FC" w:rsidRDefault="006825FA" w:rsidP="002460FC">
      <w:pPr>
        <w:spacing w:line="360" w:lineRule="auto"/>
        <w:jc w:val="both"/>
        <w:rPr>
          <w:rFonts w:ascii="Arial" w:hAnsi="Arial" w:cs="Arial"/>
          <w:color w:val="000000" w:themeColor="text1"/>
          <w:sz w:val="22"/>
          <w:szCs w:val="22"/>
        </w:rPr>
      </w:pPr>
      <w:r w:rsidRPr="002460FC">
        <w:rPr>
          <w:rFonts w:ascii="Arial" w:hAnsi="Arial" w:cs="Arial"/>
          <w:color w:val="000000" w:themeColor="text1"/>
          <w:sz w:val="22"/>
          <w:szCs w:val="22"/>
        </w:rPr>
        <w:t>Social media has a complicated, multidimensional impact on adolescent mental health in the United Kingdom. While technology provides chances for social connection, identity discovery, and emotional support, it also carries considerable hazards, such as anxiety, depression, cyberbullying, sleep disruption, and body image dissatisfaction. According to the literature, these risks are especially high among vulnerable teenagers who have little offline support or unstable attachment styles.</w:t>
      </w:r>
    </w:p>
    <w:p w14:paraId="0898A37F" w14:textId="6760B3A0" w:rsidR="00240DCB" w:rsidRPr="002460FC" w:rsidRDefault="006825FA" w:rsidP="002460FC">
      <w:pPr>
        <w:spacing w:line="360" w:lineRule="auto"/>
        <w:jc w:val="both"/>
        <w:rPr>
          <w:rFonts w:ascii="Arial" w:hAnsi="Arial" w:cs="Arial"/>
          <w:color w:val="000000" w:themeColor="text1"/>
          <w:sz w:val="22"/>
          <w:szCs w:val="22"/>
        </w:rPr>
      </w:pPr>
      <w:r w:rsidRPr="002460FC">
        <w:rPr>
          <w:rFonts w:ascii="Arial" w:hAnsi="Arial" w:cs="Arial"/>
          <w:color w:val="000000" w:themeColor="text1"/>
          <w:sz w:val="22"/>
          <w:szCs w:val="22"/>
        </w:rPr>
        <w:t>Erikson's Psychosocial Theory sheds light on how online feedback and social comparison processes create identity, whereas Bowlby's Attachment Theory describes how emotional dependency and validation-seeking behaviours emerge in digital contexts. However, both theories are limited in their ability to address algorithmic amplification and modern digital interaction patterns.</w:t>
      </w:r>
      <w:r w:rsidR="00511DD7">
        <w:rPr>
          <w:rFonts w:ascii="Arial" w:hAnsi="Arial" w:cs="Arial"/>
          <w:color w:val="000000" w:themeColor="text1"/>
          <w:sz w:val="22"/>
          <w:szCs w:val="22"/>
        </w:rPr>
        <w:t xml:space="preserve"> </w:t>
      </w:r>
      <w:r w:rsidRPr="002460FC">
        <w:rPr>
          <w:rFonts w:ascii="Arial" w:hAnsi="Arial" w:cs="Arial"/>
          <w:color w:val="000000" w:themeColor="text1"/>
          <w:sz w:val="22"/>
          <w:szCs w:val="22"/>
        </w:rPr>
        <w:t>Overall, social media should not be considered intrinsically detrimental or good. Its impact is determined by consumption patterns, individual psychological characteristics, and environmental factors. To optimise benefits while minimising harm, a balanced approach that includes digital literacy education, parental involvement, mental health assistance, and effective policy regulation is required.</w:t>
      </w:r>
    </w:p>
    <w:p w14:paraId="3A654E25" w14:textId="77777777" w:rsidR="00240DCB" w:rsidRPr="002460FC" w:rsidRDefault="00240DCB" w:rsidP="002460FC">
      <w:pPr>
        <w:jc w:val="both"/>
        <w:rPr>
          <w:rFonts w:ascii="Arial" w:hAnsi="Arial" w:cs="Arial"/>
          <w:b/>
          <w:bCs/>
          <w:sz w:val="22"/>
          <w:szCs w:val="22"/>
        </w:rPr>
      </w:pPr>
    </w:p>
    <w:p w14:paraId="015D70E9" w14:textId="77777777" w:rsidR="00240DCB" w:rsidRPr="002460FC" w:rsidRDefault="00240DCB" w:rsidP="002460FC">
      <w:pPr>
        <w:jc w:val="both"/>
        <w:rPr>
          <w:rFonts w:ascii="Arial" w:hAnsi="Arial" w:cs="Arial"/>
          <w:b/>
          <w:bCs/>
          <w:sz w:val="22"/>
          <w:szCs w:val="22"/>
        </w:rPr>
      </w:pPr>
    </w:p>
    <w:p w14:paraId="2B156A7B" w14:textId="77777777" w:rsidR="00240DCB" w:rsidRPr="002460FC" w:rsidRDefault="00240DCB" w:rsidP="002460FC">
      <w:pPr>
        <w:jc w:val="both"/>
        <w:rPr>
          <w:rFonts w:ascii="Arial" w:hAnsi="Arial" w:cs="Arial"/>
          <w:b/>
          <w:bCs/>
          <w:sz w:val="22"/>
          <w:szCs w:val="22"/>
        </w:rPr>
      </w:pPr>
    </w:p>
    <w:p w14:paraId="4EF07A03" w14:textId="77777777" w:rsidR="00240DCB" w:rsidRPr="002460FC" w:rsidRDefault="00240DCB" w:rsidP="002460FC">
      <w:pPr>
        <w:jc w:val="both"/>
        <w:rPr>
          <w:rFonts w:ascii="Arial" w:hAnsi="Arial" w:cs="Arial"/>
          <w:b/>
          <w:bCs/>
          <w:sz w:val="22"/>
          <w:szCs w:val="22"/>
        </w:rPr>
      </w:pPr>
    </w:p>
    <w:p w14:paraId="74935218" w14:textId="77777777" w:rsidR="00240DCB" w:rsidRPr="002460FC" w:rsidRDefault="00240DCB" w:rsidP="002460FC">
      <w:pPr>
        <w:jc w:val="both"/>
        <w:rPr>
          <w:rFonts w:ascii="Arial" w:hAnsi="Arial" w:cs="Arial"/>
          <w:b/>
          <w:bCs/>
          <w:sz w:val="22"/>
          <w:szCs w:val="22"/>
        </w:rPr>
      </w:pPr>
    </w:p>
    <w:p w14:paraId="5E19DF35" w14:textId="77777777" w:rsidR="00240DCB" w:rsidRPr="002460FC" w:rsidRDefault="00240DCB" w:rsidP="002460FC">
      <w:pPr>
        <w:jc w:val="both"/>
        <w:rPr>
          <w:rFonts w:ascii="Arial" w:hAnsi="Arial" w:cs="Arial"/>
          <w:b/>
          <w:bCs/>
          <w:sz w:val="22"/>
          <w:szCs w:val="22"/>
        </w:rPr>
      </w:pPr>
    </w:p>
    <w:p w14:paraId="65F25209" w14:textId="77777777" w:rsidR="00240DCB" w:rsidRPr="002460FC" w:rsidRDefault="00240DCB" w:rsidP="002460FC">
      <w:pPr>
        <w:jc w:val="both"/>
        <w:rPr>
          <w:rFonts w:ascii="Arial" w:hAnsi="Arial" w:cs="Arial"/>
          <w:b/>
          <w:bCs/>
          <w:sz w:val="22"/>
          <w:szCs w:val="22"/>
        </w:rPr>
      </w:pPr>
    </w:p>
    <w:p w14:paraId="2AF6C894" w14:textId="77777777" w:rsidR="00240DCB" w:rsidRPr="002460FC" w:rsidRDefault="00240DCB" w:rsidP="002460FC">
      <w:pPr>
        <w:jc w:val="both"/>
        <w:rPr>
          <w:rFonts w:ascii="Arial" w:hAnsi="Arial" w:cs="Arial"/>
          <w:b/>
          <w:bCs/>
          <w:sz w:val="22"/>
          <w:szCs w:val="22"/>
        </w:rPr>
      </w:pPr>
    </w:p>
    <w:p w14:paraId="4C1F63D7" w14:textId="77777777" w:rsidR="00240DCB" w:rsidRPr="002460FC" w:rsidRDefault="00240DCB" w:rsidP="002460FC">
      <w:pPr>
        <w:jc w:val="both"/>
        <w:rPr>
          <w:rFonts w:ascii="Arial" w:hAnsi="Arial" w:cs="Arial"/>
          <w:b/>
          <w:bCs/>
          <w:sz w:val="22"/>
          <w:szCs w:val="22"/>
        </w:rPr>
      </w:pPr>
    </w:p>
    <w:p w14:paraId="768A77D6" w14:textId="77777777" w:rsidR="00240DCB" w:rsidRPr="002460FC" w:rsidRDefault="00240DCB" w:rsidP="002460FC">
      <w:pPr>
        <w:jc w:val="both"/>
        <w:rPr>
          <w:rFonts w:ascii="Arial" w:hAnsi="Arial" w:cs="Arial"/>
          <w:b/>
          <w:bCs/>
          <w:sz w:val="22"/>
          <w:szCs w:val="22"/>
        </w:rPr>
      </w:pPr>
    </w:p>
    <w:p w14:paraId="3F7DBF1C" w14:textId="77777777" w:rsidR="00240DCB" w:rsidRPr="002460FC" w:rsidRDefault="00240DCB" w:rsidP="002460FC">
      <w:pPr>
        <w:jc w:val="both"/>
        <w:rPr>
          <w:rFonts w:ascii="Arial" w:hAnsi="Arial" w:cs="Arial"/>
          <w:b/>
          <w:bCs/>
          <w:sz w:val="22"/>
          <w:szCs w:val="22"/>
        </w:rPr>
      </w:pPr>
    </w:p>
    <w:p w14:paraId="2ABBA122" w14:textId="77777777" w:rsidR="00240DCB" w:rsidRPr="002460FC" w:rsidRDefault="00240DCB" w:rsidP="002460FC">
      <w:pPr>
        <w:jc w:val="both"/>
        <w:rPr>
          <w:rFonts w:ascii="Arial" w:hAnsi="Arial" w:cs="Arial"/>
          <w:b/>
          <w:bCs/>
          <w:sz w:val="22"/>
          <w:szCs w:val="22"/>
        </w:rPr>
      </w:pPr>
    </w:p>
    <w:p w14:paraId="480A9225" w14:textId="77777777" w:rsidR="00240DCB" w:rsidRPr="002460FC" w:rsidRDefault="00240DCB" w:rsidP="002460FC">
      <w:pPr>
        <w:jc w:val="both"/>
        <w:rPr>
          <w:rFonts w:ascii="Arial" w:hAnsi="Arial" w:cs="Arial"/>
          <w:b/>
          <w:bCs/>
          <w:sz w:val="22"/>
          <w:szCs w:val="22"/>
        </w:rPr>
      </w:pPr>
    </w:p>
    <w:p w14:paraId="75628B47" w14:textId="77777777" w:rsidR="00240DCB" w:rsidRPr="002460FC" w:rsidRDefault="00240DCB" w:rsidP="002460FC">
      <w:pPr>
        <w:jc w:val="both"/>
        <w:rPr>
          <w:rFonts w:ascii="Arial" w:hAnsi="Arial" w:cs="Arial"/>
          <w:b/>
          <w:bCs/>
          <w:sz w:val="22"/>
          <w:szCs w:val="22"/>
        </w:rPr>
      </w:pPr>
    </w:p>
    <w:p w14:paraId="12CBBB7A" w14:textId="77777777" w:rsidR="00240DCB" w:rsidRPr="002460FC" w:rsidRDefault="00240DCB" w:rsidP="002460FC">
      <w:pPr>
        <w:jc w:val="both"/>
        <w:rPr>
          <w:rFonts w:ascii="Arial" w:hAnsi="Arial" w:cs="Arial"/>
          <w:b/>
          <w:bCs/>
          <w:sz w:val="22"/>
          <w:szCs w:val="22"/>
        </w:rPr>
      </w:pPr>
    </w:p>
    <w:p w14:paraId="3EC1C523" w14:textId="77777777" w:rsidR="00240DCB" w:rsidRPr="002460FC" w:rsidRDefault="00240DCB" w:rsidP="002460FC">
      <w:pPr>
        <w:jc w:val="both"/>
        <w:rPr>
          <w:rFonts w:ascii="Arial" w:hAnsi="Arial" w:cs="Arial"/>
          <w:b/>
          <w:bCs/>
          <w:sz w:val="22"/>
          <w:szCs w:val="22"/>
        </w:rPr>
      </w:pPr>
    </w:p>
    <w:p w14:paraId="6CB1C299" w14:textId="77777777" w:rsidR="00240DCB" w:rsidRPr="002460FC" w:rsidRDefault="00240DCB" w:rsidP="002460FC">
      <w:pPr>
        <w:jc w:val="both"/>
        <w:rPr>
          <w:rFonts w:ascii="Arial" w:hAnsi="Arial" w:cs="Arial"/>
          <w:b/>
          <w:bCs/>
          <w:sz w:val="22"/>
          <w:szCs w:val="22"/>
        </w:rPr>
      </w:pPr>
    </w:p>
    <w:p w14:paraId="19717266" w14:textId="77777777" w:rsidR="00240DCB" w:rsidRPr="002460FC" w:rsidRDefault="00240DCB" w:rsidP="002460FC">
      <w:pPr>
        <w:jc w:val="both"/>
        <w:rPr>
          <w:rFonts w:ascii="Arial" w:hAnsi="Arial" w:cs="Arial"/>
          <w:b/>
          <w:bCs/>
          <w:sz w:val="22"/>
          <w:szCs w:val="22"/>
        </w:rPr>
      </w:pPr>
    </w:p>
    <w:p w14:paraId="6768A4A0" w14:textId="77777777" w:rsidR="00240DCB" w:rsidRPr="002460FC" w:rsidRDefault="00240DCB" w:rsidP="002460FC">
      <w:pPr>
        <w:jc w:val="both"/>
        <w:rPr>
          <w:rFonts w:ascii="Arial" w:hAnsi="Arial" w:cs="Arial"/>
          <w:b/>
          <w:bCs/>
          <w:sz w:val="22"/>
          <w:szCs w:val="22"/>
        </w:rPr>
      </w:pPr>
    </w:p>
    <w:p w14:paraId="3F2C68DE" w14:textId="77777777" w:rsidR="00240DCB" w:rsidRPr="002460FC" w:rsidRDefault="00240DCB" w:rsidP="002460FC">
      <w:pPr>
        <w:jc w:val="both"/>
        <w:rPr>
          <w:rFonts w:ascii="Arial" w:hAnsi="Arial" w:cs="Arial"/>
          <w:b/>
          <w:bCs/>
          <w:sz w:val="22"/>
          <w:szCs w:val="22"/>
        </w:rPr>
      </w:pPr>
    </w:p>
    <w:p w14:paraId="4ABE4054" w14:textId="77777777" w:rsidR="00240DCB" w:rsidRPr="002460FC" w:rsidRDefault="00240DCB" w:rsidP="002460FC">
      <w:pPr>
        <w:jc w:val="both"/>
        <w:rPr>
          <w:rFonts w:ascii="Arial" w:hAnsi="Arial" w:cs="Arial"/>
          <w:b/>
          <w:bCs/>
          <w:sz w:val="22"/>
          <w:szCs w:val="22"/>
        </w:rPr>
      </w:pPr>
    </w:p>
    <w:p w14:paraId="4141D43B" w14:textId="77777777" w:rsidR="009922CF" w:rsidRDefault="009922CF" w:rsidP="002460FC">
      <w:pPr>
        <w:jc w:val="both"/>
        <w:rPr>
          <w:rFonts w:ascii="Arial" w:hAnsi="Arial" w:cs="Arial"/>
          <w:b/>
          <w:bCs/>
          <w:sz w:val="22"/>
          <w:szCs w:val="22"/>
        </w:rPr>
      </w:pPr>
    </w:p>
    <w:p w14:paraId="2D1308DC" w14:textId="77777777" w:rsidR="009922CF" w:rsidRPr="002460FC" w:rsidRDefault="009922CF" w:rsidP="002460FC">
      <w:pPr>
        <w:jc w:val="both"/>
        <w:rPr>
          <w:rFonts w:ascii="Arial" w:hAnsi="Arial" w:cs="Arial"/>
          <w:b/>
          <w:bCs/>
          <w:sz w:val="22"/>
          <w:szCs w:val="22"/>
        </w:rPr>
      </w:pPr>
    </w:p>
    <w:p w14:paraId="3032DDAC" w14:textId="5FA4E3CB" w:rsidR="00240DCB" w:rsidRPr="002460FC" w:rsidRDefault="009922CF" w:rsidP="002460FC">
      <w:pPr>
        <w:spacing w:line="240" w:lineRule="auto"/>
        <w:jc w:val="both"/>
        <w:rPr>
          <w:rFonts w:ascii="Arial" w:hAnsi="Arial" w:cs="Arial"/>
          <w:b/>
          <w:bCs/>
          <w:color w:val="000000" w:themeColor="text1"/>
          <w:sz w:val="22"/>
          <w:szCs w:val="22"/>
        </w:rPr>
      </w:pPr>
      <w:r>
        <w:rPr>
          <w:rFonts w:ascii="Arial" w:hAnsi="Arial" w:cs="Arial"/>
          <w:b/>
          <w:bCs/>
          <w:color w:val="000000" w:themeColor="text1"/>
          <w:sz w:val="22"/>
          <w:szCs w:val="22"/>
        </w:rPr>
        <w:t>4.0</w:t>
      </w:r>
      <w:r>
        <w:rPr>
          <w:rFonts w:ascii="Arial" w:hAnsi="Arial" w:cs="Arial"/>
          <w:b/>
          <w:bCs/>
          <w:color w:val="000000" w:themeColor="text1"/>
          <w:sz w:val="22"/>
          <w:szCs w:val="22"/>
        </w:rPr>
        <w:tab/>
      </w:r>
      <w:r w:rsidR="00240DCB" w:rsidRPr="002460FC">
        <w:rPr>
          <w:rFonts w:ascii="Arial" w:hAnsi="Arial" w:cs="Arial"/>
          <w:b/>
          <w:bCs/>
          <w:color w:val="000000" w:themeColor="text1"/>
          <w:sz w:val="22"/>
          <w:szCs w:val="22"/>
        </w:rPr>
        <w:t>References</w:t>
      </w:r>
    </w:p>
    <w:p w14:paraId="19C5762A" w14:textId="77777777" w:rsidR="00BB689B" w:rsidRPr="006947E0" w:rsidRDefault="00BB689B" w:rsidP="00BB689B">
      <w:pPr>
        <w:spacing w:line="240" w:lineRule="auto"/>
        <w:jc w:val="both"/>
        <w:rPr>
          <w:rFonts w:ascii="Arial" w:hAnsi="Arial" w:cs="Arial"/>
          <w:color w:val="000000" w:themeColor="text1"/>
          <w:sz w:val="22"/>
          <w:szCs w:val="22"/>
        </w:rPr>
      </w:pPr>
    </w:p>
    <w:p w14:paraId="4752F203" w14:textId="77777777" w:rsidR="00BB689B" w:rsidRPr="006947E0" w:rsidRDefault="00BB689B" w:rsidP="00BB689B">
      <w:pPr>
        <w:spacing w:line="240" w:lineRule="auto"/>
        <w:jc w:val="both"/>
        <w:rPr>
          <w:rFonts w:ascii="Arial" w:hAnsi="Arial" w:cs="Arial"/>
          <w:color w:val="000000" w:themeColor="text1"/>
          <w:sz w:val="22"/>
          <w:szCs w:val="22"/>
        </w:rPr>
      </w:pPr>
      <w:r w:rsidRPr="006947E0">
        <w:rPr>
          <w:rFonts w:ascii="Arial" w:hAnsi="Arial" w:cs="Arial"/>
          <w:color w:val="000000" w:themeColor="text1"/>
          <w:sz w:val="22"/>
          <w:szCs w:val="22"/>
        </w:rPr>
        <w:t xml:space="preserve">Bowlby, J. (1988) </w:t>
      </w:r>
      <w:r w:rsidRPr="006947E0">
        <w:rPr>
          <w:rFonts w:ascii="Arial" w:hAnsi="Arial" w:cs="Arial"/>
          <w:i/>
          <w:iCs/>
          <w:color w:val="000000" w:themeColor="text1"/>
          <w:sz w:val="22"/>
          <w:szCs w:val="22"/>
        </w:rPr>
        <w:t>A Secure Base: Parent-Child Attachment and Healthy Human Development</w:t>
      </w:r>
      <w:r w:rsidRPr="006947E0">
        <w:rPr>
          <w:rFonts w:ascii="Arial" w:hAnsi="Arial" w:cs="Arial"/>
          <w:color w:val="000000" w:themeColor="text1"/>
          <w:sz w:val="22"/>
          <w:szCs w:val="22"/>
        </w:rPr>
        <w:t>. London: Routledge.</w:t>
      </w:r>
    </w:p>
    <w:p w14:paraId="541B453D" w14:textId="77777777" w:rsidR="00BB689B" w:rsidRPr="006947E0" w:rsidRDefault="00BB689B" w:rsidP="00BB689B">
      <w:pPr>
        <w:spacing w:line="240" w:lineRule="auto"/>
        <w:jc w:val="both"/>
        <w:rPr>
          <w:rFonts w:ascii="Arial" w:hAnsi="Arial" w:cs="Arial"/>
          <w:color w:val="000000" w:themeColor="text1"/>
          <w:sz w:val="22"/>
          <w:szCs w:val="22"/>
        </w:rPr>
      </w:pPr>
      <w:r w:rsidRPr="006947E0">
        <w:rPr>
          <w:rFonts w:ascii="Arial" w:hAnsi="Arial" w:cs="Arial"/>
          <w:color w:val="000000" w:themeColor="text1"/>
          <w:sz w:val="22"/>
          <w:szCs w:val="22"/>
        </w:rPr>
        <w:t xml:space="preserve">British Psychological Society (2023) </w:t>
      </w:r>
      <w:r w:rsidRPr="006947E0">
        <w:rPr>
          <w:rFonts w:ascii="Arial" w:hAnsi="Arial" w:cs="Arial"/>
          <w:i/>
          <w:iCs/>
          <w:color w:val="000000" w:themeColor="text1"/>
          <w:sz w:val="22"/>
          <w:szCs w:val="22"/>
        </w:rPr>
        <w:t>Children, young people and digital wellbeing: Psychological evidence and recommendations</w:t>
      </w:r>
      <w:r w:rsidRPr="006947E0">
        <w:rPr>
          <w:rFonts w:ascii="Arial" w:hAnsi="Arial" w:cs="Arial"/>
          <w:color w:val="000000" w:themeColor="text1"/>
          <w:sz w:val="22"/>
          <w:szCs w:val="22"/>
        </w:rPr>
        <w:t>. Leicester: British Psychological Society.</w:t>
      </w:r>
    </w:p>
    <w:p w14:paraId="353C216F" w14:textId="77777777" w:rsidR="00BB689B" w:rsidRPr="006947E0" w:rsidRDefault="00BB689B" w:rsidP="00BB689B">
      <w:pPr>
        <w:spacing w:line="240" w:lineRule="auto"/>
        <w:jc w:val="both"/>
        <w:rPr>
          <w:rFonts w:ascii="Arial" w:hAnsi="Arial" w:cs="Arial"/>
          <w:color w:val="000000" w:themeColor="text1"/>
          <w:sz w:val="22"/>
          <w:szCs w:val="22"/>
        </w:rPr>
      </w:pPr>
      <w:r w:rsidRPr="006947E0">
        <w:rPr>
          <w:rFonts w:ascii="Arial" w:hAnsi="Arial" w:cs="Arial"/>
          <w:color w:val="000000" w:themeColor="text1"/>
          <w:sz w:val="22"/>
          <w:szCs w:val="22"/>
        </w:rPr>
        <w:t xml:space="preserve">Erikson, E.H. (1968) </w:t>
      </w:r>
      <w:r w:rsidRPr="006947E0">
        <w:rPr>
          <w:rFonts w:ascii="Arial" w:hAnsi="Arial" w:cs="Arial"/>
          <w:i/>
          <w:iCs/>
          <w:color w:val="000000" w:themeColor="text1"/>
          <w:sz w:val="22"/>
          <w:szCs w:val="22"/>
        </w:rPr>
        <w:t>Identity: Youth and Crisis</w:t>
      </w:r>
      <w:r w:rsidRPr="006947E0">
        <w:rPr>
          <w:rFonts w:ascii="Arial" w:hAnsi="Arial" w:cs="Arial"/>
          <w:color w:val="000000" w:themeColor="text1"/>
          <w:sz w:val="22"/>
          <w:szCs w:val="22"/>
        </w:rPr>
        <w:t>. New York: W.W. Norton &amp; Company.</w:t>
      </w:r>
    </w:p>
    <w:p w14:paraId="5EDB64DB" w14:textId="77777777" w:rsidR="00BB689B" w:rsidRPr="006947E0" w:rsidRDefault="00BB689B" w:rsidP="00BB689B">
      <w:pPr>
        <w:spacing w:line="240" w:lineRule="auto"/>
        <w:jc w:val="both"/>
        <w:rPr>
          <w:rFonts w:ascii="Arial" w:hAnsi="Arial" w:cs="Arial"/>
          <w:color w:val="000000" w:themeColor="text1"/>
          <w:sz w:val="22"/>
          <w:szCs w:val="22"/>
        </w:rPr>
      </w:pPr>
      <w:r w:rsidRPr="006947E0">
        <w:rPr>
          <w:rFonts w:ascii="Arial" w:hAnsi="Arial" w:cs="Arial"/>
          <w:color w:val="000000" w:themeColor="text1"/>
          <w:sz w:val="22"/>
          <w:szCs w:val="22"/>
        </w:rPr>
        <w:t xml:space="preserve">Festinger, L. (1954) ‘A theory of social comparison processes’, </w:t>
      </w:r>
      <w:r w:rsidRPr="006947E0">
        <w:rPr>
          <w:rFonts w:ascii="Arial" w:hAnsi="Arial" w:cs="Arial"/>
          <w:i/>
          <w:iCs/>
          <w:color w:val="000000" w:themeColor="text1"/>
          <w:sz w:val="22"/>
          <w:szCs w:val="22"/>
        </w:rPr>
        <w:t>Human Relations</w:t>
      </w:r>
      <w:r w:rsidRPr="006947E0">
        <w:rPr>
          <w:rFonts w:ascii="Arial" w:hAnsi="Arial" w:cs="Arial"/>
          <w:color w:val="000000" w:themeColor="text1"/>
          <w:sz w:val="22"/>
          <w:szCs w:val="22"/>
        </w:rPr>
        <w:t xml:space="preserve">, 7(2), pp. 117–140. </w:t>
      </w:r>
      <w:hyperlink r:id="rId8" w:history="1">
        <w:r w:rsidRPr="006947E0">
          <w:rPr>
            <w:rStyle w:val="Hyperlink"/>
            <w:rFonts w:ascii="Arial" w:hAnsi="Arial" w:cs="Arial"/>
            <w:color w:val="000000" w:themeColor="text1"/>
            <w:sz w:val="22"/>
            <w:szCs w:val="22"/>
            <w:u w:val="none"/>
          </w:rPr>
          <w:t>https://doi.org/10.1177/001872675400700202</w:t>
        </w:r>
      </w:hyperlink>
    </w:p>
    <w:p w14:paraId="21B914FB" w14:textId="77777777" w:rsidR="00BB689B" w:rsidRPr="006947E0" w:rsidRDefault="00BB689B" w:rsidP="00BB689B">
      <w:pPr>
        <w:spacing w:line="240" w:lineRule="auto"/>
        <w:jc w:val="both"/>
        <w:rPr>
          <w:rFonts w:ascii="Arial" w:hAnsi="Arial" w:cs="Arial"/>
          <w:color w:val="000000" w:themeColor="text1"/>
          <w:sz w:val="22"/>
          <w:szCs w:val="22"/>
        </w:rPr>
      </w:pPr>
      <w:r w:rsidRPr="006947E0">
        <w:rPr>
          <w:rFonts w:ascii="Arial" w:hAnsi="Arial" w:cs="Arial"/>
          <w:color w:val="000000" w:themeColor="text1"/>
          <w:sz w:val="22"/>
          <w:szCs w:val="22"/>
        </w:rPr>
        <w:t xml:space="preserve">Livingstone, S. and Sefton-Green, J. (2022) </w:t>
      </w:r>
      <w:r w:rsidRPr="006947E0">
        <w:rPr>
          <w:rFonts w:ascii="Arial" w:hAnsi="Arial" w:cs="Arial"/>
          <w:i/>
          <w:iCs/>
          <w:color w:val="000000" w:themeColor="text1"/>
          <w:sz w:val="22"/>
          <w:szCs w:val="22"/>
        </w:rPr>
        <w:t>The Class: Living and Learning in the Digital Age</w:t>
      </w:r>
      <w:r w:rsidRPr="006947E0">
        <w:rPr>
          <w:rFonts w:ascii="Arial" w:hAnsi="Arial" w:cs="Arial"/>
          <w:color w:val="000000" w:themeColor="text1"/>
          <w:sz w:val="22"/>
          <w:szCs w:val="22"/>
        </w:rPr>
        <w:t>. New York: New York University Press.</w:t>
      </w:r>
    </w:p>
    <w:p w14:paraId="5466987B" w14:textId="77777777" w:rsidR="00BB689B" w:rsidRPr="006947E0" w:rsidRDefault="00BB689B" w:rsidP="00BB689B">
      <w:pPr>
        <w:spacing w:line="240" w:lineRule="auto"/>
        <w:jc w:val="both"/>
        <w:rPr>
          <w:rFonts w:ascii="Arial" w:hAnsi="Arial" w:cs="Arial"/>
          <w:color w:val="000000" w:themeColor="text1"/>
          <w:sz w:val="22"/>
          <w:szCs w:val="22"/>
        </w:rPr>
      </w:pPr>
      <w:r w:rsidRPr="006947E0">
        <w:rPr>
          <w:rFonts w:ascii="Arial" w:hAnsi="Arial" w:cs="Arial"/>
          <w:color w:val="000000" w:themeColor="text1"/>
          <w:sz w:val="22"/>
          <w:szCs w:val="22"/>
        </w:rPr>
        <w:t xml:space="preserve">Livingstone, S. and Smith, P.K. (2020) ‘Annual research review: Harms experienced by child users of online and mobile technologies’, </w:t>
      </w:r>
      <w:r w:rsidRPr="006947E0">
        <w:rPr>
          <w:rFonts w:ascii="Arial" w:hAnsi="Arial" w:cs="Arial"/>
          <w:i/>
          <w:iCs/>
          <w:color w:val="000000" w:themeColor="text1"/>
          <w:sz w:val="22"/>
          <w:szCs w:val="22"/>
        </w:rPr>
        <w:t>Journal of Child Psychology and Psychiatry</w:t>
      </w:r>
      <w:r w:rsidRPr="006947E0">
        <w:rPr>
          <w:rFonts w:ascii="Arial" w:hAnsi="Arial" w:cs="Arial"/>
          <w:color w:val="000000" w:themeColor="text1"/>
          <w:sz w:val="22"/>
          <w:szCs w:val="22"/>
        </w:rPr>
        <w:t xml:space="preserve">, 61(6), pp. 635–654. </w:t>
      </w:r>
      <w:hyperlink r:id="rId9" w:history="1">
        <w:r w:rsidRPr="006947E0">
          <w:rPr>
            <w:rStyle w:val="Hyperlink"/>
            <w:rFonts w:ascii="Arial" w:hAnsi="Arial" w:cs="Arial"/>
            <w:color w:val="000000" w:themeColor="text1"/>
            <w:sz w:val="22"/>
            <w:szCs w:val="22"/>
            <w:u w:val="none"/>
          </w:rPr>
          <w:t>https://doi.org/10.1111/jcpp.13190</w:t>
        </w:r>
      </w:hyperlink>
    </w:p>
    <w:p w14:paraId="7EF48278" w14:textId="77777777" w:rsidR="00BB689B" w:rsidRPr="006947E0" w:rsidRDefault="00BB689B" w:rsidP="00BB689B">
      <w:pPr>
        <w:spacing w:line="240" w:lineRule="auto"/>
        <w:jc w:val="both"/>
        <w:rPr>
          <w:rFonts w:ascii="Arial" w:hAnsi="Arial" w:cs="Arial"/>
          <w:color w:val="000000" w:themeColor="text1"/>
          <w:sz w:val="22"/>
          <w:szCs w:val="22"/>
        </w:rPr>
      </w:pPr>
      <w:r w:rsidRPr="006947E0">
        <w:rPr>
          <w:rFonts w:ascii="Arial" w:hAnsi="Arial" w:cs="Arial"/>
          <w:color w:val="000000" w:themeColor="text1"/>
          <w:sz w:val="22"/>
          <w:szCs w:val="22"/>
        </w:rPr>
        <w:t xml:space="preserve">National Institute for Health and Care Excellence (NICE) (2022) </w:t>
      </w:r>
      <w:r w:rsidRPr="006947E0">
        <w:rPr>
          <w:rFonts w:ascii="Arial" w:hAnsi="Arial" w:cs="Arial"/>
          <w:i/>
          <w:iCs/>
          <w:color w:val="000000" w:themeColor="text1"/>
          <w:sz w:val="22"/>
          <w:szCs w:val="22"/>
        </w:rPr>
        <w:t>Depression in children and young people: Identification and management (NG134)</w:t>
      </w:r>
      <w:r w:rsidRPr="006947E0">
        <w:rPr>
          <w:rFonts w:ascii="Arial" w:hAnsi="Arial" w:cs="Arial"/>
          <w:color w:val="000000" w:themeColor="text1"/>
          <w:sz w:val="22"/>
          <w:szCs w:val="22"/>
        </w:rPr>
        <w:t>. London: NICE.</w:t>
      </w:r>
    </w:p>
    <w:p w14:paraId="053E22FE" w14:textId="77777777" w:rsidR="00BB689B" w:rsidRPr="006947E0" w:rsidRDefault="00BB689B" w:rsidP="00BB689B">
      <w:pPr>
        <w:spacing w:line="240" w:lineRule="auto"/>
        <w:jc w:val="both"/>
        <w:rPr>
          <w:rFonts w:ascii="Arial" w:hAnsi="Arial" w:cs="Arial"/>
          <w:color w:val="000000" w:themeColor="text1"/>
          <w:sz w:val="22"/>
          <w:szCs w:val="22"/>
        </w:rPr>
      </w:pPr>
      <w:r w:rsidRPr="006947E0">
        <w:rPr>
          <w:rFonts w:ascii="Arial" w:hAnsi="Arial" w:cs="Arial"/>
          <w:color w:val="000000" w:themeColor="text1"/>
          <w:sz w:val="22"/>
          <w:szCs w:val="22"/>
        </w:rPr>
        <w:t xml:space="preserve">NHS Digital (2024) </w:t>
      </w:r>
      <w:r w:rsidRPr="006947E0">
        <w:rPr>
          <w:rFonts w:ascii="Arial" w:hAnsi="Arial" w:cs="Arial"/>
          <w:i/>
          <w:iCs/>
          <w:color w:val="000000" w:themeColor="text1"/>
          <w:sz w:val="22"/>
          <w:szCs w:val="22"/>
        </w:rPr>
        <w:t>Mental Health of Children and Young People in England 2024</w:t>
      </w:r>
      <w:r w:rsidRPr="006947E0">
        <w:rPr>
          <w:rFonts w:ascii="Arial" w:hAnsi="Arial" w:cs="Arial"/>
          <w:color w:val="000000" w:themeColor="text1"/>
          <w:sz w:val="22"/>
          <w:szCs w:val="22"/>
        </w:rPr>
        <w:t>. London: National Health Service.</w:t>
      </w:r>
    </w:p>
    <w:p w14:paraId="3BD1253E" w14:textId="77777777" w:rsidR="00BB689B" w:rsidRPr="006947E0" w:rsidRDefault="00BB689B" w:rsidP="00BB689B">
      <w:pPr>
        <w:spacing w:line="240" w:lineRule="auto"/>
        <w:jc w:val="both"/>
        <w:rPr>
          <w:rFonts w:ascii="Arial" w:hAnsi="Arial" w:cs="Arial"/>
          <w:color w:val="000000" w:themeColor="text1"/>
          <w:sz w:val="22"/>
          <w:szCs w:val="22"/>
        </w:rPr>
      </w:pPr>
      <w:r w:rsidRPr="006947E0">
        <w:rPr>
          <w:rFonts w:ascii="Arial" w:hAnsi="Arial" w:cs="Arial"/>
          <w:color w:val="000000" w:themeColor="text1"/>
          <w:sz w:val="22"/>
          <w:szCs w:val="22"/>
        </w:rPr>
        <w:t xml:space="preserve">NICE (2022) </w:t>
      </w:r>
      <w:r w:rsidRPr="006947E0">
        <w:rPr>
          <w:rFonts w:ascii="Arial" w:hAnsi="Arial" w:cs="Arial"/>
          <w:i/>
          <w:iCs/>
          <w:color w:val="000000" w:themeColor="text1"/>
          <w:sz w:val="22"/>
          <w:szCs w:val="22"/>
        </w:rPr>
        <w:t>Evidence Review: Social Media Use and Mental Health in Young People</w:t>
      </w:r>
      <w:r w:rsidRPr="006947E0">
        <w:rPr>
          <w:rFonts w:ascii="Arial" w:hAnsi="Arial" w:cs="Arial"/>
          <w:color w:val="000000" w:themeColor="text1"/>
          <w:sz w:val="22"/>
          <w:szCs w:val="22"/>
        </w:rPr>
        <w:t>. London: National Institute for Health and Care Excellence.</w:t>
      </w:r>
    </w:p>
    <w:p w14:paraId="618E937D" w14:textId="77777777" w:rsidR="00BB689B" w:rsidRPr="006947E0" w:rsidRDefault="00BB689B" w:rsidP="00BB689B">
      <w:pPr>
        <w:spacing w:line="240" w:lineRule="auto"/>
        <w:jc w:val="both"/>
        <w:rPr>
          <w:rFonts w:ascii="Arial" w:hAnsi="Arial" w:cs="Arial"/>
          <w:color w:val="000000" w:themeColor="text1"/>
          <w:sz w:val="22"/>
          <w:szCs w:val="22"/>
        </w:rPr>
      </w:pPr>
      <w:r w:rsidRPr="006947E0">
        <w:rPr>
          <w:rFonts w:ascii="Arial" w:hAnsi="Arial" w:cs="Arial"/>
          <w:color w:val="000000" w:themeColor="text1"/>
          <w:sz w:val="22"/>
          <w:szCs w:val="22"/>
        </w:rPr>
        <w:t xml:space="preserve">Ofcom (2025) </w:t>
      </w:r>
      <w:r w:rsidRPr="006947E0">
        <w:rPr>
          <w:rFonts w:ascii="Arial" w:hAnsi="Arial" w:cs="Arial"/>
          <w:i/>
          <w:iCs/>
          <w:color w:val="000000" w:themeColor="text1"/>
          <w:sz w:val="22"/>
          <w:szCs w:val="22"/>
        </w:rPr>
        <w:t>Children and Parents: Media Use and Attitudes Report 2025</w:t>
      </w:r>
      <w:r w:rsidRPr="006947E0">
        <w:rPr>
          <w:rFonts w:ascii="Arial" w:hAnsi="Arial" w:cs="Arial"/>
          <w:color w:val="000000" w:themeColor="text1"/>
          <w:sz w:val="22"/>
          <w:szCs w:val="22"/>
        </w:rPr>
        <w:t>. London: Office of Communications.</w:t>
      </w:r>
    </w:p>
    <w:p w14:paraId="35BD05B1" w14:textId="77777777" w:rsidR="00BB689B" w:rsidRPr="006947E0" w:rsidRDefault="00BB689B" w:rsidP="00BB689B">
      <w:pPr>
        <w:spacing w:line="240" w:lineRule="auto"/>
        <w:jc w:val="both"/>
        <w:rPr>
          <w:rFonts w:ascii="Arial" w:hAnsi="Arial" w:cs="Arial"/>
          <w:color w:val="000000" w:themeColor="text1"/>
          <w:sz w:val="22"/>
          <w:szCs w:val="22"/>
        </w:rPr>
      </w:pPr>
      <w:r w:rsidRPr="006947E0">
        <w:rPr>
          <w:rFonts w:ascii="Arial" w:hAnsi="Arial" w:cs="Arial"/>
          <w:color w:val="000000" w:themeColor="text1"/>
          <w:sz w:val="22"/>
          <w:szCs w:val="22"/>
        </w:rPr>
        <w:t xml:space="preserve">Orben, A., Tomova, L. and Blakemore, S.J. (2019) ‘The effects of social media use on adolescent mental health’, </w:t>
      </w:r>
      <w:r w:rsidRPr="006947E0">
        <w:rPr>
          <w:rFonts w:ascii="Arial" w:hAnsi="Arial" w:cs="Arial"/>
          <w:i/>
          <w:iCs/>
          <w:color w:val="000000" w:themeColor="text1"/>
          <w:sz w:val="22"/>
          <w:szCs w:val="22"/>
        </w:rPr>
        <w:t>Nature Human Behaviour</w:t>
      </w:r>
      <w:r w:rsidRPr="006947E0">
        <w:rPr>
          <w:rFonts w:ascii="Arial" w:hAnsi="Arial" w:cs="Arial"/>
          <w:color w:val="000000" w:themeColor="text1"/>
          <w:sz w:val="22"/>
          <w:szCs w:val="22"/>
        </w:rPr>
        <w:t xml:space="preserve">, 3(1), pp. 1–10. </w:t>
      </w:r>
      <w:hyperlink r:id="rId10" w:history="1">
        <w:r w:rsidRPr="006947E0">
          <w:rPr>
            <w:rStyle w:val="Hyperlink"/>
            <w:rFonts w:ascii="Arial" w:hAnsi="Arial" w:cs="Arial"/>
            <w:color w:val="000000" w:themeColor="text1"/>
            <w:sz w:val="22"/>
            <w:szCs w:val="22"/>
            <w:u w:val="none"/>
          </w:rPr>
          <w:t>https://doi.org/10.1038/s41562-018-0506-1</w:t>
        </w:r>
      </w:hyperlink>
    </w:p>
    <w:p w14:paraId="2F9024A1" w14:textId="77777777" w:rsidR="00BB689B" w:rsidRPr="006947E0" w:rsidRDefault="00BB689B" w:rsidP="00BB689B">
      <w:pPr>
        <w:spacing w:line="240" w:lineRule="auto"/>
        <w:jc w:val="both"/>
        <w:rPr>
          <w:rFonts w:ascii="Arial" w:hAnsi="Arial" w:cs="Arial"/>
          <w:color w:val="000000" w:themeColor="text1"/>
          <w:sz w:val="22"/>
          <w:szCs w:val="22"/>
        </w:rPr>
      </w:pPr>
      <w:r w:rsidRPr="006947E0">
        <w:rPr>
          <w:rFonts w:ascii="Arial" w:hAnsi="Arial" w:cs="Arial"/>
          <w:color w:val="000000" w:themeColor="text1"/>
          <w:sz w:val="22"/>
          <w:szCs w:val="22"/>
        </w:rPr>
        <w:t xml:space="preserve">Przybylski, A.K. and Weinstein, N. (2017) ‘A large-scale test of the Goldilocks hypothesis: Quantifying the relations between digital-screen use and the mental well-being of adolescents’, </w:t>
      </w:r>
      <w:r w:rsidRPr="006947E0">
        <w:rPr>
          <w:rFonts w:ascii="Arial" w:hAnsi="Arial" w:cs="Arial"/>
          <w:i/>
          <w:iCs/>
          <w:color w:val="000000" w:themeColor="text1"/>
          <w:sz w:val="22"/>
          <w:szCs w:val="22"/>
        </w:rPr>
        <w:t>Psychological Science</w:t>
      </w:r>
      <w:r w:rsidRPr="006947E0">
        <w:rPr>
          <w:rFonts w:ascii="Arial" w:hAnsi="Arial" w:cs="Arial"/>
          <w:color w:val="000000" w:themeColor="text1"/>
          <w:sz w:val="22"/>
          <w:szCs w:val="22"/>
        </w:rPr>
        <w:t xml:space="preserve">, 28(2), pp. 204–215. </w:t>
      </w:r>
      <w:hyperlink r:id="rId11" w:history="1">
        <w:r w:rsidRPr="006947E0">
          <w:rPr>
            <w:rStyle w:val="Hyperlink"/>
            <w:rFonts w:ascii="Arial" w:hAnsi="Arial" w:cs="Arial"/>
            <w:color w:val="000000" w:themeColor="text1"/>
            <w:sz w:val="22"/>
            <w:szCs w:val="22"/>
            <w:u w:val="none"/>
          </w:rPr>
          <w:t>https://doi.org/10.1177/0956797616678438</w:t>
        </w:r>
      </w:hyperlink>
    </w:p>
    <w:p w14:paraId="47D9F959" w14:textId="77777777" w:rsidR="00BB689B" w:rsidRPr="006947E0" w:rsidRDefault="00BB689B" w:rsidP="00BB689B">
      <w:pPr>
        <w:spacing w:line="240" w:lineRule="auto"/>
        <w:jc w:val="both"/>
        <w:rPr>
          <w:rFonts w:ascii="Arial" w:hAnsi="Arial" w:cs="Arial"/>
          <w:color w:val="000000" w:themeColor="text1"/>
          <w:sz w:val="22"/>
          <w:szCs w:val="22"/>
        </w:rPr>
      </w:pPr>
      <w:r w:rsidRPr="006947E0">
        <w:rPr>
          <w:rFonts w:ascii="Arial" w:hAnsi="Arial" w:cs="Arial"/>
          <w:color w:val="000000" w:themeColor="text1"/>
          <w:sz w:val="22"/>
          <w:szCs w:val="22"/>
        </w:rPr>
        <w:t xml:space="preserve">Royal College of Psychiatrists (2023) </w:t>
      </w:r>
      <w:r w:rsidRPr="006947E0">
        <w:rPr>
          <w:rFonts w:ascii="Arial" w:hAnsi="Arial" w:cs="Arial"/>
          <w:i/>
          <w:iCs/>
          <w:color w:val="000000" w:themeColor="text1"/>
          <w:sz w:val="22"/>
          <w:szCs w:val="22"/>
        </w:rPr>
        <w:t>Social Media, Screen Time and Young People’s Mental Health</w:t>
      </w:r>
      <w:r w:rsidRPr="006947E0">
        <w:rPr>
          <w:rFonts w:ascii="Arial" w:hAnsi="Arial" w:cs="Arial"/>
          <w:color w:val="000000" w:themeColor="text1"/>
          <w:sz w:val="22"/>
          <w:szCs w:val="22"/>
        </w:rPr>
        <w:t>. London: RCPsych.</w:t>
      </w:r>
    </w:p>
    <w:p w14:paraId="103FA267" w14:textId="77777777" w:rsidR="00BB689B" w:rsidRPr="006947E0" w:rsidRDefault="00BB689B" w:rsidP="00BB689B">
      <w:pPr>
        <w:spacing w:line="240" w:lineRule="auto"/>
        <w:jc w:val="both"/>
        <w:rPr>
          <w:rFonts w:ascii="Arial" w:hAnsi="Arial" w:cs="Arial"/>
          <w:color w:val="000000" w:themeColor="text1"/>
          <w:sz w:val="22"/>
          <w:szCs w:val="22"/>
        </w:rPr>
      </w:pPr>
      <w:r w:rsidRPr="006947E0">
        <w:rPr>
          <w:rFonts w:ascii="Arial" w:hAnsi="Arial" w:cs="Arial"/>
          <w:color w:val="000000" w:themeColor="text1"/>
          <w:sz w:val="22"/>
          <w:szCs w:val="22"/>
        </w:rPr>
        <w:t xml:space="preserve">Royal Society for Public Health (2017) </w:t>
      </w:r>
      <w:r w:rsidRPr="006947E0">
        <w:rPr>
          <w:rFonts w:ascii="Arial" w:hAnsi="Arial" w:cs="Arial"/>
          <w:i/>
          <w:iCs/>
          <w:color w:val="000000" w:themeColor="text1"/>
          <w:sz w:val="22"/>
          <w:szCs w:val="22"/>
        </w:rPr>
        <w:t>#StatusOfMind: Social Media and Young People’s Mental Health and Wellbeing</w:t>
      </w:r>
      <w:r w:rsidRPr="006947E0">
        <w:rPr>
          <w:rFonts w:ascii="Arial" w:hAnsi="Arial" w:cs="Arial"/>
          <w:color w:val="000000" w:themeColor="text1"/>
          <w:sz w:val="22"/>
          <w:szCs w:val="22"/>
        </w:rPr>
        <w:t>. London: RSPH.</w:t>
      </w:r>
    </w:p>
    <w:p w14:paraId="7445FF70" w14:textId="77777777" w:rsidR="00BB689B" w:rsidRPr="006947E0" w:rsidRDefault="00BB689B" w:rsidP="00BB689B">
      <w:pPr>
        <w:spacing w:line="240" w:lineRule="auto"/>
        <w:jc w:val="both"/>
        <w:rPr>
          <w:rFonts w:ascii="Arial" w:hAnsi="Arial" w:cs="Arial"/>
          <w:color w:val="000000" w:themeColor="text1"/>
          <w:sz w:val="22"/>
          <w:szCs w:val="22"/>
        </w:rPr>
      </w:pPr>
      <w:r w:rsidRPr="006947E0">
        <w:rPr>
          <w:rFonts w:ascii="Arial" w:hAnsi="Arial" w:cs="Arial"/>
          <w:color w:val="000000" w:themeColor="text1"/>
          <w:sz w:val="22"/>
          <w:szCs w:val="22"/>
        </w:rPr>
        <w:t xml:space="preserve">UK Health Security Agency (2023) </w:t>
      </w:r>
      <w:r w:rsidRPr="006947E0">
        <w:rPr>
          <w:rFonts w:ascii="Arial" w:hAnsi="Arial" w:cs="Arial"/>
          <w:i/>
          <w:iCs/>
          <w:color w:val="000000" w:themeColor="text1"/>
          <w:sz w:val="22"/>
          <w:szCs w:val="22"/>
        </w:rPr>
        <w:t>Adolescent Mental Health and Digital Wellbeing Review</w:t>
      </w:r>
      <w:r w:rsidRPr="006947E0">
        <w:rPr>
          <w:rFonts w:ascii="Arial" w:hAnsi="Arial" w:cs="Arial"/>
          <w:color w:val="000000" w:themeColor="text1"/>
          <w:sz w:val="22"/>
          <w:szCs w:val="22"/>
        </w:rPr>
        <w:t>. London: UKHSA.</w:t>
      </w:r>
    </w:p>
    <w:p w14:paraId="3C656A77" w14:textId="77777777" w:rsidR="00BB689B" w:rsidRPr="006947E0" w:rsidRDefault="00BB689B" w:rsidP="00BB689B">
      <w:pPr>
        <w:spacing w:line="240" w:lineRule="auto"/>
        <w:jc w:val="both"/>
        <w:rPr>
          <w:rFonts w:ascii="Arial" w:hAnsi="Arial" w:cs="Arial"/>
          <w:color w:val="000000" w:themeColor="text1"/>
          <w:sz w:val="22"/>
          <w:szCs w:val="22"/>
        </w:rPr>
      </w:pPr>
      <w:r w:rsidRPr="006947E0">
        <w:rPr>
          <w:rFonts w:ascii="Arial" w:hAnsi="Arial" w:cs="Arial"/>
          <w:color w:val="000000" w:themeColor="text1"/>
          <w:sz w:val="22"/>
          <w:szCs w:val="22"/>
        </w:rPr>
        <w:t xml:space="preserve">UK Health Security Agency (UKHSA) (2023) </w:t>
      </w:r>
      <w:r w:rsidRPr="006947E0">
        <w:rPr>
          <w:rFonts w:ascii="Arial" w:hAnsi="Arial" w:cs="Arial"/>
          <w:i/>
          <w:iCs/>
          <w:color w:val="000000" w:themeColor="text1"/>
          <w:sz w:val="22"/>
          <w:szCs w:val="22"/>
        </w:rPr>
        <w:t>Child and adolescent mental health: Applying All Our Health</w:t>
      </w:r>
      <w:r w:rsidRPr="006947E0">
        <w:rPr>
          <w:rFonts w:ascii="Arial" w:hAnsi="Arial" w:cs="Arial"/>
          <w:color w:val="000000" w:themeColor="text1"/>
          <w:sz w:val="22"/>
          <w:szCs w:val="22"/>
        </w:rPr>
        <w:t>. London: UK Health Security Agency.</w:t>
      </w:r>
    </w:p>
    <w:p w14:paraId="19799D65" w14:textId="29E9721E" w:rsidR="009922CF" w:rsidRPr="00BB689B" w:rsidRDefault="00BB689B" w:rsidP="00BB689B">
      <w:pPr>
        <w:spacing w:line="240" w:lineRule="auto"/>
        <w:jc w:val="both"/>
        <w:rPr>
          <w:rFonts w:ascii="Arial" w:hAnsi="Arial" w:cs="Arial"/>
          <w:color w:val="000000" w:themeColor="text1"/>
          <w:sz w:val="22"/>
          <w:szCs w:val="22"/>
        </w:rPr>
      </w:pPr>
      <w:r w:rsidRPr="006947E0">
        <w:rPr>
          <w:rFonts w:ascii="Arial" w:hAnsi="Arial" w:cs="Arial"/>
          <w:color w:val="000000" w:themeColor="text1"/>
          <w:sz w:val="22"/>
          <w:szCs w:val="22"/>
        </w:rPr>
        <w:t xml:space="preserve">World Health Organization (2023) </w:t>
      </w:r>
      <w:r w:rsidRPr="006947E0">
        <w:rPr>
          <w:rFonts w:ascii="Arial" w:hAnsi="Arial" w:cs="Arial"/>
          <w:i/>
          <w:iCs/>
          <w:color w:val="000000" w:themeColor="text1"/>
          <w:sz w:val="22"/>
          <w:szCs w:val="22"/>
        </w:rPr>
        <w:t>Adolescent mental health</w:t>
      </w:r>
      <w:r w:rsidRPr="006947E0">
        <w:rPr>
          <w:rFonts w:ascii="Arial" w:hAnsi="Arial" w:cs="Arial"/>
          <w:color w:val="000000" w:themeColor="text1"/>
          <w:sz w:val="22"/>
          <w:szCs w:val="22"/>
        </w:rPr>
        <w:t>. Geneva: World Health Organization.</w:t>
      </w:r>
    </w:p>
    <w:p w14:paraId="14BE8D1E" w14:textId="406089BD" w:rsidR="009922CF" w:rsidRDefault="009922CF" w:rsidP="002460FC">
      <w:pPr>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t>5.0</w:t>
      </w:r>
      <w:r>
        <w:rPr>
          <w:rFonts w:ascii="Arial" w:hAnsi="Arial" w:cs="Arial"/>
          <w:b/>
          <w:bCs/>
          <w:color w:val="000000" w:themeColor="text1"/>
          <w:sz w:val="22"/>
          <w:szCs w:val="22"/>
        </w:rPr>
        <w:tab/>
        <w:t>Appendices</w:t>
      </w:r>
    </w:p>
    <w:p w14:paraId="3809259A" w14:textId="26AEA361" w:rsidR="006825FA" w:rsidRPr="002460FC" w:rsidRDefault="006825FA" w:rsidP="002460FC">
      <w:pPr>
        <w:spacing w:line="360" w:lineRule="auto"/>
        <w:jc w:val="both"/>
        <w:rPr>
          <w:rFonts w:ascii="Arial" w:hAnsi="Arial" w:cs="Arial"/>
          <w:b/>
          <w:bCs/>
          <w:color w:val="000000" w:themeColor="text1"/>
          <w:sz w:val="22"/>
          <w:szCs w:val="22"/>
        </w:rPr>
      </w:pPr>
      <w:r w:rsidRPr="002460FC">
        <w:rPr>
          <w:rFonts w:ascii="Arial" w:hAnsi="Arial" w:cs="Arial"/>
          <w:b/>
          <w:bCs/>
          <w:color w:val="000000" w:themeColor="text1"/>
          <w:sz w:val="22"/>
          <w:szCs w:val="22"/>
        </w:rPr>
        <w:t>Part A: Bibliography and Theoretical Analysis</w:t>
      </w:r>
    </w:p>
    <w:p w14:paraId="25B46467" w14:textId="29A0841B" w:rsidR="006825FA" w:rsidRPr="002460FC" w:rsidRDefault="006825FA" w:rsidP="002460FC">
      <w:pPr>
        <w:spacing w:line="360" w:lineRule="auto"/>
        <w:jc w:val="both"/>
        <w:rPr>
          <w:rFonts w:ascii="Arial" w:hAnsi="Arial" w:cs="Arial"/>
          <w:b/>
          <w:bCs/>
          <w:color w:val="000000" w:themeColor="text1"/>
          <w:sz w:val="22"/>
          <w:szCs w:val="22"/>
        </w:rPr>
      </w:pPr>
      <w:r w:rsidRPr="002460FC">
        <w:rPr>
          <w:rFonts w:ascii="Arial" w:hAnsi="Arial" w:cs="Arial"/>
          <w:b/>
          <w:bCs/>
          <w:color w:val="000000" w:themeColor="text1"/>
          <w:sz w:val="22"/>
          <w:szCs w:val="22"/>
        </w:rPr>
        <w:t>Step 1: Selected Theories Sources</w:t>
      </w:r>
    </w:p>
    <w:p w14:paraId="412E213E" w14:textId="275C2EA6" w:rsidR="00312C76" w:rsidRPr="002460FC" w:rsidRDefault="00312C76" w:rsidP="002460FC">
      <w:pPr>
        <w:spacing w:line="360" w:lineRule="auto"/>
        <w:jc w:val="both"/>
        <w:rPr>
          <w:rFonts w:ascii="Arial" w:hAnsi="Arial" w:cs="Arial"/>
          <w:color w:val="000000" w:themeColor="text1"/>
          <w:sz w:val="22"/>
          <w:szCs w:val="22"/>
        </w:rPr>
      </w:pPr>
      <w:r w:rsidRPr="002460FC">
        <w:rPr>
          <w:rFonts w:ascii="Arial" w:hAnsi="Arial" w:cs="Arial"/>
          <w:color w:val="000000" w:themeColor="text1"/>
          <w:sz w:val="22"/>
          <w:szCs w:val="22"/>
        </w:rPr>
        <w:t>This report applies two psychological theories to explain teenage mental health in digital settings. The initial hypothesis (Weeks 1-5) is Erikson's Psychosocial Development hypothesis, notably the stage of Identity vs Role Confusion. Erikson's Identity: Youth and Crisis (1968) and Steinberg's Adolescence (2023) are important resources. These sources discuss how identity is formed during adolescence through social contact, peer influence, and self-evaluation processes.</w:t>
      </w:r>
    </w:p>
    <w:p w14:paraId="0B71D932" w14:textId="21BE118E" w:rsidR="00B273DC" w:rsidRPr="002460FC" w:rsidRDefault="00312C76" w:rsidP="002460FC">
      <w:pPr>
        <w:spacing w:line="360" w:lineRule="auto"/>
        <w:jc w:val="both"/>
        <w:rPr>
          <w:rFonts w:ascii="Arial" w:hAnsi="Arial" w:cs="Arial"/>
          <w:color w:val="000000" w:themeColor="text1"/>
          <w:sz w:val="22"/>
          <w:szCs w:val="22"/>
        </w:rPr>
      </w:pPr>
      <w:r w:rsidRPr="002460FC">
        <w:rPr>
          <w:rFonts w:ascii="Arial" w:hAnsi="Arial" w:cs="Arial"/>
          <w:color w:val="000000" w:themeColor="text1"/>
          <w:sz w:val="22"/>
          <w:szCs w:val="22"/>
        </w:rPr>
        <w:t>Bowlby's Attachment Theory (Weeks 7-9) is backed by Bowlby's A Secure Base (1988) and the Royal College of Psychiatrists' Digital Relationships and Emotional Wellbeing in Young People (2023), respectively. These sources describe how early emotional ties influence emotional regulation and subsequent relationship behaviour, including digital interactions.</w:t>
      </w:r>
    </w:p>
    <w:p w14:paraId="39FB2357" w14:textId="77777777" w:rsidR="00312C76" w:rsidRPr="002460FC" w:rsidRDefault="00312C76" w:rsidP="002460FC">
      <w:pPr>
        <w:spacing w:line="360" w:lineRule="auto"/>
        <w:jc w:val="both"/>
        <w:rPr>
          <w:rFonts w:ascii="Arial" w:hAnsi="Arial" w:cs="Arial"/>
          <w:b/>
          <w:bCs/>
          <w:color w:val="000000" w:themeColor="text1"/>
          <w:sz w:val="22"/>
          <w:szCs w:val="22"/>
        </w:rPr>
      </w:pPr>
      <w:r w:rsidRPr="002460FC">
        <w:rPr>
          <w:rFonts w:ascii="Arial" w:hAnsi="Arial" w:cs="Arial"/>
          <w:b/>
          <w:bCs/>
          <w:color w:val="000000" w:themeColor="text1"/>
          <w:sz w:val="22"/>
          <w:szCs w:val="22"/>
        </w:rPr>
        <w:t>Steps 2: Summary of Key Arguments and Findings</w:t>
      </w:r>
    </w:p>
    <w:p w14:paraId="4C01A154" w14:textId="77777777" w:rsidR="00312C76" w:rsidRPr="002460FC" w:rsidRDefault="00312C76" w:rsidP="002460FC">
      <w:pPr>
        <w:spacing w:line="360" w:lineRule="auto"/>
        <w:jc w:val="both"/>
        <w:rPr>
          <w:rFonts w:ascii="Arial" w:hAnsi="Arial" w:cs="Arial"/>
          <w:color w:val="000000" w:themeColor="text1"/>
          <w:sz w:val="22"/>
          <w:szCs w:val="22"/>
        </w:rPr>
      </w:pPr>
      <w:r w:rsidRPr="002460FC">
        <w:rPr>
          <w:rFonts w:ascii="Arial" w:hAnsi="Arial" w:cs="Arial"/>
          <w:color w:val="000000" w:themeColor="text1"/>
          <w:sz w:val="22"/>
          <w:szCs w:val="22"/>
        </w:rPr>
        <w:t>Erikson (1968) contends that adolescence is defined by the psychosocial crisis of Identity vs Role Confusion, in which individuals investigate values, beliefs, and roles in order to develop a stable identity. Steinberg (2023) goes on to illustrate that peer feedback and social surroundings, which in today's situations include social media platforms, have a significant impact on identity construction. Adolescents use online venues to explore their identities through posts, photographs, and feedback loops. However, when validation is dependent on external acceptance, identity instability can occur.</w:t>
      </w:r>
    </w:p>
    <w:p w14:paraId="1F7FFF88" w14:textId="162C2903" w:rsidR="00B273DC" w:rsidRPr="002460FC" w:rsidRDefault="00312C76" w:rsidP="002460FC">
      <w:pPr>
        <w:spacing w:line="360" w:lineRule="auto"/>
        <w:jc w:val="both"/>
        <w:rPr>
          <w:rFonts w:ascii="Arial" w:hAnsi="Arial" w:cs="Arial"/>
          <w:color w:val="000000" w:themeColor="text1"/>
          <w:sz w:val="22"/>
          <w:szCs w:val="22"/>
        </w:rPr>
      </w:pPr>
      <w:r w:rsidRPr="002460FC">
        <w:rPr>
          <w:rFonts w:ascii="Arial" w:hAnsi="Arial" w:cs="Arial"/>
          <w:color w:val="000000" w:themeColor="text1"/>
          <w:sz w:val="22"/>
          <w:szCs w:val="22"/>
        </w:rPr>
        <w:t>Bowlby (1988) contends that early carer interactions form internal working models that influence emotional regulation and interpersonal behaviour throughout adulthood. The Royal College of Psychiatrists (2023) confirms this by demonstrating that teenagers with insecure attachment styles are more likely to seek emotional validation via social media. Online interactions might temporarily satisfy emotional needs, but they can also increase emotional dependency and anxiety when response is inconsistent or unfavourable. Individuals who feel securely attached, on the other hand, tend to have healthier digital boundaries and greater emotional resilience.</w:t>
      </w:r>
    </w:p>
    <w:p w14:paraId="02BE02C2" w14:textId="77777777" w:rsidR="00312C76" w:rsidRPr="002460FC" w:rsidRDefault="00312C76" w:rsidP="002460FC">
      <w:pPr>
        <w:spacing w:line="360" w:lineRule="auto"/>
        <w:jc w:val="both"/>
        <w:rPr>
          <w:rFonts w:ascii="Arial" w:hAnsi="Arial" w:cs="Arial"/>
          <w:b/>
          <w:bCs/>
          <w:color w:val="000000" w:themeColor="text1"/>
          <w:sz w:val="22"/>
          <w:szCs w:val="22"/>
        </w:rPr>
      </w:pPr>
      <w:r w:rsidRPr="002460FC">
        <w:rPr>
          <w:rFonts w:ascii="Arial" w:hAnsi="Arial" w:cs="Arial"/>
          <w:b/>
          <w:bCs/>
          <w:color w:val="000000" w:themeColor="text1"/>
          <w:sz w:val="22"/>
          <w:szCs w:val="22"/>
        </w:rPr>
        <w:t>Steps 3: Critical Comment on Relevance to Older Adults (Erikson)</w:t>
      </w:r>
    </w:p>
    <w:p w14:paraId="5CAC367F" w14:textId="4B32BB66" w:rsidR="00B273DC" w:rsidRPr="002460FC" w:rsidRDefault="00312C76" w:rsidP="002460FC">
      <w:pPr>
        <w:spacing w:line="360" w:lineRule="auto"/>
        <w:jc w:val="both"/>
        <w:rPr>
          <w:rFonts w:ascii="Arial" w:hAnsi="Arial" w:cs="Arial"/>
          <w:color w:val="000000" w:themeColor="text1"/>
          <w:sz w:val="22"/>
          <w:szCs w:val="22"/>
        </w:rPr>
      </w:pPr>
      <w:r w:rsidRPr="002460FC">
        <w:rPr>
          <w:rFonts w:ascii="Arial" w:hAnsi="Arial" w:cs="Arial"/>
          <w:color w:val="000000" w:themeColor="text1"/>
          <w:sz w:val="22"/>
          <w:szCs w:val="22"/>
        </w:rPr>
        <w:t>Erikson's theory is still highly useful in supporting older individuals in health and social care since it explains the final psychosocial stage. Integrity versus despair. In care settings, older persons frequently reflect on their life experiences, accomplishments, and losses. When positive meaning is found, this reflection can help to promote emotional acceptance, dignity, and psychological well-being. This approach underpins the life review and recollection therapy used in UK care homes, which has been found to alleviate loneliness and depression (NHS England, 2024). However, Erikson's model is stage-based and may not capture the complexity of ageing experiences impacted by culture, health circumstances, or social disparity. Despite this, it is still valuable for guiding psychological support interventions in residential care.</w:t>
      </w:r>
    </w:p>
    <w:p w14:paraId="53A58F5A" w14:textId="123C25FB" w:rsidR="00312C76" w:rsidRPr="002460FC" w:rsidRDefault="00312C76" w:rsidP="002460FC">
      <w:pPr>
        <w:spacing w:line="360" w:lineRule="auto"/>
        <w:jc w:val="both"/>
        <w:rPr>
          <w:rFonts w:ascii="Arial" w:hAnsi="Arial" w:cs="Arial"/>
          <w:b/>
          <w:bCs/>
          <w:color w:val="000000" w:themeColor="text1"/>
          <w:sz w:val="22"/>
          <w:szCs w:val="22"/>
        </w:rPr>
      </w:pPr>
      <w:r w:rsidRPr="002460FC">
        <w:rPr>
          <w:rFonts w:ascii="Arial" w:hAnsi="Arial" w:cs="Arial"/>
          <w:b/>
          <w:bCs/>
          <w:color w:val="000000" w:themeColor="text1"/>
          <w:sz w:val="22"/>
          <w:szCs w:val="22"/>
        </w:rPr>
        <w:t>Step 4: Critical Comment on Relevance to Older Adults (Bowlby)</w:t>
      </w:r>
    </w:p>
    <w:p w14:paraId="23D29BAE" w14:textId="77777777" w:rsidR="00312C76" w:rsidRPr="002460FC" w:rsidRDefault="00312C76" w:rsidP="002460FC">
      <w:pPr>
        <w:spacing w:line="360" w:lineRule="auto"/>
        <w:jc w:val="both"/>
        <w:rPr>
          <w:rFonts w:ascii="Arial" w:hAnsi="Arial" w:cs="Arial"/>
          <w:color w:val="000000" w:themeColor="text1"/>
          <w:sz w:val="22"/>
          <w:szCs w:val="22"/>
        </w:rPr>
      </w:pPr>
      <w:r w:rsidRPr="002460FC">
        <w:rPr>
          <w:rFonts w:ascii="Arial" w:hAnsi="Arial" w:cs="Arial"/>
          <w:color w:val="000000" w:themeColor="text1"/>
          <w:sz w:val="22"/>
          <w:szCs w:val="22"/>
        </w:rPr>
        <w:t>Bowlby's Attachment Theory is especially useful in helping elderly persons because attachment requirements persist throughout life. Older persons in residential care settings frequently rely on carers as secondary attachment figures, particularly following bereavement or loss of independence. Secure attachment connections can increase emotional stability, alleviate loneliness, and boost overall well-being.</w:t>
      </w:r>
    </w:p>
    <w:p w14:paraId="5CCFF858" w14:textId="7F0F28B4" w:rsidR="00B273DC" w:rsidRPr="002460FC" w:rsidRDefault="00312C76" w:rsidP="002460FC">
      <w:pPr>
        <w:spacing w:line="360" w:lineRule="auto"/>
        <w:jc w:val="both"/>
        <w:rPr>
          <w:rFonts w:ascii="Arial" w:hAnsi="Arial" w:cs="Arial"/>
          <w:color w:val="000000" w:themeColor="text1"/>
          <w:sz w:val="22"/>
          <w:szCs w:val="22"/>
        </w:rPr>
      </w:pPr>
      <w:r w:rsidRPr="002460FC">
        <w:rPr>
          <w:rFonts w:ascii="Arial" w:hAnsi="Arial" w:cs="Arial"/>
          <w:color w:val="000000" w:themeColor="text1"/>
          <w:sz w:val="22"/>
          <w:szCs w:val="22"/>
        </w:rPr>
        <w:t>However, the theory has limits because it does not completely account for institutional issues such as staffing levels, care quality, or organisational pressures, all of which influence emotional outcomes in care homes. Despite this, it remains critical for developing person-centred care and emotional security in health and social care practice.</w:t>
      </w:r>
    </w:p>
    <w:p w14:paraId="72E79B0C" w14:textId="77777777" w:rsidR="00312C76" w:rsidRPr="002460FC" w:rsidRDefault="00312C76" w:rsidP="002460FC">
      <w:pPr>
        <w:spacing w:line="360" w:lineRule="auto"/>
        <w:jc w:val="both"/>
        <w:rPr>
          <w:rFonts w:ascii="Arial" w:hAnsi="Arial" w:cs="Arial"/>
          <w:b/>
          <w:bCs/>
          <w:color w:val="000000" w:themeColor="text1"/>
          <w:sz w:val="22"/>
          <w:szCs w:val="22"/>
        </w:rPr>
      </w:pPr>
      <w:r w:rsidRPr="002460FC">
        <w:rPr>
          <w:rFonts w:ascii="Arial" w:hAnsi="Arial" w:cs="Arial"/>
          <w:b/>
          <w:bCs/>
          <w:color w:val="000000" w:themeColor="text1"/>
          <w:sz w:val="22"/>
          <w:szCs w:val="22"/>
        </w:rPr>
        <w:t>Part B: Short Report</w:t>
      </w:r>
    </w:p>
    <w:p w14:paraId="76373460" w14:textId="77777777" w:rsidR="00312C76" w:rsidRPr="002460FC" w:rsidRDefault="00312C76" w:rsidP="002460FC">
      <w:pPr>
        <w:spacing w:line="360" w:lineRule="auto"/>
        <w:jc w:val="both"/>
        <w:rPr>
          <w:rFonts w:ascii="Arial" w:hAnsi="Arial" w:cs="Arial"/>
          <w:b/>
          <w:bCs/>
          <w:color w:val="000000" w:themeColor="text1"/>
          <w:sz w:val="22"/>
          <w:szCs w:val="22"/>
        </w:rPr>
      </w:pPr>
      <w:r w:rsidRPr="002460FC">
        <w:rPr>
          <w:rFonts w:ascii="Arial" w:hAnsi="Arial" w:cs="Arial"/>
          <w:b/>
          <w:bCs/>
          <w:color w:val="000000" w:themeColor="text1"/>
          <w:sz w:val="22"/>
          <w:szCs w:val="22"/>
        </w:rPr>
        <w:t>Step 1: Selected Theory</w:t>
      </w:r>
    </w:p>
    <w:p w14:paraId="1FF9638A" w14:textId="1202963D" w:rsidR="00B273DC" w:rsidRPr="002460FC" w:rsidRDefault="00312C76" w:rsidP="002460FC">
      <w:pPr>
        <w:spacing w:line="360" w:lineRule="auto"/>
        <w:jc w:val="both"/>
        <w:rPr>
          <w:rFonts w:ascii="Arial" w:hAnsi="Arial" w:cs="Arial"/>
          <w:color w:val="000000" w:themeColor="text1"/>
          <w:sz w:val="22"/>
          <w:szCs w:val="22"/>
        </w:rPr>
      </w:pPr>
      <w:r w:rsidRPr="002460FC">
        <w:rPr>
          <w:rFonts w:ascii="Arial" w:hAnsi="Arial" w:cs="Arial"/>
          <w:color w:val="000000" w:themeColor="text1"/>
          <w:sz w:val="22"/>
          <w:szCs w:val="22"/>
        </w:rPr>
        <w:t>Bowlby's Attachment Theory was chosen for this section because it is particularly relevant to emotional care and psychological well-being in residential care settings.</w:t>
      </w:r>
    </w:p>
    <w:p w14:paraId="67BB468A" w14:textId="6073E3F8" w:rsidR="00312C76" w:rsidRPr="002460FC" w:rsidRDefault="00312C76" w:rsidP="002460FC">
      <w:pPr>
        <w:spacing w:line="360" w:lineRule="auto"/>
        <w:jc w:val="both"/>
        <w:rPr>
          <w:rFonts w:ascii="Arial" w:hAnsi="Arial" w:cs="Arial"/>
          <w:b/>
          <w:bCs/>
          <w:color w:val="000000" w:themeColor="text1"/>
          <w:sz w:val="22"/>
          <w:szCs w:val="22"/>
        </w:rPr>
      </w:pPr>
      <w:r w:rsidRPr="002460FC">
        <w:rPr>
          <w:rFonts w:ascii="Arial" w:hAnsi="Arial" w:cs="Arial"/>
          <w:b/>
          <w:bCs/>
          <w:color w:val="000000" w:themeColor="text1"/>
          <w:sz w:val="22"/>
          <w:szCs w:val="22"/>
        </w:rPr>
        <w:t>Step 2: Introduction to Theory</w:t>
      </w:r>
    </w:p>
    <w:p w14:paraId="02DA8FF7" w14:textId="4B70B389" w:rsidR="00B273DC" w:rsidRPr="002460FC" w:rsidRDefault="00312C76" w:rsidP="002460FC">
      <w:pPr>
        <w:spacing w:line="360" w:lineRule="auto"/>
        <w:jc w:val="both"/>
        <w:rPr>
          <w:rFonts w:ascii="Arial" w:hAnsi="Arial" w:cs="Arial"/>
          <w:color w:val="000000" w:themeColor="text1"/>
          <w:sz w:val="22"/>
          <w:szCs w:val="22"/>
        </w:rPr>
      </w:pPr>
      <w:r w:rsidRPr="002460FC">
        <w:rPr>
          <w:rFonts w:ascii="Arial" w:hAnsi="Arial" w:cs="Arial"/>
          <w:color w:val="000000" w:themeColor="text1"/>
          <w:sz w:val="22"/>
          <w:szCs w:val="22"/>
        </w:rPr>
        <w:t>Bowlby's Attachment Theory explains how early emotional attachments with carers influence emotional development, coping strategies, and interpersonal conduct throughout life (Bowlby 1988). The idea distinguishes between secure and insecure attachment types, which affect how people respond to stress, relationships, and separation. It is commonly used in health and social care to assess emotional needs, particularly among vulnerable older persons in residential care facilities.</w:t>
      </w:r>
    </w:p>
    <w:p w14:paraId="504A13C5" w14:textId="656E5DC7" w:rsidR="00312C76" w:rsidRPr="002460FC" w:rsidRDefault="00312C76" w:rsidP="002460FC">
      <w:pPr>
        <w:spacing w:line="360" w:lineRule="auto"/>
        <w:jc w:val="both"/>
        <w:rPr>
          <w:rFonts w:ascii="Arial" w:hAnsi="Arial" w:cs="Arial"/>
          <w:b/>
          <w:bCs/>
          <w:color w:val="000000" w:themeColor="text1"/>
          <w:sz w:val="22"/>
          <w:szCs w:val="22"/>
        </w:rPr>
      </w:pPr>
      <w:r w:rsidRPr="002460FC">
        <w:rPr>
          <w:rFonts w:ascii="Arial" w:hAnsi="Arial" w:cs="Arial"/>
          <w:b/>
          <w:bCs/>
          <w:color w:val="000000" w:themeColor="text1"/>
          <w:sz w:val="22"/>
          <w:szCs w:val="22"/>
        </w:rPr>
        <w:t>Application in Residential Care Settings</w:t>
      </w:r>
    </w:p>
    <w:p w14:paraId="56B456A3" w14:textId="790BAA39" w:rsidR="00B273DC" w:rsidRPr="002460FC" w:rsidRDefault="00312C76" w:rsidP="002460FC">
      <w:pPr>
        <w:spacing w:line="360" w:lineRule="auto"/>
        <w:jc w:val="both"/>
        <w:rPr>
          <w:rFonts w:ascii="Arial" w:hAnsi="Arial" w:cs="Arial"/>
          <w:color w:val="000000" w:themeColor="text1"/>
          <w:sz w:val="22"/>
          <w:szCs w:val="22"/>
        </w:rPr>
      </w:pPr>
      <w:r w:rsidRPr="002460FC">
        <w:rPr>
          <w:rFonts w:ascii="Arial" w:hAnsi="Arial" w:cs="Arial"/>
          <w:color w:val="000000" w:themeColor="text1"/>
          <w:sz w:val="22"/>
          <w:szCs w:val="22"/>
        </w:rPr>
        <w:t>Attachment Theory can increase well-being in nursing homes by fostering consistent, trusting relationships between residents and carers. When carers provide emotional support, reassurance, and continuity, residents are more likely to feel safe and emotionally stable. This lowers anxiety, increases mood, and boosts general psychological well-being. For example, an older adult who moves into a care home may experience emotional anguish as a result of being separated from family. A reliable key worker who offers daily emotional support and reassurance can serve as a secondary attachment figure. Over time, this reduces loneliness and increases involvement in social activities, so enhancing overall quality of life.</w:t>
      </w:r>
    </w:p>
    <w:p w14:paraId="54EE6D18" w14:textId="77777777" w:rsidR="00312C76" w:rsidRPr="002460FC" w:rsidRDefault="00312C76" w:rsidP="002460FC">
      <w:pPr>
        <w:spacing w:line="360" w:lineRule="auto"/>
        <w:jc w:val="both"/>
        <w:rPr>
          <w:rFonts w:ascii="Arial" w:hAnsi="Arial" w:cs="Arial"/>
          <w:b/>
          <w:bCs/>
          <w:color w:val="000000" w:themeColor="text1"/>
          <w:sz w:val="22"/>
          <w:szCs w:val="22"/>
        </w:rPr>
      </w:pPr>
      <w:r w:rsidRPr="002460FC">
        <w:rPr>
          <w:rFonts w:ascii="Arial" w:hAnsi="Arial" w:cs="Arial"/>
          <w:b/>
          <w:bCs/>
          <w:color w:val="000000" w:themeColor="text1"/>
          <w:sz w:val="22"/>
          <w:szCs w:val="22"/>
        </w:rPr>
        <w:t>Step 3: Example Scenario</w:t>
      </w:r>
    </w:p>
    <w:p w14:paraId="661F661B" w14:textId="543B0053" w:rsidR="00B273DC" w:rsidRPr="002460FC" w:rsidRDefault="00312C76" w:rsidP="002460FC">
      <w:pPr>
        <w:spacing w:line="360" w:lineRule="auto"/>
        <w:jc w:val="both"/>
        <w:rPr>
          <w:rFonts w:ascii="Arial" w:hAnsi="Arial" w:cs="Arial"/>
          <w:color w:val="000000" w:themeColor="text1"/>
          <w:sz w:val="22"/>
          <w:szCs w:val="22"/>
        </w:rPr>
      </w:pPr>
      <w:r w:rsidRPr="002460FC">
        <w:rPr>
          <w:rFonts w:ascii="Arial" w:hAnsi="Arial" w:cs="Arial"/>
          <w:color w:val="000000" w:themeColor="text1"/>
          <w:sz w:val="22"/>
          <w:szCs w:val="22"/>
        </w:rPr>
        <w:t>Mr A, aged 85, recently moved into a residential care home due to diminishing mobility and bereavement. He first rejected social interaction and had symptoms of withdrawal and anxiety. A specialised care worker was assigned to him to provide ongoing emotional support, daily chats, and reassurance. Mr A gradually gained trust, became more socially active, and displayed greater emotional well-being. This demonstrates how attachment-based care promotes psychological adjustment in care settings.</w:t>
      </w:r>
    </w:p>
    <w:p w14:paraId="4C79393F" w14:textId="77777777" w:rsidR="00312C76" w:rsidRPr="002460FC" w:rsidRDefault="00312C76" w:rsidP="002460FC">
      <w:pPr>
        <w:spacing w:line="360" w:lineRule="auto"/>
        <w:jc w:val="both"/>
        <w:rPr>
          <w:rFonts w:ascii="Arial" w:hAnsi="Arial" w:cs="Arial"/>
          <w:b/>
          <w:bCs/>
          <w:color w:val="000000" w:themeColor="text1"/>
          <w:sz w:val="22"/>
          <w:szCs w:val="22"/>
        </w:rPr>
      </w:pPr>
      <w:r w:rsidRPr="002460FC">
        <w:rPr>
          <w:rFonts w:ascii="Arial" w:hAnsi="Arial" w:cs="Arial"/>
          <w:b/>
          <w:bCs/>
          <w:color w:val="000000" w:themeColor="text1"/>
          <w:sz w:val="22"/>
          <w:szCs w:val="22"/>
        </w:rPr>
        <w:t>Step 4: Challenge in Applying Theory</w:t>
      </w:r>
    </w:p>
    <w:p w14:paraId="6E01A203" w14:textId="3AB8D3DB" w:rsidR="00B273DC" w:rsidRPr="002460FC" w:rsidRDefault="00312C76" w:rsidP="002460FC">
      <w:pPr>
        <w:spacing w:line="360" w:lineRule="auto"/>
        <w:jc w:val="both"/>
        <w:rPr>
          <w:rFonts w:ascii="Arial" w:hAnsi="Arial" w:cs="Arial"/>
          <w:color w:val="000000" w:themeColor="text1"/>
          <w:sz w:val="22"/>
          <w:szCs w:val="22"/>
        </w:rPr>
      </w:pPr>
      <w:r w:rsidRPr="002460FC">
        <w:rPr>
          <w:rFonts w:ascii="Arial" w:hAnsi="Arial" w:cs="Arial"/>
          <w:color w:val="000000" w:themeColor="text1"/>
          <w:sz w:val="22"/>
          <w:szCs w:val="22"/>
        </w:rPr>
        <w:t>High staff turnover and a lack of continuity in caregiving relationships pose significant challenges when using Attachment Theory in care homes. Frequent changes in carers can hinder residents from forming permanent emotional attachments, resulting in uncertainty, anxiety, and decreased trust.</w:t>
      </w:r>
    </w:p>
    <w:p w14:paraId="251E9FF1" w14:textId="77777777" w:rsidR="00312C76" w:rsidRPr="002460FC" w:rsidRDefault="00312C76" w:rsidP="002460FC">
      <w:pPr>
        <w:spacing w:line="360" w:lineRule="auto"/>
        <w:jc w:val="both"/>
        <w:rPr>
          <w:rFonts w:ascii="Arial" w:hAnsi="Arial" w:cs="Arial"/>
          <w:b/>
          <w:bCs/>
          <w:color w:val="000000" w:themeColor="text1"/>
          <w:sz w:val="22"/>
          <w:szCs w:val="22"/>
        </w:rPr>
      </w:pPr>
      <w:r w:rsidRPr="002460FC">
        <w:rPr>
          <w:rFonts w:ascii="Arial" w:hAnsi="Arial" w:cs="Arial"/>
          <w:b/>
          <w:bCs/>
          <w:color w:val="000000" w:themeColor="text1"/>
          <w:sz w:val="22"/>
          <w:szCs w:val="22"/>
        </w:rPr>
        <w:t>Step 5: Evidence-Based Solution</w:t>
      </w:r>
    </w:p>
    <w:p w14:paraId="0C4A4ECA" w14:textId="7A4A2CC8" w:rsidR="00B273DC" w:rsidRPr="002460FC" w:rsidRDefault="00312C76" w:rsidP="002460FC">
      <w:pPr>
        <w:spacing w:line="360" w:lineRule="auto"/>
        <w:jc w:val="both"/>
        <w:rPr>
          <w:rFonts w:ascii="Arial" w:hAnsi="Arial" w:cs="Arial"/>
          <w:color w:val="000000" w:themeColor="text1"/>
          <w:sz w:val="22"/>
          <w:szCs w:val="22"/>
        </w:rPr>
      </w:pPr>
      <w:r w:rsidRPr="002460FC">
        <w:rPr>
          <w:rFonts w:ascii="Arial" w:hAnsi="Arial" w:cs="Arial"/>
          <w:color w:val="000000" w:themeColor="text1"/>
          <w:sz w:val="22"/>
          <w:szCs w:val="22"/>
        </w:rPr>
        <w:t>An evidence-based option is to adopt continuity of care models, in which each resident is allocated a consistent key worker or small care team. According to NICE (2023), continuity of care promotes emotional well-being, lowers worry, and increases trust in care partnerships. Furthermore, relationship-centered care training enhances staff communication skills and emotional responsiveness, hence promoting secure attachment development in care settings.</w:t>
      </w:r>
    </w:p>
    <w:p w14:paraId="74277B1E" w14:textId="77777777" w:rsidR="00312C76" w:rsidRPr="002460FC" w:rsidRDefault="00312C76" w:rsidP="002460FC">
      <w:pPr>
        <w:jc w:val="both"/>
        <w:rPr>
          <w:rFonts w:ascii="Arial" w:hAnsi="Arial" w:cs="Arial"/>
          <w:sz w:val="22"/>
          <w:szCs w:val="22"/>
        </w:rPr>
      </w:pPr>
    </w:p>
    <w:p w14:paraId="234BB8DA" w14:textId="77777777" w:rsidR="00312C76" w:rsidRPr="002460FC" w:rsidRDefault="00312C76" w:rsidP="002460FC">
      <w:pPr>
        <w:jc w:val="both"/>
        <w:rPr>
          <w:rFonts w:ascii="Arial" w:hAnsi="Arial" w:cs="Arial"/>
          <w:sz w:val="22"/>
          <w:szCs w:val="22"/>
        </w:rPr>
      </w:pPr>
    </w:p>
    <w:p w14:paraId="1F0EB18F" w14:textId="77777777" w:rsidR="00312C76" w:rsidRPr="002460FC" w:rsidRDefault="00312C76" w:rsidP="002460FC">
      <w:pPr>
        <w:jc w:val="both"/>
        <w:rPr>
          <w:rFonts w:ascii="Arial" w:hAnsi="Arial" w:cs="Arial"/>
          <w:sz w:val="22"/>
          <w:szCs w:val="22"/>
        </w:rPr>
      </w:pPr>
    </w:p>
    <w:p w14:paraId="55005657" w14:textId="77777777" w:rsidR="00312C76" w:rsidRPr="002460FC" w:rsidRDefault="00312C76" w:rsidP="002460FC">
      <w:pPr>
        <w:jc w:val="both"/>
        <w:rPr>
          <w:rFonts w:ascii="Arial" w:hAnsi="Arial" w:cs="Arial"/>
          <w:sz w:val="22"/>
          <w:szCs w:val="22"/>
        </w:rPr>
      </w:pPr>
    </w:p>
    <w:p w14:paraId="75BBD8C2" w14:textId="77777777" w:rsidR="00312C76" w:rsidRPr="002460FC" w:rsidRDefault="00312C76" w:rsidP="002460FC">
      <w:pPr>
        <w:jc w:val="both"/>
        <w:rPr>
          <w:rFonts w:ascii="Arial" w:hAnsi="Arial" w:cs="Arial"/>
          <w:sz w:val="22"/>
          <w:szCs w:val="22"/>
        </w:rPr>
      </w:pPr>
    </w:p>
    <w:p w14:paraId="7F12E6C0" w14:textId="77777777" w:rsidR="00312C76" w:rsidRPr="002460FC" w:rsidRDefault="00312C76" w:rsidP="002460FC">
      <w:pPr>
        <w:jc w:val="both"/>
        <w:rPr>
          <w:rFonts w:ascii="Arial" w:hAnsi="Arial" w:cs="Arial"/>
          <w:sz w:val="22"/>
          <w:szCs w:val="22"/>
        </w:rPr>
      </w:pPr>
    </w:p>
    <w:p w14:paraId="7F913159" w14:textId="77777777" w:rsidR="00312C76" w:rsidRPr="002460FC" w:rsidRDefault="00312C76" w:rsidP="002460FC">
      <w:pPr>
        <w:jc w:val="both"/>
        <w:rPr>
          <w:rFonts w:ascii="Arial" w:hAnsi="Arial" w:cs="Arial"/>
          <w:sz w:val="22"/>
          <w:szCs w:val="22"/>
        </w:rPr>
      </w:pPr>
    </w:p>
    <w:p w14:paraId="451636EE" w14:textId="77777777" w:rsidR="00312C76" w:rsidRPr="002460FC" w:rsidRDefault="00312C76" w:rsidP="002460FC">
      <w:pPr>
        <w:jc w:val="both"/>
        <w:rPr>
          <w:rFonts w:ascii="Arial" w:hAnsi="Arial" w:cs="Arial"/>
          <w:sz w:val="22"/>
          <w:szCs w:val="22"/>
        </w:rPr>
      </w:pPr>
    </w:p>
    <w:p w14:paraId="1B687D83" w14:textId="77777777" w:rsidR="00312C76" w:rsidRPr="002460FC" w:rsidRDefault="00312C76" w:rsidP="002460FC">
      <w:pPr>
        <w:jc w:val="both"/>
        <w:rPr>
          <w:rFonts w:ascii="Arial" w:hAnsi="Arial" w:cs="Arial"/>
          <w:sz w:val="22"/>
          <w:szCs w:val="22"/>
        </w:rPr>
      </w:pPr>
    </w:p>
    <w:p w14:paraId="2EE4D08E" w14:textId="77777777" w:rsidR="00312C76" w:rsidRPr="002460FC" w:rsidRDefault="00312C76" w:rsidP="002460FC">
      <w:pPr>
        <w:jc w:val="both"/>
        <w:rPr>
          <w:rFonts w:ascii="Arial" w:hAnsi="Arial" w:cs="Arial"/>
          <w:sz w:val="22"/>
          <w:szCs w:val="22"/>
        </w:rPr>
      </w:pPr>
    </w:p>
    <w:sectPr w:rsidR="00312C76" w:rsidRPr="002460FC">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ABDEB4" w14:textId="77777777" w:rsidR="00793DD0" w:rsidRDefault="00793DD0" w:rsidP="009922CF">
      <w:pPr>
        <w:spacing w:after="0" w:line="240" w:lineRule="auto"/>
      </w:pPr>
      <w:r>
        <w:separator/>
      </w:r>
    </w:p>
  </w:endnote>
  <w:endnote w:type="continuationSeparator" w:id="0">
    <w:p w14:paraId="5241F3FA" w14:textId="77777777" w:rsidR="00793DD0" w:rsidRDefault="00793DD0" w:rsidP="009922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2753216"/>
      <w:docPartObj>
        <w:docPartGallery w:val="Page Numbers (Bottom of Page)"/>
        <w:docPartUnique/>
      </w:docPartObj>
    </w:sdtPr>
    <w:sdtEndPr>
      <w:rPr>
        <w:noProof/>
      </w:rPr>
    </w:sdtEndPr>
    <w:sdtContent>
      <w:p w14:paraId="3AEB2AE2" w14:textId="60868041" w:rsidR="009922CF" w:rsidRDefault="009922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374227" w14:textId="77777777" w:rsidR="009922CF" w:rsidRDefault="009922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E346BC" w14:textId="77777777" w:rsidR="00793DD0" w:rsidRDefault="00793DD0" w:rsidP="009922CF">
      <w:pPr>
        <w:spacing w:after="0" w:line="240" w:lineRule="auto"/>
      </w:pPr>
      <w:r>
        <w:separator/>
      </w:r>
    </w:p>
  </w:footnote>
  <w:footnote w:type="continuationSeparator" w:id="0">
    <w:p w14:paraId="08CCD91E" w14:textId="77777777" w:rsidR="00793DD0" w:rsidRDefault="00793DD0" w:rsidP="009922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496069"/>
    <w:multiLevelType w:val="multilevel"/>
    <w:tmpl w:val="A978D6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03582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8"/>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DCB"/>
    <w:rsid w:val="0008387C"/>
    <w:rsid w:val="000E29E8"/>
    <w:rsid w:val="00240DCB"/>
    <w:rsid w:val="002460FC"/>
    <w:rsid w:val="002D02F1"/>
    <w:rsid w:val="00312C76"/>
    <w:rsid w:val="003F73A8"/>
    <w:rsid w:val="00511DD7"/>
    <w:rsid w:val="00617FE7"/>
    <w:rsid w:val="00640339"/>
    <w:rsid w:val="00657D85"/>
    <w:rsid w:val="006825FA"/>
    <w:rsid w:val="0070359F"/>
    <w:rsid w:val="00793DD0"/>
    <w:rsid w:val="00923C43"/>
    <w:rsid w:val="00925510"/>
    <w:rsid w:val="009922CF"/>
    <w:rsid w:val="00B273DC"/>
    <w:rsid w:val="00B35A38"/>
    <w:rsid w:val="00BB689B"/>
    <w:rsid w:val="00CC2DBB"/>
    <w:rsid w:val="00D36D1B"/>
    <w:rsid w:val="00DA40C0"/>
    <w:rsid w:val="00E23B2E"/>
    <w:rsid w:val="00FB7A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9A3D1"/>
  <w15:chartTrackingRefBased/>
  <w15:docId w15:val="{6EF3D80B-9182-4FE5-9EE3-E72CC727CF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0DC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40DC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40DC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40DC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40DC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40D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0D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0D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0D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0DC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40DC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40DC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40DC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40DC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40D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0D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0D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0DCB"/>
    <w:rPr>
      <w:rFonts w:eastAsiaTheme="majorEastAsia" w:cstheme="majorBidi"/>
      <w:color w:val="272727" w:themeColor="text1" w:themeTint="D8"/>
    </w:rPr>
  </w:style>
  <w:style w:type="paragraph" w:styleId="Title">
    <w:name w:val="Title"/>
    <w:basedOn w:val="Normal"/>
    <w:next w:val="Normal"/>
    <w:link w:val="TitleChar"/>
    <w:uiPriority w:val="10"/>
    <w:qFormat/>
    <w:rsid w:val="00240D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0D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0D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0D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0DCB"/>
    <w:pPr>
      <w:spacing w:before="160"/>
      <w:jc w:val="center"/>
    </w:pPr>
    <w:rPr>
      <w:i/>
      <w:iCs/>
      <w:color w:val="404040" w:themeColor="text1" w:themeTint="BF"/>
    </w:rPr>
  </w:style>
  <w:style w:type="character" w:customStyle="1" w:styleId="QuoteChar">
    <w:name w:val="Quote Char"/>
    <w:basedOn w:val="DefaultParagraphFont"/>
    <w:link w:val="Quote"/>
    <w:uiPriority w:val="29"/>
    <w:rsid w:val="00240DCB"/>
    <w:rPr>
      <w:i/>
      <w:iCs/>
      <w:color w:val="404040" w:themeColor="text1" w:themeTint="BF"/>
    </w:rPr>
  </w:style>
  <w:style w:type="paragraph" w:styleId="ListParagraph">
    <w:name w:val="List Paragraph"/>
    <w:basedOn w:val="Normal"/>
    <w:uiPriority w:val="34"/>
    <w:qFormat/>
    <w:rsid w:val="00240DCB"/>
    <w:pPr>
      <w:ind w:left="720"/>
      <w:contextualSpacing/>
    </w:pPr>
  </w:style>
  <w:style w:type="character" w:styleId="IntenseEmphasis">
    <w:name w:val="Intense Emphasis"/>
    <w:basedOn w:val="DefaultParagraphFont"/>
    <w:uiPriority w:val="21"/>
    <w:qFormat/>
    <w:rsid w:val="00240DCB"/>
    <w:rPr>
      <w:i/>
      <w:iCs/>
      <w:color w:val="2F5496" w:themeColor="accent1" w:themeShade="BF"/>
    </w:rPr>
  </w:style>
  <w:style w:type="paragraph" w:styleId="IntenseQuote">
    <w:name w:val="Intense Quote"/>
    <w:basedOn w:val="Normal"/>
    <w:next w:val="Normal"/>
    <w:link w:val="IntenseQuoteChar"/>
    <w:uiPriority w:val="30"/>
    <w:qFormat/>
    <w:rsid w:val="00240DC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40DCB"/>
    <w:rPr>
      <w:i/>
      <w:iCs/>
      <w:color w:val="2F5496" w:themeColor="accent1" w:themeShade="BF"/>
    </w:rPr>
  </w:style>
  <w:style w:type="character" w:styleId="IntenseReference">
    <w:name w:val="Intense Reference"/>
    <w:basedOn w:val="DefaultParagraphFont"/>
    <w:uiPriority w:val="32"/>
    <w:qFormat/>
    <w:rsid w:val="00240DCB"/>
    <w:rPr>
      <w:b/>
      <w:bCs/>
      <w:smallCaps/>
      <w:color w:val="2F5496" w:themeColor="accent1" w:themeShade="BF"/>
      <w:spacing w:val="5"/>
    </w:rPr>
  </w:style>
  <w:style w:type="character" w:styleId="Hyperlink">
    <w:name w:val="Hyperlink"/>
    <w:basedOn w:val="DefaultParagraphFont"/>
    <w:uiPriority w:val="99"/>
    <w:unhideWhenUsed/>
    <w:rsid w:val="00240DCB"/>
    <w:rPr>
      <w:color w:val="0563C1" w:themeColor="hyperlink"/>
      <w:u w:val="single"/>
    </w:rPr>
  </w:style>
  <w:style w:type="character" w:styleId="UnresolvedMention">
    <w:name w:val="Unresolved Mention"/>
    <w:basedOn w:val="DefaultParagraphFont"/>
    <w:uiPriority w:val="99"/>
    <w:semiHidden/>
    <w:unhideWhenUsed/>
    <w:rsid w:val="00240DCB"/>
    <w:rPr>
      <w:color w:val="605E5C"/>
      <w:shd w:val="clear" w:color="auto" w:fill="E1DFDD"/>
    </w:rPr>
  </w:style>
  <w:style w:type="paragraph" w:styleId="Header">
    <w:name w:val="header"/>
    <w:basedOn w:val="Normal"/>
    <w:link w:val="HeaderChar"/>
    <w:uiPriority w:val="99"/>
    <w:unhideWhenUsed/>
    <w:rsid w:val="009922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22CF"/>
  </w:style>
  <w:style w:type="paragraph" w:styleId="Footer">
    <w:name w:val="footer"/>
    <w:basedOn w:val="Normal"/>
    <w:link w:val="FooterChar"/>
    <w:uiPriority w:val="99"/>
    <w:unhideWhenUsed/>
    <w:rsid w:val="009922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22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1872675400700202"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doi.org/10.1177/0956797616678438" TargetMode="External" /><Relationship Id="rId5" Type="http://schemas.openxmlformats.org/officeDocument/2006/relationships/footnotes" Target="footnotes.xml" /><Relationship Id="rId10" Type="http://schemas.openxmlformats.org/officeDocument/2006/relationships/hyperlink" Target="https://doi.org/10.1038/s41562-018-0506-1" TargetMode="External" /><Relationship Id="rId4" Type="http://schemas.openxmlformats.org/officeDocument/2006/relationships/webSettings" Target="webSettings.xml" /><Relationship Id="rId9" Type="http://schemas.openxmlformats.org/officeDocument/2006/relationships/hyperlink" Target="https://doi.org/10.1111/jcpp.13190"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3281</Words>
  <Characters>18704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fatoumata malika Dosso</cp:lastModifiedBy>
  <cp:revision>2</cp:revision>
  <dcterms:created xsi:type="dcterms:W3CDTF">2026-07-29T09:52:00Z</dcterms:created>
  <dcterms:modified xsi:type="dcterms:W3CDTF">2026-07-29T09:52:00Z</dcterms:modified>
</cp:coreProperties>
</file>