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67FE8" w14:textId="7C5DC459" w:rsidR="00A80682" w:rsidRPr="00B37109" w:rsidRDefault="00A80682" w:rsidP="00A80682">
      <w:pPr>
        <w:spacing w:line="480" w:lineRule="auto"/>
        <w:jc w:val="both"/>
        <w:rPr>
          <w:rFonts w:asciiTheme="majorBidi" w:hAnsiTheme="majorBidi" w:cstheme="majorBidi"/>
          <w:sz w:val="24"/>
          <w:szCs w:val="24"/>
        </w:rPr>
      </w:pPr>
      <w:r>
        <w:rPr>
          <w:rFonts w:asciiTheme="majorBidi" w:hAnsiTheme="majorBidi" w:cstheme="majorBidi"/>
          <w:sz w:val="24"/>
          <w:szCs w:val="24"/>
        </w:rPr>
        <w:t xml:space="preserve">Lecture notes - </w:t>
      </w:r>
    </w:p>
    <w:p w14:paraId="7CD5A3E5" w14:textId="77777777" w:rsidR="00A80682" w:rsidRPr="00B37109" w:rsidRDefault="00A80682" w:rsidP="00A80682">
      <w:pPr>
        <w:spacing w:line="480" w:lineRule="auto"/>
        <w:jc w:val="both"/>
        <w:rPr>
          <w:rFonts w:asciiTheme="majorBidi" w:hAnsiTheme="majorBidi" w:cstheme="majorBidi"/>
          <w:sz w:val="24"/>
          <w:szCs w:val="24"/>
        </w:rPr>
      </w:pPr>
    </w:p>
    <w:p w14:paraId="2AFD865F" w14:textId="77777777" w:rsidR="00A80682" w:rsidRDefault="00A80682" w:rsidP="00A80682">
      <w:pPr>
        <w:spacing w:line="480" w:lineRule="auto"/>
        <w:jc w:val="both"/>
        <w:rPr>
          <w:rFonts w:asciiTheme="majorBidi" w:hAnsiTheme="majorBidi" w:cstheme="majorBidi"/>
          <w:sz w:val="24"/>
          <w:szCs w:val="24"/>
        </w:rPr>
      </w:pPr>
      <w:r w:rsidRPr="00B37109">
        <w:rPr>
          <w:rFonts w:asciiTheme="majorBidi" w:hAnsiTheme="majorBidi" w:cstheme="majorBidi"/>
          <w:b/>
          <w:bCs/>
          <w:sz w:val="28"/>
          <w:szCs w:val="28"/>
        </w:rPr>
        <w:t>The Alibaba case study</w:t>
      </w:r>
      <w:r w:rsidRPr="00B37109">
        <w:rPr>
          <w:rFonts w:asciiTheme="majorBidi" w:hAnsiTheme="majorBidi" w:cstheme="majorBidi"/>
          <w:sz w:val="24"/>
          <w:szCs w:val="24"/>
        </w:rPr>
        <w:t xml:space="preserve">, as presented by Harvard Law School, focuses on the unique governance structure of the company, particularly its control mechanisms. It highlights how Jack Ma, owning less than 5% of Alibaba, effectively controls the company through his influence over the Alibaba Partnership and its smaller Partnership Committee. This structure allows Ma substantial leverage over Alibaba, despite his minimal equity stake. Alibaba is known for its unique governance structure: </w:t>
      </w:r>
      <w:proofErr w:type="gramStart"/>
      <w:r w:rsidRPr="00B37109">
        <w:rPr>
          <w:rFonts w:asciiTheme="majorBidi" w:hAnsiTheme="majorBidi" w:cstheme="majorBidi"/>
          <w:sz w:val="24"/>
          <w:szCs w:val="24"/>
        </w:rPr>
        <w:t>a majority of</w:t>
      </w:r>
      <w:proofErr w:type="gramEnd"/>
      <w:r w:rsidRPr="00B37109">
        <w:rPr>
          <w:rFonts w:asciiTheme="majorBidi" w:hAnsiTheme="majorBidi" w:cstheme="majorBidi"/>
          <w:sz w:val="24"/>
          <w:szCs w:val="24"/>
        </w:rPr>
        <w:t xml:space="preserve"> Alibaba’s board is nominated or appointed by the so-called Alibaba Partnership, which consists of several dozen individuals. Thus, the Partnership controls Alibaba. Ma, who owns less than 5% of Alibaba, effectively controls Alibaba by himself—control that would persist even if his equity stake declined further. </w:t>
      </w:r>
    </w:p>
    <w:p w14:paraId="5B18BFDB" w14:textId="77777777" w:rsidR="00A80682" w:rsidRPr="00B37109" w:rsidRDefault="00A80682" w:rsidP="00A80682">
      <w:pPr>
        <w:spacing w:line="480" w:lineRule="auto"/>
        <w:jc w:val="both"/>
        <w:rPr>
          <w:rFonts w:asciiTheme="majorBidi" w:hAnsiTheme="majorBidi" w:cstheme="majorBidi"/>
          <w:sz w:val="24"/>
          <w:szCs w:val="24"/>
        </w:rPr>
      </w:pPr>
      <w:r w:rsidRPr="00B37109">
        <w:rPr>
          <w:rFonts w:asciiTheme="majorBidi" w:hAnsiTheme="majorBidi" w:cstheme="majorBidi"/>
          <w:sz w:val="24"/>
          <w:szCs w:val="24"/>
        </w:rPr>
        <w:t xml:space="preserve">The reason is that Ma’s control over Alibaba is not based on his equity but rather on his control of a different firm, Ant Group. Ma controls the Committee because several of its members are employed by Ma-controlled Ant Group, and thus Ma can cause them to be terminated (from Ant Group, the Partnership, and the Committee). Ma can use individuals he dominates to at least temporarily cut off (if not permanently seize) licenses that are critical for Alibaba’s business but are held by other firms. The ability to seize these licenses gives Ma substantial holdup leverage over Alibaba. Our study of Alibaba shows that the separation of ownership from control in public firms, which has been at the </w:t>
      </w:r>
      <w:proofErr w:type="spellStart"/>
      <w:r w:rsidRPr="00B37109">
        <w:rPr>
          <w:rFonts w:asciiTheme="majorBidi" w:hAnsiTheme="majorBidi" w:cstheme="majorBidi"/>
          <w:sz w:val="24"/>
          <w:szCs w:val="24"/>
        </w:rPr>
        <w:t>center</w:t>
      </w:r>
      <w:proofErr w:type="spellEnd"/>
      <w:r w:rsidRPr="00B37109">
        <w:rPr>
          <w:rFonts w:asciiTheme="majorBidi" w:hAnsiTheme="majorBidi" w:cstheme="majorBidi"/>
          <w:sz w:val="24"/>
          <w:szCs w:val="24"/>
        </w:rPr>
        <w:t xml:space="preserve"> of all corporate governance debates in the last few decades, can arise without pyramidal ownership structures or dual-class shares. We show that an entrepreneur can control a firm without any equity, but rather via a combination of charter provisions and arrangements external to the firm and independent of its capital structure.</w:t>
      </w:r>
    </w:p>
    <w:p w14:paraId="5F850A20" w14:textId="77777777" w:rsidR="00A80682" w:rsidRPr="00B37109" w:rsidRDefault="00A80682" w:rsidP="00A80682">
      <w:pPr>
        <w:spacing w:line="480" w:lineRule="auto"/>
        <w:jc w:val="both"/>
        <w:rPr>
          <w:rFonts w:asciiTheme="majorBidi" w:hAnsiTheme="majorBidi" w:cstheme="majorBidi"/>
          <w:sz w:val="24"/>
          <w:szCs w:val="24"/>
        </w:rPr>
      </w:pPr>
    </w:p>
    <w:p w14:paraId="0DE2581A" w14:textId="77777777" w:rsidR="00A80682" w:rsidRPr="00B37109" w:rsidRDefault="00A80682" w:rsidP="00A80682">
      <w:pPr>
        <w:spacing w:line="480" w:lineRule="auto"/>
        <w:jc w:val="both"/>
        <w:rPr>
          <w:rFonts w:asciiTheme="majorBidi" w:hAnsiTheme="majorBidi" w:cstheme="majorBidi"/>
          <w:sz w:val="24"/>
          <w:szCs w:val="24"/>
        </w:rPr>
      </w:pPr>
      <w:r w:rsidRPr="00D90F98">
        <w:rPr>
          <w:rFonts w:asciiTheme="majorBidi" w:hAnsiTheme="majorBidi" w:cstheme="majorBidi"/>
          <w:b/>
          <w:bCs/>
          <w:sz w:val="24"/>
          <w:szCs w:val="24"/>
        </w:rPr>
        <w:lastRenderedPageBreak/>
        <w:t>Samsung Electronics</w:t>
      </w:r>
      <w:r w:rsidRPr="00B37109">
        <w:rPr>
          <w:rFonts w:asciiTheme="majorBidi" w:hAnsiTheme="majorBidi" w:cstheme="majorBidi"/>
          <w:sz w:val="24"/>
          <w:szCs w:val="24"/>
        </w:rPr>
        <w:t xml:space="preserve"> - Examine the corporate governance issues faced by Samsung, including the challenges of family ownership and legal disputes.</w:t>
      </w:r>
    </w:p>
    <w:p w14:paraId="3F5A9531" w14:textId="77777777" w:rsidR="00A80682" w:rsidRPr="00B37109" w:rsidRDefault="00A80682" w:rsidP="00A80682">
      <w:pPr>
        <w:spacing w:line="480" w:lineRule="auto"/>
        <w:jc w:val="both"/>
        <w:rPr>
          <w:rFonts w:asciiTheme="majorBidi" w:hAnsiTheme="majorBidi" w:cstheme="majorBidi"/>
          <w:sz w:val="24"/>
          <w:szCs w:val="24"/>
        </w:rPr>
      </w:pPr>
      <w:r w:rsidRPr="00D90F98">
        <w:rPr>
          <w:rFonts w:asciiTheme="majorBidi" w:hAnsiTheme="majorBidi" w:cstheme="majorBidi"/>
          <w:b/>
          <w:bCs/>
          <w:sz w:val="24"/>
          <w:szCs w:val="24"/>
        </w:rPr>
        <w:t>Volkswagen Emissions Scandal</w:t>
      </w:r>
      <w:r w:rsidRPr="00B37109">
        <w:rPr>
          <w:rFonts w:asciiTheme="majorBidi" w:hAnsiTheme="majorBidi" w:cstheme="majorBidi"/>
          <w:sz w:val="24"/>
          <w:szCs w:val="24"/>
        </w:rPr>
        <w:t xml:space="preserve"> - </w:t>
      </w:r>
      <w:proofErr w:type="spellStart"/>
      <w:r w:rsidRPr="00B37109">
        <w:rPr>
          <w:rFonts w:asciiTheme="majorBidi" w:hAnsiTheme="majorBidi" w:cstheme="majorBidi"/>
          <w:sz w:val="24"/>
          <w:szCs w:val="24"/>
        </w:rPr>
        <w:t>Analyze</w:t>
      </w:r>
      <w:proofErr w:type="spellEnd"/>
      <w:r w:rsidRPr="00B37109">
        <w:rPr>
          <w:rFonts w:asciiTheme="majorBidi" w:hAnsiTheme="majorBidi" w:cstheme="majorBidi"/>
          <w:sz w:val="24"/>
          <w:szCs w:val="24"/>
        </w:rPr>
        <w:t xml:space="preserve"> how lapses in corporate governance led to the scandal and its impact on Volkswagen's global operations.</w:t>
      </w:r>
    </w:p>
    <w:p w14:paraId="111A580A" w14:textId="77777777" w:rsidR="00A80682" w:rsidRDefault="00A80682" w:rsidP="00A80682">
      <w:pPr>
        <w:spacing w:line="480" w:lineRule="auto"/>
        <w:jc w:val="both"/>
        <w:rPr>
          <w:rFonts w:asciiTheme="majorBidi" w:hAnsiTheme="majorBidi" w:cstheme="majorBidi"/>
          <w:sz w:val="24"/>
          <w:szCs w:val="24"/>
        </w:rPr>
      </w:pPr>
    </w:p>
    <w:p w14:paraId="3AB025F0" w14:textId="77777777" w:rsidR="00A80682" w:rsidRPr="00F32671" w:rsidRDefault="00A80682" w:rsidP="00A80682">
      <w:pPr>
        <w:spacing w:line="480" w:lineRule="auto"/>
        <w:jc w:val="both"/>
        <w:rPr>
          <w:rFonts w:asciiTheme="majorBidi" w:hAnsiTheme="majorBidi" w:cstheme="majorBidi"/>
          <w:b/>
          <w:bCs/>
          <w:sz w:val="24"/>
          <w:szCs w:val="24"/>
        </w:rPr>
      </w:pPr>
      <w:r w:rsidRPr="00F32671">
        <w:rPr>
          <w:rFonts w:asciiTheme="majorBidi" w:hAnsiTheme="majorBidi" w:cstheme="majorBidi"/>
          <w:b/>
          <w:bCs/>
          <w:sz w:val="24"/>
          <w:szCs w:val="24"/>
        </w:rPr>
        <w:t>Corporate Governance and Components</w:t>
      </w:r>
    </w:p>
    <w:p w14:paraId="12AC4BC5" w14:textId="77777777" w:rsidR="00A80682" w:rsidRPr="00B37109" w:rsidRDefault="00A80682" w:rsidP="00A80682">
      <w:pPr>
        <w:spacing w:line="480" w:lineRule="auto"/>
        <w:jc w:val="both"/>
        <w:rPr>
          <w:rFonts w:asciiTheme="majorBidi" w:hAnsiTheme="majorBidi" w:cstheme="majorBidi"/>
          <w:sz w:val="24"/>
          <w:szCs w:val="24"/>
        </w:rPr>
      </w:pPr>
      <w:r w:rsidRPr="00B37109">
        <w:rPr>
          <w:rFonts w:asciiTheme="majorBidi" w:hAnsiTheme="majorBidi" w:cstheme="majorBidi"/>
          <w:sz w:val="24"/>
          <w:szCs w:val="24"/>
        </w:rPr>
        <w:t>Corporate governance refers to the system of rules, practices, and procedures by which a company is directed and controlled. Its components include board structure and practices, executive compensation, shareholder rights, and transparency and accountability measures. (Tricker, 2015)</w:t>
      </w:r>
    </w:p>
    <w:p w14:paraId="76E38766" w14:textId="77777777" w:rsidR="00A80682" w:rsidRPr="00B37109" w:rsidRDefault="00A80682" w:rsidP="00A80682">
      <w:pPr>
        <w:spacing w:line="480" w:lineRule="auto"/>
        <w:jc w:val="both"/>
        <w:rPr>
          <w:rFonts w:asciiTheme="majorBidi" w:hAnsiTheme="majorBidi" w:cstheme="majorBidi"/>
          <w:sz w:val="24"/>
          <w:szCs w:val="24"/>
        </w:rPr>
      </w:pPr>
      <w:r w:rsidRPr="00B37109">
        <w:rPr>
          <w:rFonts w:asciiTheme="majorBidi" w:hAnsiTheme="majorBidi" w:cstheme="majorBidi"/>
          <w:sz w:val="24"/>
          <w:szCs w:val="24"/>
        </w:rPr>
        <w:t>Scandals like Enron, Parmalat, RBS, and Satyam underscore the importance of robust governance. These cases typically involved fraud, lack of transparency, and failure in accountability, highlighting governance weaknesses (Solomon, 2013).</w:t>
      </w:r>
    </w:p>
    <w:p w14:paraId="11CE5529" w14:textId="77777777" w:rsidR="00A80682" w:rsidRPr="00B37109" w:rsidRDefault="00A80682" w:rsidP="00A80682">
      <w:pPr>
        <w:spacing w:line="480" w:lineRule="auto"/>
        <w:jc w:val="both"/>
        <w:rPr>
          <w:rFonts w:asciiTheme="majorBidi" w:hAnsiTheme="majorBidi" w:cstheme="majorBidi"/>
          <w:sz w:val="24"/>
          <w:szCs w:val="24"/>
        </w:rPr>
      </w:pPr>
      <w:r w:rsidRPr="00B37109">
        <w:rPr>
          <w:rFonts w:asciiTheme="majorBidi" w:hAnsiTheme="majorBidi" w:cstheme="majorBidi"/>
          <w:sz w:val="24"/>
          <w:szCs w:val="24"/>
        </w:rPr>
        <w:t>In developed countries, corporate governance models often focus on protecting shareholders' interests, with strict regulatory frameworks and emphasis on transparency. In contrast, developing countries may face challenges in governance due to less stringent regulations and varying cultural and business practices. These differences highlight the need for adaptable governance models across different economic contexts.</w:t>
      </w:r>
    </w:p>
    <w:p w14:paraId="33A5B82C"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 xml:space="preserve">Enron Scandal (2001): </w:t>
      </w:r>
      <w:r w:rsidRPr="00B37109">
        <w:rPr>
          <w:rFonts w:asciiTheme="majorBidi" w:hAnsiTheme="majorBidi" w:cstheme="majorBidi"/>
          <w:sz w:val="24"/>
          <w:szCs w:val="24"/>
        </w:rPr>
        <w:t>Enron, once a leading energy company, collapsed due to fraudulent accounting practices. The scandal involved hiding debts and inflating profits, leading to the company's bankruptcy and the dissolution of Arthur Andersen, one of the big five accounting firms. This scandal highlighted the need for more stringent accounting and corporate governance standards (Healy &amp; Palepu, 2003).</w:t>
      </w:r>
    </w:p>
    <w:p w14:paraId="77974540"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lastRenderedPageBreak/>
        <w:t>Parmalat Scandal (2003):</w:t>
      </w:r>
      <w:r w:rsidRPr="00B37109">
        <w:rPr>
          <w:rFonts w:asciiTheme="majorBidi" w:hAnsiTheme="majorBidi" w:cstheme="majorBidi"/>
          <w:sz w:val="24"/>
          <w:szCs w:val="24"/>
        </w:rPr>
        <w:t xml:space="preserve"> Italian dairy giant Parmalat perpetrated a massive financial fraud, falsifying accounts and creating fake assets to hide nearly €14 billion in debt. This scandal, often likened to Europe's Enron, led to significant reforms in European corporate governance regulations (Melis, 2005).</w:t>
      </w:r>
    </w:p>
    <w:p w14:paraId="01489D38"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Royal Bank of Scotland (RBS) Scandal (2008):</w:t>
      </w:r>
      <w:r w:rsidRPr="00B37109">
        <w:rPr>
          <w:rFonts w:asciiTheme="majorBidi" w:hAnsiTheme="majorBidi" w:cstheme="majorBidi"/>
          <w:sz w:val="24"/>
          <w:szCs w:val="24"/>
        </w:rPr>
        <w:t xml:space="preserve"> RBS's aggressive expansion and risky financial practices led to its </w:t>
      </w:r>
      <w:proofErr w:type="gramStart"/>
      <w:r w:rsidRPr="00B37109">
        <w:rPr>
          <w:rFonts w:asciiTheme="majorBidi" w:hAnsiTheme="majorBidi" w:cstheme="majorBidi"/>
          <w:sz w:val="24"/>
          <w:szCs w:val="24"/>
        </w:rPr>
        <w:t>near-collapse</w:t>
      </w:r>
      <w:proofErr w:type="gramEnd"/>
      <w:r w:rsidRPr="00B37109">
        <w:rPr>
          <w:rFonts w:asciiTheme="majorBidi" w:hAnsiTheme="majorBidi" w:cstheme="majorBidi"/>
          <w:sz w:val="24"/>
          <w:szCs w:val="24"/>
        </w:rPr>
        <w:t xml:space="preserve"> during the 2008 financial crisis. The UK government had to bail out the bank, which raised questions about the effectiveness of risk management and corporate governance in banks (</w:t>
      </w:r>
      <w:proofErr w:type="spellStart"/>
      <w:r w:rsidRPr="00B37109">
        <w:rPr>
          <w:rFonts w:asciiTheme="majorBidi" w:hAnsiTheme="majorBidi" w:cstheme="majorBidi"/>
          <w:sz w:val="24"/>
          <w:szCs w:val="24"/>
        </w:rPr>
        <w:t>Augar</w:t>
      </w:r>
      <w:proofErr w:type="spellEnd"/>
      <w:r w:rsidRPr="00B37109">
        <w:rPr>
          <w:rFonts w:asciiTheme="majorBidi" w:hAnsiTheme="majorBidi" w:cstheme="majorBidi"/>
          <w:sz w:val="24"/>
          <w:szCs w:val="24"/>
        </w:rPr>
        <w:t>, 2009).</w:t>
      </w:r>
    </w:p>
    <w:p w14:paraId="59C40F49"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 xml:space="preserve">Satyam Scandal (2009): </w:t>
      </w:r>
      <w:r w:rsidRPr="00B37109">
        <w:rPr>
          <w:rFonts w:asciiTheme="majorBidi" w:hAnsiTheme="majorBidi" w:cstheme="majorBidi"/>
          <w:sz w:val="24"/>
          <w:szCs w:val="24"/>
        </w:rPr>
        <w:t>Indian IT services giant Satyam was involved in a corporate fraud where profits were overstated and assets inflated, amounting to about $1 billion. This was one of the largest corporate frauds in India, leading to a complete overhaul of corporate governance and auditing standards in the country (Price, 2009).</w:t>
      </w:r>
    </w:p>
    <w:p w14:paraId="518B4839" w14:textId="77777777" w:rsidR="00A80682" w:rsidRPr="00B37109" w:rsidRDefault="00A80682" w:rsidP="00A80682">
      <w:pPr>
        <w:spacing w:line="480" w:lineRule="auto"/>
        <w:jc w:val="both"/>
        <w:rPr>
          <w:rFonts w:asciiTheme="majorBidi" w:hAnsiTheme="majorBidi" w:cstheme="majorBidi"/>
          <w:sz w:val="24"/>
          <w:szCs w:val="24"/>
        </w:rPr>
      </w:pPr>
    </w:p>
    <w:p w14:paraId="675E9CCE" w14:textId="77777777" w:rsidR="00A80682" w:rsidRPr="00F32671" w:rsidRDefault="00A80682" w:rsidP="00A80682">
      <w:pPr>
        <w:spacing w:line="480" w:lineRule="auto"/>
        <w:jc w:val="both"/>
        <w:rPr>
          <w:rFonts w:asciiTheme="majorBidi" w:hAnsiTheme="majorBidi" w:cstheme="majorBidi"/>
          <w:b/>
          <w:bCs/>
          <w:sz w:val="24"/>
          <w:szCs w:val="24"/>
        </w:rPr>
      </w:pPr>
      <w:r w:rsidRPr="00F32671">
        <w:rPr>
          <w:rFonts w:asciiTheme="majorBidi" w:hAnsiTheme="majorBidi" w:cstheme="majorBidi"/>
          <w:b/>
          <w:bCs/>
          <w:sz w:val="24"/>
          <w:szCs w:val="24"/>
        </w:rPr>
        <w:t>Importance of Corporate Governance in International Business:</w:t>
      </w:r>
    </w:p>
    <w:p w14:paraId="33B26C78" w14:textId="77777777" w:rsidR="00A80682" w:rsidRPr="00B37109" w:rsidRDefault="00A80682" w:rsidP="00A80682">
      <w:pPr>
        <w:spacing w:line="480" w:lineRule="auto"/>
        <w:jc w:val="both"/>
        <w:rPr>
          <w:rFonts w:asciiTheme="majorBidi" w:hAnsiTheme="majorBidi" w:cstheme="majorBidi"/>
          <w:sz w:val="24"/>
          <w:szCs w:val="24"/>
        </w:rPr>
      </w:pPr>
      <w:r w:rsidRPr="00B37109">
        <w:rPr>
          <w:rFonts w:asciiTheme="majorBidi" w:hAnsiTheme="majorBidi" w:cstheme="majorBidi"/>
          <w:sz w:val="24"/>
          <w:szCs w:val="24"/>
        </w:rPr>
        <w:t>Corporate governance is crucial in international business as it provides a framework for accountability, fairness, and transparency across different jurisdictions. It enhances investor confidence and ensures sustainable business practices, critical for long-term success in diverse global markets. Effective governance can mitigate risks associated with cross-border operations and align business practices with international standards, fostering trust and integrity in global business activities.</w:t>
      </w:r>
    </w:p>
    <w:p w14:paraId="5EF80511" w14:textId="77777777" w:rsidR="00A80682" w:rsidRPr="00F32671" w:rsidRDefault="00A80682" w:rsidP="00A80682">
      <w:pPr>
        <w:spacing w:line="480" w:lineRule="auto"/>
        <w:jc w:val="both"/>
        <w:rPr>
          <w:rFonts w:asciiTheme="majorBidi" w:hAnsiTheme="majorBidi" w:cstheme="majorBidi"/>
          <w:b/>
          <w:bCs/>
          <w:sz w:val="24"/>
          <w:szCs w:val="24"/>
        </w:rPr>
      </w:pPr>
      <w:r w:rsidRPr="00F32671">
        <w:rPr>
          <w:rFonts w:asciiTheme="majorBidi" w:hAnsiTheme="majorBidi" w:cstheme="majorBidi"/>
          <w:b/>
          <w:bCs/>
          <w:sz w:val="24"/>
          <w:szCs w:val="24"/>
        </w:rPr>
        <w:t>Challenges of Implementing Corporate Governance in International Business:</w:t>
      </w:r>
    </w:p>
    <w:p w14:paraId="6BE75655"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Absence of a One-Size-Fits-All Model:</w:t>
      </w:r>
      <w:r w:rsidRPr="00B37109">
        <w:rPr>
          <w:rFonts w:asciiTheme="majorBidi" w:hAnsiTheme="majorBidi" w:cstheme="majorBidi"/>
          <w:sz w:val="24"/>
          <w:szCs w:val="24"/>
        </w:rPr>
        <w:t xml:space="preserve"> The global business landscape is marked by a diverse array of governance systems. This diversity stems from differing legal, ethical, and cultural </w:t>
      </w:r>
      <w:r w:rsidRPr="00B37109">
        <w:rPr>
          <w:rFonts w:asciiTheme="majorBidi" w:hAnsiTheme="majorBidi" w:cstheme="majorBidi"/>
          <w:sz w:val="24"/>
          <w:szCs w:val="24"/>
        </w:rPr>
        <w:lastRenderedPageBreak/>
        <w:t>norms, making it impractical to adopt a universal governance model that suits all international operations.</w:t>
      </w:r>
    </w:p>
    <w:p w14:paraId="24E7F012"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Diverse Ownership Patterns:</w:t>
      </w:r>
      <w:r w:rsidRPr="00B37109">
        <w:rPr>
          <w:rFonts w:asciiTheme="majorBidi" w:hAnsiTheme="majorBidi" w:cstheme="majorBidi"/>
          <w:sz w:val="24"/>
          <w:szCs w:val="24"/>
        </w:rPr>
        <w:t xml:space="preserve"> Different countries exhibit varied ownership structures like family-owned, state-owned, or publicly held entities. Each presents unique governance challenges, particularly in aligning the interests of various stakeholders and ensuring effective oversight.</w:t>
      </w:r>
    </w:p>
    <w:p w14:paraId="70F1994F"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Legal Framework Discrepancies:</w:t>
      </w:r>
      <w:r w:rsidRPr="00B37109">
        <w:rPr>
          <w:rFonts w:asciiTheme="majorBidi" w:hAnsiTheme="majorBidi" w:cstheme="majorBidi"/>
          <w:sz w:val="24"/>
          <w:szCs w:val="24"/>
        </w:rPr>
        <w:t xml:space="preserve"> Navigating through the maze of varying legal systems is a significant challenge. Each country's laws and regulations on corporate governance differ, requiring multinational companies to adapt and comply with multiple, sometimes conflicting, legal frameworks.</w:t>
      </w:r>
    </w:p>
    <w:p w14:paraId="7F93636E"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Country-Specific Business Practices:</w:t>
      </w:r>
      <w:r w:rsidRPr="00B37109">
        <w:rPr>
          <w:rFonts w:asciiTheme="majorBidi" w:hAnsiTheme="majorBidi" w:cstheme="majorBidi"/>
          <w:sz w:val="24"/>
          <w:szCs w:val="24"/>
        </w:rPr>
        <w:t xml:space="preserve"> Local business practices and norms can greatly influence corporate governance. What is considered a best practice in one country might be less effective or even inappropriate in another, necessitating a tailored approach to governance in each market.</w:t>
      </w:r>
    </w:p>
    <w:p w14:paraId="545A7D5A"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Transparency and Accountability:</w:t>
      </w:r>
      <w:r w:rsidRPr="00B37109">
        <w:rPr>
          <w:rFonts w:asciiTheme="majorBidi" w:hAnsiTheme="majorBidi" w:cstheme="majorBidi"/>
          <w:sz w:val="24"/>
          <w:szCs w:val="24"/>
        </w:rPr>
        <w:t xml:space="preserve"> Maintaining consistent levels of transparency and accountability is challenging due to different expectations and standards across countries. This variation can affect investor confidence and stakeholder relations, particularly in environments where such practices are not well-established.</w:t>
      </w:r>
    </w:p>
    <w:p w14:paraId="2E87D26B"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 xml:space="preserve">Transition and Developing Countries: </w:t>
      </w:r>
      <w:r w:rsidRPr="00B37109">
        <w:rPr>
          <w:rFonts w:asciiTheme="majorBidi" w:hAnsiTheme="majorBidi" w:cstheme="majorBidi"/>
          <w:sz w:val="24"/>
          <w:szCs w:val="24"/>
        </w:rPr>
        <w:t>In these countries, the challenges are compounded by underdeveloped legal and regulatory frameworks. This often results in weaker enforcement mechanisms and governance structures, making it harder for international firms to implement effective governance standards.</w:t>
      </w:r>
    </w:p>
    <w:p w14:paraId="2BA01BDA" w14:textId="77777777" w:rsidR="00A80682" w:rsidRPr="00B37109" w:rsidRDefault="00A80682" w:rsidP="00A80682">
      <w:pPr>
        <w:spacing w:line="480" w:lineRule="auto"/>
        <w:jc w:val="both"/>
        <w:rPr>
          <w:rFonts w:asciiTheme="majorBidi" w:hAnsiTheme="majorBidi" w:cstheme="majorBidi"/>
          <w:sz w:val="24"/>
          <w:szCs w:val="24"/>
        </w:rPr>
      </w:pPr>
    </w:p>
    <w:p w14:paraId="385950E3" w14:textId="77777777" w:rsidR="00A80682" w:rsidRPr="00F263E3" w:rsidRDefault="00A80682" w:rsidP="00A80682">
      <w:pPr>
        <w:spacing w:line="480" w:lineRule="auto"/>
        <w:rPr>
          <w:rFonts w:asciiTheme="majorBidi" w:hAnsiTheme="majorBidi" w:cstheme="majorBidi"/>
          <w:b/>
          <w:bCs/>
          <w:sz w:val="24"/>
          <w:szCs w:val="24"/>
        </w:rPr>
      </w:pPr>
      <w:r w:rsidRPr="00F263E3">
        <w:rPr>
          <w:rFonts w:asciiTheme="majorBidi" w:hAnsiTheme="majorBidi" w:cstheme="majorBidi"/>
          <w:b/>
          <w:bCs/>
          <w:sz w:val="24"/>
          <w:szCs w:val="24"/>
        </w:rPr>
        <w:lastRenderedPageBreak/>
        <w:t>Studying corporate governance in emerging economies is important for several reasons:</w:t>
      </w:r>
    </w:p>
    <w:p w14:paraId="5580F45F" w14:textId="77777777" w:rsidR="00A80682" w:rsidRPr="00F263E3" w:rsidRDefault="00A80682" w:rsidP="00A80682">
      <w:pPr>
        <w:spacing w:line="480" w:lineRule="auto"/>
        <w:rPr>
          <w:rFonts w:asciiTheme="majorBidi" w:hAnsiTheme="majorBidi" w:cstheme="majorBidi"/>
          <w:sz w:val="24"/>
          <w:szCs w:val="24"/>
        </w:rPr>
      </w:pPr>
      <w:r w:rsidRPr="00F263E3">
        <w:rPr>
          <w:rFonts w:asciiTheme="majorBidi" w:hAnsiTheme="majorBidi" w:cstheme="majorBidi"/>
          <w:b/>
          <w:bCs/>
          <w:sz w:val="24"/>
          <w:szCs w:val="24"/>
        </w:rPr>
        <w:t>Understanding Diverse Business Environments:</w:t>
      </w:r>
      <w:r w:rsidRPr="00F263E3">
        <w:rPr>
          <w:rFonts w:asciiTheme="majorBidi" w:hAnsiTheme="majorBidi" w:cstheme="majorBidi"/>
          <w:sz w:val="24"/>
          <w:szCs w:val="24"/>
        </w:rPr>
        <w:t xml:space="preserve"> Emerging economies often have unique business environments influenced by local cultures, economic conditions, and political landscapes. Understanding these nuances is crucial for effective business practices.</w:t>
      </w:r>
    </w:p>
    <w:p w14:paraId="4F2BCD88" w14:textId="77777777" w:rsidR="00A80682" w:rsidRPr="00F263E3" w:rsidRDefault="00A80682" w:rsidP="00A80682">
      <w:pPr>
        <w:spacing w:line="480" w:lineRule="auto"/>
        <w:rPr>
          <w:rFonts w:asciiTheme="majorBidi" w:hAnsiTheme="majorBidi" w:cstheme="majorBidi"/>
          <w:sz w:val="24"/>
          <w:szCs w:val="24"/>
        </w:rPr>
      </w:pPr>
      <w:r w:rsidRPr="00F263E3">
        <w:rPr>
          <w:rFonts w:asciiTheme="majorBidi" w:hAnsiTheme="majorBidi" w:cstheme="majorBidi"/>
          <w:b/>
          <w:bCs/>
          <w:sz w:val="24"/>
          <w:szCs w:val="24"/>
        </w:rPr>
        <w:t>Identifying Growth Opportunities:</w:t>
      </w:r>
      <w:r w:rsidRPr="00F263E3">
        <w:rPr>
          <w:rFonts w:asciiTheme="majorBidi" w:hAnsiTheme="majorBidi" w:cstheme="majorBidi"/>
          <w:sz w:val="24"/>
          <w:szCs w:val="24"/>
        </w:rPr>
        <w:t xml:space="preserve"> Emerging markets are often high-growth areas. Knowledge of their governance structures can help in identifying potential investment and expansion opportunities.</w:t>
      </w:r>
    </w:p>
    <w:p w14:paraId="5E78BF42" w14:textId="77777777" w:rsidR="00A80682" w:rsidRPr="00F263E3" w:rsidRDefault="00A80682" w:rsidP="00A80682">
      <w:pPr>
        <w:spacing w:line="480" w:lineRule="auto"/>
        <w:rPr>
          <w:rFonts w:asciiTheme="majorBidi" w:hAnsiTheme="majorBidi" w:cstheme="majorBidi"/>
          <w:sz w:val="24"/>
          <w:szCs w:val="24"/>
        </w:rPr>
      </w:pPr>
      <w:r w:rsidRPr="00F263E3">
        <w:rPr>
          <w:rFonts w:asciiTheme="majorBidi" w:hAnsiTheme="majorBidi" w:cstheme="majorBidi"/>
          <w:b/>
          <w:bCs/>
          <w:sz w:val="24"/>
          <w:szCs w:val="24"/>
        </w:rPr>
        <w:t>Risk Management:</w:t>
      </w:r>
      <w:r w:rsidRPr="00F263E3">
        <w:rPr>
          <w:rFonts w:asciiTheme="majorBidi" w:hAnsiTheme="majorBidi" w:cstheme="majorBidi"/>
          <w:sz w:val="24"/>
          <w:szCs w:val="24"/>
        </w:rPr>
        <w:t xml:space="preserve"> Different governance standards and practices in emerging economies can pose risks to investors and companies. Understanding these risks is key for effective risk management.</w:t>
      </w:r>
    </w:p>
    <w:p w14:paraId="594E338C" w14:textId="77777777" w:rsidR="00A80682" w:rsidRDefault="00A80682" w:rsidP="00A80682">
      <w:pPr>
        <w:spacing w:line="480" w:lineRule="auto"/>
        <w:jc w:val="both"/>
        <w:rPr>
          <w:rFonts w:asciiTheme="majorBidi" w:hAnsiTheme="majorBidi" w:cstheme="majorBidi"/>
          <w:sz w:val="24"/>
          <w:szCs w:val="24"/>
        </w:rPr>
      </w:pPr>
      <w:r w:rsidRPr="00F263E3">
        <w:rPr>
          <w:rFonts w:asciiTheme="majorBidi" w:hAnsiTheme="majorBidi" w:cstheme="majorBidi"/>
          <w:b/>
          <w:bCs/>
          <w:sz w:val="24"/>
          <w:szCs w:val="24"/>
        </w:rPr>
        <w:t>Driving Positive Change:</w:t>
      </w:r>
      <w:r w:rsidRPr="00F263E3">
        <w:rPr>
          <w:rFonts w:asciiTheme="majorBidi" w:hAnsiTheme="majorBidi" w:cstheme="majorBidi"/>
          <w:sz w:val="24"/>
          <w:szCs w:val="24"/>
        </w:rPr>
        <w:t xml:space="preserve"> By studying and improving corporate governance in emerging economies, businesses and investors can contribute to sustainable and responsible business practices, fostering overall economic development.</w:t>
      </w:r>
    </w:p>
    <w:p w14:paraId="281C6345" w14:textId="77777777" w:rsidR="00A80682" w:rsidRDefault="00A80682" w:rsidP="00A80682">
      <w:pPr>
        <w:spacing w:line="480" w:lineRule="auto"/>
        <w:jc w:val="both"/>
        <w:rPr>
          <w:rFonts w:asciiTheme="majorBidi" w:hAnsiTheme="majorBidi" w:cstheme="majorBidi"/>
          <w:b/>
          <w:bCs/>
          <w:sz w:val="24"/>
          <w:szCs w:val="24"/>
        </w:rPr>
      </w:pPr>
    </w:p>
    <w:p w14:paraId="641906A3" w14:textId="77777777" w:rsidR="00A80682" w:rsidRPr="00B37109" w:rsidRDefault="00A80682" w:rsidP="00A80682">
      <w:pPr>
        <w:spacing w:line="480" w:lineRule="auto"/>
        <w:jc w:val="both"/>
        <w:rPr>
          <w:rFonts w:asciiTheme="majorBidi" w:hAnsiTheme="majorBidi" w:cstheme="majorBidi"/>
          <w:b/>
          <w:bCs/>
          <w:sz w:val="24"/>
          <w:szCs w:val="24"/>
        </w:rPr>
      </w:pPr>
      <w:r w:rsidRPr="00B37109">
        <w:rPr>
          <w:rFonts w:asciiTheme="majorBidi" w:hAnsiTheme="majorBidi" w:cstheme="majorBidi"/>
          <w:b/>
          <w:bCs/>
          <w:sz w:val="24"/>
          <w:szCs w:val="24"/>
        </w:rPr>
        <w:t>Drivers of Corporate Governance in Emerging Economies</w:t>
      </w:r>
    </w:p>
    <w:p w14:paraId="2F207A60" w14:textId="77777777" w:rsidR="00A80682" w:rsidRPr="00B37109" w:rsidRDefault="00A80682" w:rsidP="00A80682">
      <w:pPr>
        <w:spacing w:line="480" w:lineRule="auto"/>
        <w:jc w:val="both"/>
        <w:rPr>
          <w:rFonts w:asciiTheme="majorBidi" w:hAnsiTheme="majorBidi" w:cstheme="majorBidi"/>
          <w:sz w:val="24"/>
          <w:szCs w:val="24"/>
        </w:rPr>
      </w:pPr>
      <w:r w:rsidRPr="00B37109">
        <w:rPr>
          <w:rFonts w:asciiTheme="majorBidi" w:hAnsiTheme="majorBidi" w:cstheme="majorBidi"/>
          <w:sz w:val="24"/>
          <w:szCs w:val="24"/>
        </w:rPr>
        <w:t xml:space="preserve">Many emerging countries in Asia decided to adopt the “Anglo-American” model of corporate governance practices following the reason of financial crisis in 1997-1998 (Globerman et al., 2010). The global financial crises of 2008 caused many of the emerging countries around the world to do similar. As corporate governance codes are considered as an integration tool for entering post-crisis world order (Chanda et al., 2017). However, previous studies </w:t>
      </w:r>
      <w:proofErr w:type="gramStart"/>
      <w:r w:rsidRPr="00B37109">
        <w:rPr>
          <w:rFonts w:asciiTheme="majorBidi" w:hAnsiTheme="majorBidi" w:cstheme="majorBidi"/>
          <w:sz w:val="24"/>
          <w:szCs w:val="24"/>
        </w:rPr>
        <w:t>examines</w:t>
      </w:r>
      <w:proofErr w:type="gramEnd"/>
      <w:r w:rsidRPr="00B37109">
        <w:rPr>
          <w:rFonts w:asciiTheme="majorBidi" w:hAnsiTheme="majorBidi" w:cstheme="majorBidi"/>
          <w:sz w:val="24"/>
          <w:szCs w:val="24"/>
        </w:rPr>
        <w:t xml:space="preserve"> the adoption of corporate governance practices where the Anglo-American model is used in emerging countries shows the domination of legitimacy-based motivations (Reed, 2002; Siddiqui, 2010; Chanda et al., 2017). These reasons include: (</w:t>
      </w:r>
      <w:proofErr w:type="spellStart"/>
      <w:r w:rsidRPr="00B37109">
        <w:rPr>
          <w:rFonts w:asciiTheme="majorBidi" w:hAnsiTheme="majorBidi" w:cstheme="majorBidi"/>
          <w:sz w:val="24"/>
          <w:szCs w:val="24"/>
        </w:rPr>
        <w:t>i</w:t>
      </w:r>
      <w:proofErr w:type="spellEnd"/>
      <w:r w:rsidRPr="00B37109">
        <w:rPr>
          <w:rFonts w:asciiTheme="majorBidi" w:hAnsiTheme="majorBidi" w:cstheme="majorBidi"/>
          <w:sz w:val="24"/>
          <w:szCs w:val="24"/>
        </w:rPr>
        <w:t xml:space="preserve">) pressure from international </w:t>
      </w:r>
      <w:r w:rsidRPr="00B37109">
        <w:rPr>
          <w:rFonts w:asciiTheme="majorBidi" w:hAnsiTheme="majorBidi" w:cstheme="majorBidi"/>
          <w:sz w:val="24"/>
          <w:szCs w:val="24"/>
        </w:rPr>
        <w:lastRenderedPageBreak/>
        <w:t>financial institutes (Reed, 2002; Siddiqui, 2010); (ii) the need to attract international institutional investors (</w:t>
      </w:r>
      <w:proofErr w:type="spellStart"/>
      <w:r w:rsidRPr="00B37109">
        <w:rPr>
          <w:rFonts w:asciiTheme="majorBidi" w:hAnsiTheme="majorBidi" w:cstheme="majorBidi"/>
          <w:sz w:val="24"/>
          <w:szCs w:val="24"/>
        </w:rPr>
        <w:t>Krambia-Kapardis</w:t>
      </w:r>
      <w:proofErr w:type="spellEnd"/>
      <w:r w:rsidRPr="00B37109">
        <w:rPr>
          <w:rFonts w:asciiTheme="majorBidi" w:hAnsiTheme="majorBidi" w:cstheme="majorBidi"/>
          <w:sz w:val="24"/>
          <w:szCs w:val="24"/>
        </w:rPr>
        <w:t xml:space="preserve"> and Psaros, 2006 in Cyprus); and (iii) desire to demonstrate economic growth, transparency and accountability (Chanda et al., 2017 in Zambia). Emerging countries in Europe, mainly developing countries in the East have been embracing corporate governance changes to obtain membership of the European Union because good governance is a fundamental requirement of European Union membership (</w:t>
      </w:r>
      <w:proofErr w:type="spellStart"/>
      <w:r w:rsidRPr="00B37109">
        <w:rPr>
          <w:rFonts w:asciiTheme="majorBidi" w:hAnsiTheme="majorBidi" w:cstheme="majorBidi"/>
          <w:sz w:val="24"/>
          <w:szCs w:val="24"/>
        </w:rPr>
        <w:t>Krambia-Kapardis</w:t>
      </w:r>
      <w:proofErr w:type="spellEnd"/>
      <w:r w:rsidRPr="00B37109">
        <w:rPr>
          <w:rFonts w:asciiTheme="majorBidi" w:hAnsiTheme="majorBidi" w:cstheme="majorBidi"/>
          <w:sz w:val="24"/>
          <w:szCs w:val="24"/>
        </w:rPr>
        <w:t xml:space="preserve"> and Psaros, 2006). In contrast, African and Asian emerging countries often make corporate governance changes to attract finance and generate economic growth, integrate into the global </w:t>
      </w:r>
      <w:proofErr w:type="gramStart"/>
      <w:r w:rsidRPr="00B37109">
        <w:rPr>
          <w:rFonts w:asciiTheme="majorBidi" w:hAnsiTheme="majorBidi" w:cstheme="majorBidi"/>
          <w:sz w:val="24"/>
          <w:szCs w:val="24"/>
        </w:rPr>
        <w:t>market</w:t>
      </w:r>
      <w:proofErr w:type="gramEnd"/>
      <w:r w:rsidRPr="00B37109">
        <w:rPr>
          <w:rFonts w:asciiTheme="majorBidi" w:hAnsiTheme="majorBidi" w:cstheme="majorBidi"/>
          <w:sz w:val="24"/>
          <w:szCs w:val="24"/>
        </w:rPr>
        <w:t xml:space="preserve"> and embrace international donor-led economic reforms (Wanyama et al., 2009; Chanda et al., 2017).</w:t>
      </w:r>
    </w:p>
    <w:p w14:paraId="0C038294"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Adoption of Anglo-American Model:</w:t>
      </w:r>
      <w:r w:rsidRPr="00B37109">
        <w:rPr>
          <w:rFonts w:asciiTheme="majorBidi" w:hAnsiTheme="majorBidi" w:cstheme="majorBidi"/>
          <w:sz w:val="24"/>
          <w:szCs w:val="24"/>
        </w:rPr>
        <w:t xml:space="preserve"> Many Asian countries adopted the Anglo-American model of corporate governance following the 1997-1998 financial crisis. This model, known for its emphasis on shareholder rights and transparency, was seen </w:t>
      </w:r>
      <w:proofErr w:type="gramStart"/>
      <w:r w:rsidRPr="00B37109">
        <w:rPr>
          <w:rFonts w:asciiTheme="majorBidi" w:hAnsiTheme="majorBidi" w:cstheme="majorBidi"/>
          <w:sz w:val="24"/>
          <w:szCs w:val="24"/>
        </w:rPr>
        <w:t>as a means to</w:t>
      </w:r>
      <w:proofErr w:type="gramEnd"/>
      <w:r w:rsidRPr="00B37109">
        <w:rPr>
          <w:rFonts w:asciiTheme="majorBidi" w:hAnsiTheme="majorBidi" w:cstheme="majorBidi"/>
          <w:sz w:val="24"/>
          <w:szCs w:val="24"/>
        </w:rPr>
        <w:t xml:space="preserve"> strengthen governance practices and restore investor confidence. The crisis exposed weaknesses in existing governance structures, leading to this shift towards a model perceived as more robust and capable of preventing future financial turmoil.</w:t>
      </w:r>
    </w:p>
    <w:p w14:paraId="7DB5291A"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Legitimacy-Based Motivations:</w:t>
      </w:r>
      <w:r w:rsidRPr="00B37109">
        <w:rPr>
          <w:rFonts w:asciiTheme="majorBidi" w:hAnsiTheme="majorBidi" w:cstheme="majorBidi"/>
          <w:sz w:val="24"/>
          <w:szCs w:val="24"/>
        </w:rPr>
        <w:t xml:space="preserve"> In emerging countries, the adoption of corporate governance practices is often driven by the pursuit of legitimacy on the international stage. These countries aim to attract foreign investment and demonstrate a commitment to economic growth, transparency, and accountability. Adopting recognized governance standards is seen </w:t>
      </w:r>
      <w:proofErr w:type="gramStart"/>
      <w:r w:rsidRPr="00B37109">
        <w:rPr>
          <w:rFonts w:asciiTheme="majorBidi" w:hAnsiTheme="majorBidi" w:cstheme="majorBidi"/>
          <w:sz w:val="24"/>
          <w:szCs w:val="24"/>
        </w:rPr>
        <w:t>as a way to</w:t>
      </w:r>
      <w:proofErr w:type="gramEnd"/>
      <w:r w:rsidRPr="00B37109">
        <w:rPr>
          <w:rFonts w:asciiTheme="majorBidi" w:hAnsiTheme="majorBidi" w:cstheme="majorBidi"/>
          <w:sz w:val="24"/>
          <w:szCs w:val="24"/>
        </w:rPr>
        <w:t xml:space="preserve"> build trust with international investors and integrate more effectively into the global market.</w:t>
      </w:r>
    </w:p>
    <w:p w14:paraId="29F6B346" w14:textId="77777777" w:rsidR="00A80682" w:rsidRPr="00B37109" w:rsidRDefault="00A80682" w:rsidP="00A80682">
      <w:pPr>
        <w:spacing w:line="480" w:lineRule="auto"/>
        <w:jc w:val="both"/>
        <w:rPr>
          <w:rFonts w:asciiTheme="majorBidi" w:hAnsiTheme="majorBidi" w:cstheme="majorBidi"/>
          <w:sz w:val="24"/>
          <w:szCs w:val="24"/>
        </w:rPr>
      </w:pPr>
      <w:r w:rsidRPr="00B37109">
        <w:rPr>
          <w:rFonts w:asciiTheme="majorBidi" w:hAnsiTheme="majorBidi" w:cstheme="majorBidi"/>
          <w:sz w:val="24"/>
          <w:szCs w:val="24"/>
        </w:rPr>
        <w:t xml:space="preserve">Regional Differences in Adoption: In Europe, emerging countries often adopt corporate governance practices to align with European Union requirements, viewing it as essential for gaining EU membership. In contrast, African and Asian countries may focus more on attracting </w:t>
      </w:r>
      <w:r w:rsidRPr="00B37109">
        <w:rPr>
          <w:rFonts w:asciiTheme="majorBidi" w:hAnsiTheme="majorBidi" w:cstheme="majorBidi"/>
          <w:sz w:val="24"/>
          <w:szCs w:val="24"/>
        </w:rPr>
        <w:lastRenderedPageBreak/>
        <w:t>finance and fostering economic growth. Their governance reforms are often influenced by the need to integrate into the global market and meet the requirements of international financial institutions and donors.</w:t>
      </w:r>
    </w:p>
    <w:p w14:paraId="78483C66" w14:textId="77777777" w:rsidR="00A80682" w:rsidRPr="00F32671" w:rsidRDefault="00A80682" w:rsidP="00A80682">
      <w:pPr>
        <w:spacing w:line="480" w:lineRule="auto"/>
        <w:jc w:val="both"/>
        <w:rPr>
          <w:rFonts w:asciiTheme="majorBidi" w:hAnsiTheme="majorBidi" w:cstheme="majorBidi"/>
          <w:b/>
          <w:bCs/>
          <w:sz w:val="24"/>
          <w:szCs w:val="24"/>
        </w:rPr>
      </w:pPr>
      <w:r w:rsidRPr="00F32671">
        <w:rPr>
          <w:rFonts w:asciiTheme="majorBidi" w:hAnsiTheme="majorBidi" w:cstheme="majorBidi"/>
          <w:b/>
          <w:bCs/>
          <w:sz w:val="24"/>
          <w:szCs w:val="24"/>
        </w:rPr>
        <w:t>Contemporary Corporate Governance Issues in Emerging Economies:</w:t>
      </w:r>
    </w:p>
    <w:p w14:paraId="06420933" w14:textId="77777777" w:rsidR="00A80682" w:rsidRPr="00B37109" w:rsidRDefault="00A80682" w:rsidP="00A80682">
      <w:pPr>
        <w:spacing w:line="480" w:lineRule="auto"/>
        <w:jc w:val="both"/>
        <w:rPr>
          <w:rFonts w:asciiTheme="majorBidi" w:hAnsiTheme="majorBidi" w:cstheme="majorBidi"/>
          <w:sz w:val="24"/>
          <w:szCs w:val="24"/>
        </w:rPr>
      </w:pPr>
      <w:r w:rsidRPr="00B37109">
        <w:rPr>
          <w:rFonts w:asciiTheme="majorBidi" w:hAnsiTheme="majorBidi" w:cstheme="majorBidi"/>
          <w:sz w:val="24"/>
          <w:szCs w:val="24"/>
        </w:rPr>
        <w:t>Limited Enforcement and Regulatory Frameworks: Emerging economies often grapple with weak or inconsistent enforcement of laws and regulations. This limited enforcement capacity undermines the effectiveness of corporate governance, allowing malpractices to go unchecked and eroding investor confidence.</w:t>
      </w:r>
    </w:p>
    <w:p w14:paraId="2E678B9F"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High Levels of Ownership Concentration:</w:t>
      </w:r>
      <w:r w:rsidRPr="00B37109">
        <w:rPr>
          <w:rFonts w:asciiTheme="majorBidi" w:hAnsiTheme="majorBidi" w:cstheme="majorBidi"/>
          <w:sz w:val="24"/>
          <w:szCs w:val="24"/>
        </w:rPr>
        <w:t xml:space="preserve"> Many emerging markets are characterized by high ownership concentration, typically in the hands of family groups or state entities. This concentration can lead to conflicts of interest and challenges in protecting minority shareholders' rights.</w:t>
      </w:r>
    </w:p>
    <w:p w14:paraId="55641F0A" w14:textId="77777777" w:rsidR="00A80682" w:rsidRPr="00B37109" w:rsidRDefault="00A80682" w:rsidP="00A80682">
      <w:pPr>
        <w:spacing w:line="480" w:lineRule="auto"/>
        <w:jc w:val="both"/>
        <w:rPr>
          <w:rFonts w:asciiTheme="majorBidi" w:hAnsiTheme="majorBidi" w:cstheme="majorBidi"/>
          <w:sz w:val="24"/>
          <w:szCs w:val="24"/>
        </w:rPr>
      </w:pPr>
      <w:r w:rsidRPr="00F32671">
        <w:rPr>
          <w:rFonts w:asciiTheme="majorBidi" w:hAnsiTheme="majorBidi" w:cstheme="majorBidi"/>
          <w:b/>
          <w:bCs/>
          <w:sz w:val="24"/>
          <w:szCs w:val="24"/>
        </w:rPr>
        <w:t>Board Composition and Independence:</w:t>
      </w:r>
      <w:r w:rsidRPr="00B37109">
        <w:rPr>
          <w:rFonts w:asciiTheme="majorBidi" w:hAnsiTheme="majorBidi" w:cstheme="majorBidi"/>
          <w:sz w:val="24"/>
          <w:szCs w:val="24"/>
        </w:rPr>
        <w:t xml:space="preserve"> The issue of board composition, particularly the independence of board members, is a persistent challenge. Often, boards in emerging economies lack diversity and independence, which can impede objective decision-making and oversight.</w:t>
      </w:r>
    </w:p>
    <w:p w14:paraId="7D079906" w14:textId="77777777" w:rsidR="00A80682" w:rsidRPr="00B37109" w:rsidRDefault="00A80682" w:rsidP="00A80682">
      <w:pPr>
        <w:spacing w:line="480" w:lineRule="auto"/>
        <w:jc w:val="both"/>
        <w:rPr>
          <w:rFonts w:asciiTheme="majorBidi" w:hAnsiTheme="majorBidi" w:cstheme="majorBidi"/>
          <w:sz w:val="24"/>
          <w:szCs w:val="24"/>
        </w:rPr>
      </w:pPr>
      <w:r w:rsidRPr="00B37109">
        <w:rPr>
          <w:rFonts w:asciiTheme="majorBidi" w:hAnsiTheme="majorBidi" w:cstheme="majorBidi"/>
          <w:sz w:val="24"/>
          <w:szCs w:val="24"/>
        </w:rPr>
        <w:t>Transparency and Disclosure Standards: Emerging markets frequently face challenges in meeting international transparency and disclosure standards. This lack of transparency can obscure true financial health and operational performance, impacting investor trust and market efficiency.</w:t>
      </w:r>
    </w:p>
    <w:p w14:paraId="7A32551C" w14:textId="77777777" w:rsidR="00240C8C" w:rsidRDefault="00240C8C"/>
    <w:sectPr w:rsidR="00240C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682"/>
    <w:rsid w:val="00240C8C"/>
    <w:rsid w:val="00506037"/>
    <w:rsid w:val="00A80682"/>
    <w:rsid w:val="00BC3E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86D8C"/>
  <w15:chartTrackingRefBased/>
  <w15:docId w15:val="{006B2AB2-6580-4B82-A4E8-D8BAF66BD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6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1810</Words>
  <Characters>10319</Characters>
  <Application>Microsoft Office Word</Application>
  <DocSecurity>0</DocSecurity>
  <Lines>85</Lines>
  <Paragraphs>24</Paragraphs>
  <ScaleCrop>false</ScaleCrop>
  <Company>University of Wales Trinity Saint David</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Khaza Ahmed</dc:creator>
  <cp:keywords/>
  <dc:description/>
  <cp:lastModifiedBy>Khaza Ahmed</cp:lastModifiedBy>
  <cp:revision>1</cp:revision>
  <dcterms:created xsi:type="dcterms:W3CDTF">2024-02-02T13:08:00Z</dcterms:created>
  <dcterms:modified xsi:type="dcterms:W3CDTF">2024-02-02T13:09:00Z</dcterms:modified>
</cp:coreProperties>
</file>