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CC269B" w14:textId="132AB4D3" w:rsidR="00512D3A" w:rsidRPr="00BF0D18" w:rsidRDefault="00512D3A">
      <w:pPr>
        <w:rPr>
          <w:b/>
          <w:bCs/>
        </w:rPr>
      </w:pPr>
      <w:r w:rsidRPr="004F2145">
        <w:rPr>
          <w:b/>
          <w:bCs/>
        </w:rPr>
        <w:t xml:space="preserve">The Shrine and Relics of St Thomas </w:t>
      </w:r>
      <w:proofErr w:type="spellStart"/>
      <w:r w:rsidRPr="004F2145">
        <w:rPr>
          <w:b/>
          <w:bCs/>
        </w:rPr>
        <w:t>Cantilupe</w:t>
      </w:r>
      <w:proofErr w:type="spellEnd"/>
      <w:r w:rsidRPr="004F2145">
        <w:rPr>
          <w:b/>
          <w:bCs/>
        </w:rPr>
        <w:t xml:space="preserve"> of Hereford</w:t>
      </w:r>
    </w:p>
    <w:p w14:paraId="392F57EE" w14:textId="77777777" w:rsidR="00512D3A" w:rsidRDefault="00512D3A"/>
    <w:p w14:paraId="6E470637" w14:textId="7130FD75" w:rsidR="00512D3A" w:rsidRDefault="00BC0573" w:rsidP="00512D3A">
      <w:pPr>
        <w:ind w:firstLine="720"/>
      </w:pPr>
      <w:r>
        <w:t>The shrine (built 1287) that once contained the</w:t>
      </w:r>
      <w:r w:rsidR="00E41489">
        <w:t xml:space="preserve"> excarnated</w:t>
      </w:r>
      <w:r>
        <w:t xml:space="preserve"> bones of</w:t>
      </w:r>
      <w:r w:rsidR="00E41489">
        <w:t xml:space="preserve"> </w:t>
      </w:r>
      <w:r>
        <w:t xml:space="preserve">Thomas </w:t>
      </w:r>
      <w:r w:rsidR="00E41489">
        <w:t xml:space="preserve">de </w:t>
      </w:r>
      <w:proofErr w:type="spellStart"/>
      <w:r>
        <w:t>Cantilupe</w:t>
      </w:r>
      <w:proofErr w:type="spellEnd"/>
      <w:r>
        <w:t xml:space="preserve">, Bishop of Hereford and Saint of the Marches, </w:t>
      </w:r>
      <w:proofErr w:type="gramStart"/>
      <w:r>
        <w:t>is located in</w:t>
      </w:r>
      <w:proofErr w:type="gramEnd"/>
      <w:r>
        <w:t xml:space="preserve"> the north transept of Hereford Cathedral</w:t>
      </w:r>
      <w:r w:rsidR="00BB7ADE">
        <w:t>.</w:t>
      </w:r>
      <w:r w:rsidR="004A164B">
        <w:t xml:space="preserve"> </w:t>
      </w:r>
      <w:r>
        <w:t>His bones</w:t>
      </w:r>
      <w:r w:rsidR="00E41489">
        <w:t>, which</w:t>
      </w:r>
      <w:r w:rsidR="00BE32C5">
        <w:t xml:space="preserve"> </w:t>
      </w:r>
      <w:r w:rsidR="00E41489">
        <w:t>were reported to perform healing miracles,</w:t>
      </w:r>
      <w:r>
        <w:t xml:space="preserve"> were </w:t>
      </w:r>
      <w:r w:rsidR="00E67937">
        <w:t>moved to a more richly decorated shrine</w:t>
      </w:r>
      <w:r w:rsidR="004A164B">
        <w:t xml:space="preserve"> </w:t>
      </w:r>
      <w:r w:rsidR="00E67937">
        <w:t>in the</w:t>
      </w:r>
      <w:r w:rsidR="004A164B">
        <w:t xml:space="preserve"> lady chapel in the</w:t>
      </w:r>
      <w:r w:rsidR="00E67937">
        <w:t xml:space="preserve"> 14</w:t>
      </w:r>
      <w:r w:rsidR="00E67937" w:rsidRPr="00E67937">
        <w:rPr>
          <w:vertAlign w:val="superscript"/>
        </w:rPr>
        <w:t>th</w:t>
      </w:r>
      <w:r w:rsidR="00E67937">
        <w:t xml:space="preserve"> century</w:t>
      </w:r>
      <w:r w:rsidR="004A164B">
        <w:t xml:space="preserve">, however for this reason, </w:t>
      </w:r>
      <w:r>
        <w:t>t</w:t>
      </w:r>
      <w:r w:rsidR="004A164B">
        <w:t>h</w:t>
      </w:r>
      <w:r>
        <w:t>e</w:t>
      </w:r>
      <w:r w:rsidR="004A164B">
        <w:t xml:space="preserve"> original shrine escape</w:t>
      </w:r>
      <w:r>
        <w:t>d</w:t>
      </w:r>
      <w:r w:rsidR="004A164B">
        <w:t xml:space="preserve"> the 16</w:t>
      </w:r>
      <w:r w:rsidR="004A164B" w:rsidRPr="004A164B">
        <w:rPr>
          <w:vertAlign w:val="superscript"/>
        </w:rPr>
        <w:t>th</w:t>
      </w:r>
      <w:r w:rsidR="004A164B">
        <w:t xml:space="preserve"> century iconoclasm that befell </w:t>
      </w:r>
      <w:r>
        <w:t>its successor</w:t>
      </w:r>
      <w:r w:rsidR="004A164B">
        <w:t>.</w:t>
      </w:r>
      <w:r w:rsidR="00E67937">
        <w:rPr>
          <w:rStyle w:val="FootnoteReference"/>
        </w:rPr>
        <w:footnoteReference w:id="1"/>
      </w:r>
      <w:r w:rsidR="00A9765A">
        <w:t xml:space="preserve"> </w:t>
      </w:r>
    </w:p>
    <w:p w14:paraId="33BB2FAC" w14:textId="77777777" w:rsidR="00BC0573" w:rsidRDefault="00BC0573" w:rsidP="00BC0573"/>
    <w:p w14:paraId="49D7774F" w14:textId="79C9226F" w:rsidR="00441761" w:rsidRDefault="004A164B" w:rsidP="00E07969">
      <w:pPr>
        <w:ind w:firstLine="720"/>
      </w:pPr>
      <w:r>
        <w:t xml:space="preserve">Thomas </w:t>
      </w:r>
      <w:r w:rsidR="005D5824">
        <w:t xml:space="preserve">de </w:t>
      </w:r>
      <w:proofErr w:type="spellStart"/>
      <w:r>
        <w:t>Cantilupe</w:t>
      </w:r>
      <w:proofErr w:type="spellEnd"/>
      <w:r>
        <w:t>,</w:t>
      </w:r>
      <w:r w:rsidR="009E6B2E">
        <w:t xml:space="preserve"> also known as: Thomas of Hereford, was</w:t>
      </w:r>
      <w:r>
        <w:t xml:space="preserve"> born around 1218, Buckinghamshire, England</w:t>
      </w:r>
      <w:r w:rsidR="009E6B2E">
        <w:t>, and</w:t>
      </w:r>
      <w:r>
        <w:t xml:space="preserve"> died </w:t>
      </w:r>
      <w:r w:rsidR="00BC0573">
        <w:t>near</w:t>
      </w:r>
      <w:r>
        <w:t xml:space="preserve"> Orvieto</w:t>
      </w:r>
      <w:r w:rsidR="00BC0573">
        <w:t>,</w:t>
      </w:r>
      <w:r>
        <w:t xml:space="preserve"> Italy</w:t>
      </w:r>
      <w:r w:rsidR="00BC0573">
        <w:t>,</w:t>
      </w:r>
      <w:r>
        <w:t xml:space="preserve"> 25</w:t>
      </w:r>
      <w:r w:rsidRPr="004A164B">
        <w:rPr>
          <w:vertAlign w:val="superscript"/>
        </w:rPr>
        <w:t>th</w:t>
      </w:r>
      <w:r>
        <w:t xml:space="preserve"> </w:t>
      </w:r>
      <w:r w:rsidR="009E6B2E">
        <w:t>August</w:t>
      </w:r>
      <w:r w:rsidR="00423DD0">
        <w:t xml:space="preserve"> 1282</w:t>
      </w:r>
      <w:r w:rsidR="009E6B2E">
        <w:t xml:space="preserve">. </w:t>
      </w:r>
      <w:r w:rsidR="00FB3E07">
        <w:t>He was b</w:t>
      </w:r>
      <w:r w:rsidR="009E6B2E">
        <w:t>orn</w:t>
      </w:r>
      <w:r w:rsidR="00BC0573">
        <w:t xml:space="preserve"> to an established </w:t>
      </w:r>
      <w:r w:rsidR="00FB3E07">
        <w:t>Anglo-</w:t>
      </w:r>
      <w:r w:rsidR="009E6B2E">
        <w:t xml:space="preserve">Norman </w:t>
      </w:r>
      <w:r w:rsidR="00FB3E07">
        <w:t>family.</w:t>
      </w:r>
      <w:r w:rsidR="00BC0573">
        <w:t xml:space="preserve"> </w:t>
      </w:r>
      <w:r w:rsidR="00E41489">
        <w:t>His grandfather was named one of king John’s closest advisors by Roger of Wendover.</w:t>
      </w:r>
      <w:r w:rsidR="00E41489">
        <w:rPr>
          <w:rStyle w:val="FootnoteReference"/>
        </w:rPr>
        <w:footnoteReference w:id="2"/>
      </w:r>
      <w:r w:rsidR="00E41489">
        <w:t xml:space="preserve"> </w:t>
      </w:r>
      <w:r w:rsidR="00423DD0">
        <w:t>H</w:t>
      </w:r>
      <w:r w:rsidR="00BC0573">
        <w:t xml:space="preserve">is father </w:t>
      </w:r>
      <w:r w:rsidR="009E6B2E">
        <w:t xml:space="preserve">held </w:t>
      </w:r>
      <w:r w:rsidR="00BC0573">
        <w:t>office in th</w:t>
      </w:r>
      <w:r w:rsidR="00E41489">
        <w:t>e royal court</w:t>
      </w:r>
      <w:r w:rsidR="00BC0573">
        <w:t>, and his uncle</w:t>
      </w:r>
      <w:r w:rsidR="00A01E3F">
        <w:t xml:space="preserve">, Walter de </w:t>
      </w:r>
      <w:proofErr w:type="spellStart"/>
      <w:r w:rsidR="00A01E3F">
        <w:t>Cantilupe</w:t>
      </w:r>
      <w:proofErr w:type="spellEnd"/>
      <w:r w:rsidR="00BC0573">
        <w:t xml:space="preserve"> was the </w:t>
      </w:r>
      <w:r w:rsidR="009E6B2E">
        <w:t xml:space="preserve">esteemed </w:t>
      </w:r>
      <w:r w:rsidR="00BC0573">
        <w:t>bishop of Worcester.</w:t>
      </w:r>
      <w:r w:rsidR="009E6B2E">
        <w:rPr>
          <w:rStyle w:val="FootnoteReference"/>
        </w:rPr>
        <w:footnoteReference w:id="3"/>
      </w:r>
      <w:r w:rsidR="00BC0573">
        <w:t xml:space="preserve"> </w:t>
      </w:r>
      <w:r w:rsidR="007C4357">
        <w:t>Thomas</w:t>
      </w:r>
      <w:r w:rsidR="00FE2306">
        <w:t xml:space="preserve"> decided to follow his uncle’s path into the clerical vocation</w:t>
      </w:r>
      <w:r w:rsidR="00FB3E07">
        <w:t xml:space="preserve">, </w:t>
      </w:r>
      <w:r w:rsidR="00FE2306">
        <w:t xml:space="preserve">he became highly educated in Oxford, Paris, and </w:t>
      </w:r>
      <w:r w:rsidR="00A01E3F">
        <w:t>Orleans</w:t>
      </w:r>
      <w:r w:rsidR="00FE2306">
        <w:t>, and was elected Chancellor of Oxford University in 1261.</w:t>
      </w:r>
      <w:r w:rsidR="00FE2306">
        <w:rPr>
          <w:rStyle w:val="FootnoteReference"/>
        </w:rPr>
        <w:footnoteReference w:id="4"/>
      </w:r>
      <w:r w:rsidR="00FE2306">
        <w:t xml:space="preserve"> Like his Uncle,</w:t>
      </w:r>
      <w:r w:rsidR="00FE2306">
        <w:rPr>
          <w:rStyle w:val="FootnoteReference"/>
        </w:rPr>
        <w:footnoteReference w:id="5"/>
      </w:r>
      <w:r w:rsidR="00FE2306">
        <w:t xml:space="preserve"> he was fiercely involved in the politics of the second barons war on the De </w:t>
      </w:r>
      <w:r w:rsidR="00A01E3F">
        <w:t>Montfortian</w:t>
      </w:r>
      <w:r w:rsidR="00FE2306">
        <w:t xml:space="preserve"> side</w:t>
      </w:r>
      <w:r w:rsidR="005F47F6">
        <w:t>, and a</w:t>
      </w:r>
      <w:r w:rsidR="00FC38EB">
        <w:t>lthough he was restored to favour in the years following</w:t>
      </w:r>
      <w:r w:rsidR="005F47F6">
        <w:t xml:space="preserve"> the barons defeat</w:t>
      </w:r>
      <w:r w:rsidR="00FC38EB">
        <w:t xml:space="preserve">, he </w:t>
      </w:r>
      <w:r w:rsidR="005F47F6">
        <w:t xml:space="preserve">soon </w:t>
      </w:r>
      <w:r w:rsidR="00FC38EB">
        <w:t>left England to resume his academic career in Pari</w:t>
      </w:r>
      <w:r w:rsidR="00B82D28">
        <w:t>s</w:t>
      </w:r>
      <w:r w:rsidR="008C2D8E">
        <w:t xml:space="preserve">. </w:t>
      </w:r>
      <w:r w:rsidR="00D018AF">
        <w:t>During his time in Paris, he would become close friends with</w:t>
      </w:r>
      <w:r w:rsidR="00B82D28">
        <w:t xml:space="preserve"> future archbishop,</w:t>
      </w:r>
      <w:r w:rsidR="00D018AF">
        <w:t xml:space="preserve"> Robert </w:t>
      </w:r>
      <w:proofErr w:type="spellStart"/>
      <w:r w:rsidR="00D018AF">
        <w:t>Kilwardby</w:t>
      </w:r>
      <w:proofErr w:type="spellEnd"/>
      <w:r w:rsidR="00D018AF">
        <w:t xml:space="preserve"> who took his confession</w:t>
      </w:r>
      <w:r w:rsidR="00B82D28">
        <w:t>s</w:t>
      </w:r>
      <w:r w:rsidR="00D018AF">
        <w:t xml:space="preserve"> an</w:t>
      </w:r>
      <w:r w:rsidR="00FB3E07">
        <w:t>d proclaimed</w:t>
      </w:r>
      <w:r w:rsidR="00D018AF">
        <w:t xml:space="preserve"> he believed Thomas to be </w:t>
      </w:r>
      <w:r w:rsidR="00BE32C5">
        <w:t>‘</w:t>
      </w:r>
      <w:r w:rsidR="00D018AF">
        <w:t>free of mortal sin.</w:t>
      </w:r>
      <w:r w:rsidR="00BE32C5">
        <w:t>’</w:t>
      </w:r>
      <w:r w:rsidR="00D018AF">
        <w:rPr>
          <w:rStyle w:val="FootnoteReference"/>
        </w:rPr>
        <w:footnoteReference w:id="6"/>
      </w:r>
      <w:r w:rsidR="00D018AF">
        <w:t xml:space="preserve"> </w:t>
      </w:r>
      <w:r w:rsidR="00FB3E07">
        <w:t xml:space="preserve">Thomas returned to England in </w:t>
      </w:r>
      <w:r w:rsidR="00B82D28">
        <w:t>the early 1270s’,</w:t>
      </w:r>
      <w:r w:rsidR="00EC12E6">
        <w:rPr>
          <w:rStyle w:val="FootnoteReference"/>
        </w:rPr>
        <w:footnoteReference w:id="7"/>
      </w:r>
      <w:r w:rsidR="00B1325A">
        <w:t xml:space="preserve"> </w:t>
      </w:r>
      <w:r w:rsidR="00B82D28">
        <w:t xml:space="preserve">In 1275 he was consecrated by </w:t>
      </w:r>
      <w:proofErr w:type="spellStart"/>
      <w:r w:rsidR="00B82D28">
        <w:t>Kilwardby</w:t>
      </w:r>
      <w:proofErr w:type="spellEnd"/>
      <w:r w:rsidR="00B82D28">
        <w:t xml:space="preserve"> as Bishop of Hereford after a unanimous election.</w:t>
      </w:r>
      <w:r w:rsidR="00420668">
        <w:rPr>
          <w:rStyle w:val="FootnoteReference"/>
        </w:rPr>
        <w:footnoteReference w:id="8"/>
      </w:r>
      <w:r w:rsidR="00B82D28">
        <w:t xml:space="preserve"> </w:t>
      </w:r>
      <w:r w:rsidR="00E07969">
        <w:t xml:space="preserve">It is while he is bishop that </w:t>
      </w:r>
      <w:r w:rsidR="0005263D">
        <w:t>he performs his first miracle</w:t>
      </w:r>
      <w:r w:rsidR="00E07969">
        <w:t xml:space="preserve">. Richard </w:t>
      </w:r>
      <w:proofErr w:type="spellStart"/>
      <w:r w:rsidR="00E07969">
        <w:t>Swinfiel</w:t>
      </w:r>
      <w:r w:rsidR="002367F5">
        <w:t>d</w:t>
      </w:r>
      <w:proofErr w:type="spellEnd"/>
      <w:r w:rsidR="00D432C0">
        <w:t xml:space="preserve">, who would succeed Thomas as bishop of Hereford and who began the canonisation process after his death, gives </w:t>
      </w:r>
      <w:r w:rsidR="0005263D">
        <w:t>t</w:t>
      </w:r>
      <w:r w:rsidR="00D432C0">
        <w:t xml:space="preserve">he </w:t>
      </w:r>
      <w:proofErr w:type="gramStart"/>
      <w:r w:rsidR="0005263D">
        <w:t>second hand</w:t>
      </w:r>
      <w:proofErr w:type="gramEnd"/>
      <w:r w:rsidR="0005263D">
        <w:t xml:space="preserve"> </w:t>
      </w:r>
      <w:r w:rsidR="00D432C0">
        <w:t xml:space="preserve">account of </w:t>
      </w:r>
      <w:proofErr w:type="spellStart"/>
      <w:r w:rsidR="00D432C0">
        <w:t>Cantlupes</w:t>
      </w:r>
      <w:proofErr w:type="spellEnd"/>
      <w:r w:rsidR="00D432C0">
        <w:t xml:space="preserve"> Pentecost miracle in the 1307 papal dossier. While celebrating Pentecost in 1278</w:t>
      </w:r>
      <w:r w:rsidR="009B5D2C">
        <w:t xml:space="preserve"> in Wallingford castle at the invitation of Edmund earl of Cornwall, a flock of at least 30 birds assembled outside the window of the chapel, they dispersed at the sound of the choir but returned only when Thomas began the next verse</w:t>
      </w:r>
      <w:r w:rsidR="00867F40">
        <w:t>.</w:t>
      </w:r>
      <w:r w:rsidR="009B5D2C">
        <w:rPr>
          <w:rStyle w:val="FootnoteReference"/>
        </w:rPr>
        <w:footnoteReference w:id="9"/>
      </w:r>
      <w:r w:rsidR="00867F40">
        <w:t xml:space="preserve"> Robert </w:t>
      </w:r>
      <w:proofErr w:type="spellStart"/>
      <w:r w:rsidR="00867F40">
        <w:t>Deynte</w:t>
      </w:r>
      <w:proofErr w:type="spellEnd"/>
      <w:r w:rsidR="00867F40">
        <w:t xml:space="preserve"> even recalls the birds singing alongside Thomas before they eventually flew away. According to </w:t>
      </w:r>
      <w:proofErr w:type="spellStart"/>
      <w:r w:rsidR="00867F40">
        <w:t>Swinfield</w:t>
      </w:r>
      <w:proofErr w:type="spellEnd"/>
      <w:r w:rsidR="00867F40">
        <w:t xml:space="preserve">, Edmund, who had brought him the news, proclaimed he had as much trust in the blessings and prayers of Thomas as he did in those of Augustine of </w:t>
      </w:r>
      <w:proofErr w:type="spellStart"/>
      <w:r w:rsidR="00867F40">
        <w:t>Cantebury</w:t>
      </w:r>
      <w:proofErr w:type="spellEnd"/>
      <w:r w:rsidR="00867F40">
        <w:t>.</w:t>
      </w:r>
      <w:r w:rsidR="00867F40">
        <w:rPr>
          <w:rStyle w:val="FootnoteReference"/>
        </w:rPr>
        <w:footnoteReference w:id="10"/>
      </w:r>
      <w:r w:rsidR="00867F40">
        <w:t xml:space="preserve"> </w:t>
      </w:r>
    </w:p>
    <w:p w14:paraId="7118F7A2" w14:textId="287F8A87" w:rsidR="00441761" w:rsidRDefault="00441761" w:rsidP="00E07969">
      <w:pPr>
        <w:ind w:firstLine="720"/>
      </w:pPr>
    </w:p>
    <w:p w14:paraId="0D5B59D6" w14:textId="39B9CDBE" w:rsidR="004A164B" w:rsidRDefault="009E7D08" w:rsidP="00E07969">
      <w:pPr>
        <w:ind w:firstLine="720"/>
      </w:pPr>
      <w:r>
        <w:rPr>
          <w:noProof/>
        </w:rPr>
        <mc:AlternateContent>
          <mc:Choice Requires="wps">
            <w:drawing>
              <wp:anchor distT="0" distB="0" distL="114300" distR="114300" simplePos="0" relativeHeight="251660288" behindDoc="1" locked="0" layoutInCell="1" allowOverlap="1" wp14:anchorId="6274E3A7" wp14:editId="0B336A82">
                <wp:simplePos x="0" y="0"/>
                <wp:positionH relativeFrom="column">
                  <wp:posOffset>3372485</wp:posOffset>
                </wp:positionH>
                <wp:positionV relativeFrom="paragraph">
                  <wp:posOffset>4111683</wp:posOffset>
                </wp:positionV>
                <wp:extent cx="2588260" cy="824400"/>
                <wp:effectExtent l="0" t="0" r="2540" b="1270"/>
                <wp:wrapTight wrapText="bothSides">
                  <wp:wrapPolygon edited="0">
                    <wp:start x="0" y="0"/>
                    <wp:lineTo x="0" y="21300"/>
                    <wp:lineTo x="21515" y="21300"/>
                    <wp:lineTo x="21515" y="0"/>
                    <wp:lineTo x="0" y="0"/>
                  </wp:wrapPolygon>
                </wp:wrapTight>
                <wp:docPr id="817920673" name="Text Box 1"/>
                <wp:cNvGraphicFramePr/>
                <a:graphic xmlns:a="http://schemas.openxmlformats.org/drawingml/2006/main">
                  <a:graphicData uri="http://schemas.microsoft.com/office/word/2010/wordprocessingShape">
                    <wps:wsp>
                      <wps:cNvSpPr txBox="1"/>
                      <wps:spPr>
                        <a:xfrm>
                          <a:off x="0" y="0"/>
                          <a:ext cx="2588260" cy="824400"/>
                        </a:xfrm>
                        <a:prstGeom prst="rect">
                          <a:avLst/>
                        </a:prstGeom>
                        <a:solidFill>
                          <a:prstClr val="white"/>
                        </a:solidFill>
                        <a:ln>
                          <a:noFill/>
                        </a:ln>
                      </wps:spPr>
                      <wps:txbx>
                        <w:txbxContent>
                          <w:p w14:paraId="7A71C127" w14:textId="1584A74C" w:rsidR="00005E64" w:rsidRPr="00267740" w:rsidRDefault="00005E64" w:rsidP="00005E64">
                            <w:pPr>
                              <w:pStyle w:val="Caption"/>
                            </w:pPr>
                            <w:r>
                              <w:t xml:space="preserve">Figure </w:t>
                            </w:r>
                            <w:r>
                              <w:fldChar w:fldCharType="begin"/>
                            </w:r>
                            <w:r>
                              <w:instrText xml:space="preserve"> SEQ Figure \* ARABIC </w:instrText>
                            </w:r>
                            <w:r>
                              <w:fldChar w:fldCharType="separate"/>
                            </w:r>
                            <w:r w:rsidR="00115B40">
                              <w:rPr>
                                <w:noProof/>
                              </w:rPr>
                              <w:t>1</w:t>
                            </w:r>
                            <w:r>
                              <w:fldChar w:fldCharType="end"/>
                            </w:r>
                            <w:r>
                              <w:t xml:space="preserve">. </w:t>
                            </w:r>
                            <w:r w:rsidR="009E7D08">
                              <w:rPr>
                                <w:noProof/>
                              </w:rPr>
                              <w:t>T</w:t>
                            </w:r>
                            <w:r>
                              <w:rPr>
                                <w:noProof/>
                              </w:rPr>
                              <w:t xml:space="preserve">omb of Thomas Cantilupe (1287), </w:t>
                            </w:r>
                            <w:r w:rsidR="009E7D08">
                              <w:rPr>
                                <w:noProof/>
                              </w:rPr>
                              <w:t>Diocese of Hereford, Medieval Celebrity &lt;</w:t>
                            </w:r>
                            <w:hyperlink r:id="rId8" w:history="1">
                              <w:r w:rsidR="009E7D08" w:rsidRPr="00702763">
                                <w:rPr>
                                  <w:rStyle w:val="Hyperlink"/>
                                  <w:noProof/>
                                </w:rPr>
                                <w:t>https://www.hereford.anglican.org/about-us/our-structure/bishops-palace-garden/medieval-celebrity-.php</w:t>
                              </w:r>
                            </w:hyperlink>
                            <w:r w:rsidR="009E7D08">
                              <w:rPr>
                                <w:noProof/>
                              </w:rPr>
                              <w:t>&gt; [accessed 2</w:t>
                            </w:r>
                            <w:r w:rsidR="009E7D08" w:rsidRPr="009E7D08">
                              <w:rPr>
                                <w:noProof/>
                                <w:vertAlign w:val="superscript"/>
                              </w:rPr>
                              <w:t>nd</w:t>
                            </w:r>
                            <w:r w:rsidR="009E7D08">
                              <w:rPr>
                                <w:noProof/>
                              </w:rPr>
                              <w:t xml:space="preserve"> November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74E3A7" id="_x0000_t202" coordsize="21600,21600" o:spt="202" path="m,l,21600r21600,l21600,xe">
                <v:stroke joinstyle="miter"/>
                <v:path gradientshapeok="t" o:connecttype="rect"/>
              </v:shapetype>
              <v:shape id="Text Box 1" o:spid="_x0000_s1026" type="#_x0000_t202" style="position:absolute;left:0;text-align:left;margin-left:265.55pt;margin-top:323.75pt;width:203.8pt;height:64.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" stroked="f">
                <v:textbox inset="0,0,0,0">
                  <w:txbxContent>
                    <w:p w14:paraId="7A71C127" w14:textId="1584A74C" w:rsidR="00005E64" w:rsidRPr="00267740" w:rsidRDefault="00005E64" w:rsidP="00005E64">
                      <w:pPr>
                        <w:pStyle w:val="Caption"/>
                      </w:pPr>
                      <w:r>
                        <w:t xml:space="preserve">Figure </w:t>
                      </w:r>
                      <w:r>
                        <w:fldChar w:fldCharType="begin"/>
                      </w:r>
                      <w:r>
                        <w:instrText xml:space="preserve"> SEQ Figure \* ARABIC </w:instrText>
                      </w:r>
                      <w:r>
                        <w:fldChar w:fldCharType="separate"/>
                      </w:r>
                      <w:r w:rsidR="00115B40">
                        <w:rPr>
                          <w:noProof/>
                        </w:rPr>
                        <w:t>1</w:t>
                      </w:r>
                      <w:r>
                        <w:fldChar w:fldCharType="end"/>
                      </w:r>
                      <w:r>
                        <w:t xml:space="preserve">. </w:t>
                      </w:r>
                      <w:r w:rsidR="009E7D08">
                        <w:rPr>
                          <w:noProof/>
                        </w:rPr>
                        <w:t>T</w:t>
                      </w:r>
                      <w:r>
                        <w:rPr>
                          <w:noProof/>
                        </w:rPr>
                        <w:t xml:space="preserve">omb of Thomas Cantilupe (1287), </w:t>
                      </w:r>
                      <w:r w:rsidR="009E7D08">
                        <w:rPr>
                          <w:noProof/>
                        </w:rPr>
                        <w:t>Diocese of Hereford, Medieval Celebrity &lt;</w:t>
                      </w:r>
                      <w:hyperlink r:id="rId9" w:history="1">
                        <w:r w:rsidR="009E7D08" w:rsidRPr="00702763">
                          <w:rPr>
                            <w:rStyle w:val="Hyperlink"/>
                            <w:noProof/>
                          </w:rPr>
                          <w:t>https://www.hereford.anglican.org/about-us/our-structure/bishops-palace-garden/medieval-celebrity-.php</w:t>
                        </w:r>
                      </w:hyperlink>
                      <w:r w:rsidR="009E7D08">
                        <w:rPr>
                          <w:noProof/>
                        </w:rPr>
                        <w:t>&gt; [accessed 2</w:t>
                      </w:r>
                      <w:r w:rsidR="009E7D08" w:rsidRPr="009E7D08">
                        <w:rPr>
                          <w:noProof/>
                          <w:vertAlign w:val="superscript"/>
                        </w:rPr>
                        <w:t>nd</w:t>
                      </w:r>
                      <w:r w:rsidR="009E7D08">
                        <w:rPr>
                          <w:noProof/>
                        </w:rPr>
                        <w:t xml:space="preserve"> November 2024].</w:t>
                      </w:r>
                    </w:p>
                  </w:txbxContent>
                </v:textbox>
                <w10:wrap type="tight"/>
              </v:shape>
            </w:pict>
          </mc:Fallback>
        </mc:AlternateContent>
      </w:r>
      <w:r>
        <w:rPr>
          <w:noProof/>
        </w:rPr>
        <w:drawing>
          <wp:anchor distT="0" distB="0" distL="114300" distR="114300" simplePos="0" relativeHeight="251658240" behindDoc="1" locked="0" layoutInCell="1" allowOverlap="1" wp14:anchorId="257BABCB" wp14:editId="144496A7">
            <wp:simplePos x="0" y="0"/>
            <wp:positionH relativeFrom="column">
              <wp:posOffset>3372485</wp:posOffset>
            </wp:positionH>
            <wp:positionV relativeFrom="paragraph">
              <wp:posOffset>1507284</wp:posOffset>
            </wp:positionV>
            <wp:extent cx="2588260" cy="2602230"/>
            <wp:effectExtent l="0" t="0" r="2540" b="1270"/>
            <wp:wrapTight wrapText="bothSides">
              <wp:wrapPolygon edited="0">
                <wp:start x="0" y="0"/>
                <wp:lineTo x="0" y="21505"/>
                <wp:lineTo x="21515" y="21505"/>
                <wp:lineTo x="21515" y="0"/>
                <wp:lineTo x="0" y="0"/>
              </wp:wrapPolygon>
            </wp:wrapTight>
            <wp:docPr id="215643412" name="Picture 1" descr="A stone altar in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43412" name="Picture 1" descr="A stone altar in a church&#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5071" r="25203"/>
                    <a:stretch/>
                  </pic:blipFill>
                  <pic:spPr bwMode="auto">
                    <a:xfrm>
                      <a:off x="0" y="0"/>
                      <a:ext cx="2588260" cy="2602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6E16">
        <w:t xml:space="preserve">Despite these proclamations however, Thomas would </w:t>
      </w:r>
      <w:r w:rsidR="00A16DEF">
        <w:t xml:space="preserve">end his life an excommunicate after a fierce </w:t>
      </w:r>
      <w:r w:rsidR="00036E16">
        <w:t xml:space="preserve">quarrel with the Archbishop </w:t>
      </w:r>
      <w:proofErr w:type="spellStart"/>
      <w:r w:rsidR="00036E16">
        <w:t>Pecham</w:t>
      </w:r>
      <w:proofErr w:type="spellEnd"/>
      <w:r w:rsidR="00036E16">
        <w:t xml:space="preserve"> over the autonomy of his </w:t>
      </w:r>
      <w:r w:rsidR="00A16DEF">
        <w:t xml:space="preserve">episcopal </w:t>
      </w:r>
      <w:r w:rsidR="00036E16">
        <w:t>see</w:t>
      </w:r>
      <w:r w:rsidR="00A16DEF">
        <w:t>. Thomas travelled to Rome to plead his case but, in 1282, died before a decision was taken.</w:t>
      </w:r>
      <w:r w:rsidR="00A16DEF">
        <w:rPr>
          <w:rStyle w:val="FootnoteReference"/>
        </w:rPr>
        <w:footnoteReference w:id="11"/>
      </w:r>
      <w:r w:rsidR="00441761">
        <w:t xml:space="preserve"> </w:t>
      </w:r>
      <w:r w:rsidR="0069548F">
        <w:t xml:space="preserve">His heart was </w:t>
      </w:r>
      <w:r w:rsidR="0037763B">
        <w:t>removed,</w:t>
      </w:r>
      <w:r w:rsidR="0069548F">
        <w:t xml:space="preserve"> and his body was excarnated</w:t>
      </w:r>
      <w:r w:rsidR="0037763B">
        <w:t xml:space="preserve"> (boiled so the flesh separated from the bones) and taken back</w:t>
      </w:r>
      <w:r w:rsidR="0005263D">
        <w:t>,</w:t>
      </w:r>
      <w:r w:rsidR="0037763B">
        <w:t xml:space="preserve"> </w:t>
      </w:r>
      <w:r w:rsidR="0005263D">
        <w:t xml:space="preserve">against </w:t>
      </w:r>
      <w:proofErr w:type="spellStart"/>
      <w:r w:rsidR="0005263D">
        <w:t>Pechams</w:t>
      </w:r>
      <w:proofErr w:type="spellEnd"/>
      <w:r w:rsidR="0005263D">
        <w:t xml:space="preserve"> wishes, </w:t>
      </w:r>
      <w:r w:rsidR="0037763B">
        <w:t xml:space="preserve">by Richard </w:t>
      </w:r>
      <w:proofErr w:type="spellStart"/>
      <w:r w:rsidR="0037763B">
        <w:t>Swinfield</w:t>
      </w:r>
      <w:proofErr w:type="spellEnd"/>
      <w:r w:rsidR="0037763B">
        <w:t xml:space="preserve"> to Hereford. It is on the journey back where the next miracle is recorded to have taken place</w:t>
      </w:r>
      <w:r w:rsidR="002F2ACB">
        <w:t xml:space="preserve">, it is part of the </w:t>
      </w:r>
      <w:r w:rsidR="0005263D">
        <w:t>miracle</w:t>
      </w:r>
      <w:r w:rsidR="002F2ACB">
        <w:t xml:space="preserve"> of Edith </w:t>
      </w:r>
      <w:proofErr w:type="spellStart"/>
      <w:r w:rsidR="00393186">
        <w:t>Oldecriste</w:t>
      </w:r>
      <w:proofErr w:type="spellEnd"/>
      <w:r w:rsidR="00F554BA">
        <w:t xml:space="preserve"> (also known as Edith Kok in some sources)</w:t>
      </w:r>
      <w:r w:rsidR="002F2ACB">
        <w:t>, who was also the first person to experience a miracle in Hereford Cathedral</w:t>
      </w:r>
      <w:r w:rsidR="00393186">
        <w:t>, where in 1287 she was cured of being “</w:t>
      </w:r>
      <w:proofErr w:type="spellStart"/>
      <w:r w:rsidR="00393186">
        <w:t>furiosa</w:t>
      </w:r>
      <w:proofErr w:type="spellEnd"/>
      <w:r w:rsidR="00393186">
        <w:t xml:space="preserve">” after spending the night in the lady chapel where Thomas’s relics were </w:t>
      </w:r>
      <w:r w:rsidR="004C3CCA">
        <w:t>at that time.</w:t>
      </w:r>
      <w:r w:rsidR="004C3CCA">
        <w:rPr>
          <w:rStyle w:val="FootnoteReference"/>
        </w:rPr>
        <w:footnoteReference w:id="12"/>
      </w:r>
      <w:r w:rsidR="004C3CCA">
        <w:t xml:space="preserve"> What is more interesting though about this early case is that the reason </w:t>
      </w:r>
      <w:proofErr w:type="spellStart"/>
      <w:r w:rsidR="00F554BA">
        <w:t>Ediths</w:t>
      </w:r>
      <w:proofErr w:type="spellEnd"/>
      <w:r w:rsidR="00F554BA">
        <w:t xml:space="preserve"> parents and husband brought her to Hereford </w:t>
      </w:r>
      <w:r w:rsidR="004C3CCA">
        <w:t xml:space="preserve">was </w:t>
      </w:r>
      <w:r w:rsidR="00F554BA">
        <w:t xml:space="preserve">a story of how on the return from Italy, the bones of Thomas had flowed with blood as they passed through the lands of Archbishop </w:t>
      </w:r>
      <w:proofErr w:type="spellStart"/>
      <w:r w:rsidR="00F554BA">
        <w:t>Pecham</w:t>
      </w:r>
      <w:proofErr w:type="spellEnd"/>
      <w:r w:rsidR="00F554BA">
        <w:t xml:space="preserve">. </w:t>
      </w:r>
      <w:r w:rsidR="00F554BA">
        <w:rPr>
          <w:rStyle w:val="FootnoteReference"/>
        </w:rPr>
        <w:footnoteReference w:id="13"/>
      </w:r>
      <w:r w:rsidR="00F554BA">
        <w:t xml:space="preserve"> This shows the beginning of Thomas’s cult was likely community led, the </w:t>
      </w:r>
      <w:proofErr w:type="spellStart"/>
      <w:r w:rsidR="00F554BA">
        <w:t>Oldecristes</w:t>
      </w:r>
      <w:proofErr w:type="spellEnd"/>
      <w:r w:rsidR="00F554BA">
        <w:t xml:space="preserve"> found opposition within the church to the miracle on account of </w:t>
      </w:r>
      <w:r w:rsidR="00B61FD1">
        <w:t>the bishop’s excommunication</w:t>
      </w:r>
      <w:r w:rsidR="00F554BA">
        <w:t xml:space="preserve">. </w:t>
      </w:r>
      <w:r w:rsidR="0005263D">
        <w:t>But it shows t</w:t>
      </w:r>
      <w:r w:rsidR="00F554BA">
        <w:t xml:space="preserve">he political life of Thomas was </w:t>
      </w:r>
      <w:r w:rsidR="00B61FD1">
        <w:t>known to people already, and it was understood that it had claimed his life in Italy.</w:t>
      </w:r>
      <w:r w:rsidR="00B61FD1">
        <w:rPr>
          <w:rStyle w:val="FootnoteReference"/>
        </w:rPr>
        <w:footnoteReference w:id="14"/>
      </w:r>
      <w:r w:rsidR="00B61FD1">
        <w:t xml:space="preserve"> </w:t>
      </w:r>
    </w:p>
    <w:p w14:paraId="327AAFEB" w14:textId="4F2D7510" w:rsidR="00B61FD1" w:rsidRDefault="00B61FD1" w:rsidP="00E07969">
      <w:pPr>
        <w:ind w:firstLine="720"/>
      </w:pPr>
    </w:p>
    <w:p w14:paraId="4A53D97F" w14:textId="1A475541" w:rsidR="000E3552" w:rsidRDefault="00B61FD1" w:rsidP="00E07969">
      <w:pPr>
        <w:ind w:firstLine="720"/>
      </w:pPr>
      <w:r>
        <w:t xml:space="preserve">Within the same year, </w:t>
      </w:r>
      <w:proofErr w:type="spellStart"/>
      <w:r>
        <w:t>Swinfield</w:t>
      </w:r>
      <w:proofErr w:type="spellEnd"/>
      <w:r>
        <w:t xml:space="preserve"> who was the recently elected Bishop of Hereford, devoted himself to the </w:t>
      </w:r>
      <w:r w:rsidR="00005E64">
        <w:t>veneration of Thomas as a saint. This began with</w:t>
      </w:r>
      <w:r w:rsidR="009E7D08">
        <w:t xml:space="preserve"> </w:t>
      </w:r>
      <w:r w:rsidR="00005E64">
        <w:t>moving the bones to a new and grander tomb in the north transept of the cathedral (fig. 1.).</w:t>
      </w:r>
      <w:r w:rsidR="009E7D08">
        <w:rPr>
          <w:rStyle w:val="FootnoteReference"/>
        </w:rPr>
        <w:footnoteReference w:id="15"/>
      </w:r>
      <w:r w:rsidR="009E7D08">
        <w:t xml:space="preserve"> The modern tomb is made in 3 sections. The base is unfortunately the only part that dates to the 13</w:t>
      </w:r>
      <w:r w:rsidR="009E7D08" w:rsidRPr="009E7D08">
        <w:rPr>
          <w:vertAlign w:val="superscript"/>
        </w:rPr>
        <w:t>th</w:t>
      </w:r>
      <w:r w:rsidR="009E7D08">
        <w:t xml:space="preserve"> century</w:t>
      </w:r>
      <w:r w:rsidR="007368A6">
        <w:t xml:space="preserve"> and although it was evidently not originally intended as a shrine, it is </w:t>
      </w:r>
      <w:r w:rsidR="00F03B1E">
        <w:t>far more decorated than the tombs of other previous bishops at the cathedral</w:t>
      </w:r>
      <w:r w:rsidR="00115B40">
        <w:t xml:space="preserve"> (fig. 2.)</w:t>
      </w:r>
      <w:r w:rsidR="00F03B1E">
        <w:t xml:space="preserve">. </w:t>
      </w:r>
      <w:r w:rsidR="00115B40">
        <w:fldChar w:fldCharType="begin"/>
      </w:r>
      <w:r w:rsidR="00115B40">
        <w:instrText xml:space="preserve"> INCLUDEPICTURE "https://media.discordapp.net/attachments/985500902024679484/1301637802416668773/IMG_20241031_160431_HDR.jpg?ex=672928ab&amp;is=6727d72b&amp;hm=8cac3cec7a80969de76edd17d04dcae98179dc3c10a3bd94e3af3c8ee1009901&amp;=&amp;format=webp&amp;width=202&amp;height=449" \* MERGEFORMATINET </w:instrText>
      </w:r>
      <w:r w:rsidR="00115B40">
        <w:fldChar w:fldCharType="separate"/>
      </w:r>
      <w:r w:rsidR="00115B40">
        <w:fldChar w:fldCharType="end"/>
      </w:r>
      <w:r w:rsidR="00115B40">
        <w:t xml:space="preserve"> </w:t>
      </w:r>
      <w:r w:rsidR="00F03B1E">
        <w:t>The arched upper part of the shrine was likely created after the canonisation process in the 14</w:t>
      </w:r>
      <w:r w:rsidR="00F03B1E" w:rsidRPr="00F03B1E">
        <w:rPr>
          <w:vertAlign w:val="superscript"/>
        </w:rPr>
        <w:t>th</w:t>
      </w:r>
      <w:r w:rsidR="00F03B1E">
        <w:t xml:space="preserve"> century.</w:t>
      </w:r>
      <w:r w:rsidR="00F03B1E">
        <w:rPr>
          <w:rStyle w:val="FootnoteReference"/>
        </w:rPr>
        <w:footnoteReference w:id="16"/>
      </w:r>
    </w:p>
    <w:p w14:paraId="5C795802" w14:textId="77777777" w:rsidR="000E3552" w:rsidRDefault="000E3552" w:rsidP="00E07969">
      <w:pPr>
        <w:ind w:firstLine="720"/>
      </w:pPr>
    </w:p>
    <w:p w14:paraId="16C0C846" w14:textId="3B4DFC68" w:rsidR="00AF4D2D" w:rsidRDefault="00115B40" w:rsidP="00AF4D2D">
      <w:pPr>
        <w:ind w:firstLine="720"/>
      </w:pPr>
      <w:r>
        <w:rPr>
          <w:noProof/>
        </w:rPr>
        <w:lastRenderedPageBreak/>
        <mc:AlternateContent>
          <mc:Choice Requires="wps">
            <w:drawing>
              <wp:anchor distT="0" distB="0" distL="114300" distR="114300" simplePos="0" relativeHeight="251663360" behindDoc="1" locked="0" layoutInCell="1" allowOverlap="1" wp14:anchorId="023AC3E6" wp14:editId="08DEC58D">
                <wp:simplePos x="0" y="0"/>
                <wp:positionH relativeFrom="column">
                  <wp:posOffset>4013200</wp:posOffset>
                </wp:positionH>
                <wp:positionV relativeFrom="paragraph">
                  <wp:posOffset>3023870</wp:posOffset>
                </wp:positionV>
                <wp:extent cx="1612900" cy="635"/>
                <wp:effectExtent l="0" t="0" r="0" b="635"/>
                <wp:wrapTight wrapText="bothSides">
                  <wp:wrapPolygon edited="0">
                    <wp:start x="0" y="0"/>
                    <wp:lineTo x="0" y="20958"/>
                    <wp:lineTo x="21430" y="20958"/>
                    <wp:lineTo x="21430" y="0"/>
                    <wp:lineTo x="0" y="0"/>
                  </wp:wrapPolygon>
                </wp:wrapTight>
                <wp:docPr id="1735515304" name="Text Box 1"/>
                <wp:cNvGraphicFramePr/>
                <a:graphic xmlns:a="http://schemas.openxmlformats.org/drawingml/2006/main">
                  <a:graphicData uri="http://schemas.microsoft.com/office/word/2010/wordprocessingShape">
                    <wps:wsp>
                      <wps:cNvSpPr txBox="1"/>
                      <wps:spPr>
                        <a:xfrm>
                          <a:off x="0" y="0"/>
                          <a:ext cx="1612900" cy="635"/>
                        </a:xfrm>
                        <a:prstGeom prst="rect">
                          <a:avLst/>
                        </a:prstGeom>
                        <a:solidFill>
                          <a:prstClr val="white"/>
                        </a:solidFill>
                        <a:ln>
                          <a:noFill/>
                        </a:ln>
                      </wps:spPr>
                      <wps:txbx>
                        <w:txbxContent>
                          <w:p w14:paraId="344C6F2D" w14:textId="09A87D07" w:rsidR="00115B40" w:rsidRPr="00722394" w:rsidRDefault="00115B40" w:rsidP="00115B40">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North face of Thomas' tomb. Caradoc Ewing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3AC3E6" id="_x0000_s1027" type="#_x0000_t202" style="position:absolute;left:0;text-align:left;margin-left:316pt;margin-top:238.1pt;width:127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" stroked="f">
                <v:textbox style="mso-fit-shape-to-text:t" inset="0,0,0,0">
                  <w:txbxContent>
                    <w:p w14:paraId="344C6F2D" w14:textId="09A87D07" w:rsidR="00115B40" w:rsidRPr="00722394" w:rsidRDefault="00115B40" w:rsidP="00115B40">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North face of Thomas' tomb. Caradoc Ewing (2024).</w:t>
                      </w:r>
                    </w:p>
                  </w:txbxContent>
                </v:textbox>
                <w10:wrap type="tight"/>
              </v:shape>
            </w:pict>
          </mc:Fallback>
        </mc:AlternateContent>
      </w:r>
      <w:r>
        <w:rPr>
          <w:noProof/>
        </w:rPr>
        <w:drawing>
          <wp:anchor distT="0" distB="0" distL="114300" distR="114300" simplePos="0" relativeHeight="251661312" behindDoc="1" locked="0" layoutInCell="1" allowOverlap="1" wp14:anchorId="0360B930" wp14:editId="6A711A69">
            <wp:simplePos x="0" y="0"/>
            <wp:positionH relativeFrom="column">
              <wp:posOffset>4013200</wp:posOffset>
            </wp:positionH>
            <wp:positionV relativeFrom="paragraph">
              <wp:posOffset>38100</wp:posOffset>
            </wp:positionV>
            <wp:extent cx="1409065" cy="2985770"/>
            <wp:effectExtent l="0" t="0" r="635" b="0"/>
            <wp:wrapTight wrapText="bothSides">
              <wp:wrapPolygon edited="0">
                <wp:start x="0" y="0"/>
                <wp:lineTo x="0" y="21499"/>
                <wp:lineTo x="21415" y="21499"/>
                <wp:lineTo x="21415" y="0"/>
                <wp:lineTo x="0" y="0"/>
              </wp:wrapPolygon>
            </wp:wrapTight>
            <wp:docPr id="536194354"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rotWithShape="1">
                    <a:blip r:embed="rId11">
                      <a:extLst>
                        <a:ext uri="{28A0092B-C50C-407E-A947-70E740481C1C}">
                          <a14:useLocalDpi xmlns:a14="http://schemas.microsoft.com/office/drawing/2010/main" val="0"/>
                        </a:ext>
                      </a:extLst>
                    </a:blip>
                    <a:srcRect b="4677"/>
                    <a:stretch/>
                  </pic:blipFill>
                  <pic:spPr bwMode="auto">
                    <a:xfrm>
                      <a:off x="0" y="0"/>
                      <a:ext cx="1409065" cy="2985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3552">
        <w:t xml:space="preserve"> Between 1287 when the bones were translated to their new tomb, and 1289, when </w:t>
      </w:r>
      <w:proofErr w:type="spellStart"/>
      <w:r w:rsidR="000E3552">
        <w:t>Swinfield</w:t>
      </w:r>
      <w:proofErr w:type="spellEnd"/>
      <w:r w:rsidR="000E3552">
        <w:t xml:space="preserve"> formally requested canonisation for Thomas, there was an influx of miracles connected to Thomas. It is important however to remember that the earliest any of these miracles were recorded was for the canonisation inquiry which was held between the years 1307 and 1320. The miracles spanned a large geographical area, across Wales and England, and spanned multiple social levels and factions. </w:t>
      </w:r>
      <w:proofErr w:type="spellStart"/>
      <w:r w:rsidR="007B2E90">
        <w:t>Swinfield</w:t>
      </w:r>
      <w:proofErr w:type="spellEnd"/>
      <w:r w:rsidR="007B2E90">
        <w:t xml:space="preserve"> was already set on recording </w:t>
      </w:r>
      <w:r w:rsidR="00AF4D2D">
        <w:t>Cantaloupes’</w:t>
      </w:r>
      <w:r w:rsidR="007B2E90">
        <w:t xml:space="preserve"> miracles</w:t>
      </w:r>
      <w:r w:rsidR="00AF4D2D">
        <w:t>, having sent men to Orvieto to find miracles associated with the rest of Cantaloupes’ remains there in 1286.</w:t>
      </w:r>
      <w:r w:rsidR="00AF4D2D">
        <w:rPr>
          <w:rStyle w:val="FootnoteReference"/>
        </w:rPr>
        <w:footnoteReference w:id="17"/>
      </w:r>
      <w:r w:rsidR="00AF4D2D">
        <w:t xml:space="preserve"> E</w:t>
      </w:r>
      <w:r w:rsidR="0006231C">
        <w:t>ven</w:t>
      </w:r>
      <w:r w:rsidR="000E3552">
        <w:t xml:space="preserve"> at this early date, </w:t>
      </w:r>
      <w:proofErr w:type="spellStart"/>
      <w:r w:rsidR="000E3552">
        <w:t>Cantilupe</w:t>
      </w:r>
      <w:proofErr w:type="spellEnd"/>
      <w:r w:rsidR="000E3552">
        <w:t xml:space="preserve"> was already a known saint in</w:t>
      </w:r>
      <w:r w:rsidR="0005263D">
        <w:t xml:space="preserve"> both</w:t>
      </w:r>
      <w:r w:rsidR="000E3552">
        <w:t xml:space="preserve"> the popular eye</w:t>
      </w:r>
      <w:r w:rsidR="00AF4D2D">
        <w:t xml:space="preserve"> and that of the nobility</w:t>
      </w:r>
      <w:r w:rsidR="000E3552">
        <w:t xml:space="preserve">. </w:t>
      </w:r>
      <w:r w:rsidR="00AF4D2D">
        <w:t>A subsidiary shrine containing a knife Thomas had used was set up in a chapel owned by Edmund of Cornwall</w:t>
      </w:r>
      <w:r w:rsidR="0005263D">
        <w:t>,</w:t>
      </w:r>
      <w:r w:rsidR="00AF4D2D">
        <w:rPr>
          <w:rStyle w:val="FootnoteReference"/>
        </w:rPr>
        <w:footnoteReference w:id="18"/>
      </w:r>
      <w:r w:rsidR="00AF4D2D">
        <w:t xml:space="preserve"> who had witnessed Thomas performing a miracle at the Pentecost in 1278.</w:t>
      </w:r>
      <w:r w:rsidR="00AF4D2D">
        <w:t xml:space="preserve"> </w:t>
      </w:r>
      <w:r w:rsidR="0006231C">
        <w:t xml:space="preserve">This was </w:t>
      </w:r>
      <w:r w:rsidR="0005263D">
        <w:t xml:space="preserve">all </w:t>
      </w:r>
      <w:r w:rsidR="0006231C">
        <w:t xml:space="preserve">much the distaste of Archbishop </w:t>
      </w:r>
      <w:proofErr w:type="spellStart"/>
      <w:r w:rsidR="0006231C">
        <w:t>Pecham</w:t>
      </w:r>
      <w:proofErr w:type="spellEnd"/>
      <w:r w:rsidR="0006231C">
        <w:t xml:space="preserve"> who </w:t>
      </w:r>
      <w:r w:rsidR="006C2EBB">
        <w:t>had attempted to delay the entry of the bones into England with indirect excommunication</w:t>
      </w:r>
      <w:r w:rsidR="006C2EBB">
        <w:rPr>
          <w:rStyle w:val="FootnoteReference"/>
        </w:rPr>
        <w:footnoteReference w:id="19"/>
      </w:r>
      <w:r w:rsidR="006C2EBB">
        <w:t xml:space="preserve">, </w:t>
      </w:r>
      <w:r w:rsidR="0005263D">
        <w:t xml:space="preserve">he reportedly </w:t>
      </w:r>
      <w:r w:rsidR="0006231C">
        <w:t>remarked</w:t>
      </w:r>
      <w:r w:rsidR="0005263D">
        <w:t>,</w:t>
      </w:r>
      <w:r w:rsidR="0006231C">
        <w:t xml:space="preserve"> “</w:t>
      </w:r>
      <w:r w:rsidR="006C2EBB">
        <w:t>Blessed God! That the Lord performs miracles for excommunicates these days.”</w:t>
      </w:r>
      <w:r w:rsidR="006C2EBB">
        <w:rPr>
          <w:rStyle w:val="FootnoteReference"/>
        </w:rPr>
        <w:footnoteReference w:id="20"/>
      </w:r>
      <w:r w:rsidR="006C2EBB">
        <w:t xml:space="preserve"> Such was </w:t>
      </w:r>
      <w:proofErr w:type="spellStart"/>
      <w:r w:rsidR="006C2EBB">
        <w:t>Pechams</w:t>
      </w:r>
      <w:proofErr w:type="spellEnd"/>
      <w:r w:rsidR="006C2EBB">
        <w:t xml:space="preserve"> distaste towards </w:t>
      </w:r>
      <w:proofErr w:type="spellStart"/>
      <w:r w:rsidR="006C2EBB">
        <w:t>Cantilupe</w:t>
      </w:r>
      <w:proofErr w:type="spellEnd"/>
      <w:r w:rsidR="006C2EBB">
        <w:t xml:space="preserve">, he appears to have ignored letters from </w:t>
      </w:r>
      <w:proofErr w:type="spellStart"/>
      <w:r w:rsidR="006C2EBB">
        <w:t>Galfridus</w:t>
      </w:r>
      <w:proofErr w:type="spellEnd"/>
      <w:r w:rsidR="006C2EBB">
        <w:t xml:space="preserve"> de </w:t>
      </w:r>
      <w:proofErr w:type="spellStart"/>
      <w:r w:rsidR="006C2EBB">
        <w:t>Sheppy</w:t>
      </w:r>
      <w:proofErr w:type="spellEnd"/>
      <w:r w:rsidR="006C2EBB">
        <w:t xml:space="preserve"> that recorded </w:t>
      </w:r>
      <w:r w:rsidR="0005263D">
        <w:t xml:space="preserve">his </w:t>
      </w:r>
      <w:r w:rsidR="006C2EBB">
        <w:t xml:space="preserve">absolving </w:t>
      </w:r>
      <w:r w:rsidR="0005263D">
        <w:t xml:space="preserve">of </w:t>
      </w:r>
      <w:r w:rsidR="006C2EBB">
        <w:t>Thomas with the approval of Pope Martin IV.</w:t>
      </w:r>
      <w:r w:rsidR="006C2EBB">
        <w:rPr>
          <w:rStyle w:val="FootnoteReference"/>
        </w:rPr>
        <w:footnoteReference w:id="21"/>
      </w:r>
      <w:r w:rsidR="000F7937">
        <w:t xml:space="preserve"> </w:t>
      </w:r>
      <w:r w:rsidR="00AF4D2D">
        <w:t>He was however ineffectual at stopping the cult from forming.</w:t>
      </w:r>
    </w:p>
    <w:p w14:paraId="55375375" w14:textId="77777777" w:rsidR="00016428" w:rsidRDefault="00016428" w:rsidP="00AF4D2D">
      <w:pPr>
        <w:ind w:firstLine="720"/>
      </w:pPr>
    </w:p>
    <w:p w14:paraId="3D3600EA" w14:textId="0F30C068" w:rsidR="00BF0D18" w:rsidRDefault="00016428" w:rsidP="00016428">
      <w:pPr>
        <w:ind w:firstLine="720"/>
      </w:pPr>
      <w:r>
        <w:t>Between 1287 and 1320</w:t>
      </w:r>
      <w:r w:rsidR="0005263D">
        <w:t xml:space="preserve"> (</w:t>
      </w:r>
      <w:r w:rsidR="00BF0D18">
        <w:t>when Thomas was officially canonised</w:t>
      </w:r>
      <w:r w:rsidR="0005263D">
        <w:t>)</w:t>
      </w:r>
      <w:r w:rsidR="00BF0D18">
        <w:t>,</w:t>
      </w:r>
      <w:r>
        <w:t xml:space="preserve"> between 400 and 500 miracles </w:t>
      </w:r>
      <w:r w:rsidR="0005263D">
        <w:t xml:space="preserve">were recorded. </w:t>
      </w:r>
      <w:r>
        <w:t xml:space="preserve">Almost </w:t>
      </w:r>
      <w:r w:rsidR="00A86F45">
        <w:t>all</w:t>
      </w:r>
      <w:r>
        <w:t xml:space="preserve"> these miracles involved healing, with no other common theme</w:t>
      </w:r>
      <w:r w:rsidR="0005263D">
        <w:t xml:space="preserve">s and thus </w:t>
      </w:r>
      <w:r>
        <w:t xml:space="preserve">Hereford became an important place of pilgrimage. In 1293, William de Lonsdale and his </w:t>
      </w:r>
      <w:r w:rsidR="0005263D">
        <w:t>5-year-old</w:t>
      </w:r>
      <w:r>
        <w:t xml:space="preserve"> daughter Alice </w:t>
      </w:r>
      <w:r w:rsidR="00EE66CD">
        <w:t>made</w:t>
      </w:r>
      <w:r>
        <w:t xml:space="preserve"> the long trip to London </w:t>
      </w:r>
      <w:r w:rsidR="0005263D">
        <w:t xml:space="preserve">from the North, </w:t>
      </w:r>
      <w:r>
        <w:t>on this trip down Alice</w:t>
      </w:r>
      <w:r w:rsidR="00EE66CD">
        <w:t xml:space="preserve"> had tripped and broken her foot, </w:t>
      </w:r>
      <w:proofErr w:type="gramStart"/>
      <w:r w:rsidR="00EE66CD">
        <w:t>When</w:t>
      </w:r>
      <w:proofErr w:type="gramEnd"/>
      <w:r w:rsidR="00EE66CD">
        <w:t xml:space="preserve"> they got to London she became incredibly ill and the ankle became</w:t>
      </w:r>
      <w:r w:rsidR="00B12F17">
        <w:t xml:space="preserve"> swollen. William prayed to St. Thomas and vowed to dedicate Alice to St. Mary if she healed, he then made the gruelling journey to Hereford, carrying Alice in a wheel barrow. They arrived at the tomb on the Pentecost in 1303, Alice had a vision of Thomas </w:t>
      </w:r>
      <w:r w:rsidR="00870C62">
        <w:t xml:space="preserve">physically </w:t>
      </w:r>
      <w:r w:rsidR="00B12F17">
        <w:t xml:space="preserve">healing her </w:t>
      </w:r>
      <w:r w:rsidR="00870C62">
        <w:t xml:space="preserve">and </w:t>
      </w:r>
      <w:r w:rsidR="00B12F17">
        <w:t xml:space="preserve">on the third night and was miraculously </w:t>
      </w:r>
      <w:r w:rsidR="00870C62">
        <w:t>recovered</w:t>
      </w:r>
      <w:r w:rsidR="00B12F17">
        <w:t>.</w:t>
      </w:r>
      <w:r w:rsidR="00B12F17">
        <w:rPr>
          <w:rStyle w:val="FootnoteReference"/>
        </w:rPr>
        <w:footnoteReference w:id="22"/>
      </w:r>
      <w:r w:rsidR="00B12F17">
        <w:t xml:space="preserve"> This is probably one of the most extraordinary journeys recorded in terms of distance, from </w:t>
      </w:r>
      <w:r w:rsidR="00870C62">
        <w:t xml:space="preserve">Lonsdale, </w:t>
      </w:r>
      <w:r w:rsidR="00B12F17">
        <w:t xml:space="preserve"> to London to Hereford, carrying his crippled daughter</w:t>
      </w:r>
      <w:r w:rsidR="00870C62">
        <w:t xml:space="preserve"> much of the way</w:t>
      </w:r>
      <w:r w:rsidR="00B12F17">
        <w:t xml:space="preserve">, </w:t>
      </w:r>
      <w:r w:rsidR="00870C62">
        <w:t xml:space="preserve">would have taken </w:t>
      </w:r>
      <w:r w:rsidR="00B12F17">
        <w:t xml:space="preserve">incredible will power and faith in the legitimacy of the saint to whom they were travelling. </w:t>
      </w:r>
    </w:p>
    <w:p w14:paraId="076C44DA" w14:textId="77777777" w:rsidR="00BF0D18" w:rsidRDefault="00BF0D18" w:rsidP="00016428">
      <w:pPr>
        <w:ind w:firstLine="720"/>
      </w:pPr>
    </w:p>
    <w:p w14:paraId="279FED09" w14:textId="34E0CDA6" w:rsidR="00016428" w:rsidRDefault="00B12F17" w:rsidP="00016428">
      <w:pPr>
        <w:ind w:firstLine="720"/>
      </w:pPr>
      <w:r>
        <w:lastRenderedPageBreak/>
        <w:t>The vision of Thomas appears in quite a few of the miracles although not all, in some miracles it is simply a prayer that is needed rather than physical proximity to his remains</w:t>
      </w:r>
      <w:r w:rsidR="00A86F45">
        <w:t xml:space="preserve">. Perhaps the most famous miracle of St Thomas is that of the </w:t>
      </w:r>
      <w:r w:rsidR="00A9765A">
        <w:t>‘</w:t>
      </w:r>
      <w:r w:rsidR="00A86F45">
        <w:t>twice hung man,</w:t>
      </w:r>
      <w:r w:rsidR="00A9765A">
        <w:t>’</w:t>
      </w:r>
      <w:r w:rsidR="00A86F45">
        <w:t xml:space="preserve"> William </w:t>
      </w:r>
      <w:proofErr w:type="spellStart"/>
      <w:r w:rsidR="00A86F45">
        <w:t>Cragh</w:t>
      </w:r>
      <w:proofErr w:type="spellEnd"/>
      <w:r w:rsidR="002D60BB">
        <w:t xml:space="preserve"> </w:t>
      </w:r>
      <w:r w:rsidR="00870C62">
        <w:t>(</w:t>
      </w:r>
      <w:r w:rsidR="002D60BB">
        <w:t>also known as William ap Rees</w:t>
      </w:r>
      <w:r w:rsidR="00870C62">
        <w:t xml:space="preserve">) </w:t>
      </w:r>
      <w:r w:rsidR="00A86F45">
        <w:t>recorded in the 1307 papal commission.</w:t>
      </w:r>
      <w:r w:rsidR="00A9765A">
        <w:rPr>
          <w:rStyle w:val="FootnoteReference"/>
        </w:rPr>
        <w:footnoteReference w:id="23"/>
      </w:r>
      <w:r w:rsidR="00A86F45">
        <w:t xml:space="preserve"> </w:t>
      </w:r>
      <w:r w:rsidR="002D60BB">
        <w:t>William, from Swansea, was sentenced to hang for the deaths of 13 men, a charge he denied</w:t>
      </w:r>
      <w:r w:rsidR="00870C62">
        <w:t>. I</w:t>
      </w:r>
      <w:r w:rsidR="002D60BB">
        <w:t>t seems likely</w:t>
      </w:r>
      <w:r w:rsidR="00870C62">
        <w:t>,</w:t>
      </w:r>
      <w:r w:rsidR="002D60BB">
        <w:t xml:space="preserve"> although not conclusive</w:t>
      </w:r>
      <w:r w:rsidR="00870C62">
        <w:t>,</w:t>
      </w:r>
      <w:r w:rsidR="002D60BB">
        <w:rPr>
          <w:rStyle w:val="FootnoteReference"/>
        </w:rPr>
        <w:footnoteReference w:id="24"/>
      </w:r>
      <w:r w:rsidR="002D60BB">
        <w:t xml:space="preserve"> </w:t>
      </w:r>
      <w:r w:rsidR="00870C62">
        <w:t xml:space="preserve">that </w:t>
      </w:r>
      <w:r w:rsidR="002D60BB">
        <w:t xml:space="preserve">he was a Welsh rebel who took part in Rhys ap </w:t>
      </w:r>
      <w:proofErr w:type="spellStart"/>
      <w:r w:rsidR="002D60BB">
        <w:t>Maredudd’s</w:t>
      </w:r>
      <w:proofErr w:type="spellEnd"/>
      <w:r w:rsidR="002D60BB">
        <w:t xml:space="preserve"> rebellion in 1287. </w:t>
      </w:r>
      <w:r w:rsidR="00F43B8D">
        <w:t>William was hung and</w:t>
      </w:r>
      <w:r w:rsidR="00870C62">
        <w:t xml:space="preserve"> pre</w:t>
      </w:r>
      <w:r w:rsidR="00F43B8D">
        <w:t>sumed dead, however the next man who was hung broke the beam that supported them both. Although both were believed to be dead at the time, according to custom, they had to be hung at the gallows until the lord gave permission for them to be cut down</w:t>
      </w:r>
      <w:r w:rsidR="00870C62">
        <w:t>.</w:t>
      </w:r>
      <w:r w:rsidR="00F43B8D">
        <w:t xml:space="preserve"> </w:t>
      </w:r>
      <w:proofErr w:type="gramStart"/>
      <w:r w:rsidR="00870C62">
        <w:t>S</w:t>
      </w:r>
      <w:r w:rsidR="00F43B8D">
        <w:t>o</w:t>
      </w:r>
      <w:proofErr w:type="gramEnd"/>
      <w:r w:rsidR="00F43B8D">
        <w:t xml:space="preserve"> they were hung again and left there till sunrise.</w:t>
      </w:r>
      <w:r w:rsidR="002155D2">
        <w:t xml:space="preserve"> When the body was returned to the family he was measured for St Thomas. This was a practice where a body of someone in need was measured with thread, and an appropriate sized candle would be offered to a saint.</w:t>
      </w:r>
      <w:r w:rsidR="002155D2">
        <w:rPr>
          <w:rStyle w:val="FootnoteReference"/>
        </w:rPr>
        <w:footnoteReference w:id="25"/>
      </w:r>
      <w:r w:rsidR="002155D2">
        <w:t xml:space="preserve"> The measuring was reportedly done by a maid of Marie de </w:t>
      </w:r>
      <w:proofErr w:type="spellStart"/>
      <w:r w:rsidR="002155D2">
        <w:t>Braose</w:t>
      </w:r>
      <w:proofErr w:type="spellEnd"/>
      <w:r w:rsidR="002155D2">
        <w:t>, who testified th</w:t>
      </w:r>
      <w:r w:rsidR="00BF0D18">
        <w:t>a</w:t>
      </w:r>
      <w:r w:rsidR="002155D2">
        <w:t xml:space="preserve">t her and her servants had also prayed to St Thomas on behalf of William. Miraculously, </w:t>
      </w:r>
      <w:r w:rsidR="00870C62">
        <w:t xml:space="preserve">over the next days, </w:t>
      </w:r>
      <w:r w:rsidR="002155D2">
        <w:t xml:space="preserve">he recovered. </w:t>
      </w:r>
      <w:r w:rsidR="00BF0D18">
        <w:t xml:space="preserve">It was </w:t>
      </w:r>
      <w:r w:rsidR="00870C62">
        <w:t xml:space="preserve">only </w:t>
      </w:r>
      <w:r w:rsidR="00BF0D18">
        <w:t>a partial miracl</w:t>
      </w:r>
      <w:r w:rsidR="00870C62">
        <w:t xml:space="preserve">e as he was not fully recovered, </w:t>
      </w:r>
      <w:r w:rsidR="00BF0D18">
        <w:t>but</w:t>
      </w:r>
      <w:r w:rsidR="002155D2">
        <w:t xml:space="preserve"> he was certainly alive. </w:t>
      </w:r>
      <w:r w:rsidR="00BF0D18">
        <w:t xml:space="preserve">After this miracle, Marie and the lord of </w:t>
      </w:r>
      <w:proofErr w:type="spellStart"/>
      <w:r w:rsidR="00BF0D18">
        <w:t>Braose</w:t>
      </w:r>
      <w:proofErr w:type="spellEnd"/>
      <w:r w:rsidR="00BF0D18">
        <w:t xml:space="preserve"> took him on a pilgrimage to Hereford to give thanks</w:t>
      </w:r>
      <w:r w:rsidR="00870C62">
        <w:t xml:space="preserve"> to St Thomas</w:t>
      </w:r>
      <w:r w:rsidR="00BF0D18">
        <w:t xml:space="preserve">. William made the pilgrimage barefoot with his noose around his neck. He gifted the noose to St Thomas at the shrine with a wax image of a hanged man. This incredible journey from Swansea to Hereford is a testament to the </w:t>
      </w:r>
      <w:r w:rsidR="00870C62">
        <w:t>g</w:t>
      </w:r>
      <w:r w:rsidR="00BF0D18">
        <w:t xml:space="preserve">enuine belief that it was Thomas who </w:t>
      </w:r>
      <w:r w:rsidR="00870C62">
        <w:t xml:space="preserve">had </w:t>
      </w:r>
      <w:r w:rsidR="00BF0D18">
        <w:t xml:space="preserve">saved his life. This miracle is also interesting as it shows how the cult transcended borders and factions. From an English saint of the marches to a failed Welsh Rebel. Thomas also </w:t>
      </w:r>
      <w:r w:rsidR="00870C62">
        <w:t xml:space="preserve">of course </w:t>
      </w:r>
      <w:r w:rsidR="00BF0D18">
        <w:t xml:space="preserve">performed miracles for the enemies of </w:t>
      </w:r>
      <w:r w:rsidR="00C27F66">
        <w:t xml:space="preserve">Rhys ap </w:t>
      </w:r>
      <w:proofErr w:type="spellStart"/>
      <w:r w:rsidR="00C27F66">
        <w:t>Maredudd</w:t>
      </w:r>
      <w:proofErr w:type="spellEnd"/>
      <w:r w:rsidR="00C27F66">
        <w:t xml:space="preserve">. At the siege of </w:t>
      </w:r>
      <w:proofErr w:type="spellStart"/>
      <w:r w:rsidR="00C27F66">
        <w:t>Dryslwyn</w:t>
      </w:r>
      <w:proofErr w:type="spellEnd"/>
      <w:r w:rsidR="00C27F66">
        <w:t xml:space="preserve"> in 1287, Thomas is reported not only to have saved Herefordshire knight Ralph le </w:t>
      </w:r>
      <w:proofErr w:type="spellStart"/>
      <w:r w:rsidR="00C27F66">
        <w:t>Buteler</w:t>
      </w:r>
      <w:proofErr w:type="spellEnd"/>
      <w:r w:rsidR="00C27F66">
        <w:t xml:space="preserve"> from an arrow in the head, but also miraculously saved more nobles from a fallen castle wall.</w:t>
      </w:r>
      <w:r w:rsidR="00C27F66">
        <w:rPr>
          <w:rStyle w:val="FootnoteReference"/>
        </w:rPr>
        <w:footnoteReference w:id="26"/>
      </w:r>
    </w:p>
    <w:p w14:paraId="1AB0F5C5" w14:textId="77777777" w:rsidR="00C27F66" w:rsidRDefault="00C27F66" w:rsidP="00016428">
      <w:pPr>
        <w:ind w:firstLine="720"/>
      </w:pPr>
    </w:p>
    <w:p w14:paraId="6F9A94AE" w14:textId="77777777" w:rsidR="00870C62" w:rsidRDefault="00C27F66" w:rsidP="00016428">
      <w:pPr>
        <w:ind w:firstLine="720"/>
      </w:pPr>
      <w:r>
        <w:t xml:space="preserve">Although Thomas’ cult was certainly spread faster thanks to the aid of Richard </w:t>
      </w:r>
      <w:proofErr w:type="spellStart"/>
      <w:r>
        <w:t>Swinfield</w:t>
      </w:r>
      <w:proofErr w:type="spellEnd"/>
      <w:r>
        <w:t xml:space="preserve">, who also was instrumental in </w:t>
      </w:r>
      <w:r w:rsidR="003853A9">
        <w:t>Thomas’s canonisation as a Saint.</w:t>
      </w:r>
      <w:r>
        <w:t xml:space="preserve"> </w:t>
      </w:r>
      <w:r w:rsidR="003853A9">
        <w:t xml:space="preserve">His cult quickly took on a life of his own. </w:t>
      </w:r>
      <w:proofErr w:type="spellStart"/>
      <w:r w:rsidR="003853A9">
        <w:t>Cantilupes</w:t>
      </w:r>
      <w:proofErr w:type="spellEnd"/>
      <w:r w:rsidR="003853A9">
        <w:t xml:space="preserve"> cult saw his death as a bloodless martyr and even as a second Becket.</w:t>
      </w:r>
      <w:r w:rsidR="003853A9">
        <w:rPr>
          <w:rStyle w:val="FootnoteReference"/>
        </w:rPr>
        <w:footnoteReference w:id="27"/>
      </w:r>
      <w:r w:rsidR="003853A9">
        <w:t xml:space="preserve"> Although his cult did quite </w:t>
      </w:r>
      <w:r w:rsidR="00BE32C5">
        <w:t>conjure</w:t>
      </w:r>
      <w:r w:rsidR="003853A9">
        <w:t xml:space="preserve"> the same longevity in the British psyche as Beckets, </w:t>
      </w:r>
      <w:r w:rsidR="003D564E">
        <w:t xml:space="preserve">Iconography shows that this comparison was somewhat successful. For </w:t>
      </w:r>
      <w:r w:rsidR="00BE32C5">
        <w:t>example,</w:t>
      </w:r>
      <w:r w:rsidR="003D564E">
        <w:t xml:space="preserve"> both Becket and </w:t>
      </w:r>
      <w:proofErr w:type="spellStart"/>
      <w:r w:rsidR="003D564E">
        <w:t>Cantilupe</w:t>
      </w:r>
      <w:proofErr w:type="spellEnd"/>
      <w:r w:rsidR="003D564E">
        <w:t xml:space="preserve"> stand above the tomb of Peter, Lord Grandison</w:t>
      </w:r>
      <w:r w:rsidR="00BE32C5">
        <w:t>, along with St Ethelbert (another saint within the grounds of Hereford Cathedral, Christ, and St John the Baptist.</w:t>
      </w:r>
      <w:r w:rsidR="00BE32C5">
        <w:rPr>
          <w:rStyle w:val="FootnoteReference"/>
        </w:rPr>
        <w:footnoteReference w:id="28"/>
      </w:r>
      <w:r w:rsidR="00BE32C5">
        <w:t xml:space="preserve"> Although the bones were unfortunately lost in the reformation, his memory remains important to the diocese of Hereford and the </w:t>
      </w:r>
    </w:p>
    <w:p w14:paraId="7871EC07" w14:textId="39D9030A" w:rsidR="00870C62" w:rsidRDefault="00BE32C5" w:rsidP="00870C62">
      <w:r>
        <w:t xml:space="preserve">Cathedral. </w:t>
      </w:r>
    </w:p>
    <w:sdt>
      <w:sdtPr>
        <w:id w:val="-158935470"/>
        <w:docPartObj>
          <w:docPartGallery w:val="Bibliographies"/>
          <w:docPartUnique/>
        </w:docPartObj>
      </w:sdtPr>
      <w:sdtEndPr>
        <w:rPr>
          <w:rFonts w:asciiTheme="minorHAnsi" w:eastAsiaTheme="minorHAnsi" w:hAnsiTheme="minorHAnsi" w:cstheme="minorBidi"/>
          <w:color w:val="auto"/>
          <w:sz w:val="24"/>
          <w:szCs w:val="24"/>
        </w:rPr>
      </w:sdtEndPr>
      <w:sdtContent>
        <w:p w14:paraId="64CB6DC3" w14:textId="1810197B" w:rsidR="00870C62" w:rsidRDefault="00870C62">
          <w:pPr>
            <w:pStyle w:val="Heading1"/>
          </w:pPr>
          <w:r>
            <w:t>Bibliography</w:t>
          </w:r>
        </w:p>
        <w:sdt>
          <w:sdtPr>
            <w:id w:val="111145805"/>
            <w:bibliography/>
          </w:sdtPr>
          <w:sdtContent>
            <w:p w14:paraId="1A79B9E9" w14:textId="1071E29E" w:rsidR="00870C62" w:rsidRPr="00115B40" w:rsidRDefault="00870C62" w:rsidP="00870C62">
              <w:pPr>
                <w:pStyle w:val="ListParagraph"/>
                <w:numPr>
                  <w:ilvl w:val="0"/>
                  <w:numId w:val="4"/>
                </w:numPr>
              </w:pPr>
              <w:r w:rsidRPr="00115B40">
                <w:t xml:space="preserve">A. Fleming, </w:t>
              </w:r>
              <w:r w:rsidRPr="00115B40">
                <w:rPr>
                  <w:i/>
                  <w:iCs/>
                </w:rPr>
                <w:t xml:space="preserve">The Cult of St Thomas </w:t>
              </w:r>
              <w:proofErr w:type="spellStart"/>
              <w:r w:rsidRPr="00115B40">
                <w:rPr>
                  <w:i/>
                  <w:iCs/>
                </w:rPr>
                <w:t>Cantilupe</w:t>
              </w:r>
              <w:proofErr w:type="spellEnd"/>
              <w:r w:rsidRPr="00115B40">
                <w:rPr>
                  <w:i/>
                  <w:iCs/>
                </w:rPr>
                <w:t xml:space="preserve"> and the Politics of Remembrance </w:t>
              </w:r>
              <w:r w:rsidRPr="00115B40">
                <w:t>(PhD thesis, University of Oxford, 2023)</w:t>
              </w:r>
              <w:r w:rsidRPr="00115B40">
                <w:t xml:space="preserve"> </w:t>
              </w:r>
              <w:hyperlink r:id="rId12" w:history="1">
                <w:r w:rsidRPr="00115B40">
                  <w:rPr>
                    <w:rStyle w:val="Hyperlink"/>
                  </w:rPr>
                  <w:t>https://ora.ox.ac.uk/objects/uuid:10250a2b-2823-48d2-9e7f-9b33e79bdc38</w:t>
                </w:r>
              </w:hyperlink>
              <w:r w:rsidRPr="00115B40">
                <w:t xml:space="preserve"> [accessed 2</w:t>
              </w:r>
              <w:r w:rsidRPr="00115B40">
                <w:rPr>
                  <w:vertAlign w:val="superscript"/>
                </w:rPr>
                <w:t>nd</w:t>
              </w:r>
              <w:r w:rsidRPr="00115B40">
                <w:t xml:space="preserve"> November 2024].</w:t>
              </w:r>
            </w:p>
            <w:p w14:paraId="23CFF2A5" w14:textId="3B111C5C" w:rsidR="00870C62" w:rsidRPr="00115B40" w:rsidRDefault="00870C62" w:rsidP="00870C62">
              <w:pPr>
                <w:pStyle w:val="ListParagraph"/>
                <w:numPr>
                  <w:ilvl w:val="0"/>
                  <w:numId w:val="4"/>
                </w:numPr>
              </w:pPr>
              <w:r w:rsidRPr="00115B40">
                <w:t>Catherine A.M. Clarke, ed., </w:t>
              </w:r>
              <w:r w:rsidRPr="00115B40">
                <w:rPr>
                  <w:i/>
                  <w:iCs/>
                </w:rPr>
                <w:t>The St. Thomas Way and the Medieval March of Wales: Exploring Place, Heritage, Pilgrimage</w:t>
              </w:r>
              <w:r w:rsidRPr="00115B40">
                <w:t> (Amsterdam University Press, 2020)</w:t>
              </w:r>
              <w:r w:rsidRPr="00115B40">
                <w:t>.</w:t>
              </w:r>
            </w:p>
            <w:p w14:paraId="61E0AA81" w14:textId="535DC6FD" w:rsidR="00C86CBE" w:rsidRPr="00115B40" w:rsidRDefault="00C86CBE" w:rsidP="00C86CBE">
              <w:pPr>
                <w:pStyle w:val="FootnoteText"/>
                <w:numPr>
                  <w:ilvl w:val="0"/>
                  <w:numId w:val="4"/>
                </w:numPr>
                <w:rPr>
                  <w:sz w:val="24"/>
                  <w:szCs w:val="24"/>
                </w:rPr>
              </w:pPr>
              <w:r w:rsidRPr="00115B40">
                <w:rPr>
                  <w:sz w:val="24"/>
                  <w:szCs w:val="24"/>
                </w:rPr>
                <w:t xml:space="preserve">G. </w:t>
              </w:r>
              <w:proofErr w:type="spellStart"/>
              <w:r w:rsidRPr="00115B40">
                <w:rPr>
                  <w:sz w:val="24"/>
                  <w:szCs w:val="24"/>
                </w:rPr>
                <w:t>Marchall</w:t>
              </w:r>
              <w:proofErr w:type="spellEnd"/>
              <w:r w:rsidRPr="00115B40">
                <w:rPr>
                  <w:sz w:val="24"/>
                  <w:szCs w:val="24"/>
                </w:rPr>
                <w:t xml:space="preserve">, 'The Shrine of St Thomas de </w:t>
              </w:r>
              <w:proofErr w:type="spellStart"/>
              <w:r w:rsidRPr="00115B40">
                <w:rPr>
                  <w:sz w:val="24"/>
                  <w:szCs w:val="24"/>
                </w:rPr>
                <w:t>Cantilupe</w:t>
              </w:r>
              <w:proofErr w:type="spellEnd"/>
              <w:r w:rsidRPr="00115B40">
                <w:rPr>
                  <w:sz w:val="24"/>
                  <w:szCs w:val="24"/>
                </w:rPr>
                <w:t xml:space="preserve"> in Hereford Cathedral', in: </w:t>
              </w:r>
              <w:r w:rsidRPr="00115B40">
                <w:rPr>
                  <w:i/>
                  <w:iCs/>
                  <w:sz w:val="24"/>
                  <w:szCs w:val="24"/>
                </w:rPr>
                <w:t xml:space="preserve">Transactions of the </w:t>
              </w:r>
              <w:proofErr w:type="spellStart"/>
              <w:r w:rsidRPr="00115B40">
                <w:rPr>
                  <w:i/>
                  <w:iCs/>
                  <w:sz w:val="24"/>
                  <w:szCs w:val="24"/>
                </w:rPr>
                <w:t>Woolhope</w:t>
              </w:r>
              <w:proofErr w:type="spellEnd"/>
              <w:r w:rsidRPr="00115B40">
                <w:rPr>
                  <w:i/>
                  <w:iCs/>
                  <w:sz w:val="24"/>
                  <w:szCs w:val="24"/>
                </w:rPr>
                <w:t xml:space="preserve"> Naturalists'</w:t>
              </w:r>
              <w:r w:rsidRPr="00115B40">
                <w:rPr>
                  <w:sz w:val="24"/>
                  <w:szCs w:val="24"/>
                </w:rPr>
                <w:t xml:space="preserve"> </w:t>
              </w:r>
              <w:r w:rsidRPr="00115B40">
                <w:rPr>
                  <w:i/>
                  <w:iCs/>
                  <w:sz w:val="24"/>
                  <w:szCs w:val="24"/>
                </w:rPr>
                <w:t>Field Club</w:t>
              </w:r>
              <w:r w:rsidRPr="00115B40">
                <w:rPr>
                  <w:sz w:val="24"/>
                  <w:szCs w:val="24"/>
                </w:rPr>
                <w:t xml:space="preserve"> (1935), 34-50.</w:t>
              </w:r>
            </w:p>
            <w:p w14:paraId="15BA54A9" w14:textId="3C423AB9" w:rsidR="00C86CBE" w:rsidRPr="00115B40" w:rsidRDefault="00C86CBE" w:rsidP="00C86CBE">
              <w:pPr>
                <w:pStyle w:val="FootnoteText"/>
                <w:numPr>
                  <w:ilvl w:val="0"/>
                  <w:numId w:val="4"/>
                </w:numPr>
                <w:rPr>
                  <w:sz w:val="24"/>
                  <w:szCs w:val="24"/>
                </w:rPr>
              </w:pPr>
              <w:r w:rsidRPr="00115B40">
                <w:rPr>
                  <w:sz w:val="24"/>
                  <w:szCs w:val="24"/>
                </w:rPr>
                <w:t>Harriett Webster</w:t>
              </w:r>
              <w:r w:rsidRPr="00115B40">
                <w:rPr>
                  <w:sz w:val="24"/>
                  <w:szCs w:val="24"/>
                </w:rPr>
                <w:t xml:space="preserve">, ‘Mediating Memory: Recalling and Recording the Miracles of St Thomas </w:t>
              </w:r>
              <w:proofErr w:type="spellStart"/>
              <w:r w:rsidRPr="00115B40">
                <w:rPr>
                  <w:sz w:val="24"/>
                  <w:szCs w:val="24"/>
                </w:rPr>
                <w:t>Cantilupe</w:t>
              </w:r>
              <w:proofErr w:type="spellEnd"/>
              <w:r w:rsidRPr="00115B40">
                <w:rPr>
                  <w:sz w:val="24"/>
                  <w:szCs w:val="24"/>
                </w:rPr>
                <w:t>’, </w:t>
              </w:r>
              <w:r w:rsidRPr="00115B40">
                <w:rPr>
                  <w:i/>
                  <w:iCs/>
                  <w:sz w:val="24"/>
                  <w:szCs w:val="24"/>
                </w:rPr>
                <w:t>Journal of Medieval History</w:t>
              </w:r>
              <w:r w:rsidRPr="00115B40">
                <w:rPr>
                  <w:sz w:val="24"/>
                  <w:szCs w:val="24"/>
                </w:rPr>
                <w:t>, 41.3 (2015), 292–308</w:t>
              </w:r>
              <w:r w:rsidRPr="00115B40">
                <w:rPr>
                  <w:sz w:val="24"/>
                  <w:szCs w:val="24"/>
                </w:rPr>
                <w:t xml:space="preserve"> </w:t>
              </w:r>
              <w:hyperlink r:id="rId13" w:history="1">
                <w:r w:rsidRPr="00115B40">
                  <w:rPr>
                    <w:rStyle w:val="Hyperlink"/>
                    <w:sz w:val="24"/>
                    <w:szCs w:val="24"/>
                  </w:rPr>
                  <w:t>https://doi.org/10.1080/03044181.2015.1048977</w:t>
                </w:r>
              </w:hyperlink>
              <w:r w:rsidRPr="00115B40">
                <w:rPr>
                  <w:sz w:val="24"/>
                  <w:szCs w:val="24"/>
                </w:rPr>
                <w:t xml:space="preserve"> </w:t>
              </w:r>
            </w:p>
            <w:p w14:paraId="3D9E282F" w14:textId="1122F0F9" w:rsidR="00C86CBE" w:rsidRPr="00115B40" w:rsidRDefault="00C86CBE" w:rsidP="00C86CBE">
              <w:pPr>
                <w:pStyle w:val="FootnoteText"/>
                <w:numPr>
                  <w:ilvl w:val="0"/>
                  <w:numId w:val="4"/>
                </w:numPr>
                <w:rPr>
                  <w:sz w:val="24"/>
                  <w:szCs w:val="24"/>
                </w:rPr>
              </w:pPr>
              <w:r w:rsidRPr="00115B40">
                <w:rPr>
                  <w:sz w:val="24"/>
                  <w:szCs w:val="24"/>
                </w:rPr>
                <w:t xml:space="preserve">Ian L. Bass, ‘Bishop </w:t>
              </w:r>
              <w:proofErr w:type="spellStart"/>
              <w:r w:rsidRPr="00115B40">
                <w:rPr>
                  <w:sz w:val="24"/>
                  <w:szCs w:val="24"/>
                </w:rPr>
                <w:t>Cantilupe</w:t>
              </w:r>
              <w:proofErr w:type="spellEnd"/>
              <w:r w:rsidRPr="00115B40">
                <w:rPr>
                  <w:sz w:val="24"/>
                  <w:szCs w:val="24"/>
                </w:rPr>
                <w:t xml:space="preserve"> Is Dead! Long Live St Thomas of Hereford! The Effects of St Thomas of Hereford’s Miraculous Cult’, </w:t>
              </w:r>
              <w:r w:rsidRPr="00115B40">
                <w:rPr>
                  <w:i/>
                  <w:iCs/>
                  <w:sz w:val="24"/>
                  <w:szCs w:val="24"/>
                </w:rPr>
                <w:t>History</w:t>
              </w:r>
              <w:r w:rsidRPr="00115B40">
                <w:rPr>
                  <w:sz w:val="24"/>
                  <w:szCs w:val="24"/>
                </w:rPr>
                <w:t xml:space="preserve">, 105.367 (2020), 691–715 </w:t>
              </w:r>
              <w:hyperlink r:id="rId14" w:history="1">
                <w:r w:rsidRPr="00115B40">
                  <w:rPr>
                    <w:rStyle w:val="Hyperlink"/>
                    <w:sz w:val="24"/>
                    <w:szCs w:val="24"/>
                  </w:rPr>
                  <w:t>https://doi.org/10.1111/1468-229X.13032</w:t>
                </w:r>
              </w:hyperlink>
            </w:p>
            <w:p w14:paraId="61E6BEEF" w14:textId="21888955" w:rsidR="00C86CBE" w:rsidRPr="00115B40" w:rsidRDefault="00C86CBE" w:rsidP="00C86CBE">
              <w:pPr>
                <w:pStyle w:val="FootnoteText"/>
                <w:numPr>
                  <w:ilvl w:val="0"/>
                  <w:numId w:val="4"/>
                </w:numPr>
                <w:rPr>
                  <w:sz w:val="24"/>
                  <w:szCs w:val="24"/>
                </w:rPr>
              </w:pPr>
              <w:r w:rsidRPr="00115B40">
                <w:rPr>
                  <w:sz w:val="24"/>
                  <w:szCs w:val="24"/>
                </w:rPr>
                <w:t>Ian L. Bass, ‘COMMEMORATING CANTILUPE: THE ICONOGRAPHY OF ENGLAND’S SECOND ST THOMAS’, </w:t>
              </w:r>
              <w:r w:rsidRPr="00115B40">
                <w:rPr>
                  <w:i/>
                  <w:iCs/>
                  <w:sz w:val="24"/>
                  <w:szCs w:val="24"/>
                </w:rPr>
                <w:t>Antiquaries Journal</w:t>
              </w:r>
              <w:r w:rsidRPr="00115B40">
                <w:rPr>
                  <w:sz w:val="24"/>
                  <w:szCs w:val="24"/>
                </w:rPr>
                <w:t xml:space="preserve">, 103 (2023), 292–314 </w:t>
              </w:r>
              <w:hyperlink r:id="rId15" w:history="1">
                <w:r w:rsidRPr="00115B40">
                  <w:rPr>
                    <w:rStyle w:val="Hyperlink"/>
                    <w:sz w:val="24"/>
                    <w:szCs w:val="24"/>
                  </w:rPr>
                  <w:t>https://doi.org/10.1017/S0003581523000331</w:t>
                </w:r>
              </w:hyperlink>
            </w:p>
            <w:p w14:paraId="70EC0EE8" w14:textId="2B04D05F" w:rsidR="00C86CBE" w:rsidRPr="00115B40" w:rsidRDefault="00C86CBE" w:rsidP="00C86CBE">
              <w:pPr>
                <w:pStyle w:val="FootnoteText"/>
                <w:numPr>
                  <w:ilvl w:val="0"/>
                  <w:numId w:val="4"/>
                </w:numPr>
                <w:rPr>
                  <w:sz w:val="24"/>
                  <w:szCs w:val="24"/>
                </w:rPr>
              </w:pPr>
              <w:r w:rsidRPr="00115B40">
                <w:rPr>
                  <w:sz w:val="24"/>
                  <w:szCs w:val="24"/>
                </w:rPr>
                <w:t xml:space="preserve">Ian L. Bass, ‘St Thomas de </w:t>
              </w:r>
              <w:proofErr w:type="spellStart"/>
              <w:r w:rsidRPr="00115B40">
                <w:rPr>
                  <w:sz w:val="24"/>
                  <w:szCs w:val="24"/>
                </w:rPr>
                <w:t>Cantilupe’s</w:t>
              </w:r>
              <w:proofErr w:type="spellEnd"/>
              <w:r w:rsidRPr="00115B40">
                <w:rPr>
                  <w:sz w:val="24"/>
                  <w:szCs w:val="24"/>
                </w:rPr>
                <w:t xml:space="preserve"> Welsh miracles’ </w:t>
              </w:r>
              <w:r w:rsidRPr="00115B40">
                <w:rPr>
                  <w:i/>
                  <w:iCs/>
                  <w:sz w:val="24"/>
                  <w:szCs w:val="24"/>
                </w:rPr>
                <w:t xml:space="preserve">Studia </w:t>
              </w:r>
              <w:proofErr w:type="spellStart"/>
              <w:r w:rsidRPr="00115B40">
                <w:rPr>
                  <w:i/>
                  <w:iCs/>
                  <w:sz w:val="24"/>
                  <w:szCs w:val="24"/>
                </w:rPr>
                <w:t>Celtica</w:t>
              </w:r>
              <w:proofErr w:type="spellEnd"/>
              <w:r w:rsidRPr="00115B40">
                <w:rPr>
                  <w:sz w:val="24"/>
                  <w:szCs w:val="24"/>
                </w:rPr>
                <w:t xml:space="preserve">, 53.1 (2019), 83–102 </w:t>
              </w:r>
              <w:hyperlink r:id="rId16" w:history="1">
                <w:r w:rsidRPr="00115B40">
                  <w:rPr>
                    <w:rStyle w:val="Hyperlink"/>
                    <w:sz w:val="24"/>
                    <w:szCs w:val="24"/>
                  </w:rPr>
                  <w:t>https://doi.org/10.16922/SC.53.6</w:t>
                </w:r>
              </w:hyperlink>
            </w:p>
            <w:p w14:paraId="2382AC9F" w14:textId="77777777" w:rsidR="00C86CBE" w:rsidRPr="00115B40" w:rsidRDefault="00870C62" w:rsidP="00870C62">
              <w:pPr>
                <w:pStyle w:val="ListParagraph"/>
                <w:numPr>
                  <w:ilvl w:val="0"/>
                  <w:numId w:val="4"/>
                </w:numPr>
              </w:pPr>
              <w:r w:rsidRPr="00115B40">
                <w:t xml:space="preserve">J. H. Ross, Meryl </w:t>
              </w:r>
              <w:proofErr w:type="spellStart"/>
              <w:r w:rsidRPr="00115B40">
                <w:t>Jancey</w:t>
              </w:r>
              <w:proofErr w:type="spellEnd"/>
              <w:r w:rsidRPr="00115B40">
                <w:t xml:space="preserve">, ‘The Miracles of St Thomas of Hereford’, </w:t>
              </w:r>
              <w:r w:rsidRPr="00115B40">
                <w:rPr>
                  <w:i/>
                  <w:iCs/>
                </w:rPr>
                <w:t>British Medical Journal</w:t>
              </w:r>
              <w:r w:rsidRPr="00115B40">
                <w:t>, 295:1590 (1987) 1590-1594</w:t>
              </w:r>
              <w:r w:rsidRPr="00115B40">
                <w:t>.</w:t>
              </w:r>
            </w:p>
            <w:p w14:paraId="59D6A5F8" w14:textId="1AAA1262" w:rsidR="00C86CBE" w:rsidRPr="00115B40" w:rsidRDefault="00C86CBE" w:rsidP="00870C62">
              <w:pPr>
                <w:pStyle w:val="ListParagraph"/>
                <w:numPr>
                  <w:ilvl w:val="0"/>
                  <w:numId w:val="4"/>
                </w:numPr>
              </w:pPr>
              <w:proofErr w:type="spellStart"/>
              <w:r w:rsidRPr="00115B40">
                <w:t>Jussi</w:t>
              </w:r>
              <w:proofErr w:type="spellEnd"/>
              <w:r w:rsidRPr="00115B40">
                <w:t xml:space="preserve"> </w:t>
              </w:r>
              <w:proofErr w:type="spellStart"/>
              <w:r w:rsidRPr="00115B40">
                <w:t>Hanska</w:t>
              </w:r>
              <w:proofErr w:type="spellEnd"/>
              <w:r w:rsidRPr="00115B40">
                <w:t xml:space="preserve">, ‘The hanging of William </w:t>
              </w:r>
              <w:proofErr w:type="spellStart"/>
              <w:r w:rsidRPr="00115B40">
                <w:t>Cragh</w:t>
              </w:r>
              <w:proofErr w:type="spellEnd"/>
              <w:r w:rsidRPr="00115B40">
                <w:t xml:space="preserve">: anatomy of a miracle’, </w:t>
              </w:r>
              <w:r w:rsidRPr="00115B40">
                <w:rPr>
                  <w:i/>
                  <w:iCs/>
                </w:rPr>
                <w:t>Journal of Medieval History</w:t>
              </w:r>
              <w:r w:rsidRPr="00115B40">
                <w:t xml:space="preserve">, 27:2 (2001) 121-138 </w:t>
              </w:r>
              <w:hyperlink r:id="rId17" w:history="1">
                <w:r w:rsidRPr="00115B40">
                  <w:rPr>
                    <w:rStyle w:val="Hyperlink"/>
                  </w:rPr>
                  <w:t>https://doi-org.ezproxy.uwtsd.ac.uk/10.1016/S0304-4181(01)00006-9</w:t>
                </w:r>
              </w:hyperlink>
            </w:p>
            <w:p w14:paraId="42D01272" w14:textId="43D79347" w:rsidR="00C86CBE" w:rsidRPr="00115B40" w:rsidRDefault="00C86CBE" w:rsidP="00870C62">
              <w:pPr>
                <w:pStyle w:val="ListParagraph"/>
                <w:numPr>
                  <w:ilvl w:val="0"/>
                  <w:numId w:val="4"/>
                </w:numPr>
              </w:pPr>
              <w:r w:rsidRPr="00115B40">
                <w:t xml:space="preserve">Lisbeth Corens, ‘Saints beyond borders: relics and the expatriate English Catholic community’, in: Jesse </w:t>
              </w:r>
              <w:proofErr w:type="spellStart"/>
              <w:r w:rsidRPr="00115B40">
                <w:t>Spohnholz</w:t>
              </w:r>
              <w:proofErr w:type="spellEnd"/>
              <w:r w:rsidRPr="00115B40">
                <w:t xml:space="preserve"> and Gary Waite, eds., </w:t>
              </w:r>
              <w:r w:rsidRPr="00115B40">
                <w:rPr>
                  <w:i/>
                  <w:iCs/>
                </w:rPr>
                <w:t xml:space="preserve">Exile and the Formation of Religious Identities in the Early Modern World </w:t>
              </w:r>
              <w:r w:rsidRPr="00115B40">
                <w:t>(London: Pickering and Chatto, 2014) 25-38</w:t>
              </w:r>
              <w:r w:rsidRPr="00115B40">
                <w:t>.</w:t>
              </w:r>
            </w:p>
            <w:p w14:paraId="15E91B5E" w14:textId="77777777" w:rsidR="00C86CBE" w:rsidRPr="00115B40" w:rsidRDefault="00C86CBE" w:rsidP="00870C62">
              <w:pPr>
                <w:pStyle w:val="ListParagraph"/>
                <w:numPr>
                  <w:ilvl w:val="0"/>
                  <w:numId w:val="4"/>
                </w:numPr>
              </w:pPr>
              <w:r w:rsidRPr="00115B40">
                <w:t>Philippa Hoskin, ‘</w:t>
              </w:r>
              <w:proofErr w:type="spellStart"/>
              <w:r w:rsidRPr="00115B40">
                <w:t>Cantilupe’s</w:t>
              </w:r>
              <w:proofErr w:type="spellEnd"/>
              <w:r w:rsidRPr="00115B40">
                <w:t xml:space="preserve"> Crusade? Walter de </w:t>
              </w:r>
              <w:proofErr w:type="spellStart"/>
              <w:r w:rsidRPr="00115B40">
                <w:t>Cantilupe</w:t>
              </w:r>
              <w:proofErr w:type="spellEnd"/>
              <w:r w:rsidRPr="00115B40">
                <w:t xml:space="preserve"> Bishop of Worcester and the Baronial Rebellion.’, </w:t>
              </w:r>
              <w:r w:rsidRPr="00115B40">
                <w:rPr>
                  <w:i/>
                  <w:iCs/>
                </w:rPr>
                <w:t>Transactions of the Worcestershire Historical Society</w:t>
              </w:r>
              <w:r w:rsidRPr="00115B40">
                <w:t>, 10:32 (2012)</w:t>
              </w:r>
              <w:r w:rsidRPr="00115B40">
                <w:t>.</w:t>
              </w:r>
            </w:p>
            <w:p w14:paraId="4866A228" w14:textId="71AA4D32" w:rsidR="00115B40" w:rsidRPr="00115B40" w:rsidRDefault="00115B40" w:rsidP="00870C62">
              <w:pPr>
                <w:pStyle w:val="ListParagraph"/>
                <w:numPr>
                  <w:ilvl w:val="0"/>
                  <w:numId w:val="4"/>
                </w:numPr>
              </w:pPr>
              <w:r w:rsidRPr="00115B40">
                <w:t xml:space="preserve">Stefan </w:t>
              </w:r>
              <w:proofErr w:type="spellStart"/>
              <w:r w:rsidRPr="00115B40">
                <w:t>Dragulinescu</w:t>
              </w:r>
              <w:proofErr w:type="spellEnd"/>
              <w:r w:rsidRPr="00115B40">
                <w:t>, ‘Thomas of Hereford’s Miracles - between Aquinas and Augustine’, </w:t>
              </w:r>
              <w:r w:rsidRPr="00115B40">
                <w:rPr>
                  <w:i/>
                  <w:iCs/>
                </w:rPr>
                <w:t>Journal of Medieval History</w:t>
              </w:r>
              <w:r w:rsidRPr="00115B40">
                <w:t xml:space="preserve">, 44.5 (2018), 543–68 </w:t>
              </w:r>
              <w:hyperlink r:id="rId18" w:history="1">
                <w:r w:rsidRPr="00115B40">
                  <w:rPr>
                    <w:rStyle w:val="Hyperlink"/>
                  </w:rPr>
                  <w:t>https://doi.org/10.1080/03044181.2018.1524332</w:t>
                </w:r>
              </w:hyperlink>
              <w:r w:rsidRPr="00115B40">
                <w:t xml:space="preserve"> </w:t>
              </w:r>
            </w:p>
            <w:p w14:paraId="6B3EBEEF" w14:textId="6C7D04EA" w:rsidR="00870C62" w:rsidRDefault="00C86CBE" w:rsidP="00115B40">
              <w:pPr>
                <w:pStyle w:val="ListParagraph"/>
                <w:numPr>
                  <w:ilvl w:val="0"/>
                  <w:numId w:val="4"/>
                </w:numPr>
              </w:pPr>
              <w:r w:rsidRPr="00115B40">
                <w:t xml:space="preserve">Valerie I. J. Flint, ‘The Hereford </w:t>
              </w:r>
              <w:r w:rsidRPr="009B5D2C">
                <w:t>Map: Its Author(s), Two Scenes and a Border</w:t>
              </w:r>
              <w:r>
                <w:t>’,</w:t>
              </w:r>
              <w:r w:rsidRPr="009B5D2C">
                <w:t> </w:t>
              </w:r>
              <w:r w:rsidRPr="009B5D2C">
                <w:rPr>
                  <w:i/>
                  <w:iCs/>
                </w:rPr>
                <w:t>Transactions of the Royal Historical Society</w:t>
              </w:r>
              <w:r>
                <w:rPr>
                  <w:i/>
                  <w:iCs/>
                </w:rPr>
                <w:t xml:space="preserve">, </w:t>
              </w:r>
              <w:r>
                <w:t>8:19 (1998) 19-44</w:t>
              </w:r>
              <w:r>
                <w:t xml:space="preserve"> </w:t>
              </w:r>
              <w:hyperlink r:id="rId19" w:history="1">
                <w:r w:rsidRPr="00702763">
                  <w:rPr>
                    <w:rStyle w:val="Hyperlink"/>
                  </w:rPr>
                  <w:t>http://dx.doi.org/10.2307/3679287</w:t>
                </w:r>
              </w:hyperlink>
            </w:p>
          </w:sdtContent>
        </w:sdt>
      </w:sdtContent>
    </w:sdt>
    <w:p w14:paraId="6CDC7AD9" w14:textId="36473994" w:rsidR="00C27F66" w:rsidRDefault="00C27F66" w:rsidP="00016428">
      <w:pPr>
        <w:ind w:firstLine="720"/>
      </w:pPr>
    </w:p>
    <w:sectPr w:rsidR="00C27F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000059" w14:textId="77777777" w:rsidR="00E67937" w:rsidRDefault="00E67937" w:rsidP="00E67937">
      <w:r>
        <w:separator/>
      </w:r>
    </w:p>
  </w:endnote>
  <w:endnote w:type="continuationSeparator" w:id="0">
    <w:p w14:paraId="062FA2DA" w14:textId="77777777" w:rsidR="00E67937" w:rsidRDefault="00E67937" w:rsidP="00E67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default"/>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CDB53" w14:textId="77777777" w:rsidR="00E67937" w:rsidRDefault="00E67937" w:rsidP="00E67937">
      <w:r>
        <w:separator/>
      </w:r>
    </w:p>
  </w:footnote>
  <w:footnote w:type="continuationSeparator" w:id="0">
    <w:p w14:paraId="51230DE8" w14:textId="77777777" w:rsidR="00E67937" w:rsidRDefault="00E67937" w:rsidP="00E67937">
      <w:r>
        <w:continuationSeparator/>
      </w:r>
    </w:p>
  </w:footnote>
  <w:footnote w:id="1">
    <w:p w14:paraId="2CAA36A2" w14:textId="24CB8F81" w:rsidR="00E67937" w:rsidRDefault="00E67937">
      <w:pPr>
        <w:pStyle w:val="FootnoteText"/>
      </w:pPr>
      <w:r>
        <w:rPr>
          <w:rStyle w:val="FootnoteReference"/>
        </w:rPr>
        <w:footnoteRef/>
      </w:r>
      <w:r>
        <w:t xml:space="preserve"> Catherine A.M. Clarke, </w:t>
      </w:r>
      <w:r w:rsidR="004A164B" w:rsidRPr="004A164B">
        <w:t>ed., </w:t>
      </w:r>
      <w:r w:rsidR="004A164B" w:rsidRPr="004A164B">
        <w:rPr>
          <w:i/>
          <w:iCs/>
        </w:rPr>
        <w:t>The St. Thomas Way and the Medieval March of Wales: Exploring Place, Heritage, Pilgrimage</w:t>
      </w:r>
      <w:r w:rsidR="004A164B" w:rsidRPr="004A164B">
        <w:t> (Amsterdam University Press, 2020)</w:t>
      </w:r>
      <w:r w:rsidR="004A164B">
        <w:t>, p. 89.</w:t>
      </w:r>
    </w:p>
  </w:footnote>
  <w:footnote w:id="2">
    <w:p w14:paraId="7E132517" w14:textId="0C9A3148" w:rsidR="00E41489" w:rsidRPr="00E41489" w:rsidRDefault="00E41489">
      <w:pPr>
        <w:pStyle w:val="FootnoteText"/>
      </w:pPr>
      <w:r>
        <w:rPr>
          <w:rStyle w:val="FootnoteReference"/>
        </w:rPr>
        <w:footnoteRef/>
      </w:r>
      <w:r>
        <w:t xml:space="preserve"> A. Fleming, </w:t>
      </w:r>
      <w:r w:rsidRPr="00E41489">
        <w:rPr>
          <w:i/>
          <w:iCs/>
        </w:rPr>
        <w:t xml:space="preserve">The Cult of St Thomas </w:t>
      </w:r>
      <w:proofErr w:type="spellStart"/>
      <w:r w:rsidRPr="00E41489">
        <w:rPr>
          <w:i/>
          <w:iCs/>
        </w:rPr>
        <w:t>Cantilupe</w:t>
      </w:r>
      <w:proofErr w:type="spellEnd"/>
      <w:r w:rsidRPr="00E41489">
        <w:rPr>
          <w:i/>
          <w:iCs/>
        </w:rPr>
        <w:t xml:space="preserve"> and the Politics of Remembranc</w:t>
      </w:r>
      <w:r>
        <w:rPr>
          <w:i/>
          <w:iCs/>
        </w:rPr>
        <w:t xml:space="preserve">e </w:t>
      </w:r>
      <w:r>
        <w:t xml:space="preserve">(PhD thesis, University of Oxford, 2023) p. 11, </w:t>
      </w:r>
      <w:hyperlink r:id="rId1" w:history="1">
        <w:r w:rsidRPr="00702763">
          <w:rPr>
            <w:rStyle w:val="Hyperlink"/>
          </w:rPr>
          <w:t>https://ora.ox.ac.uk/objects/uuid:10250a2b-2823-48d2-9e7f-9b33e79bdc38</w:t>
        </w:r>
      </w:hyperlink>
      <w:r>
        <w:t xml:space="preserve"> [accessed 2</w:t>
      </w:r>
      <w:r w:rsidRPr="00E41489">
        <w:rPr>
          <w:vertAlign w:val="superscript"/>
        </w:rPr>
        <w:t>nd</w:t>
      </w:r>
      <w:r>
        <w:t xml:space="preserve"> November 2024].</w:t>
      </w:r>
    </w:p>
  </w:footnote>
  <w:footnote w:id="3">
    <w:p w14:paraId="14CD5FC9" w14:textId="7564C00A" w:rsidR="009E6B2E" w:rsidRPr="009E6B2E" w:rsidRDefault="009E6B2E">
      <w:pPr>
        <w:pStyle w:val="FootnoteText"/>
      </w:pPr>
      <w:r>
        <w:rPr>
          <w:rStyle w:val="FootnoteReference"/>
        </w:rPr>
        <w:footnoteRef/>
      </w:r>
      <w:r>
        <w:t xml:space="preserve"> J. H. Ross, Meryl </w:t>
      </w:r>
      <w:proofErr w:type="spellStart"/>
      <w:r>
        <w:t>Jancey</w:t>
      </w:r>
      <w:proofErr w:type="spellEnd"/>
      <w:r>
        <w:t xml:space="preserve">, ‘The Miracles of St Thomas of Hereford’, </w:t>
      </w:r>
      <w:r>
        <w:rPr>
          <w:i/>
          <w:iCs/>
        </w:rPr>
        <w:t>British Medical Journal</w:t>
      </w:r>
      <w:r>
        <w:t>, 295:1590 (1987)</w:t>
      </w:r>
      <w:r w:rsidR="007C4357">
        <w:t xml:space="preserve"> 1590-1594</w:t>
      </w:r>
      <w:r>
        <w:t xml:space="preserve"> </w:t>
      </w:r>
      <w:r w:rsidR="007C4357">
        <w:t>(p. 1590).</w:t>
      </w:r>
    </w:p>
  </w:footnote>
  <w:footnote w:id="4">
    <w:p w14:paraId="1C11EA97" w14:textId="4B84F2E5" w:rsidR="00FE2306" w:rsidRDefault="00FE2306">
      <w:pPr>
        <w:pStyle w:val="FootnoteText"/>
      </w:pPr>
      <w:r>
        <w:rPr>
          <w:rStyle w:val="FootnoteReference"/>
        </w:rPr>
        <w:footnoteRef/>
      </w:r>
      <w:r>
        <w:t xml:space="preserve"> Ibid.</w:t>
      </w:r>
    </w:p>
  </w:footnote>
  <w:footnote w:id="5">
    <w:p w14:paraId="02E0FBCC" w14:textId="23D3D65C" w:rsidR="00FE2306" w:rsidRPr="00FE2306" w:rsidRDefault="00FE2306">
      <w:pPr>
        <w:pStyle w:val="FootnoteText"/>
      </w:pPr>
      <w:r>
        <w:rPr>
          <w:rStyle w:val="FootnoteReference"/>
        </w:rPr>
        <w:footnoteRef/>
      </w:r>
      <w:r w:rsidR="004817EE">
        <w:t xml:space="preserve"> </w:t>
      </w:r>
      <w:r w:rsidR="00FC38EB">
        <w:t>Philippa Hoskin</w:t>
      </w:r>
      <w:r w:rsidR="008C2D8E">
        <w:t>, ‘</w:t>
      </w:r>
      <w:proofErr w:type="spellStart"/>
      <w:r w:rsidR="008C2D8E">
        <w:t>Cantilupe’s</w:t>
      </w:r>
      <w:proofErr w:type="spellEnd"/>
      <w:r w:rsidR="008C2D8E">
        <w:t xml:space="preserve"> Crusade? Walter de </w:t>
      </w:r>
      <w:proofErr w:type="spellStart"/>
      <w:r w:rsidR="008C2D8E">
        <w:t>Cantilupe</w:t>
      </w:r>
      <w:proofErr w:type="spellEnd"/>
      <w:r w:rsidR="008C2D8E">
        <w:t xml:space="preserve"> Bishop of Worcester and the Baronial Rebellion.’, </w:t>
      </w:r>
      <w:r w:rsidR="008C2D8E" w:rsidRPr="008C2D8E">
        <w:rPr>
          <w:i/>
          <w:iCs/>
        </w:rPr>
        <w:t>Transactions of the Worcestershire Historical Society</w:t>
      </w:r>
      <w:r w:rsidR="008C2D8E">
        <w:t xml:space="preserve">, 10:32 (2012) 91-102. </w:t>
      </w:r>
      <w:r>
        <w:t xml:space="preserve"> </w:t>
      </w:r>
    </w:p>
  </w:footnote>
  <w:footnote w:id="6">
    <w:p w14:paraId="333D22DA" w14:textId="11D70F4C" w:rsidR="00D018AF" w:rsidRDefault="00D018AF">
      <w:pPr>
        <w:pStyle w:val="FootnoteText"/>
      </w:pPr>
      <w:r>
        <w:rPr>
          <w:rStyle w:val="FootnoteReference"/>
        </w:rPr>
        <w:footnoteRef/>
      </w:r>
      <w:r>
        <w:t xml:space="preserve"> </w:t>
      </w:r>
      <w:r w:rsidR="00D432C0">
        <w:t xml:space="preserve">A. Fleming, </w:t>
      </w:r>
      <w:r w:rsidR="00D432C0" w:rsidRPr="00E41489">
        <w:rPr>
          <w:i/>
          <w:iCs/>
        </w:rPr>
        <w:t xml:space="preserve">The Cult of St Thomas </w:t>
      </w:r>
      <w:proofErr w:type="spellStart"/>
      <w:r w:rsidR="00D432C0" w:rsidRPr="00E41489">
        <w:rPr>
          <w:i/>
          <w:iCs/>
        </w:rPr>
        <w:t>Cantilupe</w:t>
      </w:r>
      <w:proofErr w:type="spellEnd"/>
      <w:r w:rsidR="00D432C0" w:rsidRPr="00E41489">
        <w:rPr>
          <w:i/>
          <w:iCs/>
        </w:rPr>
        <w:t xml:space="preserve"> and the Politics of Remembranc</w:t>
      </w:r>
      <w:r w:rsidR="00867F40">
        <w:rPr>
          <w:i/>
          <w:iCs/>
        </w:rPr>
        <w:t>e</w:t>
      </w:r>
      <w:r>
        <w:t>. p. 72.</w:t>
      </w:r>
    </w:p>
  </w:footnote>
  <w:footnote w:id="7">
    <w:p w14:paraId="56C87D23" w14:textId="03C93B38" w:rsidR="00EC12E6" w:rsidRDefault="00EC12E6">
      <w:pPr>
        <w:pStyle w:val="FootnoteText"/>
      </w:pPr>
      <w:r>
        <w:rPr>
          <w:rStyle w:val="FootnoteReference"/>
        </w:rPr>
        <w:footnoteRef/>
      </w:r>
      <w:r>
        <w:t xml:space="preserve"> Ibid. p. 73-74.</w:t>
      </w:r>
    </w:p>
  </w:footnote>
  <w:footnote w:id="8">
    <w:p w14:paraId="5C8EDF89" w14:textId="57CF8B2D" w:rsidR="00420668" w:rsidRDefault="00420668">
      <w:pPr>
        <w:pStyle w:val="FootnoteText"/>
      </w:pPr>
      <w:r>
        <w:rPr>
          <w:rStyle w:val="FootnoteReference"/>
        </w:rPr>
        <w:footnoteRef/>
      </w:r>
      <w:r>
        <w:t xml:space="preserve"> Ibid. p. 75. </w:t>
      </w:r>
    </w:p>
  </w:footnote>
  <w:footnote w:id="9">
    <w:p w14:paraId="6F170FB5" w14:textId="3F26BE99" w:rsidR="009B5D2C" w:rsidRPr="009B5D2C" w:rsidRDefault="009B5D2C">
      <w:pPr>
        <w:pStyle w:val="FootnoteText"/>
      </w:pPr>
      <w:r>
        <w:rPr>
          <w:rStyle w:val="FootnoteReference"/>
        </w:rPr>
        <w:footnoteRef/>
      </w:r>
      <w:r>
        <w:t xml:space="preserve"> Valerie I. J. Flint, ‘</w:t>
      </w:r>
      <w:r w:rsidRPr="009B5D2C">
        <w:t>The Hereford Map: Its Author(s), Two Scenes and a Border</w:t>
      </w:r>
      <w:r>
        <w:t>’,</w:t>
      </w:r>
      <w:r w:rsidRPr="009B5D2C">
        <w:t> </w:t>
      </w:r>
      <w:r w:rsidRPr="009B5D2C">
        <w:rPr>
          <w:i/>
          <w:iCs/>
        </w:rPr>
        <w:t>Transactions of the Royal Historical Society</w:t>
      </w:r>
      <w:r>
        <w:rPr>
          <w:i/>
          <w:iCs/>
        </w:rPr>
        <w:t xml:space="preserve">, </w:t>
      </w:r>
      <w:r>
        <w:t xml:space="preserve">8:19 (1998) 19-44 (p. </w:t>
      </w:r>
      <w:r w:rsidR="00867F40">
        <w:t xml:space="preserve"> 35) </w:t>
      </w:r>
      <w:hyperlink r:id="rId2" w:history="1">
        <w:r w:rsidR="00867F40" w:rsidRPr="00702763">
          <w:rPr>
            <w:rStyle w:val="Hyperlink"/>
          </w:rPr>
          <w:t>http://dx.doi.org/10.2307/3679287</w:t>
        </w:r>
      </w:hyperlink>
    </w:p>
  </w:footnote>
  <w:footnote w:id="10">
    <w:p w14:paraId="4C3ED738" w14:textId="66FD4150" w:rsidR="00867F40" w:rsidRPr="00867F40" w:rsidRDefault="00867F40">
      <w:pPr>
        <w:pStyle w:val="FootnoteText"/>
      </w:pPr>
      <w:r>
        <w:rPr>
          <w:rStyle w:val="FootnoteReference"/>
        </w:rPr>
        <w:footnoteRef/>
      </w:r>
      <w:r>
        <w:t xml:space="preserve"> </w:t>
      </w:r>
      <w:r>
        <w:t xml:space="preserve">A. Fleming, </w:t>
      </w:r>
      <w:r w:rsidRPr="00E41489">
        <w:rPr>
          <w:i/>
          <w:iCs/>
        </w:rPr>
        <w:t xml:space="preserve">The Cult of St Thomas </w:t>
      </w:r>
      <w:proofErr w:type="spellStart"/>
      <w:r w:rsidRPr="00E41489">
        <w:rPr>
          <w:i/>
          <w:iCs/>
        </w:rPr>
        <w:t>Cantilupe</w:t>
      </w:r>
      <w:proofErr w:type="spellEnd"/>
      <w:r w:rsidRPr="00E41489">
        <w:rPr>
          <w:i/>
          <w:iCs/>
        </w:rPr>
        <w:t xml:space="preserve"> and the Politics of Remembran</w:t>
      </w:r>
      <w:r>
        <w:rPr>
          <w:i/>
          <w:iCs/>
        </w:rPr>
        <w:t>ce</w:t>
      </w:r>
      <w:r>
        <w:t>, p. 248-249.</w:t>
      </w:r>
    </w:p>
  </w:footnote>
  <w:footnote w:id="11">
    <w:p w14:paraId="646F0A64" w14:textId="022091AD" w:rsidR="00A16DEF" w:rsidRPr="00A42CC0" w:rsidRDefault="00A16DEF">
      <w:pPr>
        <w:pStyle w:val="FootnoteText"/>
      </w:pPr>
      <w:r>
        <w:rPr>
          <w:rStyle w:val="FootnoteReference"/>
        </w:rPr>
        <w:footnoteRef/>
      </w:r>
      <w:r>
        <w:t xml:space="preserve"> </w:t>
      </w:r>
      <w:r w:rsidR="00A42CC0">
        <w:t xml:space="preserve">Lisbeth Corens, ‘Saints beyond borders: relics and the expatriate English Catholic community’, in: Jesse </w:t>
      </w:r>
      <w:proofErr w:type="spellStart"/>
      <w:r w:rsidR="00A42CC0">
        <w:t>Spohnholz</w:t>
      </w:r>
      <w:proofErr w:type="spellEnd"/>
      <w:r w:rsidR="00A42CC0">
        <w:t xml:space="preserve"> and Gary Waite, eds., </w:t>
      </w:r>
      <w:r w:rsidR="00A42CC0">
        <w:rPr>
          <w:i/>
          <w:iCs/>
        </w:rPr>
        <w:t xml:space="preserve">Exile and the Formation of Religious Identities in the Early Modern World </w:t>
      </w:r>
      <w:r w:rsidR="00A42CC0">
        <w:t xml:space="preserve">(London: Pickering and Chatto, 2014) 25-38, p. 34. </w:t>
      </w:r>
    </w:p>
  </w:footnote>
  <w:footnote w:id="12">
    <w:p w14:paraId="78E4F38E" w14:textId="27027ED5" w:rsidR="004C3CCA" w:rsidRPr="004C3CCA" w:rsidRDefault="004C3CCA">
      <w:pPr>
        <w:pStyle w:val="FootnoteText"/>
      </w:pPr>
      <w:r>
        <w:rPr>
          <w:rStyle w:val="FootnoteReference"/>
        </w:rPr>
        <w:footnoteRef/>
      </w:r>
      <w:r>
        <w:t xml:space="preserve"> J</w:t>
      </w:r>
      <w:r w:rsidRPr="004C3CCA">
        <w:t xml:space="preserve">. H. Ross, Meryl </w:t>
      </w:r>
      <w:proofErr w:type="spellStart"/>
      <w:r w:rsidRPr="004C3CCA">
        <w:t>Jancey</w:t>
      </w:r>
      <w:proofErr w:type="spellEnd"/>
      <w:r w:rsidRPr="004C3CCA">
        <w:t xml:space="preserve">, ‘The Miracles of St Thomas of Hereford’, </w:t>
      </w:r>
      <w:r w:rsidRPr="004C3CCA">
        <w:rPr>
          <w:i/>
          <w:iCs/>
        </w:rPr>
        <w:t>British Medical Journ</w:t>
      </w:r>
      <w:r>
        <w:rPr>
          <w:i/>
          <w:iCs/>
        </w:rPr>
        <w:t>al</w:t>
      </w:r>
      <w:r>
        <w:t>, p. 1592-1593.</w:t>
      </w:r>
    </w:p>
  </w:footnote>
  <w:footnote w:id="13">
    <w:p w14:paraId="556ECA26" w14:textId="6C9932A7" w:rsidR="00F554BA" w:rsidRDefault="00F554BA">
      <w:pPr>
        <w:pStyle w:val="FootnoteText"/>
      </w:pPr>
      <w:r>
        <w:rPr>
          <w:rStyle w:val="FootnoteReference"/>
        </w:rPr>
        <w:footnoteRef/>
      </w:r>
      <w:r>
        <w:t xml:space="preserve"> </w:t>
      </w:r>
      <w:r>
        <w:t xml:space="preserve">A. Fleming, </w:t>
      </w:r>
      <w:r w:rsidRPr="00E41489">
        <w:rPr>
          <w:i/>
          <w:iCs/>
        </w:rPr>
        <w:t xml:space="preserve">The Cult of St Thomas </w:t>
      </w:r>
      <w:proofErr w:type="spellStart"/>
      <w:r w:rsidRPr="00E41489">
        <w:rPr>
          <w:i/>
          <w:iCs/>
        </w:rPr>
        <w:t>Cantilupe</w:t>
      </w:r>
      <w:proofErr w:type="spellEnd"/>
      <w:r w:rsidRPr="00E41489">
        <w:rPr>
          <w:i/>
          <w:iCs/>
        </w:rPr>
        <w:t xml:space="preserve"> and the Politics of Remembranc</w:t>
      </w:r>
      <w:r>
        <w:rPr>
          <w:i/>
          <w:iCs/>
        </w:rPr>
        <w:t>e</w:t>
      </w:r>
      <w:r>
        <w:t>.</w:t>
      </w:r>
      <w:r>
        <w:t xml:space="preserve"> p. 206.</w:t>
      </w:r>
    </w:p>
  </w:footnote>
  <w:footnote w:id="14">
    <w:p w14:paraId="35EA18E4" w14:textId="2D4AE73F" w:rsidR="00B61FD1" w:rsidRDefault="00B61FD1">
      <w:pPr>
        <w:pStyle w:val="FootnoteText"/>
      </w:pPr>
      <w:r>
        <w:rPr>
          <w:rStyle w:val="FootnoteReference"/>
        </w:rPr>
        <w:footnoteRef/>
      </w:r>
      <w:r>
        <w:t xml:space="preserve"> Ibid., p. 207.</w:t>
      </w:r>
    </w:p>
  </w:footnote>
  <w:footnote w:id="15">
    <w:p w14:paraId="65461C51" w14:textId="4CFB6BBE" w:rsidR="009E7D08" w:rsidRDefault="009E7D08">
      <w:pPr>
        <w:pStyle w:val="FootnoteText"/>
      </w:pPr>
      <w:r>
        <w:rPr>
          <w:rStyle w:val="FootnoteReference"/>
        </w:rPr>
        <w:footnoteRef/>
      </w:r>
      <w:r>
        <w:t xml:space="preserve"> </w:t>
      </w:r>
      <w:r>
        <w:t>Valerie I. J. Flint, ‘</w:t>
      </w:r>
      <w:r w:rsidRPr="009B5D2C">
        <w:t>The Hereford Map: Its Author(s), Two Scenes and a Border</w:t>
      </w:r>
      <w:r>
        <w:t>’,</w:t>
      </w:r>
      <w:r>
        <w:t xml:space="preserve"> p. 34.</w:t>
      </w:r>
    </w:p>
  </w:footnote>
  <w:footnote w:id="16">
    <w:p w14:paraId="3EFE42B1" w14:textId="7FE7A0A4" w:rsidR="00F03B1E" w:rsidRDefault="00F03B1E">
      <w:pPr>
        <w:pStyle w:val="FootnoteText"/>
      </w:pPr>
      <w:r>
        <w:rPr>
          <w:rStyle w:val="FootnoteReference"/>
        </w:rPr>
        <w:footnoteRef/>
      </w:r>
      <w:r>
        <w:t xml:space="preserve"> For more on the tomb, see </w:t>
      </w:r>
      <w:r>
        <w:t xml:space="preserve">G. </w:t>
      </w:r>
      <w:proofErr w:type="spellStart"/>
      <w:r>
        <w:t>Marchall</w:t>
      </w:r>
      <w:proofErr w:type="spellEnd"/>
      <w:r>
        <w:t xml:space="preserve">, 'The Shrine of St Thomas de </w:t>
      </w:r>
      <w:proofErr w:type="spellStart"/>
      <w:r>
        <w:t>Cantilupe</w:t>
      </w:r>
      <w:proofErr w:type="spellEnd"/>
      <w:r>
        <w:t xml:space="preserve"> in Hereford Cathedral', </w:t>
      </w:r>
      <w:r>
        <w:t xml:space="preserve">in: </w:t>
      </w:r>
      <w:r w:rsidRPr="00F03B1E">
        <w:rPr>
          <w:i/>
          <w:iCs/>
        </w:rPr>
        <w:t xml:space="preserve">Transactions of the </w:t>
      </w:r>
      <w:proofErr w:type="spellStart"/>
      <w:r w:rsidRPr="00F03B1E">
        <w:rPr>
          <w:i/>
          <w:iCs/>
        </w:rPr>
        <w:t>Woo</w:t>
      </w:r>
      <w:r w:rsidRPr="00F03B1E">
        <w:rPr>
          <w:i/>
          <w:iCs/>
        </w:rPr>
        <w:t>lho</w:t>
      </w:r>
      <w:r w:rsidRPr="00F03B1E">
        <w:rPr>
          <w:i/>
          <w:iCs/>
        </w:rPr>
        <w:t>pe</w:t>
      </w:r>
      <w:proofErr w:type="spellEnd"/>
      <w:r w:rsidRPr="00F03B1E">
        <w:rPr>
          <w:i/>
          <w:iCs/>
        </w:rPr>
        <w:t xml:space="preserve"> Naturalists'</w:t>
      </w:r>
      <w:r>
        <w:t xml:space="preserve"> </w:t>
      </w:r>
      <w:r w:rsidRPr="00F03B1E">
        <w:rPr>
          <w:i/>
          <w:iCs/>
        </w:rPr>
        <w:t>Field Club</w:t>
      </w:r>
      <w:r>
        <w:t xml:space="preserve"> (193</w:t>
      </w:r>
      <w:r w:rsidR="000E3552">
        <w:t>5</w:t>
      </w:r>
      <w:r>
        <w:t>),</w:t>
      </w:r>
      <w:r w:rsidR="000E3552">
        <w:t xml:space="preserve"> 34-50.</w:t>
      </w:r>
    </w:p>
  </w:footnote>
  <w:footnote w:id="17">
    <w:p w14:paraId="15371D2E" w14:textId="3F43D9DA" w:rsidR="00AF4D2D" w:rsidRDefault="00AF4D2D">
      <w:pPr>
        <w:pStyle w:val="FootnoteText"/>
      </w:pPr>
      <w:r>
        <w:rPr>
          <w:rStyle w:val="FootnoteReference"/>
        </w:rPr>
        <w:footnoteRef/>
      </w:r>
      <w:r>
        <w:t xml:space="preserve"> </w:t>
      </w:r>
      <w:r>
        <w:t xml:space="preserve">Ian L. Bass, </w:t>
      </w:r>
      <w:r w:rsidRPr="006C2EBB">
        <w:t xml:space="preserve">‘Bishop </w:t>
      </w:r>
      <w:proofErr w:type="spellStart"/>
      <w:r w:rsidRPr="006C2EBB">
        <w:t>Cantilupe</w:t>
      </w:r>
      <w:proofErr w:type="spellEnd"/>
      <w:r w:rsidRPr="006C2EBB">
        <w:t xml:space="preserve"> Is Dead! Long Live St Thomas of Hereford! The Effects of St Thomas of Hereford’s Miraculous Cult’, </w:t>
      </w:r>
      <w:r w:rsidRPr="006C2EBB">
        <w:rPr>
          <w:i/>
          <w:iCs/>
        </w:rPr>
        <w:t>History</w:t>
      </w:r>
      <w:r w:rsidRPr="006C2EBB">
        <w:t xml:space="preserve">, 105.367 (2020), 691–715 </w:t>
      </w:r>
      <w:hyperlink r:id="rId3" w:history="1">
        <w:r w:rsidRPr="00702763">
          <w:rPr>
            <w:rStyle w:val="Hyperlink"/>
          </w:rPr>
          <w:t>https://doi.org/10.1111/1468-229X.13032</w:t>
        </w:r>
      </w:hyperlink>
      <w:r>
        <w:t xml:space="preserve"> p. 701.</w:t>
      </w:r>
    </w:p>
  </w:footnote>
  <w:footnote w:id="18">
    <w:p w14:paraId="590FF189" w14:textId="0337B3D4" w:rsidR="00AF4D2D" w:rsidRDefault="00AF4D2D">
      <w:pPr>
        <w:pStyle w:val="FootnoteText"/>
      </w:pPr>
      <w:r>
        <w:rPr>
          <w:rStyle w:val="FootnoteReference"/>
        </w:rPr>
        <w:footnoteRef/>
      </w:r>
      <w:r>
        <w:t xml:space="preserve"> Ibid.</w:t>
      </w:r>
    </w:p>
  </w:footnote>
  <w:footnote w:id="19">
    <w:p w14:paraId="06F72E12" w14:textId="29A57906" w:rsidR="006C2EBB" w:rsidRDefault="006C2EBB">
      <w:pPr>
        <w:pStyle w:val="FootnoteText"/>
      </w:pPr>
      <w:r>
        <w:rPr>
          <w:rStyle w:val="FootnoteReference"/>
        </w:rPr>
        <w:footnoteRef/>
      </w:r>
      <w:r>
        <w:t xml:space="preserve"> </w:t>
      </w:r>
      <w:r w:rsidR="00AF4D2D">
        <w:t xml:space="preserve">Ibid. </w:t>
      </w:r>
      <w:r w:rsidRPr="006C2EBB">
        <w:t xml:space="preserve"> </w:t>
      </w:r>
      <w:r>
        <w:t>p. 697.</w:t>
      </w:r>
    </w:p>
  </w:footnote>
  <w:footnote w:id="20">
    <w:p w14:paraId="3CC81F2C" w14:textId="243C74F5" w:rsidR="006C2EBB" w:rsidRDefault="006C2EBB">
      <w:pPr>
        <w:pStyle w:val="FootnoteText"/>
      </w:pPr>
      <w:r>
        <w:rPr>
          <w:rStyle w:val="FootnoteReference"/>
        </w:rPr>
        <w:footnoteRef/>
      </w:r>
      <w:r>
        <w:t xml:space="preserve"> </w:t>
      </w:r>
      <w:r>
        <w:t>J</w:t>
      </w:r>
      <w:r w:rsidRPr="004C3CCA">
        <w:t xml:space="preserve">. H. Ross, Meryl </w:t>
      </w:r>
      <w:proofErr w:type="spellStart"/>
      <w:r w:rsidRPr="004C3CCA">
        <w:t>Jancey</w:t>
      </w:r>
      <w:proofErr w:type="spellEnd"/>
      <w:r w:rsidRPr="004C3CCA">
        <w:t xml:space="preserve">, ‘The Miracles of St Thomas of Hereford’, </w:t>
      </w:r>
      <w:r w:rsidRPr="004C3CCA">
        <w:rPr>
          <w:i/>
          <w:iCs/>
        </w:rPr>
        <w:t>British Medical Journ</w:t>
      </w:r>
      <w:r>
        <w:rPr>
          <w:i/>
          <w:iCs/>
        </w:rPr>
        <w:t>al</w:t>
      </w:r>
      <w:r>
        <w:rPr>
          <w:i/>
          <w:iCs/>
        </w:rPr>
        <w:t>, p. 1593.</w:t>
      </w:r>
    </w:p>
  </w:footnote>
  <w:footnote w:id="21">
    <w:p w14:paraId="33915065" w14:textId="1E5FB5DD" w:rsidR="006C2EBB" w:rsidRDefault="006C2EBB">
      <w:pPr>
        <w:pStyle w:val="FootnoteText"/>
      </w:pPr>
      <w:r>
        <w:rPr>
          <w:rStyle w:val="FootnoteReference"/>
        </w:rPr>
        <w:footnoteRef/>
      </w:r>
      <w:r>
        <w:t xml:space="preserve"> </w:t>
      </w:r>
      <w:r>
        <w:t xml:space="preserve">Ian L. Bass, </w:t>
      </w:r>
      <w:r w:rsidRPr="006C2EBB">
        <w:t xml:space="preserve">‘Bishop </w:t>
      </w:r>
      <w:proofErr w:type="spellStart"/>
      <w:r w:rsidRPr="006C2EBB">
        <w:t>Cantilupe</w:t>
      </w:r>
      <w:proofErr w:type="spellEnd"/>
      <w:r w:rsidRPr="006C2EBB">
        <w:t xml:space="preserve"> Is Dead! Long Live St Thomas of Hereford! The Effects of St Thomas of Hereford’s Miraculous Cult’</w:t>
      </w:r>
      <w:r w:rsidR="000F7937">
        <w:t>, p. 697.</w:t>
      </w:r>
    </w:p>
  </w:footnote>
  <w:footnote w:id="22">
    <w:p w14:paraId="23C31A31" w14:textId="6219D8B9" w:rsidR="00B12F17" w:rsidRPr="00B12F17" w:rsidRDefault="00B12F17">
      <w:pPr>
        <w:pStyle w:val="FootnoteText"/>
      </w:pPr>
      <w:r>
        <w:rPr>
          <w:rStyle w:val="FootnoteReference"/>
        </w:rPr>
        <w:footnoteRef/>
      </w:r>
      <w:r>
        <w:t xml:space="preserve"> </w:t>
      </w:r>
      <w:r>
        <w:t>J</w:t>
      </w:r>
      <w:r w:rsidRPr="004C3CCA">
        <w:t xml:space="preserve">. H. Ross, Meryl </w:t>
      </w:r>
      <w:proofErr w:type="spellStart"/>
      <w:r w:rsidRPr="004C3CCA">
        <w:t>Jancey</w:t>
      </w:r>
      <w:proofErr w:type="spellEnd"/>
      <w:r w:rsidRPr="004C3CCA">
        <w:t xml:space="preserve">, ‘The Miracles of St Thomas of Hereford’, </w:t>
      </w:r>
      <w:r w:rsidRPr="004C3CCA">
        <w:rPr>
          <w:i/>
          <w:iCs/>
        </w:rPr>
        <w:t>British Medical Journ</w:t>
      </w:r>
      <w:r>
        <w:rPr>
          <w:i/>
          <w:iCs/>
        </w:rPr>
        <w:t>al</w:t>
      </w:r>
      <w:r>
        <w:t>, p. 1592.</w:t>
      </w:r>
    </w:p>
  </w:footnote>
  <w:footnote w:id="23">
    <w:p w14:paraId="1A458E5C" w14:textId="2EA5C46C" w:rsidR="00A9765A" w:rsidRPr="002D60BB" w:rsidRDefault="00A9765A">
      <w:pPr>
        <w:pStyle w:val="FootnoteText"/>
      </w:pPr>
      <w:r>
        <w:rPr>
          <w:rStyle w:val="FootnoteReference"/>
        </w:rPr>
        <w:footnoteRef/>
      </w:r>
      <w:r>
        <w:t xml:space="preserve"> </w:t>
      </w:r>
      <w:r w:rsidR="002D60BB">
        <w:t xml:space="preserve">For more information on this miracle, see. </w:t>
      </w:r>
      <w:proofErr w:type="spellStart"/>
      <w:r w:rsidR="000F6253">
        <w:t>Jussi</w:t>
      </w:r>
      <w:proofErr w:type="spellEnd"/>
      <w:r w:rsidR="000F6253">
        <w:t xml:space="preserve"> </w:t>
      </w:r>
      <w:proofErr w:type="spellStart"/>
      <w:r w:rsidR="000F6253">
        <w:t>Hanska</w:t>
      </w:r>
      <w:proofErr w:type="spellEnd"/>
      <w:r w:rsidR="002D60BB">
        <w:t xml:space="preserve">, ‘The hanging of William </w:t>
      </w:r>
      <w:proofErr w:type="spellStart"/>
      <w:r w:rsidR="002D60BB">
        <w:t>Cragh</w:t>
      </w:r>
      <w:proofErr w:type="spellEnd"/>
      <w:r w:rsidR="002D60BB">
        <w:t xml:space="preserve">: anatomy of a miracle’, </w:t>
      </w:r>
      <w:r w:rsidR="002D60BB">
        <w:rPr>
          <w:i/>
          <w:iCs/>
        </w:rPr>
        <w:t>Journal of Medieval History</w:t>
      </w:r>
      <w:r w:rsidR="002D60BB">
        <w:t xml:space="preserve">, 27:2 (2001) 121-138 </w:t>
      </w:r>
      <w:hyperlink r:id="rId4" w:history="1">
        <w:r w:rsidR="002D60BB" w:rsidRPr="00702763">
          <w:rPr>
            <w:rStyle w:val="Hyperlink"/>
          </w:rPr>
          <w:t>https://doi-org.ezproxy.uwtsd.ac.uk/10.1016/S0304-4181(01)00006-9</w:t>
        </w:r>
      </w:hyperlink>
      <w:r w:rsidR="002D60BB">
        <w:t xml:space="preserve"> </w:t>
      </w:r>
    </w:p>
  </w:footnote>
  <w:footnote w:id="24">
    <w:p w14:paraId="519F95A9" w14:textId="6471DC21" w:rsidR="002D60BB" w:rsidRDefault="002D60BB">
      <w:pPr>
        <w:pStyle w:val="FootnoteText"/>
      </w:pPr>
      <w:r>
        <w:rPr>
          <w:rStyle w:val="FootnoteReference"/>
        </w:rPr>
        <w:footnoteRef/>
      </w:r>
      <w:r>
        <w:t xml:space="preserve"> Ibid. p. 124-125.</w:t>
      </w:r>
    </w:p>
  </w:footnote>
  <w:footnote w:id="25">
    <w:p w14:paraId="3908BE30" w14:textId="1670588D" w:rsidR="002155D2" w:rsidRDefault="002155D2">
      <w:pPr>
        <w:pStyle w:val="FootnoteText"/>
      </w:pPr>
      <w:r>
        <w:rPr>
          <w:rStyle w:val="FootnoteReference"/>
        </w:rPr>
        <w:footnoteRef/>
      </w:r>
      <w:r>
        <w:t xml:space="preserve"> Ibid. 128.</w:t>
      </w:r>
    </w:p>
  </w:footnote>
  <w:footnote w:id="26">
    <w:p w14:paraId="5ECA8409" w14:textId="579515CC" w:rsidR="00C27F66" w:rsidRDefault="00C27F66">
      <w:pPr>
        <w:pStyle w:val="FootnoteText"/>
      </w:pPr>
      <w:r>
        <w:rPr>
          <w:rStyle w:val="FootnoteReference"/>
        </w:rPr>
        <w:footnoteRef/>
      </w:r>
      <w:r>
        <w:t xml:space="preserve"> Ian L. Bass, ‘St Thomas de </w:t>
      </w:r>
      <w:proofErr w:type="spellStart"/>
      <w:r>
        <w:t>Cantilupe’s</w:t>
      </w:r>
      <w:proofErr w:type="spellEnd"/>
      <w:r>
        <w:t xml:space="preserve"> Welsh miracles’ </w:t>
      </w:r>
      <w:r w:rsidRPr="00C27F66">
        <w:rPr>
          <w:i/>
          <w:iCs/>
        </w:rPr>
        <w:t xml:space="preserve">Studia </w:t>
      </w:r>
      <w:proofErr w:type="spellStart"/>
      <w:r w:rsidRPr="00C27F66">
        <w:rPr>
          <w:i/>
          <w:iCs/>
        </w:rPr>
        <w:t>Celtica</w:t>
      </w:r>
      <w:proofErr w:type="spellEnd"/>
      <w:r w:rsidRPr="00C27F66">
        <w:t xml:space="preserve">, 53.1 (2019), 83–102 </w:t>
      </w:r>
      <w:hyperlink r:id="rId5" w:history="1">
        <w:r w:rsidRPr="00702763">
          <w:rPr>
            <w:rStyle w:val="Hyperlink"/>
          </w:rPr>
          <w:t>https://doi.org/10.16922/SC.53.6</w:t>
        </w:r>
      </w:hyperlink>
      <w:r>
        <w:t xml:space="preserve"> p. 89-91.</w:t>
      </w:r>
    </w:p>
  </w:footnote>
  <w:footnote w:id="27">
    <w:p w14:paraId="52915D3B" w14:textId="0A4191C0" w:rsidR="003853A9" w:rsidRDefault="003853A9">
      <w:pPr>
        <w:pStyle w:val="FootnoteText"/>
      </w:pPr>
      <w:r>
        <w:rPr>
          <w:rStyle w:val="FootnoteReference"/>
        </w:rPr>
        <w:footnoteRef/>
      </w:r>
      <w:r>
        <w:t xml:space="preserve"> Ian L. Bass</w:t>
      </w:r>
      <w:r w:rsidRPr="003853A9">
        <w:t>, ‘COMMEMORATING CANTILUPE: THE ICONOGRAPHY OF ENGLAND’S SECOND ST THOMAS’, </w:t>
      </w:r>
      <w:r w:rsidRPr="003853A9">
        <w:rPr>
          <w:i/>
          <w:iCs/>
        </w:rPr>
        <w:t>Antiquaries Journal</w:t>
      </w:r>
      <w:r w:rsidRPr="003853A9">
        <w:t xml:space="preserve">, 103 (2023), 292–314 </w:t>
      </w:r>
      <w:hyperlink r:id="rId6" w:history="1">
        <w:r w:rsidRPr="00702763">
          <w:rPr>
            <w:rStyle w:val="Hyperlink"/>
          </w:rPr>
          <w:t>https://doi.org/10.1017/S0003581523000331</w:t>
        </w:r>
      </w:hyperlink>
      <w:r>
        <w:t xml:space="preserve"> p. 293.</w:t>
      </w:r>
    </w:p>
  </w:footnote>
  <w:footnote w:id="28">
    <w:p w14:paraId="713C3419" w14:textId="0BB1F8E6" w:rsidR="00BE32C5" w:rsidRDefault="00BE32C5">
      <w:pPr>
        <w:pStyle w:val="FootnoteText"/>
      </w:pPr>
      <w:r>
        <w:rPr>
          <w:rStyle w:val="FootnoteReference"/>
        </w:rPr>
        <w:footnoteRef/>
      </w:r>
      <w:r>
        <w:t xml:space="preserve"> Ibid. 297.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A31A27"/>
    <w:multiLevelType w:val="hybridMultilevel"/>
    <w:tmpl w:val="29F87ECC"/>
    <w:lvl w:ilvl="0" w:tplc="EBBE9BC4">
      <w:start w:val="1"/>
      <w:numFmt w:val="bullet"/>
      <w:lvlText w:val="-"/>
      <w:lvlJc w:val="left"/>
      <w:pPr>
        <w:ind w:left="1080" w:hanging="360"/>
      </w:pPr>
      <w:rPr>
        <w:rFonts w:ascii="Aptos" w:eastAsiaTheme="minorHAnsi" w:hAnsi="Aptos" w:cstheme="minorBidi"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E6245F3"/>
    <w:multiLevelType w:val="hybridMultilevel"/>
    <w:tmpl w:val="9460BACE"/>
    <w:lvl w:ilvl="0" w:tplc="364A374A">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2143F2"/>
    <w:multiLevelType w:val="hybridMultilevel"/>
    <w:tmpl w:val="895CE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0F4D09"/>
    <w:multiLevelType w:val="hybridMultilevel"/>
    <w:tmpl w:val="23F03A8E"/>
    <w:lvl w:ilvl="0" w:tplc="7828FA6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6770280">
    <w:abstractNumId w:val="3"/>
  </w:num>
  <w:num w:numId="2" w16cid:durableId="1910648225">
    <w:abstractNumId w:val="2"/>
  </w:num>
  <w:num w:numId="3" w16cid:durableId="1903130014">
    <w:abstractNumId w:val="0"/>
  </w:num>
  <w:num w:numId="4" w16cid:durableId="96415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D3A"/>
    <w:rsid w:val="00005E64"/>
    <w:rsid w:val="00016428"/>
    <w:rsid w:val="00036E16"/>
    <w:rsid w:val="0005263D"/>
    <w:rsid w:val="0006231C"/>
    <w:rsid w:val="000E3552"/>
    <w:rsid w:val="000F6253"/>
    <w:rsid w:val="000F7937"/>
    <w:rsid w:val="00115B40"/>
    <w:rsid w:val="00171245"/>
    <w:rsid w:val="002155D2"/>
    <w:rsid w:val="002367F5"/>
    <w:rsid w:val="002D60BB"/>
    <w:rsid w:val="002F2ACB"/>
    <w:rsid w:val="0037763B"/>
    <w:rsid w:val="003853A9"/>
    <w:rsid w:val="00393186"/>
    <w:rsid w:val="003D564E"/>
    <w:rsid w:val="003E7FA8"/>
    <w:rsid w:val="00420668"/>
    <w:rsid w:val="00423DD0"/>
    <w:rsid w:val="00441761"/>
    <w:rsid w:val="004817EE"/>
    <w:rsid w:val="004A164B"/>
    <w:rsid w:val="004C3CCA"/>
    <w:rsid w:val="004F2145"/>
    <w:rsid w:val="00512D3A"/>
    <w:rsid w:val="005D5824"/>
    <w:rsid w:val="005F47F6"/>
    <w:rsid w:val="00642311"/>
    <w:rsid w:val="0069548F"/>
    <w:rsid w:val="006C2EBB"/>
    <w:rsid w:val="007368A6"/>
    <w:rsid w:val="007B2E90"/>
    <w:rsid w:val="007C4357"/>
    <w:rsid w:val="00867F40"/>
    <w:rsid w:val="00870C62"/>
    <w:rsid w:val="008A68FA"/>
    <w:rsid w:val="008C2D8E"/>
    <w:rsid w:val="009B5D2C"/>
    <w:rsid w:val="009E6B2E"/>
    <w:rsid w:val="009E7D08"/>
    <w:rsid w:val="00A01E3F"/>
    <w:rsid w:val="00A16DEF"/>
    <w:rsid w:val="00A42CC0"/>
    <w:rsid w:val="00A86F45"/>
    <w:rsid w:val="00A9765A"/>
    <w:rsid w:val="00AF4D2D"/>
    <w:rsid w:val="00B12F17"/>
    <w:rsid w:val="00B1325A"/>
    <w:rsid w:val="00B61FD1"/>
    <w:rsid w:val="00B82D28"/>
    <w:rsid w:val="00BB7ADE"/>
    <w:rsid w:val="00BC0573"/>
    <w:rsid w:val="00BE32C5"/>
    <w:rsid w:val="00BF0D18"/>
    <w:rsid w:val="00C14817"/>
    <w:rsid w:val="00C27F66"/>
    <w:rsid w:val="00C86CBE"/>
    <w:rsid w:val="00D018AF"/>
    <w:rsid w:val="00D432C0"/>
    <w:rsid w:val="00E07969"/>
    <w:rsid w:val="00E41489"/>
    <w:rsid w:val="00E44F4A"/>
    <w:rsid w:val="00E67937"/>
    <w:rsid w:val="00E753A4"/>
    <w:rsid w:val="00EC12E6"/>
    <w:rsid w:val="00EE66CD"/>
    <w:rsid w:val="00F03B1E"/>
    <w:rsid w:val="00F43B8D"/>
    <w:rsid w:val="00F554BA"/>
    <w:rsid w:val="00FB3E07"/>
    <w:rsid w:val="00FC38EB"/>
    <w:rsid w:val="00FC5A30"/>
    <w:rsid w:val="00FE2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4DE93"/>
  <w15:chartTrackingRefBased/>
  <w15:docId w15:val="{83D60B92-09F5-DF48-A959-7FD423251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D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2D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2D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2D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2D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2D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D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D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D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D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2D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2D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2D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D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D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D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D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D3A"/>
    <w:rPr>
      <w:rFonts w:eastAsiaTheme="majorEastAsia" w:cstheme="majorBidi"/>
      <w:color w:val="272727" w:themeColor="text1" w:themeTint="D8"/>
    </w:rPr>
  </w:style>
  <w:style w:type="paragraph" w:styleId="Title">
    <w:name w:val="Title"/>
    <w:basedOn w:val="Normal"/>
    <w:next w:val="Normal"/>
    <w:link w:val="TitleChar"/>
    <w:uiPriority w:val="10"/>
    <w:qFormat/>
    <w:rsid w:val="00512D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D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D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D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D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12D3A"/>
    <w:rPr>
      <w:i/>
      <w:iCs/>
      <w:color w:val="404040" w:themeColor="text1" w:themeTint="BF"/>
    </w:rPr>
  </w:style>
  <w:style w:type="paragraph" w:styleId="ListParagraph">
    <w:name w:val="List Paragraph"/>
    <w:basedOn w:val="Normal"/>
    <w:uiPriority w:val="34"/>
    <w:qFormat/>
    <w:rsid w:val="00512D3A"/>
    <w:pPr>
      <w:ind w:left="720"/>
      <w:contextualSpacing/>
    </w:pPr>
  </w:style>
  <w:style w:type="character" w:styleId="IntenseEmphasis">
    <w:name w:val="Intense Emphasis"/>
    <w:basedOn w:val="DefaultParagraphFont"/>
    <w:uiPriority w:val="21"/>
    <w:qFormat/>
    <w:rsid w:val="00512D3A"/>
    <w:rPr>
      <w:i/>
      <w:iCs/>
      <w:color w:val="0F4761" w:themeColor="accent1" w:themeShade="BF"/>
    </w:rPr>
  </w:style>
  <w:style w:type="paragraph" w:styleId="IntenseQuote">
    <w:name w:val="Intense Quote"/>
    <w:basedOn w:val="Normal"/>
    <w:next w:val="Normal"/>
    <w:link w:val="IntenseQuoteChar"/>
    <w:uiPriority w:val="30"/>
    <w:qFormat/>
    <w:rsid w:val="00512D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D3A"/>
    <w:rPr>
      <w:i/>
      <w:iCs/>
      <w:color w:val="0F4761" w:themeColor="accent1" w:themeShade="BF"/>
    </w:rPr>
  </w:style>
  <w:style w:type="character" w:styleId="IntenseReference">
    <w:name w:val="Intense Reference"/>
    <w:basedOn w:val="DefaultParagraphFont"/>
    <w:uiPriority w:val="32"/>
    <w:qFormat/>
    <w:rsid w:val="00512D3A"/>
    <w:rPr>
      <w:b/>
      <w:bCs/>
      <w:smallCaps/>
      <w:color w:val="0F4761" w:themeColor="accent1" w:themeShade="BF"/>
      <w:spacing w:val="5"/>
    </w:rPr>
  </w:style>
  <w:style w:type="paragraph" w:styleId="FootnoteText">
    <w:name w:val="footnote text"/>
    <w:basedOn w:val="Normal"/>
    <w:link w:val="FootnoteTextChar"/>
    <w:uiPriority w:val="99"/>
    <w:unhideWhenUsed/>
    <w:rsid w:val="00E67937"/>
    <w:rPr>
      <w:sz w:val="20"/>
      <w:szCs w:val="20"/>
    </w:rPr>
  </w:style>
  <w:style w:type="character" w:customStyle="1" w:styleId="FootnoteTextChar">
    <w:name w:val="Footnote Text Char"/>
    <w:basedOn w:val="DefaultParagraphFont"/>
    <w:link w:val="FootnoteText"/>
    <w:uiPriority w:val="99"/>
    <w:rsid w:val="00E67937"/>
    <w:rPr>
      <w:sz w:val="20"/>
      <w:szCs w:val="20"/>
    </w:rPr>
  </w:style>
  <w:style w:type="character" w:styleId="FootnoteReference">
    <w:name w:val="footnote reference"/>
    <w:basedOn w:val="DefaultParagraphFont"/>
    <w:uiPriority w:val="99"/>
    <w:semiHidden/>
    <w:unhideWhenUsed/>
    <w:rsid w:val="00E67937"/>
    <w:rPr>
      <w:vertAlign w:val="superscript"/>
    </w:rPr>
  </w:style>
  <w:style w:type="character" w:styleId="Hyperlink">
    <w:name w:val="Hyperlink"/>
    <w:basedOn w:val="DefaultParagraphFont"/>
    <w:uiPriority w:val="99"/>
    <w:unhideWhenUsed/>
    <w:rsid w:val="00E41489"/>
    <w:rPr>
      <w:color w:val="467886" w:themeColor="hyperlink"/>
      <w:u w:val="single"/>
    </w:rPr>
  </w:style>
  <w:style w:type="character" w:styleId="UnresolvedMention">
    <w:name w:val="Unresolved Mention"/>
    <w:basedOn w:val="DefaultParagraphFont"/>
    <w:uiPriority w:val="99"/>
    <w:semiHidden/>
    <w:unhideWhenUsed/>
    <w:rsid w:val="00E41489"/>
    <w:rPr>
      <w:color w:val="605E5C"/>
      <w:shd w:val="clear" w:color="auto" w:fill="E1DFDD"/>
    </w:rPr>
  </w:style>
  <w:style w:type="paragraph" w:styleId="Caption">
    <w:name w:val="caption"/>
    <w:basedOn w:val="Normal"/>
    <w:next w:val="Normal"/>
    <w:uiPriority w:val="35"/>
    <w:unhideWhenUsed/>
    <w:qFormat/>
    <w:rsid w:val="00005E64"/>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reford.anglican.org/about-us/our-structure/bishops-palace-garden/medieval-celebrity-.php" TargetMode="External"/><Relationship Id="rId13" Type="http://schemas.openxmlformats.org/officeDocument/2006/relationships/hyperlink" Target="https://doi.org/10.1080/03044181.2015.1048977" TargetMode="External"/><Relationship Id="rId18" Type="http://schemas.openxmlformats.org/officeDocument/2006/relationships/hyperlink" Target="https://doi.org/10.1080/03044181.2018.152433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ra.ox.ac.uk/objects/uuid:10250a2b-2823-48d2-9e7f-9b33e79bdc38" TargetMode="External"/><Relationship Id="rId17" Type="http://schemas.openxmlformats.org/officeDocument/2006/relationships/hyperlink" Target="https://doi-org.ezproxy.uwtsd.ac.uk/10.1016/S0304-4181(01)00006-9" TargetMode="External"/><Relationship Id="rId2" Type="http://schemas.openxmlformats.org/officeDocument/2006/relationships/numbering" Target="numbering.xml"/><Relationship Id="rId16" Type="http://schemas.openxmlformats.org/officeDocument/2006/relationships/hyperlink" Target="https://doi.org/10.16922/SC.53.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1017/S0003581523000331" TargetMode="External"/><Relationship Id="rId10" Type="http://schemas.openxmlformats.org/officeDocument/2006/relationships/image" Target="media/image1.png"/><Relationship Id="rId19" Type="http://schemas.openxmlformats.org/officeDocument/2006/relationships/hyperlink" Target="http://dx.doi.org/10.2307/3679287" TargetMode="External"/><Relationship Id="rId4" Type="http://schemas.openxmlformats.org/officeDocument/2006/relationships/settings" Target="settings.xml"/><Relationship Id="rId9" Type="http://schemas.openxmlformats.org/officeDocument/2006/relationships/hyperlink" Target="https://www.hereford.anglican.org/about-us/our-structure/bishops-palace-garden/medieval-celebrity-.php" TargetMode="External"/><Relationship Id="rId14" Type="http://schemas.openxmlformats.org/officeDocument/2006/relationships/hyperlink" Target="https://doi.org/10.1111/1468-229X.1303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i.org/10.1111/1468-229X.13032" TargetMode="External"/><Relationship Id="rId2" Type="http://schemas.openxmlformats.org/officeDocument/2006/relationships/hyperlink" Target="http://dx.doi.org/10.2307/3679287" TargetMode="External"/><Relationship Id="rId1" Type="http://schemas.openxmlformats.org/officeDocument/2006/relationships/hyperlink" Target="https://ora.ox.ac.uk/objects/uuid:10250a2b-2823-48d2-9e7f-9b33e79bdc38" TargetMode="External"/><Relationship Id="rId6" Type="http://schemas.openxmlformats.org/officeDocument/2006/relationships/hyperlink" Target="https://doi.org/10.1017/S0003581523000331" TargetMode="External"/><Relationship Id="rId5" Type="http://schemas.openxmlformats.org/officeDocument/2006/relationships/hyperlink" Target="https://doi.org/10.16922/SC.53.6" TargetMode="External"/><Relationship Id="rId4" Type="http://schemas.openxmlformats.org/officeDocument/2006/relationships/hyperlink" Target="https://doi-org.ezproxy.uwtsd.ac.uk/10.1016/S0304-4181(01)0000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51D53-507A-2D41-8D9C-453CC1FBB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592</TotalTime>
  <Pages>5</Pages>
  <Words>1961</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Caradoc Ewing (2305893)</dc:creator>
  <cp:keywords/>
  <dc:description/>
  <cp:lastModifiedBy>Caradoc Ewing (2305893)</cp:lastModifiedBy>
  <cp:revision>1</cp:revision>
  <dcterms:created xsi:type="dcterms:W3CDTF">2024-10-31T19:38:00Z</dcterms:created>
  <dcterms:modified xsi:type="dcterms:W3CDTF">2024-11-03T22:59:00Z</dcterms:modified>
</cp:coreProperties>
</file>