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5" Type="http://schemas.microsoft.com/office/2020/02/relationships/classificationlabels" Target="docMetadata/LabelInfo.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E101129" w14:textId="77777777" w:rsidR="00487F99" w:rsidRDefault="002B0FCB">
      <w:pPr>
        <w:pStyle w:val="NormalWeb"/>
        <w:spacing w:before="0" w:after="0"/>
        <w:ind w:left="-180" w:right="-334"/>
      </w:pPr>
      <w:r>
        <w:rPr>
          <w:noProof/>
        </w:rPr>
        <w:drawing>
          <wp:inline distT="0" distB="0" distL="0" distR="0" wp14:anchorId="4BB2BA99" wp14:editId="22AD65B6">
            <wp:extent cx="977265" cy="52705"/>
            <wp:effectExtent l="0" t="0" r="0" b="0"/>
            <wp:docPr id="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pic:cNvPicPr>
                      <a:picLocks noChangeAspect="1" noChangeArrowheads="1"/>
                    </pic:cNvPicPr>
                  </pic:nvPicPr>
                  <pic:blipFill>
                    <a:blip r:embed="rId7"/>
                    <a:stretch>
                      <a:fillRect/>
                    </a:stretch>
                  </pic:blipFill>
                  <pic:spPr bwMode="auto">
                    <a:xfrm>
                      <a:off x="0" y="0"/>
                      <a:ext cx="977265" cy="52705"/>
                    </a:xfrm>
                    <a:prstGeom prst="rect">
                      <a:avLst/>
                    </a:prstGeom>
                    <a:ln w="19050">
                      <a:solidFill>
                        <a:srgbClr val="000000"/>
                      </a:solidFill>
                    </a:ln>
                  </pic:spPr>
                </pic:pic>
              </a:graphicData>
            </a:graphic>
          </wp:inline>
        </w:drawing>
      </w:r>
    </w:p>
    <w:p w14:paraId="196EFD35" w14:textId="77777777" w:rsidR="00487F99" w:rsidRDefault="00487F99">
      <w:pPr>
        <w:pStyle w:val="NormalWeb"/>
        <w:spacing w:before="0" w:after="0"/>
        <w:ind w:left="-180" w:right="-334"/>
      </w:pPr>
    </w:p>
    <w:p w14:paraId="51F48D48" w14:textId="77777777" w:rsidR="00487F99" w:rsidRDefault="00487F99">
      <w:pPr>
        <w:pStyle w:val="NormalWeb"/>
        <w:spacing w:before="0" w:after="0"/>
        <w:ind w:left="-180" w:right="-334"/>
      </w:pPr>
    </w:p>
    <w:p w14:paraId="2DDCD162" w14:textId="77777777" w:rsidR="00487F99" w:rsidRDefault="002B0FCB">
      <w:pPr>
        <w:pStyle w:val="NormalWeb"/>
        <w:spacing w:before="0" w:after="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0B59685C" w14:textId="77777777" w:rsidR="00487F99" w:rsidRDefault="002B0FCB">
      <w:pPr>
        <w:pStyle w:val="NormalWeb"/>
        <w:spacing w:before="0" w:after="0"/>
        <w:ind w:left="-180" w:right="-334"/>
        <w:jc w:val="center"/>
        <w:rPr>
          <w:rFonts w:ascii="Arial" w:hAnsi="Arial" w:cs="Arial"/>
          <w:b/>
          <w:sz w:val="28"/>
          <w:szCs w:val="28"/>
          <w:lang w:val="cy-GB"/>
        </w:rPr>
      </w:pPr>
      <w:r>
        <w:rPr>
          <w:rFonts w:ascii="Arial" w:hAnsi="Arial" w:cs="Arial"/>
          <w:b/>
          <w:sz w:val="28"/>
          <w:szCs w:val="28"/>
          <w:lang w:val="cy-GB"/>
        </w:rPr>
        <w:t>Assignment coversheet &amp; feedback form</w:t>
      </w:r>
    </w:p>
    <w:p w14:paraId="0005370A" w14:textId="77777777" w:rsidR="00487F99" w:rsidRDefault="00487F99">
      <w:pPr>
        <w:rPr>
          <w:rFonts w:ascii="Arial" w:hAnsi="Arial" w:cs="Arial"/>
          <w:b/>
          <w:sz w:val="28"/>
          <w:szCs w:val="28"/>
          <w:lang w:val="cy-GB"/>
        </w:rPr>
      </w:pPr>
    </w:p>
    <w:p w14:paraId="631D3526" w14:textId="77777777" w:rsidR="00487F99" w:rsidRDefault="002B0FCB">
      <w:pPr>
        <w:pStyle w:val="Heading3"/>
        <w:jc w:val="center"/>
        <w:rPr>
          <w:lang w:val="cy-GB"/>
        </w:rPr>
      </w:pPr>
      <w:r>
        <w:rPr>
          <w:lang w:val="cy-GB"/>
        </w:rPr>
        <w:t>THIS SHEET MUST BE THE FIRST PAGE OF THE ASSIGNMENT YOU ARE SUBMITTING  (DO NOT SEND AS A SEPARATE FILE)</w:t>
      </w:r>
    </w:p>
    <w:p w14:paraId="728CEDB0" w14:textId="77777777" w:rsidR="00487F99" w:rsidRDefault="00487F99">
      <w:pPr>
        <w:pStyle w:val="Heading3"/>
        <w:jc w:val="center"/>
        <w:rPr>
          <w:rFonts w:ascii="Trebuchet MS" w:hAnsi="Trebuchet MS" w:cs="Trebuchet MS"/>
          <w:lang w:val="cy-GB"/>
        </w:rPr>
      </w:pPr>
    </w:p>
    <w:tbl>
      <w:tblPr>
        <w:tblW w:w="9126" w:type="dxa"/>
        <w:tblInd w:w="-248" w:type="dxa"/>
        <w:tblLayout w:type="fixed"/>
        <w:tblLook w:val="04A0" w:firstRow="1" w:lastRow="0" w:firstColumn="1" w:lastColumn="0" w:noHBand="0" w:noVBand="1"/>
      </w:tblPr>
      <w:tblGrid>
        <w:gridCol w:w="4788"/>
        <w:gridCol w:w="422"/>
        <w:gridCol w:w="1556"/>
        <w:gridCol w:w="288"/>
        <w:gridCol w:w="2072"/>
      </w:tblGrid>
      <w:tr w:rsidR="00487F99" w14:paraId="1AF23D49" w14:textId="77777777">
        <w:trPr>
          <w:trHeight w:val="614"/>
        </w:trPr>
        <w:tc>
          <w:tcPr>
            <w:tcW w:w="9126" w:type="dxa"/>
            <w:gridSpan w:val="5"/>
            <w:tcBorders>
              <w:top w:val="single" w:sz="4" w:space="0" w:color="000000"/>
              <w:left w:val="single" w:sz="4" w:space="0" w:color="000000"/>
              <w:bottom w:val="single" w:sz="4" w:space="0" w:color="000000"/>
              <w:right w:val="single" w:sz="4" w:space="0" w:color="000000"/>
            </w:tcBorders>
          </w:tcPr>
          <w:p w14:paraId="23875C72" w14:textId="77777777" w:rsidR="00487F99" w:rsidRDefault="002B0FCB">
            <w:pPr>
              <w:pStyle w:val="NormalWeb"/>
              <w:widowControl w:val="0"/>
              <w:spacing w:before="0" w:after="0"/>
              <w:ind w:right="34"/>
            </w:pPr>
            <w:r>
              <w:rPr>
                <w:rFonts w:ascii="Arial" w:hAnsi="Arial" w:cs="Arial"/>
                <w:b/>
                <w:sz w:val="22"/>
                <w:szCs w:val="22"/>
              </w:rPr>
              <w:t>For completion by the student</w:t>
            </w:r>
            <w:r>
              <w:rPr>
                <w:rFonts w:ascii="Arial" w:hAnsi="Arial" w:cs="Arial"/>
                <w:sz w:val="22"/>
                <w:szCs w:val="22"/>
              </w:rPr>
              <w:t>:</w:t>
            </w:r>
          </w:p>
        </w:tc>
      </w:tr>
      <w:tr w:rsidR="00487F99" w14:paraId="6837722A" w14:textId="77777777">
        <w:trPr>
          <w:trHeight w:val="718"/>
        </w:trPr>
        <w:tc>
          <w:tcPr>
            <w:tcW w:w="9126" w:type="dxa"/>
            <w:gridSpan w:val="5"/>
            <w:tcBorders>
              <w:top w:val="single" w:sz="4" w:space="0" w:color="000000"/>
              <w:left w:val="single" w:sz="4" w:space="0" w:color="000000"/>
              <w:bottom w:val="single" w:sz="4" w:space="0" w:color="000000"/>
              <w:right w:val="single" w:sz="4" w:space="0" w:color="000000"/>
            </w:tcBorders>
          </w:tcPr>
          <w:p w14:paraId="5A25D204" w14:textId="77777777" w:rsidR="00487F99" w:rsidRDefault="002B0FCB">
            <w:pPr>
              <w:pStyle w:val="NormalWeb"/>
              <w:widowControl w:val="0"/>
              <w:spacing w:before="0" w:after="0"/>
              <w:ind w:right="34"/>
              <w:rPr>
                <w:rFonts w:ascii="Arial" w:hAnsi="Arial" w:cs="Arial"/>
                <w:sz w:val="22"/>
                <w:szCs w:val="22"/>
              </w:rPr>
            </w:pPr>
            <w:r>
              <w:rPr>
                <w:rFonts w:ascii="Arial" w:hAnsi="Arial" w:cs="Arial"/>
                <w:sz w:val="22"/>
                <w:szCs w:val="22"/>
              </w:rPr>
              <w:t>Student Name: Rebecca Booker</w:t>
            </w:r>
          </w:p>
          <w:p w14:paraId="77F6BBA4" w14:textId="77777777" w:rsidR="00487F99" w:rsidRDefault="00487F99">
            <w:pPr>
              <w:pStyle w:val="NormalWeb"/>
              <w:widowControl w:val="0"/>
              <w:spacing w:before="0" w:after="0"/>
              <w:ind w:right="34"/>
              <w:rPr>
                <w:rFonts w:ascii="Arial" w:hAnsi="Arial" w:cs="Arial"/>
                <w:sz w:val="22"/>
                <w:szCs w:val="22"/>
              </w:rPr>
            </w:pPr>
          </w:p>
          <w:p w14:paraId="4F897AC3" w14:textId="77777777" w:rsidR="00487F99" w:rsidRDefault="002B0FCB">
            <w:pPr>
              <w:pStyle w:val="NormalWeb"/>
              <w:widowControl w:val="0"/>
              <w:spacing w:before="0" w:after="0"/>
              <w:ind w:right="34"/>
            </w:pPr>
            <w:r>
              <w:rPr>
                <w:rFonts w:ascii="Arial" w:hAnsi="Arial" w:cs="Arial"/>
                <w:sz w:val="22"/>
                <w:szCs w:val="22"/>
              </w:rPr>
              <w:t xml:space="preserve">Student </w:t>
            </w:r>
            <w:r>
              <w:rPr>
                <w:rFonts w:ascii="Arial" w:hAnsi="Arial" w:cs="Arial"/>
                <w:b/>
                <w:bCs/>
                <w:sz w:val="22"/>
                <w:szCs w:val="22"/>
                <w:u w:val="single"/>
              </w:rPr>
              <w:t>University</w:t>
            </w:r>
            <w:r>
              <w:rPr>
                <w:rFonts w:ascii="Arial" w:hAnsi="Arial" w:cs="Arial"/>
                <w:sz w:val="22"/>
                <w:szCs w:val="22"/>
                <w:u w:val="single"/>
              </w:rPr>
              <w:t xml:space="preserve"> </w:t>
            </w:r>
            <w:r>
              <w:rPr>
                <w:rFonts w:ascii="Arial" w:hAnsi="Arial" w:cs="Arial"/>
                <w:sz w:val="22"/>
                <w:szCs w:val="22"/>
              </w:rPr>
              <w:t>Email: 2218810@uwtsd.ac.uk</w:t>
            </w:r>
          </w:p>
        </w:tc>
      </w:tr>
      <w:tr w:rsidR="00487F99" w14:paraId="695A352D" w14:textId="77777777">
        <w:trPr>
          <w:trHeight w:val="849"/>
        </w:trPr>
        <w:tc>
          <w:tcPr>
            <w:tcW w:w="4788" w:type="dxa"/>
            <w:tcBorders>
              <w:top w:val="single" w:sz="4" w:space="0" w:color="000000"/>
              <w:left w:val="single" w:sz="4" w:space="0" w:color="000000"/>
              <w:bottom w:val="single" w:sz="4" w:space="0" w:color="000000"/>
              <w:right w:val="single" w:sz="4" w:space="0" w:color="000000"/>
            </w:tcBorders>
          </w:tcPr>
          <w:p w14:paraId="3223A19B" w14:textId="77777777" w:rsidR="00487F99" w:rsidRDefault="002B0FCB">
            <w:pPr>
              <w:pStyle w:val="NormalWeb"/>
              <w:widowControl w:val="0"/>
              <w:spacing w:before="0" w:after="0"/>
              <w:ind w:right="34"/>
              <w:rPr>
                <w:rFonts w:ascii="Arial" w:hAnsi="Arial" w:cs="Arial"/>
                <w:sz w:val="22"/>
                <w:szCs w:val="22"/>
              </w:rPr>
            </w:pPr>
            <w:r>
              <w:rPr>
                <w:rFonts w:ascii="Arial" w:hAnsi="Arial" w:cs="Arial"/>
                <w:sz w:val="22"/>
                <w:szCs w:val="22"/>
              </w:rPr>
              <w:t>Module code: HPCA7014</w:t>
            </w:r>
          </w:p>
          <w:p w14:paraId="1BFB83D0" w14:textId="77777777" w:rsidR="00487F99" w:rsidRDefault="00487F99">
            <w:pPr>
              <w:pStyle w:val="NormalWeb"/>
              <w:widowControl w:val="0"/>
              <w:spacing w:before="0" w:after="0"/>
              <w:ind w:right="34"/>
              <w:rPr>
                <w:rFonts w:ascii="Arial" w:hAnsi="Arial" w:cs="Arial"/>
                <w:sz w:val="22"/>
                <w:szCs w:val="22"/>
              </w:rPr>
            </w:pPr>
          </w:p>
          <w:p w14:paraId="1AFC8780" w14:textId="77777777" w:rsidR="00487F99" w:rsidRDefault="002B0FCB">
            <w:pPr>
              <w:pStyle w:val="NormalWeb"/>
              <w:widowControl w:val="0"/>
              <w:spacing w:before="0" w:after="0"/>
              <w:ind w:right="34"/>
              <w:rPr>
                <w:rFonts w:ascii="Arial" w:hAnsi="Arial" w:cs="Arial"/>
                <w:sz w:val="22"/>
                <w:szCs w:val="22"/>
              </w:rPr>
            </w:pPr>
            <w:r>
              <w:rPr>
                <w:rFonts w:ascii="Arial" w:hAnsi="Arial" w:cs="Arial"/>
                <w:sz w:val="22"/>
                <w:szCs w:val="22"/>
              </w:rPr>
              <w:t xml:space="preserve">Module title: Sacred Geography </w:t>
            </w:r>
          </w:p>
          <w:p w14:paraId="64E6F12B" w14:textId="77777777" w:rsidR="00487F99" w:rsidRDefault="00487F99">
            <w:pPr>
              <w:pStyle w:val="NormalWeb"/>
              <w:widowControl w:val="0"/>
              <w:spacing w:before="0" w:after="0"/>
              <w:ind w:right="34"/>
              <w:rPr>
                <w:rFonts w:ascii="Arial" w:hAnsi="Arial" w:cs="Arial"/>
                <w:sz w:val="22"/>
                <w:szCs w:val="22"/>
              </w:rPr>
            </w:pPr>
          </w:p>
          <w:p w14:paraId="0ABEFD41" w14:textId="77777777" w:rsidR="00487F99" w:rsidRDefault="00487F99">
            <w:pPr>
              <w:pStyle w:val="NormalWeb"/>
              <w:widowControl w:val="0"/>
              <w:spacing w:before="0" w:after="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tcPr>
          <w:p w14:paraId="5C06590A" w14:textId="77777777" w:rsidR="00487F99" w:rsidRDefault="002B0FCB">
            <w:pPr>
              <w:pStyle w:val="NormalWeb"/>
              <w:widowControl w:val="0"/>
              <w:spacing w:before="0" w:after="0"/>
              <w:ind w:right="34"/>
              <w:rPr>
                <w:rFonts w:ascii="Arial" w:hAnsi="Arial" w:cs="Arial"/>
                <w:sz w:val="22"/>
                <w:szCs w:val="22"/>
              </w:rPr>
            </w:pPr>
            <w:r>
              <w:rPr>
                <w:rFonts w:ascii="Arial" w:hAnsi="Arial" w:cs="Arial"/>
                <w:sz w:val="22"/>
                <w:szCs w:val="22"/>
              </w:rPr>
              <w:t>Student ID number:</w:t>
            </w:r>
          </w:p>
          <w:p w14:paraId="7A92B7D6" w14:textId="77777777" w:rsidR="00487F99" w:rsidRDefault="002B0FCB">
            <w:pPr>
              <w:pStyle w:val="NormalWeb"/>
              <w:widowControl w:val="0"/>
              <w:spacing w:before="0" w:after="0"/>
              <w:ind w:right="34"/>
              <w:rPr>
                <w:rFonts w:ascii="Arial" w:hAnsi="Arial" w:cs="Arial"/>
                <w:sz w:val="22"/>
                <w:szCs w:val="22"/>
              </w:rPr>
            </w:pPr>
            <w:r>
              <w:rPr>
                <w:rFonts w:ascii="Arial" w:hAnsi="Arial" w:cs="Arial"/>
                <w:sz w:val="22"/>
                <w:szCs w:val="22"/>
              </w:rPr>
              <w:t>2218810</w:t>
            </w:r>
          </w:p>
        </w:tc>
        <w:tc>
          <w:tcPr>
            <w:tcW w:w="2072" w:type="dxa"/>
            <w:tcBorders>
              <w:top w:val="single" w:sz="4" w:space="0" w:color="000000"/>
              <w:left w:val="single" w:sz="4" w:space="0" w:color="000000"/>
              <w:bottom w:val="single" w:sz="4" w:space="0" w:color="000000"/>
              <w:right w:val="single" w:sz="4" w:space="0" w:color="000000"/>
            </w:tcBorders>
          </w:tcPr>
          <w:p w14:paraId="69A37976" w14:textId="77777777" w:rsidR="00487F99" w:rsidRDefault="002B0FCB">
            <w:pPr>
              <w:pStyle w:val="NormalWeb"/>
              <w:widowControl w:val="0"/>
              <w:spacing w:before="0" w:after="0"/>
              <w:ind w:right="34"/>
              <w:rPr>
                <w:rFonts w:ascii="Arial" w:hAnsi="Arial" w:cs="Arial"/>
                <w:sz w:val="22"/>
                <w:szCs w:val="22"/>
              </w:rPr>
            </w:pPr>
            <w:r>
              <w:rPr>
                <w:rFonts w:ascii="Arial" w:hAnsi="Arial" w:cs="Arial"/>
                <w:sz w:val="22"/>
                <w:szCs w:val="22"/>
              </w:rPr>
              <w:t>Educational support needs:</w:t>
            </w:r>
          </w:p>
          <w:p w14:paraId="3F779349" w14:textId="77777777" w:rsidR="00487F99" w:rsidRDefault="002B0FCB">
            <w:pPr>
              <w:pStyle w:val="NormalWeb"/>
              <w:widowControl w:val="0"/>
              <w:spacing w:before="0" w:after="0"/>
              <w:ind w:right="34"/>
              <w:rPr>
                <w:rFonts w:ascii="Arial" w:hAnsi="Arial" w:cs="Arial"/>
                <w:sz w:val="22"/>
                <w:szCs w:val="22"/>
              </w:rPr>
            </w:pPr>
            <w:r>
              <w:rPr>
                <w:rFonts w:ascii="Arial" w:hAnsi="Arial" w:cs="Arial"/>
                <w:sz w:val="22"/>
                <w:szCs w:val="22"/>
              </w:rPr>
              <w:t>No</w:t>
            </w:r>
          </w:p>
        </w:tc>
      </w:tr>
      <w:tr w:rsidR="00487F99" w14:paraId="77028B67" w14:textId="77777777">
        <w:trPr>
          <w:trHeight w:val="1139"/>
        </w:trPr>
        <w:tc>
          <w:tcPr>
            <w:tcW w:w="9126" w:type="dxa"/>
            <w:gridSpan w:val="5"/>
            <w:tcBorders>
              <w:top w:val="single" w:sz="4" w:space="0" w:color="000000"/>
              <w:left w:val="single" w:sz="4" w:space="0" w:color="000000"/>
              <w:bottom w:val="single" w:sz="4" w:space="0" w:color="000000"/>
              <w:right w:val="single" w:sz="4" w:space="0" w:color="000000"/>
            </w:tcBorders>
          </w:tcPr>
          <w:p w14:paraId="44B70180" w14:textId="77777777" w:rsidR="00487F99" w:rsidRDefault="002B0FCB">
            <w:pPr>
              <w:pStyle w:val="NormalWeb"/>
              <w:widowControl w:val="0"/>
              <w:spacing w:before="0" w:after="0"/>
              <w:ind w:right="34"/>
              <w:rPr>
                <w:rFonts w:ascii="Arial" w:hAnsi="Arial" w:cs="Arial"/>
                <w:sz w:val="22"/>
                <w:szCs w:val="22"/>
              </w:rPr>
            </w:pPr>
            <w:r>
              <w:rPr>
                <w:rFonts w:ascii="Arial" w:hAnsi="Arial" w:cs="Arial"/>
                <w:sz w:val="22"/>
                <w:szCs w:val="22"/>
              </w:rPr>
              <w:t>Assignment title: Essay Based on a supervised research project.</w:t>
            </w:r>
          </w:p>
          <w:p w14:paraId="3BC15288" w14:textId="77777777" w:rsidR="00487F99" w:rsidRDefault="00487F99">
            <w:pPr>
              <w:pStyle w:val="NormalWeb"/>
              <w:widowControl w:val="0"/>
              <w:spacing w:before="0" w:after="0"/>
              <w:ind w:right="34"/>
              <w:rPr>
                <w:rFonts w:ascii="Arial" w:hAnsi="Arial" w:cs="Arial"/>
                <w:sz w:val="22"/>
                <w:szCs w:val="22"/>
              </w:rPr>
            </w:pPr>
          </w:p>
          <w:p w14:paraId="02880CBE" w14:textId="77777777" w:rsidR="00487F99" w:rsidRDefault="00487F99">
            <w:pPr>
              <w:pStyle w:val="NormalWeb"/>
              <w:widowControl w:val="0"/>
              <w:spacing w:before="0" w:after="0"/>
              <w:ind w:right="34"/>
              <w:rPr>
                <w:rFonts w:ascii="Arial" w:hAnsi="Arial" w:cs="Arial"/>
                <w:sz w:val="22"/>
                <w:szCs w:val="22"/>
              </w:rPr>
            </w:pPr>
          </w:p>
          <w:p w14:paraId="385D86A0" w14:textId="77777777" w:rsidR="00487F99" w:rsidRDefault="002B0FCB">
            <w:pPr>
              <w:pStyle w:val="NormalWeb"/>
              <w:widowControl w:val="0"/>
              <w:spacing w:before="0" w:after="0"/>
              <w:ind w:right="34"/>
            </w:pPr>
            <w:r>
              <w:rPr>
                <w:rFonts w:ascii="Arial" w:hAnsi="Arial" w:cs="Arial"/>
                <w:sz w:val="22"/>
                <w:szCs w:val="22"/>
              </w:rPr>
              <w:t>Assignment due date: 4</w:t>
            </w:r>
            <w:r>
              <w:rPr>
                <w:rFonts w:ascii="Arial" w:hAnsi="Arial" w:cs="Arial"/>
                <w:sz w:val="22"/>
                <w:szCs w:val="22"/>
                <w:vertAlign w:val="superscript"/>
              </w:rPr>
              <w:t>th</w:t>
            </w:r>
            <w:r>
              <w:rPr>
                <w:rFonts w:ascii="Arial" w:hAnsi="Arial" w:cs="Arial"/>
                <w:sz w:val="22"/>
                <w:szCs w:val="22"/>
              </w:rPr>
              <w:t xml:space="preserve"> January 2024</w:t>
            </w:r>
          </w:p>
        </w:tc>
      </w:tr>
      <w:tr w:rsidR="00487F99" w14:paraId="35238967" w14:textId="77777777">
        <w:trPr>
          <w:trHeight w:val="978"/>
        </w:trPr>
        <w:tc>
          <w:tcPr>
            <w:tcW w:w="9126" w:type="dxa"/>
            <w:gridSpan w:val="5"/>
            <w:tcBorders>
              <w:top w:val="single" w:sz="4" w:space="0" w:color="000000"/>
              <w:left w:val="single" w:sz="4" w:space="0" w:color="000000"/>
              <w:bottom w:val="single" w:sz="4" w:space="0" w:color="000000"/>
              <w:right w:val="single" w:sz="4" w:space="0" w:color="000000"/>
            </w:tcBorders>
          </w:tcPr>
          <w:p w14:paraId="37AAF91C" w14:textId="77777777" w:rsidR="00487F99" w:rsidRDefault="002B0FCB">
            <w:pPr>
              <w:widowControl w:val="0"/>
            </w:pPr>
            <w:r>
              <w:rPr>
                <w:rFonts w:ascii="Arial" w:hAnsi="Arial" w:cs="Arial"/>
                <w:sz w:val="22"/>
                <w:szCs w:val="22"/>
              </w:rPr>
              <w:t>This assignment is for the       1</w:t>
            </w:r>
            <w:r>
              <w:rPr>
                <w:rFonts w:ascii="Arial" w:hAnsi="Arial" w:cs="Arial"/>
                <w:sz w:val="22"/>
                <w:szCs w:val="22"/>
                <w:vertAlign w:val="superscript"/>
              </w:rPr>
              <w:t xml:space="preserve">st </w:t>
            </w:r>
            <w:r>
              <w:fldChar w:fldCharType="begin">
                <w:ffData>
                  <w:name w:val=""/>
                  <w:enabled/>
                  <w:calcOnExit w:val="0"/>
                  <w:checkBox>
                    <w:sizeAuto/>
                    <w:default w:val="0"/>
                    <w:checked/>
                  </w:checkBox>
                </w:ffData>
              </w:fldChar>
            </w:r>
            <w:r>
              <w:rPr>
                <w:rFonts w:ascii="Arial" w:hAnsi="Arial" w:cs="Arial"/>
                <w:sz w:val="22"/>
                <w:szCs w:val="22"/>
                <w:vertAlign w:val="superscript"/>
              </w:rPr>
              <w:instrText>FORMCHECKBOX</w:instrText>
            </w:r>
            <w:r w:rsidR="00C32955">
              <w:rPr>
                <w:rFonts w:ascii="Arial" w:hAnsi="Arial" w:cs="Arial"/>
                <w:sz w:val="22"/>
                <w:szCs w:val="22"/>
                <w:vertAlign w:val="superscript"/>
              </w:rPr>
            </w:r>
            <w:r w:rsidR="00C32955">
              <w:rPr>
                <w:rFonts w:ascii="Arial" w:hAnsi="Arial" w:cs="Arial"/>
                <w:sz w:val="22"/>
                <w:szCs w:val="22"/>
                <w:vertAlign w:val="superscript"/>
              </w:rPr>
              <w:fldChar w:fldCharType="separate"/>
            </w:r>
            <w:bookmarkStart w:id="0" w:name="__Fieldmark__24_2941244363"/>
            <w:bookmarkEnd w:id="0"/>
            <w:r>
              <w:rPr>
                <w:rFonts w:ascii="Arial" w:hAnsi="Arial" w:cs="Arial"/>
                <w:sz w:val="22"/>
                <w:szCs w:val="22"/>
                <w:vertAlign w:val="superscript"/>
              </w:rPr>
              <w:fldChar w:fldCharType="end"/>
            </w:r>
            <w:bookmarkStart w:id="1" w:name="__Fieldmark__24_1642111471"/>
            <w:bookmarkStart w:id="2" w:name="__Fieldmark__24_1880365048"/>
            <w:bookmarkStart w:id="3" w:name="__Fieldmark__0_3571570668"/>
            <w:bookmarkStart w:id="4" w:name="__Fieldmark__24_333801430"/>
            <w:bookmarkStart w:id="5" w:name="__Fieldmark__24_1057186077"/>
            <w:bookmarkEnd w:id="1"/>
            <w:bookmarkEnd w:id="2"/>
            <w:bookmarkEnd w:id="3"/>
            <w:bookmarkEnd w:id="4"/>
            <w:bookmarkEnd w:id="5"/>
            <w:r>
              <w:rPr>
                <w:rFonts w:ascii="Arial" w:hAnsi="Arial" w:cs="Arial"/>
                <w:sz w:val="22"/>
                <w:szCs w:val="22"/>
              </w:rPr>
              <w:t xml:space="preserve">    2</w:t>
            </w:r>
            <w:r>
              <w:rPr>
                <w:rFonts w:ascii="Arial" w:hAnsi="Arial" w:cs="Arial"/>
                <w:sz w:val="22"/>
                <w:szCs w:val="22"/>
                <w:vertAlign w:val="superscript"/>
              </w:rPr>
              <w:t>nd</w:t>
            </w:r>
            <w:r>
              <w:rPr>
                <w:rFonts w:ascii="Arial" w:hAnsi="Arial" w:cs="Arial"/>
                <w:sz w:val="22"/>
                <w:szCs w:val="22"/>
              </w:rPr>
              <w:t xml:space="preserve">  </w:t>
            </w:r>
            <w:r>
              <w:fldChar w:fldCharType="begin">
                <w:ffData>
                  <w:name w:val=""/>
                  <w:enabled/>
                  <w:calcOnExit w:val="0"/>
                  <w:checkBox>
                    <w:sizeAuto/>
                    <w:default w:val="0"/>
                  </w:checkBox>
                </w:ffData>
              </w:fldChar>
            </w:r>
            <w:r>
              <w:rPr>
                <w:rFonts w:ascii="Arial" w:hAnsi="Arial" w:cs="Arial"/>
                <w:sz w:val="22"/>
                <w:szCs w:val="22"/>
              </w:rPr>
              <w:instrText>FORMCHECKBOX</w:instrText>
            </w:r>
            <w:r w:rsidR="00C32955">
              <w:rPr>
                <w:rFonts w:ascii="Arial" w:hAnsi="Arial" w:cs="Arial"/>
                <w:sz w:val="22"/>
                <w:szCs w:val="22"/>
              </w:rPr>
            </w:r>
            <w:r w:rsidR="00C32955">
              <w:rPr>
                <w:rFonts w:ascii="Arial" w:hAnsi="Arial" w:cs="Arial"/>
                <w:sz w:val="22"/>
                <w:szCs w:val="22"/>
              </w:rPr>
              <w:fldChar w:fldCharType="separate"/>
            </w:r>
            <w:bookmarkStart w:id="6" w:name="__Fieldmark__45_2941244363"/>
            <w:bookmarkEnd w:id="6"/>
            <w:r>
              <w:rPr>
                <w:rFonts w:ascii="Arial" w:hAnsi="Arial" w:cs="Arial"/>
                <w:sz w:val="22"/>
                <w:szCs w:val="22"/>
              </w:rPr>
              <w:fldChar w:fldCharType="end"/>
            </w:r>
            <w:bookmarkStart w:id="7" w:name="__Fieldmark__39_1642111471"/>
            <w:bookmarkStart w:id="8" w:name="__Fieldmark__32_1880365048"/>
            <w:bookmarkStart w:id="9" w:name="__Fieldmark__1_3571570668"/>
            <w:bookmarkStart w:id="10" w:name="__Fieldmark__36_333801430"/>
            <w:bookmarkStart w:id="11" w:name="__Fieldmark__42_1057186077"/>
            <w:bookmarkEnd w:id="7"/>
            <w:bookmarkEnd w:id="8"/>
            <w:bookmarkEnd w:id="9"/>
            <w:bookmarkEnd w:id="10"/>
            <w:bookmarkEnd w:id="11"/>
            <w:r>
              <w:rPr>
                <w:rFonts w:ascii="Arial" w:hAnsi="Arial" w:cs="Arial"/>
                <w:sz w:val="22"/>
                <w:szCs w:val="22"/>
              </w:rPr>
              <w:t xml:space="preserve">     3</w:t>
            </w:r>
            <w:r>
              <w:rPr>
                <w:rFonts w:ascii="Arial" w:hAnsi="Arial" w:cs="Arial"/>
                <w:sz w:val="22"/>
                <w:szCs w:val="22"/>
                <w:vertAlign w:val="superscript"/>
              </w:rPr>
              <w:t>rd</w:t>
            </w:r>
            <w:r>
              <w:rPr>
                <w:rFonts w:ascii="Arial" w:hAnsi="Arial" w:cs="Arial"/>
                <w:sz w:val="22"/>
                <w:szCs w:val="22"/>
              </w:rPr>
              <w:t xml:space="preserve">  </w:t>
            </w:r>
            <w:r>
              <w:fldChar w:fldCharType="begin">
                <w:ffData>
                  <w:name w:val=""/>
                  <w:enabled/>
                  <w:calcOnExit w:val="0"/>
                  <w:checkBox>
                    <w:sizeAuto/>
                    <w:default w:val="0"/>
                  </w:checkBox>
                </w:ffData>
              </w:fldChar>
            </w:r>
            <w:r>
              <w:rPr>
                <w:rFonts w:ascii="Arial" w:hAnsi="Arial" w:cs="Arial"/>
                <w:sz w:val="22"/>
                <w:szCs w:val="22"/>
              </w:rPr>
              <w:instrText>FORMCHECKBOX</w:instrText>
            </w:r>
            <w:r w:rsidR="00C32955">
              <w:rPr>
                <w:rFonts w:ascii="Arial" w:hAnsi="Arial" w:cs="Arial"/>
                <w:sz w:val="22"/>
                <w:szCs w:val="22"/>
              </w:rPr>
            </w:r>
            <w:r w:rsidR="00C32955">
              <w:rPr>
                <w:rFonts w:ascii="Arial" w:hAnsi="Arial" w:cs="Arial"/>
                <w:sz w:val="22"/>
                <w:szCs w:val="22"/>
              </w:rPr>
              <w:fldChar w:fldCharType="separate"/>
            </w:r>
            <w:bookmarkStart w:id="12" w:name="__Fieldmark__66_2941244363"/>
            <w:bookmarkEnd w:id="12"/>
            <w:r>
              <w:rPr>
                <w:rFonts w:ascii="Arial" w:hAnsi="Arial" w:cs="Arial"/>
                <w:sz w:val="22"/>
                <w:szCs w:val="22"/>
              </w:rPr>
              <w:fldChar w:fldCharType="end"/>
            </w:r>
            <w:bookmarkStart w:id="13" w:name="__Fieldmark__54_1642111471"/>
            <w:bookmarkStart w:id="14" w:name="__Fieldmark__40_1880365048"/>
            <w:bookmarkStart w:id="15" w:name="__Fieldmark__2_3571570668"/>
            <w:bookmarkStart w:id="16" w:name="__Fieldmark__48_333801430"/>
            <w:bookmarkStart w:id="17" w:name="__Fieldmark__60_1057186077"/>
            <w:bookmarkEnd w:id="13"/>
            <w:bookmarkEnd w:id="14"/>
            <w:bookmarkEnd w:id="15"/>
            <w:bookmarkEnd w:id="16"/>
            <w:bookmarkEnd w:id="17"/>
            <w:r>
              <w:rPr>
                <w:rFonts w:ascii="Arial" w:hAnsi="Arial" w:cs="Arial"/>
                <w:sz w:val="22"/>
                <w:szCs w:val="22"/>
              </w:rPr>
              <w:t xml:space="preserve">      4</w:t>
            </w:r>
            <w:r>
              <w:rPr>
                <w:rFonts w:ascii="Arial" w:hAnsi="Arial" w:cs="Arial"/>
                <w:sz w:val="22"/>
                <w:szCs w:val="22"/>
                <w:vertAlign w:val="superscript"/>
              </w:rPr>
              <w:t>th</w:t>
            </w:r>
            <w:r>
              <w:rPr>
                <w:rFonts w:ascii="Arial" w:hAnsi="Arial" w:cs="Arial"/>
                <w:sz w:val="22"/>
                <w:szCs w:val="22"/>
              </w:rPr>
              <w:t xml:space="preserve"> </w:t>
            </w:r>
            <w:r>
              <w:fldChar w:fldCharType="begin">
                <w:ffData>
                  <w:name w:val=""/>
                  <w:enabled/>
                  <w:calcOnExit w:val="0"/>
                  <w:checkBox>
                    <w:sizeAuto/>
                    <w:default w:val="0"/>
                  </w:checkBox>
                </w:ffData>
              </w:fldChar>
            </w:r>
            <w:r>
              <w:rPr>
                <w:rFonts w:ascii="Arial" w:hAnsi="Arial" w:cs="Arial"/>
                <w:sz w:val="22"/>
                <w:szCs w:val="22"/>
              </w:rPr>
              <w:instrText>FORMCHECKBOX</w:instrText>
            </w:r>
            <w:r w:rsidR="00C32955">
              <w:rPr>
                <w:rFonts w:ascii="Arial" w:hAnsi="Arial" w:cs="Arial"/>
                <w:sz w:val="22"/>
                <w:szCs w:val="22"/>
              </w:rPr>
            </w:r>
            <w:r w:rsidR="00C32955">
              <w:rPr>
                <w:rFonts w:ascii="Arial" w:hAnsi="Arial" w:cs="Arial"/>
                <w:sz w:val="22"/>
                <w:szCs w:val="22"/>
              </w:rPr>
              <w:fldChar w:fldCharType="separate"/>
            </w:r>
            <w:bookmarkStart w:id="18" w:name="__Fieldmark__87_2941244363"/>
            <w:bookmarkEnd w:id="18"/>
            <w:r>
              <w:rPr>
                <w:rFonts w:ascii="Arial" w:hAnsi="Arial" w:cs="Arial"/>
                <w:sz w:val="22"/>
                <w:szCs w:val="22"/>
              </w:rPr>
              <w:fldChar w:fldCharType="end"/>
            </w:r>
            <w:bookmarkStart w:id="19" w:name="__Fieldmark__69_1642111471"/>
            <w:bookmarkStart w:id="20" w:name="__Fieldmark__48_1880365048"/>
            <w:bookmarkStart w:id="21" w:name="__Fieldmark__3_3571570668"/>
            <w:bookmarkStart w:id="22" w:name="__Fieldmark__60_333801430"/>
            <w:bookmarkStart w:id="23" w:name="__Fieldmark__78_1057186077"/>
            <w:bookmarkEnd w:id="19"/>
            <w:bookmarkEnd w:id="20"/>
            <w:bookmarkEnd w:id="21"/>
            <w:bookmarkEnd w:id="22"/>
            <w:bookmarkEnd w:id="23"/>
            <w:r>
              <w:rPr>
                <w:rFonts w:ascii="Arial" w:hAnsi="Arial" w:cs="Arial"/>
                <w:sz w:val="22"/>
                <w:szCs w:val="22"/>
              </w:rPr>
              <w:t xml:space="preserve">      5</w:t>
            </w:r>
            <w:r>
              <w:rPr>
                <w:rFonts w:ascii="Arial" w:hAnsi="Arial" w:cs="Arial"/>
                <w:sz w:val="22"/>
                <w:szCs w:val="22"/>
                <w:vertAlign w:val="superscript"/>
              </w:rPr>
              <w:t>th</w:t>
            </w:r>
            <w:r>
              <w:rPr>
                <w:rFonts w:ascii="Arial" w:hAnsi="Arial" w:cs="Arial"/>
                <w:sz w:val="22"/>
                <w:szCs w:val="22"/>
              </w:rPr>
              <w:t xml:space="preserve"> </w:t>
            </w:r>
            <w:r>
              <w:fldChar w:fldCharType="begin">
                <w:ffData>
                  <w:name w:val=""/>
                  <w:enabled/>
                  <w:calcOnExit w:val="0"/>
                  <w:checkBox>
                    <w:sizeAuto/>
                    <w:default w:val="0"/>
                  </w:checkBox>
                </w:ffData>
              </w:fldChar>
            </w:r>
            <w:r>
              <w:rPr>
                <w:rFonts w:ascii="Arial" w:hAnsi="Arial" w:cs="Arial"/>
                <w:sz w:val="22"/>
                <w:szCs w:val="22"/>
              </w:rPr>
              <w:instrText>FORMCHECKBOX</w:instrText>
            </w:r>
            <w:r w:rsidR="00C32955">
              <w:rPr>
                <w:rFonts w:ascii="Arial" w:hAnsi="Arial" w:cs="Arial"/>
                <w:sz w:val="22"/>
                <w:szCs w:val="22"/>
              </w:rPr>
            </w:r>
            <w:r w:rsidR="00C32955">
              <w:rPr>
                <w:rFonts w:ascii="Arial" w:hAnsi="Arial" w:cs="Arial"/>
                <w:sz w:val="22"/>
                <w:szCs w:val="22"/>
              </w:rPr>
              <w:fldChar w:fldCharType="separate"/>
            </w:r>
            <w:bookmarkStart w:id="24" w:name="__Fieldmark__108_2941244363"/>
            <w:bookmarkEnd w:id="24"/>
            <w:r>
              <w:rPr>
                <w:rFonts w:ascii="Arial" w:hAnsi="Arial" w:cs="Arial"/>
                <w:sz w:val="22"/>
                <w:szCs w:val="22"/>
              </w:rPr>
              <w:fldChar w:fldCharType="end"/>
            </w:r>
            <w:bookmarkStart w:id="25" w:name="__Fieldmark__84_1642111471"/>
            <w:bookmarkStart w:id="26" w:name="__Fieldmark__56_1880365048"/>
            <w:bookmarkStart w:id="27" w:name="__Fieldmark__4_3571570668"/>
            <w:bookmarkStart w:id="28" w:name="__Fieldmark__72_333801430"/>
            <w:bookmarkStart w:id="29" w:name="__Fieldmark__96_1057186077"/>
            <w:bookmarkEnd w:id="25"/>
            <w:bookmarkEnd w:id="26"/>
            <w:bookmarkEnd w:id="27"/>
            <w:bookmarkEnd w:id="28"/>
            <w:bookmarkEnd w:id="29"/>
            <w:r>
              <w:rPr>
                <w:rFonts w:ascii="Arial" w:hAnsi="Arial" w:cs="Arial"/>
                <w:sz w:val="22"/>
                <w:szCs w:val="22"/>
              </w:rPr>
              <w:t xml:space="preserve">      6</w:t>
            </w:r>
            <w:r>
              <w:rPr>
                <w:rFonts w:ascii="Arial" w:hAnsi="Arial" w:cs="Arial"/>
                <w:sz w:val="22"/>
                <w:szCs w:val="22"/>
                <w:vertAlign w:val="superscript"/>
              </w:rPr>
              <w:t>th</w:t>
            </w:r>
            <w:r>
              <w:rPr>
                <w:rFonts w:ascii="Arial" w:hAnsi="Arial" w:cs="Arial"/>
                <w:sz w:val="22"/>
                <w:szCs w:val="22"/>
              </w:rPr>
              <w:t xml:space="preserve"> </w:t>
            </w:r>
            <w:r>
              <w:fldChar w:fldCharType="begin">
                <w:ffData>
                  <w:name w:val=""/>
                  <w:enabled/>
                  <w:calcOnExit w:val="0"/>
                  <w:checkBox>
                    <w:sizeAuto/>
                    <w:default w:val="0"/>
                  </w:checkBox>
                </w:ffData>
              </w:fldChar>
            </w:r>
            <w:r>
              <w:rPr>
                <w:rFonts w:ascii="Arial" w:hAnsi="Arial" w:cs="Arial"/>
                <w:sz w:val="22"/>
                <w:szCs w:val="22"/>
              </w:rPr>
              <w:instrText>FORMCHECKBOX</w:instrText>
            </w:r>
            <w:r w:rsidR="00C32955">
              <w:rPr>
                <w:rFonts w:ascii="Arial" w:hAnsi="Arial" w:cs="Arial"/>
                <w:sz w:val="22"/>
                <w:szCs w:val="22"/>
              </w:rPr>
            </w:r>
            <w:r w:rsidR="00C32955">
              <w:rPr>
                <w:rFonts w:ascii="Arial" w:hAnsi="Arial" w:cs="Arial"/>
                <w:sz w:val="22"/>
                <w:szCs w:val="22"/>
              </w:rPr>
              <w:fldChar w:fldCharType="separate"/>
            </w:r>
            <w:bookmarkStart w:id="30" w:name="__Fieldmark__129_2941244363"/>
            <w:bookmarkEnd w:id="30"/>
            <w:r>
              <w:rPr>
                <w:rFonts w:ascii="Arial" w:hAnsi="Arial" w:cs="Arial"/>
                <w:sz w:val="22"/>
                <w:szCs w:val="22"/>
              </w:rPr>
              <w:fldChar w:fldCharType="end"/>
            </w:r>
            <w:bookmarkStart w:id="31" w:name="__Fieldmark__99_1642111471"/>
            <w:bookmarkStart w:id="32" w:name="__Fieldmark__64_1880365048"/>
            <w:bookmarkStart w:id="33" w:name="__Fieldmark__5_3571570668"/>
            <w:bookmarkStart w:id="34" w:name="__Fieldmark__84_333801430"/>
            <w:bookmarkStart w:id="35" w:name="__Fieldmark__114_1057186077"/>
            <w:bookmarkEnd w:id="31"/>
            <w:bookmarkEnd w:id="32"/>
            <w:bookmarkEnd w:id="33"/>
            <w:bookmarkEnd w:id="34"/>
            <w:bookmarkEnd w:id="35"/>
            <w:r>
              <w:rPr>
                <w:rFonts w:ascii="Arial" w:hAnsi="Arial" w:cs="Arial"/>
                <w:b/>
                <w:sz w:val="22"/>
                <w:szCs w:val="22"/>
              </w:rPr>
              <w:t xml:space="preserve">   </w:t>
            </w:r>
            <w:r>
              <w:rPr>
                <w:rFonts w:ascii="Arial" w:hAnsi="Arial" w:cs="Arial"/>
                <w:sz w:val="22"/>
                <w:szCs w:val="22"/>
              </w:rPr>
              <w:t>module of the degree</w:t>
            </w:r>
          </w:p>
        </w:tc>
      </w:tr>
      <w:tr w:rsidR="00487F99" w14:paraId="41BFDE4E" w14:textId="77777777">
        <w:trPr>
          <w:trHeight w:val="978"/>
        </w:trPr>
        <w:tc>
          <w:tcPr>
            <w:tcW w:w="9126" w:type="dxa"/>
            <w:gridSpan w:val="5"/>
            <w:tcBorders>
              <w:top w:val="single" w:sz="4" w:space="0" w:color="000000"/>
              <w:left w:val="single" w:sz="4" w:space="0" w:color="000000"/>
              <w:bottom w:val="single" w:sz="4" w:space="0" w:color="000000"/>
              <w:right w:val="single" w:sz="4" w:space="0" w:color="000000"/>
            </w:tcBorders>
            <w:shd w:val="clear" w:color="auto" w:fill="D9D9D9"/>
          </w:tcPr>
          <w:p w14:paraId="2F5B1347" w14:textId="77777777" w:rsidR="00487F99" w:rsidRDefault="002B0FCB">
            <w:pPr>
              <w:pStyle w:val="NormalWeb"/>
              <w:widowControl w:val="0"/>
              <w:spacing w:before="0" w:after="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53FF62FC" w14:textId="77777777" w:rsidR="00487F99" w:rsidRDefault="002B0FCB">
            <w:pPr>
              <w:pStyle w:val="NormalWeb"/>
              <w:widowControl w:val="0"/>
              <w:spacing w:before="0" w:after="0"/>
              <w:ind w:right="34"/>
              <w:rPr>
                <w:rFonts w:ascii="Arial" w:hAnsi="Arial" w:cs="Arial"/>
                <w:sz w:val="22"/>
                <w:szCs w:val="22"/>
              </w:rPr>
            </w:pPr>
            <w:r>
              <w:rPr>
                <w:rFonts w:ascii="Arial" w:hAnsi="Arial" w:cs="Arial"/>
                <w:sz w:val="22"/>
                <w:szCs w:val="22"/>
              </w:rPr>
              <w:t>Signed …………………R.P.Booker…………………………………………</w:t>
            </w:r>
          </w:p>
          <w:p w14:paraId="07852F5F" w14:textId="77777777" w:rsidR="00487F99" w:rsidRDefault="002B0FCB">
            <w:pPr>
              <w:pStyle w:val="NormalWeb"/>
              <w:widowControl w:val="0"/>
              <w:spacing w:before="0" w:after="0"/>
              <w:ind w:right="34"/>
            </w:pPr>
            <w:r>
              <w:rPr>
                <w:rFonts w:ascii="Calibri" w:hAnsi="Calibri" w:cs="Calibri"/>
                <w:b/>
                <w:sz w:val="24"/>
                <w:szCs w:val="24"/>
              </w:rPr>
              <w:t xml:space="preserve">Email submission: if you are submitting this form via email, please tick this box </w:t>
            </w:r>
            <w:r>
              <w:rPr>
                <w:rFonts w:ascii="Calibri" w:hAnsi="Calibri" w:cs="Calibri"/>
                <w:b/>
                <w:sz w:val="44"/>
                <w:szCs w:val="44"/>
              </w:rPr>
              <w:t>□</w:t>
            </w:r>
          </w:p>
          <w:p w14:paraId="1B77107A" w14:textId="77777777" w:rsidR="00487F99" w:rsidRDefault="002B0FCB">
            <w:pPr>
              <w:pStyle w:val="NormalWeb"/>
              <w:widowControl w:val="0"/>
              <w:spacing w:before="0" w:after="0"/>
              <w:ind w:right="34"/>
              <w:rPr>
                <w:rFonts w:ascii="Calibri" w:hAnsi="Calibri" w:cs="Calibri"/>
                <w:b/>
                <w:sz w:val="24"/>
                <w:szCs w:val="24"/>
              </w:rPr>
            </w:pPr>
            <w:r>
              <w:rPr>
                <w:rFonts w:ascii="Calibri" w:hAnsi="Calibri" w:cs="Calibri"/>
                <w:b/>
                <w:sz w:val="24"/>
                <w:szCs w:val="24"/>
              </w:rPr>
              <w:t>(as a substitute for your signature) to confirm that you agree to the above declaration.</w:t>
            </w:r>
          </w:p>
        </w:tc>
      </w:tr>
      <w:tr w:rsidR="00487F99" w14:paraId="27C0F3FE" w14:textId="77777777">
        <w:trPr>
          <w:trHeight w:val="3972"/>
        </w:trPr>
        <w:tc>
          <w:tcPr>
            <w:tcW w:w="9126" w:type="dxa"/>
            <w:gridSpan w:val="5"/>
            <w:tcBorders>
              <w:top w:val="single" w:sz="4" w:space="0" w:color="000000"/>
              <w:left w:val="single" w:sz="4" w:space="0" w:color="000000"/>
              <w:bottom w:val="single" w:sz="4" w:space="0" w:color="000000"/>
              <w:right w:val="single" w:sz="4" w:space="0" w:color="000000"/>
            </w:tcBorders>
          </w:tcPr>
          <w:p w14:paraId="78C022D6" w14:textId="77777777" w:rsidR="00487F99" w:rsidRDefault="00487F99">
            <w:pPr>
              <w:widowControl w:val="0"/>
              <w:snapToGrid w:val="0"/>
              <w:rPr>
                <w:rFonts w:ascii="Arial" w:hAnsi="Arial" w:cs="Arial"/>
                <w:b/>
                <w:sz w:val="22"/>
                <w:szCs w:val="22"/>
              </w:rPr>
            </w:pPr>
          </w:p>
          <w:p w14:paraId="7E055709" w14:textId="77777777" w:rsidR="00487F99" w:rsidRDefault="002B0FCB">
            <w:pPr>
              <w:widowControl w:val="0"/>
              <w:rPr>
                <w:rFonts w:ascii="Arial" w:hAnsi="Arial" w:cs="Arial"/>
                <w:b/>
              </w:rPr>
            </w:pPr>
            <w:r>
              <w:rPr>
                <w:rFonts w:ascii="Arial" w:hAnsi="Arial" w:cs="Arial"/>
                <w:b/>
              </w:rPr>
              <w:t>Assignment Mark</w:t>
            </w:r>
          </w:p>
          <w:tbl>
            <w:tblPr>
              <w:tblW w:w="8900" w:type="dxa"/>
              <w:tblLayout w:type="fixed"/>
              <w:tblLook w:val="04A0" w:firstRow="1" w:lastRow="0" w:firstColumn="1" w:lastColumn="0" w:noHBand="0" w:noVBand="1"/>
            </w:tblPr>
            <w:tblGrid>
              <w:gridCol w:w="6970"/>
              <w:gridCol w:w="1930"/>
            </w:tblGrid>
            <w:tr w:rsidR="00487F99" w14:paraId="0D6B7F36" w14:textId="77777777">
              <w:tc>
                <w:tcPr>
                  <w:tcW w:w="6969" w:type="dxa"/>
                  <w:tcBorders>
                    <w:top w:val="single" w:sz="4" w:space="0" w:color="000000"/>
                    <w:left w:val="single" w:sz="4" w:space="0" w:color="000000"/>
                    <w:bottom w:val="single" w:sz="4" w:space="0" w:color="000000"/>
                    <w:right w:val="single" w:sz="4" w:space="0" w:color="000000"/>
                  </w:tcBorders>
                </w:tcPr>
                <w:p w14:paraId="2DE8F8AB" w14:textId="77777777" w:rsidR="00487F99" w:rsidRDefault="00487F99">
                  <w:pPr>
                    <w:widowControl w:val="0"/>
                    <w:snapToGrid w:val="0"/>
                    <w:rPr>
                      <w:rFonts w:ascii="Arial" w:hAnsi="Arial" w:cs="Arial"/>
                      <w:sz w:val="20"/>
                      <w:szCs w:val="20"/>
                    </w:rPr>
                  </w:pPr>
                </w:p>
                <w:p w14:paraId="5D989076" w14:textId="77777777" w:rsidR="00487F99" w:rsidRDefault="002B0FCB">
                  <w:pPr>
                    <w:widowControl w:val="0"/>
                  </w:pPr>
                  <w:r>
                    <w:rPr>
                      <w:rFonts w:ascii="Arial" w:hAnsi="Arial" w:cs="Arial"/>
                      <w:sz w:val="20"/>
                      <w:szCs w:val="20"/>
                    </w:rPr>
                    <w:t>1</w:t>
                  </w:r>
                  <w:r>
                    <w:rPr>
                      <w:rFonts w:ascii="Arial" w:hAnsi="Arial" w:cs="Arial"/>
                      <w:sz w:val="20"/>
                      <w:szCs w:val="20"/>
                      <w:vertAlign w:val="superscript"/>
                    </w:rPr>
                    <w:t>st</w:t>
                  </w:r>
                  <w:r>
                    <w:rPr>
                      <w:rFonts w:ascii="Arial" w:hAnsi="Arial" w:cs="Arial"/>
                      <w:sz w:val="20"/>
                      <w:szCs w:val="20"/>
                    </w:rPr>
                    <w:t xml:space="preserve"> Marker’s Provisional mark</w:t>
                  </w:r>
                </w:p>
              </w:tc>
              <w:tc>
                <w:tcPr>
                  <w:tcW w:w="1930" w:type="dxa"/>
                  <w:tcBorders>
                    <w:top w:val="single" w:sz="4" w:space="0" w:color="000000"/>
                    <w:left w:val="single" w:sz="4" w:space="0" w:color="000000"/>
                    <w:bottom w:val="single" w:sz="4" w:space="0" w:color="000000"/>
                    <w:right w:val="single" w:sz="4" w:space="0" w:color="000000"/>
                  </w:tcBorders>
                </w:tcPr>
                <w:p w14:paraId="40EADEA0" w14:textId="77777777" w:rsidR="00487F99" w:rsidRDefault="00487F99">
                  <w:pPr>
                    <w:widowControl w:val="0"/>
                    <w:snapToGrid w:val="0"/>
                    <w:rPr>
                      <w:rFonts w:ascii="Arial" w:hAnsi="Arial" w:cs="Arial"/>
                      <w:sz w:val="20"/>
                      <w:szCs w:val="20"/>
                    </w:rPr>
                  </w:pPr>
                </w:p>
              </w:tc>
            </w:tr>
            <w:tr w:rsidR="00487F99" w14:paraId="0583060E" w14:textId="77777777">
              <w:tc>
                <w:tcPr>
                  <w:tcW w:w="6969" w:type="dxa"/>
                  <w:tcBorders>
                    <w:top w:val="single" w:sz="4" w:space="0" w:color="000000"/>
                    <w:left w:val="single" w:sz="4" w:space="0" w:color="000000"/>
                    <w:bottom w:val="single" w:sz="4" w:space="0" w:color="000000"/>
                    <w:right w:val="single" w:sz="4" w:space="0" w:color="000000"/>
                  </w:tcBorders>
                </w:tcPr>
                <w:p w14:paraId="6FFC0159" w14:textId="77777777" w:rsidR="00487F99" w:rsidRDefault="00487F99">
                  <w:pPr>
                    <w:widowControl w:val="0"/>
                    <w:snapToGrid w:val="0"/>
                    <w:rPr>
                      <w:rFonts w:ascii="Arial" w:hAnsi="Arial" w:cs="Arial"/>
                      <w:sz w:val="20"/>
                      <w:szCs w:val="20"/>
                    </w:rPr>
                  </w:pPr>
                </w:p>
                <w:p w14:paraId="31CC9F28" w14:textId="77777777" w:rsidR="00487F99" w:rsidRDefault="002B0FCB">
                  <w:pPr>
                    <w:widowControl w:val="0"/>
                  </w:pPr>
                  <w:r>
                    <w:rPr>
                      <w:rFonts w:ascii="Arial" w:hAnsi="Arial" w:cs="Arial"/>
                      <w:sz w:val="20"/>
                      <w:szCs w:val="20"/>
                    </w:rPr>
                    <w:t>2</w:t>
                  </w:r>
                  <w:r>
                    <w:rPr>
                      <w:rFonts w:ascii="Arial" w:hAnsi="Arial" w:cs="Arial"/>
                      <w:sz w:val="20"/>
                      <w:szCs w:val="20"/>
                      <w:vertAlign w:val="superscript"/>
                    </w:rPr>
                    <w:t>nd</w:t>
                  </w:r>
                  <w:r>
                    <w:rPr>
                      <w:rFonts w:ascii="Arial" w:hAnsi="Arial" w:cs="Arial"/>
                      <w:sz w:val="20"/>
                      <w:szCs w:val="20"/>
                    </w:rPr>
                    <w:t xml:space="preserve"> Marker’s/Moderator’s provisional mark</w:t>
                  </w:r>
                </w:p>
              </w:tc>
              <w:tc>
                <w:tcPr>
                  <w:tcW w:w="1930" w:type="dxa"/>
                  <w:tcBorders>
                    <w:top w:val="single" w:sz="4" w:space="0" w:color="000000"/>
                    <w:left w:val="single" w:sz="4" w:space="0" w:color="000000"/>
                    <w:bottom w:val="single" w:sz="4" w:space="0" w:color="000000"/>
                    <w:right w:val="single" w:sz="4" w:space="0" w:color="000000"/>
                  </w:tcBorders>
                </w:tcPr>
                <w:p w14:paraId="120283B2" w14:textId="77777777" w:rsidR="00487F99" w:rsidRDefault="00487F99">
                  <w:pPr>
                    <w:widowControl w:val="0"/>
                    <w:snapToGrid w:val="0"/>
                    <w:rPr>
                      <w:rFonts w:ascii="Arial" w:hAnsi="Arial" w:cs="Arial"/>
                      <w:sz w:val="20"/>
                      <w:szCs w:val="20"/>
                    </w:rPr>
                  </w:pPr>
                </w:p>
              </w:tc>
            </w:tr>
            <w:tr w:rsidR="00487F99" w14:paraId="4F36F985" w14:textId="77777777">
              <w:tc>
                <w:tcPr>
                  <w:tcW w:w="6969" w:type="dxa"/>
                  <w:tcBorders>
                    <w:top w:val="single" w:sz="4" w:space="0" w:color="000000"/>
                    <w:left w:val="single" w:sz="4" w:space="0" w:color="000000"/>
                    <w:bottom w:val="single" w:sz="4" w:space="0" w:color="000000"/>
                    <w:right w:val="single" w:sz="4" w:space="0" w:color="000000"/>
                  </w:tcBorders>
                </w:tcPr>
                <w:p w14:paraId="0E8BF804" w14:textId="77777777" w:rsidR="00487F99" w:rsidRDefault="00487F99">
                  <w:pPr>
                    <w:widowControl w:val="0"/>
                    <w:snapToGrid w:val="0"/>
                    <w:rPr>
                      <w:rFonts w:ascii="Arial" w:hAnsi="Arial" w:cs="Arial"/>
                      <w:sz w:val="20"/>
                      <w:szCs w:val="20"/>
                    </w:rPr>
                  </w:pPr>
                </w:p>
                <w:p w14:paraId="2AB67C62" w14:textId="77777777" w:rsidR="00487F99" w:rsidRDefault="002B0FCB">
                  <w:pPr>
                    <w:widowControl w:val="0"/>
                    <w:rPr>
                      <w:rFonts w:ascii="Arial" w:hAnsi="Arial" w:cs="Arial"/>
                      <w:sz w:val="20"/>
                      <w:szCs w:val="20"/>
                    </w:rPr>
                  </w:pPr>
                  <w:r>
                    <w:rPr>
                      <w:rFonts w:ascii="Arial" w:hAnsi="Arial" w:cs="Arial"/>
                      <w:sz w:val="20"/>
                      <w:szCs w:val="20"/>
                    </w:rPr>
                    <w:t>External Examiner’s mark (if relevant)</w:t>
                  </w:r>
                </w:p>
              </w:tc>
              <w:tc>
                <w:tcPr>
                  <w:tcW w:w="1930" w:type="dxa"/>
                  <w:tcBorders>
                    <w:top w:val="single" w:sz="4" w:space="0" w:color="000000"/>
                    <w:left w:val="single" w:sz="4" w:space="0" w:color="000000"/>
                    <w:bottom w:val="single" w:sz="4" w:space="0" w:color="000000"/>
                    <w:right w:val="single" w:sz="4" w:space="0" w:color="000000"/>
                  </w:tcBorders>
                </w:tcPr>
                <w:p w14:paraId="35CE87A8" w14:textId="77777777" w:rsidR="00487F99" w:rsidRDefault="00487F99">
                  <w:pPr>
                    <w:widowControl w:val="0"/>
                    <w:snapToGrid w:val="0"/>
                    <w:rPr>
                      <w:rFonts w:ascii="Arial" w:hAnsi="Arial" w:cs="Arial"/>
                      <w:sz w:val="20"/>
                      <w:szCs w:val="20"/>
                    </w:rPr>
                  </w:pPr>
                </w:p>
              </w:tc>
            </w:tr>
            <w:tr w:rsidR="00487F99" w14:paraId="7F3653DB" w14:textId="77777777">
              <w:tc>
                <w:tcPr>
                  <w:tcW w:w="6969" w:type="dxa"/>
                  <w:tcBorders>
                    <w:top w:val="single" w:sz="4" w:space="0" w:color="000000"/>
                    <w:left w:val="single" w:sz="4" w:space="0" w:color="000000"/>
                    <w:bottom w:val="single" w:sz="4" w:space="0" w:color="000000"/>
                    <w:right w:val="single" w:sz="4" w:space="0" w:color="000000"/>
                  </w:tcBorders>
                </w:tcPr>
                <w:p w14:paraId="0B0F33B8" w14:textId="77777777" w:rsidR="00487F99" w:rsidRDefault="00487F99">
                  <w:pPr>
                    <w:widowControl w:val="0"/>
                    <w:snapToGrid w:val="0"/>
                    <w:rPr>
                      <w:rFonts w:ascii="Arial" w:hAnsi="Arial" w:cs="Arial"/>
                      <w:sz w:val="20"/>
                      <w:szCs w:val="20"/>
                    </w:rPr>
                  </w:pPr>
                </w:p>
                <w:p w14:paraId="613FC97F" w14:textId="77777777" w:rsidR="00487F99" w:rsidRDefault="002B0FCB">
                  <w:pPr>
                    <w:widowControl w:val="0"/>
                    <w:rPr>
                      <w:rFonts w:ascii="Arial" w:hAnsi="Arial" w:cs="Arial"/>
                      <w:b/>
                      <w:sz w:val="20"/>
                      <w:szCs w:val="20"/>
                    </w:rPr>
                  </w:pPr>
                  <w:r>
                    <w:rPr>
                      <w:rFonts w:ascii="Arial" w:hAnsi="Arial" w:cs="Arial"/>
                      <w:b/>
                      <w:sz w:val="20"/>
                      <w:szCs w:val="20"/>
                    </w:rPr>
                    <w:t>Final Mark</w:t>
                  </w:r>
                </w:p>
                <w:p w14:paraId="6721FB0E" w14:textId="77777777" w:rsidR="00487F99" w:rsidRDefault="00487F99">
                  <w:pPr>
                    <w:widowControl w:val="0"/>
                    <w:rPr>
                      <w:rFonts w:ascii="Arial" w:hAnsi="Arial" w:cs="Arial"/>
                      <w:b/>
                      <w:sz w:val="20"/>
                      <w:szCs w:val="20"/>
                    </w:rPr>
                  </w:pPr>
                </w:p>
              </w:tc>
              <w:tc>
                <w:tcPr>
                  <w:tcW w:w="1930" w:type="dxa"/>
                  <w:tcBorders>
                    <w:top w:val="single" w:sz="4" w:space="0" w:color="000000"/>
                    <w:left w:val="single" w:sz="4" w:space="0" w:color="000000"/>
                    <w:bottom w:val="single" w:sz="4" w:space="0" w:color="000000"/>
                    <w:right w:val="single" w:sz="4" w:space="0" w:color="000000"/>
                  </w:tcBorders>
                </w:tcPr>
                <w:p w14:paraId="1DA933D6" w14:textId="77777777" w:rsidR="00487F99" w:rsidRDefault="00487F99">
                  <w:pPr>
                    <w:widowControl w:val="0"/>
                    <w:snapToGrid w:val="0"/>
                    <w:rPr>
                      <w:rFonts w:ascii="Arial" w:hAnsi="Arial" w:cs="Arial"/>
                      <w:b/>
                      <w:sz w:val="20"/>
                      <w:szCs w:val="20"/>
                    </w:rPr>
                  </w:pPr>
                </w:p>
              </w:tc>
            </w:tr>
          </w:tbl>
          <w:p w14:paraId="623C04D3" w14:textId="77777777" w:rsidR="00487F99" w:rsidRDefault="00487F99">
            <w:pPr>
              <w:pStyle w:val="NormalWeb"/>
              <w:widowControl w:val="0"/>
              <w:spacing w:before="0" w:after="0"/>
              <w:ind w:left="142" w:right="34"/>
              <w:rPr>
                <w:rFonts w:ascii="Arial" w:hAnsi="Arial" w:cs="Arial"/>
                <w:b/>
                <w:sz w:val="22"/>
                <w:szCs w:val="22"/>
              </w:rPr>
            </w:pPr>
          </w:p>
          <w:p w14:paraId="3391EDB1" w14:textId="77777777" w:rsidR="00487F99" w:rsidRDefault="002B0FCB">
            <w:pPr>
              <w:pStyle w:val="NormalWeb"/>
              <w:widowControl w:val="0"/>
              <w:spacing w:before="0" w:after="0"/>
              <w:ind w:left="142" w:right="34"/>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00586D61" w14:textId="77777777" w:rsidR="00487F99" w:rsidRDefault="00487F99">
            <w:pPr>
              <w:pStyle w:val="NormalWeb"/>
              <w:widowControl w:val="0"/>
              <w:spacing w:before="0" w:after="0"/>
              <w:rPr>
                <w:rFonts w:ascii="Arial" w:hAnsi="Arial" w:cs="Arial"/>
                <w:b/>
                <w:sz w:val="22"/>
                <w:szCs w:val="22"/>
              </w:rPr>
            </w:pPr>
          </w:p>
          <w:p w14:paraId="5B68E00E" w14:textId="77777777" w:rsidR="00487F99" w:rsidRDefault="00487F99">
            <w:pPr>
              <w:pStyle w:val="NormalWeb"/>
              <w:widowControl w:val="0"/>
              <w:spacing w:before="0" w:after="0"/>
              <w:rPr>
                <w:rFonts w:ascii="Arial" w:hAnsi="Arial" w:cs="Arial"/>
                <w:b/>
                <w:sz w:val="22"/>
                <w:szCs w:val="22"/>
              </w:rPr>
            </w:pPr>
          </w:p>
          <w:p w14:paraId="61684D4E" w14:textId="77777777" w:rsidR="00487F99" w:rsidRDefault="00487F99">
            <w:pPr>
              <w:pStyle w:val="NormalWeb"/>
              <w:widowControl w:val="0"/>
              <w:spacing w:before="0" w:after="0"/>
              <w:rPr>
                <w:rFonts w:ascii="Arial" w:hAnsi="Arial" w:cs="Arial"/>
                <w:b/>
                <w:sz w:val="22"/>
                <w:szCs w:val="22"/>
              </w:rPr>
            </w:pPr>
          </w:p>
          <w:p w14:paraId="796A97DA" w14:textId="77777777" w:rsidR="00487F99" w:rsidRDefault="00487F99">
            <w:pPr>
              <w:pStyle w:val="NormalWeb"/>
              <w:widowControl w:val="0"/>
              <w:spacing w:before="0" w:after="0"/>
              <w:rPr>
                <w:rFonts w:ascii="Arial" w:hAnsi="Arial" w:cs="Arial"/>
                <w:b/>
                <w:sz w:val="22"/>
                <w:szCs w:val="22"/>
              </w:rPr>
            </w:pPr>
          </w:p>
          <w:p w14:paraId="09508354" w14:textId="77777777" w:rsidR="00487F99" w:rsidRDefault="00487F99">
            <w:pPr>
              <w:pStyle w:val="NormalWeb"/>
              <w:widowControl w:val="0"/>
              <w:spacing w:before="0" w:after="0"/>
              <w:rPr>
                <w:rFonts w:ascii="Arial" w:hAnsi="Arial" w:cs="Arial"/>
                <w:b/>
                <w:sz w:val="22"/>
                <w:szCs w:val="22"/>
              </w:rPr>
            </w:pPr>
          </w:p>
          <w:p w14:paraId="70CAEE2D" w14:textId="77777777" w:rsidR="00487F99" w:rsidRDefault="002B0FCB">
            <w:pPr>
              <w:pStyle w:val="NormalWeb"/>
              <w:widowControl w:val="0"/>
              <w:spacing w:before="0" w:after="0"/>
              <w:rPr>
                <w:rFonts w:ascii="Arial" w:hAnsi="Arial" w:cs="Arial"/>
                <w:b/>
                <w:sz w:val="22"/>
                <w:szCs w:val="22"/>
              </w:rPr>
            </w:pPr>
            <w:r>
              <w:rPr>
                <w:rFonts w:ascii="Arial" w:hAnsi="Arial" w:cs="Arial"/>
                <w:b/>
                <w:sz w:val="22"/>
                <w:szCs w:val="22"/>
              </w:rPr>
              <w:t>For completion by Marker 1 :</w:t>
            </w:r>
          </w:p>
          <w:p w14:paraId="34202B2F" w14:textId="77777777" w:rsidR="00487F99" w:rsidRDefault="002B0FCB">
            <w:pPr>
              <w:pStyle w:val="NormalWeb"/>
              <w:widowControl w:val="0"/>
              <w:rPr>
                <w:rFonts w:ascii="Arial" w:hAnsi="Arial" w:cs="Arial"/>
                <w:sz w:val="22"/>
                <w:szCs w:val="22"/>
              </w:rPr>
            </w:pPr>
            <w:r>
              <w:rPr>
                <w:rFonts w:ascii="Arial" w:hAnsi="Arial" w:cs="Arial"/>
                <w:sz w:val="22"/>
                <w:szCs w:val="22"/>
              </w:rPr>
              <w:t>Comments:</w:t>
            </w:r>
          </w:p>
          <w:p w14:paraId="51258736" w14:textId="77777777" w:rsidR="00487F99" w:rsidRDefault="00487F99">
            <w:pPr>
              <w:pStyle w:val="NormalWeb"/>
              <w:widowControl w:val="0"/>
              <w:spacing w:after="0"/>
              <w:rPr>
                <w:rFonts w:ascii="Arial" w:hAnsi="Arial" w:cs="Arial"/>
                <w:sz w:val="22"/>
                <w:szCs w:val="22"/>
              </w:rPr>
            </w:pPr>
          </w:p>
        </w:tc>
      </w:tr>
      <w:tr w:rsidR="00487F99" w14:paraId="7DED2AF8" w14:textId="77777777">
        <w:trPr>
          <w:trHeight w:val="492"/>
        </w:trPr>
        <w:tc>
          <w:tcPr>
            <w:tcW w:w="6766" w:type="dxa"/>
            <w:gridSpan w:val="3"/>
            <w:tcBorders>
              <w:top w:val="single" w:sz="4" w:space="0" w:color="000000"/>
              <w:left w:val="single" w:sz="4" w:space="0" w:color="000000"/>
              <w:bottom w:val="single" w:sz="4" w:space="0" w:color="000000"/>
              <w:right w:val="single" w:sz="4" w:space="0" w:color="000000"/>
            </w:tcBorders>
          </w:tcPr>
          <w:p w14:paraId="305D14CA" w14:textId="77777777" w:rsidR="00487F99" w:rsidRDefault="002B0FCB">
            <w:pPr>
              <w:pStyle w:val="NormalWeb"/>
              <w:widowControl w:val="0"/>
              <w:spacing w:after="0"/>
              <w:ind w:left="142" w:right="34"/>
              <w:rPr>
                <w:rFonts w:ascii="Arial" w:hAnsi="Arial" w:cs="Arial"/>
                <w:sz w:val="22"/>
                <w:szCs w:val="22"/>
              </w:rPr>
            </w:pPr>
            <w:r>
              <w:rPr>
                <w:rFonts w:ascii="Arial" w:hAnsi="Arial" w:cs="Arial"/>
                <w:sz w:val="22"/>
                <w:szCs w:val="22"/>
              </w:rPr>
              <w:lastRenderedPageBreak/>
              <w:t>Marker’s signature:</w:t>
            </w:r>
          </w:p>
        </w:tc>
        <w:tc>
          <w:tcPr>
            <w:tcW w:w="2360" w:type="dxa"/>
            <w:gridSpan w:val="2"/>
            <w:tcBorders>
              <w:top w:val="single" w:sz="4" w:space="0" w:color="000000"/>
              <w:left w:val="single" w:sz="4" w:space="0" w:color="000000"/>
              <w:bottom w:val="single" w:sz="4" w:space="0" w:color="000000"/>
              <w:right w:val="single" w:sz="4" w:space="0" w:color="000000"/>
            </w:tcBorders>
          </w:tcPr>
          <w:p w14:paraId="7DF36817" w14:textId="77777777" w:rsidR="00487F99" w:rsidRDefault="002B0FCB">
            <w:pPr>
              <w:pStyle w:val="NormalWeb"/>
              <w:widowControl w:val="0"/>
              <w:spacing w:after="0"/>
              <w:ind w:left="142" w:right="34"/>
              <w:rPr>
                <w:rFonts w:ascii="Arial" w:hAnsi="Arial" w:cs="Arial"/>
                <w:sz w:val="22"/>
                <w:szCs w:val="22"/>
              </w:rPr>
            </w:pPr>
            <w:r>
              <w:rPr>
                <w:rFonts w:ascii="Arial" w:hAnsi="Arial" w:cs="Arial"/>
                <w:sz w:val="22"/>
                <w:szCs w:val="22"/>
              </w:rPr>
              <w:t>Date:</w:t>
            </w:r>
          </w:p>
        </w:tc>
      </w:tr>
      <w:tr w:rsidR="00487F99" w14:paraId="05DBFC8F" w14:textId="77777777">
        <w:tc>
          <w:tcPr>
            <w:tcW w:w="9126" w:type="dxa"/>
            <w:gridSpan w:val="5"/>
            <w:tcBorders>
              <w:top w:val="single" w:sz="4" w:space="0" w:color="000000"/>
              <w:left w:val="single" w:sz="4" w:space="0" w:color="000000"/>
              <w:bottom w:val="single" w:sz="4" w:space="0" w:color="000000"/>
              <w:right w:val="single" w:sz="4" w:space="0" w:color="000000"/>
            </w:tcBorders>
          </w:tcPr>
          <w:p w14:paraId="0E966C99" w14:textId="77777777" w:rsidR="00487F99" w:rsidRDefault="00487F99">
            <w:pPr>
              <w:pStyle w:val="NormalWeb"/>
              <w:widowControl w:val="0"/>
              <w:snapToGrid w:val="0"/>
              <w:spacing w:before="0" w:after="0"/>
              <w:ind w:right="-334"/>
              <w:rPr>
                <w:rFonts w:ascii="Arial" w:hAnsi="Arial" w:cs="Arial"/>
                <w:bCs/>
                <w:i/>
                <w:sz w:val="22"/>
                <w:szCs w:val="22"/>
              </w:rPr>
            </w:pPr>
          </w:p>
          <w:p w14:paraId="3BD0F0D7" w14:textId="77777777" w:rsidR="00487F99" w:rsidRDefault="002B0FCB">
            <w:pPr>
              <w:pStyle w:val="NormalWeb"/>
              <w:widowControl w:val="0"/>
              <w:spacing w:before="0" w:after="0"/>
              <w:ind w:right="-334"/>
              <w:rPr>
                <w:rFonts w:ascii="Arial" w:hAnsi="Arial" w:cs="Arial"/>
                <w:b/>
                <w:bCs/>
                <w:sz w:val="22"/>
                <w:szCs w:val="22"/>
              </w:rPr>
            </w:pPr>
            <w:r>
              <w:rPr>
                <w:rFonts w:ascii="Arial" w:hAnsi="Arial" w:cs="Arial"/>
                <w:b/>
                <w:bCs/>
                <w:sz w:val="22"/>
                <w:szCs w:val="22"/>
              </w:rPr>
              <w:t>For completion by Marker 2/Moderator:</w:t>
            </w:r>
          </w:p>
          <w:p w14:paraId="59B437FA" w14:textId="77777777" w:rsidR="00487F99" w:rsidRDefault="00487F99">
            <w:pPr>
              <w:pStyle w:val="NormalWeb"/>
              <w:widowControl w:val="0"/>
              <w:spacing w:before="0" w:after="0"/>
              <w:ind w:right="-334"/>
              <w:rPr>
                <w:rFonts w:ascii="Arial" w:hAnsi="Arial" w:cs="Arial"/>
                <w:b/>
                <w:bCs/>
                <w:sz w:val="22"/>
                <w:szCs w:val="22"/>
              </w:rPr>
            </w:pPr>
          </w:p>
          <w:p w14:paraId="71D463C9" w14:textId="77777777" w:rsidR="00487F99" w:rsidRDefault="002B0FCB">
            <w:pPr>
              <w:pStyle w:val="NormalWeb"/>
              <w:widowControl w:val="0"/>
              <w:spacing w:before="0" w:after="0"/>
              <w:ind w:right="-334"/>
              <w:rPr>
                <w:rFonts w:ascii="Arial" w:hAnsi="Arial" w:cs="Arial"/>
                <w:bCs/>
                <w:sz w:val="22"/>
                <w:szCs w:val="22"/>
              </w:rPr>
            </w:pPr>
            <w:r>
              <w:rPr>
                <w:rFonts w:ascii="Arial" w:hAnsi="Arial" w:cs="Arial"/>
                <w:bCs/>
                <w:sz w:val="22"/>
                <w:szCs w:val="22"/>
              </w:rPr>
              <w:t>Comments:</w:t>
            </w:r>
          </w:p>
          <w:p w14:paraId="7C04FA6C" w14:textId="77777777" w:rsidR="00487F99" w:rsidRDefault="00487F99">
            <w:pPr>
              <w:pStyle w:val="NormalWeb"/>
              <w:widowControl w:val="0"/>
              <w:spacing w:before="0" w:after="0"/>
              <w:ind w:right="-334"/>
              <w:rPr>
                <w:rFonts w:ascii="Arial" w:hAnsi="Arial" w:cs="Arial"/>
                <w:bCs/>
                <w:sz w:val="22"/>
                <w:szCs w:val="22"/>
              </w:rPr>
            </w:pPr>
          </w:p>
          <w:p w14:paraId="6607EA5B" w14:textId="77777777" w:rsidR="00487F99" w:rsidRDefault="00487F99">
            <w:pPr>
              <w:pStyle w:val="NormalWeb"/>
              <w:widowControl w:val="0"/>
              <w:spacing w:before="0" w:after="0"/>
              <w:ind w:right="-334"/>
              <w:rPr>
                <w:rFonts w:ascii="Arial" w:hAnsi="Arial" w:cs="Arial"/>
                <w:bCs/>
                <w:sz w:val="22"/>
                <w:szCs w:val="22"/>
              </w:rPr>
            </w:pPr>
          </w:p>
          <w:p w14:paraId="58B69F44" w14:textId="77777777" w:rsidR="00487F99" w:rsidRDefault="00487F99">
            <w:pPr>
              <w:pStyle w:val="NormalWeb"/>
              <w:widowControl w:val="0"/>
              <w:spacing w:before="0" w:after="0"/>
              <w:ind w:right="-334"/>
              <w:rPr>
                <w:rFonts w:ascii="Arial" w:hAnsi="Arial" w:cs="Arial"/>
                <w:bCs/>
                <w:sz w:val="22"/>
                <w:szCs w:val="22"/>
              </w:rPr>
            </w:pPr>
          </w:p>
          <w:p w14:paraId="7108D75B" w14:textId="77777777" w:rsidR="00487F99" w:rsidRDefault="00487F99">
            <w:pPr>
              <w:pStyle w:val="NormalWeb"/>
              <w:widowControl w:val="0"/>
              <w:spacing w:before="0" w:after="0"/>
              <w:ind w:right="-334"/>
              <w:rPr>
                <w:rFonts w:ascii="Arial" w:hAnsi="Arial" w:cs="Arial"/>
                <w:bCs/>
                <w:sz w:val="22"/>
                <w:szCs w:val="22"/>
              </w:rPr>
            </w:pPr>
          </w:p>
          <w:p w14:paraId="7B3AAE39" w14:textId="77777777" w:rsidR="00487F99" w:rsidRDefault="00487F99">
            <w:pPr>
              <w:pStyle w:val="NormalWeb"/>
              <w:widowControl w:val="0"/>
              <w:spacing w:before="0" w:after="0"/>
              <w:ind w:right="-334"/>
              <w:rPr>
                <w:rFonts w:ascii="Arial" w:hAnsi="Arial" w:cs="Arial"/>
                <w:bCs/>
                <w:sz w:val="22"/>
                <w:szCs w:val="22"/>
              </w:rPr>
            </w:pPr>
          </w:p>
          <w:p w14:paraId="153ABDC4" w14:textId="77777777" w:rsidR="00487F99" w:rsidRDefault="00487F99">
            <w:pPr>
              <w:pStyle w:val="NormalWeb"/>
              <w:widowControl w:val="0"/>
              <w:spacing w:before="0" w:after="0"/>
              <w:ind w:right="-334"/>
              <w:rPr>
                <w:rFonts w:ascii="Arial" w:hAnsi="Arial" w:cs="Arial"/>
                <w:bCs/>
                <w:sz w:val="22"/>
                <w:szCs w:val="22"/>
              </w:rPr>
            </w:pPr>
          </w:p>
          <w:p w14:paraId="098EC1D4" w14:textId="77777777" w:rsidR="00487F99" w:rsidRDefault="00487F99">
            <w:pPr>
              <w:pStyle w:val="NormalWeb"/>
              <w:widowControl w:val="0"/>
              <w:spacing w:before="0" w:after="0"/>
              <w:ind w:right="-334"/>
              <w:rPr>
                <w:rFonts w:ascii="Arial" w:hAnsi="Arial" w:cs="Arial"/>
                <w:bCs/>
                <w:sz w:val="22"/>
                <w:szCs w:val="22"/>
              </w:rPr>
            </w:pPr>
          </w:p>
          <w:p w14:paraId="44AE8947" w14:textId="77777777" w:rsidR="00487F99" w:rsidRDefault="00487F99">
            <w:pPr>
              <w:pStyle w:val="NormalWeb"/>
              <w:widowControl w:val="0"/>
              <w:spacing w:before="0" w:after="0"/>
              <w:ind w:right="-334"/>
              <w:rPr>
                <w:rFonts w:ascii="Arial" w:hAnsi="Arial" w:cs="Arial"/>
                <w:bCs/>
                <w:sz w:val="22"/>
                <w:szCs w:val="22"/>
              </w:rPr>
            </w:pPr>
          </w:p>
          <w:p w14:paraId="76D54986" w14:textId="77777777" w:rsidR="00487F99" w:rsidRDefault="00487F99">
            <w:pPr>
              <w:pStyle w:val="NormalWeb"/>
              <w:widowControl w:val="0"/>
              <w:spacing w:before="0" w:after="0"/>
              <w:ind w:right="-334"/>
              <w:rPr>
                <w:rFonts w:ascii="Arial" w:hAnsi="Arial" w:cs="Arial"/>
                <w:bCs/>
                <w:sz w:val="22"/>
                <w:szCs w:val="22"/>
              </w:rPr>
            </w:pPr>
          </w:p>
          <w:p w14:paraId="6F72869F" w14:textId="77777777" w:rsidR="00487F99" w:rsidRDefault="00487F99">
            <w:pPr>
              <w:pStyle w:val="NormalWeb"/>
              <w:widowControl w:val="0"/>
              <w:spacing w:before="0" w:after="0"/>
              <w:ind w:right="-334"/>
              <w:rPr>
                <w:rFonts w:ascii="Arial" w:hAnsi="Arial" w:cs="Arial"/>
                <w:bCs/>
                <w:sz w:val="22"/>
                <w:szCs w:val="22"/>
              </w:rPr>
            </w:pPr>
          </w:p>
          <w:p w14:paraId="17A3862A" w14:textId="77777777" w:rsidR="00487F99" w:rsidRDefault="00487F99">
            <w:pPr>
              <w:pStyle w:val="NormalWeb"/>
              <w:widowControl w:val="0"/>
              <w:spacing w:before="0" w:after="0"/>
              <w:ind w:right="-334"/>
              <w:rPr>
                <w:rFonts w:ascii="Arial" w:hAnsi="Arial" w:cs="Arial"/>
                <w:bCs/>
                <w:sz w:val="22"/>
                <w:szCs w:val="22"/>
              </w:rPr>
            </w:pPr>
          </w:p>
          <w:p w14:paraId="775EAB3B" w14:textId="77777777" w:rsidR="00487F99" w:rsidRDefault="00487F99">
            <w:pPr>
              <w:pStyle w:val="NormalWeb"/>
              <w:widowControl w:val="0"/>
              <w:spacing w:before="0" w:after="0"/>
              <w:ind w:right="-334"/>
              <w:rPr>
                <w:rFonts w:ascii="Arial" w:hAnsi="Arial" w:cs="Arial"/>
                <w:bCs/>
                <w:sz w:val="22"/>
                <w:szCs w:val="22"/>
              </w:rPr>
            </w:pPr>
          </w:p>
        </w:tc>
      </w:tr>
      <w:tr w:rsidR="00487F99" w14:paraId="199AF896" w14:textId="77777777">
        <w:trPr>
          <w:trHeight w:val="720"/>
        </w:trPr>
        <w:tc>
          <w:tcPr>
            <w:tcW w:w="5210" w:type="dxa"/>
            <w:gridSpan w:val="2"/>
            <w:tcBorders>
              <w:top w:val="single" w:sz="4" w:space="0" w:color="000000"/>
              <w:left w:val="single" w:sz="4" w:space="0" w:color="000000"/>
              <w:bottom w:val="single" w:sz="4" w:space="0" w:color="000000"/>
              <w:right w:val="single" w:sz="4" w:space="0" w:color="000000"/>
            </w:tcBorders>
          </w:tcPr>
          <w:p w14:paraId="6374B2D1" w14:textId="77777777" w:rsidR="00487F99" w:rsidRDefault="002B0FCB">
            <w:pPr>
              <w:pStyle w:val="NormalWeb"/>
              <w:widowControl w:val="0"/>
              <w:spacing w:before="0" w:after="0"/>
              <w:ind w:right="-334"/>
              <w:rPr>
                <w:rFonts w:ascii="Arial" w:hAnsi="Arial" w:cs="Arial"/>
                <w:bCs/>
                <w:sz w:val="22"/>
                <w:szCs w:val="22"/>
              </w:rPr>
            </w:pPr>
            <w:r>
              <w:rPr>
                <w:rFonts w:ascii="Arial" w:hAnsi="Arial" w:cs="Arial"/>
                <w:bCs/>
                <w:sz w:val="22"/>
                <w:szCs w:val="22"/>
              </w:rPr>
              <w:t>Marker’s Signature:</w:t>
            </w:r>
          </w:p>
        </w:tc>
        <w:tc>
          <w:tcPr>
            <w:tcW w:w="3916" w:type="dxa"/>
            <w:gridSpan w:val="3"/>
            <w:tcBorders>
              <w:top w:val="single" w:sz="4" w:space="0" w:color="000000"/>
              <w:left w:val="single" w:sz="4" w:space="0" w:color="000000"/>
              <w:bottom w:val="single" w:sz="4" w:space="0" w:color="000000"/>
              <w:right w:val="single" w:sz="4" w:space="0" w:color="000000"/>
            </w:tcBorders>
          </w:tcPr>
          <w:p w14:paraId="0EFCF6F6" w14:textId="77777777" w:rsidR="00487F99" w:rsidRDefault="002B0FCB">
            <w:pPr>
              <w:pStyle w:val="NormalWeb"/>
              <w:widowControl w:val="0"/>
              <w:spacing w:before="0" w:after="0"/>
              <w:ind w:right="-334"/>
              <w:rPr>
                <w:rFonts w:ascii="Arial" w:hAnsi="Arial" w:cs="Arial"/>
                <w:bCs/>
                <w:sz w:val="22"/>
                <w:szCs w:val="22"/>
              </w:rPr>
            </w:pPr>
            <w:r>
              <w:rPr>
                <w:rFonts w:ascii="Arial" w:hAnsi="Arial" w:cs="Arial"/>
                <w:bCs/>
                <w:sz w:val="22"/>
                <w:szCs w:val="22"/>
              </w:rPr>
              <w:t>Date:</w:t>
            </w:r>
          </w:p>
        </w:tc>
      </w:tr>
      <w:tr w:rsidR="00487F99" w14:paraId="44E0764F" w14:textId="77777777">
        <w:trPr>
          <w:trHeight w:val="720"/>
        </w:trPr>
        <w:tc>
          <w:tcPr>
            <w:tcW w:w="9126" w:type="dxa"/>
            <w:gridSpan w:val="5"/>
            <w:tcBorders>
              <w:top w:val="single" w:sz="4" w:space="0" w:color="000000"/>
              <w:left w:val="single" w:sz="4" w:space="0" w:color="000000"/>
              <w:bottom w:val="single" w:sz="4" w:space="0" w:color="000000"/>
              <w:right w:val="single" w:sz="4" w:space="0" w:color="000000"/>
            </w:tcBorders>
          </w:tcPr>
          <w:p w14:paraId="693F5553" w14:textId="77777777" w:rsidR="00487F99" w:rsidRDefault="002B0FCB">
            <w:pPr>
              <w:widowControl w:val="0"/>
              <w:rPr>
                <w:rFonts w:ascii="Arial" w:hAnsi="Arial" w:cs="Arial"/>
                <w:b/>
                <w:sz w:val="22"/>
                <w:szCs w:val="22"/>
              </w:rPr>
            </w:pPr>
            <w:r>
              <w:rPr>
                <w:rFonts w:ascii="Arial" w:hAnsi="Arial" w:cs="Arial"/>
                <w:b/>
                <w:sz w:val="22"/>
                <w:szCs w:val="22"/>
              </w:rPr>
              <w:t>External Examiner’s comments (if relevant)</w:t>
            </w:r>
          </w:p>
          <w:p w14:paraId="3DB95241" w14:textId="77777777" w:rsidR="00487F99" w:rsidRDefault="00487F99">
            <w:pPr>
              <w:pStyle w:val="NormalWeb"/>
              <w:widowControl w:val="0"/>
              <w:spacing w:before="0" w:after="0"/>
              <w:ind w:right="-334"/>
              <w:rPr>
                <w:rFonts w:ascii="Arial" w:hAnsi="Arial" w:cs="Arial"/>
                <w:b/>
                <w:bCs/>
                <w:sz w:val="22"/>
                <w:szCs w:val="22"/>
              </w:rPr>
            </w:pPr>
          </w:p>
          <w:p w14:paraId="0995602F" w14:textId="77777777" w:rsidR="00487F99" w:rsidRDefault="00487F99">
            <w:pPr>
              <w:pStyle w:val="NormalWeb"/>
              <w:widowControl w:val="0"/>
              <w:spacing w:before="0" w:after="0"/>
              <w:ind w:right="-334"/>
              <w:rPr>
                <w:rFonts w:ascii="Arial" w:hAnsi="Arial" w:cs="Arial"/>
                <w:b/>
                <w:bCs/>
                <w:sz w:val="22"/>
                <w:szCs w:val="22"/>
              </w:rPr>
            </w:pPr>
          </w:p>
          <w:p w14:paraId="42979303" w14:textId="77777777" w:rsidR="00487F99" w:rsidRDefault="00487F99">
            <w:pPr>
              <w:pStyle w:val="NormalWeb"/>
              <w:widowControl w:val="0"/>
              <w:spacing w:before="0" w:after="0"/>
              <w:ind w:right="-334"/>
              <w:rPr>
                <w:rFonts w:ascii="Arial" w:hAnsi="Arial" w:cs="Arial"/>
                <w:b/>
                <w:bCs/>
                <w:sz w:val="22"/>
                <w:szCs w:val="22"/>
              </w:rPr>
            </w:pPr>
          </w:p>
          <w:p w14:paraId="4BEFACCF" w14:textId="77777777" w:rsidR="00487F99" w:rsidRDefault="00487F99">
            <w:pPr>
              <w:pStyle w:val="NormalWeb"/>
              <w:widowControl w:val="0"/>
              <w:spacing w:before="0" w:after="0"/>
              <w:ind w:right="-334"/>
              <w:rPr>
                <w:rFonts w:ascii="Arial" w:hAnsi="Arial" w:cs="Arial"/>
                <w:b/>
                <w:bCs/>
                <w:sz w:val="22"/>
                <w:szCs w:val="22"/>
              </w:rPr>
            </w:pPr>
          </w:p>
          <w:p w14:paraId="44C56F6B" w14:textId="77777777" w:rsidR="00487F99" w:rsidRDefault="00487F99">
            <w:pPr>
              <w:pStyle w:val="NormalWeb"/>
              <w:widowControl w:val="0"/>
              <w:spacing w:before="0" w:after="0"/>
              <w:ind w:right="-334"/>
              <w:rPr>
                <w:rFonts w:ascii="Arial" w:hAnsi="Arial" w:cs="Arial"/>
                <w:b/>
                <w:bCs/>
                <w:sz w:val="22"/>
                <w:szCs w:val="22"/>
              </w:rPr>
            </w:pPr>
          </w:p>
          <w:p w14:paraId="65503D20" w14:textId="77777777" w:rsidR="00487F99" w:rsidRDefault="00487F99">
            <w:pPr>
              <w:pStyle w:val="NormalWeb"/>
              <w:widowControl w:val="0"/>
              <w:spacing w:before="0" w:after="0"/>
              <w:ind w:right="-334"/>
              <w:rPr>
                <w:rFonts w:ascii="Arial" w:hAnsi="Arial" w:cs="Arial"/>
                <w:b/>
                <w:bCs/>
                <w:sz w:val="22"/>
                <w:szCs w:val="22"/>
              </w:rPr>
            </w:pPr>
          </w:p>
          <w:p w14:paraId="5245EBFC" w14:textId="77777777" w:rsidR="00487F99" w:rsidRDefault="00487F99">
            <w:pPr>
              <w:pStyle w:val="NormalWeb"/>
              <w:widowControl w:val="0"/>
              <w:spacing w:before="0" w:after="0"/>
              <w:ind w:right="-334"/>
              <w:rPr>
                <w:rFonts w:ascii="Arial" w:hAnsi="Arial" w:cs="Arial"/>
                <w:b/>
                <w:bCs/>
                <w:sz w:val="22"/>
                <w:szCs w:val="22"/>
              </w:rPr>
            </w:pPr>
          </w:p>
          <w:p w14:paraId="5F7B09F2" w14:textId="77777777" w:rsidR="00487F99" w:rsidRDefault="00487F99">
            <w:pPr>
              <w:pStyle w:val="NormalWeb"/>
              <w:widowControl w:val="0"/>
              <w:spacing w:before="0" w:after="0"/>
              <w:ind w:right="-334"/>
              <w:rPr>
                <w:rFonts w:ascii="Arial" w:hAnsi="Arial" w:cs="Arial"/>
                <w:b/>
                <w:bCs/>
                <w:sz w:val="22"/>
                <w:szCs w:val="22"/>
              </w:rPr>
            </w:pPr>
          </w:p>
          <w:p w14:paraId="0E397C3B" w14:textId="77777777" w:rsidR="00487F99" w:rsidRDefault="00487F99">
            <w:pPr>
              <w:pStyle w:val="NormalWeb"/>
              <w:widowControl w:val="0"/>
              <w:spacing w:before="0" w:after="0"/>
              <w:ind w:right="-334"/>
              <w:rPr>
                <w:rFonts w:ascii="Arial" w:hAnsi="Arial" w:cs="Arial"/>
                <w:b/>
                <w:bCs/>
                <w:sz w:val="22"/>
                <w:szCs w:val="22"/>
              </w:rPr>
            </w:pPr>
          </w:p>
          <w:p w14:paraId="4E5FABD0" w14:textId="77777777" w:rsidR="00487F99" w:rsidRDefault="00487F99">
            <w:pPr>
              <w:pStyle w:val="NormalWeb"/>
              <w:widowControl w:val="0"/>
              <w:spacing w:before="0" w:after="0"/>
              <w:ind w:right="-334"/>
              <w:rPr>
                <w:rFonts w:ascii="Arial" w:hAnsi="Arial" w:cs="Arial"/>
                <w:b/>
                <w:bCs/>
                <w:sz w:val="22"/>
                <w:szCs w:val="22"/>
              </w:rPr>
            </w:pPr>
          </w:p>
          <w:p w14:paraId="474F363C" w14:textId="77777777" w:rsidR="00487F99" w:rsidRDefault="00487F99">
            <w:pPr>
              <w:pStyle w:val="NormalWeb"/>
              <w:widowControl w:val="0"/>
              <w:spacing w:before="0" w:after="0"/>
              <w:ind w:right="-334"/>
              <w:rPr>
                <w:rFonts w:ascii="Arial" w:hAnsi="Arial" w:cs="Arial"/>
                <w:b/>
                <w:bCs/>
                <w:sz w:val="22"/>
                <w:szCs w:val="22"/>
              </w:rPr>
            </w:pPr>
          </w:p>
        </w:tc>
      </w:tr>
      <w:tr w:rsidR="00487F99" w14:paraId="417EB1C2" w14:textId="77777777">
        <w:trPr>
          <w:trHeight w:val="720"/>
        </w:trPr>
        <w:tc>
          <w:tcPr>
            <w:tcW w:w="5210" w:type="dxa"/>
            <w:gridSpan w:val="2"/>
            <w:tcBorders>
              <w:top w:val="single" w:sz="4" w:space="0" w:color="000000"/>
              <w:left w:val="single" w:sz="4" w:space="0" w:color="000000"/>
              <w:bottom w:val="single" w:sz="4" w:space="0" w:color="000000"/>
              <w:right w:val="single" w:sz="4" w:space="0" w:color="000000"/>
            </w:tcBorders>
          </w:tcPr>
          <w:p w14:paraId="72279EB8" w14:textId="77777777" w:rsidR="00487F99" w:rsidRDefault="002B0FCB">
            <w:pPr>
              <w:widowControl w:val="0"/>
              <w:rPr>
                <w:rFonts w:ascii="Arial" w:hAnsi="Arial" w:cs="Arial"/>
                <w:sz w:val="22"/>
                <w:szCs w:val="22"/>
              </w:rPr>
            </w:pPr>
            <w:r>
              <w:rPr>
                <w:rFonts w:ascii="Arial" w:hAnsi="Arial" w:cs="Arial"/>
                <w:sz w:val="22"/>
                <w:szCs w:val="22"/>
              </w:rPr>
              <w:t>External Examiner’s Signature:</w:t>
            </w:r>
          </w:p>
        </w:tc>
        <w:tc>
          <w:tcPr>
            <w:tcW w:w="3916" w:type="dxa"/>
            <w:gridSpan w:val="3"/>
            <w:tcBorders>
              <w:top w:val="single" w:sz="4" w:space="0" w:color="000000"/>
              <w:left w:val="single" w:sz="4" w:space="0" w:color="000000"/>
              <w:bottom w:val="single" w:sz="4" w:space="0" w:color="000000"/>
              <w:right w:val="single" w:sz="4" w:space="0" w:color="000000"/>
            </w:tcBorders>
          </w:tcPr>
          <w:p w14:paraId="7500F9DE" w14:textId="77777777" w:rsidR="00487F99" w:rsidRDefault="002B0FCB">
            <w:pPr>
              <w:widowControl w:val="0"/>
              <w:rPr>
                <w:rFonts w:ascii="Arial" w:hAnsi="Arial" w:cs="Arial"/>
                <w:sz w:val="22"/>
                <w:szCs w:val="22"/>
              </w:rPr>
            </w:pPr>
            <w:r>
              <w:rPr>
                <w:rFonts w:ascii="Arial" w:hAnsi="Arial" w:cs="Arial"/>
                <w:sz w:val="22"/>
                <w:szCs w:val="22"/>
              </w:rPr>
              <w:t>Date:</w:t>
            </w:r>
          </w:p>
        </w:tc>
      </w:tr>
    </w:tbl>
    <w:p w14:paraId="34763FE9" w14:textId="77777777" w:rsidR="00487F99" w:rsidRDefault="00487F99">
      <w:pPr>
        <w:pStyle w:val="NormalWeb"/>
        <w:spacing w:before="0" w:after="0"/>
        <w:ind w:right="-334"/>
        <w:rPr>
          <w:rFonts w:ascii="Trebuchet MS" w:hAnsi="Trebuchet MS" w:cs="Trebuchet MS"/>
          <w:bCs/>
          <w:sz w:val="24"/>
          <w:szCs w:val="24"/>
        </w:rPr>
      </w:pPr>
    </w:p>
    <w:p w14:paraId="377E9EB8" w14:textId="77777777" w:rsidR="00487F99" w:rsidRDefault="00487F99">
      <w:pPr>
        <w:pStyle w:val="NormalWeb"/>
        <w:spacing w:before="0" w:after="0"/>
        <w:ind w:right="-334"/>
        <w:rPr>
          <w:rFonts w:ascii="Trebuchet MS" w:hAnsi="Trebuchet MS" w:cs="Trebuchet MS"/>
          <w:bCs/>
          <w:sz w:val="24"/>
          <w:szCs w:val="24"/>
        </w:rPr>
      </w:pPr>
    </w:p>
    <w:p w14:paraId="0F9BC0DA" w14:textId="77777777" w:rsidR="00487F99" w:rsidRDefault="00487F99">
      <w:pPr>
        <w:pStyle w:val="NormalWeb"/>
        <w:spacing w:before="0" w:after="0"/>
        <w:ind w:right="-334"/>
        <w:rPr>
          <w:rFonts w:ascii="Trebuchet MS" w:hAnsi="Trebuchet MS" w:cs="Trebuchet MS"/>
          <w:bCs/>
          <w:sz w:val="24"/>
          <w:szCs w:val="24"/>
        </w:rPr>
      </w:pPr>
    </w:p>
    <w:p w14:paraId="65423406" w14:textId="77777777" w:rsidR="00487F99" w:rsidRDefault="00487F99">
      <w:pPr>
        <w:pStyle w:val="NormalWeb"/>
        <w:spacing w:before="0" w:after="0"/>
        <w:ind w:right="-334"/>
        <w:rPr>
          <w:rFonts w:ascii="Trebuchet MS" w:hAnsi="Trebuchet MS" w:cs="Trebuchet MS"/>
          <w:bCs/>
          <w:sz w:val="24"/>
          <w:szCs w:val="24"/>
        </w:rPr>
      </w:pPr>
    </w:p>
    <w:p w14:paraId="2A1B80C3" w14:textId="77777777" w:rsidR="00487F99" w:rsidRDefault="00487F99">
      <w:pPr>
        <w:pStyle w:val="NormalWeb"/>
        <w:spacing w:before="0" w:after="0"/>
        <w:ind w:right="-334"/>
        <w:rPr>
          <w:rFonts w:ascii="Trebuchet MS" w:hAnsi="Trebuchet MS" w:cs="Trebuchet MS"/>
          <w:bCs/>
          <w:sz w:val="24"/>
          <w:szCs w:val="24"/>
        </w:rPr>
      </w:pPr>
    </w:p>
    <w:p w14:paraId="7C277EBF" w14:textId="77777777" w:rsidR="00487F99" w:rsidRDefault="00487F99">
      <w:pPr>
        <w:pStyle w:val="NormalWeb"/>
        <w:spacing w:before="0" w:after="0"/>
        <w:ind w:right="-334"/>
        <w:rPr>
          <w:rFonts w:ascii="Verdana Pro Light" w:hAnsi="Verdana Pro Light" w:cs="Verdana Pro Light"/>
          <w:b/>
          <w:bCs/>
          <w:sz w:val="24"/>
          <w:szCs w:val="24"/>
        </w:rPr>
      </w:pPr>
    </w:p>
    <w:p w14:paraId="12365149" w14:textId="77777777" w:rsidR="00487F99" w:rsidRDefault="00487F99">
      <w:pPr>
        <w:pStyle w:val="NormalWeb"/>
        <w:spacing w:before="0" w:after="0"/>
        <w:ind w:right="-334"/>
        <w:rPr>
          <w:rFonts w:ascii="Verdana Pro Light" w:hAnsi="Verdana Pro Light" w:cs="Verdana Pro Light"/>
          <w:b/>
          <w:bCs/>
          <w:sz w:val="24"/>
          <w:szCs w:val="24"/>
        </w:rPr>
      </w:pPr>
    </w:p>
    <w:p w14:paraId="48D92693" w14:textId="77777777" w:rsidR="00487F99" w:rsidRDefault="00487F99">
      <w:pPr>
        <w:pStyle w:val="NormalWeb"/>
        <w:spacing w:before="0" w:after="0"/>
        <w:ind w:right="-334"/>
        <w:rPr>
          <w:rFonts w:ascii="Verdana Pro Light" w:hAnsi="Verdana Pro Light" w:cs="Verdana Pro Light"/>
          <w:b/>
          <w:bCs/>
          <w:sz w:val="24"/>
          <w:szCs w:val="24"/>
        </w:rPr>
      </w:pPr>
    </w:p>
    <w:p w14:paraId="4DA9B310" w14:textId="77777777" w:rsidR="00487F99" w:rsidRDefault="00487F99">
      <w:pPr>
        <w:pStyle w:val="NormalWeb"/>
        <w:spacing w:before="0" w:after="0"/>
        <w:ind w:right="-334"/>
        <w:rPr>
          <w:rFonts w:ascii="Verdana Pro Light" w:hAnsi="Verdana Pro Light" w:cs="Verdana Pro Light"/>
          <w:b/>
          <w:bCs/>
          <w:sz w:val="24"/>
          <w:szCs w:val="24"/>
        </w:rPr>
      </w:pPr>
    </w:p>
    <w:p w14:paraId="0247489B" w14:textId="77777777" w:rsidR="00487F99" w:rsidRDefault="00487F99">
      <w:pPr>
        <w:pStyle w:val="NormalWeb"/>
        <w:spacing w:before="0" w:after="0"/>
        <w:ind w:right="-334"/>
        <w:rPr>
          <w:rFonts w:ascii="Verdana Pro Light" w:hAnsi="Verdana Pro Light" w:cs="Verdana Pro Light"/>
          <w:b/>
          <w:bCs/>
          <w:sz w:val="24"/>
          <w:szCs w:val="24"/>
        </w:rPr>
      </w:pPr>
    </w:p>
    <w:p w14:paraId="03B902FB" w14:textId="77777777" w:rsidR="00487F99" w:rsidRDefault="00487F99">
      <w:pPr>
        <w:pStyle w:val="NormalWeb"/>
        <w:spacing w:before="0" w:after="0"/>
        <w:ind w:right="-334"/>
        <w:rPr>
          <w:rFonts w:ascii="Verdana Pro Light" w:hAnsi="Verdana Pro Light" w:cs="Verdana Pro Light"/>
          <w:b/>
          <w:bCs/>
          <w:sz w:val="24"/>
          <w:szCs w:val="24"/>
        </w:rPr>
      </w:pPr>
    </w:p>
    <w:p w14:paraId="6BB41227" w14:textId="77777777" w:rsidR="00487F99" w:rsidRDefault="00487F99">
      <w:pPr>
        <w:pStyle w:val="NormalWeb"/>
        <w:spacing w:before="0" w:after="0"/>
        <w:ind w:right="-334"/>
        <w:rPr>
          <w:rFonts w:ascii="Verdana Pro Light" w:hAnsi="Verdana Pro Light" w:cs="Verdana Pro Light"/>
          <w:b/>
          <w:bCs/>
          <w:sz w:val="24"/>
          <w:szCs w:val="24"/>
        </w:rPr>
      </w:pPr>
    </w:p>
    <w:p w14:paraId="76295120" w14:textId="77777777" w:rsidR="00487F99" w:rsidRDefault="00487F99">
      <w:pPr>
        <w:pStyle w:val="NormalWeb"/>
        <w:spacing w:before="0" w:after="0"/>
        <w:ind w:right="-334"/>
        <w:rPr>
          <w:rFonts w:ascii="Verdana Pro Light" w:hAnsi="Verdana Pro Light" w:cs="Verdana Pro Light"/>
          <w:b/>
          <w:bCs/>
          <w:sz w:val="24"/>
          <w:szCs w:val="24"/>
        </w:rPr>
      </w:pPr>
    </w:p>
    <w:p w14:paraId="2A1A29FE" w14:textId="77777777" w:rsidR="00487F99" w:rsidRDefault="00487F99">
      <w:pPr>
        <w:pStyle w:val="NormalWeb"/>
        <w:spacing w:before="0" w:after="0"/>
        <w:ind w:right="-334"/>
        <w:rPr>
          <w:rFonts w:ascii="Verdana Pro Light" w:hAnsi="Verdana Pro Light" w:cs="Verdana Pro Light"/>
          <w:b/>
          <w:bCs/>
          <w:sz w:val="24"/>
          <w:szCs w:val="24"/>
        </w:rPr>
      </w:pPr>
    </w:p>
    <w:p w14:paraId="48C9C85E" w14:textId="77777777" w:rsidR="00487F99" w:rsidRDefault="00487F99">
      <w:pPr>
        <w:pStyle w:val="NormalWeb"/>
        <w:spacing w:before="0" w:after="0"/>
        <w:ind w:right="-334"/>
        <w:rPr>
          <w:rFonts w:ascii="Verdana Pro Light" w:hAnsi="Verdana Pro Light" w:cs="Verdana Pro Light"/>
          <w:b/>
          <w:bCs/>
          <w:sz w:val="24"/>
          <w:szCs w:val="24"/>
        </w:rPr>
      </w:pPr>
    </w:p>
    <w:p w14:paraId="0018A8DA" w14:textId="77777777" w:rsidR="00487F99" w:rsidRDefault="00487F99">
      <w:pPr>
        <w:pStyle w:val="NormalWeb"/>
        <w:spacing w:before="0" w:after="0"/>
        <w:ind w:right="-334"/>
        <w:rPr>
          <w:rFonts w:ascii="Verdana Pro Light" w:hAnsi="Verdana Pro Light" w:cs="Verdana Pro Light"/>
          <w:b/>
          <w:bCs/>
          <w:sz w:val="24"/>
          <w:szCs w:val="24"/>
        </w:rPr>
      </w:pPr>
    </w:p>
    <w:p w14:paraId="4D12597C" w14:textId="77777777" w:rsidR="00487F99" w:rsidRDefault="002B0FCB">
      <w:pPr>
        <w:pStyle w:val="NormalWeb"/>
        <w:spacing w:before="0" w:after="0"/>
        <w:ind w:right="-334"/>
        <w:rPr>
          <w:rFonts w:ascii="Verdana Pro Light" w:hAnsi="Verdana Pro Light" w:cs="Verdana Pro Light"/>
          <w:b/>
          <w:bCs/>
          <w:sz w:val="24"/>
          <w:szCs w:val="24"/>
        </w:rPr>
      </w:pPr>
      <w:r>
        <w:rPr>
          <w:rFonts w:ascii="Verdana Pro Light" w:hAnsi="Verdana Pro Light" w:cs="Verdana Pro Light"/>
          <w:b/>
          <w:bCs/>
          <w:sz w:val="24"/>
          <w:szCs w:val="24"/>
        </w:rPr>
        <w:t>Essay Title</w:t>
      </w:r>
    </w:p>
    <w:p w14:paraId="53FFBCEB" w14:textId="77777777" w:rsidR="00487F99" w:rsidRDefault="00487F99">
      <w:pPr>
        <w:pStyle w:val="NormalWeb"/>
        <w:spacing w:before="0" w:after="0"/>
        <w:ind w:right="-334"/>
        <w:rPr>
          <w:rFonts w:ascii="Verdana Pro Light" w:hAnsi="Verdana Pro Light" w:cs="Verdana Pro Light"/>
          <w:bCs/>
          <w:sz w:val="24"/>
          <w:szCs w:val="24"/>
        </w:rPr>
      </w:pPr>
    </w:p>
    <w:p w14:paraId="14FF66CE" w14:textId="77777777" w:rsidR="00487F99" w:rsidRDefault="002B0FCB">
      <w:pPr>
        <w:pStyle w:val="NormalWeb"/>
        <w:spacing w:before="0" w:after="0"/>
        <w:ind w:right="-334"/>
        <w:rPr>
          <w:rFonts w:ascii="Verdana Pro Light" w:hAnsi="Verdana Pro Light" w:cs="Verdana Pro Light"/>
          <w:bCs/>
          <w:sz w:val="24"/>
          <w:szCs w:val="24"/>
        </w:rPr>
      </w:pPr>
      <w:r>
        <w:rPr>
          <w:rFonts w:ascii="Verdana Pro Light" w:hAnsi="Verdana Pro Light" w:cs="Verdana Pro Light"/>
          <w:bCs/>
          <w:sz w:val="24"/>
          <w:szCs w:val="24"/>
        </w:rPr>
        <w:t xml:space="preserve">Is sacred space a human construct or natural phenomenon? </w:t>
      </w:r>
    </w:p>
    <w:p w14:paraId="2517A1BD" w14:textId="77777777" w:rsidR="00487F99" w:rsidRDefault="00487F99">
      <w:pPr>
        <w:pStyle w:val="NormalWeb"/>
        <w:spacing w:before="0" w:after="0"/>
        <w:ind w:right="-334"/>
        <w:rPr>
          <w:rFonts w:ascii="Verdana Pro Light" w:hAnsi="Verdana Pro Light" w:cs="Verdana Pro Light"/>
          <w:bCs/>
          <w:sz w:val="24"/>
          <w:szCs w:val="24"/>
        </w:rPr>
      </w:pPr>
    </w:p>
    <w:p w14:paraId="16A48C48" w14:textId="77777777" w:rsidR="00487F99" w:rsidRDefault="002B0FCB">
      <w:pPr>
        <w:pStyle w:val="NormalWeb"/>
        <w:spacing w:before="0" w:after="0"/>
        <w:ind w:right="-334"/>
        <w:rPr>
          <w:rFonts w:ascii="Verdana Pro Light" w:hAnsi="Verdana Pro Light" w:cs="Verdana Pro Light"/>
          <w:b/>
          <w:bCs/>
          <w:sz w:val="24"/>
          <w:szCs w:val="24"/>
        </w:rPr>
      </w:pPr>
      <w:r>
        <w:rPr>
          <w:rFonts w:ascii="Verdana Pro Light" w:hAnsi="Verdana Pro Light" w:cs="Verdana Pro Light"/>
          <w:b/>
          <w:bCs/>
          <w:sz w:val="24"/>
          <w:szCs w:val="24"/>
        </w:rPr>
        <w:t>Title of specific research project</w:t>
      </w:r>
    </w:p>
    <w:p w14:paraId="41A6579C" w14:textId="77777777" w:rsidR="00487F99" w:rsidRDefault="00487F99">
      <w:pPr>
        <w:pStyle w:val="NormalWeb"/>
        <w:spacing w:before="0" w:after="0"/>
        <w:ind w:right="-334"/>
        <w:rPr>
          <w:rFonts w:ascii="Verdana Pro Light" w:hAnsi="Verdana Pro Light" w:cs="Verdana Pro Light"/>
          <w:b/>
          <w:bCs/>
          <w:sz w:val="24"/>
          <w:szCs w:val="24"/>
        </w:rPr>
      </w:pPr>
    </w:p>
    <w:p w14:paraId="257BD104" w14:textId="77777777" w:rsidR="00487F99" w:rsidRDefault="002B0FCB">
      <w:pPr>
        <w:pStyle w:val="NormalWeb"/>
        <w:spacing w:before="0" w:after="0"/>
        <w:ind w:right="-334"/>
        <w:rPr>
          <w:rFonts w:ascii="Verdana Pro Light" w:hAnsi="Verdana Pro Light" w:cs="Verdana Pro Light"/>
          <w:sz w:val="24"/>
          <w:szCs w:val="24"/>
        </w:rPr>
      </w:pPr>
      <w:r>
        <w:rPr>
          <w:rFonts w:ascii="Verdana Pro Light" w:hAnsi="Verdana Pro Light" w:cs="Verdana Pro Light"/>
          <w:sz w:val="24"/>
          <w:szCs w:val="24"/>
        </w:rPr>
        <w:t xml:space="preserve">To what extent have humans had on constructing the Guru Nanak Nishkam Sewak Jatha (GNNSJ) gurdwara and how is the sacredness of the GNNSJ gurdwara maintained through its sangat? </w:t>
      </w:r>
    </w:p>
    <w:p w14:paraId="1A0E5C06" w14:textId="77777777" w:rsidR="00487F99" w:rsidRDefault="00487F99">
      <w:pPr>
        <w:pStyle w:val="NormalWeb"/>
        <w:spacing w:before="0" w:after="0"/>
        <w:ind w:right="-334"/>
        <w:rPr>
          <w:rFonts w:ascii="Verdana Pro Light" w:hAnsi="Verdana Pro Light" w:cs="Verdana Pro Light"/>
          <w:sz w:val="24"/>
          <w:szCs w:val="24"/>
        </w:rPr>
      </w:pPr>
    </w:p>
    <w:p w14:paraId="33ED164A" w14:textId="77777777" w:rsidR="00487F99" w:rsidRDefault="002B0FCB">
      <w:pPr>
        <w:pStyle w:val="NormalWeb"/>
        <w:spacing w:before="0" w:after="0"/>
        <w:ind w:right="-334"/>
        <w:rPr>
          <w:rFonts w:ascii="Verdana Pro Light" w:hAnsi="Verdana Pro Light" w:cs="Verdana Pro Light"/>
          <w:b/>
          <w:bCs/>
          <w:sz w:val="24"/>
          <w:szCs w:val="24"/>
        </w:rPr>
      </w:pPr>
      <w:r>
        <w:rPr>
          <w:rFonts w:ascii="Verdana Pro Light" w:hAnsi="Verdana Pro Light" w:cs="Verdana Pro Light"/>
          <w:b/>
          <w:bCs/>
          <w:sz w:val="24"/>
          <w:szCs w:val="24"/>
        </w:rPr>
        <w:t xml:space="preserve">Introduction </w:t>
      </w:r>
    </w:p>
    <w:p w14:paraId="297CF2FF" w14:textId="77777777" w:rsidR="00487F99" w:rsidRDefault="00487F99">
      <w:pPr>
        <w:pStyle w:val="NormalWeb"/>
        <w:spacing w:before="0" w:after="0"/>
        <w:ind w:right="-334"/>
        <w:rPr>
          <w:rFonts w:ascii="Verdana Pro Light" w:hAnsi="Verdana Pro Light" w:cs="Verdana Pro Light"/>
          <w:b/>
          <w:bCs/>
          <w:sz w:val="24"/>
          <w:szCs w:val="24"/>
        </w:rPr>
      </w:pPr>
    </w:p>
    <w:p w14:paraId="3982D982" w14:textId="77777777" w:rsidR="00487F99" w:rsidRDefault="002B0FCB">
      <w:pPr>
        <w:pStyle w:val="NormalWeb"/>
        <w:spacing w:before="0" w:after="0"/>
        <w:ind w:right="-334"/>
        <w:jc w:val="both"/>
        <w:rPr>
          <w:rFonts w:ascii="Verdana Pro Light" w:hAnsi="Verdana Pro Light" w:cs="Verdana Pro Light"/>
          <w:sz w:val="24"/>
          <w:szCs w:val="24"/>
        </w:rPr>
      </w:pPr>
      <w:r>
        <w:rPr>
          <w:rFonts w:ascii="Verdana Pro Light" w:hAnsi="Verdana Pro Light" w:cs="Verdana Pro Light"/>
          <w:sz w:val="24"/>
          <w:szCs w:val="24"/>
        </w:rPr>
        <w:tab/>
        <w:t xml:space="preserve">The aim of this research is to identify whether Guru Nanak Nishkam Sewak Jatha Gurdwara is a sacred space and whether or not it is a human construct. It will also identify If and how the sangat contributes to maintaining the sacredness of the Gurdwara. The study will contain a methodology that identifies the methods used to collect relevant information. It will also contain a literature review, a discussion of field work as well as a conclusion. The abbreviation GNNSJ will be used to reference the term Guru Nanak Nishkam Sewak Jatha. </w:t>
      </w:r>
    </w:p>
    <w:p w14:paraId="6BDF24E5" w14:textId="77777777" w:rsidR="00487F99" w:rsidRDefault="002B0FCB">
      <w:pPr>
        <w:pStyle w:val="NormalWeb"/>
        <w:spacing w:before="0" w:after="0"/>
        <w:ind w:right="-334"/>
        <w:jc w:val="both"/>
      </w:pPr>
      <w:r>
        <w:rPr>
          <w:rFonts w:ascii="Verdana Pro Light" w:hAnsi="Verdana Pro Light" w:cs="Verdana Pro Light"/>
          <w:sz w:val="24"/>
          <w:szCs w:val="24"/>
        </w:rPr>
        <w:tab/>
        <w:t>There are numerous perspectives on sacred space and on the concept of whether humans are responsible for creating it. Eliade, Leeuw and Durkheim’s work on sacred space has been significantly referenced throughout this project. According to John Corrigan</w:t>
      </w:r>
      <w:r>
        <w:rPr>
          <w:rStyle w:val="FootnoteAnchor"/>
          <w:rFonts w:ascii="Verdana Pro Light" w:hAnsi="Verdana Pro Light" w:cs="Verdana Pro Light"/>
          <w:sz w:val="24"/>
          <w:szCs w:val="24"/>
        </w:rPr>
        <w:footnoteReference w:id="1"/>
      </w:r>
      <w:r>
        <w:rPr>
          <w:rFonts w:ascii="Verdana Pro Light" w:hAnsi="Verdana Pro Light" w:cs="Verdana Pro Light"/>
          <w:sz w:val="24"/>
          <w:szCs w:val="24"/>
        </w:rPr>
        <w:t xml:space="preserve"> author of ‘</w:t>
      </w:r>
      <w:r>
        <w:rPr>
          <w:rFonts w:ascii="Verdana Pro Light" w:hAnsi="Verdana Pro Light" w:cs="Verdana Pro Light"/>
          <w:i/>
          <w:iCs/>
          <w:sz w:val="24"/>
          <w:szCs w:val="24"/>
        </w:rPr>
        <w:t>Religion, Space and The Atlantic World’</w:t>
      </w:r>
      <w:r>
        <w:rPr>
          <w:rFonts w:ascii="Verdana Pro Light" w:hAnsi="Verdana Pro Light" w:cs="Verdana Pro Light"/>
          <w:sz w:val="24"/>
          <w:szCs w:val="24"/>
        </w:rPr>
        <w:t xml:space="preserve">, academic work on sacred space is more about asserting a sacred space rather than critically analysing its contexts. </w:t>
      </w:r>
    </w:p>
    <w:p w14:paraId="6A9748C5" w14:textId="77777777" w:rsidR="00487F99" w:rsidRDefault="002B0FCB">
      <w:pPr>
        <w:pStyle w:val="NormalWeb"/>
        <w:spacing w:before="0" w:after="0"/>
        <w:ind w:right="-334"/>
        <w:jc w:val="both"/>
      </w:pPr>
      <w:r>
        <w:rPr>
          <w:rFonts w:ascii="Verdana Pro Light" w:hAnsi="Verdana Pro Light" w:cs="Verdana Pro Light"/>
          <w:sz w:val="24"/>
          <w:szCs w:val="24"/>
        </w:rPr>
        <w:tab/>
        <w:t>The study will be based on a qualitative research method of participant observations. The observations used within this study have been made within the last 3 months. However, working for GNNSJ for 7 years has meant that there has been a huge development of knowledge and understanding of the Sikh faith from an emic perspective. Under the heading of Field work, there will be three themes, Is GNNSJ Gurdwara a human construct? Maintaining the sacredness of the Guru Nanak Nishkam Sewak Jatha Gurdwara through their Code of conduct and Collective worship, with Guru Granth Sahib Ji at the Centre.</w:t>
      </w:r>
    </w:p>
    <w:p w14:paraId="48CF96D7" w14:textId="77777777" w:rsidR="00487F99" w:rsidRDefault="002B0FCB">
      <w:pPr>
        <w:pStyle w:val="NormalWeb"/>
        <w:spacing w:before="0" w:after="0"/>
        <w:ind w:right="-334"/>
        <w:jc w:val="both"/>
      </w:pPr>
      <w:r>
        <w:rPr>
          <w:rFonts w:ascii="Verdana Pro Light" w:hAnsi="Verdana Pro Light" w:cs="Verdana Pro Light"/>
          <w:sz w:val="24"/>
          <w:szCs w:val="24"/>
        </w:rPr>
        <w:lastRenderedPageBreak/>
        <w:tab/>
        <w:t>Guru Nanak Nishkam Sewak Jatha began as an informal organisation in the 1950’s in Kenya and it was here that a saint called Baba Puran Singh Ji led a tiny community into prayer and selfless services. In the 1970’s Saint Baba Puran Singh Ji left Kenya to settle in the UK and was joined by another saint called Bhai Sahib Norang Singh Ji. After settling in the UK, they recognised the difficulties faced by the Sikhs and began to invite individuals and families to join them for collective prayers. By 1972 Bhai Sahib Norang Singh Ji was performing weekly Simran programs at people’s homes. The congregation rapidly increased and people began to meet up at local gurdwaras. In 1975 both Bhai Puran Singh ji and Bhai Norang Singh Ji came together meaning that the community continued to increase until 1976. In 1976-1977 GNNSJ brought the former polish club converting it into a Gurdwara. Guru Nanak Nishkam Sewak Jatha was then legally formalised and the connective properties to the gurdwara, 18-20 was also purchased and this then created a new Gurdwara</w:t>
      </w:r>
      <w:r>
        <w:rPr>
          <w:rStyle w:val="FootnoteAnchor"/>
          <w:rFonts w:ascii="Verdana Pro Light" w:hAnsi="Verdana Pro Light" w:cs="Verdana Pro Light"/>
          <w:sz w:val="24"/>
          <w:szCs w:val="24"/>
        </w:rPr>
        <w:footnoteReference w:id="2"/>
      </w:r>
      <w:r>
        <w:rPr>
          <w:rFonts w:ascii="Verdana Pro Light" w:hAnsi="Verdana Pro Light" w:cs="Verdana Pro Light"/>
          <w:sz w:val="24"/>
          <w:szCs w:val="24"/>
        </w:rPr>
        <w:t>.</w:t>
      </w:r>
    </w:p>
    <w:p w14:paraId="5EDA97CF" w14:textId="77777777" w:rsidR="00487F99" w:rsidRDefault="002B0FCB">
      <w:pPr>
        <w:pStyle w:val="NormalWeb"/>
        <w:spacing w:before="0" w:after="0"/>
        <w:ind w:right="-334"/>
        <w:jc w:val="both"/>
      </w:pPr>
      <w:r>
        <w:rPr>
          <w:rFonts w:ascii="Verdana Pro Light" w:hAnsi="Verdana Pro Light" w:cs="Verdana Pro Light"/>
          <w:sz w:val="24"/>
          <w:szCs w:val="24"/>
        </w:rPr>
        <w:tab/>
        <w:t>The observational research will be linked to the works of Emile Durkheim, Mircea Eliade and Gerardus Van Der Leeuw.  Emile Durkheim, Mircea Eliade and Gerardus Van Der Leeuw are all considered as significant theorists when it comes to the study of Religion. Emile Durkheim is a fundamental figure in the school of Sociology, particularity French Sociology.</w:t>
      </w:r>
      <w:r>
        <w:rPr>
          <w:rStyle w:val="FootnoteAnchor"/>
          <w:rFonts w:ascii="Verdana Pro Light" w:hAnsi="Verdana Pro Light" w:cs="Verdana Pro Light"/>
          <w:sz w:val="24"/>
          <w:szCs w:val="24"/>
        </w:rPr>
        <w:footnoteReference w:id="3"/>
      </w:r>
      <w:r>
        <w:rPr>
          <w:rFonts w:ascii="Verdana Pro Light" w:hAnsi="Verdana Pro Light" w:cs="Verdana Pro Light"/>
          <w:sz w:val="24"/>
          <w:szCs w:val="24"/>
        </w:rPr>
        <w:t xml:space="preserve">  Durkheim’s writings are a collective part of classical sociology. His four major books include ‘</w:t>
      </w:r>
      <w:r>
        <w:rPr>
          <w:rFonts w:ascii="Verdana Pro Light" w:hAnsi="Verdana Pro Light" w:cs="Verdana Pro Light"/>
          <w:i/>
          <w:iCs/>
          <w:sz w:val="24"/>
          <w:szCs w:val="24"/>
        </w:rPr>
        <w:t>The Division of Labour in Society,’ ‘The Rules of Sociological Method,’ ‘Suicide’ and ‘The Elementary Forms of Religious Life.</w:t>
      </w:r>
      <w:r>
        <w:rPr>
          <w:rFonts w:ascii="Verdana Pro Light" w:hAnsi="Verdana Pro Light" w:cs="Verdana Pro Light"/>
          <w:sz w:val="24"/>
          <w:szCs w:val="24"/>
        </w:rPr>
        <w:t>’</w:t>
      </w:r>
      <w:r>
        <w:rPr>
          <w:rStyle w:val="FootnoteAnchor"/>
          <w:rFonts w:ascii="Verdana Pro Light" w:hAnsi="Verdana Pro Light" w:cs="Verdana Pro Light"/>
          <w:sz w:val="24"/>
          <w:szCs w:val="24"/>
        </w:rPr>
        <w:footnoteReference w:id="4"/>
      </w:r>
      <w:r>
        <w:rPr>
          <w:rFonts w:ascii="Verdana Pro Light" w:hAnsi="Verdana Pro Light" w:cs="Verdana Pro Light"/>
          <w:sz w:val="24"/>
          <w:szCs w:val="24"/>
        </w:rPr>
        <w:t xml:space="preserve"> </w:t>
      </w:r>
    </w:p>
    <w:p w14:paraId="02FEDB03" w14:textId="77777777" w:rsidR="00487F99" w:rsidRDefault="002B0FCB">
      <w:pPr>
        <w:pStyle w:val="NormalWeb"/>
        <w:spacing w:before="0" w:after="0"/>
        <w:ind w:right="-334"/>
        <w:jc w:val="both"/>
        <w:rPr>
          <w:rFonts w:ascii="Verdana Pro Cond Light" w:hAnsi="Verdana Pro Cond Light" w:cs="Verdana Pro Cond Light"/>
          <w:sz w:val="24"/>
          <w:szCs w:val="24"/>
        </w:rPr>
      </w:pPr>
      <w:r>
        <w:rPr>
          <w:rFonts w:ascii="Verdana Pro Light" w:hAnsi="Verdana Pro Light" w:cs="Verdana Pro Light"/>
          <w:sz w:val="24"/>
          <w:szCs w:val="24"/>
        </w:rPr>
        <w:tab/>
        <w:t>Mircea Eliade was a Romanian historian, philosopher, poet, and author. He gained his P.H.D at the University of Bucharest and spent many years teaching as a professor at the University of Chicago. Furthermore, Eliade was a key figure in the study of religious history and provided an inclusive and non-dogmatic approach to Religious Studies.</w:t>
      </w:r>
      <w:r>
        <w:rPr>
          <w:rStyle w:val="FootnoteAnchor"/>
          <w:rFonts w:ascii="Verdana Pro Light" w:hAnsi="Verdana Pro Light" w:cs="Verdana Pro Light"/>
          <w:sz w:val="24"/>
          <w:szCs w:val="24"/>
        </w:rPr>
        <w:footnoteReference w:id="5"/>
      </w:r>
      <w:r>
        <w:rPr>
          <w:rStyle w:val="FootnoteAnchor"/>
          <w:rFonts w:ascii="Verdana Pro Light" w:hAnsi="Verdana Pro Light" w:cs="Verdana Pro Light"/>
          <w:sz w:val="24"/>
          <w:szCs w:val="24"/>
        </w:rPr>
        <w:t xml:space="preserve"> </w:t>
      </w:r>
      <w:r>
        <w:rPr>
          <w:rFonts w:ascii="Verdana Pro Light" w:hAnsi="Verdana Pro Light" w:cs="Verdana Pro Light"/>
          <w:sz w:val="24"/>
          <w:szCs w:val="24"/>
        </w:rPr>
        <w:t>Eliade was a chairman of the department of the history of religions at the university of Chicago. Among his books are ‘T</w:t>
      </w:r>
      <w:r>
        <w:rPr>
          <w:rFonts w:ascii="Verdana Pro Light" w:hAnsi="Verdana Pro Light" w:cs="Verdana Pro Light"/>
          <w:i/>
          <w:iCs/>
          <w:sz w:val="24"/>
          <w:szCs w:val="24"/>
        </w:rPr>
        <w:t>he Myth of Eternal Reunion’, ‘Patterns in Comparative Religion’,</w:t>
      </w:r>
      <w:r>
        <w:rPr>
          <w:rFonts w:ascii="Verdana Pro Light" w:hAnsi="Verdana Pro Light" w:cs="Verdana Pro Light"/>
          <w:sz w:val="24"/>
          <w:szCs w:val="24"/>
        </w:rPr>
        <w:t xml:space="preserve"> </w:t>
      </w:r>
      <w:r>
        <w:rPr>
          <w:rFonts w:ascii="Verdana Pro Light" w:hAnsi="Verdana Pro Light" w:cs="Verdana Pro Light"/>
          <w:i/>
          <w:iCs/>
          <w:sz w:val="24"/>
          <w:szCs w:val="24"/>
        </w:rPr>
        <w:t>‘Birth and Rebirth’</w:t>
      </w:r>
      <w:r>
        <w:rPr>
          <w:rFonts w:ascii="Verdana Pro Light" w:hAnsi="Verdana Pro Light" w:cs="Verdana Pro Light"/>
          <w:sz w:val="24"/>
          <w:szCs w:val="24"/>
        </w:rPr>
        <w:t xml:space="preserve">, and </w:t>
      </w:r>
      <w:r>
        <w:rPr>
          <w:rFonts w:ascii="Verdana Pro Light" w:hAnsi="Verdana Pro Light" w:cs="Verdana Pro Light"/>
          <w:i/>
          <w:iCs/>
          <w:sz w:val="24"/>
          <w:szCs w:val="24"/>
        </w:rPr>
        <w:t>‘Yoga’,</w:t>
      </w:r>
      <w:r>
        <w:rPr>
          <w:rFonts w:ascii="Verdana Pro Light" w:hAnsi="Verdana Pro Light" w:cs="Verdana Pro Light"/>
          <w:sz w:val="24"/>
          <w:szCs w:val="24"/>
        </w:rPr>
        <w:t xml:space="preserve"> ‘</w:t>
      </w:r>
      <w:r>
        <w:rPr>
          <w:rFonts w:ascii="Verdana Pro Light" w:hAnsi="Verdana Pro Light" w:cs="Verdana Pro Light"/>
          <w:i/>
          <w:iCs/>
          <w:sz w:val="24"/>
          <w:szCs w:val="24"/>
        </w:rPr>
        <w:t>Immortality and Freedom’</w:t>
      </w:r>
      <w:r>
        <w:rPr>
          <w:rFonts w:ascii="Verdana Pro Light" w:hAnsi="Verdana Pro Light" w:cs="Verdana Pro Light"/>
          <w:sz w:val="24"/>
          <w:szCs w:val="24"/>
        </w:rPr>
        <w:t>.</w:t>
      </w:r>
      <w:r>
        <w:rPr>
          <w:rStyle w:val="FootnoteAnchor"/>
          <w:rFonts w:ascii="Verdana Pro Light" w:hAnsi="Verdana Pro Light" w:cs="Verdana Pro Light"/>
          <w:sz w:val="24"/>
          <w:szCs w:val="24"/>
        </w:rPr>
        <w:footnoteReference w:id="6"/>
      </w:r>
    </w:p>
    <w:p w14:paraId="0624AA68" w14:textId="3D7F97FA" w:rsidR="00487F99" w:rsidRDefault="002B0FCB">
      <w:pPr>
        <w:pStyle w:val="NormalWeb"/>
        <w:spacing w:before="0" w:after="0"/>
        <w:ind w:right="-334"/>
        <w:jc w:val="both"/>
        <w:rPr>
          <w:rFonts w:ascii="Verdana Pro Light" w:hAnsi="Verdana Pro Light" w:cs="Verdana Pro Light"/>
          <w:b/>
          <w:bCs/>
          <w:sz w:val="24"/>
          <w:szCs w:val="24"/>
        </w:rPr>
      </w:pPr>
      <w:r>
        <w:rPr>
          <w:rFonts w:ascii="Verdana Pro Cond Light" w:hAnsi="Verdana Pro Cond Light" w:cs="Verdana Pro Cond Light"/>
          <w:sz w:val="24"/>
          <w:szCs w:val="24"/>
        </w:rPr>
        <w:tab/>
      </w:r>
      <w:r>
        <w:rPr>
          <w:rFonts w:ascii="Verdana Pro Light" w:hAnsi="Verdana Pro Light" w:cs="Verdana Pro Light"/>
          <w:sz w:val="24"/>
          <w:szCs w:val="24"/>
        </w:rPr>
        <w:t xml:space="preserve">Gerardus Van Der Leeuw was a scholar of comparative study and phenomenology of religion. He was educated in theology at the University of Leiden. History of Religions became his specific field of study, and it was here that he focused on ancient Egyptian religions. He practised as a minister in the Dutch reformed church until he was appointed as chair of History of Religions and History of Doctrine of God at the University of Groningen in 1918. He created work on religious art from Christian music to Egyptian art as well as ancient Greek </w:t>
      </w:r>
      <w:r w:rsidR="000C6C68">
        <w:rPr>
          <w:rFonts w:ascii="Verdana Pro Light" w:hAnsi="Verdana Pro Light" w:cs="Verdana Pro Light"/>
          <w:sz w:val="24"/>
          <w:szCs w:val="24"/>
        </w:rPr>
        <w:t>lamentations</w:t>
      </w:r>
      <w:r>
        <w:rPr>
          <w:rFonts w:ascii="Verdana Pro Light" w:hAnsi="Verdana Pro Light" w:cs="Verdana Pro Light"/>
          <w:sz w:val="24"/>
          <w:szCs w:val="24"/>
        </w:rPr>
        <w:t xml:space="preserve">. The most prominent piece of writing is </w:t>
      </w:r>
      <w:r>
        <w:rPr>
          <w:rFonts w:ascii="Verdana Pro Light" w:hAnsi="Verdana Pro Light" w:cs="Verdana Pro Light"/>
          <w:i/>
          <w:iCs/>
          <w:sz w:val="24"/>
          <w:szCs w:val="24"/>
        </w:rPr>
        <w:t xml:space="preserve">‘Sacred and Profane </w:t>
      </w:r>
      <w:r>
        <w:rPr>
          <w:rFonts w:ascii="Verdana Pro Light" w:hAnsi="Verdana Pro Light" w:cs="Verdana Pro Light"/>
          <w:i/>
          <w:iCs/>
          <w:sz w:val="24"/>
          <w:szCs w:val="24"/>
        </w:rPr>
        <w:lastRenderedPageBreak/>
        <w:t>Beauty: The Holy in Art’</w:t>
      </w:r>
      <w:r>
        <w:rPr>
          <w:rFonts w:ascii="Verdana Pro Light" w:hAnsi="Verdana Pro Light" w:cs="Verdana Pro Light"/>
          <w:sz w:val="24"/>
          <w:szCs w:val="24"/>
        </w:rPr>
        <w:t xml:space="preserve">. Other works include </w:t>
      </w:r>
      <w:r>
        <w:rPr>
          <w:rFonts w:ascii="Verdana Pro Light" w:hAnsi="Verdana Pro Light" w:cs="Verdana Pro Light"/>
          <w:i/>
          <w:iCs/>
          <w:sz w:val="24"/>
          <w:szCs w:val="24"/>
        </w:rPr>
        <w:t>‘Religion in Essence and Manifestation’.</w:t>
      </w:r>
      <w:r>
        <w:rPr>
          <w:rFonts w:ascii="Verdana Pro Light" w:hAnsi="Verdana Pro Light" w:cs="Verdana Pro Light"/>
          <w:sz w:val="24"/>
          <w:szCs w:val="24"/>
        </w:rPr>
        <w:t xml:space="preserve"> Both pieces of writing have been translated into English.</w:t>
      </w:r>
      <w:r>
        <w:rPr>
          <w:rStyle w:val="FootnoteAnchor"/>
          <w:rFonts w:ascii="Verdana Pro Light" w:hAnsi="Verdana Pro Light" w:cs="Verdana Pro Light"/>
          <w:sz w:val="24"/>
          <w:szCs w:val="24"/>
        </w:rPr>
        <w:footnoteReference w:id="7"/>
      </w:r>
    </w:p>
    <w:p w14:paraId="47AA009F" w14:textId="77777777" w:rsidR="00487F99" w:rsidRDefault="00487F99">
      <w:pPr>
        <w:pStyle w:val="NormalWeb"/>
        <w:spacing w:before="0" w:after="0"/>
        <w:ind w:right="-334"/>
        <w:jc w:val="both"/>
        <w:rPr>
          <w:rFonts w:ascii="Verdana Pro Light" w:hAnsi="Verdana Pro Light" w:cs="Verdana Pro Light"/>
          <w:b/>
          <w:bCs/>
          <w:sz w:val="24"/>
          <w:szCs w:val="24"/>
        </w:rPr>
      </w:pPr>
    </w:p>
    <w:p w14:paraId="5FE69E01" w14:textId="77777777" w:rsidR="00487F99" w:rsidRDefault="002B0FCB">
      <w:pPr>
        <w:pStyle w:val="NormalWeb"/>
        <w:spacing w:before="0" w:after="0"/>
        <w:ind w:right="-334"/>
        <w:jc w:val="both"/>
        <w:rPr>
          <w:rFonts w:ascii="Verdana Pro Light" w:hAnsi="Verdana Pro Light" w:cs="Verdana Pro Light"/>
          <w:b/>
          <w:bCs/>
          <w:sz w:val="24"/>
          <w:szCs w:val="24"/>
        </w:rPr>
      </w:pPr>
      <w:r>
        <w:rPr>
          <w:rFonts w:ascii="Verdana Pro Light" w:hAnsi="Verdana Pro Light" w:cs="Verdana Pro Light"/>
          <w:b/>
          <w:bCs/>
          <w:sz w:val="24"/>
          <w:szCs w:val="24"/>
        </w:rPr>
        <w:t>Definition of key terms</w:t>
      </w:r>
    </w:p>
    <w:p w14:paraId="2D487D82" w14:textId="77777777" w:rsidR="00487F99" w:rsidRDefault="002B0FCB">
      <w:pPr>
        <w:pStyle w:val="NormalWeb"/>
        <w:spacing w:before="0" w:after="0"/>
        <w:ind w:right="-334"/>
        <w:jc w:val="both"/>
      </w:pPr>
      <w:r>
        <w:rPr>
          <w:rFonts w:ascii="Verdana Pro Light" w:hAnsi="Verdana Pro Light" w:cs="Verdana Pro Light"/>
          <w:sz w:val="24"/>
          <w:szCs w:val="24"/>
        </w:rPr>
        <w:t>Amritdhari- a Sikh who has been initiated into the Khalsa, a brotherhood created by the 10</w:t>
      </w:r>
      <w:r>
        <w:rPr>
          <w:rFonts w:ascii="Verdana Pro Light" w:hAnsi="Verdana Pro Light" w:cs="Verdana Pro Light"/>
          <w:sz w:val="24"/>
          <w:szCs w:val="24"/>
          <w:vertAlign w:val="superscript"/>
        </w:rPr>
        <w:t>th</w:t>
      </w:r>
      <w:r>
        <w:rPr>
          <w:rFonts w:ascii="Verdana Pro Light" w:hAnsi="Verdana Pro Light" w:cs="Verdana Pro Light"/>
          <w:sz w:val="24"/>
          <w:szCs w:val="24"/>
        </w:rPr>
        <w:t xml:space="preserve"> Guru, Guru Gobind Singh Ji. This gave a true Sikh their identity and separated them from the Hindus and the Muslims. To become a ‘true Sikh’ they need to take part in a ceremony called amrit Sanskar. An Amritdhari Sikh should use the surname Singh or Kaur and observe the 5’ks: Kesh- uncut hair, Kanga- a wooden comb, kara- a steel bangle, Kashera- cotton shorts and a kirpan- a double edge sword. Furthermore, amritdhari Sikhs are forbidden from eating meat, drinking alcohol, cutting hair, and committing adultery.</w:t>
      </w:r>
      <w:r>
        <w:rPr>
          <w:rStyle w:val="FootnoteAnchor"/>
          <w:rFonts w:ascii="Verdana Pro Light" w:hAnsi="Verdana Pro Light" w:cs="Verdana Pro Light"/>
          <w:sz w:val="24"/>
          <w:szCs w:val="24"/>
        </w:rPr>
        <w:footnoteReference w:id="8"/>
      </w:r>
      <w:r>
        <w:rPr>
          <w:rFonts w:ascii="Verdana Pro Light" w:hAnsi="Verdana Pro Light" w:cs="Verdana Pro Light"/>
          <w:sz w:val="24"/>
          <w:szCs w:val="24"/>
        </w:rPr>
        <w:t xml:space="preserve"> </w:t>
      </w:r>
    </w:p>
    <w:p w14:paraId="5103A257" w14:textId="77777777" w:rsidR="00487F99" w:rsidRDefault="002B0FCB">
      <w:pPr>
        <w:pStyle w:val="NormalWeb"/>
        <w:spacing w:before="0" w:after="0"/>
        <w:ind w:right="-334"/>
        <w:jc w:val="both"/>
      </w:pPr>
      <w:r>
        <w:rPr>
          <w:rFonts w:ascii="Verdana Pro Light" w:hAnsi="Verdana Pro Light" w:cs="Verdana Pro Light"/>
          <w:sz w:val="24"/>
          <w:szCs w:val="24"/>
        </w:rPr>
        <w:t>Maharaj translates to king.</w:t>
      </w:r>
      <w:r>
        <w:rPr>
          <w:rStyle w:val="FootnoteAnchor"/>
          <w:rFonts w:ascii="Verdana Pro Light" w:hAnsi="Verdana Pro Light" w:cs="Verdana Pro Light"/>
          <w:sz w:val="24"/>
          <w:szCs w:val="24"/>
        </w:rPr>
        <w:footnoteReference w:id="9"/>
      </w:r>
      <w:r>
        <w:rPr>
          <w:rFonts w:ascii="Verdana Pro Light" w:hAnsi="Verdana Pro Light" w:cs="Verdana Pro Light"/>
          <w:sz w:val="24"/>
          <w:szCs w:val="24"/>
        </w:rPr>
        <w:t xml:space="preserve"> and is used to reference Guru Granth Sahib Ji. </w:t>
      </w:r>
    </w:p>
    <w:p w14:paraId="1377D3B4" w14:textId="77777777" w:rsidR="00487F99" w:rsidRDefault="002B0FCB">
      <w:pPr>
        <w:pStyle w:val="NormalWeb"/>
        <w:spacing w:before="0" w:after="0"/>
        <w:ind w:right="-334"/>
        <w:jc w:val="both"/>
      </w:pPr>
      <w:r>
        <w:rPr>
          <w:rFonts w:ascii="Verdana Pro Light" w:hAnsi="Verdana Pro Light" w:cs="Verdana Pro Light"/>
          <w:sz w:val="24"/>
          <w:szCs w:val="24"/>
        </w:rPr>
        <w:t>Guru Granth Sahib Ji – the holy scriptures for Sikhs.</w:t>
      </w:r>
      <w:r>
        <w:rPr>
          <w:rStyle w:val="FootnoteAnchor"/>
          <w:rFonts w:ascii="Verdana Pro Light" w:hAnsi="Verdana Pro Light" w:cs="Verdana Pro Light"/>
          <w:sz w:val="24"/>
          <w:szCs w:val="24"/>
        </w:rPr>
        <w:footnoteReference w:id="10"/>
      </w:r>
      <w:r>
        <w:rPr>
          <w:rFonts w:ascii="Verdana Pro Light" w:hAnsi="Verdana Pro Light" w:cs="Verdana Pro Light"/>
          <w:sz w:val="24"/>
          <w:szCs w:val="24"/>
        </w:rPr>
        <w:t xml:space="preserve">  </w:t>
      </w:r>
    </w:p>
    <w:p w14:paraId="770149AC" w14:textId="77777777" w:rsidR="00487F99" w:rsidRDefault="00487F99">
      <w:pPr>
        <w:pStyle w:val="NormalWeb"/>
        <w:spacing w:before="0" w:after="0"/>
        <w:ind w:right="-334"/>
        <w:jc w:val="both"/>
        <w:rPr>
          <w:rFonts w:ascii="Verdana Pro Light" w:hAnsi="Verdana Pro Light" w:cs="Verdana Pro Light"/>
          <w:b/>
          <w:bCs/>
          <w:sz w:val="24"/>
          <w:szCs w:val="24"/>
        </w:rPr>
      </w:pPr>
    </w:p>
    <w:p w14:paraId="07744EEA" w14:textId="77777777" w:rsidR="00487F99" w:rsidRDefault="002B0FCB">
      <w:pPr>
        <w:pStyle w:val="NormalWeb"/>
        <w:spacing w:before="0" w:after="0"/>
        <w:ind w:right="-334"/>
        <w:jc w:val="both"/>
        <w:rPr>
          <w:rFonts w:ascii="Verdana Pro Light" w:hAnsi="Verdana Pro Light" w:cs="Verdana Pro Light"/>
          <w:sz w:val="24"/>
          <w:szCs w:val="24"/>
        </w:rPr>
      </w:pPr>
      <w:r>
        <w:rPr>
          <w:rFonts w:ascii="Verdana Pro Light" w:hAnsi="Verdana Pro Light" w:cs="Verdana Pro Light"/>
          <w:sz w:val="24"/>
          <w:szCs w:val="24"/>
        </w:rPr>
        <w:tab/>
      </w:r>
    </w:p>
    <w:p w14:paraId="14040B34" w14:textId="77777777" w:rsidR="00487F99" w:rsidRDefault="002B0FCB">
      <w:pPr>
        <w:pStyle w:val="NormalWeb"/>
        <w:spacing w:before="0" w:after="0"/>
        <w:ind w:right="-334"/>
        <w:rPr>
          <w:rFonts w:ascii="Verdana Pro Light" w:hAnsi="Verdana Pro Light" w:cs="Verdana Pro Light"/>
          <w:b/>
          <w:bCs/>
          <w:sz w:val="24"/>
          <w:szCs w:val="24"/>
        </w:rPr>
      </w:pPr>
      <w:r>
        <w:rPr>
          <w:rFonts w:ascii="Verdana Pro Light" w:hAnsi="Verdana Pro Light" w:cs="Verdana Pro Light"/>
          <w:b/>
          <w:bCs/>
          <w:sz w:val="24"/>
          <w:szCs w:val="24"/>
        </w:rPr>
        <w:t xml:space="preserve">Methodology </w:t>
      </w:r>
    </w:p>
    <w:p w14:paraId="7A2E7319" w14:textId="77777777" w:rsidR="00487F99" w:rsidRDefault="002B0FCB">
      <w:pPr>
        <w:pStyle w:val="NormalWeb"/>
        <w:spacing w:before="0" w:after="0"/>
        <w:ind w:right="-334"/>
        <w:jc w:val="both"/>
      </w:pPr>
      <w:r>
        <w:rPr>
          <w:rFonts w:ascii="Verdana Pro Light" w:hAnsi="Verdana Pro Light" w:cs="Verdana Pro Light"/>
          <w:sz w:val="24"/>
          <w:szCs w:val="24"/>
        </w:rPr>
        <w:tab/>
        <w:t>The methodology for this project will be a combination of literature and observations through participation. The benefit of observation participation is that it helps to gain knowledge from an emic perspective. Brian an anthropologist points out, that participants may take a job within the organisation being studied to conduct participate observations. This may lead to the observer adapting to the way of life even though they appear to come from another culture, and it is this insight that helps anthropologists to gain the knowledge of cultural and social life.</w:t>
      </w:r>
      <w:r>
        <w:rPr>
          <w:rStyle w:val="FootnoteAnchor"/>
          <w:rFonts w:ascii="Verdana Pro Light" w:hAnsi="Verdana Pro Light" w:cs="Verdana Pro Light"/>
          <w:sz w:val="24"/>
          <w:szCs w:val="24"/>
        </w:rPr>
        <w:footnoteReference w:id="11"/>
      </w:r>
      <w:r>
        <w:rPr>
          <w:rFonts w:ascii="Verdana Pro Light" w:hAnsi="Verdana Pro Light" w:cs="Verdana Pro Light"/>
          <w:sz w:val="24"/>
          <w:szCs w:val="24"/>
        </w:rPr>
        <w:t xml:space="preserve"> For the past 8 years I have been working for Guru Nanak Nishkam Sewak Jatha (GNNSJ) in their education department. Within the years I have participated in religious events that have taken place at the Gurdwara such as Vaisakhi, Diwali and Guru Nanak 550</w:t>
      </w:r>
      <w:r>
        <w:rPr>
          <w:rFonts w:ascii="Verdana Pro Light" w:hAnsi="Verdana Pro Light" w:cs="Verdana Pro Light"/>
          <w:sz w:val="24"/>
          <w:szCs w:val="24"/>
          <w:vertAlign w:val="superscript"/>
        </w:rPr>
        <w:t>th</w:t>
      </w:r>
      <w:r>
        <w:rPr>
          <w:rFonts w:ascii="Verdana Pro Light" w:hAnsi="Verdana Pro Light" w:cs="Verdana Pro Light"/>
          <w:sz w:val="24"/>
          <w:szCs w:val="24"/>
        </w:rPr>
        <w:t xml:space="preserve"> Gurpurab. I have also taken part in various Sewa, a selfless service. This participation has provided great insight into the Sikh way of life as well as in Punjabi and African Punjabi culture. This experience was all new to me as I grew up in a predominate white British area. My interactions with other cultures and races were forbidden by parents. In high school I attended my first religious studies lesson where I was taught about the Hindu dharma, and it was here that I developed an interest in world religions and people of diverse cultures. I also began developing my own relationship with God but struggled to settle into one faith. This interest led me to study religious studies at university and go onto teaching at the Sikh nursery and work for GNNSJ Trust.</w:t>
      </w:r>
    </w:p>
    <w:p w14:paraId="63028289" w14:textId="77777777" w:rsidR="00487F99" w:rsidRDefault="002B0FCB">
      <w:pPr>
        <w:pStyle w:val="NormalWeb"/>
        <w:spacing w:before="0" w:after="0"/>
        <w:ind w:right="-334"/>
        <w:jc w:val="both"/>
      </w:pPr>
      <w:r>
        <w:rPr>
          <w:rFonts w:ascii="Verdana Pro Light" w:hAnsi="Verdana Pro Light" w:cs="Verdana Pro Light"/>
          <w:sz w:val="24"/>
          <w:szCs w:val="24"/>
        </w:rPr>
        <w:tab/>
        <w:t xml:space="preserve">Participant observations was used by anthropologist Malinowski who studied the Argonauts. Malinowski took part in many of the activities helping </w:t>
      </w:r>
      <w:r>
        <w:rPr>
          <w:rFonts w:ascii="Verdana Pro Light" w:hAnsi="Verdana Pro Light" w:cs="Verdana Pro Light"/>
          <w:sz w:val="24"/>
          <w:szCs w:val="24"/>
        </w:rPr>
        <w:lastRenderedPageBreak/>
        <w:t>him to gain greater knowledge on reciprocity, gift and exchange in tribal communities from an emic perspective.</w:t>
      </w:r>
      <w:r>
        <w:rPr>
          <w:rStyle w:val="FootnoteAnchor"/>
          <w:rFonts w:ascii="Verdana Pro Light" w:hAnsi="Verdana Pro Light" w:cs="Verdana Pro Light"/>
          <w:sz w:val="24"/>
          <w:szCs w:val="24"/>
        </w:rPr>
        <w:footnoteReference w:id="12"/>
      </w:r>
      <w:r>
        <w:rPr>
          <w:rFonts w:ascii="Verdana Pro Light" w:hAnsi="Verdana Pro Light" w:cs="Verdana Pro Light"/>
          <w:sz w:val="24"/>
          <w:szCs w:val="24"/>
        </w:rPr>
        <w:t xml:space="preserve"> Although I am not from the Sikh faith, I have taken on an emic perspective which has helped to gain greater knowledge and understanding of the Sikh religion, culture and practices.  </w:t>
      </w:r>
    </w:p>
    <w:p w14:paraId="7256B6BB" w14:textId="77777777" w:rsidR="00487F99" w:rsidRDefault="002B0FCB">
      <w:pPr>
        <w:pStyle w:val="NormalWeb"/>
        <w:spacing w:before="0" w:after="0"/>
        <w:ind w:right="-334"/>
        <w:jc w:val="both"/>
      </w:pPr>
      <w:r>
        <w:rPr>
          <w:rFonts w:ascii="Verdana Pro Light" w:hAnsi="Verdana Pro Light" w:cs="Verdana Pro Light"/>
          <w:sz w:val="24"/>
          <w:szCs w:val="24"/>
        </w:rPr>
        <w:tab/>
        <w:t>As well as using participant observations I will also be required to use appropriate literature. A benefit of using literature for research according to Ridley</w:t>
      </w:r>
      <w:r>
        <w:rPr>
          <w:rStyle w:val="FootnoteAnchor"/>
          <w:rFonts w:ascii="Verdana Pro Light" w:hAnsi="Verdana Pro Light" w:cs="Verdana Pro Light"/>
          <w:sz w:val="24"/>
          <w:szCs w:val="24"/>
        </w:rPr>
        <w:footnoteReference w:id="13"/>
      </w:r>
      <w:r>
        <w:rPr>
          <w:rFonts w:ascii="Verdana Pro Light" w:hAnsi="Verdana Pro Light" w:cs="Verdana Pro Light"/>
          <w:sz w:val="24"/>
          <w:szCs w:val="24"/>
        </w:rPr>
        <w:t xml:space="preserve"> is that literature helps the researcher to develop the research question whilst identifying the appropriate theories, associated research studies and methodology. Moreover, the literature can be used to help analyse and interpret the researcher’s findings. </w:t>
      </w:r>
    </w:p>
    <w:p w14:paraId="03AD1288" w14:textId="77777777" w:rsidR="00487F99" w:rsidRDefault="002B0FCB">
      <w:pPr>
        <w:pStyle w:val="NormalWeb"/>
        <w:spacing w:before="0" w:after="0"/>
        <w:ind w:right="-334"/>
        <w:jc w:val="both"/>
        <w:rPr>
          <w:rFonts w:ascii="Verdana Pro Light" w:hAnsi="Verdana Pro Light" w:cs="Verdana Pro Light"/>
          <w:sz w:val="24"/>
          <w:szCs w:val="24"/>
        </w:rPr>
      </w:pPr>
      <w:r>
        <w:rPr>
          <w:rFonts w:ascii="Verdana Pro Light" w:hAnsi="Verdana Pro Light" w:cs="Verdana Pro Light"/>
          <w:sz w:val="24"/>
          <w:szCs w:val="24"/>
        </w:rPr>
        <w:tab/>
      </w:r>
    </w:p>
    <w:p w14:paraId="21ACA2C8" w14:textId="77777777" w:rsidR="00487F99" w:rsidRDefault="002B0FCB">
      <w:pPr>
        <w:pStyle w:val="NormalWeb"/>
        <w:spacing w:before="0" w:after="0"/>
        <w:ind w:right="-334"/>
        <w:rPr>
          <w:rFonts w:ascii="Verdana Pro Light" w:hAnsi="Verdana Pro Light" w:cs="Verdana Pro Light"/>
          <w:b/>
          <w:bCs/>
          <w:sz w:val="24"/>
          <w:szCs w:val="24"/>
        </w:rPr>
      </w:pPr>
      <w:r>
        <w:rPr>
          <w:rFonts w:ascii="Verdana Pro Light" w:hAnsi="Verdana Pro Light" w:cs="Verdana Pro Light"/>
          <w:b/>
          <w:bCs/>
          <w:sz w:val="24"/>
          <w:szCs w:val="24"/>
        </w:rPr>
        <w:t xml:space="preserve">Literature Review </w:t>
      </w:r>
    </w:p>
    <w:p w14:paraId="76ED8F0C" w14:textId="77777777" w:rsidR="00487F99" w:rsidRDefault="002B0FCB">
      <w:pPr>
        <w:pStyle w:val="NormalWeb"/>
        <w:spacing w:before="0" w:after="0"/>
        <w:ind w:right="-334"/>
        <w:rPr>
          <w:rFonts w:ascii="Verdana Pro Light" w:eastAsia="Verdana Pro Light" w:hAnsi="Verdana Pro Light" w:cs="Verdana Pro Light"/>
          <w:b/>
          <w:bCs/>
          <w:sz w:val="24"/>
          <w:szCs w:val="24"/>
        </w:rPr>
      </w:pPr>
      <w:r>
        <w:rPr>
          <w:rFonts w:ascii="Verdana Pro Light" w:eastAsia="Verdana Pro Light" w:hAnsi="Verdana Pro Light" w:cs="Verdana Pro Light"/>
          <w:b/>
          <w:bCs/>
          <w:sz w:val="24"/>
          <w:szCs w:val="24"/>
        </w:rPr>
        <w:t xml:space="preserve"> </w:t>
      </w:r>
    </w:p>
    <w:p w14:paraId="1295A8A3" w14:textId="77777777" w:rsidR="00487F99" w:rsidRDefault="002B0FCB">
      <w:pPr>
        <w:pStyle w:val="NormalWeb"/>
        <w:spacing w:before="0" w:after="0"/>
        <w:ind w:right="-334"/>
        <w:jc w:val="both"/>
        <w:rPr>
          <w:rFonts w:ascii="Verdana Pro Light" w:hAnsi="Verdana Pro Light" w:cs="Verdana Pro Light"/>
          <w:b/>
          <w:bCs/>
          <w:sz w:val="24"/>
          <w:szCs w:val="24"/>
        </w:rPr>
      </w:pPr>
      <w:r>
        <w:rPr>
          <w:rFonts w:ascii="Verdana Pro Light" w:hAnsi="Verdana Pro Light" w:cs="Verdana Pro Light"/>
          <w:b/>
          <w:bCs/>
          <w:sz w:val="24"/>
          <w:szCs w:val="24"/>
        </w:rPr>
        <w:t>Sacredness</w:t>
      </w:r>
    </w:p>
    <w:p w14:paraId="127330A3" w14:textId="77777777" w:rsidR="00487F99" w:rsidRDefault="002B0FCB">
      <w:pPr>
        <w:pStyle w:val="NormalWeb"/>
        <w:spacing w:before="0" w:after="0"/>
        <w:ind w:right="-334"/>
        <w:jc w:val="both"/>
        <w:rPr>
          <w:rFonts w:ascii="Verdana Pro Light" w:hAnsi="Verdana Pro Light" w:cs="Verdana Pro Light"/>
          <w:sz w:val="24"/>
          <w:szCs w:val="24"/>
        </w:rPr>
      </w:pPr>
      <w:r>
        <w:rPr>
          <w:rFonts w:ascii="Verdana Pro Light" w:hAnsi="Verdana Pro Light" w:cs="Verdana Pro Light"/>
          <w:sz w:val="24"/>
          <w:szCs w:val="24"/>
        </w:rPr>
        <w:tab/>
        <w:t>The term sacred has been defined by many scholars of Religion as well as scholars of Sociology. The key theorists in identifying the terms sacred and</w:t>
      </w:r>
    </w:p>
    <w:p w14:paraId="681D9243" w14:textId="77777777" w:rsidR="00487F99" w:rsidRDefault="002B0FCB">
      <w:pPr>
        <w:pStyle w:val="NormalWeb"/>
        <w:spacing w:before="0" w:after="0"/>
        <w:ind w:right="-334"/>
        <w:jc w:val="both"/>
        <w:rPr>
          <w:rFonts w:ascii="Verdana Pro Light" w:hAnsi="Verdana Pro Light" w:cs="Verdana Pro Light"/>
          <w:sz w:val="24"/>
          <w:szCs w:val="24"/>
        </w:rPr>
      </w:pPr>
      <w:r>
        <w:rPr>
          <w:rFonts w:ascii="Verdana Pro Light" w:hAnsi="Verdana Pro Light" w:cs="Verdana Pro Light"/>
          <w:sz w:val="24"/>
          <w:szCs w:val="24"/>
        </w:rPr>
        <w:t xml:space="preserve">profane are Emile Durkheim and Mircea Eliade. However, G Van Der Leeuw is also significant when identifying the sacred space. </w:t>
      </w:r>
    </w:p>
    <w:p w14:paraId="51810542" w14:textId="77777777" w:rsidR="00487F99" w:rsidRDefault="002B0FCB">
      <w:pPr>
        <w:pStyle w:val="NormalWeb"/>
        <w:spacing w:before="0" w:after="0"/>
        <w:ind w:right="-334"/>
        <w:jc w:val="both"/>
      </w:pPr>
      <w:r>
        <w:rPr>
          <w:rFonts w:ascii="Verdana Pro Light" w:hAnsi="Verdana Pro Light" w:cs="Verdana Pro Light"/>
          <w:sz w:val="24"/>
          <w:szCs w:val="24"/>
        </w:rPr>
        <w:tab/>
        <w:t>Eliade describes the sacred as "man becomes aware of the sacred because it manifests itself, shows itself, as something wholly different from the profane" and uses the term hierophany to appoint the role of manifestation of the sacred.</w:t>
      </w:r>
      <w:r>
        <w:rPr>
          <w:rStyle w:val="FootnoteAnchor"/>
          <w:rFonts w:ascii="Verdana Pro Light" w:hAnsi="Verdana Pro Light" w:cs="Verdana Pro Light"/>
          <w:sz w:val="24"/>
          <w:szCs w:val="24"/>
        </w:rPr>
        <w:footnoteReference w:id="14"/>
      </w:r>
      <w:r>
        <w:rPr>
          <w:rFonts w:ascii="Verdana Pro Light" w:hAnsi="Verdana Pro Light" w:cs="Verdana Pro Light"/>
          <w:sz w:val="24"/>
          <w:szCs w:val="24"/>
        </w:rPr>
        <w:t>However according to Jacob, K Olupora this definition of sacred is problematic as it is inconsistent with certain cultural traditions and societies such as Yoruba, The Mapri and other Native American Traditions. This is because they do not distinctively separate the sacred from the profane but instead see them as ‘dialectical’.</w:t>
      </w:r>
      <w:r>
        <w:rPr>
          <w:rStyle w:val="FootnoteAnchor"/>
          <w:rFonts w:ascii="Verdana Pro Light" w:hAnsi="Verdana Pro Light" w:cs="Verdana Pro Light"/>
          <w:sz w:val="24"/>
          <w:szCs w:val="24"/>
        </w:rPr>
        <w:footnoteReference w:id="15"/>
      </w:r>
      <w:r>
        <w:rPr>
          <w:rFonts w:ascii="Verdana Pro Light" w:hAnsi="Verdana Pro Light" w:cs="Verdana Pro Light"/>
          <w:sz w:val="24"/>
          <w:szCs w:val="24"/>
        </w:rPr>
        <w:t>Eliade takes an ontological approach that identifies the sacred and the profane as two ways of looking at the world, ultimately meaning that the same object or act can be identified as either sacred or profane, it comes down to the perspective of the individual.</w:t>
      </w:r>
      <w:r>
        <w:rPr>
          <w:rStyle w:val="FootnoteAnchor"/>
          <w:rFonts w:ascii="Verdana Pro Light" w:hAnsi="Verdana Pro Light" w:cs="Verdana Pro Light"/>
          <w:sz w:val="24"/>
          <w:szCs w:val="24"/>
        </w:rPr>
        <w:footnoteReference w:id="16"/>
      </w:r>
      <w:r>
        <w:rPr>
          <w:rStyle w:val="FootnoteAnchor"/>
          <w:rFonts w:ascii="Verdana Pro Light" w:hAnsi="Verdana Pro Light" w:cs="Verdana Pro Light"/>
          <w:sz w:val="24"/>
          <w:szCs w:val="24"/>
        </w:rPr>
        <w:t xml:space="preserve"> </w:t>
      </w:r>
      <w:r>
        <w:rPr>
          <w:rFonts w:ascii="Verdana Pro Light" w:hAnsi="Verdana Pro Light" w:cs="Verdana Pro Light"/>
          <w:sz w:val="24"/>
          <w:szCs w:val="24"/>
        </w:rPr>
        <w:t>On the other hand Durkheim argues that the sacred and the profane represent two separate worlds, with sacred being linked to what he defines as religion.</w:t>
      </w:r>
    </w:p>
    <w:p w14:paraId="5DB3848D" w14:textId="77777777" w:rsidR="00487F99" w:rsidRDefault="002B0FCB">
      <w:pPr>
        <w:pStyle w:val="NormalWeb"/>
        <w:spacing w:before="0" w:after="0"/>
        <w:ind w:right="-334"/>
        <w:jc w:val="both"/>
      </w:pPr>
      <w:r>
        <w:rPr>
          <w:rFonts w:ascii="Verdana Pro Light" w:hAnsi="Verdana Pro Light" w:cs="Verdana Pro Light"/>
          <w:sz w:val="24"/>
          <w:szCs w:val="24"/>
        </w:rPr>
        <w:tab/>
        <w:t>"A religion is a unified system of beliefs and practices relative to sacred things, which is to say, things set apart and forbidden beliefs and practices which unite into one single moral community called a Church, all those who adhere to them”.</w:t>
      </w:r>
      <w:r>
        <w:rPr>
          <w:rStyle w:val="FootnoteAnchor"/>
          <w:rFonts w:ascii="Verdana Pro Light" w:hAnsi="Verdana Pro Light" w:cs="Verdana Pro Light"/>
          <w:sz w:val="24"/>
          <w:szCs w:val="24"/>
        </w:rPr>
        <w:footnoteReference w:id="17"/>
      </w:r>
      <w:r>
        <w:rPr>
          <w:rFonts w:ascii="Verdana Pro Light" w:hAnsi="Verdana Pro Light" w:cs="Verdana Pro Light"/>
          <w:sz w:val="24"/>
          <w:szCs w:val="24"/>
        </w:rPr>
        <w:t xml:space="preserve"> </w:t>
      </w:r>
    </w:p>
    <w:p w14:paraId="4AF0EB51" w14:textId="77777777" w:rsidR="00487F99" w:rsidRDefault="00487F99">
      <w:pPr>
        <w:pStyle w:val="NormalWeb"/>
        <w:spacing w:before="0" w:after="0"/>
        <w:ind w:right="-334"/>
        <w:jc w:val="both"/>
      </w:pPr>
    </w:p>
    <w:p w14:paraId="178050F4" w14:textId="77777777" w:rsidR="00487F99" w:rsidRDefault="002B0FCB">
      <w:pPr>
        <w:pStyle w:val="NormalWeb"/>
        <w:spacing w:before="0" w:after="0"/>
        <w:ind w:right="-334"/>
        <w:jc w:val="both"/>
      </w:pPr>
      <w:r>
        <w:rPr>
          <w:rFonts w:ascii="Verdana Pro Light" w:hAnsi="Verdana Pro Light" w:cs="Verdana Pro Light"/>
          <w:sz w:val="24"/>
          <w:szCs w:val="24"/>
        </w:rPr>
        <w:t>This definition was no longer based on the ideas of God, a supernatural being or life and death but was more of a moral community where people come collectively together to respect and follow the same rules.</w:t>
      </w:r>
      <w:r>
        <w:rPr>
          <w:rStyle w:val="FootnoteAnchor"/>
          <w:rFonts w:ascii="Verdana Pro Light" w:hAnsi="Verdana Pro Light" w:cs="Verdana Pro Light"/>
          <w:sz w:val="24"/>
          <w:szCs w:val="24"/>
        </w:rPr>
        <w:footnoteReference w:id="18"/>
      </w:r>
      <w:r>
        <w:rPr>
          <w:rStyle w:val="FootnoteAnchor"/>
          <w:rFonts w:ascii="Verdana Pro Light" w:hAnsi="Verdana Pro Light" w:cs="Verdana Pro Light"/>
          <w:sz w:val="24"/>
          <w:szCs w:val="24"/>
        </w:rPr>
        <w:t xml:space="preserve"> </w:t>
      </w:r>
      <w:r>
        <w:rPr>
          <w:rFonts w:ascii="Verdana Pro Light" w:hAnsi="Verdana Pro Light" w:cs="Verdana Pro Light"/>
          <w:sz w:val="24"/>
          <w:szCs w:val="24"/>
        </w:rPr>
        <w:t xml:space="preserve">Within the GNNSJ Gurdwara there are certain rules and practices to be followed. Everyone must follow these rules regardless of faith. Rules include, no meat or alcohol, hand washing, covering of heads and removing of shoes. </w:t>
      </w:r>
    </w:p>
    <w:p w14:paraId="30AE61E8" w14:textId="77777777" w:rsidR="00487F99" w:rsidRDefault="00487F99">
      <w:pPr>
        <w:pStyle w:val="NormalWeb"/>
        <w:spacing w:before="0" w:after="0"/>
        <w:ind w:right="-334"/>
        <w:jc w:val="both"/>
      </w:pPr>
    </w:p>
    <w:p w14:paraId="2CEEBCC7" w14:textId="77777777" w:rsidR="00487F99" w:rsidRDefault="002B0FCB">
      <w:pPr>
        <w:pStyle w:val="NormalWeb"/>
        <w:spacing w:before="0" w:after="0"/>
        <w:ind w:right="-334"/>
        <w:jc w:val="both"/>
      </w:pPr>
      <w:r>
        <w:rPr>
          <w:rFonts w:ascii="Verdana Pro Light" w:hAnsi="Verdana Pro Light" w:cs="Verdana Pro Light"/>
          <w:sz w:val="24"/>
          <w:szCs w:val="24"/>
        </w:rPr>
        <w:tab/>
        <w:t>“Sikhs understand that by removing any dirt, we remember to cleanse our mind and heart. By covering the head, we remember to stay humble. This prepares us to absorb the gurus’ teachings and let the goodness grow within us”</w:t>
      </w:r>
      <w:r>
        <w:rPr>
          <w:rStyle w:val="FootnoteAnchor"/>
          <w:rFonts w:ascii="Verdana Pro Light" w:hAnsi="Verdana Pro Light" w:cs="Verdana Pro Light"/>
          <w:sz w:val="24"/>
          <w:szCs w:val="24"/>
        </w:rPr>
        <w:footnoteReference w:id="19"/>
      </w:r>
      <w:r>
        <w:rPr>
          <w:rFonts w:ascii="Verdana Pro Light" w:hAnsi="Verdana Pro Light" w:cs="Verdana Pro Light"/>
          <w:sz w:val="24"/>
          <w:szCs w:val="24"/>
        </w:rPr>
        <w:t xml:space="preserve">. </w:t>
      </w:r>
    </w:p>
    <w:p w14:paraId="5DCCDA4F" w14:textId="77777777" w:rsidR="00487F99" w:rsidRDefault="00487F99">
      <w:pPr>
        <w:pStyle w:val="NormalWeb"/>
        <w:spacing w:before="0" w:after="0"/>
        <w:ind w:right="-334"/>
        <w:jc w:val="both"/>
      </w:pPr>
    </w:p>
    <w:p w14:paraId="16DFF57F" w14:textId="77777777" w:rsidR="00487F99" w:rsidRDefault="002B0FCB">
      <w:pPr>
        <w:pStyle w:val="NormalWeb"/>
        <w:spacing w:before="0" w:after="0"/>
        <w:ind w:right="-334"/>
        <w:jc w:val="both"/>
        <w:rPr>
          <w:rFonts w:ascii="Verdana Pro Light" w:hAnsi="Verdana Pro Light" w:cs="Verdana Pro Light"/>
          <w:sz w:val="24"/>
          <w:szCs w:val="24"/>
        </w:rPr>
      </w:pPr>
      <w:r>
        <w:rPr>
          <w:rFonts w:ascii="Verdana Pro Light" w:hAnsi="Verdana Pro Light" w:cs="Verdana Pro Light"/>
          <w:sz w:val="24"/>
          <w:szCs w:val="24"/>
        </w:rPr>
        <w:t>This then creates a moral community where the sangat absorb the teachings of Maharaj.</w:t>
      </w:r>
    </w:p>
    <w:p w14:paraId="28D9D916" w14:textId="77777777" w:rsidR="00487F99" w:rsidRDefault="00487F99">
      <w:pPr>
        <w:pStyle w:val="NormalWeb"/>
        <w:spacing w:before="0" w:after="0"/>
        <w:ind w:right="-334"/>
        <w:jc w:val="both"/>
      </w:pPr>
    </w:p>
    <w:p w14:paraId="4869F390" w14:textId="77777777" w:rsidR="00487F99" w:rsidRDefault="002B0FCB">
      <w:pPr>
        <w:pStyle w:val="NormalWeb"/>
        <w:spacing w:before="0" w:after="0"/>
        <w:ind w:right="-334"/>
        <w:jc w:val="both"/>
      </w:pPr>
      <w:r>
        <w:rPr>
          <w:rStyle w:val="FootnoteAnchor"/>
          <w:rFonts w:ascii="Verdana Pro Light" w:hAnsi="Verdana Pro Light" w:cs="Verdana Pro Light"/>
          <w:sz w:val="24"/>
          <w:szCs w:val="24"/>
        </w:rPr>
        <w:tab/>
      </w:r>
      <w:r>
        <w:rPr>
          <w:rFonts w:ascii="Verdana Pro Light" w:hAnsi="Verdana Pro Light" w:cs="Verdana Pro Light"/>
          <w:sz w:val="24"/>
          <w:szCs w:val="24"/>
        </w:rPr>
        <w:t>Gerardus Van Der Leeuw did not necessarily define sacred and profane in the same way as Durkheim or Eliade but did however identify the sacred as ‘other’, something that is powerful. In his book ‘</w:t>
      </w:r>
      <w:r>
        <w:rPr>
          <w:rFonts w:ascii="Verdana Pro Light" w:hAnsi="Verdana Pro Light" w:cs="Verdana Pro Light"/>
          <w:i/>
          <w:iCs/>
          <w:sz w:val="24"/>
          <w:szCs w:val="24"/>
        </w:rPr>
        <w:t>Religion in Essence and Manifestation’</w:t>
      </w:r>
      <w:r>
        <w:rPr>
          <w:rStyle w:val="FootnoteAnchor"/>
          <w:rFonts w:ascii="Verdana Pro Light" w:hAnsi="Verdana Pro Light" w:cs="Verdana Pro Light"/>
          <w:sz w:val="24"/>
          <w:szCs w:val="24"/>
        </w:rPr>
        <w:footnoteReference w:id="20"/>
      </w:r>
      <w:r>
        <w:rPr>
          <w:rFonts w:ascii="Verdana Pro Light" w:hAnsi="Verdana Pro Light" w:cs="Verdana Pro Light"/>
          <w:sz w:val="24"/>
          <w:szCs w:val="24"/>
        </w:rPr>
        <w:t>. He focuses on the topics of object, subject, and their interlinking relationships. When referring to the word ‘object’ of religion he means the “highly exceptional and extremely other” and “this object is a departure from all that is usual and familiar...the consequence of the power it generates”.</w:t>
      </w:r>
      <w:r>
        <w:rPr>
          <w:rStyle w:val="FootnoteAnchor"/>
          <w:rFonts w:ascii="Verdana Pro Light" w:hAnsi="Verdana Pro Light" w:cs="Verdana Pro Light"/>
          <w:sz w:val="24"/>
          <w:szCs w:val="24"/>
        </w:rPr>
        <w:footnoteReference w:id="21"/>
      </w:r>
      <w:r>
        <w:rPr>
          <w:rStyle w:val="FootnoteAnchor"/>
          <w:rFonts w:ascii="Verdana Pro Light" w:hAnsi="Verdana Pro Light" w:cs="Verdana Pro Light"/>
          <w:sz w:val="24"/>
          <w:szCs w:val="24"/>
        </w:rPr>
        <w:t xml:space="preserve"> T</w:t>
      </w:r>
      <w:r>
        <w:rPr>
          <w:rStyle w:val="FootnoteAnchor"/>
          <w:rFonts w:ascii="Verdana Pro Light" w:hAnsi="Verdana Pro Light" w:cs="Verdana Pro Light"/>
          <w:sz w:val="24"/>
          <w:szCs w:val="24"/>
          <w:vertAlign w:val="baseline"/>
        </w:rPr>
        <w:t>herefore when</w:t>
      </w:r>
      <w:r>
        <w:rPr>
          <w:rFonts w:ascii="Verdana Pro Light" w:hAnsi="Verdana Pro Light" w:cs="Verdana Pro Light"/>
          <w:sz w:val="24"/>
          <w:szCs w:val="24"/>
        </w:rPr>
        <w:t xml:space="preserve"> sacredness is experienced people can feel scared, amazed and particularity in awe. </w:t>
      </w:r>
    </w:p>
    <w:p w14:paraId="23B1BB99" w14:textId="77777777" w:rsidR="00487F99" w:rsidRDefault="002B0FCB">
      <w:pPr>
        <w:pStyle w:val="NormalWeb"/>
        <w:spacing w:before="0" w:after="0"/>
        <w:ind w:right="-334"/>
        <w:jc w:val="both"/>
        <w:rPr>
          <w:rFonts w:ascii="Verdana Pro Light" w:hAnsi="Verdana Pro Light" w:cs="Verdana Pro Light"/>
          <w:b/>
          <w:bCs/>
          <w:sz w:val="24"/>
          <w:szCs w:val="24"/>
        </w:rPr>
      </w:pPr>
      <w:r>
        <w:rPr>
          <w:rFonts w:ascii="Verdana Pro Light" w:hAnsi="Verdana Pro Light" w:cs="Verdana Pro Light"/>
          <w:b/>
          <w:bCs/>
          <w:sz w:val="24"/>
          <w:szCs w:val="24"/>
        </w:rPr>
        <w:tab/>
      </w:r>
    </w:p>
    <w:p w14:paraId="74769FB7" w14:textId="77777777" w:rsidR="00487F99" w:rsidRDefault="002B0FCB">
      <w:pPr>
        <w:pStyle w:val="NormalWeb"/>
        <w:spacing w:before="0" w:after="0"/>
        <w:ind w:right="-334"/>
        <w:jc w:val="both"/>
        <w:rPr>
          <w:rFonts w:ascii="Verdana Pro Light" w:hAnsi="Verdana Pro Light" w:cs="Verdana Pro Light"/>
          <w:b/>
          <w:bCs/>
          <w:sz w:val="24"/>
          <w:szCs w:val="24"/>
        </w:rPr>
      </w:pPr>
      <w:r>
        <w:rPr>
          <w:rFonts w:ascii="Verdana Pro Light" w:hAnsi="Verdana Pro Light" w:cs="Verdana Pro Light"/>
          <w:b/>
          <w:bCs/>
          <w:sz w:val="24"/>
          <w:szCs w:val="24"/>
        </w:rPr>
        <w:t>Sacred Space</w:t>
      </w:r>
    </w:p>
    <w:p w14:paraId="05DA2619" w14:textId="77777777" w:rsidR="00487F99" w:rsidRDefault="002B0FCB">
      <w:pPr>
        <w:pStyle w:val="NormalWeb"/>
        <w:spacing w:before="0" w:after="0"/>
        <w:ind w:right="-334"/>
        <w:jc w:val="both"/>
      </w:pPr>
      <w:r>
        <w:rPr>
          <w:rFonts w:ascii="Verdana Pro Light" w:hAnsi="Verdana Pro Light" w:cs="Verdana Pro Light"/>
          <w:b/>
          <w:bCs/>
          <w:sz w:val="24"/>
          <w:szCs w:val="24"/>
        </w:rPr>
        <w:tab/>
      </w:r>
      <w:r>
        <w:rPr>
          <w:rFonts w:ascii="Verdana Pro Light" w:hAnsi="Verdana Pro Light" w:cs="Verdana Pro Light"/>
          <w:sz w:val="24"/>
          <w:szCs w:val="24"/>
        </w:rPr>
        <w:t>Eliade writes for the religious man.</w:t>
      </w:r>
    </w:p>
    <w:p w14:paraId="1CF42EE1" w14:textId="77777777" w:rsidR="00487F99" w:rsidRDefault="002B0FCB">
      <w:pPr>
        <w:pStyle w:val="NormalWeb"/>
        <w:spacing w:before="0" w:after="0"/>
        <w:ind w:right="-334"/>
        <w:jc w:val="both"/>
        <w:rPr>
          <w:rStyle w:val="FootnoteAnchor"/>
          <w:rFonts w:ascii="Verdana Pro Light" w:eastAsia="Verdana Pro Light" w:hAnsi="Verdana Pro Light" w:cs="Verdana Pro Light"/>
          <w:sz w:val="24"/>
          <w:szCs w:val="24"/>
          <w:vertAlign w:val="baseline"/>
        </w:rPr>
      </w:pPr>
      <w:r>
        <w:rPr>
          <w:rFonts w:ascii="Verdana Pro Light" w:eastAsia="Verdana Pro Light" w:hAnsi="Verdana Pro Light" w:cs="Verdana Pro Light"/>
          <w:sz w:val="24"/>
          <w:szCs w:val="24"/>
        </w:rPr>
        <w:t xml:space="preserve"> </w:t>
      </w:r>
      <w:r>
        <w:rPr>
          <w:rStyle w:val="FootnoteAnchor"/>
          <w:rFonts w:ascii="Verdana Pro Light" w:hAnsi="Verdana Pro Light" w:cs="Verdana Pro Light"/>
          <w:sz w:val="24"/>
          <w:szCs w:val="24"/>
          <w:vertAlign w:val="baseline"/>
        </w:rPr>
        <w:t xml:space="preserve">“Space is not homogeneous he experiences interruptions breaks in it; Some parts of space are qualitatively different from others…. There is, then a scared space and hence a strong significant space; there are other spaces that are not sacred and so are without structure or consistency, amorphous” </w:t>
      </w:r>
      <w:r>
        <w:rPr>
          <w:rStyle w:val="FootnoteAnchor"/>
          <w:rFonts w:ascii="Verdana Pro Light" w:hAnsi="Verdana Pro Light" w:cs="Verdana Pro Light"/>
          <w:sz w:val="24"/>
          <w:szCs w:val="24"/>
          <w:vertAlign w:val="baseline"/>
        </w:rPr>
        <w:footnoteReference w:id="22"/>
      </w:r>
    </w:p>
    <w:p w14:paraId="5EB71E24" w14:textId="77777777" w:rsidR="00487F99" w:rsidRDefault="002B0FCB">
      <w:pPr>
        <w:pStyle w:val="NormalWeb"/>
        <w:spacing w:before="0" w:after="0"/>
        <w:ind w:right="-334"/>
        <w:jc w:val="both"/>
      </w:pPr>
      <w:r>
        <w:rPr>
          <w:rStyle w:val="FootnoteAnchor"/>
          <w:rFonts w:ascii="Verdana Pro Light" w:eastAsia="Verdana Pro Light" w:hAnsi="Verdana Pro Light" w:cs="Verdana Pro Light"/>
          <w:sz w:val="24"/>
          <w:szCs w:val="24"/>
          <w:vertAlign w:val="baseline"/>
        </w:rPr>
        <w:tab/>
        <w:t xml:space="preserve"> </w:t>
      </w:r>
    </w:p>
    <w:p w14:paraId="320C31F5" w14:textId="62F620F1" w:rsidR="00487F99" w:rsidRDefault="002B0FCB">
      <w:pPr>
        <w:pStyle w:val="NormalWeb"/>
        <w:spacing w:before="0" w:after="0"/>
        <w:ind w:right="-334"/>
        <w:jc w:val="both"/>
      </w:pPr>
      <w:r>
        <w:rPr>
          <w:rStyle w:val="FootnoteAnchor"/>
          <w:rFonts w:ascii="Verdana Pro Light" w:eastAsia="Verdana Pro Light" w:hAnsi="Verdana Pro Light" w:cs="Verdana Pro Light"/>
          <w:sz w:val="24"/>
          <w:szCs w:val="24"/>
          <w:vertAlign w:val="baseline"/>
        </w:rPr>
        <w:tab/>
        <w:t xml:space="preserve">On the other hand, </w:t>
      </w:r>
      <w:r>
        <w:rPr>
          <w:rFonts w:ascii="Verdana Pro Light" w:hAnsi="Verdana Pro Light" w:cs="Verdana Pro Light"/>
          <w:sz w:val="24"/>
          <w:szCs w:val="24"/>
        </w:rPr>
        <w:t>Leeuw’s defines space as somewhere where people can experience power. This power is either divine power or auspicious. He refers to the Latin phase Liberatus et effatus</w:t>
      </w:r>
      <w:r>
        <w:rPr>
          <w:rStyle w:val="FootnoteAnchor"/>
          <w:rFonts w:ascii="Verdana Pro Light" w:hAnsi="Verdana Pro Light" w:cs="Verdana Pro Light"/>
          <w:sz w:val="24"/>
          <w:szCs w:val="24"/>
        </w:rPr>
        <w:footnoteReference w:id="23"/>
      </w:r>
      <w:r>
        <w:rPr>
          <w:rFonts w:ascii="Verdana Pro Light" w:hAnsi="Verdana Pro Light" w:cs="Verdana Pro Light"/>
          <w:sz w:val="24"/>
          <w:szCs w:val="24"/>
        </w:rPr>
        <w:t xml:space="preserve"> which was used by augurs in Rome to describe the process of which would ‘set free’, and therefore creates a space and marks the boundaries of metaphorical or physical.</w:t>
      </w:r>
      <w:r>
        <w:rPr>
          <w:rStyle w:val="FootnoteAnchor"/>
          <w:rFonts w:ascii="Verdana Pro Light" w:hAnsi="Verdana Pro Light" w:cs="Verdana Pro Light"/>
          <w:sz w:val="24"/>
          <w:szCs w:val="24"/>
        </w:rPr>
        <w:footnoteReference w:id="24"/>
      </w:r>
      <w:r>
        <w:rPr>
          <w:rFonts w:ascii="Verdana Pro Light" w:hAnsi="Verdana Pro Light" w:cs="Verdana Pro Light"/>
          <w:sz w:val="24"/>
          <w:szCs w:val="24"/>
        </w:rPr>
        <w:t xml:space="preserve"> Leeuw recognises that sacred space can be real, material as well as imagined. In his work on pilgrimage, he states that a sacred space can be spiritual, emotional, or personal.</w:t>
      </w:r>
      <w:r>
        <w:rPr>
          <w:rStyle w:val="FootnoteAnchor"/>
          <w:rFonts w:ascii="Verdana Pro Light" w:hAnsi="Verdana Pro Light" w:cs="Verdana Pro Light"/>
          <w:sz w:val="24"/>
          <w:szCs w:val="24"/>
        </w:rPr>
        <w:footnoteReference w:id="25"/>
      </w:r>
      <w:r>
        <w:rPr>
          <w:rFonts w:ascii="Verdana Pro Light" w:hAnsi="Verdana Pro Light" w:cs="Verdana Pro Light"/>
          <w:sz w:val="24"/>
          <w:szCs w:val="24"/>
        </w:rPr>
        <w:t xml:space="preserve"> In agreement with Leeuw, Eliade</w:t>
      </w:r>
      <w:r>
        <w:rPr>
          <w:rStyle w:val="FootnoteAnchor"/>
          <w:rFonts w:ascii="Verdana Pro Light" w:hAnsi="Verdana Pro Light" w:cs="Verdana Pro Light"/>
          <w:sz w:val="24"/>
          <w:szCs w:val="24"/>
        </w:rPr>
        <w:footnoteReference w:id="26"/>
      </w:r>
      <w:r>
        <w:rPr>
          <w:rFonts w:ascii="Verdana Pro Light" w:hAnsi="Verdana Pro Light" w:cs="Verdana Pro Light"/>
          <w:sz w:val="24"/>
          <w:szCs w:val="24"/>
        </w:rPr>
        <w:t xml:space="preserve"> also states that a sacred space can be based on a personal experience. He argues that people have their own space which they identify as sacred such as birth places and first relationship spots. In addition to this Durkheim believes that sacredness exists in the individual mind </w:t>
      </w:r>
      <w:r w:rsidR="000C6C68">
        <w:rPr>
          <w:rFonts w:ascii="Verdana Pro Light" w:hAnsi="Verdana Pro Light" w:cs="Verdana Pro Light"/>
          <w:sz w:val="24"/>
          <w:szCs w:val="24"/>
        </w:rPr>
        <w:t>claiming,</w:t>
      </w:r>
      <w:r>
        <w:rPr>
          <w:rFonts w:ascii="Verdana Pro Light" w:hAnsi="Verdana Pro Light" w:cs="Verdana Pro Light"/>
          <w:sz w:val="24"/>
          <w:szCs w:val="24"/>
        </w:rPr>
        <w:t xml:space="preserve"> “Nonphysical reality is available to the individual mind only as it participates in mind both inside and outside itself”.</w:t>
      </w:r>
      <w:r>
        <w:rPr>
          <w:rStyle w:val="FootnoteAnchor"/>
          <w:rFonts w:ascii="Verdana Pro Light" w:hAnsi="Verdana Pro Light" w:cs="Verdana Pro Light"/>
          <w:sz w:val="24"/>
          <w:szCs w:val="24"/>
        </w:rPr>
        <w:footnoteReference w:id="27"/>
      </w:r>
      <w:r>
        <w:rPr>
          <w:rFonts w:ascii="Verdana Pro Light" w:hAnsi="Verdana Pro Light" w:cs="Verdana Pro Light"/>
          <w:sz w:val="24"/>
          <w:szCs w:val="24"/>
        </w:rPr>
        <w:t>This then implies that people make places sacred. Lane identifies a middle ground between Eliade and Durkheim and suggests that a sacred place may be tread upon without being entered.</w:t>
      </w:r>
      <w:r>
        <w:rPr>
          <w:rStyle w:val="FootnoteAnchor"/>
          <w:rFonts w:ascii="Verdana Pro Light" w:hAnsi="Verdana Pro Light" w:cs="Verdana Pro Light"/>
          <w:sz w:val="24"/>
          <w:szCs w:val="24"/>
        </w:rPr>
        <w:footnoteReference w:id="28"/>
      </w:r>
      <w:r>
        <w:rPr>
          <w:rFonts w:ascii="Verdana Pro Light" w:hAnsi="Verdana Pro Light" w:cs="Verdana Pro Light"/>
          <w:sz w:val="24"/>
          <w:szCs w:val="24"/>
        </w:rPr>
        <w:t xml:space="preserve"> Therefore, whilst a place maybe due to hierophany or special quality according to Eliade. It also suggests that a person must be willing to enter the sacred space which is in line with the work of Durkheim.  </w:t>
      </w:r>
    </w:p>
    <w:p w14:paraId="18E5468B" w14:textId="77777777" w:rsidR="00487F99" w:rsidRDefault="002B0FCB">
      <w:pPr>
        <w:pStyle w:val="NormalWeb"/>
        <w:spacing w:before="0" w:after="0"/>
        <w:ind w:right="-334"/>
        <w:jc w:val="both"/>
      </w:pPr>
      <w:r>
        <w:rPr>
          <w:rFonts w:ascii="Verdana Pro Light" w:hAnsi="Verdana Pro Light" w:cs="Verdana Pro Light"/>
          <w:sz w:val="24"/>
          <w:szCs w:val="24"/>
        </w:rPr>
        <w:tab/>
        <w:t>Durkheim argued that sacred place required a space where people could collectively worship together. Sacredness is maintained by a group of people who experience sacredness through the soul.</w:t>
      </w:r>
      <w:r>
        <w:rPr>
          <w:rStyle w:val="FootnoteAnchor"/>
          <w:rFonts w:ascii="Verdana Pro Light" w:hAnsi="Verdana Pro Light" w:cs="Verdana Pro Light"/>
          <w:sz w:val="24"/>
          <w:szCs w:val="24"/>
        </w:rPr>
        <w:footnoteReference w:id="29"/>
      </w:r>
      <w:r>
        <w:rPr>
          <w:rStyle w:val="FootnoteAnchor"/>
          <w:rFonts w:ascii="Verdana Pro Light" w:hAnsi="Verdana Pro Light" w:cs="Verdana Pro Light"/>
          <w:sz w:val="24"/>
          <w:szCs w:val="24"/>
          <w:vertAlign w:val="baseline"/>
        </w:rPr>
        <w:t xml:space="preserve"> Furthermore it is these actions of collective worship that form the collective conscious. "The conscious collective is the achievement of mind that transfigures the real world and makes it a shared world that is in fact the real world as know and knowable by some group, Some moral community.</w:t>
      </w:r>
      <w:r>
        <w:rPr>
          <w:rStyle w:val="FootnoteAnchor"/>
          <w:rFonts w:ascii="Verdana Pro Light" w:hAnsi="Verdana Pro Light" w:cs="Verdana Pro Light"/>
          <w:sz w:val="24"/>
          <w:szCs w:val="24"/>
          <w:vertAlign w:val="baseline"/>
        </w:rPr>
        <w:footnoteReference w:id="30"/>
      </w:r>
      <w:r>
        <w:rPr>
          <w:rStyle w:val="FootnoteAnchor"/>
          <w:rFonts w:ascii="Verdana Pro Light" w:hAnsi="Verdana Pro Light" w:cs="Verdana Pro Light"/>
          <w:sz w:val="24"/>
          <w:szCs w:val="24"/>
          <w:vertAlign w:val="baseline"/>
        </w:rPr>
        <w:t xml:space="preserve"> T</w:t>
      </w:r>
      <w:r>
        <w:rPr>
          <w:rStyle w:val="FootnoteAnchor"/>
          <w:rFonts w:ascii="Verdana Pro Light" w:eastAsia="Verdana Pro Light" w:hAnsi="Verdana Pro Light" w:cs="Verdana Pro Light"/>
          <w:sz w:val="24"/>
          <w:szCs w:val="24"/>
          <w:vertAlign w:val="baseline"/>
        </w:rPr>
        <w:t>he effects of collective worship result in a "sort of electricity" whose initial impulse is "amplified as it reverberates as an avalanche gathering force as it goes".</w:t>
      </w:r>
      <w:r>
        <w:rPr>
          <w:rStyle w:val="FootnoteAnchor"/>
          <w:rFonts w:ascii="Verdana Pro Light" w:eastAsia="Verdana Pro Light" w:hAnsi="Verdana Pro Light" w:cs="Verdana Pro Light"/>
          <w:sz w:val="24"/>
          <w:szCs w:val="24"/>
        </w:rPr>
        <w:footnoteReference w:id="31"/>
      </w:r>
      <w:r>
        <w:rPr>
          <w:rStyle w:val="FootnoteAnchor"/>
          <w:rFonts w:ascii="Verdana Pro Light" w:eastAsia="Verdana Pro Light" w:hAnsi="Verdana Pro Light" w:cs="Verdana Pro Light"/>
          <w:sz w:val="24"/>
          <w:szCs w:val="24"/>
          <w:vertAlign w:val="baseline"/>
        </w:rPr>
        <w:t xml:space="preserve"> </w:t>
      </w:r>
      <w:r>
        <w:rPr>
          <w:rStyle w:val="FootnoteAnchor"/>
          <w:rFonts w:ascii="Verdana Pro Light" w:hAnsi="Verdana Pro Light" w:cs="Verdana Pro Light"/>
          <w:sz w:val="24"/>
          <w:szCs w:val="24"/>
          <w:vertAlign w:val="baseline"/>
        </w:rPr>
        <w:t>Sikhism stresses the importance of collective worship. People are to learn Sikhi and spirituality within the sangat for there is no concept of liberation through isolation. It was Guru Arjan Dev ji who created the Darbar for the Adi Granth (Guru Granth Sahib Ji) to sit, forming a Gurdwara, a place for visitors to worship together.</w:t>
      </w:r>
      <w:r>
        <w:rPr>
          <w:rStyle w:val="FootnoteAnchor"/>
          <w:rFonts w:ascii="Verdana Pro Light" w:hAnsi="Verdana Pro Light" w:cs="Verdana Pro Light"/>
          <w:sz w:val="24"/>
          <w:szCs w:val="24"/>
          <w:vertAlign w:val="baseline"/>
        </w:rPr>
        <w:footnoteReference w:id="32"/>
      </w:r>
      <w:r>
        <w:rPr>
          <w:rStyle w:val="FootnoteAnchor"/>
          <w:rFonts w:ascii="Verdana Pro Light" w:hAnsi="Verdana Pro Light" w:cs="Verdana Pro Light"/>
          <w:sz w:val="24"/>
          <w:szCs w:val="24"/>
          <w:vertAlign w:val="baseline"/>
        </w:rPr>
        <w:t xml:space="preserve"> Sikhs see their collective worship at the gurdwara as having an audience with God.</w:t>
      </w:r>
      <w:r>
        <w:rPr>
          <w:rStyle w:val="FootnoteAnchor"/>
          <w:rFonts w:ascii="Verdana Pro Light" w:hAnsi="Verdana Pro Light" w:cs="Verdana Pro Light"/>
          <w:sz w:val="24"/>
          <w:szCs w:val="24"/>
          <w:vertAlign w:val="baseline"/>
        </w:rPr>
        <w:footnoteReference w:id="33"/>
      </w:r>
      <w:r>
        <w:rPr>
          <w:rStyle w:val="FootnoteAnchor"/>
          <w:rFonts w:ascii="Verdana Pro Light" w:hAnsi="Verdana Pro Light" w:cs="Verdana Pro Light"/>
          <w:sz w:val="24"/>
          <w:szCs w:val="24"/>
          <w:vertAlign w:val="baseline"/>
        </w:rPr>
        <w:t xml:space="preserve"> </w:t>
      </w:r>
      <w:r>
        <w:rPr>
          <w:rStyle w:val="FootnoteAnchor"/>
          <w:rFonts w:ascii="Verdana Pro Light" w:eastAsia="Verdana Pro Light" w:hAnsi="Verdana Pro Light" w:cs="Verdana Pro Light"/>
          <w:sz w:val="24"/>
          <w:szCs w:val="24"/>
          <w:vertAlign w:val="baseline"/>
        </w:rPr>
        <w:t>GNNSJ Gurdwara was built to cater for the spiritual, cultural, and social needs of the community. The important factor of collective worship is to connect individuals with God.</w:t>
      </w:r>
      <w:r>
        <w:rPr>
          <w:rStyle w:val="FootnoteAnchor"/>
          <w:rFonts w:ascii="Verdana Pro Light" w:eastAsia="Verdana Pro Light" w:hAnsi="Verdana Pro Light" w:cs="Verdana Pro Light"/>
          <w:sz w:val="24"/>
          <w:szCs w:val="24"/>
          <w:vertAlign w:val="baseline"/>
        </w:rPr>
        <w:footnoteReference w:id="34"/>
      </w:r>
      <w:r>
        <w:rPr>
          <w:rStyle w:val="FootnoteAnchor"/>
          <w:rFonts w:ascii="Verdana Pro Light" w:eastAsia="Verdana Pro Light" w:hAnsi="Verdana Pro Light" w:cs="Verdana Pro Light"/>
          <w:sz w:val="24"/>
          <w:szCs w:val="24"/>
          <w:vertAlign w:val="baseline"/>
        </w:rPr>
        <w:t xml:space="preserve"> </w:t>
      </w:r>
      <w:r>
        <w:rPr>
          <w:rStyle w:val="FootnoteAnchor"/>
          <w:rFonts w:ascii="Verdana Pro Light" w:hAnsi="Verdana Pro Light" w:cs="Verdana Pro Light"/>
          <w:sz w:val="24"/>
          <w:szCs w:val="24"/>
          <w:vertAlign w:val="baseline"/>
        </w:rPr>
        <w:t xml:space="preserve">which then coincides with Eliade’s idea of a centre point that makes a link to God. </w:t>
      </w:r>
    </w:p>
    <w:p w14:paraId="2ED0015D" w14:textId="77777777" w:rsidR="00487F99" w:rsidRDefault="002B0FCB">
      <w:pPr>
        <w:pStyle w:val="NormalWeb"/>
        <w:spacing w:before="0" w:after="0"/>
        <w:ind w:right="-334"/>
        <w:jc w:val="both"/>
      </w:pPr>
      <w:r>
        <w:rPr>
          <w:rFonts w:ascii="Verdana Pro Light" w:hAnsi="Verdana Pro Light" w:cs="Verdana Pro Light"/>
          <w:sz w:val="24"/>
          <w:szCs w:val="24"/>
        </w:rPr>
        <w:tab/>
        <w:t>Eliade identified that human cultures have special places that are central to the cosmos. Coinciding with Eliade the ecological anthropologist Roy, A, Rappaport explains that the special places are sacred places that help people to connect to a higher entity:</w:t>
      </w:r>
      <w:r>
        <w:rPr>
          <w:rStyle w:val="FootnoteAnchor"/>
          <w:rFonts w:ascii="Verdana Pro Light" w:hAnsi="Verdana Pro Light" w:cs="Verdana Pro Light"/>
          <w:sz w:val="24"/>
          <w:szCs w:val="24"/>
        </w:rPr>
        <w:footnoteReference w:id="35"/>
      </w:r>
      <w:r>
        <w:rPr>
          <w:rFonts w:ascii="Verdana Pro Light" w:hAnsi="Verdana Pro Light" w:cs="Verdana Pro Light"/>
          <w:sz w:val="24"/>
          <w:szCs w:val="24"/>
        </w:rPr>
        <w:t xml:space="preserve"> “through which the divine enters the material world, and from which that world is oriented”.</w:t>
      </w:r>
      <w:r>
        <w:rPr>
          <w:rStyle w:val="FootnoteAnchor"/>
          <w:rFonts w:ascii="Verdana Pro Light" w:hAnsi="Verdana Pro Light" w:cs="Verdana Pro Light"/>
          <w:sz w:val="24"/>
          <w:szCs w:val="24"/>
        </w:rPr>
        <w:footnoteReference w:id="36"/>
      </w:r>
      <w:r>
        <w:rPr>
          <w:rFonts w:ascii="Verdana Pro Light" w:hAnsi="Verdana Pro Light" w:cs="Verdana Pro Light"/>
          <w:sz w:val="24"/>
          <w:szCs w:val="24"/>
        </w:rPr>
        <w:t xml:space="preserve"> According to Eliade the universe has a centre point. </w:t>
      </w:r>
    </w:p>
    <w:p w14:paraId="7CD10F78" w14:textId="77777777" w:rsidR="00487F99" w:rsidRDefault="00487F99">
      <w:pPr>
        <w:pStyle w:val="NormalWeb"/>
        <w:spacing w:before="0" w:after="0"/>
        <w:ind w:right="-334"/>
        <w:jc w:val="both"/>
        <w:rPr>
          <w:rFonts w:ascii="Verdana Pro Light" w:hAnsi="Verdana Pro Light" w:cs="Verdana Pro Light"/>
        </w:rPr>
      </w:pPr>
    </w:p>
    <w:p w14:paraId="7B4B61C1" w14:textId="77777777" w:rsidR="00487F99" w:rsidRDefault="002B0FCB">
      <w:pPr>
        <w:pStyle w:val="NormalWeb"/>
        <w:spacing w:before="0" w:after="0"/>
        <w:ind w:right="-334"/>
        <w:jc w:val="both"/>
      </w:pPr>
      <w:r>
        <w:rPr>
          <w:rFonts w:ascii="Verdana Pro Light" w:hAnsi="Verdana Pro Light" w:cs="Verdana Pro Light"/>
          <w:sz w:val="24"/>
          <w:szCs w:val="24"/>
        </w:rPr>
        <w:tab/>
        <w:t>“If the world is to be lived in, it must be founded- and no world can come to birth in the chaos of the homogeneity and relativity of profane space. The discovery or projection of a fixed point- the centre- is equivalent to the creation of the world.”</w:t>
      </w:r>
      <w:r>
        <w:rPr>
          <w:rStyle w:val="FootnoteAnchor"/>
          <w:rFonts w:ascii="Verdana Pro Light" w:hAnsi="Verdana Pro Light" w:cs="Verdana Pro Light"/>
          <w:sz w:val="24"/>
          <w:szCs w:val="24"/>
        </w:rPr>
        <w:footnoteReference w:id="37"/>
      </w:r>
    </w:p>
    <w:p w14:paraId="15F2305D" w14:textId="77777777" w:rsidR="00487F99" w:rsidRDefault="00487F99">
      <w:pPr>
        <w:pStyle w:val="NormalWeb"/>
        <w:spacing w:before="0" w:after="0"/>
        <w:ind w:right="-334"/>
        <w:jc w:val="both"/>
      </w:pPr>
    </w:p>
    <w:p w14:paraId="07360E05" w14:textId="77777777" w:rsidR="00487F99" w:rsidRDefault="002B0FCB">
      <w:pPr>
        <w:pStyle w:val="NormalWeb"/>
        <w:spacing w:before="0" w:after="0"/>
        <w:ind w:right="-334"/>
        <w:jc w:val="both"/>
      </w:pPr>
      <w:r>
        <w:rPr>
          <w:rStyle w:val="FootnoteAnchor"/>
          <w:rFonts w:ascii="Verdana Pro Light" w:hAnsi="Verdana Pro Light" w:cs="Verdana Pro Light"/>
          <w:sz w:val="24"/>
          <w:szCs w:val="24"/>
          <w:vertAlign w:val="baseline"/>
        </w:rPr>
        <w:tab/>
        <w:t>Accordingly, Eliade identifies an axis mundi, the place that allows the religious man to communicate with God,</w:t>
      </w:r>
      <w:r>
        <w:rPr>
          <w:rStyle w:val="FootnoteAnchor"/>
          <w:rFonts w:ascii="Verdana Pro Light" w:hAnsi="Verdana Pro Light" w:cs="Verdana Pro Light"/>
          <w:sz w:val="24"/>
          <w:szCs w:val="24"/>
        </w:rPr>
        <w:footnoteReference w:id="38"/>
      </w:r>
      <w:r>
        <w:rPr>
          <w:rStyle w:val="FootnoteAnchor"/>
          <w:rFonts w:ascii="Verdana Pro Light" w:hAnsi="Verdana Pro Light" w:cs="Verdana Pro Light"/>
          <w:sz w:val="24"/>
          <w:szCs w:val="24"/>
          <w:vertAlign w:val="baseline"/>
        </w:rPr>
        <w:t xml:space="preserve"> as well as a centre that c</w:t>
      </w:r>
      <w:r>
        <w:rPr>
          <w:rStyle w:val="FootnoteAnchor"/>
          <w:rFonts w:ascii="Verdana Pro Light" w:eastAsia="Verdana Pro Light" w:hAnsi="Verdana Pro Light" w:cs="Verdana Pro Light"/>
          <w:sz w:val="24"/>
          <w:szCs w:val="24"/>
          <w:vertAlign w:val="baseline"/>
        </w:rPr>
        <w:t>ontains a representation of the imago mundi. The image of the world.</w:t>
      </w:r>
      <w:r>
        <w:rPr>
          <w:rStyle w:val="FootnoteAnchor"/>
          <w:rFonts w:ascii="Verdana Pro Light" w:eastAsia="Verdana Pro Light" w:hAnsi="Verdana Pro Light" w:cs="Verdana Pro Light"/>
          <w:sz w:val="24"/>
          <w:szCs w:val="24"/>
          <w:vertAlign w:val="baseline"/>
        </w:rPr>
        <w:footnoteReference w:id="39"/>
      </w:r>
      <w:r>
        <w:rPr>
          <w:rStyle w:val="FootnoteAnchor"/>
          <w:rFonts w:ascii="Verdana Pro Light" w:eastAsia="Verdana Pro Light" w:hAnsi="Verdana Pro Light" w:cs="Verdana Pro Light"/>
          <w:sz w:val="24"/>
          <w:szCs w:val="24"/>
          <w:vertAlign w:val="baseline"/>
        </w:rPr>
        <w:t xml:space="preserve"> In accordance with this </w:t>
      </w:r>
      <w:r>
        <w:rPr>
          <w:rFonts w:ascii="Verdana Pro Light" w:hAnsi="Verdana Pro Light" w:cs="Verdana Pro Light"/>
          <w:sz w:val="24"/>
          <w:szCs w:val="24"/>
        </w:rPr>
        <w:t>Leeuw also believed that at the heart of a sacred space was another heart, a centre of power</w:t>
      </w:r>
      <w:r>
        <w:rPr>
          <w:rStyle w:val="FootnoteAnchor"/>
          <w:rFonts w:ascii="Verdana Pro Light" w:hAnsi="Verdana Pro Light" w:cs="Verdana Pro Light"/>
          <w:sz w:val="24"/>
          <w:szCs w:val="24"/>
        </w:rPr>
        <w:footnoteReference w:id="40"/>
      </w:r>
      <w:r>
        <w:rPr>
          <w:rFonts w:ascii="Verdana Pro Light" w:hAnsi="Verdana Pro Light" w:cs="Verdana Pro Light"/>
          <w:sz w:val="24"/>
          <w:szCs w:val="24"/>
        </w:rPr>
        <w:t>. T</w:t>
      </w:r>
      <w:r>
        <w:rPr>
          <w:rStyle w:val="FootnoteAnchor"/>
          <w:rFonts w:ascii="Verdana Pro Light" w:eastAsia="Verdana Pro Light" w:hAnsi="Verdana Pro Light" w:cs="Verdana Pro Light"/>
          <w:sz w:val="24"/>
          <w:szCs w:val="24"/>
          <w:vertAlign w:val="baseline"/>
        </w:rPr>
        <w:t>he power of sacred places in religious constructions provide a sense of identity, or a place in the cosmos and can even connect us to the divine.</w:t>
      </w:r>
      <w:r>
        <w:rPr>
          <w:rStyle w:val="FootnoteAnchor"/>
          <w:rFonts w:ascii="Verdana Pro Light" w:eastAsia="Verdana Pro Light" w:hAnsi="Verdana Pro Light" w:cs="Verdana Pro Light"/>
          <w:sz w:val="24"/>
          <w:szCs w:val="24"/>
          <w:vertAlign w:val="baseline"/>
        </w:rPr>
        <w:footnoteReference w:id="41"/>
      </w:r>
      <w:r>
        <w:rPr>
          <w:rFonts w:ascii="Verdana Pro Light" w:hAnsi="Verdana Pro Light" w:cs="Verdana Pro Light"/>
          <w:sz w:val="24"/>
          <w:szCs w:val="24"/>
        </w:rPr>
        <w:t xml:space="preserve"> Coinciding with the idea of a centre that can connect to God, the term Gurdwara translates to “Gateway to the Guru’s home”.</w:t>
      </w:r>
      <w:r>
        <w:rPr>
          <w:rStyle w:val="FootnoteAnchor"/>
          <w:rFonts w:ascii="Verdana Pro Light" w:hAnsi="Verdana Pro Light" w:cs="Verdana Pro Light"/>
          <w:sz w:val="24"/>
          <w:szCs w:val="24"/>
        </w:rPr>
        <w:footnoteReference w:id="42"/>
      </w:r>
      <w:r>
        <w:rPr>
          <w:rFonts w:ascii="Verdana Pro Light" w:hAnsi="Verdana Pro Light" w:cs="Verdana Pro Light"/>
          <w:sz w:val="24"/>
          <w:szCs w:val="24"/>
        </w:rPr>
        <w:t xml:space="preserve"> Furthermore the gurdwara houses Guru Granth Sahib Ji which is the holy scriptures for Sikhs</w:t>
      </w:r>
      <w:r>
        <w:rPr>
          <w:rStyle w:val="FootnoteAnchor"/>
          <w:rFonts w:ascii="Verdana Pro Light" w:hAnsi="Verdana Pro Light" w:cs="Verdana Pro Light"/>
          <w:sz w:val="24"/>
          <w:szCs w:val="24"/>
        </w:rPr>
        <w:footnoteReference w:id="43"/>
      </w:r>
      <w:r>
        <w:rPr>
          <w:rFonts w:ascii="Verdana Pro Light" w:hAnsi="Verdana Pro Light" w:cs="Verdana Pro Light"/>
          <w:sz w:val="24"/>
          <w:szCs w:val="24"/>
        </w:rPr>
        <w:t>. They are the living guru and contain a</w:t>
      </w:r>
      <w:r>
        <w:rPr>
          <w:rFonts w:ascii="Verdana Pro Cond Light" w:hAnsi="Verdana Pro Cond Light" w:cs="Verdana Pro Cond Light"/>
          <w:sz w:val="24"/>
          <w:szCs w:val="24"/>
        </w:rPr>
        <w:t xml:space="preserve"> collection of Sikh teachings</w:t>
      </w:r>
      <w:r>
        <w:rPr>
          <w:rStyle w:val="FootnoteAnchor"/>
          <w:rFonts w:ascii="Verdana Pro Cond Light" w:hAnsi="Verdana Pro Cond Light" w:cs="Verdana Pro Cond Light"/>
          <w:sz w:val="24"/>
          <w:szCs w:val="24"/>
        </w:rPr>
        <w:footnoteReference w:id="44"/>
      </w:r>
      <w:r>
        <w:rPr>
          <w:rStyle w:val="FootnoteAnchor"/>
          <w:rFonts w:ascii="Verdana Pro Cond Light" w:hAnsi="Verdana Pro Cond Light" w:cs="Verdana Pro Cond Light"/>
          <w:sz w:val="24"/>
          <w:szCs w:val="24"/>
        </w:rPr>
        <w:t>.</w:t>
      </w:r>
      <w:r>
        <w:rPr>
          <w:rStyle w:val="FootnoteAnchor"/>
          <w:rFonts w:ascii="Verdana Pro Cond Light" w:hAnsi="Verdana Pro Cond Light" w:cs="Verdana Pro Cond Light"/>
          <w:sz w:val="24"/>
          <w:szCs w:val="24"/>
          <w:vertAlign w:val="baseline"/>
        </w:rPr>
        <w:t xml:space="preserve">. </w:t>
      </w:r>
      <w:r>
        <w:rPr>
          <w:rFonts w:ascii="Verdana Pro Light" w:hAnsi="Verdana Pro Light" w:cs="Verdana Pro Light"/>
          <w:sz w:val="24"/>
          <w:szCs w:val="24"/>
        </w:rPr>
        <w:t>It is this scripture that guides Sikhs ln their everyday life and through it they connect to God. They come to the Gurdwara to see Guru Granth Sahib and to pay their respects.</w:t>
      </w:r>
      <w:r>
        <w:rPr>
          <w:rStyle w:val="FootnoteAnchor"/>
          <w:rFonts w:ascii="Verdana Pro Light" w:hAnsi="Verdana Pro Light" w:cs="Verdana Pro Light"/>
          <w:sz w:val="24"/>
          <w:szCs w:val="24"/>
        </w:rPr>
        <w:footnoteReference w:id="45"/>
      </w:r>
      <w:r>
        <w:rPr>
          <w:rFonts w:ascii="Verdana Pro Light" w:hAnsi="Verdana Pro Light" w:cs="Verdana Pro Light"/>
          <w:sz w:val="24"/>
          <w:szCs w:val="24"/>
        </w:rPr>
        <w:t xml:space="preserve"> By coming to the Gurdwara they are fulfilling religious obligation as well as learning and practising the teachings that were put into place by the 10 gurus. For Sikhs, the Guru Granth Sahib is there to provide guidance of how one should live their life in this world.</w:t>
      </w:r>
      <w:r>
        <w:rPr>
          <w:rStyle w:val="FootnoteAnchor"/>
          <w:rFonts w:ascii="Verdana Pro Light" w:hAnsi="Verdana Pro Light" w:cs="Verdana Pro Light"/>
          <w:sz w:val="24"/>
          <w:szCs w:val="24"/>
        </w:rPr>
        <w:footnoteReference w:id="46"/>
      </w:r>
      <w:r>
        <w:rPr>
          <w:rFonts w:ascii="Verdana Pro Light" w:hAnsi="Verdana Pro Light" w:cs="Verdana Pro Light"/>
          <w:sz w:val="24"/>
          <w:szCs w:val="24"/>
        </w:rPr>
        <w:t xml:space="preserve"> </w:t>
      </w:r>
    </w:p>
    <w:p w14:paraId="3FC48C11" w14:textId="77777777" w:rsidR="00487F99" w:rsidRDefault="002B0FCB">
      <w:pPr>
        <w:pStyle w:val="NormalWeb"/>
        <w:spacing w:before="0" w:after="0"/>
        <w:ind w:right="-334"/>
        <w:jc w:val="both"/>
      </w:pPr>
      <w:r>
        <w:rPr>
          <w:rFonts w:ascii="Verdana Pro Light" w:hAnsi="Verdana Pro Light" w:cs="Verdana Pro Light"/>
          <w:sz w:val="24"/>
          <w:szCs w:val="24"/>
        </w:rPr>
        <w:tab/>
        <w:t>Durkheim argued that “Religious and profane life cannot coexist in the same place”</w:t>
      </w:r>
      <w:r>
        <w:rPr>
          <w:rStyle w:val="FootnoteAnchor"/>
          <w:rFonts w:ascii="Verdana Pro Light" w:hAnsi="Verdana Pro Light" w:cs="Verdana Pro Light"/>
          <w:sz w:val="24"/>
          <w:szCs w:val="24"/>
        </w:rPr>
        <w:footnoteReference w:id="47"/>
      </w:r>
      <w:r>
        <w:rPr>
          <w:rFonts w:ascii="Verdana Pro Light" w:hAnsi="Verdana Pro Light" w:cs="Verdana Pro Light"/>
          <w:sz w:val="24"/>
          <w:szCs w:val="24"/>
        </w:rPr>
        <w:t xml:space="preserve"> therefore religious space must be different to that of profane space. Moreover, </w:t>
      </w:r>
      <w:r>
        <w:rPr>
          <w:rStyle w:val="FootnoteAnchor"/>
          <w:rFonts w:ascii="Verdana Pro Light" w:eastAsia="Verdana Pro Light" w:hAnsi="Verdana Pro Light" w:cs="Verdana Pro Light"/>
          <w:sz w:val="24"/>
          <w:szCs w:val="24"/>
          <w:vertAlign w:val="baseline"/>
        </w:rPr>
        <w:t>a model of a sacred place is where sacred items can be stored when not in use and which are also forbidden to profane people.</w:t>
      </w:r>
      <w:r>
        <w:rPr>
          <w:rStyle w:val="FootnoteAnchor"/>
          <w:rFonts w:ascii="Verdana Pro Light" w:eastAsia="Verdana Pro Light" w:hAnsi="Verdana Pro Light" w:cs="Verdana Pro Light"/>
          <w:sz w:val="24"/>
          <w:szCs w:val="24"/>
        </w:rPr>
        <w:footnoteReference w:id="48"/>
      </w:r>
      <w:r>
        <w:rPr>
          <w:rFonts w:ascii="Verdana Pro Light" w:hAnsi="Verdana Pro Light" w:cs="Verdana Pro Light"/>
          <w:sz w:val="24"/>
          <w:szCs w:val="24"/>
        </w:rPr>
        <w:t>Coinciding with Durkheim’s argument Eliade identified the most obvious example of a church. Stating that the church building is a space that separates itself from the profane. The inside is sacred, and the outside of the church is profane</w:t>
      </w:r>
      <w:r>
        <w:rPr>
          <w:rStyle w:val="FootnoteAnchor"/>
          <w:rFonts w:ascii="Verdana Pro Light" w:hAnsi="Verdana Pro Light" w:cs="Verdana Pro Light"/>
          <w:sz w:val="24"/>
          <w:szCs w:val="24"/>
        </w:rPr>
        <w:footnoteReference w:id="49"/>
      </w:r>
      <w:r>
        <w:rPr>
          <w:rFonts w:ascii="Verdana Pro Light" w:hAnsi="Verdana Pro Light" w:cs="Verdana Pro Light"/>
          <w:sz w:val="24"/>
          <w:szCs w:val="24"/>
        </w:rPr>
        <w:t xml:space="preserve">. Furthermore </w:t>
      </w:r>
      <w:r>
        <w:rPr>
          <w:rFonts w:ascii="Verdana Pro Cond Light" w:hAnsi="Verdana Pro Cond Light" w:cs="Verdana Pro Cond Light"/>
          <w:sz w:val="24"/>
          <w:szCs w:val="24"/>
        </w:rPr>
        <w:t>Durkheim</w:t>
      </w:r>
      <w:r>
        <w:rPr>
          <w:rStyle w:val="FootnoteAnchor"/>
          <w:rFonts w:ascii="Verdana Pro Cond Light" w:hAnsi="Verdana Pro Cond Light" w:cs="Verdana Pro Cond Light"/>
          <w:sz w:val="24"/>
          <w:szCs w:val="24"/>
        </w:rPr>
        <w:footnoteReference w:id="50"/>
      </w:r>
      <w:r>
        <w:rPr>
          <w:rFonts w:ascii="Verdana Pro Cond Light" w:hAnsi="Verdana Pro Cond Light" w:cs="Verdana Pro Cond Light"/>
          <w:sz w:val="24"/>
          <w:szCs w:val="24"/>
        </w:rPr>
        <w:t xml:space="preserve"> </w:t>
      </w:r>
      <w:r>
        <w:rPr>
          <w:rFonts w:ascii="Verdana Pro Light" w:hAnsi="Verdana Pro Light" w:cs="Verdana Pro Light"/>
          <w:sz w:val="24"/>
          <w:szCs w:val="24"/>
        </w:rPr>
        <w:t xml:space="preserve">exclaims that “religious life and profane life cannot coexist at the same unit of time” meaning that sacredness requires an allocated time whereby rituals can be performed, and everyday activities should therefore be put on hold. Not only does sacredness require a specific space it also requires time which is separate from profane time. </w:t>
      </w:r>
    </w:p>
    <w:p w14:paraId="723E2F21" w14:textId="77777777" w:rsidR="00487F99" w:rsidRDefault="002B0FCB">
      <w:pPr>
        <w:pStyle w:val="NormalWeb"/>
        <w:spacing w:before="0" w:after="0"/>
        <w:ind w:right="-334"/>
        <w:jc w:val="both"/>
        <w:rPr>
          <w:rFonts w:ascii="Verdana Pro Light" w:hAnsi="Verdana Pro Light" w:cs="Verdana Pro Light"/>
          <w:sz w:val="24"/>
          <w:szCs w:val="24"/>
        </w:rPr>
      </w:pPr>
      <w:r>
        <w:rPr>
          <w:rFonts w:ascii="Verdana Pro Light" w:hAnsi="Verdana Pro Light" w:cs="Verdana Pro Light"/>
          <w:sz w:val="24"/>
          <w:szCs w:val="24"/>
        </w:rPr>
        <w:tab/>
      </w:r>
    </w:p>
    <w:p w14:paraId="56A305B7" w14:textId="77777777" w:rsidR="00487F99" w:rsidRDefault="00487F99">
      <w:pPr>
        <w:pStyle w:val="NormalWeb"/>
        <w:spacing w:before="0" w:after="0"/>
        <w:ind w:right="-334"/>
        <w:jc w:val="both"/>
        <w:rPr>
          <w:rFonts w:ascii="Verdana Pro Light" w:hAnsi="Verdana Pro Light" w:cs="Verdana Pro Light"/>
          <w:b/>
          <w:bCs/>
          <w:sz w:val="24"/>
          <w:szCs w:val="24"/>
        </w:rPr>
      </w:pPr>
    </w:p>
    <w:p w14:paraId="471F19B8" w14:textId="77777777" w:rsidR="00487F99" w:rsidRDefault="00487F99">
      <w:pPr>
        <w:pStyle w:val="NormalWeb"/>
        <w:spacing w:before="0" w:after="0"/>
        <w:ind w:right="-334"/>
        <w:jc w:val="both"/>
        <w:rPr>
          <w:rFonts w:ascii="Verdana Pro Light" w:hAnsi="Verdana Pro Light" w:cs="Verdana Pro Light"/>
          <w:b/>
          <w:bCs/>
          <w:sz w:val="24"/>
          <w:szCs w:val="24"/>
        </w:rPr>
      </w:pPr>
    </w:p>
    <w:p w14:paraId="0F2A7253" w14:textId="77777777" w:rsidR="00487F99" w:rsidRDefault="00487F99">
      <w:pPr>
        <w:pStyle w:val="NormalWeb"/>
        <w:spacing w:before="0" w:after="0"/>
        <w:ind w:right="-334"/>
        <w:jc w:val="both"/>
        <w:rPr>
          <w:rFonts w:ascii="Verdana Pro Light" w:hAnsi="Verdana Pro Light" w:cs="Verdana Pro Light"/>
          <w:b/>
          <w:bCs/>
          <w:sz w:val="24"/>
          <w:szCs w:val="24"/>
        </w:rPr>
      </w:pPr>
    </w:p>
    <w:p w14:paraId="6A70A2C1" w14:textId="77777777" w:rsidR="00487F99" w:rsidRDefault="002B0FCB">
      <w:pPr>
        <w:pStyle w:val="NormalWeb"/>
        <w:spacing w:before="0" w:after="0"/>
        <w:ind w:right="-334"/>
        <w:jc w:val="both"/>
        <w:rPr>
          <w:rFonts w:ascii="Verdana Pro Light" w:hAnsi="Verdana Pro Light" w:cs="Verdana Pro Light"/>
          <w:b/>
          <w:bCs/>
          <w:sz w:val="24"/>
          <w:szCs w:val="24"/>
        </w:rPr>
      </w:pPr>
      <w:r>
        <w:rPr>
          <w:rFonts w:ascii="Verdana Pro Light" w:hAnsi="Verdana Pro Light" w:cs="Verdana Pro Light"/>
          <w:b/>
          <w:bCs/>
          <w:sz w:val="24"/>
          <w:szCs w:val="24"/>
        </w:rPr>
        <w:t>Is the Gurdwara a sacred space? And is it a human construct?</w:t>
      </w:r>
    </w:p>
    <w:p w14:paraId="7E20C6B0" w14:textId="77777777" w:rsidR="00487F99" w:rsidRDefault="002B0FCB">
      <w:pPr>
        <w:pStyle w:val="NormalWeb"/>
        <w:spacing w:before="0" w:after="0"/>
        <w:ind w:right="-334"/>
        <w:jc w:val="both"/>
      </w:pPr>
      <w:r>
        <w:rPr>
          <w:rFonts w:ascii="Verdana Pro Light" w:hAnsi="Verdana Pro Light" w:cs="Verdana Pro Light"/>
          <w:sz w:val="24"/>
          <w:szCs w:val="24"/>
        </w:rPr>
        <w:tab/>
        <w:t xml:space="preserve"> The term gurdwara is referred to a structure having a door and being able to house Guru Granth Sahib JI. “The sacred Sikh architecture tends to develop into a complex of several buildings serving different functions, expressing the three commandments of Sikh faith as per Guru Nanak Dev Ji – worshipping (naam Japna), working (kirt karna) and sharing Vand chhakna).”</w:t>
      </w:r>
      <w:r>
        <w:rPr>
          <w:rStyle w:val="FootnoteAnchor"/>
          <w:rFonts w:ascii="Verdana Pro Light" w:hAnsi="Verdana Pro Light" w:cs="Verdana Pro Light"/>
          <w:sz w:val="24"/>
          <w:szCs w:val="24"/>
        </w:rPr>
        <w:footnoteReference w:id="51"/>
      </w:r>
      <w:r>
        <w:rPr>
          <w:rFonts w:ascii="Verdana Pro Light" w:hAnsi="Verdana Pro Light" w:cs="Verdana Pro Light"/>
          <w:sz w:val="24"/>
          <w:szCs w:val="24"/>
        </w:rPr>
        <w:t xml:space="preserve"> in the early settlement of Sikhs to Britain, rented properties were used as gurdwaras. The next stage was to buy a building and modify it for Sikh worship.</w:t>
      </w:r>
      <w:r>
        <w:rPr>
          <w:rStyle w:val="FootnoteAnchor"/>
          <w:rFonts w:ascii="Verdana Pro Light" w:hAnsi="Verdana Pro Light" w:cs="Verdana Pro Light"/>
          <w:sz w:val="24"/>
          <w:szCs w:val="24"/>
        </w:rPr>
        <w:footnoteReference w:id="52"/>
      </w:r>
      <w:r>
        <w:rPr>
          <w:rStyle w:val="FootnoteAnchor"/>
          <w:rFonts w:ascii="Verdana Pro Light" w:hAnsi="Verdana Pro Light" w:cs="Verdana Pro Light"/>
          <w:sz w:val="24"/>
          <w:szCs w:val="24"/>
        </w:rPr>
        <w:t xml:space="preserve"> </w:t>
      </w:r>
      <w:r>
        <w:rPr>
          <w:rStyle w:val="FootnoteAnchor"/>
          <w:rFonts w:ascii="Verdana Pro Light" w:hAnsi="Verdana Pro Light" w:cs="Verdana Pro Light"/>
          <w:sz w:val="24"/>
          <w:szCs w:val="24"/>
          <w:vertAlign w:val="baseline"/>
        </w:rPr>
        <w:t>Guru Nanak Nishkam Sewak Jatha purchased two buildings and combined them together to create a Gurdwara where people could come and worship together.</w:t>
      </w:r>
      <w:r>
        <w:rPr>
          <w:rStyle w:val="FootnoteAnchor"/>
          <w:rFonts w:ascii="Verdana Pro Light" w:hAnsi="Verdana Pro Light" w:cs="Verdana Pro Light"/>
          <w:sz w:val="24"/>
          <w:szCs w:val="24"/>
          <w:vertAlign w:val="baseline"/>
        </w:rPr>
        <w:footnoteReference w:id="53"/>
      </w:r>
      <w:r>
        <w:rPr>
          <w:rStyle w:val="FootnoteAnchor"/>
          <w:rFonts w:ascii="Verdana Pro Light" w:hAnsi="Verdana Pro Light" w:cs="Verdana Pro Light"/>
          <w:sz w:val="24"/>
          <w:szCs w:val="24"/>
          <w:vertAlign w:val="baseline"/>
        </w:rPr>
        <w:t xml:space="preserve"> </w:t>
      </w:r>
      <w:r>
        <w:rPr>
          <w:rFonts w:ascii="Verdana Pro Light" w:hAnsi="Verdana Pro Light" w:cs="Verdana Pro Light"/>
          <w:sz w:val="24"/>
          <w:szCs w:val="24"/>
        </w:rPr>
        <w:t xml:space="preserve"> </w:t>
      </w:r>
    </w:p>
    <w:p w14:paraId="4A734273" w14:textId="77777777" w:rsidR="00487F99" w:rsidRDefault="002B0FCB">
      <w:pPr>
        <w:pStyle w:val="NormalWeb"/>
        <w:spacing w:before="0" w:after="0"/>
        <w:ind w:right="-334"/>
        <w:jc w:val="both"/>
        <w:rPr>
          <w:rFonts w:ascii="Verdana Pro Light" w:hAnsi="Verdana Pro Light" w:cs="Verdana Pro Light"/>
          <w:sz w:val="24"/>
          <w:szCs w:val="24"/>
        </w:rPr>
      </w:pPr>
      <w:r>
        <w:rPr>
          <w:rFonts w:ascii="Verdana Pro Light" w:hAnsi="Verdana Pro Light" w:cs="Verdana Pro Light"/>
          <w:sz w:val="24"/>
          <w:szCs w:val="24"/>
        </w:rPr>
        <w:tab/>
        <w:t>Leeuw referred to nature and built environments as sacred spaces. In what he describes as sacred built environments he referred to spaces that link to religious history such as homes, temples, settlements, pilgrimages, and the human body</w:t>
      </w:r>
      <w:r>
        <w:rPr>
          <w:rStyle w:val="FootnoteAnchor"/>
          <w:rFonts w:ascii="Verdana Pro Light" w:hAnsi="Verdana Pro Light" w:cs="Verdana Pro Light"/>
          <w:sz w:val="24"/>
          <w:szCs w:val="24"/>
        </w:rPr>
        <w:footnoteReference w:id="54"/>
      </w:r>
      <w:r>
        <w:rPr>
          <w:rFonts w:ascii="Verdana Pro Light" w:hAnsi="Verdana Pro Light" w:cs="Verdana Pro Light"/>
          <w:sz w:val="24"/>
          <w:szCs w:val="24"/>
        </w:rPr>
        <w:t>.</w:t>
      </w:r>
      <w:r>
        <w:rPr>
          <w:rStyle w:val="FootnoteAnchor"/>
          <w:rFonts w:ascii="Verdana Pro Light" w:eastAsia="Verdana Pro Light" w:hAnsi="Verdana Pro Light" w:cs="Verdana Pro Light"/>
          <w:sz w:val="24"/>
          <w:szCs w:val="24"/>
          <w:vertAlign w:val="baseline"/>
        </w:rPr>
        <w:t xml:space="preserve"> </w:t>
      </w:r>
      <w:r>
        <w:rPr>
          <w:rFonts w:ascii="Verdana Pro Light" w:hAnsi="Verdana Pro Light" w:cs="Verdana Pro Light"/>
          <w:sz w:val="24"/>
          <w:szCs w:val="24"/>
        </w:rPr>
        <w:t>In opposing views Elizabeth Burns Coleman argues that sacred space is the entire cosmos and is not confined to a theatre or building, therefore a Gurdwara is not sacred in the sense of demarcated territory.</w:t>
      </w:r>
      <w:r>
        <w:rPr>
          <w:rStyle w:val="FootnoteAnchor"/>
          <w:rFonts w:ascii="Verdana Pro Light" w:hAnsi="Verdana Pro Light" w:cs="Verdana Pro Light"/>
          <w:sz w:val="24"/>
          <w:szCs w:val="24"/>
        </w:rPr>
        <w:footnoteReference w:id="55"/>
      </w:r>
      <w:r>
        <w:rPr>
          <w:rFonts w:ascii="Verdana Pro Light" w:hAnsi="Verdana Pro Light" w:cs="Verdana Pro Light"/>
          <w:sz w:val="24"/>
          <w:szCs w:val="24"/>
        </w:rPr>
        <w:t xml:space="preserve"> Leeuw argues that sacred space is a human construct that is created because of power or the repetition of man.</w:t>
      </w:r>
      <w:r>
        <w:rPr>
          <w:rStyle w:val="FootnoteAnchor"/>
          <w:rFonts w:ascii="Verdana Pro Light" w:hAnsi="Verdana Pro Light" w:cs="Verdana Pro Light"/>
          <w:sz w:val="24"/>
          <w:szCs w:val="24"/>
        </w:rPr>
        <w:footnoteReference w:id="56"/>
      </w:r>
      <w:r>
        <w:rPr>
          <w:rFonts w:ascii="Verdana Pro Light" w:hAnsi="Verdana Pro Light" w:cs="Verdana Pro Light"/>
          <w:sz w:val="24"/>
          <w:szCs w:val="24"/>
        </w:rPr>
        <w:t xml:space="preserve"> GNNSJ Gurdwara was built because of the sangat’s regular collective prayers.</w:t>
      </w:r>
      <w:r>
        <w:rPr>
          <w:rStyle w:val="FootnoteAnchor"/>
          <w:rFonts w:ascii="Verdana Pro Light" w:hAnsi="Verdana Pro Light" w:cs="Verdana Pro Light"/>
          <w:sz w:val="24"/>
          <w:szCs w:val="24"/>
        </w:rPr>
        <w:footnoteReference w:id="57"/>
      </w:r>
    </w:p>
    <w:p w14:paraId="42C92100" w14:textId="070930E7" w:rsidR="00487F99" w:rsidRDefault="002B0FCB">
      <w:pPr>
        <w:pStyle w:val="NormalWeb"/>
        <w:spacing w:before="0" w:after="0"/>
        <w:ind w:right="-334"/>
        <w:jc w:val="both"/>
      </w:pPr>
      <w:r>
        <w:rPr>
          <w:rFonts w:ascii="Verdana Pro Light" w:hAnsi="Verdana Pro Light" w:cs="Verdana Pro Light"/>
          <w:sz w:val="24"/>
          <w:szCs w:val="24"/>
        </w:rPr>
        <w:tab/>
        <w:t>Eliade describes the construction of sacred space as “it is through his own efforts that man can consecrate a space. The ritual by which he constructs a sacred space is efficacious in the measure in which it reproduces the work of the gods”</w:t>
      </w:r>
      <w:r>
        <w:rPr>
          <w:rStyle w:val="FootnoteAnchor"/>
          <w:rFonts w:ascii="Verdana Pro Light" w:hAnsi="Verdana Pro Light" w:cs="Verdana Pro Light"/>
          <w:sz w:val="24"/>
          <w:szCs w:val="24"/>
        </w:rPr>
        <w:footnoteReference w:id="58"/>
      </w:r>
      <w:r>
        <w:rPr>
          <w:rFonts w:ascii="Verdana Pro Light" w:hAnsi="Verdana Pro Light" w:cs="Verdana Pro Light"/>
          <w:sz w:val="24"/>
          <w:szCs w:val="24"/>
        </w:rPr>
        <w:t>. On the other hand, Durkheim argues that sacred space does not require the interventions of the divine but is created by people for people and for social purposes</w:t>
      </w:r>
      <w:r>
        <w:rPr>
          <w:rStyle w:val="FootnoteAnchor"/>
          <w:rFonts w:ascii="Verdana Pro Light" w:hAnsi="Verdana Pro Light" w:cs="Verdana Pro Light"/>
          <w:sz w:val="24"/>
          <w:szCs w:val="24"/>
        </w:rPr>
        <w:footnoteReference w:id="59"/>
      </w:r>
      <w:r>
        <w:rPr>
          <w:rFonts w:ascii="Verdana Pro Light" w:hAnsi="Verdana Pro Light" w:cs="Verdana Pro Light"/>
          <w:sz w:val="24"/>
          <w:szCs w:val="24"/>
        </w:rPr>
        <w:t>. He argues “places are made sacred by groups of people...they remain sacred only so long as groups continue to do this”</w:t>
      </w:r>
      <w:r>
        <w:rPr>
          <w:rStyle w:val="FootnoteAnchor"/>
          <w:rFonts w:ascii="Verdana Pro Light" w:hAnsi="Verdana Pro Light" w:cs="Verdana Pro Light"/>
          <w:sz w:val="24"/>
          <w:szCs w:val="24"/>
        </w:rPr>
        <w:footnoteReference w:id="60"/>
      </w:r>
      <w:r>
        <w:rPr>
          <w:rFonts w:ascii="Verdana Pro Light" w:hAnsi="Verdana Pro Light" w:cs="Verdana Pro Light"/>
          <w:sz w:val="24"/>
          <w:szCs w:val="24"/>
        </w:rPr>
        <w:t xml:space="preserve"> The Gurdwara is maintained by GNNSJ.</w:t>
      </w:r>
      <w:r>
        <w:rPr>
          <w:rStyle w:val="FootnoteAnchor"/>
          <w:rFonts w:ascii="Verdana Pro Light" w:hAnsi="Verdana Pro Light" w:cs="Verdana Pro Light"/>
          <w:sz w:val="24"/>
          <w:szCs w:val="24"/>
        </w:rPr>
        <w:footnoteReference w:id="61"/>
      </w:r>
    </w:p>
    <w:p w14:paraId="3903D411" w14:textId="449DD5FB" w:rsidR="00487F99" w:rsidRDefault="00487F99">
      <w:pPr>
        <w:pStyle w:val="NormalWeb"/>
        <w:spacing w:before="0" w:after="0"/>
        <w:ind w:right="-334"/>
        <w:jc w:val="both"/>
      </w:pPr>
    </w:p>
    <w:p w14:paraId="62EB6C90" w14:textId="77777777" w:rsidR="00487F99" w:rsidRDefault="00487F99">
      <w:pPr>
        <w:pStyle w:val="NormalWeb"/>
        <w:spacing w:before="0" w:after="0"/>
        <w:ind w:right="-334"/>
        <w:rPr>
          <w:rFonts w:ascii="Verdana Pro Light" w:hAnsi="Verdana Pro Light" w:cs="Verdana Pro Light"/>
          <w:b/>
          <w:bCs/>
          <w:sz w:val="24"/>
          <w:szCs w:val="24"/>
        </w:rPr>
      </w:pPr>
    </w:p>
    <w:p w14:paraId="7CB0A8B9" w14:textId="77777777" w:rsidR="00487F99" w:rsidRDefault="002B0FCB">
      <w:pPr>
        <w:pStyle w:val="NormalWeb"/>
        <w:spacing w:before="0" w:after="0"/>
        <w:ind w:right="-334"/>
        <w:rPr>
          <w:rFonts w:ascii="Verdana Pro Light" w:hAnsi="Verdana Pro Light" w:cs="Verdana Pro Light"/>
          <w:b/>
          <w:bCs/>
          <w:sz w:val="24"/>
          <w:szCs w:val="24"/>
        </w:rPr>
      </w:pPr>
      <w:r>
        <w:rPr>
          <w:rFonts w:ascii="Verdana Pro Light" w:hAnsi="Verdana Pro Light" w:cs="Verdana Pro Light"/>
          <w:b/>
          <w:bCs/>
          <w:sz w:val="24"/>
          <w:szCs w:val="24"/>
        </w:rPr>
        <w:t xml:space="preserve">Field Work </w:t>
      </w:r>
    </w:p>
    <w:p w14:paraId="2045CE4D" w14:textId="77777777" w:rsidR="00487F99" w:rsidRDefault="00487F99">
      <w:pPr>
        <w:pStyle w:val="NormalWeb"/>
        <w:spacing w:before="0" w:after="0"/>
        <w:ind w:right="-334"/>
        <w:rPr>
          <w:rFonts w:ascii="Verdana Pro Light" w:hAnsi="Verdana Pro Light" w:cs="Verdana Pro Light"/>
          <w:b/>
          <w:bCs/>
          <w:sz w:val="24"/>
          <w:szCs w:val="24"/>
        </w:rPr>
      </w:pPr>
    </w:p>
    <w:p w14:paraId="310814A6" w14:textId="77777777" w:rsidR="00487F99" w:rsidRDefault="002B0FCB">
      <w:pPr>
        <w:pStyle w:val="NormalWeb"/>
        <w:spacing w:before="0" w:after="0"/>
        <w:ind w:right="-334"/>
        <w:rPr>
          <w:rFonts w:ascii="Verdana Pro Light" w:hAnsi="Verdana Pro Light" w:cs="Verdana Pro Light"/>
          <w:b/>
          <w:bCs/>
          <w:sz w:val="24"/>
          <w:szCs w:val="24"/>
        </w:rPr>
      </w:pPr>
      <w:r>
        <w:rPr>
          <w:rFonts w:ascii="Verdana Pro Light" w:hAnsi="Verdana Pro Light" w:cs="Verdana Pro Light"/>
          <w:b/>
          <w:bCs/>
          <w:sz w:val="24"/>
          <w:szCs w:val="24"/>
        </w:rPr>
        <w:t>Is GNNSJ Gurdwara a Human Construct?</w:t>
      </w:r>
    </w:p>
    <w:p w14:paraId="1E0CF262" w14:textId="0FCB2F56" w:rsidR="00487F99" w:rsidRDefault="0000277F">
      <w:pPr>
        <w:pStyle w:val="NormalWeb"/>
        <w:spacing w:before="0" w:after="0"/>
        <w:ind w:right="-334"/>
        <w:jc w:val="both"/>
      </w:pPr>
      <w:r>
        <w:rPr>
          <w:noProof/>
        </w:rPr>
        <mc:AlternateContent>
          <mc:Choice Requires="wps">
            <w:drawing>
              <wp:anchor distT="0" distB="0" distL="114300" distR="114300" simplePos="0" relativeHeight="251660288" behindDoc="0" locked="0" layoutInCell="1" allowOverlap="1" wp14:anchorId="4496E184" wp14:editId="3799D909">
                <wp:simplePos x="0" y="0"/>
                <wp:positionH relativeFrom="column">
                  <wp:posOffset>3640455</wp:posOffset>
                </wp:positionH>
                <wp:positionV relativeFrom="paragraph">
                  <wp:posOffset>4941570</wp:posOffset>
                </wp:positionV>
                <wp:extent cx="2025650" cy="635"/>
                <wp:effectExtent l="0" t="0" r="0" b="0"/>
                <wp:wrapSquare wrapText="bothSides"/>
                <wp:docPr id="567235142" name="Text Box 1"/>
                <wp:cNvGraphicFramePr/>
                <a:graphic xmlns:a="http://schemas.openxmlformats.org/drawingml/2006/main">
                  <a:graphicData uri="http://schemas.microsoft.com/office/word/2010/wordprocessingShape">
                    <wps:wsp>
                      <wps:cNvSpPr txBox="1"/>
                      <wps:spPr>
                        <a:xfrm>
                          <a:off x="0" y="0"/>
                          <a:ext cx="2025650" cy="635"/>
                        </a:xfrm>
                        <a:prstGeom prst="rect">
                          <a:avLst/>
                        </a:prstGeom>
                        <a:solidFill>
                          <a:prstClr val="white"/>
                        </a:solidFill>
                        <a:ln>
                          <a:noFill/>
                        </a:ln>
                      </wps:spPr>
                      <wps:txbx>
                        <w:txbxContent>
                          <w:p w14:paraId="55C7E662" w14:textId="032B352D" w:rsidR="0000277F" w:rsidRPr="00EA5C5F" w:rsidRDefault="0000277F" w:rsidP="0000277F">
                            <w:pPr>
                              <w:pStyle w:val="Caption"/>
                              <w:rPr>
                                <w:rFonts w:ascii="Verdana Pro Light" w:hAnsi="Verdana Pro Light" w:cs="Verdana Pro Light"/>
                                <w:color w:val="000000"/>
                              </w:rPr>
                            </w:pPr>
                            <w:r>
                              <w:t xml:space="preserve">Taken by Rebecca Booker </w:t>
                            </w:r>
                            <w:r w:rsidR="00C32955">
                              <w:fldChar w:fldCharType="begin"/>
                            </w:r>
                            <w:r w:rsidR="00C32955">
                              <w:instrText xml:space="preserve"> SEQ Taken_by_Rebecca_Booker \* ARABIC </w:instrText>
                            </w:r>
                            <w:r w:rsidR="00C32955">
                              <w:fldChar w:fldCharType="separate"/>
                            </w:r>
                            <w:r>
                              <w:rPr>
                                <w:noProof/>
                              </w:rPr>
                              <w:t>1</w:t>
                            </w:r>
                            <w:r w:rsidR="00C32955">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496E184" id="_x0000_t202" coordsize="21600,21600" o:spt="202" path="m,l,21600r21600,l21600,xe">
                <v:stroke joinstyle="miter"/>
                <v:path gradientshapeok="t" o:connecttype="rect"/>
              </v:shapetype>
              <v:shape id="Text Box 1" o:spid="_x0000_s1026" type="#_x0000_t202" style="position:absolute;left:0;text-align:left;margin-left:286.65pt;margin-top:389.1pt;width:159.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" stroked="f">
                <v:textbox style="mso-fit-shape-to-text:t" inset="0,0,0,0">
                  <w:txbxContent>
                    <w:p w14:paraId="55C7E662" w14:textId="032B352D" w:rsidR="0000277F" w:rsidRPr="00EA5C5F" w:rsidRDefault="0000277F" w:rsidP="0000277F">
                      <w:pPr>
                        <w:pStyle w:val="Caption"/>
                        <w:rPr>
                          <w:rFonts w:ascii="Verdana Pro Light" w:hAnsi="Verdana Pro Light" w:cs="Verdana Pro Light"/>
                          <w:color w:val="000000"/>
                        </w:rPr>
                      </w:pPr>
                      <w:r>
                        <w:t xml:space="preserve">Taken by Rebecca Booker </w:t>
                      </w:r>
                      <w:r w:rsidR="00C32955">
                        <w:fldChar w:fldCharType="begin"/>
                      </w:r>
                      <w:r w:rsidR="00C32955">
                        <w:instrText xml:space="preserve"> SEQ Taken_by_Rebecca_Booker \* ARABIC </w:instrText>
                      </w:r>
                      <w:r w:rsidR="00C32955">
                        <w:fldChar w:fldCharType="separate"/>
                      </w:r>
                      <w:r>
                        <w:rPr>
                          <w:noProof/>
                        </w:rPr>
                        <w:t>1</w:t>
                      </w:r>
                      <w:r w:rsidR="00C32955">
                        <w:rPr>
                          <w:noProof/>
                        </w:rPr>
                        <w:fldChar w:fldCharType="end"/>
                      </w:r>
                    </w:p>
                  </w:txbxContent>
                </v:textbox>
                <w10:wrap type="square"/>
              </v:shape>
            </w:pict>
          </mc:Fallback>
        </mc:AlternateContent>
      </w:r>
      <w:r w:rsidRPr="0000277F">
        <w:rPr>
          <w:rFonts w:ascii="Verdana Pro Light" w:hAnsi="Verdana Pro Light" w:cs="Verdana Pro Light"/>
          <w:noProof/>
          <w:sz w:val="24"/>
          <w:szCs w:val="24"/>
        </w:rPr>
        <w:drawing>
          <wp:anchor distT="0" distB="0" distL="114300" distR="114300" simplePos="0" relativeHeight="251658240" behindDoc="0" locked="0" layoutInCell="1" allowOverlap="1" wp14:anchorId="1F97A301" wp14:editId="1955AE4D">
            <wp:simplePos x="0" y="0"/>
            <wp:positionH relativeFrom="column">
              <wp:posOffset>3640455</wp:posOffset>
            </wp:positionH>
            <wp:positionV relativeFrom="paragraph">
              <wp:posOffset>1780540</wp:posOffset>
            </wp:positionV>
            <wp:extent cx="2025650" cy="3103880"/>
            <wp:effectExtent l="0" t="0" r="0" b="1270"/>
            <wp:wrapSquare wrapText="bothSides"/>
            <wp:docPr id="2120002014" name="Picture 1" descr="A building with a dome t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002014" name="Picture 1" descr="A building with a dome top&#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25650" cy="3103880"/>
                    </a:xfrm>
                    <a:prstGeom prst="rect">
                      <a:avLst/>
                    </a:prstGeom>
                  </pic:spPr>
                </pic:pic>
              </a:graphicData>
            </a:graphic>
            <wp14:sizeRelH relativeFrom="page">
              <wp14:pctWidth>0</wp14:pctWidth>
            </wp14:sizeRelH>
            <wp14:sizeRelV relativeFrom="page">
              <wp14:pctHeight>0</wp14:pctHeight>
            </wp14:sizeRelV>
          </wp:anchor>
        </w:drawing>
      </w:r>
      <w:r w:rsidR="002B0FCB">
        <w:rPr>
          <w:rFonts w:ascii="Verdana Pro Light" w:hAnsi="Verdana Pro Light" w:cs="Verdana Pro Light"/>
          <w:sz w:val="24"/>
          <w:szCs w:val="24"/>
        </w:rPr>
        <w:tab/>
        <w:t>Guru Nanak Nishkam Sewak Jatha Gurdwara is a very large purpose built Gurdwara. In 1976-1977 GNNSJ brought the former polish club converting it into a gurdwara. Guru Nanak Nishkam Sewak Jatha was then legally formalised and the connective properties to the gurdwara, 18-20 was also purchased. This then created a new Gurdwara. The Gurdwara is maintained by GNNSJ.</w:t>
      </w:r>
      <w:r w:rsidR="002B0FCB">
        <w:rPr>
          <w:rStyle w:val="FootnoteAnchor"/>
          <w:rFonts w:ascii="Verdana Pro Light" w:hAnsi="Verdana Pro Light" w:cs="Verdana Pro Light"/>
          <w:sz w:val="24"/>
          <w:szCs w:val="24"/>
        </w:rPr>
        <w:footnoteReference w:id="62"/>
      </w:r>
      <w:r w:rsidR="002B0FCB">
        <w:rPr>
          <w:rStyle w:val="FootnoteAnchor"/>
          <w:rFonts w:ascii="Verdana Pro Light" w:hAnsi="Verdana Pro Light" w:cs="Verdana Pro Light"/>
          <w:b/>
          <w:bCs/>
          <w:sz w:val="24"/>
          <w:szCs w:val="24"/>
        </w:rPr>
        <w:t xml:space="preserve"> </w:t>
      </w:r>
      <w:r w:rsidR="002B0FCB">
        <w:rPr>
          <w:rStyle w:val="FootnoteAnchor"/>
          <w:rFonts w:ascii="Verdana Pro Light" w:hAnsi="Verdana Pro Light" w:cs="Verdana Pro Light"/>
          <w:sz w:val="24"/>
          <w:szCs w:val="24"/>
          <w:vertAlign w:val="baseline"/>
        </w:rPr>
        <w:t>W</w:t>
      </w:r>
      <w:r w:rsidR="002B0FCB">
        <w:rPr>
          <w:rFonts w:ascii="Verdana Pro Light" w:hAnsi="Verdana Pro Light" w:cs="Verdana Pro Light"/>
          <w:sz w:val="24"/>
          <w:szCs w:val="24"/>
        </w:rPr>
        <w:t>hich coincides with Durkheim who argues that for something to be sacred it must be maintained by the group of people who made it sacred in the first place by separating it from the profane.</w:t>
      </w:r>
      <w:r w:rsidR="002B0FCB">
        <w:rPr>
          <w:rStyle w:val="FootnoteAnchor"/>
          <w:rFonts w:ascii="Verdana Pro Light" w:hAnsi="Verdana Pro Light" w:cs="Verdana Pro Light"/>
          <w:sz w:val="24"/>
          <w:szCs w:val="24"/>
        </w:rPr>
        <w:footnoteReference w:id="63"/>
      </w:r>
      <w:r w:rsidR="002B0FCB">
        <w:rPr>
          <w:rFonts w:ascii="Verdana Pro Light" w:hAnsi="Verdana Pro Light" w:cs="Verdana Pro Light"/>
          <w:sz w:val="24"/>
          <w:szCs w:val="24"/>
        </w:rPr>
        <w:t xml:space="preserve"> The Gurdwara itself can be seen roughly from about ¼ of a mile away from down Soho Road. At night it lights up. The gurdwara also has an orange flag outside called a Nishan sahib.</w:t>
      </w:r>
      <w:r w:rsidRPr="0000277F">
        <w:rPr>
          <w:noProof/>
        </w:rPr>
        <w:t xml:space="preserve"> </w:t>
      </w:r>
      <w:r w:rsidR="002B0FCB">
        <w:rPr>
          <w:rFonts w:ascii="Verdana Pro Light" w:hAnsi="Verdana Pro Light" w:cs="Verdana Pro Light"/>
          <w:sz w:val="24"/>
          <w:szCs w:val="24"/>
        </w:rPr>
        <w:t xml:space="preserve"> Inside there are lots of darbar’s (prayer halls). There is one big main darbar on the first floor as well as two Langar halls. Langar halls are where vegetarian food is served. It has been observed that men are the ones who serve the food whilst the women are the ones who prepare, cook and wash. On the second floor you have an office for the chairman or as he is called by the sangat, Baba ji. Amongst the other rooms there is a sachkhand where Guru Granth Sahib Ji sleeps, the holy scriptures for Sikhs. They are also considered as the living guru, and they contain a collection of Sikh teachings</w:t>
      </w:r>
      <w:r w:rsidR="002B0FCB">
        <w:rPr>
          <w:rStyle w:val="FootnoteAnchor"/>
          <w:rFonts w:ascii="Verdana Pro Light" w:hAnsi="Verdana Pro Light" w:cs="Verdana Pro Light"/>
          <w:sz w:val="24"/>
          <w:szCs w:val="24"/>
        </w:rPr>
        <w:footnoteReference w:id="64"/>
      </w:r>
      <w:r w:rsidR="002B0FCB">
        <w:rPr>
          <w:rStyle w:val="FootnoteAnchor"/>
          <w:rFonts w:ascii="Verdana Pro Light" w:hAnsi="Verdana Pro Light" w:cs="Verdana Pro Light"/>
          <w:sz w:val="24"/>
          <w:szCs w:val="24"/>
        </w:rPr>
        <w:t>.</w:t>
      </w:r>
      <w:r w:rsidR="002B0FCB">
        <w:rPr>
          <w:rStyle w:val="FootnoteAnchor"/>
          <w:rFonts w:ascii="Verdana Pro Light" w:hAnsi="Verdana Pro Light" w:cs="Verdana Pro Light"/>
          <w:sz w:val="24"/>
          <w:szCs w:val="24"/>
          <w:vertAlign w:val="baseline"/>
        </w:rPr>
        <w:t>. It has been observed that Guru Granth Sahib ji is also referred to as Maharaj.</w:t>
      </w:r>
      <w:r w:rsidR="002B0FCB">
        <w:rPr>
          <w:rFonts w:ascii="Verdana Pro Light" w:hAnsi="Verdana Pro Light" w:cs="Verdana Pro Light"/>
          <w:sz w:val="24"/>
          <w:szCs w:val="24"/>
        </w:rPr>
        <w:t xml:space="preserve"> </w:t>
      </w:r>
    </w:p>
    <w:p w14:paraId="71BB576A" w14:textId="5D8E62D4" w:rsidR="00487F99" w:rsidRDefault="002B0FCB">
      <w:pPr>
        <w:pStyle w:val="NormalWeb"/>
        <w:spacing w:before="0" w:after="0"/>
        <w:ind w:right="-334"/>
        <w:jc w:val="both"/>
      </w:pPr>
      <w:r>
        <w:rPr>
          <w:rFonts w:ascii="Verdana Pro Light" w:hAnsi="Verdana Pro Light" w:cs="Verdana Pro Light"/>
          <w:sz w:val="24"/>
          <w:szCs w:val="24"/>
        </w:rPr>
        <w:tab/>
        <w:t xml:space="preserve"> Durkheim</w:t>
      </w:r>
      <w:r>
        <w:rPr>
          <w:rStyle w:val="FootnoteAnchor"/>
          <w:rFonts w:ascii="Verdana Pro Light" w:hAnsi="Verdana Pro Light" w:cs="Verdana Pro Light"/>
          <w:sz w:val="24"/>
          <w:szCs w:val="24"/>
        </w:rPr>
        <w:footnoteReference w:id="65"/>
      </w:r>
      <w:r>
        <w:rPr>
          <w:rFonts w:ascii="Verdana Pro Light" w:hAnsi="Verdana Pro Light" w:cs="Verdana Pro Light"/>
          <w:sz w:val="24"/>
          <w:szCs w:val="24"/>
        </w:rPr>
        <w:t xml:space="preserve"> argues that special places must exist to separate the sacred from the profane life. For “religious and profane life cannot co-exist in the same space.” Furthermore, a sacred place is something that is constructed by people for humans. The construction of temples as well as sanctuaries are based on the idea that sacred </w:t>
      </w:r>
      <w:r w:rsidR="00EA4642" w:rsidRPr="0000277F">
        <w:rPr>
          <w:rFonts w:ascii="Verdana Pro Light" w:hAnsi="Verdana Pro Light" w:cs="Verdana Pro Light"/>
          <w:b/>
          <w:bCs/>
          <w:noProof/>
          <w:sz w:val="24"/>
          <w:szCs w:val="24"/>
        </w:rPr>
        <w:drawing>
          <wp:anchor distT="0" distB="0" distL="114300" distR="114300" simplePos="0" relativeHeight="251665408" behindDoc="0" locked="0" layoutInCell="1" allowOverlap="1" wp14:anchorId="60D26544" wp14:editId="04FAC0EE">
            <wp:simplePos x="0" y="0"/>
            <wp:positionH relativeFrom="margin">
              <wp:posOffset>-229235</wp:posOffset>
            </wp:positionH>
            <wp:positionV relativeFrom="paragraph">
              <wp:posOffset>216535</wp:posOffset>
            </wp:positionV>
            <wp:extent cx="2025650" cy="1598295"/>
            <wp:effectExtent l="4127" t="0" r="0" b="0"/>
            <wp:wrapThrough wrapText="bothSides">
              <wp:wrapPolygon edited="0">
                <wp:start x="44" y="21656"/>
                <wp:lineTo x="21373" y="21656"/>
                <wp:lineTo x="21373" y="287"/>
                <wp:lineTo x="44" y="287"/>
                <wp:lineTo x="44" y="21656"/>
              </wp:wrapPolygon>
            </wp:wrapThrough>
            <wp:docPr id="2078258061" name="Picture 1" descr="A wooden door with carved desig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258061" name="Picture 1" descr="A wooden door with carved design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2025650" cy="1598295"/>
                    </a:xfrm>
                    <a:prstGeom prst="rect">
                      <a:avLst/>
                    </a:prstGeom>
                  </pic:spPr>
                </pic:pic>
              </a:graphicData>
            </a:graphic>
            <wp14:sizeRelH relativeFrom="page">
              <wp14:pctWidth>0</wp14:pctWidth>
            </wp14:sizeRelH>
            <wp14:sizeRelV relativeFrom="page">
              <wp14:pctHeight>0</wp14:pctHeight>
            </wp14:sizeRelV>
          </wp:anchor>
        </w:drawing>
      </w:r>
      <w:r>
        <w:rPr>
          <w:rFonts w:ascii="Verdana Pro Light" w:hAnsi="Verdana Pro Light" w:cs="Verdana Pro Light"/>
          <w:sz w:val="24"/>
          <w:szCs w:val="24"/>
        </w:rPr>
        <w:t>and profane need to be separated.</w:t>
      </w:r>
      <w:r>
        <w:rPr>
          <w:rStyle w:val="FootnoteAnchor"/>
          <w:rFonts w:ascii="Verdana Pro Light" w:hAnsi="Verdana Pro Light" w:cs="Verdana Pro Light"/>
          <w:sz w:val="24"/>
          <w:szCs w:val="24"/>
        </w:rPr>
        <w:footnoteReference w:id="66"/>
      </w:r>
      <w:r>
        <w:rPr>
          <w:rStyle w:val="FootnoteAnchor"/>
          <w:rFonts w:ascii="Verdana Pro Light" w:hAnsi="Verdana Pro Light" w:cs="Verdana Pro Light"/>
          <w:sz w:val="24"/>
          <w:szCs w:val="24"/>
        </w:rPr>
        <w:t xml:space="preserve"> </w:t>
      </w:r>
      <w:r>
        <w:rPr>
          <w:rFonts w:ascii="Verdana Pro Light" w:hAnsi="Verdana Pro Light" w:cs="Verdana Pro Light"/>
          <w:sz w:val="24"/>
          <w:szCs w:val="24"/>
        </w:rPr>
        <w:t>Therefore, according to Durkheim, the gurdwara can be recognised as a sacred space</w:t>
      </w:r>
      <w:r>
        <w:rPr>
          <w:rStyle w:val="FootnoteAnchor"/>
          <w:rFonts w:ascii="Verdana Pro Light" w:hAnsi="Verdana Pro Light" w:cs="Verdana Pro Light"/>
          <w:sz w:val="24"/>
          <w:szCs w:val="24"/>
        </w:rPr>
        <w:footnoteReference w:id="67"/>
      </w:r>
      <w:r>
        <w:rPr>
          <w:rFonts w:ascii="Verdana Pro Light" w:hAnsi="Verdana Pro Light" w:cs="Verdana Pro Light"/>
          <w:sz w:val="24"/>
          <w:szCs w:val="24"/>
        </w:rPr>
        <w:t xml:space="preserve">. </w:t>
      </w:r>
    </w:p>
    <w:p w14:paraId="3B157817" w14:textId="6273D290" w:rsidR="00487F99" w:rsidRDefault="00EA4642">
      <w:pPr>
        <w:pStyle w:val="NormalWeb"/>
        <w:spacing w:before="0" w:after="0"/>
        <w:ind w:right="-334"/>
        <w:jc w:val="both"/>
      </w:pPr>
      <w:r>
        <w:rPr>
          <w:noProof/>
        </w:rPr>
        <mc:AlternateContent>
          <mc:Choice Requires="wps">
            <w:drawing>
              <wp:anchor distT="0" distB="0" distL="114300" distR="114300" simplePos="0" relativeHeight="251663360" behindDoc="0" locked="0" layoutInCell="1" allowOverlap="1" wp14:anchorId="6779A60E" wp14:editId="155BF8C8">
                <wp:simplePos x="0" y="0"/>
                <wp:positionH relativeFrom="page">
                  <wp:posOffset>4654550</wp:posOffset>
                </wp:positionH>
                <wp:positionV relativeFrom="paragraph">
                  <wp:posOffset>3248025</wp:posOffset>
                </wp:positionV>
                <wp:extent cx="2228850" cy="302260"/>
                <wp:effectExtent l="0" t="0" r="0" b="2540"/>
                <wp:wrapSquare wrapText="bothSides"/>
                <wp:docPr id="2013786844" name="Text Box 1"/>
                <wp:cNvGraphicFramePr/>
                <a:graphic xmlns:a="http://schemas.openxmlformats.org/drawingml/2006/main">
                  <a:graphicData uri="http://schemas.microsoft.com/office/word/2010/wordprocessingShape">
                    <wps:wsp>
                      <wps:cNvSpPr txBox="1"/>
                      <wps:spPr>
                        <a:xfrm>
                          <a:off x="0" y="0"/>
                          <a:ext cx="2228850" cy="302260"/>
                        </a:xfrm>
                        <a:prstGeom prst="rect">
                          <a:avLst/>
                        </a:prstGeom>
                        <a:solidFill>
                          <a:prstClr val="white"/>
                        </a:solidFill>
                        <a:ln>
                          <a:noFill/>
                        </a:ln>
                      </wps:spPr>
                      <wps:txbx>
                        <w:txbxContent>
                          <w:p w14:paraId="0FDDB335" w14:textId="26395BAE" w:rsidR="0000277F" w:rsidRPr="005C0065" w:rsidRDefault="0000277F" w:rsidP="0000277F">
                            <w:pPr>
                              <w:pStyle w:val="Caption"/>
                              <w:rPr>
                                <w:rFonts w:ascii="Verdana Pro Light" w:hAnsi="Verdana Pro Light" w:cs="Verdana Pro Light"/>
                                <w:color w:val="000000"/>
                              </w:rPr>
                            </w:pPr>
                            <w:r>
                              <w:t>Taken by Rebecca Booker 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79A60E" id="_x0000_s1027" type="#_x0000_t202" style="position:absolute;left:0;text-align:left;margin-left:366.5pt;margin-top:255.75pt;width:175.5pt;height:23.8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" stroked="f">
                <v:textbox inset="0,0,0,0">
                  <w:txbxContent>
                    <w:p w14:paraId="0FDDB335" w14:textId="26395BAE" w:rsidR="0000277F" w:rsidRPr="005C0065" w:rsidRDefault="0000277F" w:rsidP="0000277F">
                      <w:pPr>
                        <w:pStyle w:val="Caption"/>
                        <w:rPr>
                          <w:rFonts w:ascii="Verdana Pro Light" w:hAnsi="Verdana Pro Light" w:cs="Verdana Pro Light"/>
                          <w:color w:val="000000"/>
                        </w:rPr>
                      </w:pPr>
                      <w:r>
                        <w:t>Taken by Rebecca Booker 3</w:t>
                      </w:r>
                    </w:p>
                  </w:txbxContent>
                </v:textbox>
                <w10:wrap type="square" anchorx="page"/>
              </v:shape>
            </w:pict>
          </mc:Fallback>
        </mc:AlternateContent>
      </w:r>
      <w:r w:rsidRPr="0000277F">
        <w:rPr>
          <w:rFonts w:ascii="Verdana Pro Light" w:hAnsi="Verdana Pro Light" w:cs="Verdana Pro Light"/>
          <w:noProof/>
          <w:sz w:val="24"/>
          <w:szCs w:val="24"/>
        </w:rPr>
        <w:drawing>
          <wp:anchor distT="0" distB="0" distL="114300" distR="114300" simplePos="0" relativeHeight="251664384" behindDoc="1" locked="0" layoutInCell="1" allowOverlap="1" wp14:anchorId="239B0E44" wp14:editId="7A241710">
            <wp:simplePos x="0" y="0"/>
            <wp:positionH relativeFrom="column">
              <wp:posOffset>3934460</wp:posOffset>
            </wp:positionH>
            <wp:positionV relativeFrom="paragraph">
              <wp:posOffset>1424305</wp:posOffset>
            </wp:positionV>
            <wp:extent cx="1417955" cy="2248535"/>
            <wp:effectExtent l="3810" t="0" r="0" b="0"/>
            <wp:wrapTight wrapText="bothSides">
              <wp:wrapPolygon edited="0">
                <wp:start x="58" y="21637"/>
                <wp:lineTo x="21242" y="21637"/>
                <wp:lineTo x="21242" y="226"/>
                <wp:lineTo x="58" y="226"/>
                <wp:lineTo x="58" y="21637"/>
              </wp:wrapPolygon>
            </wp:wrapTight>
            <wp:docPr id="1796847127" name="Picture 1" descr="A sign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847127" name="Picture 1" descr="A sign on a wall&#10;&#10;Description automatically generated"/>
                    <pic:cNvPicPr/>
                  </pic:nvPicPr>
                  <pic:blipFill rotWithShape="1">
                    <a:blip r:embed="rId10" cstate="print">
                      <a:extLst>
                        <a:ext uri="{28A0092B-C50C-407E-A947-70E740481C1C}">
                          <a14:useLocalDpi xmlns:a14="http://schemas.microsoft.com/office/drawing/2010/main" val="0"/>
                        </a:ext>
                      </a:extLst>
                    </a:blip>
                    <a:srcRect r="53391"/>
                    <a:stretch/>
                  </pic:blipFill>
                  <pic:spPr bwMode="auto">
                    <a:xfrm rot="5400000">
                      <a:off x="0" y="0"/>
                      <a:ext cx="1417955" cy="22485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7456" behindDoc="0" locked="0" layoutInCell="1" allowOverlap="1" wp14:anchorId="353A2AF9" wp14:editId="77DE7612">
                <wp:simplePos x="0" y="0"/>
                <wp:positionH relativeFrom="column">
                  <wp:posOffset>-48895</wp:posOffset>
                </wp:positionH>
                <wp:positionV relativeFrom="paragraph">
                  <wp:posOffset>1478280</wp:posOffset>
                </wp:positionV>
                <wp:extent cx="1720850" cy="635"/>
                <wp:effectExtent l="0" t="0" r="0" b="0"/>
                <wp:wrapThrough wrapText="bothSides">
                  <wp:wrapPolygon edited="0">
                    <wp:start x="0" y="0"/>
                    <wp:lineTo x="0" y="20093"/>
                    <wp:lineTo x="21281" y="20093"/>
                    <wp:lineTo x="21281" y="0"/>
                    <wp:lineTo x="0" y="0"/>
                  </wp:wrapPolygon>
                </wp:wrapThrough>
                <wp:docPr id="640013681" name="Text Box 1"/>
                <wp:cNvGraphicFramePr/>
                <a:graphic xmlns:a="http://schemas.openxmlformats.org/drawingml/2006/main">
                  <a:graphicData uri="http://schemas.microsoft.com/office/word/2010/wordprocessingShape">
                    <wps:wsp>
                      <wps:cNvSpPr txBox="1"/>
                      <wps:spPr>
                        <a:xfrm>
                          <a:off x="0" y="0"/>
                          <a:ext cx="1720850" cy="635"/>
                        </a:xfrm>
                        <a:prstGeom prst="rect">
                          <a:avLst/>
                        </a:prstGeom>
                        <a:solidFill>
                          <a:prstClr val="white"/>
                        </a:solidFill>
                        <a:ln>
                          <a:noFill/>
                        </a:ln>
                      </wps:spPr>
                      <wps:txbx>
                        <w:txbxContent>
                          <w:p w14:paraId="71D72A38" w14:textId="65A9C3A3" w:rsidR="0000277F" w:rsidRPr="001F4C32" w:rsidRDefault="0000277F" w:rsidP="0000277F">
                            <w:pPr>
                              <w:pStyle w:val="Caption"/>
                              <w:rPr>
                                <w:rFonts w:ascii="Verdana Pro Light" w:hAnsi="Verdana Pro Light" w:cs="Verdana Pro Light"/>
                                <w:color w:val="000000"/>
                              </w:rPr>
                            </w:pPr>
                            <w:r>
                              <w:t>Taken by Rebecca Booker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53A2AF9" id="_x0000_s1028" type="#_x0000_t202" style="position:absolute;left:0;text-align:left;margin-left:-3.85pt;margin-top:116.4pt;width:135.5pt;height:.0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" stroked="f">
                <v:textbox style="mso-fit-shape-to-text:t" inset="0,0,0,0">
                  <w:txbxContent>
                    <w:p w14:paraId="71D72A38" w14:textId="65A9C3A3" w:rsidR="0000277F" w:rsidRPr="001F4C32" w:rsidRDefault="0000277F" w:rsidP="0000277F">
                      <w:pPr>
                        <w:pStyle w:val="Caption"/>
                        <w:rPr>
                          <w:rFonts w:ascii="Verdana Pro Light" w:hAnsi="Verdana Pro Light" w:cs="Verdana Pro Light"/>
                          <w:color w:val="000000"/>
                        </w:rPr>
                      </w:pPr>
                      <w:r>
                        <w:t>Taken by Rebecca Booker 2</w:t>
                      </w:r>
                    </w:p>
                  </w:txbxContent>
                </v:textbox>
                <w10:wrap type="through"/>
              </v:shape>
            </w:pict>
          </mc:Fallback>
        </mc:AlternateContent>
      </w:r>
      <w:r w:rsidR="002B0FCB">
        <w:rPr>
          <w:rFonts w:ascii="Verdana Pro Light" w:hAnsi="Verdana Pro Light" w:cs="Verdana Pro Light"/>
          <w:b/>
          <w:bCs/>
          <w:sz w:val="24"/>
          <w:szCs w:val="24"/>
        </w:rPr>
        <w:tab/>
      </w:r>
      <w:r w:rsidR="002B0FCB">
        <w:rPr>
          <w:rFonts w:ascii="Verdana Pro Light" w:hAnsi="Verdana Pro Light" w:cs="Verdana Pro Light"/>
          <w:sz w:val="24"/>
          <w:szCs w:val="24"/>
        </w:rPr>
        <w:t>In agreement with Durkheim, Eliade turns to religion and identifies a church as a sacred space to the religious man. He states that doors to the church represent a solution of continuity and describes the church as being a space that is separate from the profane. The inside of a church is sacred and the external is profane</w:t>
      </w:r>
      <w:r w:rsidR="002B0FCB">
        <w:rPr>
          <w:rStyle w:val="FootnoteAnchor"/>
          <w:rFonts w:ascii="Verdana Pro Light" w:hAnsi="Verdana Pro Light" w:cs="Verdana Pro Light"/>
          <w:sz w:val="24"/>
          <w:szCs w:val="24"/>
        </w:rPr>
        <w:footnoteReference w:id="68"/>
      </w:r>
      <w:r w:rsidR="002B0FCB">
        <w:rPr>
          <w:rFonts w:ascii="Verdana Pro Light" w:hAnsi="Verdana Pro Light" w:cs="Verdana Pro Light"/>
          <w:sz w:val="24"/>
          <w:szCs w:val="24"/>
        </w:rPr>
        <w:t>. Whilst this example belongs to the Christian faith. The temple shares the same idea. The temple is a separation from the profane life. The term Gurdwara translates to “Gateway to the Guru’s home.”</w:t>
      </w:r>
      <w:r w:rsidR="002B0FCB">
        <w:rPr>
          <w:rStyle w:val="FootnoteAnchor"/>
          <w:rFonts w:ascii="Verdana Pro Light" w:hAnsi="Verdana Pro Light" w:cs="Verdana Pro Light"/>
          <w:sz w:val="24"/>
          <w:szCs w:val="24"/>
        </w:rPr>
        <w:footnoteReference w:id="69"/>
      </w:r>
      <w:r w:rsidR="002B0FCB">
        <w:rPr>
          <w:rFonts w:ascii="Verdana Pro Light" w:hAnsi="Verdana Pro Light" w:cs="Verdana Pro Light"/>
          <w:sz w:val="24"/>
          <w:szCs w:val="24"/>
        </w:rPr>
        <w:t xml:space="preserve"> In a poster above the door at the gurdwara. It states that the gurdwara is a sacred place of worship. The term gateway to gurus home signifies that the gurdwara is a centre point, a connection to the divine, which Eliade identifies as an axis mundi, it is that place that allows the religious man to communicate with God.</w:t>
      </w:r>
      <w:r w:rsidR="002B0FCB">
        <w:rPr>
          <w:rStyle w:val="FootnoteAnchor"/>
          <w:rFonts w:ascii="Verdana Pro Light" w:hAnsi="Verdana Pro Light" w:cs="Verdana Pro Light"/>
          <w:sz w:val="24"/>
          <w:szCs w:val="24"/>
        </w:rPr>
        <w:footnoteReference w:id="70"/>
      </w:r>
      <w:r w:rsidR="002B0FCB">
        <w:rPr>
          <w:rFonts w:ascii="Verdana Pro Light" w:hAnsi="Verdana Pro Light" w:cs="Verdana Pro Light"/>
          <w:sz w:val="24"/>
          <w:szCs w:val="24"/>
        </w:rPr>
        <w:t xml:space="preserve"> In addition to this it has been pointed out by Eliade that the constructions of temples and churches mark a fundamental discontinuity within space. Eliade writes for the religious man. </w:t>
      </w:r>
    </w:p>
    <w:p w14:paraId="41ACEA7D" w14:textId="7366133F" w:rsidR="00487F99" w:rsidRDefault="00487F99">
      <w:pPr>
        <w:pStyle w:val="NormalWeb"/>
        <w:spacing w:before="0" w:after="0"/>
        <w:ind w:right="-334"/>
        <w:jc w:val="both"/>
      </w:pPr>
    </w:p>
    <w:p w14:paraId="21AC98FA" w14:textId="208E1F85" w:rsidR="00487F99" w:rsidRDefault="002B0FCB">
      <w:pPr>
        <w:pStyle w:val="NormalWeb"/>
        <w:spacing w:before="0" w:after="0"/>
        <w:ind w:right="-334"/>
        <w:jc w:val="both"/>
      </w:pPr>
      <w:r>
        <w:rPr>
          <w:rFonts w:ascii="Verdana Pro Light" w:hAnsi="Verdana Pro Light" w:cs="Verdana Pro Light"/>
          <w:sz w:val="24"/>
          <w:szCs w:val="24"/>
        </w:rPr>
        <w:tab/>
        <w:t>“Space is not homogeneous he experiences interruptions breaks in it; Some parts of space are qualitatively different from others…. There is, then a scared space and hence a strong significant space; there are other spaces that are not sacred and so are without structure or consistency, amorphous</w:t>
      </w:r>
      <w:r>
        <w:rPr>
          <w:rStyle w:val="FootnoteAnchor"/>
          <w:rFonts w:ascii="Verdana Pro Light" w:hAnsi="Verdana Pro Light" w:cs="Verdana Pro Light"/>
          <w:sz w:val="24"/>
          <w:szCs w:val="24"/>
        </w:rPr>
        <w:footnoteReference w:id="71"/>
      </w:r>
      <w:r>
        <w:rPr>
          <w:rStyle w:val="FootnoteAnchor"/>
          <w:rFonts w:ascii="Verdana Pro Light" w:eastAsia="Verdana Pro Light" w:hAnsi="Verdana Pro Light" w:cs="Verdana Pro Light"/>
          <w:sz w:val="24"/>
          <w:szCs w:val="24"/>
          <w:vertAlign w:val="baseline"/>
        </w:rPr>
        <w:t xml:space="preserve"> </w:t>
      </w:r>
    </w:p>
    <w:p w14:paraId="757560F2" w14:textId="77777777" w:rsidR="00487F99" w:rsidRDefault="00487F99">
      <w:pPr>
        <w:pStyle w:val="NormalWeb"/>
        <w:spacing w:before="0" w:after="0"/>
        <w:ind w:right="-334"/>
        <w:jc w:val="both"/>
      </w:pPr>
    </w:p>
    <w:p w14:paraId="3315119C" w14:textId="77777777" w:rsidR="00487F99" w:rsidRDefault="002B0FCB">
      <w:pPr>
        <w:pStyle w:val="NormalWeb"/>
        <w:spacing w:before="0" w:after="0"/>
        <w:ind w:right="-334"/>
        <w:jc w:val="both"/>
      </w:pPr>
      <w:r>
        <w:rPr>
          <w:rStyle w:val="FootnoteAnchor"/>
          <w:rFonts w:ascii="Verdana Pro Light" w:eastAsia="Verdana Pro Light" w:hAnsi="Verdana Pro Light" w:cs="Verdana Pro Light"/>
          <w:sz w:val="24"/>
          <w:szCs w:val="24"/>
          <w:vertAlign w:val="baseline"/>
        </w:rPr>
        <w:tab/>
        <w:t>Eliade also argues that sacred space is part of a human construct, stating “the house is not an object, a machine to live in; it is the universe that man constructs for himself by imitating the paradigmatic creation of the gods, the cosmogony.”</w:t>
      </w:r>
      <w:r>
        <w:rPr>
          <w:rStyle w:val="FootnoteAnchor"/>
          <w:rFonts w:ascii="Verdana Pro Light" w:eastAsia="Verdana Pro Light" w:hAnsi="Verdana Pro Light" w:cs="Verdana Pro Light"/>
          <w:sz w:val="24"/>
          <w:szCs w:val="24"/>
          <w:vertAlign w:val="baseline"/>
        </w:rPr>
        <w:footnoteReference w:id="72"/>
      </w:r>
      <w:r>
        <w:rPr>
          <w:rStyle w:val="FootnoteAnchor"/>
          <w:rFonts w:ascii="Verdana Pro Light" w:eastAsia="Verdana Pro Light" w:hAnsi="Verdana Pro Light" w:cs="Verdana Pro Light"/>
          <w:sz w:val="24"/>
          <w:szCs w:val="24"/>
          <w:vertAlign w:val="baseline"/>
        </w:rPr>
        <w:t xml:space="preserve">  </w:t>
      </w:r>
    </w:p>
    <w:p w14:paraId="4A516483" w14:textId="77777777" w:rsidR="00487F99" w:rsidRDefault="00487F99">
      <w:pPr>
        <w:pStyle w:val="NormalWeb"/>
        <w:spacing w:before="0" w:after="0"/>
        <w:ind w:right="-334"/>
        <w:jc w:val="both"/>
      </w:pPr>
    </w:p>
    <w:p w14:paraId="2F89E370" w14:textId="77777777" w:rsidR="00487F99" w:rsidRDefault="002B0FCB">
      <w:pPr>
        <w:pStyle w:val="NormalWeb"/>
        <w:spacing w:before="0" w:after="0"/>
        <w:ind w:right="-334"/>
        <w:jc w:val="both"/>
      </w:pPr>
      <w:r>
        <w:rPr>
          <w:rStyle w:val="FootnoteAnchor"/>
          <w:rFonts w:ascii="Verdana Pro Light" w:eastAsia="Verdana Pro Light" w:hAnsi="Verdana Pro Light" w:cs="Verdana Pro Light"/>
          <w:sz w:val="24"/>
          <w:szCs w:val="24"/>
          <w:vertAlign w:val="baseline"/>
        </w:rPr>
        <w:t xml:space="preserve">Also agreeing with Eliade and Durkheim’s view on the Gurdwara as a sacred space, Leeuw argues that. </w:t>
      </w:r>
    </w:p>
    <w:p w14:paraId="57E6FE1A" w14:textId="77777777" w:rsidR="00487F99" w:rsidRDefault="00487F99">
      <w:pPr>
        <w:pStyle w:val="NormalWeb"/>
        <w:spacing w:before="0" w:after="0"/>
        <w:ind w:right="-334"/>
        <w:jc w:val="both"/>
      </w:pPr>
    </w:p>
    <w:p w14:paraId="53AF110C" w14:textId="324480E1" w:rsidR="00487F99" w:rsidRDefault="002B0FCB">
      <w:pPr>
        <w:pStyle w:val="NormalWeb"/>
        <w:spacing w:before="0" w:after="0"/>
        <w:ind w:right="-334"/>
        <w:jc w:val="both"/>
      </w:pPr>
      <w:r>
        <w:rPr>
          <w:rStyle w:val="FootnoteAnchor"/>
          <w:rFonts w:ascii="Verdana Pro Light" w:eastAsia="Verdana Pro Light" w:hAnsi="Verdana Pro Light" w:cs="Verdana Pro Light"/>
          <w:sz w:val="24"/>
          <w:szCs w:val="24"/>
          <w:vertAlign w:val="baseline"/>
        </w:rPr>
        <w:tab/>
        <w:t>“Sacred space may also be defined as that locality that becomes a position by the effects of power repeating themselves there or being repeated by man. It is a place of worship, independently of whether the position is only a house, or a temple, since domestic life too is a celebration constantly repeated in a regulated cycle of work, meals washing</w:t>
      </w:r>
      <w:r w:rsidR="001102A7">
        <w:rPr>
          <w:rStyle w:val="FootnoteAnchor"/>
          <w:rFonts w:ascii="Verdana Pro Light" w:eastAsia="Verdana Pro Light" w:hAnsi="Verdana Pro Light" w:cs="Verdana Pro Light"/>
          <w:sz w:val="24"/>
          <w:szCs w:val="24"/>
          <w:vertAlign w:val="baseline"/>
        </w:rPr>
        <w:t xml:space="preserve"> etc.</w:t>
      </w:r>
      <w:r>
        <w:rPr>
          <w:rStyle w:val="FootnoteAnchor"/>
          <w:rFonts w:ascii="Verdana Pro Light" w:eastAsia="Verdana Pro Light" w:hAnsi="Verdana Pro Light" w:cs="Verdana Pro Light"/>
          <w:sz w:val="24"/>
          <w:szCs w:val="24"/>
          <w:vertAlign w:val="baseline"/>
        </w:rPr>
        <w:t xml:space="preserve">” </w:t>
      </w:r>
      <w:r>
        <w:rPr>
          <w:rStyle w:val="FootnoteAnchor"/>
          <w:rFonts w:ascii="Verdana Pro Light" w:eastAsia="Verdana Pro Light" w:hAnsi="Verdana Pro Light" w:cs="Verdana Pro Light"/>
          <w:sz w:val="24"/>
          <w:szCs w:val="24"/>
          <w:vertAlign w:val="baseline"/>
        </w:rPr>
        <w:footnoteReference w:id="73"/>
      </w:r>
      <w:r>
        <w:rPr>
          <w:rStyle w:val="FootnoteAnchor"/>
          <w:rFonts w:ascii="Verdana Pro Light" w:eastAsia="Verdana Pro Light" w:hAnsi="Verdana Pro Light" w:cs="Verdana Pro Light"/>
          <w:sz w:val="24"/>
          <w:szCs w:val="24"/>
          <w:vertAlign w:val="baseline"/>
        </w:rPr>
        <w:t xml:space="preserve"> </w:t>
      </w:r>
    </w:p>
    <w:p w14:paraId="7E2DDEE2" w14:textId="77777777" w:rsidR="00487F99" w:rsidRDefault="00487F99">
      <w:pPr>
        <w:pStyle w:val="NormalWeb"/>
        <w:spacing w:before="0" w:after="0"/>
        <w:ind w:right="-334"/>
        <w:jc w:val="both"/>
      </w:pPr>
    </w:p>
    <w:p w14:paraId="40CC8906" w14:textId="77777777" w:rsidR="00487F99" w:rsidRDefault="002B0FCB">
      <w:pPr>
        <w:pStyle w:val="NormalWeb"/>
        <w:spacing w:before="0" w:after="0"/>
        <w:ind w:right="-334"/>
        <w:jc w:val="both"/>
      </w:pPr>
      <w:r>
        <w:rPr>
          <w:rStyle w:val="FootnoteAnchor"/>
          <w:rFonts w:ascii="Verdana Pro Light" w:eastAsia="Verdana Pro Light" w:hAnsi="Verdana Pro Light" w:cs="Verdana Pro Light"/>
          <w:sz w:val="24"/>
          <w:szCs w:val="24"/>
          <w:vertAlign w:val="baseline"/>
        </w:rPr>
        <w:t>The Gurdwara was created to house regular prayers and much more, but it was the repetition of prayer by the Bhai Sahib Norang Singh that created the need for this sacred space.</w:t>
      </w:r>
      <w:r>
        <w:rPr>
          <w:rStyle w:val="FootnoteAnchor"/>
          <w:rFonts w:ascii="Verdana Pro Light" w:eastAsia="Verdana Pro Light" w:hAnsi="Verdana Pro Light" w:cs="Verdana Pro Light"/>
          <w:sz w:val="24"/>
          <w:szCs w:val="24"/>
          <w:vertAlign w:val="baseline"/>
        </w:rPr>
        <w:footnoteReference w:id="74"/>
      </w:r>
      <w:r>
        <w:rPr>
          <w:rFonts w:ascii="Verdana Pro Light" w:eastAsia="Verdana Pro Light" w:hAnsi="Verdana Pro Light" w:cs="Verdana Pro Light"/>
          <w:sz w:val="24"/>
          <w:szCs w:val="24"/>
        </w:rPr>
        <w:t xml:space="preserve"> </w:t>
      </w:r>
      <w:r>
        <w:rPr>
          <w:rStyle w:val="FootnoteAnchor"/>
          <w:rFonts w:ascii="Verdana Pro Light" w:eastAsia="Verdana Pro Light" w:hAnsi="Verdana Pro Light" w:cs="Verdana Pro Light"/>
          <w:sz w:val="24"/>
          <w:szCs w:val="24"/>
          <w:vertAlign w:val="baseline"/>
        </w:rPr>
        <w:t>Moreover, the power of sacred places in religious constructions provide a sense of identity, or a place in the cosmos and can even connect us to the divine.</w:t>
      </w:r>
      <w:r>
        <w:rPr>
          <w:rStyle w:val="FootnoteAnchor"/>
          <w:rFonts w:ascii="Verdana Pro Light" w:eastAsia="Verdana Pro Light" w:hAnsi="Verdana Pro Light" w:cs="Verdana Pro Light"/>
          <w:sz w:val="24"/>
          <w:szCs w:val="24"/>
          <w:vertAlign w:val="baseline"/>
        </w:rPr>
        <w:footnoteReference w:id="75"/>
      </w:r>
      <w:r>
        <w:rPr>
          <w:rStyle w:val="FootnoteAnchor"/>
          <w:rFonts w:ascii="Verdana Pro Light" w:eastAsia="Verdana Pro Light" w:hAnsi="Verdana Pro Light" w:cs="Verdana Pro Light"/>
          <w:sz w:val="24"/>
          <w:szCs w:val="24"/>
          <w:vertAlign w:val="baseline"/>
        </w:rPr>
        <w:t xml:space="preserve"> GNNSJ Gurdwara was built to cater for the spiritual, cultural, and social needs of the community. The important factor of collective worship is to connect individuals with God.</w:t>
      </w:r>
      <w:r>
        <w:rPr>
          <w:rStyle w:val="FootnoteAnchor"/>
          <w:rFonts w:ascii="Verdana Pro Light" w:eastAsia="Verdana Pro Light" w:hAnsi="Verdana Pro Light" w:cs="Verdana Pro Light"/>
          <w:sz w:val="24"/>
          <w:szCs w:val="24"/>
          <w:vertAlign w:val="baseline"/>
        </w:rPr>
        <w:footnoteReference w:id="76"/>
      </w:r>
      <w:r>
        <w:rPr>
          <w:rStyle w:val="FootnoteAnchor"/>
          <w:rFonts w:ascii="Verdana Pro Light" w:eastAsia="Verdana Pro Light" w:hAnsi="Verdana Pro Light" w:cs="Verdana Pro Light"/>
          <w:sz w:val="24"/>
          <w:szCs w:val="24"/>
          <w:vertAlign w:val="baseline"/>
        </w:rPr>
        <w:t xml:space="preserve"> The research has shown that t</w:t>
      </w:r>
      <w:r>
        <w:rPr>
          <w:rFonts w:ascii="Verdana Pro Light" w:hAnsi="Verdana Pro Light" w:cs="Verdana Pro Light"/>
          <w:sz w:val="24"/>
          <w:szCs w:val="24"/>
        </w:rPr>
        <w:t xml:space="preserve">he Gurdwara is a purpose-built sacred building. It was built to connect people to God but also to provide a place of social worship. It also provides a divide between the sacred and profane life. </w:t>
      </w:r>
    </w:p>
    <w:p w14:paraId="01B18E04" w14:textId="77777777" w:rsidR="00487F99" w:rsidRDefault="00487F99">
      <w:pPr>
        <w:pStyle w:val="NormalWeb"/>
        <w:spacing w:before="0" w:after="0"/>
        <w:ind w:right="-334"/>
        <w:jc w:val="both"/>
      </w:pPr>
    </w:p>
    <w:p w14:paraId="13A1D2F9" w14:textId="77777777" w:rsidR="00487F99" w:rsidRDefault="002B0FCB">
      <w:pPr>
        <w:pStyle w:val="NormalWeb"/>
        <w:spacing w:before="0" w:after="0"/>
        <w:ind w:right="-334"/>
        <w:rPr>
          <w:rFonts w:ascii="Verdana Pro Light" w:hAnsi="Verdana Pro Light" w:cs="Verdana Pro Light"/>
          <w:b/>
          <w:bCs/>
          <w:sz w:val="24"/>
          <w:szCs w:val="24"/>
        </w:rPr>
      </w:pPr>
      <w:r>
        <w:rPr>
          <w:rFonts w:ascii="Verdana Pro Light" w:hAnsi="Verdana Pro Light" w:cs="Verdana Pro Light"/>
          <w:b/>
          <w:bCs/>
          <w:sz w:val="24"/>
          <w:szCs w:val="24"/>
        </w:rPr>
        <w:t>Maintaining the Sacredness of the Guru Nanak Nishkam Sewak Jatha Gurdwara through their Code of Conduct</w:t>
      </w:r>
    </w:p>
    <w:p w14:paraId="422751AF" w14:textId="77777777" w:rsidR="00487F99" w:rsidRDefault="002B0FCB">
      <w:pPr>
        <w:pStyle w:val="NormalWeb"/>
        <w:spacing w:before="0" w:after="0"/>
        <w:ind w:right="-334"/>
        <w:jc w:val="both"/>
      </w:pPr>
      <w:r>
        <w:rPr>
          <w:rFonts w:ascii="Verdana Pro Light" w:hAnsi="Verdana Pro Light" w:cs="Verdana Pro Light"/>
          <w:sz w:val="24"/>
          <w:szCs w:val="24"/>
        </w:rPr>
        <w:tab/>
        <w:t xml:space="preserve">upon entering the gurdwara there is a sign that says no meat or alcohol permitted on the premises. When entered, there are two boxes of head coverings, chunni’s and rumals’ on either side of the wall. The visitors walk in, and they take one of the coverings if they are not already wearing one and cover their heads. In this Gurdwara the ladies enter and par off to the left whilst the men par off to the right. It is here that the individuals remove their shoes and proceed to wash their hands before entering the darbar- the main hall. When inside the gurdwara you can hear members of the faith greet each other with the phases ‘Waheguru Ji Khalsa, Waheguru Ji Fateh’ meaning Almighty made the Khalsa and almighty will give victory or ‘Sat Siri Akaal’ meaning Truth is God, God is truth. The rules in place helps Sikhs to wash away dirt, cleansing the mind and heart, and covering the head reminds people to stay humble as well as to be able to absorb the gurus’ teachings. </w:t>
      </w:r>
      <w:r>
        <w:rPr>
          <w:rStyle w:val="FootnoteAnchor"/>
          <w:rFonts w:ascii="Verdana Pro Light" w:hAnsi="Verdana Pro Light" w:cs="Verdana Pro Light"/>
          <w:sz w:val="24"/>
          <w:szCs w:val="24"/>
        </w:rPr>
        <w:footnoteReference w:id="77"/>
      </w:r>
      <w:r>
        <w:rPr>
          <w:rFonts w:ascii="Verdana Pro Light" w:hAnsi="Verdana Pro Light" w:cs="Verdana Pro Light"/>
          <w:sz w:val="24"/>
          <w:szCs w:val="24"/>
        </w:rPr>
        <w:t xml:space="preserve"> </w:t>
      </w:r>
    </w:p>
    <w:p w14:paraId="79756C08" w14:textId="77777777" w:rsidR="00487F99" w:rsidRDefault="002B0FCB">
      <w:pPr>
        <w:pStyle w:val="NormalWeb"/>
        <w:spacing w:before="0" w:after="0"/>
        <w:ind w:right="-334"/>
        <w:jc w:val="both"/>
        <w:rPr>
          <w:rFonts w:ascii="Verdana Pro Light" w:hAnsi="Verdana Pro Light" w:cs="Verdana Pro Light"/>
          <w:sz w:val="24"/>
          <w:szCs w:val="24"/>
        </w:rPr>
      </w:pPr>
      <w:r>
        <w:rPr>
          <w:rFonts w:ascii="Verdana Pro Light" w:hAnsi="Verdana Pro Light" w:cs="Verdana Pro Light"/>
          <w:sz w:val="24"/>
          <w:szCs w:val="24"/>
        </w:rPr>
        <w:tab/>
        <w:t>Following these practices within this sacred place creates a common ground for the sangat and visitors which leads back to Durkheim’s definition of religion.</w:t>
      </w:r>
    </w:p>
    <w:p w14:paraId="28BE575C" w14:textId="77777777" w:rsidR="00487F99" w:rsidRDefault="00487F99">
      <w:pPr>
        <w:pStyle w:val="NormalWeb"/>
        <w:spacing w:before="0" w:after="0"/>
        <w:ind w:right="-334"/>
        <w:jc w:val="both"/>
      </w:pPr>
    </w:p>
    <w:p w14:paraId="292A1FFE" w14:textId="77777777" w:rsidR="00487F99" w:rsidRDefault="002B0FCB">
      <w:pPr>
        <w:pStyle w:val="NormalWeb"/>
        <w:spacing w:before="0" w:after="0"/>
        <w:ind w:right="-334"/>
        <w:jc w:val="both"/>
      </w:pPr>
      <w:r>
        <w:rPr>
          <w:rFonts w:ascii="Verdana Pro Light" w:hAnsi="Verdana Pro Light" w:cs="Verdana Pro Light"/>
          <w:sz w:val="24"/>
          <w:szCs w:val="24"/>
        </w:rPr>
        <w:tab/>
        <w:t>"A religion is a unified system of beliefs and practices relative to sacred things, that is to say, things set apart and forbidden beliefs and practices which unite into one single moral community called a Church, all those who adhere to them”.</w:t>
      </w:r>
      <w:r>
        <w:rPr>
          <w:rStyle w:val="FootnoteAnchor"/>
          <w:rFonts w:ascii="Verdana Pro Light" w:hAnsi="Verdana Pro Light" w:cs="Verdana Pro Light"/>
          <w:sz w:val="24"/>
          <w:szCs w:val="24"/>
        </w:rPr>
        <w:footnoteReference w:id="78"/>
      </w:r>
    </w:p>
    <w:p w14:paraId="501A1642" w14:textId="77777777" w:rsidR="00487F99" w:rsidRDefault="00487F99">
      <w:pPr>
        <w:pStyle w:val="NormalWeb"/>
        <w:spacing w:before="0" w:after="0"/>
        <w:ind w:right="-334"/>
        <w:jc w:val="both"/>
      </w:pPr>
    </w:p>
    <w:p w14:paraId="13D4CAA8" w14:textId="77777777" w:rsidR="00487F99" w:rsidRDefault="002B0FCB">
      <w:pPr>
        <w:pStyle w:val="NormalWeb"/>
        <w:spacing w:before="0" w:after="0"/>
        <w:ind w:right="-334"/>
        <w:jc w:val="both"/>
      </w:pPr>
      <w:r>
        <w:rPr>
          <w:rFonts w:ascii="Verdana Pro Light" w:hAnsi="Verdana Pro Light" w:cs="Verdana Pro Light"/>
          <w:sz w:val="24"/>
          <w:szCs w:val="24"/>
        </w:rPr>
        <w:t>Here this definition was based on a moral community where people come collectively together to respect and follow the same rules.</w:t>
      </w:r>
      <w:r>
        <w:rPr>
          <w:rStyle w:val="FootnoteAnchor"/>
          <w:rFonts w:ascii="Verdana Pro Light" w:hAnsi="Verdana Pro Light" w:cs="Verdana Pro Light"/>
          <w:sz w:val="24"/>
          <w:szCs w:val="24"/>
        </w:rPr>
        <w:footnoteReference w:id="79"/>
      </w:r>
      <w:r>
        <w:rPr>
          <w:rFonts w:ascii="Verdana Pro Light" w:hAnsi="Verdana Pro Light" w:cs="Verdana Pro Light"/>
          <w:sz w:val="24"/>
          <w:szCs w:val="24"/>
        </w:rPr>
        <w:t xml:space="preserve"> </w:t>
      </w:r>
    </w:p>
    <w:p w14:paraId="656F38FD" w14:textId="77777777" w:rsidR="00487F99" w:rsidRDefault="002B0FCB">
      <w:pPr>
        <w:pStyle w:val="NormalWeb"/>
        <w:spacing w:before="0" w:after="0"/>
        <w:ind w:right="-334"/>
        <w:jc w:val="both"/>
      </w:pPr>
      <w:r>
        <w:rPr>
          <w:rFonts w:ascii="Verdana Pro Light" w:hAnsi="Verdana Pro Light" w:cs="Verdana Pro Light"/>
          <w:sz w:val="24"/>
          <w:szCs w:val="24"/>
        </w:rPr>
        <w:tab/>
        <w:t xml:space="preserve"> It has been observed that many of the congregation who carry out duties are wearing white. Everyone in white at this gurdwara is potentially an amritdhari, a baptised Sikh. Whilst there appear to be many Sewa duties available at the gurdwara, at this particular place of worship it has been observed that only amritdhari’s are given the duty of reading from Maharaj. Maharaj is placed in sachkand at night and when not in use. This very much coincides with Durkheim's idea of how sacred objects are forbidden from the profane. Durkheim insists that a model of a sacred place is where sacred items can be stored when not in use and which are also forbidden to the profane.</w:t>
      </w:r>
      <w:r>
        <w:rPr>
          <w:rStyle w:val="FootnoteAnchor"/>
          <w:rFonts w:ascii="Verdana Pro Light" w:hAnsi="Verdana Pro Light" w:cs="Verdana Pro Light"/>
          <w:sz w:val="24"/>
          <w:szCs w:val="24"/>
        </w:rPr>
        <w:footnoteReference w:id="80"/>
      </w:r>
    </w:p>
    <w:p w14:paraId="76EA3752" w14:textId="77777777" w:rsidR="00487F99" w:rsidRDefault="002B0FCB">
      <w:pPr>
        <w:pStyle w:val="NormalWeb"/>
        <w:spacing w:before="0" w:after="0"/>
        <w:ind w:right="-334"/>
        <w:jc w:val="both"/>
        <w:rPr>
          <w:rFonts w:ascii="Verdana Pro Light" w:hAnsi="Verdana Pro Light" w:cs="Verdana Pro Light"/>
          <w:sz w:val="24"/>
          <w:szCs w:val="24"/>
        </w:rPr>
      </w:pPr>
      <w:r>
        <w:rPr>
          <w:rFonts w:ascii="Verdana Pro Light" w:hAnsi="Verdana Pro Light" w:cs="Verdana Pro Light"/>
          <w:sz w:val="24"/>
          <w:szCs w:val="24"/>
        </w:rPr>
        <w:tab/>
        <w:t xml:space="preserve">This observation has identified that when visiting the gurdwara there are rules that need to be followed, however these rules are there to keep the gurdwara a sacred space, they are there to remind the congregation of Waheguru jis teachings and to put them into practice. Furthermore, the concept of Maharaj being placed in sachkhand co insides with Durkheim’s idea of that sacred objects need to be stored away from the profane. </w:t>
      </w:r>
    </w:p>
    <w:p w14:paraId="35D50581" w14:textId="3DC6176A" w:rsidR="00EA4642" w:rsidRDefault="00EA4642" w:rsidP="00EA4642">
      <w:pPr>
        <w:pStyle w:val="NormalWeb"/>
        <w:keepNext/>
        <w:spacing w:before="0" w:after="0"/>
        <w:ind w:right="-334"/>
        <w:jc w:val="both"/>
      </w:pPr>
      <w:r w:rsidRPr="00EA4642">
        <w:rPr>
          <w:rFonts w:ascii="Verdana Pro Light" w:hAnsi="Verdana Pro Light" w:cs="Verdana Pro Light"/>
          <w:noProof/>
          <w:sz w:val="24"/>
          <w:szCs w:val="24"/>
        </w:rPr>
        <w:drawing>
          <wp:inline distT="0" distB="0" distL="0" distR="0" wp14:anchorId="6D16F90A" wp14:editId="52B99327">
            <wp:extent cx="1871758" cy="1416050"/>
            <wp:effectExtent l="0" t="952" r="0" b="0"/>
            <wp:docPr id="1971316234" name="Picture 1" descr="A bathroom with a red counter top and a red ru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316234" name="Picture 1" descr="A bathroom with a red counter top and a red rug&#10;&#10;Description automatically generated"/>
                    <pic:cNvPicPr/>
                  </pic:nvPicPr>
                  <pic:blipFill>
                    <a:blip r:embed="rId11"/>
                    <a:stretch>
                      <a:fillRect/>
                    </a:stretch>
                  </pic:blipFill>
                  <pic:spPr>
                    <a:xfrm rot="5400000">
                      <a:off x="0" y="0"/>
                      <a:ext cx="1874179" cy="1417881"/>
                    </a:xfrm>
                    <a:prstGeom prst="rect">
                      <a:avLst/>
                    </a:prstGeom>
                  </pic:spPr>
                </pic:pic>
              </a:graphicData>
            </a:graphic>
          </wp:inline>
        </w:drawing>
      </w:r>
      <w:r w:rsidRPr="00EA4642">
        <w:rPr>
          <w:rFonts w:ascii="Verdana Pro Light" w:hAnsi="Verdana Pro Light" w:cs="Verdana Pro Light"/>
          <w:noProof/>
          <w:sz w:val="24"/>
          <w:szCs w:val="24"/>
        </w:rPr>
        <w:drawing>
          <wp:inline distT="0" distB="0" distL="0" distR="0" wp14:anchorId="4F687633" wp14:editId="758B6042">
            <wp:extent cx="1870627" cy="1411517"/>
            <wp:effectExtent l="953" t="0" r="0" b="0"/>
            <wp:docPr id="1548511260" name="Picture 1" descr="A shoe rack with sho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511260" name="Picture 1" descr="A shoe rack with shoes on it&#10;&#10;Description automatically generated"/>
                    <pic:cNvPicPr/>
                  </pic:nvPicPr>
                  <pic:blipFill>
                    <a:blip r:embed="rId12"/>
                    <a:stretch>
                      <a:fillRect/>
                    </a:stretch>
                  </pic:blipFill>
                  <pic:spPr>
                    <a:xfrm rot="5400000" flipV="1">
                      <a:off x="0" y="0"/>
                      <a:ext cx="1890780" cy="1426724"/>
                    </a:xfrm>
                    <a:prstGeom prst="rect">
                      <a:avLst/>
                    </a:prstGeom>
                  </pic:spPr>
                </pic:pic>
              </a:graphicData>
            </a:graphic>
          </wp:inline>
        </w:drawing>
      </w:r>
      <w:r w:rsidRPr="00EA4642">
        <w:rPr>
          <w:rFonts w:ascii="Verdana Pro Light" w:hAnsi="Verdana Pro Light" w:cs="Verdana Pro Light"/>
          <w:noProof/>
          <w:sz w:val="24"/>
          <w:szCs w:val="24"/>
        </w:rPr>
        <w:drawing>
          <wp:inline distT="0" distB="0" distL="0" distR="0" wp14:anchorId="737D2189" wp14:editId="227C716B">
            <wp:extent cx="1377950" cy="1870225"/>
            <wp:effectExtent l="0" t="0" r="0" b="0"/>
            <wp:docPr id="1608495380" name="Picture 1" descr="A sign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495380" name="Picture 1" descr="A sign on a wall&#10;&#10;Description automatically generated"/>
                    <pic:cNvPicPr/>
                  </pic:nvPicPr>
                  <pic:blipFill>
                    <a:blip r:embed="rId13"/>
                    <a:stretch>
                      <a:fillRect/>
                    </a:stretch>
                  </pic:blipFill>
                  <pic:spPr>
                    <a:xfrm rot="10800000" flipV="1">
                      <a:off x="0" y="0"/>
                      <a:ext cx="1388508" cy="1884555"/>
                    </a:xfrm>
                    <a:prstGeom prst="rect">
                      <a:avLst/>
                    </a:prstGeom>
                  </pic:spPr>
                </pic:pic>
              </a:graphicData>
            </a:graphic>
          </wp:inline>
        </w:drawing>
      </w:r>
    </w:p>
    <w:p w14:paraId="4840F3B7" w14:textId="01B5574C" w:rsidR="00EA4642" w:rsidRDefault="00EA4642" w:rsidP="00EA4642">
      <w:pPr>
        <w:pStyle w:val="Caption"/>
        <w:jc w:val="both"/>
      </w:pPr>
      <w:r>
        <w:t>Images 4,5 and 6 taken by Rebecca Booker</w:t>
      </w:r>
    </w:p>
    <w:p w14:paraId="0EC478D2" w14:textId="022E41A5" w:rsidR="00EA4642" w:rsidRDefault="00EA4642">
      <w:pPr>
        <w:pStyle w:val="NormalWeb"/>
        <w:spacing w:before="0" w:after="0"/>
        <w:ind w:right="-334"/>
        <w:jc w:val="both"/>
        <w:rPr>
          <w:rFonts w:ascii="Verdana Pro Light" w:hAnsi="Verdana Pro Light" w:cs="Verdana Pro Light"/>
          <w:sz w:val="24"/>
          <w:szCs w:val="24"/>
        </w:rPr>
      </w:pPr>
    </w:p>
    <w:p w14:paraId="125936D5" w14:textId="77777777" w:rsidR="00487F99" w:rsidRDefault="00487F99">
      <w:pPr>
        <w:pStyle w:val="NormalWeb"/>
        <w:spacing w:before="0" w:after="0"/>
        <w:ind w:left="720" w:right="-334"/>
        <w:jc w:val="both"/>
        <w:rPr>
          <w:rFonts w:ascii="Verdana Pro Light" w:hAnsi="Verdana Pro Light" w:cs="Verdana Pro Light"/>
          <w:b/>
          <w:bCs/>
          <w:sz w:val="24"/>
          <w:szCs w:val="24"/>
        </w:rPr>
      </w:pPr>
    </w:p>
    <w:p w14:paraId="03994E8B" w14:textId="07D1053C" w:rsidR="00487F99" w:rsidRDefault="002B0FCB">
      <w:pPr>
        <w:pStyle w:val="NormalWeb"/>
        <w:spacing w:before="0" w:after="0"/>
        <w:ind w:right="-334"/>
        <w:jc w:val="both"/>
        <w:rPr>
          <w:rFonts w:ascii="Verdana Pro Light" w:hAnsi="Verdana Pro Light" w:cs="Verdana Pro Light"/>
          <w:b/>
          <w:bCs/>
          <w:sz w:val="24"/>
          <w:szCs w:val="24"/>
        </w:rPr>
      </w:pPr>
      <w:r>
        <w:rPr>
          <w:rFonts w:ascii="Verdana Pro Light" w:hAnsi="Verdana Pro Light" w:cs="Verdana Pro Light"/>
          <w:b/>
          <w:bCs/>
          <w:sz w:val="24"/>
          <w:szCs w:val="24"/>
        </w:rPr>
        <w:t xml:space="preserve">Collective Worship, with Guru Granth Sahib Ji at the Centre. </w:t>
      </w:r>
    </w:p>
    <w:p w14:paraId="2B66D0B6" w14:textId="2FA8E99F" w:rsidR="00487F99" w:rsidRDefault="00EA4642">
      <w:pPr>
        <w:pStyle w:val="NormalWeb"/>
        <w:spacing w:before="0" w:after="0"/>
        <w:ind w:right="-334"/>
        <w:jc w:val="both"/>
      </w:pPr>
      <w:r>
        <w:rPr>
          <w:noProof/>
        </w:rPr>
        <mc:AlternateContent>
          <mc:Choice Requires="wps">
            <w:drawing>
              <wp:anchor distT="0" distB="0" distL="114300" distR="114300" simplePos="0" relativeHeight="251673600" behindDoc="0" locked="0" layoutInCell="1" allowOverlap="1" wp14:anchorId="629FC0D1" wp14:editId="1A087821">
                <wp:simplePos x="0" y="0"/>
                <wp:positionH relativeFrom="column">
                  <wp:posOffset>3303905</wp:posOffset>
                </wp:positionH>
                <wp:positionV relativeFrom="paragraph">
                  <wp:posOffset>1870075</wp:posOffset>
                </wp:positionV>
                <wp:extent cx="2378075" cy="635"/>
                <wp:effectExtent l="0" t="0" r="0" b="0"/>
                <wp:wrapSquare wrapText="bothSides"/>
                <wp:docPr id="99407845" name="Text Box 1"/>
                <wp:cNvGraphicFramePr/>
                <a:graphic xmlns:a="http://schemas.openxmlformats.org/drawingml/2006/main">
                  <a:graphicData uri="http://schemas.microsoft.com/office/word/2010/wordprocessingShape">
                    <wps:wsp>
                      <wps:cNvSpPr txBox="1"/>
                      <wps:spPr>
                        <a:xfrm>
                          <a:off x="0" y="0"/>
                          <a:ext cx="2378075" cy="635"/>
                        </a:xfrm>
                        <a:prstGeom prst="rect">
                          <a:avLst/>
                        </a:prstGeom>
                        <a:solidFill>
                          <a:prstClr val="white"/>
                        </a:solidFill>
                        <a:ln>
                          <a:noFill/>
                        </a:ln>
                      </wps:spPr>
                      <wps:txbx>
                        <w:txbxContent>
                          <w:p w14:paraId="75C19CE8" w14:textId="00C889A0" w:rsidR="00EA4642" w:rsidRPr="0037564D" w:rsidRDefault="00EA4642" w:rsidP="00EA4642">
                            <w:pPr>
                              <w:pStyle w:val="Caption"/>
                              <w:rPr>
                                <w:rFonts w:ascii="Verdana Pro Light" w:hAnsi="Verdana Pro Light" w:cs="Verdana Pro Light"/>
                                <w:color w:val="000000"/>
                              </w:rPr>
                            </w:pPr>
                            <w:r>
                              <w:t>Taken by Rebecca Booker 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9FC0D1" id="_x0000_s1029" type="#_x0000_t202" style="position:absolute;left:0;text-align:left;margin-left:260.15pt;margin-top:147.25pt;width:187.2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" stroked="f">
                <v:textbox style="mso-fit-shape-to-text:t" inset="0,0,0,0">
                  <w:txbxContent>
                    <w:p w14:paraId="75C19CE8" w14:textId="00C889A0" w:rsidR="00EA4642" w:rsidRPr="0037564D" w:rsidRDefault="00EA4642" w:rsidP="00EA4642">
                      <w:pPr>
                        <w:pStyle w:val="Caption"/>
                        <w:rPr>
                          <w:rFonts w:ascii="Verdana Pro Light" w:hAnsi="Verdana Pro Light" w:cs="Verdana Pro Light"/>
                          <w:color w:val="000000"/>
                        </w:rPr>
                      </w:pPr>
                      <w:r>
                        <w:t>Taken by Rebecca Booker 7</w:t>
                      </w:r>
                    </w:p>
                  </w:txbxContent>
                </v:textbox>
                <w10:wrap type="square"/>
              </v:shape>
            </w:pict>
          </mc:Fallback>
        </mc:AlternateContent>
      </w:r>
      <w:r w:rsidRPr="00EA4642">
        <w:rPr>
          <w:rFonts w:ascii="Verdana Pro Light" w:hAnsi="Verdana Pro Light" w:cs="Verdana Pro Light"/>
          <w:noProof/>
          <w:sz w:val="24"/>
          <w:szCs w:val="24"/>
        </w:rPr>
        <w:drawing>
          <wp:anchor distT="0" distB="0" distL="114300" distR="114300" simplePos="0" relativeHeight="251671552" behindDoc="0" locked="0" layoutInCell="1" allowOverlap="1" wp14:anchorId="7924A231" wp14:editId="4674AC17">
            <wp:simplePos x="0" y="0"/>
            <wp:positionH relativeFrom="column">
              <wp:posOffset>3303905</wp:posOffset>
            </wp:positionH>
            <wp:positionV relativeFrom="paragraph">
              <wp:posOffset>9525</wp:posOffset>
            </wp:positionV>
            <wp:extent cx="2378075" cy="1803400"/>
            <wp:effectExtent l="0" t="0" r="3175" b="6350"/>
            <wp:wrapSquare wrapText="bothSides"/>
            <wp:docPr id="784082918" name="Picture 1" descr="A person kneeling on a s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082918" name="Picture 1" descr="A person kneeling on a stag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78075" cy="1803400"/>
                    </a:xfrm>
                    <a:prstGeom prst="rect">
                      <a:avLst/>
                    </a:prstGeom>
                  </pic:spPr>
                </pic:pic>
              </a:graphicData>
            </a:graphic>
            <wp14:sizeRelH relativeFrom="page">
              <wp14:pctWidth>0</wp14:pctWidth>
            </wp14:sizeRelH>
            <wp14:sizeRelV relativeFrom="page">
              <wp14:pctHeight>0</wp14:pctHeight>
            </wp14:sizeRelV>
          </wp:anchor>
        </w:drawing>
      </w:r>
      <w:r w:rsidR="002B0FCB">
        <w:rPr>
          <w:rFonts w:ascii="Verdana Pro Light" w:hAnsi="Verdana Pro Light" w:cs="Verdana Pro Light"/>
          <w:sz w:val="24"/>
          <w:szCs w:val="24"/>
        </w:rPr>
        <w:tab/>
        <w:t xml:space="preserve">It has been observed that there are two entrances to the main hall, one located at the bottom and one on the side. As you enter you can see the congregation sitting either side of the red carpet. Males on the right and women on the left. At the bottom of the red carpet sits a large throne (takhat) and a dome where Guru Granth Sahib sits. The Takhat is gold in colour. Flowers and oils either side. When in front of maharaj people fall to their knees and bow their head, placing their forehead on the floor. Behind maharaj is a big symbol that says ek onkar. This refers to one God. Guru Granth </w:t>
      </w:r>
      <w:r w:rsidRPr="00EA4642">
        <w:rPr>
          <w:rFonts w:ascii="Verdana Pro Light" w:hAnsi="Verdana Pro Light" w:cs="Verdana Pro Light"/>
          <w:noProof/>
          <w:sz w:val="24"/>
          <w:szCs w:val="24"/>
        </w:rPr>
        <w:drawing>
          <wp:anchor distT="0" distB="0" distL="114300" distR="114300" simplePos="0" relativeHeight="251668480" behindDoc="0" locked="0" layoutInCell="1" allowOverlap="1" wp14:anchorId="1E4D2725" wp14:editId="5B14C273">
            <wp:simplePos x="0" y="0"/>
            <wp:positionH relativeFrom="column">
              <wp:posOffset>3284855</wp:posOffset>
            </wp:positionH>
            <wp:positionV relativeFrom="paragraph">
              <wp:posOffset>209550</wp:posOffset>
            </wp:positionV>
            <wp:extent cx="2438400" cy="1825625"/>
            <wp:effectExtent l="0" t="0" r="0" b="3175"/>
            <wp:wrapSquare wrapText="bothSides"/>
            <wp:docPr id="1882214044" name="Picture 1" descr="A person sitting on a chair in a room with a red carp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214044" name="Picture 1" descr="A person sitting on a chair in a room with a red carpe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38400" cy="1825625"/>
                    </a:xfrm>
                    <a:prstGeom prst="rect">
                      <a:avLst/>
                    </a:prstGeom>
                  </pic:spPr>
                </pic:pic>
              </a:graphicData>
            </a:graphic>
          </wp:anchor>
        </w:drawing>
      </w:r>
      <w:r w:rsidR="002B0FCB">
        <w:rPr>
          <w:rFonts w:ascii="Verdana Pro Light" w:hAnsi="Verdana Pro Light" w:cs="Verdana Pro Light"/>
          <w:sz w:val="24"/>
          <w:szCs w:val="24"/>
        </w:rPr>
        <w:t>sahib is a centre or axis mundi according to Eliade.</w:t>
      </w:r>
      <w:r w:rsidRPr="00EA4642">
        <w:rPr>
          <w:noProof/>
        </w:rPr>
        <w:t xml:space="preserve"> </w:t>
      </w:r>
      <w:r w:rsidR="002B0FCB">
        <w:rPr>
          <w:rFonts w:ascii="Verdana Pro Light" w:hAnsi="Verdana Pro Light" w:cs="Verdana Pro Light"/>
          <w:sz w:val="24"/>
          <w:szCs w:val="24"/>
        </w:rPr>
        <w:t xml:space="preserve"> In Eliade's theory he argues that there is a centre or an axis mundi. It is this centre that helps people to make a connection to God and is the plane that separates earth from the heavens.</w:t>
      </w:r>
      <w:r w:rsidR="002B0FCB">
        <w:rPr>
          <w:rStyle w:val="FootnoteAnchor"/>
          <w:rFonts w:ascii="Verdana Pro Light" w:hAnsi="Verdana Pro Light" w:cs="Verdana Pro Light"/>
          <w:sz w:val="24"/>
          <w:szCs w:val="24"/>
        </w:rPr>
        <w:footnoteReference w:id="81"/>
      </w:r>
      <w:r w:rsidR="002B0FCB">
        <w:rPr>
          <w:rFonts w:ascii="Verdana Pro Light" w:hAnsi="Verdana Pro Light" w:cs="Verdana Pro Light"/>
          <w:sz w:val="24"/>
          <w:szCs w:val="24"/>
        </w:rPr>
        <w:t xml:space="preserve"> Whilst the Gurdwara acts as a centre point, so does Guru Granth Sahib Ji. It is this feature or holy scripture that Sikhs live their everyday life by and through it they connect to God. Sikhs </w:t>
      </w:r>
      <w:r>
        <w:rPr>
          <w:noProof/>
        </w:rPr>
        <mc:AlternateContent>
          <mc:Choice Requires="wps">
            <w:drawing>
              <wp:anchor distT="0" distB="0" distL="114300" distR="114300" simplePos="0" relativeHeight="251670528" behindDoc="0" locked="0" layoutInCell="1" allowOverlap="1" wp14:anchorId="7F9EF645" wp14:editId="1842506A">
                <wp:simplePos x="0" y="0"/>
                <wp:positionH relativeFrom="column">
                  <wp:posOffset>3322955</wp:posOffset>
                </wp:positionH>
                <wp:positionV relativeFrom="paragraph">
                  <wp:posOffset>2155825</wp:posOffset>
                </wp:positionV>
                <wp:extent cx="2438400" cy="635"/>
                <wp:effectExtent l="0" t="0" r="0" b="0"/>
                <wp:wrapSquare wrapText="bothSides"/>
                <wp:docPr id="2123438034" name="Text Box 1"/>
                <wp:cNvGraphicFramePr/>
                <a:graphic xmlns:a="http://schemas.openxmlformats.org/drawingml/2006/main">
                  <a:graphicData uri="http://schemas.microsoft.com/office/word/2010/wordprocessingShape">
                    <wps:wsp>
                      <wps:cNvSpPr txBox="1"/>
                      <wps:spPr>
                        <a:xfrm>
                          <a:off x="0" y="0"/>
                          <a:ext cx="2438400" cy="635"/>
                        </a:xfrm>
                        <a:prstGeom prst="rect">
                          <a:avLst/>
                        </a:prstGeom>
                        <a:solidFill>
                          <a:prstClr val="white"/>
                        </a:solidFill>
                        <a:ln>
                          <a:noFill/>
                        </a:ln>
                      </wps:spPr>
                      <wps:txbx>
                        <w:txbxContent>
                          <w:p w14:paraId="57F9EB28" w14:textId="67130E85" w:rsidR="00EA4642" w:rsidRPr="00DE1094" w:rsidRDefault="00EA4642" w:rsidP="00EA4642">
                            <w:pPr>
                              <w:pStyle w:val="Caption"/>
                              <w:rPr>
                                <w:rFonts w:ascii="Verdana Pro Light" w:hAnsi="Verdana Pro Light" w:cs="Verdana Pro Light"/>
                                <w:color w:val="000000"/>
                              </w:rPr>
                            </w:pPr>
                            <w:r>
                              <w:t>Taken by Rebecca Booker 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9EF645" id="_x0000_s1030" type="#_x0000_t202" style="position:absolute;left:0;text-align:left;margin-left:261.65pt;margin-top:169.75pt;width:192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" stroked="f">
                <v:textbox style="mso-fit-shape-to-text:t" inset="0,0,0,0">
                  <w:txbxContent>
                    <w:p w14:paraId="57F9EB28" w14:textId="67130E85" w:rsidR="00EA4642" w:rsidRPr="00DE1094" w:rsidRDefault="00EA4642" w:rsidP="00EA4642">
                      <w:pPr>
                        <w:pStyle w:val="Caption"/>
                        <w:rPr>
                          <w:rFonts w:ascii="Verdana Pro Light" w:hAnsi="Verdana Pro Light" w:cs="Verdana Pro Light"/>
                          <w:color w:val="000000"/>
                        </w:rPr>
                      </w:pPr>
                      <w:r>
                        <w:t>Taken by Rebecca Booker 8</w:t>
                      </w:r>
                    </w:p>
                  </w:txbxContent>
                </v:textbox>
                <w10:wrap type="square"/>
              </v:shape>
            </w:pict>
          </mc:Fallback>
        </mc:AlternateContent>
      </w:r>
      <w:r w:rsidR="002B0FCB">
        <w:rPr>
          <w:rFonts w:ascii="Verdana Pro Light" w:hAnsi="Verdana Pro Light" w:cs="Verdana Pro Light"/>
          <w:sz w:val="24"/>
          <w:szCs w:val="24"/>
        </w:rPr>
        <w:t>come to the Gurdwara to see Guru Granth Sahib and to pay their respects.</w:t>
      </w:r>
      <w:r w:rsidR="002B0FCB">
        <w:rPr>
          <w:rStyle w:val="FootnoteAnchor"/>
          <w:rFonts w:ascii="Verdana Pro Light" w:hAnsi="Verdana Pro Light" w:cs="Verdana Pro Light"/>
          <w:sz w:val="24"/>
          <w:szCs w:val="24"/>
        </w:rPr>
        <w:footnoteReference w:id="82"/>
      </w:r>
      <w:r w:rsidR="002B0FCB">
        <w:rPr>
          <w:rFonts w:ascii="Verdana Pro Light" w:hAnsi="Verdana Pro Light" w:cs="Verdana Pro Light"/>
          <w:sz w:val="24"/>
          <w:szCs w:val="24"/>
        </w:rPr>
        <w:t xml:space="preserve"> By coming to the Gurdwara they are fulfilling religious obligation as well as learning and practising the teachings that were put into place by the 10 gurus and God. for Sikhs, the Guru Granth Sahib is there to provide guidance of how one should live their life in this world.</w:t>
      </w:r>
      <w:r w:rsidR="002B0FCB">
        <w:rPr>
          <w:rStyle w:val="FootnoteAnchor"/>
          <w:rFonts w:ascii="Verdana Pro Light" w:hAnsi="Verdana Pro Light" w:cs="Verdana Pro Light"/>
          <w:sz w:val="24"/>
          <w:szCs w:val="24"/>
        </w:rPr>
        <w:footnoteReference w:id="83"/>
      </w:r>
      <w:r w:rsidR="002B0FCB">
        <w:rPr>
          <w:rFonts w:ascii="Verdana Pro Light" w:hAnsi="Verdana Pro Light" w:cs="Verdana Pro Light"/>
          <w:sz w:val="24"/>
          <w:szCs w:val="24"/>
        </w:rPr>
        <w:t xml:space="preserve"> The sign Ek Onkar is also there to remind them that there is only one God. This also coincides with Eliade's further argument of the centre containing a representation of the imago mundi. The image of the world.</w:t>
      </w:r>
      <w:r w:rsidR="002B0FCB">
        <w:rPr>
          <w:rStyle w:val="FootnoteAnchor"/>
          <w:rFonts w:ascii="Verdana Pro Light" w:hAnsi="Verdana Pro Light" w:cs="Verdana Pro Light"/>
          <w:sz w:val="24"/>
          <w:szCs w:val="24"/>
        </w:rPr>
        <w:footnoteReference w:id="84"/>
      </w:r>
      <w:r w:rsidR="002B0FCB">
        <w:rPr>
          <w:rFonts w:ascii="Verdana Pro Light" w:hAnsi="Verdana Pro Light" w:cs="Verdana Pro Light"/>
          <w:sz w:val="24"/>
          <w:szCs w:val="24"/>
        </w:rPr>
        <w:tab/>
      </w:r>
    </w:p>
    <w:p w14:paraId="2261A206" w14:textId="6F7FEFD6" w:rsidR="00487F99" w:rsidRDefault="000C6C68">
      <w:pPr>
        <w:pStyle w:val="NormalWeb"/>
        <w:spacing w:before="0" w:after="0"/>
        <w:ind w:right="-334"/>
        <w:jc w:val="both"/>
      </w:pPr>
      <w:r>
        <w:rPr>
          <w:noProof/>
        </w:rPr>
        <mc:AlternateContent>
          <mc:Choice Requires="wps">
            <w:drawing>
              <wp:anchor distT="0" distB="0" distL="114300" distR="114300" simplePos="0" relativeHeight="251679744" behindDoc="0" locked="0" layoutInCell="1" allowOverlap="1" wp14:anchorId="2187F19B" wp14:editId="65FF172A">
                <wp:simplePos x="0" y="0"/>
                <wp:positionH relativeFrom="column">
                  <wp:posOffset>3030855</wp:posOffset>
                </wp:positionH>
                <wp:positionV relativeFrom="paragraph">
                  <wp:posOffset>3276600</wp:posOffset>
                </wp:positionV>
                <wp:extent cx="2330450" cy="635"/>
                <wp:effectExtent l="0" t="0" r="0" b="0"/>
                <wp:wrapSquare wrapText="bothSides"/>
                <wp:docPr id="1943947462" name="Text Box 1"/>
                <wp:cNvGraphicFramePr/>
                <a:graphic xmlns:a="http://schemas.openxmlformats.org/drawingml/2006/main">
                  <a:graphicData uri="http://schemas.microsoft.com/office/word/2010/wordprocessingShape">
                    <wps:wsp>
                      <wps:cNvSpPr txBox="1"/>
                      <wps:spPr>
                        <a:xfrm>
                          <a:off x="0" y="0"/>
                          <a:ext cx="2330450" cy="635"/>
                        </a:xfrm>
                        <a:prstGeom prst="rect">
                          <a:avLst/>
                        </a:prstGeom>
                        <a:solidFill>
                          <a:prstClr val="white"/>
                        </a:solidFill>
                        <a:ln>
                          <a:noFill/>
                        </a:ln>
                      </wps:spPr>
                      <wps:txbx>
                        <w:txbxContent>
                          <w:p w14:paraId="12A07A89" w14:textId="794DF57B" w:rsidR="000C6C68" w:rsidRPr="00F971A5" w:rsidRDefault="000C6C68" w:rsidP="000C6C68">
                            <w:pPr>
                              <w:pStyle w:val="Caption"/>
                              <w:rPr>
                                <w:rFonts w:ascii="Verdana Pro Light" w:hAnsi="Verdana Pro Light" w:cs="Verdana Pro Light"/>
                                <w:color w:val="000000"/>
                              </w:rPr>
                            </w:pPr>
                            <w:r>
                              <w:t>Taken by Rebecca Booker 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87F19B" id="_x0000_s1031" type="#_x0000_t202" style="position:absolute;left:0;text-align:left;margin-left:238.65pt;margin-top:258pt;width:183.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" stroked="f">
                <v:textbox style="mso-fit-shape-to-text:t" inset="0,0,0,0">
                  <w:txbxContent>
                    <w:p w14:paraId="12A07A89" w14:textId="794DF57B" w:rsidR="000C6C68" w:rsidRPr="00F971A5" w:rsidRDefault="000C6C68" w:rsidP="000C6C68">
                      <w:pPr>
                        <w:pStyle w:val="Caption"/>
                        <w:rPr>
                          <w:rFonts w:ascii="Verdana Pro Light" w:hAnsi="Verdana Pro Light" w:cs="Verdana Pro Light"/>
                          <w:color w:val="000000"/>
                        </w:rPr>
                      </w:pPr>
                      <w:r>
                        <w:t>Taken by Rebecca Booker 10</w:t>
                      </w:r>
                    </w:p>
                  </w:txbxContent>
                </v:textbox>
                <w10:wrap type="square"/>
              </v:shape>
            </w:pict>
          </mc:Fallback>
        </mc:AlternateContent>
      </w:r>
      <w:r w:rsidRPr="000C6C68">
        <w:rPr>
          <w:rFonts w:ascii="Verdana Pro Light" w:hAnsi="Verdana Pro Light" w:cs="Verdana Pro Light"/>
          <w:noProof/>
          <w:sz w:val="24"/>
          <w:szCs w:val="24"/>
        </w:rPr>
        <w:drawing>
          <wp:anchor distT="0" distB="0" distL="114300" distR="114300" simplePos="0" relativeHeight="251677696" behindDoc="0" locked="0" layoutInCell="1" allowOverlap="1" wp14:anchorId="0DDCA8E0" wp14:editId="688F74B1">
            <wp:simplePos x="0" y="0"/>
            <wp:positionH relativeFrom="column">
              <wp:posOffset>3030855</wp:posOffset>
            </wp:positionH>
            <wp:positionV relativeFrom="paragraph">
              <wp:posOffset>1637665</wp:posOffset>
            </wp:positionV>
            <wp:extent cx="2330450" cy="1581785"/>
            <wp:effectExtent l="0" t="0" r="0" b="0"/>
            <wp:wrapSquare wrapText="bothSides"/>
            <wp:docPr id="1334417607" name="Picture 1" descr="A group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417607" name="Picture 1" descr="A group of people in a roo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330450" cy="158178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6672" behindDoc="0" locked="0" layoutInCell="1" allowOverlap="1" wp14:anchorId="19F0744B" wp14:editId="3AFF5D8A">
                <wp:simplePos x="0" y="0"/>
                <wp:positionH relativeFrom="column">
                  <wp:posOffset>3024505</wp:posOffset>
                </wp:positionH>
                <wp:positionV relativeFrom="paragraph">
                  <wp:posOffset>1332865</wp:posOffset>
                </wp:positionV>
                <wp:extent cx="2680335" cy="635"/>
                <wp:effectExtent l="0" t="0" r="0" b="0"/>
                <wp:wrapSquare wrapText="bothSides"/>
                <wp:docPr id="910558023" name="Text Box 1"/>
                <wp:cNvGraphicFramePr/>
                <a:graphic xmlns:a="http://schemas.openxmlformats.org/drawingml/2006/main">
                  <a:graphicData uri="http://schemas.microsoft.com/office/word/2010/wordprocessingShape">
                    <wps:wsp>
                      <wps:cNvSpPr txBox="1"/>
                      <wps:spPr>
                        <a:xfrm>
                          <a:off x="0" y="0"/>
                          <a:ext cx="2680335" cy="635"/>
                        </a:xfrm>
                        <a:prstGeom prst="rect">
                          <a:avLst/>
                        </a:prstGeom>
                        <a:solidFill>
                          <a:prstClr val="white"/>
                        </a:solidFill>
                        <a:ln>
                          <a:noFill/>
                        </a:ln>
                      </wps:spPr>
                      <wps:txbx>
                        <w:txbxContent>
                          <w:p w14:paraId="2002DACC" w14:textId="576BA81E" w:rsidR="000C6C68" w:rsidRPr="00C243DF" w:rsidRDefault="000C6C68" w:rsidP="000C6C68">
                            <w:pPr>
                              <w:pStyle w:val="Caption"/>
                              <w:rPr>
                                <w:rFonts w:ascii="Verdana Pro Light" w:hAnsi="Verdana Pro Light" w:cs="Verdana Pro Light"/>
                                <w:color w:val="000000"/>
                              </w:rPr>
                            </w:pPr>
                            <w:r>
                              <w:t>Taken by Rebecca Booker 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F0744B" id="_x0000_s1032" type="#_x0000_t202" style="position:absolute;left:0;text-align:left;margin-left:238.15pt;margin-top:104.95pt;width:211.0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" stroked="f">
                <v:textbox style="mso-fit-shape-to-text:t" inset="0,0,0,0">
                  <w:txbxContent>
                    <w:p w14:paraId="2002DACC" w14:textId="576BA81E" w:rsidR="000C6C68" w:rsidRPr="00C243DF" w:rsidRDefault="000C6C68" w:rsidP="000C6C68">
                      <w:pPr>
                        <w:pStyle w:val="Caption"/>
                        <w:rPr>
                          <w:rFonts w:ascii="Verdana Pro Light" w:hAnsi="Verdana Pro Light" w:cs="Verdana Pro Light"/>
                          <w:color w:val="000000"/>
                        </w:rPr>
                      </w:pPr>
                      <w:r>
                        <w:t>Taken by Rebecca Booker 9</w:t>
                      </w:r>
                    </w:p>
                  </w:txbxContent>
                </v:textbox>
                <w10:wrap type="square"/>
              </v:shape>
            </w:pict>
          </mc:Fallback>
        </mc:AlternateContent>
      </w:r>
      <w:r w:rsidRPr="000C6C68">
        <w:rPr>
          <w:rFonts w:ascii="Verdana Pro Light" w:hAnsi="Verdana Pro Light" w:cs="Verdana Pro Light"/>
          <w:noProof/>
          <w:sz w:val="24"/>
          <w:szCs w:val="24"/>
        </w:rPr>
        <w:drawing>
          <wp:anchor distT="0" distB="0" distL="114300" distR="114300" simplePos="0" relativeHeight="251674624" behindDoc="0" locked="0" layoutInCell="1" allowOverlap="1" wp14:anchorId="49362946" wp14:editId="27EE4043">
            <wp:simplePos x="0" y="0"/>
            <wp:positionH relativeFrom="column">
              <wp:posOffset>3024505</wp:posOffset>
            </wp:positionH>
            <wp:positionV relativeFrom="paragraph">
              <wp:posOffset>56515</wp:posOffset>
            </wp:positionV>
            <wp:extent cx="2680335" cy="1219200"/>
            <wp:effectExtent l="0" t="0" r="5715" b="0"/>
            <wp:wrapSquare wrapText="bothSides"/>
            <wp:docPr id="1365425963" name="Picture 1" descr="A group of people sitting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425963" name="Picture 1" descr="A group of people sitting in a roo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80335" cy="1219200"/>
                    </a:xfrm>
                    <a:prstGeom prst="rect">
                      <a:avLst/>
                    </a:prstGeom>
                  </pic:spPr>
                </pic:pic>
              </a:graphicData>
            </a:graphic>
            <wp14:sizeRelH relativeFrom="page">
              <wp14:pctWidth>0</wp14:pctWidth>
            </wp14:sizeRelH>
            <wp14:sizeRelV relativeFrom="page">
              <wp14:pctHeight>0</wp14:pctHeight>
            </wp14:sizeRelV>
          </wp:anchor>
        </w:drawing>
      </w:r>
      <w:r w:rsidR="002B0FCB">
        <w:rPr>
          <w:rFonts w:ascii="Verdana Pro Light" w:hAnsi="Verdana Pro Light" w:cs="Verdana Pro Light"/>
          <w:sz w:val="24"/>
          <w:szCs w:val="24"/>
        </w:rPr>
        <w:tab/>
        <w:t>On the 27</w:t>
      </w:r>
      <w:r w:rsidR="002B0FCB">
        <w:rPr>
          <w:rFonts w:ascii="Verdana Pro Light" w:hAnsi="Verdana Pro Light" w:cs="Verdana Pro Light"/>
          <w:sz w:val="24"/>
          <w:szCs w:val="24"/>
          <w:vertAlign w:val="superscript"/>
        </w:rPr>
        <w:t>th of</w:t>
      </w:r>
      <w:r w:rsidR="002B0FCB">
        <w:rPr>
          <w:rFonts w:ascii="Verdana Pro Light" w:hAnsi="Verdana Pro Light" w:cs="Verdana Pro Light"/>
          <w:sz w:val="24"/>
          <w:szCs w:val="24"/>
        </w:rPr>
        <w:t xml:space="preserve"> November we celebrated Guru Nanak Dev Jis </w:t>
      </w:r>
      <w:r>
        <w:rPr>
          <w:rFonts w:ascii="Verdana Pro Light" w:hAnsi="Verdana Pro Light" w:cs="Verdana Pro Light"/>
          <w:sz w:val="24"/>
          <w:szCs w:val="24"/>
        </w:rPr>
        <w:t>Gurpurab (</w:t>
      </w:r>
      <w:r w:rsidR="002B0FCB">
        <w:rPr>
          <w:rFonts w:ascii="Verdana Pro Light" w:hAnsi="Verdana Pro Light" w:cs="Verdana Pro Light"/>
          <w:sz w:val="24"/>
          <w:szCs w:val="24"/>
        </w:rPr>
        <w:t>birthday) at the gurdwara. This began in another dabar, hall 3. All the children from the school and nursery paid their respects to Guru Granth Sahib before sitting down. Once they sat down, they sang hymns together called shabats. Theses shabat related to Guru Nanak Dev ji. Once the children had sung the shabats they paid their respects again to Guru Granth Sahib ji but this time this was in the main hall where we had special visitors on stage singing. Whilst Durkheim did not specifically define sacred space</w:t>
      </w:r>
      <w:r>
        <w:rPr>
          <w:rFonts w:ascii="Verdana Pro Light" w:hAnsi="Verdana Pro Light" w:cs="Verdana Pro Light"/>
          <w:sz w:val="24"/>
          <w:szCs w:val="24"/>
        </w:rPr>
        <w:t>,</w:t>
      </w:r>
      <w:r w:rsidR="002B0FCB">
        <w:rPr>
          <w:rFonts w:ascii="Verdana Pro Light" w:hAnsi="Verdana Pro Light" w:cs="Verdana Pro Light"/>
          <w:sz w:val="24"/>
          <w:szCs w:val="24"/>
        </w:rPr>
        <w:t xml:space="preserve"> he did develop ideas that could potentially identify a sacred space. One of these ideas were that collective worship created a sacred space. Durkheim argued that “objects or places are made sacred by groups of people who set them apart and keep them bounded by specific action. They remain sacred only so long as groups continue to do this".</w:t>
      </w:r>
      <w:r w:rsidR="002B0FCB">
        <w:rPr>
          <w:rStyle w:val="FootnoteAnchor"/>
          <w:rFonts w:ascii="Verdana Pro Light" w:hAnsi="Verdana Pro Light" w:cs="Verdana Pro Light"/>
          <w:sz w:val="24"/>
          <w:szCs w:val="24"/>
        </w:rPr>
        <w:footnoteReference w:id="85"/>
      </w:r>
      <w:r w:rsidR="002B0FCB">
        <w:rPr>
          <w:rFonts w:ascii="Verdana Pro Light" w:hAnsi="Verdana Pro Light" w:cs="Verdana Pro Light"/>
          <w:sz w:val="24"/>
          <w:szCs w:val="24"/>
        </w:rPr>
        <w:t xml:space="preserve"> Furthermore it is these actions that form the collective conscious. "The conscious collective is the achievement of mind that transfigures the real world and makes it a shared world that is in fact the real world as know and knowable by some group. Some moral community.</w:t>
      </w:r>
      <w:r w:rsidR="002B0FCB">
        <w:rPr>
          <w:rStyle w:val="FootnoteAnchor"/>
          <w:rFonts w:ascii="Verdana Pro Light" w:hAnsi="Verdana Pro Light" w:cs="Verdana Pro Light"/>
          <w:sz w:val="24"/>
          <w:szCs w:val="24"/>
        </w:rPr>
        <w:footnoteReference w:id="86"/>
      </w:r>
      <w:r w:rsidR="002B0FCB">
        <w:rPr>
          <w:rFonts w:ascii="Verdana Pro Light" w:hAnsi="Verdana Pro Light" w:cs="Verdana Pro Light"/>
          <w:sz w:val="24"/>
          <w:szCs w:val="24"/>
        </w:rPr>
        <w:t xml:space="preserve"> In order to create sacredness and sacred space we need to experience things. We can do this through the soul. Durkheim argues that the soul is needed to experience the sacred.</w:t>
      </w:r>
      <w:r w:rsidR="002B0FCB">
        <w:rPr>
          <w:rStyle w:val="FootnoteAnchor"/>
          <w:rFonts w:ascii="Verdana Pro Light" w:hAnsi="Verdana Pro Light" w:cs="Verdana Pro Light"/>
          <w:sz w:val="24"/>
          <w:szCs w:val="24"/>
        </w:rPr>
        <w:footnoteReference w:id="87"/>
      </w:r>
      <w:r w:rsidR="002B0FCB">
        <w:rPr>
          <w:rFonts w:ascii="Verdana Pro Light" w:hAnsi="Verdana Pro Light" w:cs="Verdana Pro Light"/>
          <w:sz w:val="24"/>
          <w:szCs w:val="24"/>
        </w:rPr>
        <w:t xml:space="preserve"> Furthermore Durkheim defines the effects of collective worship as a result of "sort of electricity" whose initial impulse is "amplified as it reverberates as an avalanche gathering force as it goes".</w:t>
      </w:r>
      <w:r w:rsidR="002B0FCB">
        <w:rPr>
          <w:rStyle w:val="FootnoteAnchor"/>
          <w:rFonts w:ascii="Verdana Pro Light" w:hAnsi="Verdana Pro Light" w:cs="Verdana Pro Light"/>
          <w:sz w:val="24"/>
          <w:szCs w:val="24"/>
        </w:rPr>
        <w:footnoteReference w:id="88"/>
      </w:r>
      <w:r w:rsidR="002B0FCB">
        <w:rPr>
          <w:rFonts w:ascii="Verdana Pro Light" w:hAnsi="Verdana Pro Light" w:cs="Verdana Pro Light"/>
          <w:sz w:val="24"/>
          <w:szCs w:val="24"/>
        </w:rPr>
        <w:t xml:space="preserve"> </w:t>
      </w:r>
    </w:p>
    <w:p w14:paraId="169173BC" w14:textId="03D87927" w:rsidR="00487F99" w:rsidRDefault="002B0FCB">
      <w:pPr>
        <w:pStyle w:val="NormalWeb"/>
        <w:spacing w:before="0" w:after="0"/>
        <w:ind w:right="-334"/>
        <w:jc w:val="both"/>
      </w:pPr>
      <w:r>
        <w:rPr>
          <w:rFonts w:ascii="Verdana Pro Light" w:hAnsi="Verdana Pro Light" w:cs="Verdana Pro Light"/>
          <w:color w:val="242424"/>
          <w:sz w:val="24"/>
          <w:szCs w:val="24"/>
        </w:rPr>
        <w:tab/>
      </w:r>
      <w:r>
        <w:rPr>
          <w:rFonts w:ascii="Verdana Pro Light" w:hAnsi="Verdana Pro Light" w:cs="Verdana Pro Light"/>
          <w:sz w:val="24"/>
          <w:szCs w:val="24"/>
        </w:rPr>
        <w:t xml:space="preserve">During my time during this </w:t>
      </w:r>
      <w:r w:rsidR="000C6C68">
        <w:rPr>
          <w:rFonts w:ascii="Verdana Pro Light" w:hAnsi="Verdana Pro Light" w:cs="Verdana Pro Light"/>
          <w:sz w:val="24"/>
          <w:szCs w:val="24"/>
        </w:rPr>
        <w:t>celebration,</w:t>
      </w:r>
      <w:r>
        <w:rPr>
          <w:rFonts w:ascii="Verdana Pro Light" w:hAnsi="Verdana Pro Light" w:cs="Verdana Pro Light"/>
          <w:sz w:val="24"/>
          <w:szCs w:val="24"/>
        </w:rPr>
        <w:t xml:space="preserve"> </w:t>
      </w:r>
      <w:r w:rsidR="000C6C68">
        <w:rPr>
          <w:rFonts w:ascii="Verdana Pro Light" w:hAnsi="Verdana Pro Light" w:cs="Verdana Pro Light"/>
          <w:sz w:val="24"/>
          <w:szCs w:val="24"/>
        </w:rPr>
        <w:t>I</w:t>
      </w:r>
      <w:r>
        <w:rPr>
          <w:rFonts w:ascii="Verdana Pro Light" w:hAnsi="Verdana Pro Light" w:cs="Verdana Pro Light"/>
          <w:sz w:val="24"/>
          <w:szCs w:val="24"/>
        </w:rPr>
        <w:t xml:space="preserve"> experienced everyone's joy for this special day. Whilst it was not a special day to me as such, </w:t>
      </w:r>
      <w:r w:rsidR="000C6C68">
        <w:rPr>
          <w:rFonts w:ascii="Verdana Pro Light" w:hAnsi="Verdana Pro Light" w:cs="Verdana Pro Light"/>
          <w:sz w:val="24"/>
          <w:szCs w:val="24"/>
        </w:rPr>
        <w:t>I</w:t>
      </w:r>
      <w:r>
        <w:rPr>
          <w:rFonts w:ascii="Verdana Pro Light" w:hAnsi="Verdana Pro Light" w:cs="Verdana Pro Light"/>
          <w:sz w:val="24"/>
          <w:szCs w:val="24"/>
        </w:rPr>
        <w:t xml:space="preserve"> felt that sacredness. I felt part of the celebrations, and this is because everyone around me was singing and feeling the same positive energy. The energy in the room was radiating. Once I left that worship, I entered a state of profane. Which also links to Durkheim’s</w:t>
      </w:r>
      <w:r>
        <w:rPr>
          <w:rStyle w:val="FootnoteAnchor"/>
          <w:rFonts w:ascii="Verdana Pro Light" w:hAnsi="Verdana Pro Light" w:cs="Verdana Pro Light"/>
          <w:sz w:val="24"/>
          <w:szCs w:val="24"/>
        </w:rPr>
        <w:footnoteReference w:id="89"/>
      </w:r>
      <w:r>
        <w:rPr>
          <w:rFonts w:ascii="Verdana Pro Light" w:hAnsi="Verdana Pro Light" w:cs="Verdana Pro Light"/>
          <w:sz w:val="24"/>
          <w:szCs w:val="24"/>
        </w:rPr>
        <w:t xml:space="preserve"> perspective of that “religious life and profane life cannot coexist at the same unit of time.” Sacredness requires an allocated time whereby rituals can be performed, and everyday activities should therefore be put on hold. </w:t>
      </w:r>
    </w:p>
    <w:p w14:paraId="6511A592" w14:textId="77777777" w:rsidR="00487F99" w:rsidRDefault="002B0FCB">
      <w:pPr>
        <w:pStyle w:val="NormalWeb"/>
        <w:spacing w:before="0" w:after="0"/>
        <w:ind w:right="-334"/>
        <w:jc w:val="both"/>
        <w:rPr>
          <w:rFonts w:ascii="Verdana Pro Light" w:hAnsi="Verdana Pro Light" w:cs="Verdana Pro Light"/>
          <w:sz w:val="24"/>
          <w:szCs w:val="24"/>
        </w:rPr>
      </w:pPr>
      <w:r>
        <w:rPr>
          <w:rFonts w:ascii="Verdana Pro Light" w:hAnsi="Verdana Pro Light" w:cs="Verdana Pro Light"/>
          <w:sz w:val="24"/>
          <w:szCs w:val="24"/>
        </w:rPr>
        <w:tab/>
        <w:t xml:space="preserve">This research has identified that the gurdwara is a sacred space because it offers collective worship, and the congregation are able to experience sacredness which is something that Durkheim argues. Visitors come to see Maharaj daily and for Sikhs Maharaj is that centre point for people to connect to God, whereas the gurdwara houses Maharaj and also acts as that centre point. It separates the sacred from the profane space according to Eliade. </w:t>
      </w:r>
    </w:p>
    <w:p w14:paraId="7109CDAB" w14:textId="77777777" w:rsidR="00487F99" w:rsidRDefault="00487F99">
      <w:pPr>
        <w:pStyle w:val="NormalWeb"/>
        <w:spacing w:before="0" w:after="0"/>
        <w:ind w:right="-334"/>
        <w:jc w:val="both"/>
        <w:rPr>
          <w:rFonts w:ascii="Verdana Pro Light" w:hAnsi="Verdana Pro Light" w:cs="Verdana Pro Light"/>
          <w:b/>
          <w:bCs/>
          <w:sz w:val="24"/>
          <w:szCs w:val="24"/>
        </w:rPr>
      </w:pPr>
    </w:p>
    <w:p w14:paraId="20240E16" w14:textId="77777777" w:rsidR="00487F99" w:rsidRDefault="002B0FCB">
      <w:pPr>
        <w:pStyle w:val="NormalWeb"/>
        <w:spacing w:before="0" w:after="0"/>
        <w:ind w:right="-334"/>
        <w:rPr>
          <w:rFonts w:ascii="Verdana Pro Light" w:hAnsi="Verdana Pro Light" w:cs="Verdana Pro Light"/>
          <w:b/>
          <w:bCs/>
          <w:sz w:val="24"/>
          <w:szCs w:val="24"/>
        </w:rPr>
      </w:pPr>
      <w:r>
        <w:rPr>
          <w:rFonts w:ascii="Verdana Pro Light" w:hAnsi="Verdana Pro Light" w:cs="Verdana Pro Light"/>
          <w:b/>
          <w:bCs/>
          <w:sz w:val="24"/>
          <w:szCs w:val="24"/>
        </w:rPr>
        <w:t xml:space="preserve">Conclusion </w:t>
      </w:r>
    </w:p>
    <w:p w14:paraId="223D2A4D" w14:textId="77777777" w:rsidR="00487F99" w:rsidRDefault="002B0FCB">
      <w:pPr>
        <w:pStyle w:val="NormalWeb"/>
        <w:spacing w:before="0" w:after="0"/>
        <w:ind w:right="-334"/>
        <w:jc w:val="both"/>
      </w:pPr>
      <w:r>
        <w:rPr>
          <w:rFonts w:ascii="Verdana Pro Light" w:hAnsi="Verdana Pro Light" w:cs="Verdana Pro Light"/>
          <w:sz w:val="24"/>
          <w:szCs w:val="24"/>
        </w:rPr>
        <w:tab/>
        <w:t xml:space="preserve">The method of participant observation has helped to identify the gurdwara as a sacred place according to the perspectives of Eliade, Durkheim and Leeuw. It has also identified the gurdwara as a possible human construct. </w:t>
      </w:r>
    </w:p>
    <w:p w14:paraId="1F8C8A51" w14:textId="77777777" w:rsidR="00487F99" w:rsidRDefault="002B0FCB">
      <w:pPr>
        <w:pStyle w:val="NormalWeb"/>
        <w:spacing w:before="0" w:after="0"/>
        <w:ind w:right="-334"/>
        <w:jc w:val="both"/>
        <w:rPr>
          <w:rFonts w:ascii="Verdana Pro Light" w:hAnsi="Verdana Pro Light" w:cs="Verdana Pro Light"/>
          <w:sz w:val="24"/>
          <w:szCs w:val="24"/>
        </w:rPr>
      </w:pPr>
      <w:r>
        <w:rPr>
          <w:rFonts w:ascii="Verdana Pro Light" w:hAnsi="Verdana Pro Light" w:cs="Verdana Pro Light"/>
          <w:sz w:val="24"/>
          <w:szCs w:val="24"/>
        </w:rPr>
        <w:t xml:space="preserve">Whereas the literature review has provided current research on what sacredness is, how that is different to the profane and how sacredness can be applied to the identification of sacred space. </w:t>
      </w:r>
    </w:p>
    <w:p w14:paraId="6DA2FDB2" w14:textId="77777777" w:rsidR="00487F99" w:rsidRDefault="002B0FCB">
      <w:pPr>
        <w:ind w:right="-334"/>
        <w:jc w:val="both"/>
        <w:rPr>
          <w:rFonts w:ascii="Verdana Pro Light" w:hAnsi="Verdana Pro Light" w:cs="Verdana Pro Light"/>
          <w:bCs/>
          <w:color w:val="000000"/>
        </w:rPr>
      </w:pPr>
      <w:r>
        <w:rPr>
          <w:rFonts w:ascii="Verdana Pro Light" w:hAnsi="Verdana Pro Light" w:cs="Verdana Pro Light"/>
          <w:bCs/>
          <w:color w:val="000000"/>
        </w:rPr>
        <w:tab/>
        <w:t xml:space="preserve">The gurdwara is a sacred space for Sikhs and within each theme it demonstrates as to why the place is sacred. All themes interlink in the sense of that they identify the gurdwara and things that are within the gurdwara as possibly sacred. The gurdwara is a structure that provides the space that is separate from the profane. It also houses Maharaj which is the centre point for Sikhs. Maharaj connects the sangat to God and when Maharaj is not in use, they are placed in a special room called sachkhand. A place forbidden from the profane. Maharaj sits in every dabar that is in use and this is where people come to worship together. </w:t>
      </w:r>
    </w:p>
    <w:p w14:paraId="20EB7F51" w14:textId="77777777" w:rsidR="00487F99" w:rsidRDefault="002B0FCB">
      <w:pPr>
        <w:pStyle w:val="NormalWeb"/>
        <w:spacing w:before="0" w:after="0"/>
        <w:ind w:right="-334"/>
        <w:jc w:val="both"/>
        <w:rPr>
          <w:rFonts w:ascii="Verdana Pro Light" w:hAnsi="Verdana Pro Light" w:cs="Verdana Pro Light"/>
          <w:sz w:val="24"/>
          <w:szCs w:val="24"/>
        </w:rPr>
      </w:pPr>
      <w:r>
        <w:rPr>
          <w:rFonts w:ascii="Verdana Pro Light" w:hAnsi="Verdana Pro Light" w:cs="Verdana Pro Light"/>
          <w:sz w:val="24"/>
          <w:szCs w:val="24"/>
        </w:rPr>
        <w:tab/>
        <w:t xml:space="preserve">This study has identified that GNNSJ is a sacred building that separates religious life from the profane. The Sangat helps to maintain the sacredness by following the code of conduct, whereby they absorb the teachings of Maharaj, by collectively worshipping together, and by providing allocated times and days to festivals such as Guru Nanak Dev Jis Gurpurab and by carrying out Sewak. </w:t>
      </w:r>
    </w:p>
    <w:p w14:paraId="057FFE67" w14:textId="77777777" w:rsidR="00487F99" w:rsidRDefault="00487F99">
      <w:pPr>
        <w:pStyle w:val="NormalWeb"/>
        <w:spacing w:before="0" w:after="0"/>
        <w:ind w:right="-334"/>
        <w:rPr>
          <w:rFonts w:ascii="Verdana Pro Light" w:hAnsi="Verdana Pro Light" w:cs="Verdana Pro Light"/>
          <w:b/>
          <w:bCs/>
          <w:sz w:val="24"/>
          <w:szCs w:val="24"/>
        </w:rPr>
      </w:pPr>
    </w:p>
    <w:p w14:paraId="1A4F5CD5" w14:textId="77777777" w:rsidR="00487F99" w:rsidRDefault="00487F99">
      <w:pPr>
        <w:pStyle w:val="NormalWeb"/>
        <w:spacing w:before="0" w:after="0"/>
        <w:ind w:right="-334"/>
        <w:rPr>
          <w:rFonts w:ascii="Verdana Pro Light" w:hAnsi="Verdana Pro Light" w:cs="Verdana Pro Light"/>
          <w:b/>
          <w:bCs/>
          <w:sz w:val="24"/>
          <w:szCs w:val="24"/>
        </w:rPr>
      </w:pPr>
    </w:p>
    <w:p w14:paraId="71A91FAF" w14:textId="77777777" w:rsidR="00487F99" w:rsidRDefault="00487F99">
      <w:pPr>
        <w:pStyle w:val="NormalWeb"/>
        <w:spacing w:before="0" w:after="0"/>
        <w:ind w:right="-334"/>
        <w:rPr>
          <w:rFonts w:ascii="Verdana Pro Light" w:hAnsi="Verdana Pro Light" w:cs="Verdana Pro Light"/>
          <w:b/>
          <w:bCs/>
          <w:sz w:val="24"/>
          <w:szCs w:val="24"/>
        </w:rPr>
      </w:pPr>
    </w:p>
    <w:p w14:paraId="00316148" w14:textId="77777777" w:rsidR="00487F99" w:rsidRDefault="00487F99">
      <w:pPr>
        <w:pStyle w:val="NormalWeb"/>
        <w:spacing w:before="0" w:after="0"/>
        <w:ind w:right="-334"/>
        <w:rPr>
          <w:rFonts w:ascii="Verdana Pro Light" w:hAnsi="Verdana Pro Light" w:cs="Verdana Pro Light"/>
          <w:b/>
          <w:bCs/>
          <w:sz w:val="24"/>
          <w:szCs w:val="24"/>
        </w:rPr>
      </w:pPr>
    </w:p>
    <w:p w14:paraId="016DBF6E" w14:textId="77777777" w:rsidR="00487F99" w:rsidRDefault="00487F99">
      <w:pPr>
        <w:pStyle w:val="NormalWeb"/>
        <w:spacing w:before="0" w:after="0"/>
        <w:ind w:right="-334"/>
        <w:rPr>
          <w:rFonts w:ascii="Verdana Pro Light" w:hAnsi="Verdana Pro Light" w:cs="Verdana Pro Light"/>
          <w:b/>
          <w:bCs/>
          <w:sz w:val="24"/>
          <w:szCs w:val="24"/>
        </w:rPr>
      </w:pPr>
    </w:p>
    <w:p w14:paraId="6A55A23F" w14:textId="77777777" w:rsidR="00487F99" w:rsidRDefault="00487F99">
      <w:pPr>
        <w:pStyle w:val="NormalWeb"/>
        <w:spacing w:before="0" w:after="0"/>
        <w:ind w:right="-334"/>
        <w:rPr>
          <w:rFonts w:ascii="Verdana Pro Light" w:hAnsi="Verdana Pro Light" w:cs="Verdana Pro Light"/>
          <w:b/>
          <w:bCs/>
          <w:sz w:val="24"/>
          <w:szCs w:val="24"/>
        </w:rPr>
      </w:pPr>
    </w:p>
    <w:p w14:paraId="723E3771" w14:textId="77777777" w:rsidR="00487F99" w:rsidRDefault="00487F99">
      <w:pPr>
        <w:pStyle w:val="NormalWeb"/>
        <w:spacing w:before="0" w:after="0"/>
        <w:ind w:right="-334"/>
        <w:rPr>
          <w:rFonts w:ascii="Verdana Pro Light" w:hAnsi="Verdana Pro Light" w:cs="Verdana Pro Light"/>
          <w:b/>
          <w:bCs/>
          <w:sz w:val="24"/>
          <w:szCs w:val="24"/>
        </w:rPr>
      </w:pPr>
    </w:p>
    <w:p w14:paraId="57E1E66E" w14:textId="77777777" w:rsidR="00487F99" w:rsidRDefault="00487F99">
      <w:pPr>
        <w:pStyle w:val="NormalWeb"/>
        <w:spacing w:before="0" w:after="0"/>
        <w:ind w:right="-334"/>
        <w:rPr>
          <w:rFonts w:ascii="Verdana Pro Light" w:hAnsi="Verdana Pro Light" w:cs="Verdana Pro Light"/>
          <w:b/>
          <w:bCs/>
          <w:sz w:val="24"/>
          <w:szCs w:val="24"/>
        </w:rPr>
      </w:pPr>
    </w:p>
    <w:p w14:paraId="1051F7E2" w14:textId="77777777" w:rsidR="00487F99" w:rsidRDefault="00487F99">
      <w:pPr>
        <w:pStyle w:val="NormalWeb"/>
        <w:spacing w:before="0" w:after="0"/>
        <w:ind w:right="-334"/>
        <w:rPr>
          <w:rFonts w:ascii="Verdana Pro Light" w:hAnsi="Verdana Pro Light" w:cs="Verdana Pro Light"/>
          <w:b/>
          <w:bCs/>
          <w:sz w:val="24"/>
          <w:szCs w:val="24"/>
        </w:rPr>
      </w:pPr>
    </w:p>
    <w:p w14:paraId="339F5E7C" w14:textId="77777777" w:rsidR="00487F99" w:rsidRDefault="00487F99">
      <w:pPr>
        <w:pStyle w:val="NormalWeb"/>
        <w:spacing w:before="0" w:after="0"/>
        <w:ind w:right="-334"/>
        <w:rPr>
          <w:rFonts w:ascii="Verdana Pro Light" w:hAnsi="Verdana Pro Light" w:cs="Verdana Pro Light"/>
          <w:b/>
          <w:bCs/>
          <w:sz w:val="24"/>
          <w:szCs w:val="24"/>
        </w:rPr>
      </w:pPr>
    </w:p>
    <w:p w14:paraId="03F89C88" w14:textId="77777777" w:rsidR="00487F99" w:rsidRDefault="002B0FCB">
      <w:pPr>
        <w:pStyle w:val="NormalWeb"/>
        <w:spacing w:before="0" w:after="0"/>
        <w:ind w:right="-334"/>
        <w:rPr>
          <w:rFonts w:ascii="Verdana Pro Light" w:hAnsi="Verdana Pro Light" w:cs="Verdana Pro Light"/>
          <w:b/>
          <w:bCs/>
          <w:sz w:val="24"/>
          <w:szCs w:val="24"/>
        </w:rPr>
      </w:pPr>
      <w:r>
        <w:rPr>
          <w:rFonts w:ascii="Verdana Pro Light" w:hAnsi="Verdana Pro Light" w:cs="Verdana Pro Light"/>
          <w:b/>
          <w:bCs/>
          <w:sz w:val="24"/>
          <w:szCs w:val="24"/>
        </w:rPr>
        <w:t xml:space="preserve">Bibliography </w:t>
      </w:r>
    </w:p>
    <w:p w14:paraId="7399CCF1" w14:textId="77777777" w:rsidR="00487F99" w:rsidRDefault="00487F99">
      <w:pPr>
        <w:pStyle w:val="NormalWeb"/>
        <w:spacing w:before="0" w:after="0"/>
        <w:ind w:right="-334"/>
        <w:rPr>
          <w:rFonts w:ascii="Verdana Pro Light" w:hAnsi="Verdana Pro Light" w:cs="Verdana Pro Light"/>
          <w:b/>
          <w:bCs/>
          <w:sz w:val="24"/>
          <w:szCs w:val="24"/>
        </w:rPr>
      </w:pPr>
    </w:p>
    <w:p w14:paraId="6E583AF3" w14:textId="77777777" w:rsidR="00487F99" w:rsidRDefault="002B0FCB">
      <w:pPr>
        <w:pStyle w:val="BodyText"/>
        <w:spacing w:after="0"/>
        <w:ind w:right="-334"/>
        <w:jc w:val="both"/>
        <w:rPr>
          <w:rFonts w:ascii="Verdana Pro Light" w:hAnsi="Verdana Pro Light" w:cs="Verdana Pro Light"/>
        </w:rPr>
      </w:pPr>
      <w:r>
        <w:rPr>
          <w:rFonts w:ascii="Verdana Pro Light" w:hAnsi="Verdana Pro Light" w:cs="Verdana Pro Light"/>
        </w:rPr>
        <w:t xml:space="preserve">Aasmundsen, Hans Geir, </w:t>
      </w:r>
      <w:r>
        <w:rPr>
          <w:rFonts w:ascii="Verdana Pro Light" w:hAnsi="Verdana Pro Light" w:cs="Verdana Pro Light"/>
          <w:i/>
          <w:iCs/>
        </w:rPr>
        <w:t xml:space="preserve">Pentecostals, Politics, and Religious Equality in Argentina., </w:t>
      </w:r>
      <w:r>
        <w:rPr>
          <w:rFonts w:ascii="Verdana Pro Light" w:hAnsi="Verdana Pro Light" w:cs="Verdana Pro Light"/>
        </w:rPr>
        <w:t>(The Netherlands:   Brill, 2017)</w:t>
      </w:r>
    </w:p>
    <w:p w14:paraId="49DA70CA" w14:textId="77777777" w:rsidR="00487F99" w:rsidRDefault="00487F99">
      <w:pPr>
        <w:pStyle w:val="BodyText"/>
        <w:spacing w:after="0"/>
        <w:ind w:right="-334"/>
        <w:jc w:val="both"/>
        <w:rPr>
          <w:rFonts w:ascii="Verdana Pro Light" w:hAnsi="Verdana Pro Light" w:cs="Verdana Pro Light"/>
          <w:shd w:val="clear" w:color="auto" w:fill="FFFF00"/>
        </w:rPr>
      </w:pPr>
    </w:p>
    <w:p w14:paraId="5C25E09B" w14:textId="77777777" w:rsidR="00487F99" w:rsidRDefault="002B0FCB">
      <w:pPr>
        <w:ind w:right="-334"/>
        <w:jc w:val="both"/>
      </w:pPr>
      <w:r>
        <w:rPr>
          <w:rFonts w:ascii="Verdana Pro Light" w:hAnsi="Verdana Pro Light" w:cs="Verdana Pro Light"/>
          <w:color w:val="000000"/>
        </w:rPr>
        <w:t xml:space="preserve">Allen Kiran and Brian O’Boyle, ‘Durkheim Declassified’, in  </w:t>
      </w:r>
      <w:r>
        <w:rPr>
          <w:rFonts w:ascii="Verdana Pro Light" w:hAnsi="Verdana Pro Light" w:cs="Verdana Pro Light"/>
          <w:i/>
          <w:iCs/>
          <w:color w:val="000000"/>
        </w:rPr>
        <w:t xml:space="preserve">Durkheim: A Critical Introduction,  </w:t>
      </w:r>
      <w:r>
        <w:rPr>
          <w:rFonts w:ascii="Verdana Pro Light" w:hAnsi="Verdana Pro Light" w:cs="Verdana Pro Light"/>
          <w:color w:val="000000"/>
        </w:rPr>
        <w:t>(London: Pluto Press, 2017), pp 1-11 &lt;</w:t>
      </w:r>
      <w:hyperlink r:id="rId18">
        <w:bookmarkStart w:id="37" w:name="link-element1"/>
        <w:bookmarkEnd w:id="37"/>
        <w:r>
          <w:rPr>
            <w:rStyle w:val="Hyperlink"/>
            <w:rFonts w:ascii="Verdana Pro Light" w:hAnsi="Verdana Pro Light" w:cs="Verdana Pro Light"/>
            <w:color w:val="000000"/>
            <w:u w:val="none"/>
          </w:rPr>
          <w:t>https://doi.org/10.2307/j.ctt1v2xvw6.4</w:t>
        </w:r>
      </w:hyperlink>
      <w:r>
        <w:rPr>
          <w:rStyle w:val="Hyperlink"/>
          <w:rFonts w:ascii="Verdana Pro Light" w:hAnsi="Verdana Pro Light" w:cs="Verdana Pro Light"/>
          <w:color w:val="000000"/>
          <w:u w:val="none"/>
        </w:rPr>
        <w:t xml:space="preserve">&gt; </w:t>
      </w:r>
      <w:r>
        <w:rPr>
          <w:rStyle w:val="Hyperlink"/>
          <w:rFonts w:ascii="Verdana Pro Light" w:hAnsi="Verdana Pro Light" w:cs="Verdana Pro Light"/>
          <w:color w:val="343332"/>
          <w:u w:val="none"/>
        </w:rPr>
        <w:t xml:space="preserve"> </w:t>
      </w:r>
    </w:p>
    <w:p w14:paraId="34267160" w14:textId="77777777" w:rsidR="00487F99" w:rsidRDefault="00487F99">
      <w:pPr>
        <w:ind w:right="-334"/>
        <w:jc w:val="both"/>
      </w:pPr>
    </w:p>
    <w:p w14:paraId="69420638" w14:textId="6414010E" w:rsidR="00A47397" w:rsidRPr="00A47397" w:rsidRDefault="00500201">
      <w:pPr>
        <w:ind w:right="-334"/>
        <w:jc w:val="both"/>
        <w:rPr>
          <w:rFonts w:ascii="Arial Nova Light" w:hAnsi="Arial Nova Light"/>
        </w:rPr>
      </w:pPr>
      <w:r>
        <w:rPr>
          <w:rFonts w:ascii="Arial Nova Light" w:hAnsi="Arial Nova Light"/>
        </w:rPr>
        <w:t>Booker, Rebecca (photographer) 2023</w:t>
      </w:r>
    </w:p>
    <w:p w14:paraId="41D84C43" w14:textId="77777777" w:rsidR="00487F99" w:rsidRDefault="00487F99">
      <w:pPr>
        <w:ind w:right="-334"/>
        <w:jc w:val="both"/>
        <w:rPr>
          <w:rFonts w:ascii="Verdana Pro Light" w:hAnsi="Verdana Pro Light" w:cs="Verdana Pro Light"/>
          <w:color w:val="000000"/>
        </w:rPr>
      </w:pPr>
    </w:p>
    <w:p w14:paraId="21F27EC2" w14:textId="77777777" w:rsidR="00487F99" w:rsidRDefault="002B0FCB">
      <w:pPr>
        <w:pStyle w:val="FootnoteText"/>
        <w:ind w:left="0" w:right="-334" w:firstLine="0"/>
        <w:jc w:val="both"/>
      </w:pPr>
      <w:r>
        <w:rPr>
          <w:rStyle w:val="Hyperlink"/>
          <w:rFonts w:ascii="Verdana Pro Light" w:hAnsi="Verdana Pro Light" w:cs="Verdana Pro Light"/>
          <w:color w:val="000000"/>
          <w:sz w:val="24"/>
          <w:szCs w:val="24"/>
          <w:u w:val="none"/>
        </w:rPr>
        <w:t xml:space="preserve">Chidester, David, and Linenthal, Edward T, </w:t>
      </w:r>
      <w:r>
        <w:rPr>
          <w:rStyle w:val="Hyperlink"/>
          <w:rFonts w:ascii="Verdana Pro Light" w:hAnsi="Verdana Pro Light" w:cs="Verdana Pro Light"/>
          <w:i/>
          <w:iCs/>
          <w:color w:val="000000"/>
          <w:sz w:val="24"/>
          <w:szCs w:val="24"/>
          <w:u w:val="none"/>
        </w:rPr>
        <w:t xml:space="preserve">American Sacred Space. </w:t>
      </w:r>
      <w:r>
        <w:rPr>
          <w:rStyle w:val="Hyperlink"/>
          <w:rFonts w:ascii="Verdana Pro Light" w:hAnsi="Verdana Pro Light" w:cs="Verdana Pro Light"/>
          <w:color w:val="000000"/>
          <w:sz w:val="24"/>
          <w:szCs w:val="24"/>
          <w:u w:val="none"/>
        </w:rPr>
        <w:t>(America: Indianna University Press, 1995)</w:t>
      </w:r>
    </w:p>
    <w:p w14:paraId="6EF598D6" w14:textId="77777777" w:rsidR="00487F99" w:rsidRDefault="00487F99">
      <w:pPr>
        <w:pStyle w:val="FootnoteText"/>
        <w:ind w:left="0" w:right="-334" w:firstLine="0"/>
        <w:jc w:val="both"/>
        <w:rPr>
          <w:rFonts w:ascii="Verdana Pro Light" w:hAnsi="Verdana Pro Light" w:cs="Verdana Pro Light"/>
          <w:color w:val="000000"/>
          <w:sz w:val="24"/>
          <w:szCs w:val="24"/>
        </w:rPr>
      </w:pPr>
    </w:p>
    <w:p w14:paraId="5EF54B11" w14:textId="77777777" w:rsidR="00487F99" w:rsidRDefault="002B0FCB">
      <w:pPr>
        <w:pStyle w:val="FootnoteText"/>
        <w:ind w:left="0" w:right="-334" w:firstLine="0"/>
        <w:jc w:val="both"/>
      </w:pPr>
      <w:r>
        <w:rPr>
          <w:rFonts w:ascii="Verdana Pro Light" w:hAnsi="Verdana Pro Light" w:cs="Verdana Pro Light"/>
          <w:color w:val="000000"/>
          <w:sz w:val="24"/>
          <w:szCs w:val="24"/>
        </w:rPr>
        <w:t xml:space="preserve">Coleman, Elizabeth Burns, </w:t>
      </w:r>
      <w:r>
        <w:rPr>
          <w:rFonts w:ascii="Verdana Pro Light" w:hAnsi="Verdana Pro Light" w:cs="Verdana Pro Light"/>
          <w:i/>
          <w:iCs/>
          <w:color w:val="000000"/>
          <w:sz w:val="24"/>
          <w:szCs w:val="24"/>
        </w:rPr>
        <w:t xml:space="preserve">Negotiating the sacred: blasphemy and sacrilege in the arts. </w:t>
      </w:r>
      <w:r>
        <w:rPr>
          <w:rFonts w:ascii="Verdana Pro Light" w:hAnsi="Verdana Pro Light" w:cs="Verdana Pro Light"/>
          <w:color w:val="000000"/>
          <w:sz w:val="24"/>
          <w:szCs w:val="24"/>
        </w:rPr>
        <w:t>(Australia: ANU E Press, 2008)</w:t>
      </w:r>
    </w:p>
    <w:p w14:paraId="034DB8CD" w14:textId="77777777" w:rsidR="00487F99" w:rsidRDefault="00487F99">
      <w:pPr>
        <w:pStyle w:val="FootnoteText"/>
        <w:ind w:left="0" w:right="-334" w:firstLine="0"/>
        <w:jc w:val="both"/>
        <w:rPr>
          <w:color w:val="000000"/>
        </w:rPr>
      </w:pPr>
    </w:p>
    <w:p w14:paraId="57B739FB" w14:textId="77777777" w:rsidR="00487F99" w:rsidRDefault="002B0FCB">
      <w:pPr>
        <w:pStyle w:val="FootnoteText"/>
        <w:ind w:left="0" w:right="-334" w:firstLine="0"/>
        <w:jc w:val="both"/>
      </w:pPr>
      <w:r>
        <w:rPr>
          <w:rStyle w:val="Hyperlink"/>
          <w:rFonts w:ascii="Verdana Pro Light" w:hAnsi="Verdana Pro Light" w:cs="Verdana Pro Light"/>
          <w:color w:val="000000"/>
          <w:sz w:val="24"/>
          <w:szCs w:val="24"/>
          <w:u w:val="none"/>
        </w:rPr>
        <w:t xml:space="preserve">Corrigan, John </w:t>
      </w:r>
      <w:r>
        <w:rPr>
          <w:rStyle w:val="Hyperlink"/>
          <w:rFonts w:ascii="Verdana Pro Light" w:hAnsi="Verdana Pro Light" w:cs="Verdana Pro Light"/>
          <w:i/>
          <w:iCs/>
          <w:color w:val="000000"/>
          <w:sz w:val="24"/>
          <w:szCs w:val="24"/>
          <w:u w:val="none"/>
        </w:rPr>
        <w:t xml:space="preserve">Religion, space, and the Atlantic world. </w:t>
      </w:r>
      <w:r>
        <w:rPr>
          <w:rStyle w:val="Hyperlink"/>
          <w:rFonts w:ascii="Verdana Pro Light" w:hAnsi="Verdana Pro Light" w:cs="Verdana Pro Light"/>
          <w:color w:val="000000"/>
          <w:sz w:val="24"/>
          <w:szCs w:val="24"/>
          <w:u w:val="none"/>
        </w:rPr>
        <w:t xml:space="preserve">(California: University of south California press, 2017) </w:t>
      </w:r>
    </w:p>
    <w:p w14:paraId="2B384427" w14:textId="77777777" w:rsidR="00487F99" w:rsidRDefault="002B0FCB">
      <w:pPr>
        <w:pStyle w:val="FootnoteText"/>
        <w:spacing w:before="280" w:after="280"/>
        <w:ind w:left="0" w:right="-334" w:firstLine="0"/>
        <w:jc w:val="both"/>
      </w:pPr>
      <w:r>
        <w:rPr>
          <w:rFonts w:ascii="Verdana Pro Light" w:hAnsi="Verdana Pro Light" w:cs="Verdana Pro Light"/>
          <w:color w:val="000000"/>
          <w:sz w:val="24"/>
          <w:szCs w:val="24"/>
        </w:rPr>
        <w:t xml:space="preserve">Day, Katie </w:t>
      </w:r>
      <w:r>
        <w:rPr>
          <w:rFonts w:ascii="Verdana Pro Light" w:hAnsi="Verdana Pro Light" w:cs="Verdana Pro Light"/>
          <w:i/>
          <w:iCs/>
          <w:color w:val="000000"/>
          <w:sz w:val="24"/>
          <w:szCs w:val="24"/>
        </w:rPr>
        <w:t>Faith on the avenue.</w:t>
      </w:r>
      <w:r>
        <w:rPr>
          <w:rFonts w:ascii="Verdana Pro Light" w:hAnsi="Verdana Pro Light" w:cs="Verdana Pro Light"/>
          <w:color w:val="000000"/>
          <w:sz w:val="24"/>
          <w:szCs w:val="24"/>
        </w:rPr>
        <w:t xml:space="preserve"> (Oxfo</w:t>
      </w:r>
      <w:r>
        <w:rPr>
          <w:rFonts w:ascii="Verdana Pro Light" w:hAnsi="Verdana Pro Light" w:cs="Verdana Pro Light"/>
          <w:sz w:val="24"/>
          <w:szCs w:val="24"/>
        </w:rPr>
        <w:t xml:space="preserve">rd: Oxford University press, 2014) </w:t>
      </w:r>
    </w:p>
    <w:p w14:paraId="289B6137" w14:textId="77777777" w:rsidR="00487F99" w:rsidRDefault="002B0FCB">
      <w:pPr>
        <w:pStyle w:val="NormalWeb"/>
        <w:ind w:right="-334"/>
        <w:jc w:val="both"/>
      </w:pPr>
      <w:r>
        <w:rPr>
          <w:rFonts w:ascii="Verdana Pro Light" w:hAnsi="Verdana Pro Light" w:cs="Verdana Pro Light"/>
          <w:sz w:val="24"/>
          <w:szCs w:val="24"/>
        </w:rPr>
        <w:t xml:space="preserve">Durkheim, Emile, </w:t>
      </w:r>
      <w:r>
        <w:rPr>
          <w:rFonts w:ascii="Verdana Pro Light" w:hAnsi="Verdana Pro Light" w:cs="Verdana Pro Light"/>
          <w:i/>
          <w:iCs/>
          <w:sz w:val="24"/>
          <w:szCs w:val="24"/>
        </w:rPr>
        <w:t>The Elementary Forms of Religious Life (</w:t>
      </w:r>
      <w:r>
        <w:rPr>
          <w:rFonts w:ascii="Verdana Pro Light" w:hAnsi="Verdana Pro Light" w:cs="Verdana Pro Light"/>
          <w:sz w:val="24"/>
          <w:szCs w:val="24"/>
        </w:rPr>
        <w:t>New York: The Free Press, 1995)</w:t>
      </w:r>
    </w:p>
    <w:p w14:paraId="6BED34AC" w14:textId="77777777" w:rsidR="00487F99" w:rsidRDefault="002B0FCB">
      <w:pPr>
        <w:pStyle w:val="FootnoteText"/>
        <w:spacing w:before="280" w:after="280"/>
        <w:ind w:left="0" w:right="-334" w:firstLine="0"/>
        <w:jc w:val="both"/>
      </w:pPr>
      <w:r>
        <w:rPr>
          <w:rFonts w:ascii="Verdana Pro Light" w:hAnsi="Verdana Pro Light" w:cs="Verdana Pro Light"/>
          <w:sz w:val="24"/>
          <w:szCs w:val="24"/>
        </w:rPr>
        <w:t xml:space="preserve">Eliade, Mircea, </w:t>
      </w:r>
      <w:r>
        <w:rPr>
          <w:rFonts w:ascii="Verdana Pro Light" w:hAnsi="Verdana Pro Light" w:cs="Verdana Pro Light"/>
          <w:i/>
          <w:iCs/>
          <w:sz w:val="24"/>
          <w:szCs w:val="24"/>
        </w:rPr>
        <w:t xml:space="preserve">The Sacred And The Profane: The Nature of Religion, </w:t>
      </w:r>
      <w:r>
        <w:rPr>
          <w:rFonts w:ascii="Verdana Pro Light" w:hAnsi="Verdana Pro Light" w:cs="Verdana Pro Light"/>
          <w:sz w:val="24"/>
          <w:szCs w:val="24"/>
        </w:rPr>
        <w:t>(England: Harcourt, 1959)</w:t>
      </w:r>
    </w:p>
    <w:p w14:paraId="060AA572" w14:textId="77777777" w:rsidR="00487F99" w:rsidRDefault="002B0FCB">
      <w:pPr>
        <w:pStyle w:val="FootnoteText"/>
        <w:spacing w:before="280" w:after="280"/>
        <w:ind w:left="0" w:right="-334" w:firstLine="0"/>
        <w:jc w:val="both"/>
      </w:pPr>
      <w:r>
        <w:rPr>
          <w:rFonts w:ascii="Verdana Pro Light" w:hAnsi="Verdana Pro Light" w:cs="Verdana Pro Light"/>
          <w:sz w:val="24"/>
          <w:szCs w:val="24"/>
        </w:rPr>
        <w:t>Eliade, Mircea, I</w:t>
      </w:r>
      <w:r>
        <w:rPr>
          <w:rFonts w:ascii="Verdana Pro Light" w:hAnsi="Verdana Pro Light" w:cs="Verdana Pro Light"/>
          <w:i/>
          <w:iCs/>
          <w:sz w:val="24"/>
          <w:szCs w:val="24"/>
        </w:rPr>
        <w:t>mages and Symbols: Studies in Religious Symbolism.</w:t>
      </w:r>
      <w:r>
        <w:rPr>
          <w:rFonts w:ascii="Verdana Pro Light" w:hAnsi="Verdana Pro Light" w:cs="Verdana Pro Light"/>
          <w:sz w:val="24"/>
          <w:szCs w:val="24"/>
        </w:rPr>
        <w:t xml:space="preserve"> (London: Harvill press, 1961)</w:t>
      </w:r>
    </w:p>
    <w:p w14:paraId="6179BCBC" w14:textId="77777777" w:rsidR="00487F99" w:rsidRDefault="002B0FCB">
      <w:pPr>
        <w:pStyle w:val="NormalWeb"/>
        <w:spacing w:before="0" w:after="0"/>
        <w:ind w:right="-334"/>
        <w:rPr>
          <w:rFonts w:ascii="Verdana Pro Light" w:hAnsi="Verdana Pro Light" w:cs="Verdana Pro Light"/>
          <w:sz w:val="24"/>
          <w:szCs w:val="24"/>
        </w:rPr>
      </w:pPr>
      <w:r>
        <w:rPr>
          <w:rFonts w:ascii="Verdana Pro Light" w:hAnsi="Verdana Pro Light" w:cs="Verdana Pro Light"/>
          <w:sz w:val="24"/>
          <w:szCs w:val="24"/>
        </w:rPr>
        <w:t>Gahlawat, Subhash Chandra and Team Arsu, Anthropology Solves Papers. (Myarsu. 2021)</w:t>
      </w:r>
    </w:p>
    <w:p w14:paraId="164A6C97" w14:textId="77777777" w:rsidR="00487F99" w:rsidRDefault="00487F99">
      <w:pPr>
        <w:pStyle w:val="NormalWeb"/>
        <w:spacing w:before="0" w:after="0"/>
        <w:ind w:right="-334"/>
        <w:rPr>
          <w:rFonts w:ascii="Verdana Pro Light" w:hAnsi="Verdana Pro Light" w:cs="Verdana Pro Light"/>
          <w:sz w:val="24"/>
          <w:szCs w:val="24"/>
        </w:rPr>
      </w:pPr>
    </w:p>
    <w:p w14:paraId="40348CBC" w14:textId="77777777" w:rsidR="00487F99" w:rsidRDefault="002B0FCB">
      <w:pPr>
        <w:pStyle w:val="FootnoteText"/>
        <w:ind w:left="0" w:right="-334" w:firstLine="0"/>
      </w:pPr>
      <w:r>
        <w:rPr>
          <w:rFonts w:ascii="Verdana Pro Light" w:hAnsi="Verdana Pro Light" w:cs="Verdana Pro Light"/>
          <w:sz w:val="24"/>
          <w:szCs w:val="24"/>
        </w:rPr>
        <w:t xml:space="preserve">Gill, Rahuldeep Singh, </w:t>
      </w:r>
      <w:r>
        <w:rPr>
          <w:rFonts w:ascii="Verdana Pro Light" w:hAnsi="Verdana Pro Light" w:cs="Verdana Pro Light"/>
          <w:i/>
          <w:iCs/>
          <w:sz w:val="24"/>
          <w:szCs w:val="24"/>
        </w:rPr>
        <w:t xml:space="preserve">Rituals and Worship.&lt; </w:t>
      </w:r>
      <w:hyperlink r:id="rId19">
        <w:r>
          <w:rPr>
            <w:rStyle w:val="Hyperlink"/>
            <w:rFonts w:ascii="Verdana Pro Light" w:hAnsi="Verdana Pro Light" w:cs="Verdana Pro Light"/>
            <w:sz w:val="24"/>
            <w:szCs w:val="24"/>
          </w:rPr>
          <w:t>https://www.patheos.com/library/sikhism/ritual-worship-devotion-symbolism/sacred-space</w:t>
        </w:r>
      </w:hyperlink>
      <w:r>
        <w:rPr>
          <w:rFonts w:ascii="Verdana Pro Light" w:hAnsi="Verdana Pro Light" w:cs="Verdana Pro Light"/>
          <w:sz w:val="24"/>
          <w:szCs w:val="24"/>
        </w:rPr>
        <w:t>&gt; [accessed 13</w:t>
      </w:r>
      <w:r>
        <w:rPr>
          <w:rFonts w:ascii="Verdana Pro Light" w:hAnsi="Verdana Pro Light" w:cs="Verdana Pro Light"/>
          <w:sz w:val="24"/>
          <w:szCs w:val="24"/>
          <w:vertAlign w:val="superscript"/>
        </w:rPr>
        <w:t>th</w:t>
      </w:r>
      <w:r>
        <w:rPr>
          <w:rFonts w:ascii="Verdana Pro Light" w:hAnsi="Verdana Pro Light" w:cs="Verdana Pro Light"/>
          <w:sz w:val="24"/>
          <w:szCs w:val="24"/>
        </w:rPr>
        <w:t xml:space="preserve"> December 2023]. </w:t>
      </w:r>
    </w:p>
    <w:p w14:paraId="3B07E4C2" w14:textId="77777777" w:rsidR="00487F99" w:rsidRDefault="00487F99">
      <w:pPr>
        <w:pStyle w:val="NormalWeb"/>
        <w:spacing w:before="0" w:after="0"/>
        <w:ind w:right="-334"/>
        <w:rPr>
          <w:rFonts w:ascii="Verdana Pro Light" w:eastAsia="Verdana Pro Light" w:hAnsi="Verdana Pro Light" w:cs="Verdana Pro Light"/>
          <w:sz w:val="24"/>
          <w:szCs w:val="24"/>
        </w:rPr>
      </w:pPr>
    </w:p>
    <w:p w14:paraId="38DFC5DC" w14:textId="77777777" w:rsidR="00487F99" w:rsidRDefault="002B0FCB">
      <w:pPr>
        <w:pStyle w:val="FootnoteText"/>
        <w:ind w:left="0" w:right="-334" w:firstLine="0"/>
      </w:pPr>
      <w:r>
        <w:rPr>
          <w:rFonts w:ascii="Verdana Pro Light" w:eastAsia="Verdana Pro Light" w:hAnsi="Verdana Pro Light" w:cs="Verdana Pro Light"/>
          <w:sz w:val="24"/>
          <w:szCs w:val="24"/>
        </w:rPr>
        <w:t xml:space="preserve">Guru Nanak Nishkam Sewak Jatha, </w:t>
      </w:r>
      <w:r>
        <w:rPr>
          <w:rFonts w:ascii="Verdana Pro Light" w:eastAsia="Verdana Pro Light" w:hAnsi="Verdana Pro Light" w:cs="Verdana Pro Light"/>
          <w:i/>
          <w:iCs/>
          <w:sz w:val="24"/>
          <w:szCs w:val="24"/>
        </w:rPr>
        <w:t xml:space="preserve">Healthy Ageing in the 21st Century. </w:t>
      </w:r>
      <w:r>
        <w:rPr>
          <w:rFonts w:ascii="Verdana Pro Light" w:eastAsia="Verdana Pro Light" w:hAnsi="Verdana Pro Light" w:cs="Verdana Pro Light"/>
          <w:sz w:val="24"/>
          <w:szCs w:val="24"/>
        </w:rPr>
        <w:t>(2013) &lt; Healthy Ageing in the 21st Century&gt; [accessed 29</w:t>
      </w:r>
      <w:r>
        <w:rPr>
          <w:rFonts w:ascii="Verdana Pro Light" w:eastAsia="Verdana Pro Light" w:hAnsi="Verdana Pro Light" w:cs="Verdana Pro Light"/>
          <w:sz w:val="24"/>
          <w:szCs w:val="24"/>
          <w:vertAlign w:val="superscript"/>
        </w:rPr>
        <w:t>th</w:t>
      </w:r>
      <w:r>
        <w:rPr>
          <w:rFonts w:ascii="Verdana Pro Light" w:eastAsia="Verdana Pro Light" w:hAnsi="Verdana Pro Light" w:cs="Verdana Pro Light"/>
          <w:sz w:val="24"/>
          <w:szCs w:val="24"/>
        </w:rPr>
        <w:t xml:space="preserve"> October 2023]. </w:t>
      </w:r>
    </w:p>
    <w:p w14:paraId="7BB66B86" w14:textId="77777777" w:rsidR="00487F99" w:rsidRDefault="00487F99">
      <w:pPr>
        <w:pStyle w:val="FootnoteText"/>
        <w:ind w:left="0" w:right="-334" w:firstLine="0"/>
        <w:rPr>
          <w:rFonts w:ascii="Verdana Pro Light" w:hAnsi="Verdana Pro Light" w:cs="Verdana Pro Light"/>
          <w:sz w:val="24"/>
          <w:szCs w:val="24"/>
        </w:rPr>
      </w:pPr>
    </w:p>
    <w:p w14:paraId="2047F562" w14:textId="77777777" w:rsidR="00487F99" w:rsidRDefault="002B0FCB">
      <w:pPr>
        <w:pStyle w:val="FootnoteText"/>
        <w:ind w:left="0" w:right="-334" w:firstLine="0"/>
      </w:pPr>
      <w:r>
        <w:rPr>
          <w:rFonts w:ascii="Verdana Pro Light" w:eastAsia="Verdana Pro Light" w:hAnsi="Verdana Pro Light" w:cs="Verdana Pro Light"/>
          <w:sz w:val="24"/>
          <w:szCs w:val="24"/>
        </w:rPr>
        <w:t xml:space="preserve">Guru Nanak Nishkam Sewak Jatha, </w:t>
      </w:r>
      <w:r>
        <w:rPr>
          <w:rFonts w:ascii="Verdana Pro Light" w:eastAsia="Verdana Pro Light" w:hAnsi="Verdana Pro Light" w:cs="Verdana Pro Light"/>
          <w:i/>
          <w:iCs/>
          <w:sz w:val="24"/>
          <w:szCs w:val="24"/>
        </w:rPr>
        <w:t xml:space="preserve">A Visit To A Gurdwara Served By Guru Nanak Nishkam Sewak Jatha. </w:t>
      </w:r>
      <w:r>
        <w:rPr>
          <w:rFonts w:ascii="Verdana Pro Light" w:eastAsia="Verdana Pro Light" w:hAnsi="Verdana Pro Light" w:cs="Verdana Pro Light"/>
          <w:sz w:val="24"/>
          <w:szCs w:val="24"/>
        </w:rPr>
        <w:t xml:space="preserve">(2021) &lt; </w:t>
      </w:r>
      <w:hyperlink r:id="rId20">
        <w:r>
          <w:rPr>
            <w:rStyle w:val="Hyperlink"/>
            <w:rFonts w:ascii="Verdana Pro Light" w:eastAsia="Verdana Pro Light" w:hAnsi="Verdana Pro Light" w:cs="Verdana Pro Light"/>
            <w:sz w:val="24"/>
            <w:szCs w:val="24"/>
          </w:rPr>
          <w:t>https://birmingham-faith-visits.theartssociety.org/node/6</w:t>
        </w:r>
      </w:hyperlink>
      <w:r>
        <w:rPr>
          <w:rFonts w:ascii="Verdana Pro Light" w:eastAsia="Verdana Pro Light" w:hAnsi="Verdana Pro Light" w:cs="Verdana Pro Light"/>
          <w:sz w:val="24"/>
          <w:szCs w:val="24"/>
        </w:rPr>
        <w:t>&gt; [accessed 16</w:t>
      </w:r>
      <w:r>
        <w:rPr>
          <w:rFonts w:ascii="Verdana Pro Light" w:eastAsia="Verdana Pro Light" w:hAnsi="Verdana Pro Light" w:cs="Verdana Pro Light"/>
          <w:sz w:val="24"/>
          <w:szCs w:val="24"/>
          <w:vertAlign w:val="superscript"/>
        </w:rPr>
        <w:t>th</w:t>
      </w:r>
      <w:r>
        <w:rPr>
          <w:rFonts w:ascii="Verdana Pro Light" w:eastAsia="Verdana Pro Light" w:hAnsi="Verdana Pro Light" w:cs="Verdana Pro Light"/>
          <w:sz w:val="24"/>
          <w:szCs w:val="24"/>
        </w:rPr>
        <w:t xml:space="preserve"> November 2023]. </w:t>
      </w:r>
    </w:p>
    <w:p w14:paraId="039D7444" w14:textId="77777777" w:rsidR="00487F99" w:rsidRDefault="002B0FCB">
      <w:pPr>
        <w:pStyle w:val="NormalWeb"/>
        <w:spacing w:before="0" w:after="0"/>
        <w:ind w:right="-334"/>
        <w:rPr>
          <w:rFonts w:ascii="Verdana Pro Light" w:eastAsia="Verdana Pro Light" w:hAnsi="Verdana Pro Light" w:cs="Verdana Pro Light"/>
          <w:sz w:val="24"/>
          <w:szCs w:val="24"/>
        </w:rPr>
      </w:pPr>
      <w:r>
        <w:rPr>
          <w:rFonts w:ascii="Verdana Pro Light" w:eastAsia="Verdana Pro Light" w:hAnsi="Verdana Pro Light" w:cs="Verdana Pro Light"/>
          <w:sz w:val="24"/>
          <w:szCs w:val="24"/>
        </w:rPr>
        <w:t xml:space="preserve"> </w:t>
      </w:r>
    </w:p>
    <w:p w14:paraId="4A820901" w14:textId="77777777" w:rsidR="00487F99" w:rsidRDefault="002B0FCB">
      <w:pPr>
        <w:pStyle w:val="NormalWeb"/>
        <w:spacing w:before="0" w:after="0"/>
        <w:ind w:right="-334"/>
        <w:rPr>
          <w:rFonts w:ascii="Verdana Pro Light" w:eastAsia="Verdana Pro Light" w:hAnsi="Verdana Pro Light" w:cs="Verdana Pro Light"/>
          <w:sz w:val="24"/>
          <w:szCs w:val="24"/>
        </w:rPr>
      </w:pPr>
      <w:r>
        <w:rPr>
          <w:rFonts w:ascii="Verdana Pro Light" w:eastAsia="Verdana Pro Light" w:hAnsi="Verdana Pro Light" w:cs="Verdana Pro Light"/>
          <w:sz w:val="24"/>
          <w:szCs w:val="24"/>
        </w:rPr>
        <w:t>Howell, Brian M and Paris, Jenell, Introducing Cultural Anthropology: A Christian Perspective. (Grand Rapids: Baker Academic, 2011)</w:t>
      </w:r>
    </w:p>
    <w:p w14:paraId="79A03CF5" w14:textId="77777777" w:rsidR="00487F99" w:rsidRDefault="00487F99">
      <w:pPr>
        <w:pStyle w:val="NormalWeb"/>
        <w:spacing w:before="0" w:after="0"/>
        <w:ind w:right="-334"/>
        <w:rPr>
          <w:rFonts w:ascii="Verdana Pro Light" w:eastAsia="Verdana Pro Light" w:hAnsi="Verdana Pro Light" w:cs="Verdana Pro Light"/>
          <w:sz w:val="24"/>
          <w:szCs w:val="24"/>
        </w:rPr>
      </w:pPr>
    </w:p>
    <w:p w14:paraId="134F7BCB" w14:textId="77777777" w:rsidR="00487F99" w:rsidRDefault="002B0FCB">
      <w:pPr>
        <w:pStyle w:val="FootnoteText"/>
        <w:ind w:left="0" w:right="-334" w:firstLine="0"/>
      </w:pPr>
      <w:r>
        <w:rPr>
          <w:rFonts w:ascii="Verdana Pro Light" w:eastAsia="Verdana Pro Light" w:hAnsi="Verdana Pro Light" w:cs="Verdana Pro Light"/>
          <w:sz w:val="24"/>
          <w:szCs w:val="24"/>
        </w:rPr>
        <w:t xml:space="preserve">Jhutti- Johal, Jagbir, </w:t>
      </w:r>
      <w:r>
        <w:rPr>
          <w:rFonts w:ascii="Verdana Pro Light" w:eastAsia="Verdana Pro Light" w:hAnsi="Verdana Pro Light" w:cs="Verdana Pro Light"/>
          <w:i/>
          <w:iCs/>
          <w:sz w:val="24"/>
          <w:szCs w:val="24"/>
        </w:rPr>
        <w:t xml:space="preserve">Sikhism Today. </w:t>
      </w:r>
      <w:r>
        <w:rPr>
          <w:rFonts w:ascii="Verdana Pro Light" w:eastAsia="Verdana Pro Light" w:hAnsi="Verdana Pro Light" w:cs="Verdana Pro Light"/>
          <w:sz w:val="24"/>
          <w:szCs w:val="24"/>
        </w:rPr>
        <w:t xml:space="preserve">(London: Continuum international publishing group, 2011) </w:t>
      </w:r>
    </w:p>
    <w:p w14:paraId="6B4CC6BA" w14:textId="77777777" w:rsidR="00487F99" w:rsidRDefault="00487F99">
      <w:pPr>
        <w:pStyle w:val="FootnoteText"/>
        <w:ind w:left="0" w:right="-334" w:firstLine="0"/>
        <w:rPr>
          <w:rFonts w:ascii="Verdana Pro Light" w:hAnsi="Verdana Pro Light" w:cs="Verdana Pro Light"/>
          <w:sz w:val="24"/>
          <w:szCs w:val="24"/>
        </w:rPr>
      </w:pPr>
    </w:p>
    <w:p w14:paraId="7B70BF4F" w14:textId="77777777" w:rsidR="00487F99" w:rsidRDefault="002B0FCB">
      <w:pPr>
        <w:pStyle w:val="FootnoteText"/>
        <w:ind w:left="0" w:right="-334" w:firstLine="0"/>
      </w:pPr>
      <w:r>
        <w:rPr>
          <w:rFonts w:ascii="Verdana Pro Light" w:eastAsia="Verdana Pro Light" w:hAnsi="Verdana Pro Light" w:cs="Verdana Pro Light"/>
          <w:sz w:val="24"/>
          <w:szCs w:val="24"/>
        </w:rPr>
        <w:t xml:space="preserve">Kaura, Guranama </w:t>
      </w:r>
      <w:r>
        <w:rPr>
          <w:rFonts w:ascii="Verdana Pro Light" w:eastAsia="Verdana Pro Light" w:hAnsi="Verdana Pro Light" w:cs="Verdana Pro Light"/>
          <w:i/>
          <w:iCs/>
          <w:sz w:val="24"/>
          <w:szCs w:val="24"/>
        </w:rPr>
        <w:t xml:space="preserve">Studies in Sikhism: Its institutions and its scripture in global context. </w:t>
      </w:r>
      <w:r>
        <w:rPr>
          <w:rFonts w:ascii="Verdana Pro Light" w:eastAsia="Verdana Pro Light" w:hAnsi="Verdana Pro Light" w:cs="Verdana Pro Light"/>
          <w:sz w:val="24"/>
          <w:szCs w:val="24"/>
        </w:rPr>
        <w:t xml:space="preserve">(Chandigarh:Unistar Books, 2013) </w:t>
      </w:r>
    </w:p>
    <w:p w14:paraId="2F682FB6" w14:textId="77777777" w:rsidR="00487F99" w:rsidRDefault="00487F99">
      <w:pPr>
        <w:pStyle w:val="FootnoteText"/>
        <w:ind w:left="0" w:right="-334" w:firstLine="0"/>
      </w:pPr>
    </w:p>
    <w:p w14:paraId="4AFB3641" w14:textId="77777777" w:rsidR="00487F99" w:rsidRDefault="002B0FCB">
      <w:pPr>
        <w:pStyle w:val="FootnoteText"/>
        <w:ind w:left="0" w:right="-334" w:firstLine="0"/>
      </w:pPr>
      <w:r>
        <w:rPr>
          <w:rFonts w:ascii="Verdana Pro Light" w:eastAsia="Verdana Pro Light" w:hAnsi="Verdana Pro Light" w:cs="Verdana Pro Light"/>
          <w:sz w:val="24"/>
          <w:szCs w:val="24"/>
        </w:rPr>
        <w:t xml:space="preserve">Kilde, Jeanne, Halgren, </w:t>
      </w:r>
      <w:r>
        <w:rPr>
          <w:rFonts w:ascii="Verdana Pro Light" w:eastAsia="Verdana Pro Light" w:hAnsi="Verdana Pro Light" w:cs="Verdana Pro Light"/>
          <w:i/>
          <w:iCs/>
          <w:sz w:val="24"/>
          <w:szCs w:val="24"/>
        </w:rPr>
        <w:t xml:space="preserve">The Oxford Handbook of Religious Space, </w:t>
      </w:r>
      <w:r>
        <w:rPr>
          <w:rFonts w:ascii="Verdana Pro Light" w:eastAsia="Verdana Pro Light" w:hAnsi="Verdana Pro Light" w:cs="Verdana Pro Light"/>
          <w:sz w:val="24"/>
          <w:szCs w:val="24"/>
        </w:rPr>
        <w:t>(Oxford: Oxford University Press, 2022).</w:t>
      </w:r>
    </w:p>
    <w:p w14:paraId="225D2CFD" w14:textId="77777777" w:rsidR="00487F99" w:rsidRDefault="00487F99">
      <w:pPr>
        <w:pStyle w:val="NormalWeb"/>
        <w:spacing w:before="0" w:after="0"/>
        <w:ind w:right="-334"/>
        <w:rPr>
          <w:rFonts w:ascii="Verdana Pro Light" w:eastAsia="Verdana Pro Light" w:hAnsi="Verdana Pro Light" w:cs="Verdana Pro Light"/>
          <w:sz w:val="24"/>
          <w:szCs w:val="24"/>
        </w:rPr>
      </w:pPr>
    </w:p>
    <w:p w14:paraId="6B93A36D" w14:textId="77777777" w:rsidR="00487F99" w:rsidRDefault="002B0FCB">
      <w:pPr>
        <w:pStyle w:val="FootnoteText"/>
        <w:ind w:left="0" w:right="-334" w:firstLine="0"/>
        <w:jc w:val="both"/>
      </w:pPr>
      <w:r>
        <w:rPr>
          <w:rFonts w:ascii="Verdana Pro Light" w:eastAsia="Verdana Pro Light" w:hAnsi="Verdana Pro Light" w:cs="Verdana Pro Light"/>
          <w:sz w:val="24"/>
          <w:szCs w:val="24"/>
        </w:rPr>
        <w:t>Lane, Belden C,</w:t>
      </w:r>
      <w:r>
        <w:rPr>
          <w:rFonts w:ascii="Verdana Pro Light" w:eastAsia="Verdana Pro Light" w:hAnsi="Verdana Pro Light" w:cs="Verdana Pro Light"/>
          <w:i/>
          <w:iCs/>
          <w:sz w:val="24"/>
          <w:szCs w:val="24"/>
        </w:rPr>
        <w:t xml:space="preserve"> Landscapes Of The Sacred</w:t>
      </w:r>
      <w:r>
        <w:rPr>
          <w:rFonts w:ascii="Verdana Pro Light" w:eastAsia="Verdana Pro Light" w:hAnsi="Verdana Pro Light" w:cs="Verdana Pro Light"/>
          <w:sz w:val="24"/>
          <w:szCs w:val="24"/>
        </w:rPr>
        <w:t xml:space="preserve">. (Baltimore: Johns Hopkins University Press, 2002) </w:t>
      </w:r>
    </w:p>
    <w:p w14:paraId="19F16B4F" w14:textId="77777777" w:rsidR="00487F99" w:rsidRDefault="00487F99">
      <w:pPr>
        <w:pStyle w:val="FootnoteText"/>
        <w:ind w:left="0" w:right="-334" w:firstLine="0"/>
        <w:jc w:val="both"/>
        <w:rPr>
          <w:rFonts w:ascii="Verdana Pro Light" w:hAnsi="Verdana Pro Light" w:cs="Verdana Pro Light"/>
          <w:sz w:val="24"/>
          <w:szCs w:val="24"/>
        </w:rPr>
      </w:pPr>
    </w:p>
    <w:p w14:paraId="5DAE7FF4" w14:textId="77777777" w:rsidR="00487F99" w:rsidRDefault="002B0FCB">
      <w:pPr>
        <w:pStyle w:val="FootnoteText"/>
        <w:ind w:left="0" w:right="-334" w:firstLine="0"/>
        <w:jc w:val="both"/>
      </w:pPr>
      <w:r>
        <w:rPr>
          <w:rFonts w:ascii="Verdana Pro Light" w:eastAsia="Verdana Pro Light" w:hAnsi="Verdana Pro Light" w:cs="Verdana Pro Light"/>
          <w:sz w:val="24"/>
          <w:szCs w:val="24"/>
        </w:rPr>
        <w:t>Leeuw, G Van Der,</w:t>
      </w:r>
      <w:r>
        <w:rPr>
          <w:rFonts w:ascii="Verdana Pro Light" w:eastAsia="Verdana Pro Light" w:hAnsi="Verdana Pro Light" w:cs="Verdana Pro Light"/>
          <w:i/>
          <w:iCs/>
          <w:sz w:val="24"/>
          <w:szCs w:val="24"/>
        </w:rPr>
        <w:t xml:space="preserve"> Religion in Essence and Manifestation.</w:t>
      </w:r>
      <w:r>
        <w:rPr>
          <w:rFonts w:ascii="Verdana Pro Light" w:eastAsia="Verdana Pro Light" w:hAnsi="Verdana Pro Light" w:cs="Verdana Pro Light"/>
          <w:sz w:val="24"/>
          <w:szCs w:val="24"/>
        </w:rPr>
        <w:t xml:space="preserve"> (Princeton: Princeton University Press, 2014). </w:t>
      </w:r>
    </w:p>
    <w:p w14:paraId="0A6F8DB5" w14:textId="77777777" w:rsidR="00487F99" w:rsidRDefault="00487F99">
      <w:pPr>
        <w:pStyle w:val="FootnoteText"/>
        <w:ind w:left="0" w:right="-334" w:firstLine="0"/>
        <w:jc w:val="both"/>
        <w:rPr>
          <w:rFonts w:ascii="Verdana Pro Light" w:hAnsi="Verdana Pro Light" w:cs="Verdana Pro Light"/>
          <w:sz w:val="24"/>
          <w:szCs w:val="24"/>
        </w:rPr>
      </w:pPr>
    </w:p>
    <w:p w14:paraId="749C18F7" w14:textId="77777777" w:rsidR="00487F99" w:rsidRDefault="002B0FCB">
      <w:pPr>
        <w:pStyle w:val="FootnoteText"/>
        <w:ind w:left="0"/>
      </w:pPr>
      <w:r>
        <w:rPr>
          <w:rFonts w:ascii="Verdana Pro Light" w:hAnsi="Verdana Pro Light" w:cs="Verdana Pro Light"/>
          <w:sz w:val="24"/>
          <w:szCs w:val="24"/>
        </w:rPr>
        <w:tab/>
        <w:t xml:space="preserve">Leeuw, Gerardus Van Der. </w:t>
      </w:r>
      <w:r>
        <w:rPr>
          <w:rFonts w:ascii="Verdana Pro Light" w:hAnsi="Verdana Pro Light" w:cs="Verdana Pro Light"/>
          <w:i/>
          <w:iCs/>
          <w:sz w:val="24"/>
          <w:szCs w:val="24"/>
        </w:rPr>
        <w:t xml:space="preserve">Sacred and Profane Beauty: The Holy In Art </w:t>
      </w:r>
      <w:r>
        <w:rPr>
          <w:rFonts w:ascii="Verdana Pro Light" w:hAnsi="Verdana Pro Light" w:cs="Verdana Pro Light"/>
          <w:sz w:val="24"/>
          <w:szCs w:val="24"/>
        </w:rPr>
        <w:t xml:space="preserve">(Oxford: Oxford </w:t>
      </w:r>
      <w:r>
        <w:rPr>
          <w:rFonts w:ascii="Verdana Pro Light" w:eastAsia="Verdana Pro Light" w:hAnsi="Verdana Pro Light" w:cs="Verdana Pro Light"/>
          <w:sz w:val="24"/>
          <w:szCs w:val="24"/>
        </w:rPr>
        <w:t>University press, 2006). p xxi</w:t>
      </w:r>
    </w:p>
    <w:p w14:paraId="2376AF1F" w14:textId="77777777" w:rsidR="00487F99" w:rsidRDefault="00487F99">
      <w:pPr>
        <w:pStyle w:val="FootnoteText"/>
        <w:ind w:left="0" w:right="-334" w:firstLine="0"/>
        <w:jc w:val="both"/>
        <w:rPr>
          <w:rFonts w:ascii="Verdana Pro Light" w:hAnsi="Verdana Pro Light" w:cs="Verdana Pro Light"/>
          <w:sz w:val="24"/>
          <w:szCs w:val="24"/>
        </w:rPr>
      </w:pPr>
    </w:p>
    <w:p w14:paraId="1B29079D" w14:textId="77777777" w:rsidR="00487F99" w:rsidRDefault="002B0FCB">
      <w:pPr>
        <w:pStyle w:val="FootnoteText"/>
        <w:ind w:left="0" w:right="-334" w:firstLine="0"/>
        <w:jc w:val="both"/>
      </w:pPr>
      <w:r>
        <w:rPr>
          <w:rFonts w:ascii="Verdana Pro Light" w:eastAsia="Verdana Pro Light" w:hAnsi="Verdana Pro Light" w:cs="Verdana Pro Light"/>
          <w:sz w:val="24"/>
          <w:szCs w:val="24"/>
        </w:rPr>
        <w:t xml:space="preserve">Moore, Deborah Dash ‘David Emile Durkheim and the Jewish Response to Modernity’, </w:t>
      </w:r>
      <w:r>
        <w:rPr>
          <w:rFonts w:ascii="Verdana Pro Light" w:eastAsia="Verdana Pro Light" w:hAnsi="Verdana Pro Light" w:cs="Verdana Pro Light"/>
          <w:i/>
          <w:iCs/>
          <w:sz w:val="24"/>
          <w:szCs w:val="24"/>
        </w:rPr>
        <w:t>Modern Judaism,</w:t>
      </w:r>
      <w:r>
        <w:rPr>
          <w:rFonts w:ascii="Verdana Pro Light" w:eastAsia="Verdana Pro Light" w:hAnsi="Verdana Pro Light" w:cs="Verdana Pro Light"/>
          <w:sz w:val="24"/>
          <w:szCs w:val="24"/>
        </w:rPr>
        <w:t xml:space="preserve"> 6. 3 (1986), 287-300 &lt;</w:t>
      </w:r>
      <w:hyperlink r:id="rId21">
        <w:r>
          <w:rPr>
            <w:rStyle w:val="Hyperlink"/>
            <w:rFonts w:ascii="Verdana Pro Light" w:eastAsia="Verdana Pro Light" w:hAnsi="Verdana Pro Light" w:cs="Verdana Pro Light"/>
            <w:sz w:val="24"/>
            <w:szCs w:val="24"/>
          </w:rPr>
          <w:t>https://www-jstor-org.ezproxy.uwtsd.ac.uk/stable/1396218</w:t>
        </w:r>
      </w:hyperlink>
      <w:r>
        <w:rPr>
          <w:rFonts w:ascii="Verdana Pro Light" w:eastAsia="Verdana Pro Light" w:hAnsi="Verdana Pro Light" w:cs="Verdana Pro Light"/>
          <w:sz w:val="24"/>
          <w:szCs w:val="24"/>
        </w:rPr>
        <w:t xml:space="preserve"> &gt;  </w:t>
      </w:r>
      <w:r>
        <w:rPr>
          <w:rFonts w:ascii="Verdana Pro Light" w:eastAsia="Verdana Pro Light" w:hAnsi="Verdana Pro Light" w:cs="Verdana Pro Light"/>
          <w:b/>
          <w:bCs/>
          <w:sz w:val="24"/>
          <w:szCs w:val="24"/>
        </w:rPr>
        <w:t xml:space="preserve"> </w:t>
      </w:r>
    </w:p>
    <w:p w14:paraId="1015D33A" w14:textId="77777777" w:rsidR="00487F99" w:rsidRDefault="00487F99">
      <w:pPr>
        <w:pStyle w:val="NormalWeb"/>
        <w:spacing w:before="0" w:after="0"/>
        <w:ind w:right="-334"/>
        <w:rPr>
          <w:rFonts w:ascii="Verdana Pro Light" w:eastAsia="Verdana Pro Light" w:hAnsi="Verdana Pro Light" w:cs="Verdana Pro Light"/>
          <w:sz w:val="24"/>
          <w:szCs w:val="24"/>
        </w:rPr>
      </w:pPr>
    </w:p>
    <w:p w14:paraId="30550C99" w14:textId="77777777" w:rsidR="00487F99" w:rsidRDefault="002B0FCB">
      <w:pPr>
        <w:pStyle w:val="FootnoteText"/>
        <w:ind w:left="0" w:right="-334" w:firstLine="0"/>
      </w:pPr>
      <w:r>
        <w:rPr>
          <w:rFonts w:ascii="Verdana Pro Light" w:eastAsia="Verdana Pro Light" w:hAnsi="Verdana Pro Light" w:cs="Verdana Pro Light"/>
          <w:sz w:val="24"/>
          <w:szCs w:val="24"/>
        </w:rPr>
        <w:t>Nesbitt, Eleanor,’Sikh Sacred Places’</w:t>
      </w:r>
      <w:r>
        <w:rPr>
          <w:rFonts w:ascii="Verdana Pro Light" w:eastAsia="Verdana Pro Light" w:hAnsi="Verdana Pro Light" w:cs="Verdana Pro Light"/>
          <w:i/>
          <w:iCs/>
          <w:sz w:val="24"/>
          <w:szCs w:val="24"/>
        </w:rPr>
        <w:t xml:space="preserve"> The British Library. &lt;</w:t>
      </w:r>
      <w:r>
        <w:rPr>
          <w:rFonts w:ascii="Verdana Pro Light" w:eastAsia="Verdana Pro Light" w:hAnsi="Verdana Pro Light" w:cs="Verdana Pro Light"/>
          <w:sz w:val="24"/>
          <w:szCs w:val="24"/>
        </w:rPr>
        <w:t>https://www,khanacademy.org/humanities/art-asia/beginners-guide-asian-culture/x97ec695a;sikhism/a/sikh-sacred-places&gt;  [accessed 12</w:t>
      </w:r>
      <w:r>
        <w:rPr>
          <w:rFonts w:ascii="Verdana Pro Light" w:eastAsia="Verdana Pro Light" w:hAnsi="Verdana Pro Light" w:cs="Verdana Pro Light"/>
          <w:sz w:val="24"/>
          <w:szCs w:val="24"/>
          <w:vertAlign w:val="superscript"/>
        </w:rPr>
        <w:t>th</w:t>
      </w:r>
      <w:r>
        <w:rPr>
          <w:rFonts w:ascii="Verdana Pro Light" w:eastAsia="Verdana Pro Light" w:hAnsi="Verdana Pro Light" w:cs="Verdana Pro Light"/>
          <w:sz w:val="24"/>
          <w:szCs w:val="24"/>
        </w:rPr>
        <w:t xml:space="preserve"> December 2023]. </w:t>
      </w:r>
    </w:p>
    <w:p w14:paraId="49D109B8" w14:textId="77777777" w:rsidR="00487F99" w:rsidRDefault="00487F99">
      <w:pPr>
        <w:pStyle w:val="NormalWeb"/>
        <w:spacing w:before="0" w:after="0"/>
        <w:ind w:right="-334"/>
        <w:rPr>
          <w:rFonts w:ascii="Verdana Pro Light" w:eastAsia="Verdana Pro Light" w:hAnsi="Verdana Pro Light" w:cs="Verdana Pro Light"/>
          <w:sz w:val="24"/>
          <w:szCs w:val="24"/>
        </w:rPr>
      </w:pPr>
    </w:p>
    <w:p w14:paraId="736EC443" w14:textId="77777777" w:rsidR="00487F99" w:rsidRDefault="002B0FCB">
      <w:pPr>
        <w:pStyle w:val="FootnoteText"/>
        <w:ind w:left="0" w:firstLine="0"/>
        <w:jc w:val="both"/>
      </w:pPr>
      <w:r>
        <w:rPr>
          <w:rFonts w:ascii="Verdana Pro Light" w:eastAsia="Verdana Pro Light" w:hAnsi="Verdana Pro Light" w:cs="Verdana Pro Light"/>
          <w:color w:val="000000"/>
          <w:sz w:val="24"/>
          <w:szCs w:val="24"/>
        </w:rPr>
        <w:t>Olupona, Jacob, K, C</w:t>
      </w:r>
      <w:r>
        <w:rPr>
          <w:rFonts w:ascii="Verdana Pro Light" w:eastAsia="Verdana Pro Light" w:hAnsi="Verdana Pro Light" w:cs="Verdana Pro Light"/>
          <w:i/>
          <w:iCs/>
          <w:color w:val="000000"/>
          <w:sz w:val="24"/>
          <w:szCs w:val="24"/>
        </w:rPr>
        <w:t>ity of 201 Gods.</w:t>
      </w:r>
      <w:r>
        <w:rPr>
          <w:rFonts w:ascii="Verdana Pro Light" w:eastAsia="Verdana Pro Light" w:hAnsi="Verdana Pro Light" w:cs="Verdana Pro Light"/>
          <w:color w:val="000000"/>
          <w:sz w:val="24"/>
          <w:szCs w:val="24"/>
        </w:rPr>
        <w:t xml:space="preserve"> (London: University of California press, 2011)</w:t>
      </w:r>
    </w:p>
    <w:p w14:paraId="7B6C382C" w14:textId="77777777" w:rsidR="00487F99" w:rsidRDefault="00487F99">
      <w:pPr>
        <w:pStyle w:val="NormalWeb"/>
        <w:spacing w:before="0" w:after="0"/>
        <w:ind w:right="-334"/>
        <w:rPr>
          <w:rFonts w:ascii="Verdana Pro Light" w:eastAsia="Verdana Pro Light" w:hAnsi="Verdana Pro Light" w:cs="Verdana Pro Light"/>
          <w:sz w:val="24"/>
          <w:szCs w:val="24"/>
        </w:rPr>
      </w:pPr>
    </w:p>
    <w:p w14:paraId="01B3D751" w14:textId="77777777" w:rsidR="00487F99" w:rsidRDefault="002B0FCB">
      <w:pPr>
        <w:pStyle w:val="FootnoteText"/>
        <w:ind w:left="0" w:right="-334" w:firstLine="0"/>
      </w:pPr>
      <w:r>
        <w:rPr>
          <w:rFonts w:ascii="Verdana Pro Light" w:eastAsia="Verdana Pro Light" w:hAnsi="Verdana Pro Light" w:cs="Verdana Pro Light"/>
          <w:sz w:val="24"/>
          <w:szCs w:val="24"/>
        </w:rPr>
        <w:t xml:space="preserve">Quinn Jr, William W, ‘Mircea Eliade and the Sacred Tradition (A Personal Account)’, </w:t>
      </w:r>
      <w:r>
        <w:rPr>
          <w:rFonts w:ascii="Verdana Pro Light" w:eastAsia="Verdana Pro Light" w:hAnsi="Verdana Pro Light" w:cs="Verdana Pro Light"/>
          <w:i/>
          <w:iCs/>
          <w:sz w:val="24"/>
          <w:szCs w:val="24"/>
        </w:rPr>
        <w:t xml:space="preserve">Novo Religio: The Journal of Alternative and Emergent Religions, </w:t>
      </w:r>
      <w:r>
        <w:rPr>
          <w:rFonts w:ascii="Verdana Pro Light" w:eastAsia="Verdana Pro Light" w:hAnsi="Verdana Pro Light" w:cs="Verdana Pro Light"/>
          <w:sz w:val="24"/>
          <w:szCs w:val="24"/>
        </w:rPr>
        <w:t xml:space="preserve">3.1 (1999), 147-153 (p.147) &lt; </w:t>
      </w:r>
      <w:hyperlink r:id="rId22">
        <w:r>
          <w:rPr>
            <w:rStyle w:val="Hyperlink"/>
            <w:rFonts w:ascii="Verdana Pro Light" w:eastAsia="Verdana Pro Light" w:hAnsi="Verdana Pro Light" w:cs="Verdana Pro Light"/>
            <w:sz w:val="24"/>
            <w:szCs w:val="24"/>
          </w:rPr>
          <w:t>https://dpi.org/10.1525/nr.1999.3.1.147</w:t>
        </w:r>
      </w:hyperlink>
      <w:r>
        <w:rPr>
          <w:rFonts w:ascii="Verdana Pro Light" w:eastAsia="Verdana Pro Light" w:hAnsi="Verdana Pro Light" w:cs="Verdana Pro Light"/>
          <w:sz w:val="24"/>
          <w:szCs w:val="24"/>
        </w:rPr>
        <w:t>&gt;.</w:t>
      </w:r>
    </w:p>
    <w:p w14:paraId="6B57DE1E" w14:textId="77777777" w:rsidR="00487F99" w:rsidRDefault="00487F99">
      <w:pPr>
        <w:pStyle w:val="FootnoteText"/>
        <w:ind w:left="0" w:right="-334" w:firstLine="0"/>
        <w:rPr>
          <w:rFonts w:ascii="Verdana Pro Light" w:hAnsi="Verdana Pro Light" w:cs="Verdana Pro Light"/>
          <w:sz w:val="24"/>
          <w:szCs w:val="24"/>
        </w:rPr>
      </w:pPr>
    </w:p>
    <w:p w14:paraId="24F11EBC" w14:textId="77777777" w:rsidR="00487F99" w:rsidRDefault="002B0FCB">
      <w:pPr>
        <w:pStyle w:val="FootnoteText"/>
        <w:ind w:left="0" w:right="-334" w:firstLine="0"/>
      </w:pPr>
      <w:r>
        <w:rPr>
          <w:rFonts w:ascii="Verdana Pro Light" w:eastAsia="Verdana Pro Light" w:hAnsi="Verdana Pro Light" w:cs="Verdana Pro Light"/>
          <w:sz w:val="24"/>
          <w:szCs w:val="24"/>
        </w:rPr>
        <w:t>Rappaport, Roy A,</w:t>
      </w:r>
      <w:r>
        <w:rPr>
          <w:rFonts w:ascii="Verdana Pro Light" w:eastAsia="Verdana Pro Light" w:hAnsi="Verdana Pro Light" w:cs="Verdana Pro Light"/>
          <w:i/>
          <w:iCs/>
          <w:sz w:val="24"/>
          <w:szCs w:val="24"/>
        </w:rPr>
        <w:t xml:space="preserve"> Ritual And Religion In The Making Of Humanity.</w:t>
      </w:r>
      <w:r>
        <w:rPr>
          <w:rFonts w:ascii="Verdana Pro Light" w:eastAsia="Verdana Pro Light" w:hAnsi="Verdana Pro Light" w:cs="Verdana Pro Light"/>
          <w:sz w:val="24"/>
          <w:szCs w:val="24"/>
        </w:rPr>
        <w:t xml:space="preserve"> (Cambridge: Cambridge University Press, 1999)</w:t>
      </w:r>
    </w:p>
    <w:p w14:paraId="5134EA30" w14:textId="77777777" w:rsidR="00487F99" w:rsidRDefault="00487F99">
      <w:pPr>
        <w:pStyle w:val="FootnoteText"/>
        <w:ind w:left="0" w:right="-334" w:firstLine="0"/>
        <w:rPr>
          <w:rFonts w:ascii="Verdana Pro Light" w:hAnsi="Verdana Pro Light" w:cs="Verdana Pro Light"/>
          <w:sz w:val="24"/>
          <w:szCs w:val="24"/>
        </w:rPr>
      </w:pPr>
    </w:p>
    <w:p w14:paraId="76090FBF" w14:textId="77777777" w:rsidR="00487F99" w:rsidRDefault="002B0FCB">
      <w:pPr>
        <w:pStyle w:val="FootnoteText"/>
        <w:ind w:left="0" w:right="-334" w:firstLine="0"/>
      </w:pPr>
      <w:r>
        <w:rPr>
          <w:rFonts w:ascii="Verdana Pro Light" w:eastAsia="Verdana Pro Light" w:hAnsi="Verdana Pro Light" w:cs="Verdana Pro Light"/>
          <w:sz w:val="24"/>
          <w:szCs w:val="24"/>
        </w:rPr>
        <w:t>Ridley, Diana, The</w:t>
      </w:r>
      <w:r>
        <w:rPr>
          <w:rFonts w:ascii="Verdana Pro Light" w:eastAsia="Verdana Pro Light" w:hAnsi="Verdana Pro Light" w:cs="Verdana Pro Light"/>
          <w:i/>
          <w:iCs/>
          <w:sz w:val="24"/>
          <w:szCs w:val="24"/>
        </w:rPr>
        <w:t xml:space="preserve"> Literature Review: A Step-by-Step Guide for Students.</w:t>
      </w:r>
      <w:r>
        <w:rPr>
          <w:rFonts w:ascii="Verdana Pro Light" w:eastAsia="Verdana Pro Light" w:hAnsi="Verdana Pro Light" w:cs="Verdana Pro Light"/>
          <w:sz w:val="24"/>
          <w:szCs w:val="24"/>
        </w:rPr>
        <w:t xml:space="preserve"> (London: Sage Publications Ltd, 2008)  </w:t>
      </w:r>
    </w:p>
    <w:p w14:paraId="54AE0A32" w14:textId="77777777" w:rsidR="00487F99" w:rsidRDefault="00487F99">
      <w:pPr>
        <w:pStyle w:val="FootnoteText"/>
        <w:ind w:left="0" w:right="-334" w:firstLine="0"/>
      </w:pPr>
    </w:p>
    <w:p w14:paraId="33CA0B16" w14:textId="77777777" w:rsidR="00487F99" w:rsidRDefault="002B0FCB">
      <w:pPr>
        <w:pStyle w:val="FootnoteText"/>
        <w:ind w:left="0" w:right="-334" w:firstLine="0"/>
      </w:pPr>
      <w:r>
        <w:rPr>
          <w:rFonts w:ascii="Verdana Pro Light" w:eastAsia="Verdana Pro Light" w:hAnsi="Verdana Pro Light" w:cs="Verdana Pro Light"/>
          <w:sz w:val="24"/>
          <w:szCs w:val="24"/>
        </w:rPr>
        <w:t xml:space="preserve">Seta, Fumihiko and others, </w:t>
      </w:r>
      <w:r>
        <w:rPr>
          <w:rFonts w:ascii="Verdana Pro Light" w:eastAsia="Verdana Pro Light" w:hAnsi="Verdana Pro Light" w:cs="Verdana Pro Light"/>
          <w:i/>
          <w:iCs/>
          <w:sz w:val="24"/>
          <w:szCs w:val="24"/>
        </w:rPr>
        <w:t xml:space="preserve">Understanding Built Environment, Proceedings of the National Conference on Sustainable built environment 2015. </w:t>
      </w:r>
      <w:r>
        <w:rPr>
          <w:rFonts w:ascii="Verdana Pro Light" w:eastAsia="Verdana Pro Light" w:hAnsi="Verdana Pro Light" w:cs="Verdana Pro Light"/>
          <w:sz w:val="24"/>
          <w:szCs w:val="24"/>
        </w:rPr>
        <w:t>(Singapore: Springer, 2017)</w:t>
      </w:r>
    </w:p>
    <w:p w14:paraId="69182C8C" w14:textId="77777777" w:rsidR="00487F99" w:rsidRDefault="00487F99">
      <w:pPr>
        <w:pStyle w:val="FootnoteText"/>
        <w:ind w:left="0" w:right="-334" w:firstLine="0"/>
      </w:pPr>
    </w:p>
    <w:p w14:paraId="5F71E3BB" w14:textId="77777777" w:rsidR="00487F99" w:rsidRDefault="002B0FCB">
      <w:pPr>
        <w:pStyle w:val="FootnoteText"/>
        <w:ind w:left="0" w:right="-334" w:firstLine="0"/>
      </w:pPr>
      <w:r>
        <w:rPr>
          <w:rFonts w:ascii="Verdana Pro Light" w:hAnsi="Verdana Pro Light" w:cs="Verdana Pro Light"/>
          <w:sz w:val="24"/>
          <w:szCs w:val="24"/>
        </w:rPr>
        <w:t xml:space="preserve">Williamson, Lola </w:t>
      </w:r>
      <w:r>
        <w:rPr>
          <w:rFonts w:ascii="Verdana Pro Light" w:hAnsi="Verdana Pro Light" w:cs="Verdana Pro Light"/>
          <w:i/>
          <w:iCs/>
          <w:sz w:val="24"/>
          <w:szCs w:val="24"/>
        </w:rPr>
        <w:t xml:space="preserve">Transcendent in America, Hindu – inspired meditation movements as new religion. </w:t>
      </w:r>
      <w:r>
        <w:rPr>
          <w:rFonts w:ascii="Verdana Pro Light" w:hAnsi="Verdana Pro Light" w:cs="Verdana Pro Light"/>
          <w:sz w:val="24"/>
          <w:szCs w:val="24"/>
        </w:rPr>
        <w:t xml:space="preserve">(New York: New York University press, 2010) </w:t>
      </w:r>
    </w:p>
    <w:p w14:paraId="2F3A53DA" w14:textId="77777777" w:rsidR="00487F99" w:rsidRDefault="00487F99">
      <w:pPr>
        <w:pStyle w:val="FootnoteText"/>
        <w:ind w:left="0" w:right="-334" w:firstLine="0"/>
        <w:rPr>
          <w:rFonts w:ascii="Verdana Pro Light" w:hAnsi="Verdana Pro Light" w:cs="Verdana Pro Light"/>
          <w:sz w:val="24"/>
          <w:szCs w:val="24"/>
        </w:rPr>
      </w:pPr>
    </w:p>
    <w:p w14:paraId="6BAFA0A5" w14:textId="77777777" w:rsidR="00487F99" w:rsidRDefault="00487F99">
      <w:pPr>
        <w:pStyle w:val="FootnoteText"/>
        <w:ind w:left="0" w:right="-334" w:firstLine="0"/>
        <w:rPr>
          <w:rFonts w:ascii="Verdana Pro Light" w:hAnsi="Verdana Pro Light" w:cs="Verdana Pro Light"/>
          <w:sz w:val="24"/>
          <w:szCs w:val="24"/>
          <w:shd w:val="clear" w:color="auto" w:fill="FFFF00"/>
        </w:rPr>
      </w:pPr>
    </w:p>
    <w:sectPr w:rsidR="00487F99">
      <w:headerReference w:type="even" r:id="rId23"/>
      <w:footerReference w:type="default" r:id="rId24"/>
      <w:headerReference w:type="first" r:id="rId25"/>
      <w:pgSz w:w="12240" w:h="15840"/>
      <w:pgMar w:top="567" w:right="1797" w:bottom="777" w:left="1797" w:header="0" w:footer="720" w:gutter="0"/>
      <w:pgNumType w:start="1"/>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1BED67" w14:textId="77777777" w:rsidR="002B0FCB" w:rsidRDefault="002B0FCB">
      <w:r>
        <w:separator/>
      </w:r>
    </w:p>
  </w:endnote>
  <w:endnote w:type="continuationSeparator" w:id="0">
    <w:p w14:paraId="7D3F04FC" w14:textId="77777777" w:rsidR="002B0FCB" w:rsidRDefault="002B0F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iberation Serif">
    <w:altName w:val="Times New Roman"/>
    <w:charset w:val="00"/>
    <w:family w:val="roman"/>
    <w:pitch w:val="variable"/>
  </w:font>
  <w:font w:name="NSimSun">
    <w:panose1 w:val="02010609030101010101"/>
    <w:charset w:val="86"/>
    <w:family w:val="modern"/>
    <w:pitch w:val="fixed"/>
    <w:sig w:usb0="000002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imSun;宋体">
    <w:altName w:val="Yu Gothic"/>
    <w:charset w:val="80"/>
    <w:family w:val="roman"/>
    <w:notTrueType/>
    <w:pitch w:val="default"/>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w:panose1 w:val="05000000000000000000"/>
    <w:charset w:val="02"/>
    <w:family w:val="decorative"/>
    <w:pitch w:val="variable"/>
    <w:sig w:usb0="00000000" w:usb1="10000000" w:usb2="00000000" w:usb3="00000000" w:csb0="80000000" w:csb1="00000000"/>
  </w:font>
  <w:font w:name="OpenSymbol;Arial Unicode MS">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lbertus">
    <w:charset w:val="00"/>
    <w:family w:val="roman"/>
    <w:pitch w:val="variable"/>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Liberation Sans;Arial">
    <w:charset w:val="00"/>
    <w:family w:val="roman"/>
    <w:notTrueType/>
    <w:pitch w:val="default"/>
  </w:font>
  <w:font w:name="Microsoft YaHei">
    <w:panose1 w:val="020B0503020204020204"/>
    <w:charset w:val="86"/>
    <w:family w:val="swiss"/>
    <w:pitch w:val="variable"/>
    <w:sig w:usb0="80000287" w:usb1="2ACF3C50" w:usb2="00000016" w:usb3="00000000" w:csb0="0004001F" w:csb1="00000000"/>
  </w:font>
  <w:font w:name="Georgia">
    <w:panose1 w:val="02040502050405020303"/>
    <w:charset w:val="00"/>
    <w:family w:val="roman"/>
    <w:pitch w:val="variable"/>
    <w:sig w:usb0="00000287" w:usb1="00000000" w:usb2="00000000" w:usb3="00000000" w:csb0="0000009F" w:csb1="00000000"/>
  </w:font>
  <w:font w:name="Verdana Pro Light">
    <w:panose1 w:val="020B0304030504040204"/>
    <w:charset w:val="00"/>
    <w:family w:val="swiss"/>
    <w:pitch w:val="variable"/>
    <w:sig w:usb0="80000287" w:usb1="00000043" w:usb2="00000000" w:usb3="00000000" w:csb0="0000009F" w:csb1="00000000"/>
  </w:font>
  <w:font w:name="GT America Standard;Helvetica">
    <w:altName w:val="Cambria"/>
    <w:charset w:val="00"/>
    <w:family w:val="roman"/>
    <w:notTrueType/>
    <w:pitch w:val="default"/>
  </w:font>
  <w:font w:name="Verdana Pro Cond Light">
    <w:panose1 w:val="020B0306030504040204"/>
    <w:charset w:val="00"/>
    <w:family w:val="swiss"/>
    <w:pitch w:val="variable"/>
    <w:sig w:usb0="80000287" w:usb1="00000043" w:usb2="00000000" w:usb3="00000000" w:csb0="0000009F" w:csb1="00000000"/>
  </w:font>
  <w:font w:name="Arial Nova Light">
    <w:panose1 w:val="020B0304020202020204"/>
    <w:charset w:val="00"/>
    <w:family w:val="swiss"/>
    <w:pitch w:val="variable"/>
    <w:sig w:usb0="0000028F" w:usb1="00000002"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54056E" w14:textId="77777777" w:rsidR="00487F99" w:rsidRDefault="002B0FCB">
    <w:pPr>
      <w:pStyle w:val="Footer"/>
      <w:rPr>
        <w:rFonts w:ascii="Trebuchet MS" w:eastAsia="Trebuchet MS" w:hAnsi="Trebuchet MS" w:cs="Trebuchet MS"/>
        <w:sz w:val="18"/>
        <w:szCs w:val="18"/>
      </w:rPr>
    </w:pPr>
    <w:r>
      <w:rPr>
        <w:rFonts w:ascii="Trebuchet MS" w:eastAsia="Trebuchet MS" w:hAnsi="Trebuchet MS" w:cs="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A454BE" w14:textId="77777777" w:rsidR="00487F99" w:rsidRDefault="002B0FCB">
      <w:pPr>
        <w:rPr>
          <w:sz w:val="12"/>
        </w:rPr>
      </w:pPr>
      <w:r>
        <w:separator/>
      </w:r>
    </w:p>
  </w:footnote>
  <w:footnote w:type="continuationSeparator" w:id="0">
    <w:p w14:paraId="71619C41" w14:textId="77777777" w:rsidR="00487F99" w:rsidRDefault="002B0FCB">
      <w:pPr>
        <w:rPr>
          <w:sz w:val="12"/>
        </w:rPr>
      </w:pPr>
      <w:r>
        <w:continuationSeparator/>
      </w:r>
    </w:p>
  </w:footnote>
  <w:footnote w:id="1">
    <w:p w14:paraId="2BB9D119" w14:textId="77777777" w:rsidR="00487F99" w:rsidRDefault="002B0FCB">
      <w:pPr>
        <w:pStyle w:val="FootnoteText"/>
      </w:pPr>
      <w:r>
        <w:rPr>
          <w:rStyle w:val="FootnoteCharacters"/>
        </w:rPr>
        <w:footnoteRef/>
      </w:r>
      <w:r>
        <w:tab/>
        <w:t xml:space="preserve">John Corrigan, </w:t>
      </w:r>
      <w:r>
        <w:rPr>
          <w:i/>
          <w:iCs/>
        </w:rPr>
        <w:t xml:space="preserve">Religion, Space, and The Atlantic World. </w:t>
      </w:r>
      <w:r>
        <w:t>(California: University of South California Press, 2017), p. Ebook.</w:t>
      </w:r>
    </w:p>
  </w:footnote>
  <w:footnote w:id="2">
    <w:p w14:paraId="129776B7" w14:textId="77777777" w:rsidR="00487F99" w:rsidRDefault="002B0FCB">
      <w:pPr>
        <w:pStyle w:val="FootnoteText"/>
      </w:pPr>
      <w:r>
        <w:rPr>
          <w:rStyle w:val="FootnoteCharacters"/>
        </w:rPr>
        <w:footnoteRef/>
      </w:r>
      <w:r>
        <w:tab/>
        <w:t xml:space="preserve">Guru Nanak Nishkam Sewak Jatha, </w:t>
      </w:r>
      <w:r>
        <w:rPr>
          <w:i/>
          <w:iCs/>
        </w:rPr>
        <w:t xml:space="preserve">Healthy Ageing in The 21st Century. </w:t>
      </w:r>
      <w:r>
        <w:t>(2013) &lt; Healthy Ageing in the 21st Century&gt; [accessed 29</w:t>
      </w:r>
      <w:r>
        <w:rPr>
          <w:vertAlign w:val="superscript"/>
        </w:rPr>
        <w:t>th</w:t>
      </w:r>
      <w:r>
        <w:t xml:space="preserve"> October 2023]. </w:t>
      </w:r>
    </w:p>
  </w:footnote>
  <w:footnote w:id="3">
    <w:p w14:paraId="57B1FAA9" w14:textId="77777777" w:rsidR="00487F99" w:rsidRDefault="002B0FCB">
      <w:pPr>
        <w:pStyle w:val="FootnoteText"/>
      </w:pPr>
      <w:r>
        <w:rPr>
          <w:rStyle w:val="FootnoteCharacters"/>
        </w:rPr>
        <w:footnoteRef/>
      </w:r>
      <w:r>
        <w:tab/>
        <w:t xml:space="preserve">Deborah Dash Moore, ‘David Emile Durkheim and The Jewish Response to Modernity’, </w:t>
      </w:r>
      <w:r>
        <w:rPr>
          <w:i/>
          <w:iCs/>
        </w:rPr>
        <w:t>Modern Judaism,</w:t>
      </w:r>
      <w:r>
        <w:t xml:space="preserve"> 6. 3 (1986), 287-300 (p. 287-288). &lt;</w:t>
      </w:r>
      <w:hyperlink r:id="rId1">
        <w:r>
          <w:rPr>
            <w:rStyle w:val="Hyperlink"/>
          </w:rPr>
          <w:t>https://www-jstor-org.ezproxy.uwtsd.ac.uk/stable/1396218</w:t>
        </w:r>
      </w:hyperlink>
      <w:r>
        <w:t xml:space="preserve"> &gt;.</w:t>
      </w:r>
    </w:p>
  </w:footnote>
  <w:footnote w:id="4">
    <w:p w14:paraId="61E9F75D" w14:textId="77777777" w:rsidR="00487F99" w:rsidRDefault="002B0FCB">
      <w:pPr>
        <w:jc w:val="both"/>
      </w:pPr>
      <w:r>
        <w:rPr>
          <w:rStyle w:val="FootnoteCharacters"/>
        </w:rPr>
        <w:footnoteRef/>
      </w:r>
      <w:r>
        <w:rPr>
          <w:rFonts w:ascii="GT America Standard;Helvetica" w:hAnsi="GT America Standard;Helvetica" w:cs="GT America Standard;Helvetica"/>
          <w:color w:val="343332"/>
        </w:rPr>
        <w:t xml:space="preserve">   </w:t>
      </w:r>
      <w:r>
        <w:rPr>
          <w:color w:val="343332"/>
          <w:sz w:val="20"/>
          <w:szCs w:val="20"/>
        </w:rPr>
        <w:t>Kieran Allen and Brian O’Boyle, ‘Durkheim Declassified’, in Durkheim</w:t>
      </w:r>
      <w:r>
        <w:rPr>
          <w:i/>
          <w:iCs/>
          <w:color w:val="000000"/>
          <w:sz w:val="20"/>
          <w:szCs w:val="20"/>
        </w:rPr>
        <w:t xml:space="preserve">: A Critical Introduction,       </w:t>
      </w:r>
    </w:p>
    <w:p w14:paraId="67C3A00C" w14:textId="77777777" w:rsidR="00487F99" w:rsidRDefault="002B0FCB">
      <w:pPr>
        <w:jc w:val="both"/>
      </w:pPr>
      <w:r>
        <w:rPr>
          <w:rFonts w:eastAsia="Times New Roman"/>
          <w:i/>
          <w:iCs/>
          <w:color w:val="000000"/>
          <w:sz w:val="20"/>
          <w:szCs w:val="20"/>
        </w:rPr>
        <w:t xml:space="preserve">      </w:t>
      </w:r>
      <w:r>
        <w:rPr>
          <w:color w:val="000000"/>
          <w:sz w:val="20"/>
          <w:szCs w:val="20"/>
        </w:rPr>
        <w:t xml:space="preserve">(London: Pluto Press, 2017), pp. 1-11 (p. 1) &lt; </w:t>
      </w:r>
      <w:hyperlink r:id="rId2">
        <w:bookmarkStart w:id="36" w:name="link-element"/>
        <w:bookmarkEnd w:id="36"/>
        <w:r>
          <w:rPr>
            <w:rStyle w:val="Hyperlink"/>
            <w:color w:val="000000"/>
            <w:sz w:val="20"/>
            <w:szCs w:val="20"/>
            <w:u w:val="none"/>
          </w:rPr>
          <w:t>https://doi.org/10.2307/j.ctt1v2xvw6.4</w:t>
        </w:r>
      </w:hyperlink>
      <w:r>
        <w:rPr>
          <w:color w:val="000000"/>
          <w:sz w:val="20"/>
          <w:szCs w:val="20"/>
        </w:rPr>
        <w:t xml:space="preserve">&gt;. </w:t>
      </w:r>
    </w:p>
    <w:p w14:paraId="56DFD076" w14:textId="77777777" w:rsidR="00487F99" w:rsidRDefault="00487F99">
      <w:pPr>
        <w:pStyle w:val="FootnoteText"/>
      </w:pPr>
    </w:p>
  </w:footnote>
  <w:footnote w:id="5">
    <w:p w14:paraId="634D327B" w14:textId="77777777" w:rsidR="00487F99" w:rsidRDefault="002B0FCB">
      <w:pPr>
        <w:pStyle w:val="FootnoteText"/>
      </w:pPr>
      <w:r>
        <w:rPr>
          <w:rStyle w:val="FootnoteCharacters"/>
        </w:rPr>
        <w:footnoteRef/>
      </w:r>
      <w:r>
        <w:tab/>
        <w:t xml:space="preserve">William W. Quinn Jr, ‘Mircea Eliade and the Sacred Tradition (A Personal Account)’, </w:t>
      </w:r>
      <w:r>
        <w:rPr>
          <w:i/>
          <w:iCs/>
        </w:rPr>
        <w:t xml:space="preserve">Novo Religio: The Journal of Alternative and Emergent Religions, </w:t>
      </w:r>
      <w:r>
        <w:t xml:space="preserve">3.1 (1999), 147-153 (p.147) &lt; </w:t>
      </w:r>
      <w:hyperlink r:id="rId3">
        <w:r>
          <w:rPr>
            <w:rStyle w:val="Hyperlink"/>
          </w:rPr>
          <w:t>https://dpi.org/10.1525/nr.1999.3.1.147</w:t>
        </w:r>
      </w:hyperlink>
      <w:r>
        <w:t>&gt;.</w:t>
      </w:r>
    </w:p>
  </w:footnote>
  <w:footnote w:id="6">
    <w:p w14:paraId="23967CF1" w14:textId="77777777" w:rsidR="00487F99" w:rsidRDefault="002B0FCB">
      <w:pPr>
        <w:pStyle w:val="FootnoteText"/>
      </w:pPr>
      <w:r>
        <w:rPr>
          <w:rStyle w:val="FootnoteCharacters"/>
        </w:rPr>
        <w:footnoteRef/>
      </w:r>
      <w:r>
        <w:tab/>
        <w:t xml:space="preserve">Eliade, </w:t>
      </w:r>
      <w:r>
        <w:rPr>
          <w:i/>
          <w:iCs/>
        </w:rPr>
        <w:t xml:space="preserve">The Sacred And The Profane: The Nature of Religion, </w:t>
      </w:r>
      <w:r>
        <w:t>(England: Harcourt, 1959)</w:t>
      </w:r>
      <w:r>
        <w:rPr>
          <w:i/>
          <w:iCs/>
        </w:rPr>
        <w:t xml:space="preserve">, </w:t>
      </w:r>
      <w:r>
        <w:t>p. Back cover.</w:t>
      </w:r>
    </w:p>
  </w:footnote>
  <w:footnote w:id="7">
    <w:p w14:paraId="5F43DE60" w14:textId="77777777" w:rsidR="00487F99" w:rsidRDefault="002B0FCB">
      <w:pPr>
        <w:pStyle w:val="FootnoteText"/>
      </w:pPr>
      <w:r>
        <w:rPr>
          <w:rStyle w:val="FootnoteCharacters"/>
        </w:rPr>
        <w:footnoteRef/>
      </w:r>
      <w:r>
        <w:tab/>
        <w:t xml:space="preserve">Gerardus Van Der Leeuw. </w:t>
      </w:r>
      <w:r>
        <w:rPr>
          <w:i/>
          <w:iCs/>
        </w:rPr>
        <w:t>Sacred and Profane Beauty: The Holy In Art.</w:t>
      </w:r>
      <w:r>
        <w:t xml:space="preserve"> (Oxford: Oxford</w:t>
      </w:r>
    </w:p>
    <w:p w14:paraId="49B6E4E3" w14:textId="77777777" w:rsidR="00487F99" w:rsidRDefault="002B0FCB">
      <w:pPr>
        <w:pStyle w:val="FootnoteText"/>
      </w:pPr>
      <w:r>
        <w:t>University press, 2006). p xxi.</w:t>
      </w:r>
    </w:p>
  </w:footnote>
  <w:footnote w:id="8">
    <w:p w14:paraId="0877B468" w14:textId="77777777" w:rsidR="00487F99" w:rsidRDefault="002B0FCB">
      <w:pPr>
        <w:pStyle w:val="FootnoteText"/>
      </w:pPr>
      <w:r>
        <w:rPr>
          <w:rStyle w:val="FootnoteCharacters"/>
        </w:rPr>
        <w:footnoteRef/>
      </w:r>
      <w:r>
        <w:tab/>
        <w:t xml:space="preserve">Jagbir Jhutti- Johal, </w:t>
      </w:r>
      <w:r>
        <w:rPr>
          <w:i/>
          <w:iCs/>
        </w:rPr>
        <w:t xml:space="preserve">Sikhism Today. </w:t>
      </w:r>
      <w:r>
        <w:t>(London: Continuum International Publishing Group, 2011) p. 96.</w:t>
      </w:r>
    </w:p>
  </w:footnote>
  <w:footnote w:id="9">
    <w:p w14:paraId="7350A862" w14:textId="77777777" w:rsidR="00487F99" w:rsidRDefault="002B0FCB">
      <w:pPr>
        <w:pStyle w:val="FootnoteText"/>
      </w:pPr>
      <w:r>
        <w:rPr>
          <w:rStyle w:val="FootnoteCharacters"/>
        </w:rPr>
        <w:footnoteRef/>
      </w:r>
      <w:r>
        <w:tab/>
        <w:t>Lola Williamson, Transcendent</w:t>
      </w:r>
      <w:r>
        <w:rPr>
          <w:i/>
          <w:iCs/>
        </w:rPr>
        <w:t xml:space="preserve"> in America, Hindu – Inspired Meditation Movements as New Religion. </w:t>
      </w:r>
      <w:r>
        <w:t>(New York: New York University Press, 2010) p.81.</w:t>
      </w:r>
    </w:p>
  </w:footnote>
  <w:footnote w:id="10">
    <w:p w14:paraId="7858B70D" w14:textId="77777777" w:rsidR="00487F99" w:rsidRDefault="002B0FCB">
      <w:pPr>
        <w:pStyle w:val="FootnoteText"/>
      </w:pPr>
      <w:r>
        <w:rPr>
          <w:rStyle w:val="FootnoteCharacters"/>
        </w:rPr>
        <w:footnoteRef/>
      </w:r>
      <w:r>
        <w:tab/>
        <w:t xml:space="preserve">Guru Nanak Nishkam Sewak Jatha, </w:t>
      </w:r>
      <w:r>
        <w:rPr>
          <w:i/>
          <w:iCs/>
        </w:rPr>
        <w:t xml:space="preserve">A Visit To A Gurdwara Served By Guru Nanak Nishkam Sewak Jatha. </w:t>
      </w:r>
      <w:r>
        <w:t xml:space="preserve">(2021) &lt; </w:t>
      </w:r>
      <w:hyperlink r:id="rId4">
        <w:r>
          <w:rPr>
            <w:rStyle w:val="Hyperlink"/>
          </w:rPr>
          <w:t>https://birmingham-faith-visits.theartssociety.org/node/6</w:t>
        </w:r>
      </w:hyperlink>
      <w:r>
        <w:t>&gt; [accessed 16</w:t>
      </w:r>
      <w:r>
        <w:rPr>
          <w:vertAlign w:val="superscript"/>
        </w:rPr>
        <w:t>th</w:t>
      </w:r>
      <w:r>
        <w:t xml:space="preserve"> November 2023]. </w:t>
      </w:r>
    </w:p>
  </w:footnote>
  <w:footnote w:id="11">
    <w:p w14:paraId="7E736CDF" w14:textId="77777777" w:rsidR="00487F99" w:rsidRDefault="002B0FCB">
      <w:pPr>
        <w:pStyle w:val="FootnoteText"/>
      </w:pPr>
      <w:r>
        <w:rPr>
          <w:rStyle w:val="FootnoteCharacters"/>
        </w:rPr>
        <w:footnoteRef/>
      </w:r>
      <w:r>
        <w:tab/>
        <w:t xml:space="preserve">Brian M, Howell and Jenell Paris, Introducing Cultural Anthropology: A Christian Perspective. (Grand Rapids: Baker Academic, 2011), p.12. </w:t>
      </w:r>
    </w:p>
  </w:footnote>
  <w:footnote w:id="12">
    <w:p w14:paraId="2D24B0A8" w14:textId="77777777" w:rsidR="00487F99" w:rsidRDefault="002B0FCB">
      <w:pPr>
        <w:pStyle w:val="FootnoteText"/>
      </w:pPr>
      <w:r>
        <w:rPr>
          <w:rStyle w:val="FootnoteCharacters"/>
        </w:rPr>
        <w:footnoteRef/>
      </w:r>
      <w:r>
        <w:tab/>
        <w:t>Subhash Chandra Gahlawat and Team Arsu, Anthropology Solves Papers. (Myarsu: 2021). p.153.</w:t>
      </w:r>
    </w:p>
  </w:footnote>
  <w:footnote w:id="13">
    <w:p w14:paraId="7399EA6E" w14:textId="77777777" w:rsidR="00487F99" w:rsidRDefault="002B0FCB">
      <w:pPr>
        <w:pStyle w:val="FootnoteText"/>
      </w:pPr>
      <w:r>
        <w:rPr>
          <w:rStyle w:val="FootnoteCharacters"/>
        </w:rPr>
        <w:footnoteRef/>
      </w:r>
      <w:r>
        <w:tab/>
        <w:t xml:space="preserve">Diana Ridley, </w:t>
      </w:r>
      <w:r>
        <w:rPr>
          <w:i/>
          <w:iCs/>
        </w:rPr>
        <w:t>The Literature Review: A Step-by-Step Guide for Students.</w:t>
      </w:r>
      <w:r>
        <w:t xml:space="preserve"> (London: Sage Publications Ltd, 2008) p.2.  </w:t>
      </w:r>
    </w:p>
  </w:footnote>
  <w:footnote w:id="14">
    <w:p w14:paraId="72C37026" w14:textId="77777777" w:rsidR="00487F99" w:rsidRDefault="002B0FCB">
      <w:pPr>
        <w:pStyle w:val="FootnoteText"/>
      </w:pPr>
      <w:r>
        <w:rPr>
          <w:rStyle w:val="FootnoteCharacters"/>
        </w:rPr>
        <w:footnoteRef/>
      </w:r>
      <w:r>
        <w:tab/>
        <w:t xml:space="preserve">Eliade, </w:t>
      </w:r>
      <w:r>
        <w:rPr>
          <w:i/>
          <w:iCs/>
        </w:rPr>
        <w:t>The Sacred And The Profane: The Nature of Religion, p.11.</w:t>
      </w:r>
    </w:p>
  </w:footnote>
  <w:footnote w:id="15">
    <w:p w14:paraId="4EB25B1D" w14:textId="77777777" w:rsidR="00487F99" w:rsidRDefault="002B0FCB">
      <w:pPr>
        <w:pStyle w:val="FootnoteText"/>
      </w:pPr>
      <w:r>
        <w:rPr>
          <w:rStyle w:val="FootnoteCharacters"/>
        </w:rPr>
        <w:footnoteRef/>
      </w:r>
      <w:r>
        <w:tab/>
        <w:t>Jacob. K. Olupona, C</w:t>
      </w:r>
      <w:r>
        <w:rPr>
          <w:i/>
          <w:iCs/>
        </w:rPr>
        <w:t>ity Of 201 Gods.</w:t>
      </w:r>
      <w:r>
        <w:t xml:space="preserve"> (London: University of California Press, 2011), p.23.</w:t>
      </w:r>
    </w:p>
  </w:footnote>
  <w:footnote w:id="16">
    <w:p w14:paraId="2B5E445F" w14:textId="77777777" w:rsidR="00487F99" w:rsidRDefault="002B0FCB">
      <w:pPr>
        <w:pStyle w:val="FootnoteText"/>
      </w:pPr>
      <w:r>
        <w:rPr>
          <w:rStyle w:val="FootnoteCharacters"/>
        </w:rPr>
        <w:footnoteRef/>
      </w:r>
      <w:r>
        <w:tab/>
        <w:t xml:space="preserve">Eliade, </w:t>
      </w:r>
      <w:r>
        <w:rPr>
          <w:i/>
          <w:iCs/>
        </w:rPr>
        <w:t xml:space="preserve">The Sacred And The Profane: The Nature of Religion, </w:t>
      </w:r>
      <w:r>
        <w:t>p.11-15.</w:t>
      </w:r>
    </w:p>
  </w:footnote>
  <w:footnote w:id="17">
    <w:p w14:paraId="5A71CC5F" w14:textId="77777777" w:rsidR="00487F99" w:rsidRDefault="002B0FCB">
      <w:pPr>
        <w:pStyle w:val="FootnoteText"/>
      </w:pPr>
      <w:r>
        <w:rPr>
          <w:rStyle w:val="FootnoteCharacters"/>
        </w:rPr>
        <w:footnoteRef/>
      </w:r>
      <w:r>
        <w:tab/>
        <w:t>Emile Durkheim,</w:t>
      </w:r>
      <w:r>
        <w:rPr>
          <w:i/>
          <w:iCs/>
        </w:rPr>
        <w:t xml:space="preserve"> The Elementary Forms of Religious Life.</w:t>
      </w:r>
      <w:r>
        <w:t xml:space="preserve"> (New York: The Free Press, 1995) p.44.</w:t>
      </w:r>
    </w:p>
  </w:footnote>
  <w:footnote w:id="18">
    <w:p w14:paraId="5ABA4CE0" w14:textId="77777777" w:rsidR="00487F99" w:rsidRDefault="002B0FCB">
      <w:pPr>
        <w:pStyle w:val="FootnoteText"/>
      </w:pPr>
      <w:r>
        <w:rPr>
          <w:rStyle w:val="FootnoteCharacters"/>
        </w:rPr>
        <w:footnoteRef/>
      </w:r>
      <w:r>
        <w:tab/>
        <w:t xml:space="preserve">Aasmundsen, </w:t>
      </w:r>
      <w:r>
        <w:rPr>
          <w:i/>
          <w:iCs/>
        </w:rPr>
        <w:t>Pentecostals, Politics, and Religious Equality in Argentina.</w:t>
      </w:r>
      <w:r>
        <w:t>,</w:t>
      </w:r>
      <w:r>
        <w:rPr>
          <w:rFonts w:cs="Verdana Pro Light"/>
        </w:rPr>
        <w:t>(The Netherlands:   Brill, 2017)</w:t>
      </w:r>
      <w:r>
        <w:t xml:space="preserve"> p,.80.</w:t>
      </w:r>
    </w:p>
  </w:footnote>
  <w:footnote w:id="19">
    <w:p w14:paraId="38240A96" w14:textId="77777777" w:rsidR="00487F99" w:rsidRDefault="002B0FCB">
      <w:pPr>
        <w:pStyle w:val="FootnoteText"/>
      </w:pPr>
      <w:r>
        <w:rPr>
          <w:rStyle w:val="FootnoteCharacters"/>
        </w:rPr>
        <w:footnoteRef/>
      </w:r>
      <w:r>
        <w:tab/>
        <w:t xml:space="preserve">Guru Nanak Nishkam Sewak Jatha, </w:t>
      </w:r>
      <w:r>
        <w:rPr>
          <w:i/>
          <w:iCs/>
        </w:rPr>
        <w:t xml:space="preserve">A Visit To A Gurdwara Served By Guru Nanak Nishkam Sewak Jatha. </w:t>
      </w:r>
      <w:r>
        <w:t xml:space="preserve">(2021) &lt; </w:t>
      </w:r>
      <w:hyperlink r:id="rId5">
        <w:r>
          <w:rPr>
            <w:rStyle w:val="Hyperlink"/>
          </w:rPr>
          <w:t>https://birmingham-faith-visits.theartssociety.org/node/6</w:t>
        </w:r>
      </w:hyperlink>
      <w:r>
        <w:t>&gt; [accessed 16</w:t>
      </w:r>
      <w:r>
        <w:rPr>
          <w:vertAlign w:val="superscript"/>
        </w:rPr>
        <w:t>th</w:t>
      </w:r>
      <w:r>
        <w:t xml:space="preserve"> November 2023]. </w:t>
      </w:r>
    </w:p>
  </w:footnote>
  <w:footnote w:id="20">
    <w:p w14:paraId="59B6F4D5" w14:textId="77777777" w:rsidR="00487F99" w:rsidRDefault="002B0FCB">
      <w:pPr>
        <w:pStyle w:val="FootnoteText"/>
      </w:pPr>
      <w:r>
        <w:rPr>
          <w:rStyle w:val="FootnoteCharacters"/>
        </w:rPr>
        <w:footnoteRef/>
      </w:r>
      <w:r>
        <w:tab/>
        <w:t>G. Van Der Leeuw,</w:t>
      </w:r>
      <w:r>
        <w:rPr>
          <w:i/>
          <w:iCs/>
        </w:rPr>
        <w:t xml:space="preserve"> Religion in Essence and Manifestation.</w:t>
      </w:r>
      <w:r>
        <w:t xml:space="preserve"> (Princeton: Princeton University Press, 2014). </w:t>
      </w:r>
    </w:p>
  </w:footnote>
  <w:footnote w:id="21">
    <w:p w14:paraId="5ADB6F23" w14:textId="77777777" w:rsidR="00487F99" w:rsidRDefault="002B0FCB">
      <w:pPr>
        <w:pStyle w:val="FootnoteText"/>
      </w:pPr>
      <w:r>
        <w:rPr>
          <w:rStyle w:val="FootnoteCharacters"/>
        </w:rPr>
        <w:footnoteRef/>
      </w:r>
      <w:r>
        <w:tab/>
        <w:t>Leeuw,</w:t>
      </w:r>
      <w:r>
        <w:rPr>
          <w:i/>
          <w:iCs/>
        </w:rPr>
        <w:t xml:space="preserve"> Religion in Essence and Manifestation.</w:t>
      </w:r>
      <w:r>
        <w:t xml:space="preserve">  p</w:t>
      </w:r>
      <w:r>
        <w:rPr>
          <w:sz w:val="26"/>
          <w:szCs w:val="26"/>
        </w:rPr>
        <w:t>.</w:t>
      </w:r>
      <w:r>
        <w:t>23,</w:t>
      </w:r>
    </w:p>
  </w:footnote>
  <w:footnote w:id="22">
    <w:p w14:paraId="2F4370CD" w14:textId="77777777" w:rsidR="00487F99" w:rsidRDefault="002B0FCB">
      <w:pPr>
        <w:pStyle w:val="FootnoteText"/>
      </w:pPr>
      <w:r>
        <w:rPr>
          <w:rStyle w:val="FootnoteCharacters"/>
        </w:rPr>
        <w:footnoteRef/>
      </w:r>
      <w:r>
        <w:tab/>
        <w:t xml:space="preserve">Eliade, </w:t>
      </w:r>
      <w:r>
        <w:rPr>
          <w:i/>
          <w:iCs/>
        </w:rPr>
        <w:t>The Sacred And The Profane: The Nature of Religion</w:t>
      </w:r>
      <w:r>
        <w:t>, p.20,</w:t>
      </w:r>
    </w:p>
  </w:footnote>
  <w:footnote w:id="23">
    <w:p w14:paraId="494B2F34" w14:textId="77777777" w:rsidR="00487F99" w:rsidRDefault="002B0FCB">
      <w:pPr>
        <w:pStyle w:val="FootnoteText"/>
      </w:pPr>
      <w:r>
        <w:rPr>
          <w:rStyle w:val="FootnoteCharacters"/>
        </w:rPr>
        <w:footnoteRef/>
      </w:r>
      <w:r>
        <w:tab/>
        <w:t>Leeuw,</w:t>
      </w:r>
      <w:r>
        <w:rPr>
          <w:i/>
          <w:iCs/>
        </w:rPr>
        <w:t xml:space="preserve"> Religion in Essence and Manifestation.</w:t>
      </w:r>
      <w:r>
        <w:t xml:space="preserve">  p</w:t>
      </w:r>
      <w:r>
        <w:rPr>
          <w:sz w:val="26"/>
          <w:szCs w:val="26"/>
        </w:rPr>
        <w:t>.</w:t>
      </w:r>
      <w:r>
        <w:t>393.</w:t>
      </w:r>
    </w:p>
  </w:footnote>
  <w:footnote w:id="24">
    <w:p w14:paraId="645EC9B6" w14:textId="77777777" w:rsidR="00487F99" w:rsidRDefault="002B0FCB">
      <w:pPr>
        <w:pStyle w:val="FootnoteText"/>
      </w:pPr>
      <w:r>
        <w:rPr>
          <w:rStyle w:val="FootnoteCharacters"/>
        </w:rPr>
        <w:footnoteRef/>
      </w:r>
      <w:r>
        <w:tab/>
        <w:t>Leeuw,</w:t>
      </w:r>
      <w:r>
        <w:rPr>
          <w:i/>
          <w:iCs/>
        </w:rPr>
        <w:t xml:space="preserve"> Religion in Essence and Manifestation.</w:t>
      </w:r>
      <w:r>
        <w:t xml:space="preserve">  p</w:t>
      </w:r>
      <w:r>
        <w:rPr>
          <w:sz w:val="26"/>
          <w:szCs w:val="26"/>
        </w:rPr>
        <w:t>.</w:t>
      </w:r>
      <w:r>
        <w:t>393.</w:t>
      </w:r>
    </w:p>
  </w:footnote>
  <w:footnote w:id="25">
    <w:p w14:paraId="236D3392" w14:textId="77777777" w:rsidR="00487F99" w:rsidRDefault="002B0FCB">
      <w:pPr>
        <w:pStyle w:val="FootnoteText"/>
      </w:pPr>
      <w:r>
        <w:rPr>
          <w:rStyle w:val="FootnoteCharacters"/>
        </w:rPr>
        <w:footnoteRef/>
      </w:r>
      <w:r>
        <w:tab/>
        <w:t>Leeuw,</w:t>
      </w:r>
      <w:r>
        <w:rPr>
          <w:i/>
          <w:iCs/>
        </w:rPr>
        <w:t xml:space="preserve"> Religion in Essence and Manifestation.</w:t>
      </w:r>
      <w:r>
        <w:t xml:space="preserve">  p</w:t>
      </w:r>
      <w:r>
        <w:rPr>
          <w:sz w:val="26"/>
          <w:szCs w:val="26"/>
        </w:rPr>
        <w:t>.</w:t>
      </w:r>
      <w:r>
        <w:t>401-402.</w:t>
      </w:r>
    </w:p>
  </w:footnote>
  <w:footnote w:id="26">
    <w:p w14:paraId="2F602375" w14:textId="77777777" w:rsidR="00487F99" w:rsidRDefault="002B0FCB">
      <w:pPr>
        <w:pStyle w:val="FootnoteText"/>
      </w:pPr>
      <w:r>
        <w:rPr>
          <w:rStyle w:val="FootnoteCharacters"/>
        </w:rPr>
        <w:footnoteRef/>
      </w:r>
      <w:r>
        <w:tab/>
        <w:t xml:space="preserve">Eliade, </w:t>
      </w:r>
      <w:r>
        <w:rPr>
          <w:i/>
          <w:iCs/>
        </w:rPr>
        <w:t>The Sacred And The Profane: The Nature of Religion</w:t>
      </w:r>
      <w:r>
        <w:t>, p.24.</w:t>
      </w:r>
    </w:p>
  </w:footnote>
  <w:footnote w:id="27">
    <w:p w14:paraId="163D1AEB" w14:textId="77777777" w:rsidR="00487F99" w:rsidRDefault="002B0FCB">
      <w:pPr>
        <w:pStyle w:val="FootnoteText"/>
      </w:pPr>
      <w:r>
        <w:rPr>
          <w:rStyle w:val="FootnoteCharacters"/>
        </w:rPr>
        <w:footnoteRef/>
      </w:r>
      <w:r>
        <w:tab/>
        <w:t xml:space="preserve">Durkheim, </w:t>
      </w:r>
      <w:r>
        <w:rPr>
          <w:i/>
          <w:iCs/>
        </w:rPr>
        <w:t xml:space="preserve">The Elementary Forms of Religious Life, </w:t>
      </w:r>
      <w:r>
        <w:t>p. xliv.</w:t>
      </w:r>
    </w:p>
  </w:footnote>
  <w:footnote w:id="28">
    <w:p w14:paraId="413E73ED" w14:textId="77777777" w:rsidR="00487F99" w:rsidRDefault="002B0FCB">
      <w:pPr>
        <w:pStyle w:val="FootnoteText"/>
      </w:pPr>
      <w:r>
        <w:rPr>
          <w:rStyle w:val="FootnoteCharacters"/>
        </w:rPr>
        <w:footnoteRef/>
      </w:r>
      <w:r>
        <w:tab/>
        <w:t>Belden C, Lane,</w:t>
      </w:r>
      <w:r>
        <w:rPr>
          <w:i/>
          <w:iCs/>
        </w:rPr>
        <w:t xml:space="preserve"> Landscapes Of The Sacred</w:t>
      </w:r>
      <w:r>
        <w:t>. (Baltimore: Johns Hopkins University Press, 2002) p.19.</w:t>
      </w:r>
    </w:p>
  </w:footnote>
  <w:footnote w:id="29">
    <w:p w14:paraId="13F21AAD" w14:textId="77777777" w:rsidR="00487F99" w:rsidRDefault="002B0FCB">
      <w:pPr>
        <w:pStyle w:val="FootnoteText"/>
      </w:pPr>
      <w:r>
        <w:rPr>
          <w:rStyle w:val="FootnoteCharacters"/>
        </w:rPr>
        <w:footnoteRef/>
      </w:r>
      <w:r>
        <w:tab/>
        <w:t xml:space="preserve">Durkheim, </w:t>
      </w:r>
      <w:r>
        <w:rPr>
          <w:i/>
          <w:iCs/>
        </w:rPr>
        <w:t xml:space="preserve">The Elementary Forms of Religious Life, </w:t>
      </w:r>
      <w:r>
        <w:t>p. Xlvi,.1,41</w:t>
      </w:r>
    </w:p>
  </w:footnote>
  <w:footnote w:id="30">
    <w:p w14:paraId="49F60E94" w14:textId="77777777" w:rsidR="00487F99" w:rsidRDefault="002B0FCB">
      <w:pPr>
        <w:pStyle w:val="NormalWeb"/>
        <w:spacing w:before="166" w:after="166"/>
        <w:ind w:left="339" w:right="-334" w:hanging="339"/>
      </w:pPr>
      <w:r>
        <w:rPr>
          <w:rStyle w:val="FootnoteCharacters"/>
        </w:rPr>
        <w:footnoteRef/>
      </w:r>
      <w:r>
        <w:rPr>
          <w:rFonts w:ascii="Times New Roman" w:hAnsi="Times New Roman" w:cs="Times New Roman"/>
          <w:sz w:val="20"/>
          <w:szCs w:val="20"/>
        </w:rPr>
        <w:tab/>
        <w:t xml:space="preserve">Durkheim, </w:t>
      </w:r>
      <w:r>
        <w:rPr>
          <w:rFonts w:ascii="Times New Roman" w:hAnsi="Times New Roman" w:cs="Times New Roman"/>
          <w:i/>
          <w:iCs/>
          <w:sz w:val="20"/>
          <w:szCs w:val="20"/>
        </w:rPr>
        <w:t xml:space="preserve">The Elementary Forms of Religious Life, </w:t>
      </w:r>
      <w:r>
        <w:rPr>
          <w:rFonts w:ascii="Times New Roman" w:hAnsi="Times New Roman" w:cs="Times New Roman"/>
          <w:sz w:val="20"/>
          <w:szCs w:val="20"/>
        </w:rPr>
        <w:t>p.xlvii.</w:t>
      </w:r>
    </w:p>
  </w:footnote>
  <w:footnote w:id="31">
    <w:p w14:paraId="7F9A1249" w14:textId="77777777" w:rsidR="00487F99" w:rsidRDefault="002B0FCB">
      <w:pPr>
        <w:pStyle w:val="NormalWeb"/>
        <w:ind w:left="339" w:right="-334" w:hanging="339"/>
      </w:pPr>
      <w:r>
        <w:rPr>
          <w:rStyle w:val="FootnoteCharacters"/>
        </w:rPr>
        <w:footnoteRef/>
      </w:r>
      <w:r>
        <w:rPr>
          <w:rFonts w:ascii="Times New Roman" w:hAnsi="Times New Roman" w:cs="Times New Roman"/>
          <w:sz w:val="20"/>
          <w:szCs w:val="20"/>
        </w:rPr>
        <w:tab/>
        <w:t xml:space="preserve">Durkheim, </w:t>
      </w:r>
      <w:r>
        <w:rPr>
          <w:rFonts w:ascii="Times New Roman" w:hAnsi="Times New Roman" w:cs="Times New Roman"/>
          <w:i/>
          <w:iCs/>
          <w:sz w:val="20"/>
          <w:szCs w:val="20"/>
        </w:rPr>
        <w:t xml:space="preserve">The Elementary Forms of Religious Life, </w:t>
      </w:r>
      <w:r>
        <w:rPr>
          <w:rFonts w:ascii="Times New Roman" w:hAnsi="Times New Roman" w:cs="Times New Roman"/>
          <w:sz w:val="20"/>
          <w:szCs w:val="20"/>
        </w:rPr>
        <w:t>p.162-163.</w:t>
      </w:r>
    </w:p>
  </w:footnote>
  <w:footnote w:id="32">
    <w:p w14:paraId="54BC8882" w14:textId="77777777" w:rsidR="00487F99" w:rsidRDefault="002B0FCB">
      <w:pPr>
        <w:pStyle w:val="FootnoteText"/>
      </w:pPr>
      <w:r>
        <w:rPr>
          <w:rStyle w:val="FootnoteCharacters"/>
        </w:rPr>
        <w:footnoteRef/>
      </w:r>
      <w:r>
        <w:tab/>
        <w:t xml:space="preserve">Guranama kaura, </w:t>
      </w:r>
      <w:r>
        <w:rPr>
          <w:i/>
          <w:iCs/>
        </w:rPr>
        <w:t xml:space="preserve">Studies in Sikhism: Its Institutions and Its Scripture in Global Context. </w:t>
      </w:r>
      <w:r>
        <w:t xml:space="preserve">(Chandigarh: Unistar Books, 2013) p.57. </w:t>
      </w:r>
    </w:p>
  </w:footnote>
  <w:footnote w:id="33">
    <w:p w14:paraId="5FCDC528" w14:textId="77777777" w:rsidR="00487F99" w:rsidRDefault="002B0FCB">
      <w:pPr>
        <w:pStyle w:val="FootnoteText"/>
      </w:pPr>
      <w:r>
        <w:rPr>
          <w:rStyle w:val="FootnoteCharacters"/>
        </w:rPr>
        <w:footnoteRef/>
      </w:r>
      <w:r>
        <w:tab/>
        <w:t xml:space="preserve">Rahuldeep Singh Gill, </w:t>
      </w:r>
      <w:r>
        <w:rPr>
          <w:i/>
          <w:iCs/>
        </w:rPr>
        <w:t xml:space="preserve">Rituals and Worship.&lt; </w:t>
      </w:r>
      <w:hyperlink r:id="rId6">
        <w:r>
          <w:rPr>
            <w:rStyle w:val="Hyperlink"/>
          </w:rPr>
          <w:t>https://www.patheos.com/library/sikhism/ritual-worship-devotion-symbolism/sacred-space</w:t>
        </w:r>
      </w:hyperlink>
      <w:r>
        <w:t>&gt; [accessed 13</w:t>
      </w:r>
      <w:r>
        <w:rPr>
          <w:vertAlign w:val="superscript"/>
        </w:rPr>
        <w:t>th</w:t>
      </w:r>
      <w:r>
        <w:t xml:space="preserve"> December 2023]. </w:t>
      </w:r>
    </w:p>
  </w:footnote>
  <w:footnote w:id="34">
    <w:p w14:paraId="741178E1" w14:textId="77777777" w:rsidR="00487F99" w:rsidRDefault="002B0FCB">
      <w:pPr>
        <w:pStyle w:val="FootnoteText"/>
      </w:pPr>
      <w:r>
        <w:rPr>
          <w:rStyle w:val="FootnoteCharacters"/>
        </w:rPr>
        <w:footnoteRef/>
      </w:r>
      <w:r>
        <w:tab/>
        <w:t xml:space="preserve"> Guru Nanak Nishkam Sewak Jatha, </w:t>
      </w:r>
      <w:r>
        <w:rPr>
          <w:i/>
          <w:iCs/>
        </w:rPr>
        <w:t xml:space="preserve">Healthy Ageing in the 21st Century. </w:t>
      </w:r>
      <w:r>
        <w:t>(2013) &lt; Healthy Ageing in the 21st Century&gt; [accessed 29</w:t>
      </w:r>
      <w:r>
        <w:rPr>
          <w:vertAlign w:val="superscript"/>
        </w:rPr>
        <w:t>th</w:t>
      </w:r>
      <w:r>
        <w:t xml:space="preserve"> October 2023]. p.2.</w:t>
      </w:r>
    </w:p>
  </w:footnote>
  <w:footnote w:id="35">
    <w:p w14:paraId="5D573869" w14:textId="77777777" w:rsidR="00487F99" w:rsidRDefault="002B0FCB">
      <w:pPr>
        <w:pStyle w:val="FootnoteText"/>
      </w:pPr>
      <w:r>
        <w:rPr>
          <w:rStyle w:val="FootnoteCharacters"/>
        </w:rPr>
        <w:footnoteRef/>
      </w:r>
      <w:r>
        <w:tab/>
        <w:t>Olupona, C</w:t>
      </w:r>
      <w:r>
        <w:rPr>
          <w:i/>
          <w:iCs/>
        </w:rPr>
        <w:t>ity Of 201 Gods.</w:t>
      </w:r>
      <w:r>
        <w:t xml:space="preserve">  p.22-23.</w:t>
      </w:r>
    </w:p>
  </w:footnote>
  <w:footnote w:id="36">
    <w:p w14:paraId="761C0AE7" w14:textId="77777777" w:rsidR="00487F99" w:rsidRDefault="002B0FCB">
      <w:pPr>
        <w:pStyle w:val="FootnoteText"/>
      </w:pPr>
      <w:r>
        <w:rPr>
          <w:rStyle w:val="FootnoteCharacters"/>
        </w:rPr>
        <w:footnoteRef/>
      </w:r>
      <w:r>
        <w:tab/>
        <w:t>Roy A. Rappaport,</w:t>
      </w:r>
      <w:r>
        <w:rPr>
          <w:i/>
          <w:iCs/>
        </w:rPr>
        <w:t xml:space="preserve"> Ritual And Religion In The Making Of Humanity.</w:t>
      </w:r>
      <w:r>
        <w:t xml:space="preserve"> (Cambridge: Cambridge University Press, 1999). p.209.</w:t>
      </w:r>
    </w:p>
  </w:footnote>
  <w:footnote w:id="37">
    <w:p w14:paraId="2CDB3C4D" w14:textId="77777777" w:rsidR="00487F99" w:rsidRDefault="002B0FCB">
      <w:pPr>
        <w:pStyle w:val="FootnoteText"/>
      </w:pPr>
      <w:r>
        <w:rPr>
          <w:rStyle w:val="FootnoteCharacters"/>
        </w:rPr>
        <w:footnoteRef/>
      </w:r>
      <w:r>
        <w:tab/>
        <w:t xml:space="preserve">Mircea Eliade, </w:t>
      </w:r>
      <w:r>
        <w:rPr>
          <w:i/>
          <w:iCs/>
        </w:rPr>
        <w:t>The Sacred And The Profane: The Nature of Religion,</w:t>
      </w:r>
      <w:r>
        <w:t xml:space="preserve"> p.22.</w:t>
      </w:r>
    </w:p>
  </w:footnote>
  <w:footnote w:id="38">
    <w:p w14:paraId="71A51D87" w14:textId="77777777" w:rsidR="00487F99" w:rsidRDefault="002B0FCB">
      <w:pPr>
        <w:pStyle w:val="FootnoteText"/>
      </w:pPr>
      <w:r>
        <w:rPr>
          <w:rStyle w:val="FootnoteCharacters"/>
        </w:rPr>
        <w:footnoteRef/>
      </w:r>
      <w:r>
        <w:tab/>
        <w:t>Mircea Eliade, I</w:t>
      </w:r>
      <w:r>
        <w:rPr>
          <w:i/>
          <w:iCs/>
        </w:rPr>
        <w:t>mages and Symbols: Studies in Religious Symbolisim.</w:t>
      </w:r>
      <w:r>
        <w:t xml:space="preserve"> (London: Harvill press, 1961). p.21-40.</w:t>
      </w:r>
    </w:p>
  </w:footnote>
  <w:footnote w:id="39">
    <w:p w14:paraId="666AAFCA" w14:textId="77777777" w:rsidR="00487F99" w:rsidRDefault="002B0FCB">
      <w:pPr>
        <w:pStyle w:val="FootnoteText"/>
      </w:pPr>
      <w:r>
        <w:rPr>
          <w:rStyle w:val="FootnoteCharacters"/>
        </w:rPr>
        <w:footnoteRef/>
      </w:r>
      <w:r>
        <w:tab/>
        <w:t xml:space="preserve">Eliade, </w:t>
      </w:r>
      <w:r>
        <w:rPr>
          <w:i/>
          <w:iCs/>
        </w:rPr>
        <w:t>The Sacred and The Profane,</w:t>
      </w:r>
      <w:r>
        <w:t xml:space="preserve"> p.43.</w:t>
      </w:r>
    </w:p>
  </w:footnote>
  <w:footnote w:id="40">
    <w:p w14:paraId="25E6BA04" w14:textId="77777777" w:rsidR="00487F99" w:rsidRDefault="002B0FCB">
      <w:pPr>
        <w:pStyle w:val="FootnoteText"/>
      </w:pPr>
      <w:r>
        <w:rPr>
          <w:rStyle w:val="FootnoteCharacters"/>
        </w:rPr>
        <w:footnoteRef/>
      </w:r>
      <w:r>
        <w:tab/>
        <w:t xml:space="preserve">David Chidester, Edward T, Linenthal, </w:t>
      </w:r>
      <w:r>
        <w:rPr>
          <w:i/>
          <w:iCs/>
        </w:rPr>
        <w:t xml:space="preserve">American Sacred Space. </w:t>
      </w:r>
      <w:r>
        <w:t>(America: Indiana University Press, 1995). p.7.</w:t>
      </w:r>
    </w:p>
  </w:footnote>
  <w:footnote w:id="41">
    <w:p w14:paraId="1F7AF8EE" w14:textId="77777777" w:rsidR="00487F99" w:rsidRDefault="002B0FCB">
      <w:pPr>
        <w:pStyle w:val="FootnoteText"/>
      </w:pPr>
      <w:r>
        <w:rPr>
          <w:rStyle w:val="FootnoteCharacters"/>
        </w:rPr>
        <w:footnoteRef/>
      </w:r>
      <w:r>
        <w:tab/>
        <w:t xml:space="preserve">Katie Day, </w:t>
      </w:r>
      <w:r>
        <w:rPr>
          <w:i/>
          <w:iCs/>
        </w:rPr>
        <w:t>Faith on the Avenue</w:t>
      </w:r>
      <w:r>
        <w:rPr>
          <w:rFonts w:ascii="Verdana Pro Light" w:hAnsi="Verdana Pro Light" w:cs="Verdana Pro Light"/>
          <w:color w:val="000000"/>
          <w:sz w:val="24"/>
          <w:szCs w:val="24"/>
        </w:rPr>
        <w:t xml:space="preserve"> </w:t>
      </w:r>
      <w:r>
        <w:rPr>
          <w:color w:val="000000"/>
        </w:rPr>
        <w:t>(Oxfo</w:t>
      </w:r>
      <w:r>
        <w:t xml:space="preserve">rd: Oxford University Press, 2014) </w:t>
      </w:r>
      <w:r>
        <w:rPr>
          <w:i/>
          <w:iCs/>
        </w:rPr>
        <w:t xml:space="preserve"> </w:t>
      </w:r>
      <w:r>
        <w:t xml:space="preserve">p.52. </w:t>
      </w:r>
    </w:p>
  </w:footnote>
  <w:footnote w:id="42">
    <w:p w14:paraId="4BAC9542" w14:textId="77777777" w:rsidR="00487F99" w:rsidRDefault="002B0FCB">
      <w:pPr>
        <w:pStyle w:val="FootnoteText"/>
      </w:pPr>
      <w:r>
        <w:rPr>
          <w:rStyle w:val="FootnoteCharacters"/>
        </w:rPr>
        <w:footnoteRef/>
      </w:r>
      <w:r>
        <w:tab/>
        <w:t xml:space="preserve">Guru Nanak Nishkam Sewak Jatha, </w:t>
      </w:r>
      <w:r>
        <w:rPr>
          <w:i/>
          <w:iCs/>
        </w:rPr>
        <w:t xml:space="preserve">A Visit To A Gurdwara Served By Guru Nanak Nishkam Sewak Jatha. </w:t>
      </w:r>
      <w:r>
        <w:t xml:space="preserve">(2021) &lt; </w:t>
      </w:r>
      <w:hyperlink r:id="rId7">
        <w:r>
          <w:rPr>
            <w:rStyle w:val="Hyperlink"/>
          </w:rPr>
          <w:t>https://birmingham-faith-visits.theartssociety.org/node/6</w:t>
        </w:r>
      </w:hyperlink>
      <w:r>
        <w:t>&gt; [accessed 16</w:t>
      </w:r>
      <w:r>
        <w:rPr>
          <w:vertAlign w:val="superscript"/>
        </w:rPr>
        <w:t>th</w:t>
      </w:r>
      <w:r>
        <w:t xml:space="preserve"> November 2023]. </w:t>
      </w:r>
    </w:p>
  </w:footnote>
  <w:footnote w:id="43">
    <w:p w14:paraId="36E6D3CD" w14:textId="77777777" w:rsidR="00487F99" w:rsidRDefault="002B0FCB">
      <w:pPr>
        <w:pStyle w:val="FootnoteText"/>
      </w:pPr>
      <w:r>
        <w:rPr>
          <w:rStyle w:val="FootnoteCharacters"/>
        </w:rPr>
        <w:footnoteRef/>
      </w:r>
      <w:r>
        <w:tab/>
        <w:t xml:space="preserve">Guru Nanak Nishkam Sewak Jatha, </w:t>
      </w:r>
      <w:r>
        <w:rPr>
          <w:i/>
          <w:iCs/>
        </w:rPr>
        <w:t xml:space="preserve">A Visit To A Gurdwara Served By Guru Nanak Nishkam Sewak Jatha. </w:t>
      </w:r>
      <w:r>
        <w:t xml:space="preserve">(2021) &lt; </w:t>
      </w:r>
      <w:hyperlink r:id="rId8">
        <w:r>
          <w:rPr>
            <w:rStyle w:val="Hyperlink"/>
          </w:rPr>
          <w:t>https://birmingham-faith-visits.theartssociety.org/node/6</w:t>
        </w:r>
      </w:hyperlink>
      <w:r>
        <w:t>&gt; [accessed 16</w:t>
      </w:r>
      <w:r>
        <w:rPr>
          <w:vertAlign w:val="superscript"/>
        </w:rPr>
        <w:t>th</w:t>
      </w:r>
      <w:r>
        <w:t xml:space="preserve"> November 2023]. </w:t>
      </w:r>
    </w:p>
  </w:footnote>
  <w:footnote w:id="44">
    <w:p w14:paraId="50583C9C" w14:textId="77777777" w:rsidR="00487F99" w:rsidRDefault="002B0FCB">
      <w:pPr>
        <w:pStyle w:val="FootnoteText"/>
        <w:ind w:left="0" w:firstLine="0"/>
      </w:pPr>
      <w:r>
        <w:rPr>
          <w:rStyle w:val="FootnoteCharacters"/>
        </w:rPr>
        <w:footnoteRef/>
      </w:r>
      <w:r>
        <w:rPr>
          <w:color w:val="000000"/>
        </w:rPr>
        <w:t xml:space="preserve">  Jagbir Jhutti-Johal, </w:t>
      </w:r>
      <w:r>
        <w:rPr>
          <w:i/>
          <w:iCs/>
          <w:color w:val="000000"/>
        </w:rPr>
        <w:t>Sikhism Today,</w:t>
      </w:r>
      <w:r>
        <w:rPr>
          <w:color w:val="000000"/>
        </w:rPr>
        <w:t xml:space="preserve"> p.X.</w:t>
      </w:r>
    </w:p>
  </w:footnote>
  <w:footnote w:id="45">
    <w:p w14:paraId="6419FE0B" w14:textId="77777777" w:rsidR="00487F99" w:rsidRDefault="002B0FCB">
      <w:pPr>
        <w:pStyle w:val="FootnoteText"/>
      </w:pPr>
      <w:r>
        <w:rPr>
          <w:rStyle w:val="FootnoteCharacters"/>
        </w:rPr>
        <w:footnoteRef/>
      </w:r>
      <w:r>
        <w:tab/>
        <w:t xml:space="preserve">Guru Nanak Nishkam Sewak Jatha, </w:t>
      </w:r>
      <w:r>
        <w:rPr>
          <w:i/>
          <w:iCs/>
        </w:rPr>
        <w:t xml:space="preserve">A Visit To A Gurdwara Served By Guru Nanak Nishkam Sewak Jatha. </w:t>
      </w:r>
      <w:r>
        <w:t xml:space="preserve">(2021) &lt; </w:t>
      </w:r>
      <w:hyperlink r:id="rId9">
        <w:r>
          <w:rPr>
            <w:rStyle w:val="Hyperlink"/>
          </w:rPr>
          <w:t>https://birmingham-faith-visits.theartssociety.org/node/6</w:t>
        </w:r>
      </w:hyperlink>
      <w:r>
        <w:t>&gt; [accessed 16</w:t>
      </w:r>
      <w:r>
        <w:rPr>
          <w:vertAlign w:val="superscript"/>
        </w:rPr>
        <w:t>th</w:t>
      </w:r>
      <w:r>
        <w:t xml:space="preserve"> November 2023]. p.3.</w:t>
      </w:r>
    </w:p>
  </w:footnote>
  <w:footnote w:id="46">
    <w:p w14:paraId="5433CFE0" w14:textId="77777777" w:rsidR="00487F99" w:rsidRDefault="002B0FCB">
      <w:pPr>
        <w:pStyle w:val="FootnoteText"/>
      </w:pPr>
      <w:r>
        <w:rPr>
          <w:rStyle w:val="FootnoteCharacters"/>
        </w:rPr>
        <w:footnoteRef/>
      </w:r>
      <w:r>
        <w:tab/>
        <w:t xml:space="preserve">Guru Nanak Nishkam Sewak Jata, </w:t>
      </w:r>
      <w:r>
        <w:rPr>
          <w:i/>
          <w:iCs/>
        </w:rPr>
        <w:t xml:space="preserve">Healthy Ageing in the 21st Century. </w:t>
      </w:r>
      <w:r>
        <w:t>(2013) &lt; Healthy Ageing in the 21st Century&gt; [accessed 29</w:t>
      </w:r>
      <w:r>
        <w:rPr>
          <w:vertAlign w:val="superscript"/>
        </w:rPr>
        <w:t>th</w:t>
      </w:r>
      <w:r>
        <w:t xml:space="preserve"> October 2023]. p.1-10.</w:t>
      </w:r>
    </w:p>
  </w:footnote>
  <w:footnote w:id="47">
    <w:p w14:paraId="62BAA315" w14:textId="77777777" w:rsidR="00487F99" w:rsidRDefault="002B0FCB">
      <w:pPr>
        <w:pStyle w:val="NormalWeb"/>
        <w:ind w:left="339" w:right="-334" w:hanging="339"/>
      </w:pPr>
      <w:r>
        <w:rPr>
          <w:rStyle w:val="FootnoteCharacters"/>
        </w:rPr>
        <w:footnoteRef/>
      </w:r>
      <w:r>
        <w:rPr>
          <w:rFonts w:ascii="Times New Roman" w:hAnsi="Times New Roman" w:cs="Times New Roman"/>
          <w:sz w:val="20"/>
          <w:szCs w:val="20"/>
        </w:rPr>
        <w:tab/>
        <w:t xml:space="preserve">Durkheim, </w:t>
      </w:r>
      <w:r>
        <w:rPr>
          <w:rFonts w:ascii="Times New Roman" w:hAnsi="Times New Roman" w:cs="Times New Roman"/>
          <w:i/>
          <w:iCs/>
          <w:sz w:val="20"/>
          <w:szCs w:val="20"/>
        </w:rPr>
        <w:t xml:space="preserve">The Elementary Forms of Religious Life, </w:t>
      </w:r>
      <w:r>
        <w:rPr>
          <w:rFonts w:ascii="Times New Roman" w:hAnsi="Times New Roman" w:cs="Times New Roman"/>
          <w:sz w:val="20"/>
          <w:szCs w:val="20"/>
        </w:rPr>
        <w:t>p.312.</w:t>
      </w:r>
    </w:p>
  </w:footnote>
  <w:footnote w:id="48">
    <w:p w14:paraId="2D0F4D3F" w14:textId="77777777" w:rsidR="00487F99" w:rsidRDefault="002B0FCB">
      <w:pPr>
        <w:pStyle w:val="NormalWeb"/>
        <w:ind w:left="339" w:right="-334" w:hanging="339"/>
      </w:pPr>
      <w:r>
        <w:rPr>
          <w:rStyle w:val="FootnoteCharacters"/>
        </w:rPr>
        <w:footnoteRef/>
      </w:r>
      <w:r>
        <w:rPr>
          <w:rFonts w:ascii="Times New Roman" w:hAnsi="Times New Roman" w:cs="Times New Roman"/>
          <w:sz w:val="20"/>
          <w:szCs w:val="20"/>
        </w:rPr>
        <w:tab/>
        <w:t xml:space="preserve"> Durkheim, </w:t>
      </w:r>
      <w:r>
        <w:rPr>
          <w:rFonts w:ascii="Times New Roman" w:hAnsi="Times New Roman" w:cs="Times New Roman"/>
          <w:i/>
          <w:iCs/>
          <w:sz w:val="20"/>
          <w:szCs w:val="20"/>
        </w:rPr>
        <w:t xml:space="preserve">The Elementary Forms of Religious Life, </w:t>
      </w:r>
      <w:r>
        <w:rPr>
          <w:rFonts w:ascii="Times New Roman" w:hAnsi="Times New Roman" w:cs="Times New Roman"/>
          <w:sz w:val="20"/>
          <w:szCs w:val="20"/>
        </w:rPr>
        <w:t>p.312.</w:t>
      </w:r>
    </w:p>
  </w:footnote>
  <w:footnote w:id="49">
    <w:p w14:paraId="3F1343F3" w14:textId="77777777" w:rsidR="00487F99" w:rsidRDefault="002B0FCB">
      <w:pPr>
        <w:pStyle w:val="FootnoteText"/>
      </w:pPr>
      <w:r>
        <w:rPr>
          <w:rStyle w:val="FootnoteCharacters"/>
        </w:rPr>
        <w:footnoteRef/>
      </w:r>
      <w:r>
        <w:tab/>
        <w:t xml:space="preserve">Eliade, </w:t>
      </w:r>
      <w:r>
        <w:rPr>
          <w:i/>
          <w:iCs/>
        </w:rPr>
        <w:t>The Sacred And The Profane: The Nature of Religion</w:t>
      </w:r>
      <w:r>
        <w:t>,  p.25.</w:t>
      </w:r>
    </w:p>
  </w:footnote>
  <w:footnote w:id="50">
    <w:p w14:paraId="6122A7DA" w14:textId="77777777" w:rsidR="00487F99" w:rsidRDefault="002B0FCB">
      <w:pPr>
        <w:pStyle w:val="FootnoteText"/>
      </w:pPr>
      <w:r>
        <w:rPr>
          <w:rStyle w:val="FootnoteCharacters"/>
        </w:rPr>
        <w:footnoteRef/>
      </w:r>
      <w:r>
        <w:tab/>
        <w:t xml:space="preserve">Durkheim, </w:t>
      </w:r>
      <w:r>
        <w:rPr>
          <w:i/>
          <w:iCs/>
        </w:rPr>
        <w:t xml:space="preserve">The Elementary Forms of Religious Life, </w:t>
      </w:r>
      <w:r>
        <w:t>p.313.</w:t>
      </w:r>
    </w:p>
  </w:footnote>
  <w:footnote w:id="51">
    <w:p w14:paraId="098E4997" w14:textId="77777777" w:rsidR="00487F99" w:rsidRDefault="002B0FCB">
      <w:pPr>
        <w:pStyle w:val="FootnoteText"/>
      </w:pPr>
      <w:r>
        <w:rPr>
          <w:rStyle w:val="FootnoteCharacters"/>
        </w:rPr>
        <w:footnoteRef/>
      </w:r>
      <w:r>
        <w:tab/>
        <w:t xml:space="preserve">Fumihiko Seta and others, </w:t>
      </w:r>
      <w:r>
        <w:rPr>
          <w:i/>
          <w:iCs/>
        </w:rPr>
        <w:t xml:space="preserve">Understanding Built Environment, Proceedings of the National Conference on Sustainable built environment 2015. </w:t>
      </w:r>
      <w:r>
        <w:t>(Singapore: Springer, 2017), p.39.</w:t>
      </w:r>
    </w:p>
  </w:footnote>
  <w:footnote w:id="52">
    <w:p w14:paraId="32A9CED8" w14:textId="77777777" w:rsidR="00487F99" w:rsidRDefault="002B0FCB">
      <w:pPr>
        <w:pStyle w:val="FootnoteText"/>
      </w:pPr>
      <w:r>
        <w:rPr>
          <w:rStyle w:val="FootnoteCharacters"/>
        </w:rPr>
        <w:footnoteRef/>
      </w:r>
      <w:r>
        <w:tab/>
        <w:t>Eleanor Nesbitt,’Sikh Sacred Places’</w:t>
      </w:r>
      <w:r>
        <w:rPr>
          <w:i/>
          <w:iCs/>
        </w:rPr>
        <w:t xml:space="preserve"> The British Library. &lt;</w:t>
      </w:r>
      <w:r>
        <w:t>https://www,khanacademy.org/humanities/art-asia/beginners-guide-asian-culture/x97ec695a;sikhism/a/sikh-sacred-places&gt;  [accessed 12</w:t>
      </w:r>
      <w:r>
        <w:rPr>
          <w:vertAlign w:val="superscript"/>
        </w:rPr>
        <w:t>th</w:t>
      </w:r>
      <w:r>
        <w:t xml:space="preserve"> December 2023]. </w:t>
      </w:r>
    </w:p>
  </w:footnote>
  <w:footnote w:id="53">
    <w:p w14:paraId="3770F5A8" w14:textId="77777777" w:rsidR="00487F99" w:rsidRDefault="002B0FCB">
      <w:pPr>
        <w:pStyle w:val="FootnoteText"/>
      </w:pPr>
      <w:r>
        <w:rPr>
          <w:rStyle w:val="FootnoteCharacters"/>
        </w:rPr>
        <w:footnoteRef/>
      </w:r>
      <w:r>
        <w:tab/>
        <w:t xml:space="preserve">Guru Nanak Nishkam Sewak Jatha, </w:t>
      </w:r>
      <w:r>
        <w:rPr>
          <w:i/>
          <w:iCs/>
        </w:rPr>
        <w:t xml:space="preserve">Healthy Ageing in the 21st Century. </w:t>
      </w:r>
      <w:r>
        <w:t>(2013) &lt; Healthy Ageing in the 21st Century&gt; [accessed 29</w:t>
      </w:r>
      <w:r>
        <w:rPr>
          <w:vertAlign w:val="superscript"/>
        </w:rPr>
        <w:t>th</w:t>
      </w:r>
      <w:r>
        <w:t xml:space="preserve"> October 2023]. </w:t>
      </w:r>
    </w:p>
  </w:footnote>
  <w:footnote w:id="54">
    <w:p w14:paraId="038D08EC" w14:textId="77777777" w:rsidR="00487F99" w:rsidRDefault="002B0FCB">
      <w:pPr>
        <w:pStyle w:val="FootnoteText"/>
      </w:pPr>
      <w:r>
        <w:rPr>
          <w:rStyle w:val="FootnoteCharacters"/>
        </w:rPr>
        <w:footnoteRef/>
      </w:r>
      <w:r>
        <w:tab/>
        <w:t xml:space="preserve">Chidester and , Linenthal, </w:t>
      </w:r>
      <w:r>
        <w:rPr>
          <w:i/>
          <w:iCs/>
        </w:rPr>
        <w:t xml:space="preserve">American Sacred Space. </w:t>
      </w:r>
      <w:r>
        <w:t xml:space="preserve"> p.7.</w:t>
      </w:r>
    </w:p>
  </w:footnote>
  <w:footnote w:id="55">
    <w:p w14:paraId="549C05DF" w14:textId="77777777" w:rsidR="00487F99" w:rsidRDefault="002B0FCB">
      <w:pPr>
        <w:pStyle w:val="FootnoteText"/>
      </w:pPr>
      <w:r>
        <w:rPr>
          <w:rStyle w:val="FootnoteCharacters"/>
        </w:rPr>
        <w:footnoteRef/>
      </w:r>
      <w:r>
        <w:tab/>
        <w:t xml:space="preserve">Elizabeth Burns Coleman, </w:t>
      </w:r>
      <w:r>
        <w:rPr>
          <w:i/>
          <w:iCs/>
        </w:rPr>
        <w:t xml:space="preserve">Negotiating the sacred: blasphemy and sacrilege in the arts. </w:t>
      </w:r>
      <w:r>
        <w:t xml:space="preserve">(Australia: ANU E Press, 2008). p.121. </w:t>
      </w:r>
    </w:p>
  </w:footnote>
  <w:footnote w:id="56">
    <w:p w14:paraId="009A2870" w14:textId="77777777" w:rsidR="00487F99" w:rsidRDefault="002B0FCB">
      <w:pPr>
        <w:pStyle w:val="FootnoteText"/>
      </w:pPr>
      <w:r>
        <w:rPr>
          <w:rStyle w:val="FootnoteCharacters"/>
        </w:rPr>
        <w:footnoteRef/>
      </w:r>
      <w:r>
        <w:tab/>
        <w:t>Leeuw,</w:t>
      </w:r>
      <w:r>
        <w:rPr>
          <w:i/>
          <w:iCs/>
        </w:rPr>
        <w:t xml:space="preserve"> Religion in Essence and Manifestation.</w:t>
      </w:r>
      <w:r>
        <w:t xml:space="preserve"> p.393</w:t>
      </w:r>
    </w:p>
  </w:footnote>
  <w:footnote w:id="57">
    <w:p w14:paraId="350DFDCC" w14:textId="77777777" w:rsidR="00487F99" w:rsidRDefault="002B0FCB">
      <w:pPr>
        <w:pStyle w:val="FootnoteText"/>
      </w:pPr>
      <w:r>
        <w:rPr>
          <w:rStyle w:val="FootnoteCharacters"/>
        </w:rPr>
        <w:footnoteRef/>
      </w:r>
      <w:r>
        <w:tab/>
        <w:t xml:space="preserve">Guru Nanak Nishkam Sewak Jatha, </w:t>
      </w:r>
      <w:r>
        <w:rPr>
          <w:i/>
          <w:iCs/>
        </w:rPr>
        <w:t xml:space="preserve">Healthy Ageing in the 21st Century. </w:t>
      </w:r>
      <w:r>
        <w:t>(2013) &lt; Healthy Ageing in the 21st Century&gt; [accessed 29</w:t>
      </w:r>
      <w:r>
        <w:rPr>
          <w:vertAlign w:val="superscript"/>
        </w:rPr>
        <w:t>th</w:t>
      </w:r>
      <w:r>
        <w:t xml:space="preserve"> October 2023]. </w:t>
      </w:r>
    </w:p>
  </w:footnote>
  <w:footnote w:id="58">
    <w:p w14:paraId="74CE3BEC" w14:textId="77777777" w:rsidR="00487F99" w:rsidRDefault="002B0FCB">
      <w:pPr>
        <w:pStyle w:val="FootnoteText"/>
      </w:pPr>
      <w:r>
        <w:rPr>
          <w:rStyle w:val="FootnoteCharacters"/>
        </w:rPr>
        <w:footnoteRef/>
      </w:r>
      <w:r>
        <w:tab/>
        <w:t xml:space="preserve">Eliade, </w:t>
      </w:r>
      <w:r>
        <w:rPr>
          <w:i/>
          <w:iCs/>
        </w:rPr>
        <w:t>The Sacred And The Profane: The Nature of Religion</w:t>
      </w:r>
      <w:r>
        <w:t>,  p.29.</w:t>
      </w:r>
    </w:p>
  </w:footnote>
  <w:footnote w:id="59">
    <w:p w14:paraId="26DDB6A6" w14:textId="77777777" w:rsidR="00487F99" w:rsidRDefault="002B0FCB">
      <w:pPr>
        <w:pStyle w:val="FootnoteText"/>
      </w:pPr>
      <w:r>
        <w:rPr>
          <w:rStyle w:val="FootnoteCharacters"/>
        </w:rPr>
        <w:footnoteRef/>
      </w:r>
      <w:r>
        <w:tab/>
        <w:t>Kilde, The</w:t>
      </w:r>
      <w:r>
        <w:rPr>
          <w:i/>
          <w:iCs/>
        </w:rPr>
        <w:t xml:space="preserve"> Oxford Handbook of Religious Space, </w:t>
      </w:r>
      <w:r>
        <w:t>p.12.</w:t>
      </w:r>
    </w:p>
  </w:footnote>
  <w:footnote w:id="60">
    <w:p w14:paraId="22B4BB60" w14:textId="77777777" w:rsidR="00487F99" w:rsidRDefault="002B0FCB">
      <w:pPr>
        <w:pStyle w:val="NormalWeb"/>
        <w:ind w:left="339" w:right="-334" w:hanging="339"/>
      </w:pPr>
      <w:r>
        <w:rPr>
          <w:rStyle w:val="FootnoteCharacters"/>
        </w:rPr>
        <w:footnoteRef/>
      </w:r>
      <w:r>
        <w:rPr>
          <w:rFonts w:ascii="Times New Roman" w:hAnsi="Times New Roman" w:cs="Times New Roman"/>
          <w:sz w:val="20"/>
          <w:szCs w:val="20"/>
        </w:rPr>
        <w:tab/>
        <w:t xml:space="preserve">Durkheim, </w:t>
      </w:r>
      <w:r>
        <w:rPr>
          <w:rFonts w:ascii="Times New Roman" w:hAnsi="Times New Roman" w:cs="Times New Roman"/>
          <w:i/>
          <w:iCs/>
          <w:sz w:val="20"/>
          <w:szCs w:val="20"/>
        </w:rPr>
        <w:t xml:space="preserve">The Elementary Forms of Religious Life, </w:t>
      </w:r>
      <w:r>
        <w:rPr>
          <w:rFonts w:ascii="Times New Roman" w:hAnsi="Times New Roman" w:cs="Times New Roman"/>
          <w:sz w:val="20"/>
          <w:szCs w:val="20"/>
        </w:rPr>
        <w:t xml:space="preserve">p.xlvi-v. </w:t>
      </w:r>
    </w:p>
  </w:footnote>
  <w:footnote w:id="61">
    <w:p w14:paraId="0A8506C7" w14:textId="77777777" w:rsidR="00487F99" w:rsidRDefault="002B0FCB">
      <w:pPr>
        <w:pStyle w:val="FootnoteText"/>
      </w:pPr>
      <w:r>
        <w:rPr>
          <w:rStyle w:val="FootnoteCharacters"/>
        </w:rPr>
        <w:footnoteRef/>
      </w:r>
      <w:r>
        <w:tab/>
        <w:t xml:space="preserve"> Guru Nanak Nishkam Sewak Jatha, </w:t>
      </w:r>
      <w:r>
        <w:rPr>
          <w:i/>
          <w:iCs/>
        </w:rPr>
        <w:t xml:space="preserve">Healthy Ageing in the 21st Century. </w:t>
      </w:r>
      <w:r>
        <w:t>(2013) &lt; Healthy Ageing in the 21st Century&gt; [accessed 29</w:t>
      </w:r>
      <w:r>
        <w:rPr>
          <w:vertAlign w:val="superscript"/>
        </w:rPr>
        <w:t>th</w:t>
      </w:r>
      <w:r>
        <w:t xml:space="preserve"> October 2023]. p.2.</w:t>
      </w:r>
    </w:p>
  </w:footnote>
  <w:footnote w:id="62">
    <w:p w14:paraId="2C61BCE9" w14:textId="77777777" w:rsidR="00487F99" w:rsidRDefault="002B0FCB">
      <w:pPr>
        <w:pStyle w:val="FootnoteText"/>
      </w:pPr>
      <w:r>
        <w:rPr>
          <w:rStyle w:val="FootnoteCharacters"/>
        </w:rPr>
        <w:footnoteRef/>
      </w:r>
      <w:r>
        <w:tab/>
        <w:t xml:space="preserve"> Guru Nanak Nishkam Sewak Jatha, </w:t>
      </w:r>
      <w:r>
        <w:rPr>
          <w:i/>
          <w:iCs/>
        </w:rPr>
        <w:t xml:space="preserve">Healthy Ageing in the 21st Century. </w:t>
      </w:r>
      <w:r>
        <w:t>(2013) &lt; Healthy Ageing in the 21st Century&gt; [accessed 29</w:t>
      </w:r>
      <w:r>
        <w:rPr>
          <w:vertAlign w:val="superscript"/>
        </w:rPr>
        <w:t>th</w:t>
      </w:r>
      <w:r>
        <w:t xml:space="preserve"> October 2023]. p.2.</w:t>
      </w:r>
    </w:p>
  </w:footnote>
  <w:footnote w:id="63">
    <w:p w14:paraId="3C990E76" w14:textId="77777777" w:rsidR="00487F99" w:rsidRDefault="002B0FCB">
      <w:pPr>
        <w:pStyle w:val="FootnoteText"/>
      </w:pPr>
      <w:r>
        <w:rPr>
          <w:rStyle w:val="FootnoteCharacters"/>
        </w:rPr>
        <w:footnoteRef/>
      </w:r>
      <w:r>
        <w:tab/>
        <w:t xml:space="preserve">Durkheim, </w:t>
      </w:r>
      <w:r>
        <w:rPr>
          <w:i/>
          <w:iCs/>
        </w:rPr>
        <w:t>The Elementary Forms of Religious Life,</w:t>
      </w:r>
      <w:r>
        <w:t xml:space="preserve"> p.xlvi-v.</w:t>
      </w:r>
    </w:p>
  </w:footnote>
  <w:footnote w:id="64">
    <w:p w14:paraId="56CC9A36" w14:textId="77777777" w:rsidR="00487F99" w:rsidRDefault="002B0FCB">
      <w:pPr>
        <w:pStyle w:val="FootnoteText"/>
        <w:ind w:left="0" w:firstLine="0"/>
      </w:pPr>
      <w:r>
        <w:rPr>
          <w:rStyle w:val="FootnoteCharacters"/>
        </w:rPr>
        <w:footnoteRef/>
      </w:r>
      <w:r>
        <w:rPr>
          <w:color w:val="000000"/>
        </w:rPr>
        <w:t xml:space="preserve">   Jagbir Jhutti-Johal, </w:t>
      </w:r>
      <w:r>
        <w:rPr>
          <w:i/>
          <w:iCs/>
          <w:color w:val="000000"/>
        </w:rPr>
        <w:t>Sikhism Today,</w:t>
      </w:r>
      <w:r>
        <w:rPr>
          <w:color w:val="000000"/>
        </w:rPr>
        <w:t xml:space="preserve"> p.X.</w:t>
      </w:r>
    </w:p>
  </w:footnote>
  <w:footnote w:id="65">
    <w:p w14:paraId="0244DF30" w14:textId="77777777" w:rsidR="00487F99" w:rsidRDefault="002B0FCB">
      <w:pPr>
        <w:pStyle w:val="FootnoteText"/>
      </w:pPr>
      <w:r>
        <w:rPr>
          <w:rStyle w:val="FootnoteCharacters"/>
        </w:rPr>
        <w:footnoteRef/>
      </w:r>
      <w:r>
        <w:tab/>
        <w:t xml:space="preserve">Durkheim, </w:t>
      </w:r>
      <w:r>
        <w:rPr>
          <w:i/>
          <w:iCs/>
        </w:rPr>
        <w:t>The Elementary Forms of Religious Life,</w:t>
      </w:r>
      <w:r>
        <w:t xml:space="preserve"> p.312.</w:t>
      </w:r>
    </w:p>
  </w:footnote>
  <w:footnote w:id="66">
    <w:p w14:paraId="2732F88D" w14:textId="77777777" w:rsidR="00487F99" w:rsidRDefault="002B0FCB">
      <w:pPr>
        <w:pStyle w:val="FootnoteText"/>
      </w:pPr>
      <w:r>
        <w:rPr>
          <w:rStyle w:val="FootnoteCharacters"/>
        </w:rPr>
        <w:footnoteRef/>
      </w:r>
      <w:r>
        <w:tab/>
        <w:t xml:space="preserve">Jeanne Halgren Kilde, </w:t>
      </w:r>
      <w:r>
        <w:rPr>
          <w:i/>
          <w:iCs/>
        </w:rPr>
        <w:t xml:space="preserve">The Oxford Handbook of Religious Space, </w:t>
      </w:r>
      <w:r>
        <w:t xml:space="preserve">(Oxford: Oxford University Press, 2022). p.12. </w:t>
      </w:r>
    </w:p>
  </w:footnote>
  <w:footnote w:id="67">
    <w:p w14:paraId="6975F0F8" w14:textId="77777777" w:rsidR="00487F99" w:rsidRDefault="002B0FCB">
      <w:pPr>
        <w:pStyle w:val="FootnoteText"/>
      </w:pPr>
      <w:r>
        <w:rPr>
          <w:rStyle w:val="FootnoteCharacters"/>
        </w:rPr>
        <w:footnoteRef/>
      </w:r>
      <w:r>
        <w:tab/>
        <w:t xml:space="preserve">Durkheim, </w:t>
      </w:r>
      <w:r>
        <w:rPr>
          <w:i/>
          <w:iCs/>
        </w:rPr>
        <w:t>The Elementary Forms of Religious Life,</w:t>
      </w:r>
      <w:r>
        <w:t xml:space="preserve"> p.312.</w:t>
      </w:r>
    </w:p>
  </w:footnote>
  <w:footnote w:id="68">
    <w:p w14:paraId="6CAA5054" w14:textId="77777777" w:rsidR="00487F99" w:rsidRDefault="002B0FCB">
      <w:pPr>
        <w:pStyle w:val="FootnoteText"/>
      </w:pPr>
      <w:r>
        <w:rPr>
          <w:rStyle w:val="FootnoteCharacters"/>
        </w:rPr>
        <w:footnoteRef/>
      </w:r>
      <w:r>
        <w:tab/>
        <w:t xml:space="preserve">Eliade, </w:t>
      </w:r>
      <w:r>
        <w:rPr>
          <w:i/>
          <w:iCs/>
        </w:rPr>
        <w:t>The Sacred And The Profane: The Nature of Religion</w:t>
      </w:r>
      <w:r>
        <w:t>, p.25.</w:t>
      </w:r>
    </w:p>
  </w:footnote>
  <w:footnote w:id="69">
    <w:p w14:paraId="5CD8987B" w14:textId="77777777" w:rsidR="00487F99" w:rsidRDefault="002B0FCB">
      <w:pPr>
        <w:pStyle w:val="FootnoteText"/>
      </w:pPr>
      <w:r>
        <w:rPr>
          <w:rStyle w:val="FootnoteCharacters"/>
        </w:rPr>
        <w:footnoteRef/>
      </w:r>
      <w:r>
        <w:tab/>
        <w:t xml:space="preserve">Guru Nanak Nishkam Sewak Jatha, </w:t>
      </w:r>
      <w:r>
        <w:rPr>
          <w:i/>
          <w:iCs/>
        </w:rPr>
        <w:t xml:space="preserve">A Visit To A Gurdwara Served By Guru Nanak Nishkam Sewak Jatha. </w:t>
      </w:r>
      <w:r>
        <w:t xml:space="preserve">(2021) &lt; </w:t>
      </w:r>
      <w:hyperlink r:id="rId10">
        <w:r>
          <w:rPr>
            <w:rStyle w:val="Hyperlink"/>
          </w:rPr>
          <w:t>https://birmingham-faith-visits.theartssociety.org/node/6</w:t>
        </w:r>
      </w:hyperlink>
      <w:r>
        <w:t>&gt; [accessed 16</w:t>
      </w:r>
      <w:r>
        <w:rPr>
          <w:vertAlign w:val="superscript"/>
        </w:rPr>
        <w:t>th</w:t>
      </w:r>
      <w:r>
        <w:t xml:space="preserve"> November 2023]. </w:t>
      </w:r>
    </w:p>
  </w:footnote>
  <w:footnote w:id="70">
    <w:p w14:paraId="7C5E8B29" w14:textId="77777777" w:rsidR="00487F99" w:rsidRDefault="002B0FCB">
      <w:pPr>
        <w:pStyle w:val="FootnoteText"/>
      </w:pPr>
      <w:r>
        <w:rPr>
          <w:rStyle w:val="FootnoteCharacters"/>
        </w:rPr>
        <w:footnoteRef/>
      </w:r>
      <w:r>
        <w:tab/>
        <w:t>Mircea Eliade, I</w:t>
      </w:r>
      <w:r>
        <w:rPr>
          <w:i/>
          <w:iCs/>
        </w:rPr>
        <w:t>mages and Symbols: Studies in Religious Symbolisms.</w:t>
      </w:r>
      <w:r>
        <w:t xml:space="preserve"> (London: Harvill Press, 1961). p.21-40.</w:t>
      </w:r>
    </w:p>
  </w:footnote>
  <w:footnote w:id="71">
    <w:p w14:paraId="520D93FD" w14:textId="77777777" w:rsidR="00487F99" w:rsidRDefault="002B0FCB">
      <w:pPr>
        <w:pStyle w:val="FootnoteText"/>
      </w:pPr>
      <w:r>
        <w:rPr>
          <w:rStyle w:val="FootnoteCharacters"/>
        </w:rPr>
        <w:footnoteRef/>
      </w:r>
      <w:r>
        <w:tab/>
        <w:t xml:space="preserve">Eliade, </w:t>
      </w:r>
      <w:r>
        <w:rPr>
          <w:i/>
          <w:iCs/>
        </w:rPr>
        <w:t>The Sacred And The Profane: The Nature of Religion</w:t>
      </w:r>
      <w:r>
        <w:t>, p.20,</w:t>
      </w:r>
    </w:p>
  </w:footnote>
  <w:footnote w:id="72">
    <w:p w14:paraId="6DF3208E" w14:textId="77777777" w:rsidR="00487F99" w:rsidRDefault="002B0FCB">
      <w:pPr>
        <w:pStyle w:val="FootnoteText"/>
      </w:pPr>
      <w:r>
        <w:rPr>
          <w:rStyle w:val="FootnoteCharacters"/>
        </w:rPr>
        <w:footnoteRef/>
      </w:r>
      <w:r>
        <w:tab/>
        <w:t xml:space="preserve">Eliade, </w:t>
      </w:r>
      <w:r>
        <w:rPr>
          <w:i/>
          <w:iCs/>
        </w:rPr>
        <w:t>The Sacred And The Profane: The Nature of Religion .</w:t>
      </w:r>
      <w:r>
        <w:t>p.56-57.</w:t>
      </w:r>
    </w:p>
  </w:footnote>
  <w:footnote w:id="73">
    <w:p w14:paraId="2334EB03" w14:textId="77777777" w:rsidR="00487F99" w:rsidRDefault="002B0FCB">
      <w:pPr>
        <w:pStyle w:val="FootnoteText"/>
      </w:pPr>
      <w:r>
        <w:rPr>
          <w:rStyle w:val="FootnoteCharacters"/>
        </w:rPr>
        <w:footnoteRef/>
      </w:r>
      <w:r>
        <w:tab/>
        <w:t>Leeuw,</w:t>
      </w:r>
      <w:r>
        <w:rPr>
          <w:i/>
          <w:iCs/>
        </w:rPr>
        <w:t xml:space="preserve"> Religion in Essence and Manifestation.</w:t>
      </w:r>
      <w:r>
        <w:t xml:space="preserve"> p.393.  </w:t>
      </w:r>
      <w:r>
        <w:rPr>
          <w:i/>
          <w:iCs/>
        </w:rPr>
        <w:t xml:space="preserve"> </w:t>
      </w:r>
    </w:p>
  </w:footnote>
  <w:footnote w:id="74">
    <w:p w14:paraId="40289CA5" w14:textId="77777777" w:rsidR="00487F99" w:rsidRDefault="002B0FCB">
      <w:pPr>
        <w:pStyle w:val="FootnoteText"/>
      </w:pPr>
      <w:r>
        <w:rPr>
          <w:rStyle w:val="FootnoteCharacters"/>
        </w:rPr>
        <w:footnoteRef/>
      </w:r>
      <w:r>
        <w:tab/>
        <w:t xml:space="preserve">Guru Nanak Nishkam Sewak Jatha, </w:t>
      </w:r>
      <w:r>
        <w:rPr>
          <w:i/>
          <w:iCs/>
        </w:rPr>
        <w:t xml:space="preserve">Healthy Ageing in the 21st Century. </w:t>
      </w:r>
      <w:r>
        <w:t>(2013) &lt; Healthy Ageing in the 21st Century&gt; [accessed 29</w:t>
      </w:r>
      <w:r>
        <w:rPr>
          <w:vertAlign w:val="superscript"/>
        </w:rPr>
        <w:t>th</w:t>
      </w:r>
      <w:r>
        <w:t xml:space="preserve"> October 2023]. p.2.</w:t>
      </w:r>
    </w:p>
  </w:footnote>
  <w:footnote w:id="75">
    <w:p w14:paraId="710E3583" w14:textId="77777777" w:rsidR="00487F99" w:rsidRDefault="002B0FCB">
      <w:pPr>
        <w:pStyle w:val="FootnoteText"/>
      </w:pPr>
      <w:r>
        <w:rPr>
          <w:rStyle w:val="FootnoteCharacters"/>
        </w:rPr>
        <w:footnoteRef/>
      </w:r>
      <w:r>
        <w:tab/>
        <w:t xml:space="preserve">Katie Day, </w:t>
      </w:r>
      <w:r>
        <w:rPr>
          <w:i/>
          <w:iCs/>
        </w:rPr>
        <w:t xml:space="preserve">Faith on the Avenue </w:t>
      </w:r>
      <w:r>
        <w:t xml:space="preserve">p.52. </w:t>
      </w:r>
    </w:p>
  </w:footnote>
  <w:footnote w:id="76">
    <w:p w14:paraId="4927DF0C" w14:textId="77777777" w:rsidR="00487F99" w:rsidRDefault="002B0FCB">
      <w:pPr>
        <w:pStyle w:val="FootnoteText"/>
      </w:pPr>
      <w:r>
        <w:rPr>
          <w:rStyle w:val="FootnoteCharacters"/>
        </w:rPr>
        <w:footnoteRef/>
      </w:r>
      <w:r>
        <w:tab/>
        <w:t xml:space="preserve"> Guru Nanak Nishkam Sewak Jatha, </w:t>
      </w:r>
      <w:r>
        <w:rPr>
          <w:i/>
          <w:iCs/>
        </w:rPr>
        <w:t xml:space="preserve">Healthy Ageing in the 21st Century. </w:t>
      </w:r>
      <w:r>
        <w:t>(2013) &lt; Healthy Ageing in the 21st Century&gt; [accessed 29</w:t>
      </w:r>
      <w:r>
        <w:rPr>
          <w:vertAlign w:val="superscript"/>
        </w:rPr>
        <w:t>th</w:t>
      </w:r>
      <w:r>
        <w:t xml:space="preserve"> October 2023]. p.2.</w:t>
      </w:r>
    </w:p>
  </w:footnote>
  <w:footnote w:id="77">
    <w:p w14:paraId="19A49DF6" w14:textId="77777777" w:rsidR="00487F99" w:rsidRDefault="002B0FCB">
      <w:pPr>
        <w:pStyle w:val="FootnoteText"/>
      </w:pPr>
      <w:r>
        <w:rPr>
          <w:rStyle w:val="FootnoteCharacters"/>
        </w:rPr>
        <w:footnoteRef/>
      </w:r>
      <w:r>
        <w:tab/>
        <w:t xml:space="preserve">Guru Nanak Nishkam Sewak Jatha, </w:t>
      </w:r>
      <w:r>
        <w:rPr>
          <w:i/>
          <w:iCs/>
        </w:rPr>
        <w:t xml:space="preserve">A Visit To A Gurdwara Served By Guru Nanak Nishkam Sewak Jatha. </w:t>
      </w:r>
      <w:r>
        <w:t xml:space="preserve">(2021) &lt; </w:t>
      </w:r>
      <w:hyperlink r:id="rId11">
        <w:r>
          <w:rPr>
            <w:rStyle w:val="Hyperlink"/>
          </w:rPr>
          <w:t>https://birmingham-faith-visits.theartssociety.org/node/6</w:t>
        </w:r>
      </w:hyperlink>
      <w:r>
        <w:t>&gt; [accessed 16</w:t>
      </w:r>
      <w:r>
        <w:rPr>
          <w:vertAlign w:val="superscript"/>
        </w:rPr>
        <w:t>th</w:t>
      </w:r>
      <w:r>
        <w:t xml:space="preserve"> November 2023].</w:t>
      </w:r>
      <w:r>
        <w:rPr>
          <w:shd w:val="clear" w:color="auto" w:fill="FFFF00"/>
        </w:rPr>
        <w:t xml:space="preserve"> </w:t>
      </w:r>
    </w:p>
  </w:footnote>
  <w:footnote w:id="78">
    <w:p w14:paraId="5B4CAE99" w14:textId="77777777" w:rsidR="00487F99" w:rsidRDefault="002B0FCB">
      <w:pPr>
        <w:pStyle w:val="FootnoteText"/>
      </w:pPr>
      <w:r>
        <w:rPr>
          <w:rStyle w:val="FootnoteCharacters"/>
        </w:rPr>
        <w:footnoteRef/>
      </w:r>
      <w:r>
        <w:tab/>
        <w:t>Emile Durkheim,</w:t>
      </w:r>
      <w:r>
        <w:rPr>
          <w:i/>
          <w:iCs/>
        </w:rPr>
        <w:t xml:space="preserve"> The Elementary Forms of Religious Life.</w:t>
      </w:r>
      <w:r>
        <w:t xml:space="preserve"> p.44.</w:t>
      </w:r>
    </w:p>
  </w:footnote>
  <w:footnote w:id="79">
    <w:p w14:paraId="27D30152" w14:textId="77777777" w:rsidR="00487F99" w:rsidRDefault="002B0FCB">
      <w:pPr>
        <w:pStyle w:val="FootnoteText"/>
      </w:pPr>
      <w:r>
        <w:rPr>
          <w:rStyle w:val="FootnoteCharacters"/>
        </w:rPr>
        <w:footnoteRef/>
      </w:r>
      <w:r>
        <w:tab/>
        <w:t xml:space="preserve">Aasmundsen, </w:t>
      </w:r>
      <w:r>
        <w:rPr>
          <w:i/>
          <w:iCs/>
        </w:rPr>
        <w:t>Pentecostals, Politics, and Religious Equality in Argentina.</w:t>
      </w:r>
      <w:r>
        <w:t>, p,.80.</w:t>
      </w:r>
    </w:p>
  </w:footnote>
  <w:footnote w:id="80">
    <w:p w14:paraId="64E6632E" w14:textId="77777777" w:rsidR="00487F99" w:rsidRDefault="002B0FCB">
      <w:pPr>
        <w:pStyle w:val="NormalWeb"/>
        <w:ind w:left="339" w:right="-334" w:hanging="339"/>
      </w:pPr>
      <w:r>
        <w:rPr>
          <w:rStyle w:val="FootnoteCharacters"/>
        </w:rPr>
        <w:footnoteRef/>
      </w:r>
      <w:r>
        <w:rPr>
          <w:rFonts w:ascii="Times New Roman" w:hAnsi="Times New Roman" w:cs="Times New Roman"/>
          <w:sz w:val="20"/>
          <w:szCs w:val="20"/>
        </w:rPr>
        <w:tab/>
        <w:t xml:space="preserve"> Durkheim, </w:t>
      </w:r>
      <w:r>
        <w:rPr>
          <w:rFonts w:ascii="Times New Roman" w:hAnsi="Times New Roman" w:cs="Times New Roman"/>
          <w:i/>
          <w:iCs/>
          <w:sz w:val="20"/>
          <w:szCs w:val="20"/>
        </w:rPr>
        <w:t xml:space="preserve">The Elementary Forms of Religious Life, </w:t>
      </w:r>
      <w:r>
        <w:rPr>
          <w:rFonts w:ascii="Times New Roman" w:hAnsi="Times New Roman" w:cs="Times New Roman"/>
          <w:sz w:val="20"/>
          <w:szCs w:val="20"/>
        </w:rPr>
        <w:t>p.312.</w:t>
      </w:r>
    </w:p>
  </w:footnote>
  <w:footnote w:id="81">
    <w:p w14:paraId="7577C4FB" w14:textId="77777777" w:rsidR="00487F99" w:rsidRDefault="002B0FCB">
      <w:pPr>
        <w:pStyle w:val="FootnoteText"/>
      </w:pPr>
      <w:r>
        <w:rPr>
          <w:rStyle w:val="FootnoteCharacters"/>
        </w:rPr>
        <w:footnoteRef/>
      </w:r>
      <w:r>
        <w:tab/>
        <w:t xml:space="preserve">Eliade, </w:t>
      </w:r>
      <w:r>
        <w:rPr>
          <w:i/>
          <w:iCs/>
        </w:rPr>
        <w:t>The Sacred and The Profane,</w:t>
      </w:r>
      <w:r>
        <w:t xml:space="preserve"> p.43. </w:t>
      </w:r>
    </w:p>
  </w:footnote>
  <w:footnote w:id="82">
    <w:p w14:paraId="0ECCD942" w14:textId="77777777" w:rsidR="00487F99" w:rsidRDefault="002B0FCB">
      <w:pPr>
        <w:pStyle w:val="FootnoteText"/>
      </w:pPr>
      <w:r>
        <w:rPr>
          <w:rStyle w:val="FootnoteCharacters"/>
        </w:rPr>
        <w:footnoteRef/>
      </w:r>
      <w:r>
        <w:tab/>
        <w:t xml:space="preserve">Guru Nanak Nishkam Sewak Jatha, </w:t>
      </w:r>
      <w:r>
        <w:rPr>
          <w:i/>
          <w:iCs/>
        </w:rPr>
        <w:t xml:space="preserve">A Visit To A Gurdwara Served By Guru Nanak Nishkam Sewak Jatha. </w:t>
      </w:r>
      <w:r>
        <w:t xml:space="preserve">(2021) &lt; </w:t>
      </w:r>
      <w:hyperlink r:id="rId12">
        <w:r>
          <w:rPr>
            <w:rStyle w:val="Hyperlink"/>
          </w:rPr>
          <w:t>https://birmingham-faith-visits.theartssociety.org/node/6</w:t>
        </w:r>
      </w:hyperlink>
      <w:r>
        <w:t>&gt; [accessed 16</w:t>
      </w:r>
      <w:r>
        <w:rPr>
          <w:vertAlign w:val="superscript"/>
        </w:rPr>
        <w:t>th</w:t>
      </w:r>
      <w:r>
        <w:t xml:space="preserve"> November 2023]. p.3.</w:t>
      </w:r>
    </w:p>
  </w:footnote>
  <w:footnote w:id="83">
    <w:p w14:paraId="63B7670E" w14:textId="77777777" w:rsidR="00487F99" w:rsidRDefault="002B0FCB">
      <w:pPr>
        <w:pStyle w:val="FootnoteText"/>
      </w:pPr>
      <w:r>
        <w:rPr>
          <w:rStyle w:val="FootnoteCharacters"/>
        </w:rPr>
        <w:footnoteRef/>
      </w:r>
      <w:r>
        <w:tab/>
        <w:t xml:space="preserve">Guru Nanak Nishkam Sewak Jatha, </w:t>
      </w:r>
      <w:r>
        <w:rPr>
          <w:i/>
          <w:iCs/>
        </w:rPr>
        <w:t xml:space="preserve">Healthy Ageing in the 21st Century. </w:t>
      </w:r>
      <w:r>
        <w:t>(2013) &lt; Healthy Ageing in the 21st Century&gt; [accessed 29</w:t>
      </w:r>
      <w:r>
        <w:rPr>
          <w:vertAlign w:val="superscript"/>
        </w:rPr>
        <w:t>th</w:t>
      </w:r>
      <w:r>
        <w:t xml:space="preserve"> October 2023]. p.1-10.</w:t>
      </w:r>
    </w:p>
  </w:footnote>
  <w:footnote w:id="84">
    <w:p w14:paraId="0DF97921" w14:textId="77777777" w:rsidR="00487F99" w:rsidRDefault="002B0FCB">
      <w:pPr>
        <w:pStyle w:val="FootnoteText"/>
      </w:pPr>
      <w:r>
        <w:rPr>
          <w:rStyle w:val="FootnoteCharacters"/>
        </w:rPr>
        <w:footnoteRef/>
      </w:r>
      <w:r>
        <w:tab/>
        <w:t xml:space="preserve">Eliade, </w:t>
      </w:r>
      <w:r>
        <w:rPr>
          <w:i/>
          <w:iCs/>
        </w:rPr>
        <w:t>The Sacred and The Profane,</w:t>
      </w:r>
      <w:r>
        <w:t xml:space="preserve"> p.43.</w:t>
      </w:r>
    </w:p>
  </w:footnote>
  <w:footnote w:id="85">
    <w:p w14:paraId="36A88FD3" w14:textId="77777777" w:rsidR="00487F99" w:rsidRDefault="002B0FCB">
      <w:pPr>
        <w:pStyle w:val="NormalWeb"/>
        <w:ind w:left="339" w:right="-334" w:hanging="339"/>
      </w:pPr>
      <w:r>
        <w:rPr>
          <w:rStyle w:val="FootnoteCharacters"/>
        </w:rPr>
        <w:footnoteRef/>
      </w:r>
      <w:r>
        <w:rPr>
          <w:rFonts w:ascii="Times New Roman" w:hAnsi="Times New Roman" w:cs="Times New Roman"/>
          <w:sz w:val="20"/>
          <w:szCs w:val="20"/>
        </w:rPr>
        <w:tab/>
        <w:t xml:space="preserve">Durkheim, </w:t>
      </w:r>
      <w:r>
        <w:rPr>
          <w:rFonts w:ascii="Times New Roman" w:hAnsi="Times New Roman" w:cs="Times New Roman"/>
          <w:i/>
          <w:iCs/>
          <w:sz w:val="20"/>
          <w:szCs w:val="20"/>
        </w:rPr>
        <w:t xml:space="preserve">The Elementary Forms of Religious Life, </w:t>
      </w:r>
      <w:r>
        <w:rPr>
          <w:rFonts w:ascii="Times New Roman" w:hAnsi="Times New Roman" w:cs="Times New Roman"/>
          <w:sz w:val="20"/>
          <w:szCs w:val="20"/>
        </w:rPr>
        <w:t>p.xlvi-v.</w:t>
      </w:r>
    </w:p>
  </w:footnote>
  <w:footnote w:id="86">
    <w:p w14:paraId="7BA26B43" w14:textId="77777777" w:rsidR="00487F99" w:rsidRDefault="002B0FCB">
      <w:pPr>
        <w:pStyle w:val="NormalWeb"/>
        <w:spacing w:before="166" w:after="166"/>
        <w:ind w:left="339" w:right="-334" w:hanging="339"/>
      </w:pPr>
      <w:r>
        <w:rPr>
          <w:rStyle w:val="FootnoteCharacters"/>
        </w:rPr>
        <w:footnoteRef/>
      </w:r>
      <w:r>
        <w:rPr>
          <w:rFonts w:ascii="Times New Roman" w:hAnsi="Times New Roman" w:cs="Times New Roman"/>
          <w:sz w:val="20"/>
          <w:szCs w:val="20"/>
        </w:rPr>
        <w:tab/>
        <w:t xml:space="preserve">Durkheim, </w:t>
      </w:r>
      <w:r>
        <w:rPr>
          <w:rFonts w:ascii="Times New Roman" w:hAnsi="Times New Roman" w:cs="Times New Roman"/>
          <w:i/>
          <w:iCs/>
          <w:sz w:val="20"/>
          <w:szCs w:val="20"/>
        </w:rPr>
        <w:t xml:space="preserve">The Elementary Forms of Religious Life, </w:t>
      </w:r>
      <w:r>
        <w:rPr>
          <w:rFonts w:ascii="Times New Roman" w:hAnsi="Times New Roman" w:cs="Times New Roman"/>
          <w:sz w:val="20"/>
          <w:szCs w:val="20"/>
        </w:rPr>
        <w:t>p.xlvii.</w:t>
      </w:r>
    </w:p>
  </w:footnote>
  <w:footnote w:id="87">
    <w:p w14:paraId="20F9F2D6" w14:textId="77777777" w:rsidR="00487F99" w:rsidRDefault="002B0FCB">
      <w:pPr>
        <w:pStyle w:val="NormalWeb"/>
        <w:ind w:left="339" w:right="-334" w:hanging="339"/>
      </w:pPr>
      <w:r>
        <w:rPr>
          <w:rStyle w:val="FootnoteCharacters"/>
        </w:rPr>
        <w:footnoteRef/>
      </w:r>
      <w:r>
        <w:rPr>
          <w:rFonts w:ascii="Times New Roman" w:hAnsi="Times New Roman" w:cs="Times New Roman"/>
          <w:sz w:val="20"/>
          <w:szCs w:val="20"/>
        </w:rPr>
        <w:tab/>
        <w:t xml:space="preserve">Durkheim, </w:t>
      </w:r>
      <w:r>
        <w:rPr>
          <w:rFonts w:ascii="Times New Roman" w:hAnsi="Times New Roman" w:cs="Times New Roman"/>
          <w:i/>
          <w:iCs/>
          <w:sz w:val="20"/>
          <w:szCs w:val="20"/>
        </w:rPr>
        <w:t xml:space="preserve">The Elementary Forms of Religious Life, </w:t>
      </w:r>
      <w:r>
        <w:rPr>
          <w:rFonts w:ascii="Times New Roman" w:hAnsi="Times New Roman" w:cs="Times New Roman"/>
          <w:sz w:val="20"/>
          <w:szCs w:val="20"/>
        </w:rPr>
        <w:t>p.1.</w:t>
      </w:r>
    </w:p>
  </w:footnote>
  <w:footnote w:id="88">
    <w:p w14:paraId="2FE5BB35" w14:textId="77777777" w:rsidR="00487F99" w:rsidRDefault="002B0FCB">
      <w:pPr>
        <w:pStyle w:val="NormalWeb"/>
        <w:ind w:left="339" w:right="-334" w:hanging="339"/>
      </w:pPr>
      <w:r>
        <w:rPr>
          <w:rStyle w:val="FootnoteCharacters"/>
        </w:rPr>
        <w:footnoteRef/>
      </w:r>
      <w:r>
        <w:rPr>
          <w:rFonts w:ascii="Times New Roman" w:hAnsi="Times New Roman" w:cs="Times New Roman"/>
          <w:sz w:val="20"/>
          <w:szCs w:val="20"/>
        </w:rPr>
        <w:tab/>
        <w:t xml:space="preserve">Durkheim, </w:t>
      </w:r>
      <w:r>
        <w:rPr>
          <w:rFonts w:ascii="Times New Roman" w:hAnsi="Times New Roman" w:cs="Times New Roman"/>
          <w:i/>
          <w:iCs/>
          <w:sz w:val="20"/>
          <w:szCs w:val="20"/>
        </w:rPr>
        <w:t xml:space="preserve">The Elementary Forms of Religious Life, </w:t>
      </w:r>
      <w:r>
        <w:rPr>
          <w:rFonts w:ascii="Times New Roman" w:hAnsi="Times New Roman" w:cs="Times New Roman"/>
          <w:sz w:val="20"/>
          <w:szCs w:val="20"/>
        </w:rPr>
        <w:t>p.162-163.</w:t>
      </w:r>
    </w:p>
  </w:footnote>
  <w:footnote w:id="89">
    <w:p w14:paraId="1B4BB453" w14:textId="77777777" w:rsidR="00487F99" w:rsidRDefault="002B0FCB">
      <w:pPr>
        <w:pStyle w:val="FootnoteText"/>
      </w:pPr>
      <w:r>
        <w:rPr>
          <w:rStyle w:val="FootnoteCharacters"/>
        </w:rPr>
        <w:footnoteRef/>
      </w:r>
      <w:r>
        <w:tab/>
        <w:t xml:space="preserve">Durkheim, </w:t>
      </w:r>
      <w:r>
        <w:rPr>
          <w:i/>
          <w:iCs/>
        </w:rPr>
        <w:t xml:space="preserve">The Elementary Forms of Religious Life, </w:t>
      </w:r>
      <w:r>
        <w:t>p.313.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169E6" w14:textId="2AB18439" w:rsidR="002B0FCB" w:rsidRDefault="002B0FCB">
    <w:pPr>
      <w:pStyle w:val="Header"/>
    </w:pPr>
    <w:r>
      <w:rPr>
        <w:noProof/>
      </w:rPr>
      <mc:AlternateContent>
        <mc:Choice Requires="wps">
          <w:drawing>
            <wp:anchor distT="0" distB="0" distL="0" distR="0" simplePos="0" relativeHeight="251659264" behindDoc="0" locked="0" layoutInCell="1" allowOverlap="1" wp14:anchorId="772A4549" wp14:editId="1C654E63">
              <wp:simplePos x="635" y="635"/>
              <wp:positionH relativeFrom="page">
                <wp:align>left</wp:align>
              </wp:positionH>
              <wp:positionV relativeFrom="page">
                <wp:align>top</wp:align>
              </wp:positionV>
              <wp:extent cx="443865" cy="443865"/>
              <wp:effectExtent l="0" t="0" r="12065" b="4445"/>
              <wp:wrapNone/>
              <wp:docPr id="331080247" name="Text Box 2" descr="Classification: Public">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AF8B217" w14:textId="31D5210E" w:rsidR="002B0FCB" w:rsidRPr="002B0FCB" w:rsidRDefault="002B0FCB" w:rsidP="002B0FCB">
                          <w:pPr>
                            <w:rPr>
                              <w:rFonts w:ascii="Calibri" w:eastAsia="Calibri" w:hAnsi="Calibri" w:cs="Calibri"/>
                              <w:noProof/>
                              <w:color w:val="008000"/>
                            </w:rPr>
                          </w:pPr>
                          <w:r w:rsidRPr="002B0FCB">
                            <w:rPr>
                              <w:rFonts w:ascii="Calibri" w:eastAsia="Calibri" w:hAnsi="Calibri" w:cs="Calibri"/>
                              <w:noProof/>
                              <w:color w:val="008000"/>
                            </w:rPr>
                            <w:t>Classification: Public</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772A4549" id="_x0000_t202" coordsize="21600,21600" o:spt="202" path="m,l,21600r21600,l21600,xe">
              <v:stroke joinstyle="miter"/>
              <v:path gradientshapeok="t" o:connecttype="rect"/>
            </v:shapetype>
            <v:shape id="Text Box 2" o:spid="_x0000_s1033" type="#_x0000_t202" alt="Classification: Public" style="position:absolute;margin-left:0;margin-top:0;width:34.95pt;height:34.95pt;z-index:251659264;visibility:visible;mso-wrap-style:none;mso-wrap-distance-left:0;mso-wrap-distance-top:0;mso-wrap-distance-right:0;mso-wrap-distance-bottom:0;mso-position-horizontal:left;mso-position-horizontal-relative:page;mso-position-vertical:top;mso-position-vertical-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" filled="f" stroked="f">
              <v:textbox style="mso-fit-shape-to-text:t" inset="20pt,15pt,0,0">
                <w:txbxContent>
                  <w:p w14:paraId="7AF8B217" w14:textId="31D5210E" w:rsidR="002B0FCB" w:rsidRPr="002B0FCB" w:rsidRDefault="002B0FCB" w:rsidP="002B0FCB">
                    <w:pPr>
                      <w:rPr>
                        <w:rFonts w:ascii="Calibri" w:eastAsia="Calibri" w:hAnsi="Calibri" w:cs="Calibri"/>
                        <w:noProof/>
                        <w:color w:val="008000"/>
                      </w:rPr>
                    </w:pPr>
                    <w:r w:rsidRPr="002B0FCB">
                      <w:rPr>
                        <w:rFonts w:ascii="Calibri" w:eastAsia="Calibri" w:hAnsi="Calibri" w:cs="Calibri"/>
                        <w:noProof/>
                        <w:color w:val="008000"/>
                      </w:rPr>
                      <w:t>Classification: Public</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DB2281" w14:textId="358A4035" w:rsidR="002B0FCB" w:rsidRDefault="002B0FCB">
    <w:pPr>
      <w:pStyle w:val="Header"/>
    </w:pPr>
    <w:r>
      <w:rPr>
        <w:noProof/>
      </w:rPr>
      <mc:AlternateContent>
        <mc:Choice Requires="wps">
          <w:drawing>
            <wp:anchor distT="0" distB="0" distL="0" distR="0" simplePos="0" relativeHeight="251658240" behindDoc="0" locked="0" layoutInCell="1" allowOverlap="1" wp14:anchorId="13CDF2AB" wp14:editId="66D697F4">
              <wp:simplePos x="635" y="635"/>
              <wp:positionH relativeFrom="page">
                <wp:align>left</wp:align>
              </wp:positionH>
              <wp:positionV relativeFrom="page">
                <wp:align>top</wp:align>
              </wp:positionV>
              <wp:extent cx="443865" cy="443865"/>
              <wp:effectExtent l="0" t="0" r="12065" b="4445"/>
              <wp:wrapNone/>
              <wp:docPr id="1023492089" name="Text Box 1" descr="Classification: Public">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37810F8" w14:textId="702FC2FF" w:rsidR="002B0FCB" w:rsidRPr="002B0FCB" w:rsidRDefault="002B0FCB" w:rsidP="002B0FCB">
                          <w:pPr>
                            <w:rPr>
                              <w:rFonts w:ascii="Calibri" w:eastAsia="Calibri" w:hAnsi="Calibri" w:cs="Calibri"/>
                              <w:noProof/>
                              <w:color w:val="008000"/>
                            </w:rPr>
                          </w:pPr>
                          <w:r w:rsidRPr="002B0FCB">
                            <w:rPr>
                              <w:rFonts w:ascii="Calibri" w:eastAsia="Calibri" w:hAnsi="Calibri" w:cs="Calibri"/>
                              <w:noProof/>
                              <w:color w:val="008000"/>
                            </w:rPr>
                            <w:t>Classification: Public</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13CDF2AB" id="_x0000_t202" coordsize="21600,21600" o:spt="202" path="m,l,21600r21600,l21600,xe">
              <v:stroke joinstyle="miter"/>
              <v:path gradientshapeok="t" o:connecttype="rect"/>
            </v:shapetype>
            <v:shape id="_x0000_s1034" type="#_x0000_t202" alt="Classification: Public" style="position:absolute;margin-left:0;margin-top:0;width:34.95pt;height:34.95pt;z-index:251658240;visibility:visible;mso-wrap-style:none;mso-wrap-distance-left:0;mso-wrap-distance-top:0;mso-wrap-distance-right:0;mso-wrap-distance-bottom:0;mso-position-horizontal:left;mso-position-horizontal-relative:page;mso-position-vertical:top;mso-position-vertical-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" filled="f" stroked="f">
              <v:textbox style="mso-fit-shape-to-text:t" inset="20pt,15pt,0,0">
                <w:txbxContent>
                  <w:p w14:paraId="437810F8" w14:textId="702FC2FF" w:rsidR="002B0FCB" w:rsidRPr="002B0FCB" w:rsidRDefault="002B0FCB" w:rsidP="002B0FCB">
                    <w:pPr>
                      <w:rPr>
                        <w:rFonts w:ascii="Calibri" w:eastAsia="Calibri" w:hAnsi="Calibri" w:cs="Calibri"/>
                        <w:noProof/>
                        <w:color w:val="008000"/>
                      </w:rPr>
                    </w:pPr>
                    <w:r w:rsidRPr="002B0FCB">
                      <w:rPr>
                        <w:rFonts w:ascii="Calibri" w:eastAsia="Calibri" w:hAnsi="Calibri" w:cs="Calibri"/>
                        <w:noProof/>
                        <w:color w:val="008000"/>
                      </w:rPr>
                      <w:t>Classification: Public</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53DC8"/>
    <w:multiLevelType w:val="multilevel"/>
    <w:tmpl w:val="AB0696BA"/>
    <w:lvl w:ilvl="0">
      <w:start w:val="1"/>
      <w:numFmt w:val="none"/>
      <w:pStyle w:val="Heading1"/>
      <w:suff w:val="nothing"/>
      <w:lvlText w:val=""/>
      <w:lvlJc w:val="left"/>
      <w:pPr>
        <w:tabs>
          <w:tab w:val="num" w:pos="0"/>
        </w:tabs>
        <w:ind w:left="0" w:firstLine="0"/>
      </w:pPr>
    </w:lvl>
    <w:lvl w:ilvl="1">
      <w:start w:val="1"/>
      <w:numFmt w:val="none"/>
      <w:pStyle w:val="Heading2"/>
      <w:suff w:val="nothing"/>
      <w:lvlText w:val=""/>
      <w:lvlJc w:val="left"/>
      <w:pPr>
        <w:tabs>
          <w:tab w:val="num" w:pos="0"/>
        </w:tabs>
        <w:ind w:left="0" w:firstLine="0"/>
      </w:pPr>
    </w:lvl>
    <w:lvl w:ilvl="2">
      <w:start w:val="1"/>
      <w:numFmt w:val="none"/>
      <w:pStyle w:val="Heading3"/>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1850289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displayBackgroundShape/>
  <w:defaultTabStop w:val="720"/>
  <w:autoHyphenation/>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7F99"/>
    <w:rsid w:val="0000277F"/>
    <w:rsid w:val="000C6C68"/>
    <w:rsid w:val="001102A7"/>
    <w:rsid w:val="002B0FCB"/>
    <w:rsid w:val="00487F99"/>
    <w:rsid w:val="00500201"/>
    <w:rsid w:val="008B44BB"/>
    <w:rsid w:val="00907E0A"/>
    <w:rsid w:val="00A47397"/>
    <w:rsid w:val="00BE30A0"/>
    <w:rsid w:val="00EA4642"/>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DE7E76"/>
  <w15:docId w15:val="{E1239A98-557F-45D6-8AE8-2B3F353BD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Liberation Serif" w:eastAsia="NSimSun" w:hAnsi="Liberation Serif" w:cs="Lucida Sans"/>
        <w:sz w:val="24"/>
        <w:szCs w:val="24"/>
        <w:lang w:val="en-GB"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SimSun;宋体" w:hAnsi="Times New Roman" w:cs="Times New Roman"/>
      <w:lang w:bidi="ar-SA"/>
    </w:rPr>
  </w:style>
  <w:style w:type="paragraph" w:styleId="Heading1">
    <w:name w:val="heading 1"/>
    <w:basedOn w:val="Normal"/>
    <w:next w:val="Normal"/>
    <w:uiPriority w:val="9"/>
    <w:qFormat/>
    <w:pPr>
      <w:keepNext/>
      <w:numPr>
        <w:numId w:val="1"/>
      </w:numPr>
      <w:spacing w:before="240" w:after="60"/>
      <w:outlineLvl w:val="0"/>
    </w:pPr>
    <w:rPr>
      <w:rFonts w:ascii="Arial" w:hAnsi="Arial" w:cs="Arial"/>
      <w:b/>
      <w:bCs/>
      <w:kern w:val="2"/>
      <w:sz w:val="32"/>
      <w:szCs w:val="32"/>
    </w:rPr>
  </w:style>
  <w:style w:type="paragraph" w:styleId="Heading2">
    <w:name w:val="heading 2"/>
    <w:basedOn w:val="Normal"/>
    <w:next w:val="Normal"/>
    <w:uiPriority w:val="9"/>
    <w:unhideWhenUsed/>
    <w:qFormat/>
    <w:pPr>
      <w:keepNext/>
      <w:numPr>
        <w:ilvl w:val="1"/>
        <w:numId w:val="1"/>
      </w:numPr>
      <w:spacing w:before="240" w:after="60"/>
      <w:outlineLvl w:val="1"/>
    </w:pPr>
    <w:rPr>
      <w:rFonts w:ascii="Arial" w:hAnsi="Arial" w:cs="Arial"/>
      <w:b/>
      <w:bCs/>
      <w:i/>
      <w:iCs/>
      <w:sz w:val="28"/>
      <w:szCs w:val="28"/>
    </w:rPr>
  </w:style>
  <w:style w:type="paragraph" w:styleId="Heading3">
    <w:name w:val="heading 3"/>
    <w:basedOn w:val="Normal"/>
    <w:next w:val="BodyText"/>
    <w:uiPriority w:val="9"/>
    <w:unhideWhenUsed/>
    <w:qFormat/>
    <w:pPr>
      <w:keepNext/>
      <w:numPr>
        <w:ilvl w:val="2"/>
        <w:numId w:val="1"/>
      </w:numPr>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qFormat/>
  </w:style>
  <w:style w:type="character" w:customStyle="1" w:styleId="WW8Num1z1">
    <w:name w:val="WW8Num1z1"/>
    <w:qFormat/>
  </w:style>
  <w:style w:type="character" w:customStyle="1" w:styleId="WW8Num1z2">
    <w:name w:val="WW8Num1z2"/>
    <w:qFormat/>
  </w:style>
  <w:style w:type="character" w:customStyle="1" w:styleId="WW8Num1z3">
    <w:name w:val="WW8Num1z3"/>
    <w:qFormat/>
  </w:style>
  <w:style w:type="character" w:customStyle="1" w:styleId="WW8Num1z4">
    <w:name w:val="WW8Num1z4"/>
    <w:qFormat/>
  </w:style>
  <w:style w:type="character" w:customStyle="1" w:styleId="WW8Num1z5">
    <w:name w:val="WW8Num1z5"/>
    <w:qFormat/>
  </w:style>
  <w:style w:type="character" w:customStyle="1" w:styleId="WW8Num1z6">
    <w:name w:val="WW8Num1z6"/>
    <w:qFormat/>
  </w:style>
  <w:style w:type="character" w:customStyle="1" w:styleId="WW8Num1z7">
    <w:name w:val="WW8Num1z7"/>
    <w:qFormat/>
  </w:style>
  <w:style w:type="character" w:customStyle="1" w:styleId="WW8Num1z8">
    <w:name w:val="WW8Num1z8"/>
    <w:qFormat/>
  </w:style>
  <w:style w:type="character" w:customStyle="1" w:styleId="WW8Num2z0">
    <w:name w:val="WW8Num2z0"/>
    <w:qFormat/>
    <w:rPr>
      <w:rFonts w:ascii="Wingdings" w:hAnsi="Wingdings" w:cs="OpenSymbol;Arial Unicode MS"/>
      <w:sz w:val="24"/>
      <w:szCs w:val="24"/>
    </w:rPr>
  </w:style>
  <w:style w:type="character" w:customStyle="1" w:styleId="WW8Num3z0">
    <w:name w:val="WW8Num3z0"/>
    <w:qFormat/>
    <w:rPr>
      <w:rFonts w:ascii="Wingdings" w:hAnsi="Wingdings" w:cs="OpenSymbol;Arial Unicode MS"/>
      <w:sz w:val="24"/>
      <w:szCs w:val="24"/>
    </w:rPr>
  </w:style>
  <w:style w:type="character" w:customStyle="1" w:styleId="WW8Num4z0">
    <w:name w:val="WW8Num4z0"/>
    <w:qFormat/>
    <w:rPr>
      <w:rFonts w:ascii="Wingdings" w:hAnsi="Wingdings" w:cs="OpenSymbol;Arial Unicode MS"/>
      <w:sz w:val="24"/>
      <w:szCs w:val="24"/>
    </w:rPr>
  </w:style>
  <w:style w:type="character" w:customStyle="1" w:styleId="WW8Num3z1">
    <w:name w:val="WW8Num3z1"/>
    <w:qFormat/>
    <w:rPr>
      <w:rFonts w:ascii="Wingdings" w:hAnsi="Wingdings" w:cs="OpenSymbol;Arial Unicode MS"/>
      <w:sz w:val="24"/>
      <w:szCs w:val="24"/>
    </w:rPr>
  </w:style>
  <w:style w:type="character" w:customStyle="1" w:styleId="WW8Num4z1">
    <w:name w:val="WW8Num4z1"/>
    <w:qFormat/>
    <w:rPr>
      <w:rFonts w:ascii="Wingdings" w:hAnsi="Wingdings" w:cs="OpenSymbol;Arial Unicode MS"/>
      <w:sz w:val="24"/>
      <w:szCs w:val="24"/>
    </w:rPr>
  </w:style>
  <w:style w:type="character" w:customStyle="1" w:styleId="WW8Num2z1">
    <w:name w:val="WW8Num2z1"/>
    <w:qFormat/>
    <w:rPr>
      <w:rFonts w:ascii="Wingdings" w:hAnsi="Wingdings" w:cs="OpenSymbol;Arial Unicode MS"/>
      <w:sz w:val="24"/>
      <w:szCs w:val="24"/>
    </w:rPr>
  </w:style>
  <w:style w:type="character" w:customStyle="1" w:styleId="WW8Num5z0">
    <w:name w:val="WW8Num5z0"/>
    <w:qFormat/>
    <w:rPr>
      <w:rFonts w:ascii="Wingdings" w:hAnsi="Wingdings" w:cs="OpenSymbol;Arial Unicode MS"/>
      <w:sz w:val="24"/>
      <w:szCs w:val="24"/>
    </w:rPr>
  </w:style>
  <w:style w:type="character" w:customStyle="1" w:styleId="WW8Num6z0">
    <w:name w:val="WW8Num6z0"/>
    <w:qFormat/>
    <w:rPr>
      <w:rFonts w:ascii="Wingdings" w:hAnsi="Wingdings" w:cs="OpenSymbol;Arial Unicode MS"/>
      <w:sz w:val="24"/>
      <w:szCs w:val="24"/>
    </w:rPr>
  </w:style>
  <w:style w:type="character" w:customStyle="1" w:styleId="WW8Num2z2">
    <w:name w:val="WW8Num2z2"/>
    <w:qFormat/>
    <w:rPr>
      <w:rFonts w:ascii="Wingdings" w:hAnsi="Wingdings" w:cs="Wingdings"/>
    </w:rPr>
  </w:style>
  <w:style w:type="character" w:customStyle="1" w:styleId="WW8Num3z2">
    <w:name w:val="WW8Num3z2"/>
    <w:qFormat/>
    <w:rPr>
      <w:rFonts w:ascii="Wingdings" w:hAnsi="Wingdings" w:cs="Wingdings"/>
    </w:rPr>
  </w:style>
  <w:style w:type="character" w:customStyle="1" w:styleId="WW8Num4z2">
    <w:name w:val="WW8Num4z2"/>
    <w:qFormat/>
  </w:style>
  <w:style w:type="character" w:customStyle="1" w:styleId="WW8Num4z3">
    <w:name w:val="WW8Num4z3"/>
    <w:qFormat/>
  </w:style>
  <w:style w:type="character" w:customStyle="1" w:styleId="WW8Num4z4">
    <w:name w:val="WW8Num4z4"/>
    <w:qFormat/>
  </w:style>
  <w:style w:type="character" w:customStyle="1" w:styleId="WW8Num4z5">
    <w:name w:val="WW8Num4z5"/>
    <w:qFormat/>
  </w:style>
  <w:style w:type="character" w:customStyle="1" w:styleId="WW8Num4z6">
    <w:name w:val="WW8Num4z6"/>
    <w:qFormat/>
  </w:style>
  <w:style w:type="character" w:customStyle="1" w:styleId="WW8Num4z7">
    <w:name w:val="WW8Num4z7"/>
    <w:qFormat/>
  </w:style>
  <w:style w:type="character" w:customStyle="1" w:styleId="WW8Num4z8">
    <w:name w:val="WW8Num4z8"/>
    <w:qFormat/>
  </w:style>
  <w:style w:type="character" w:customStyle="1" w:styleId="WW8Num5z1">
    <w:name w:val="WW8Num5z1"/>
    <w:qFormat/>
    <w:rPr>
      <w:rFonts w:ascii="Courier New" w:hAnsi="Courier New" w:cs="Courier New"/>
    </w:rPr>
  </w:style>
  <w:style w:type="character" w:customStyle="1" w:styleId="WW8Num5z2">
    <w:name w:val="WW8Num5z2"/>
    <w:qFormat/>
    <w:rPr>
      <w:rFonts w:ascii="Wingdings" w:hAnsi="Wingdings" w:cs="Wingdings"/>
    </w:rPr>
  </w:style>
  <w:style w:type="character" w:customStyle="1" w:styleId="WW8Num6z1">
    <w:name w:val="WW8Num6z1"/>
    <w:qFormat/>
    <w:rPr>
      <w:rFonts w:ascii="Courier New" w:hAnsi="Courier New" w:cs="Courier New"/>
    </w:rPr>
  </w:style>
  <w:style w:type="character" w:customStyle="1" w:styleId="WW8Num6z2">
    <w:name w:val="WW8Num6z2"/>
    <w:qFormat/>
    <w:rPr>
      <w:rFonts w:ascii="Wingdings" w:hAnsi="Wingdings" w:cs="Wingdings"/>
    </w:rPr>
  </w:style>
  <w:style w:type="character" w:customStyle="1" w:styleId="WW8Num7z0">
    <w:name w:val="WW8Num7z0"/>
    <w:qFormat/>
  </w:style>
  <w:style w:type="character" w:customStyle="1" w:styleId="WW8Num7z1">
    <w:name w:val="WW8Num7z1"/>
    <w:qFormat/>
  </w:style>
  <w:style w:type="character" w:customStyle="1" w:styleId="WW8Num7z2">
    <w:name w:val="WW8Num7z2"/>
    <w:qFormat/>
  </w:style>
  <w:style w:type="character" w:customStyle="1" w:styleId="WW8Num7z3">
    <w:name w:val="WW8Num7z3"/>
    <w:qFormat/>
  </w:style>
  <w:style w:type="character" w:customStyle="1" w:styleId="WW8Num7z4">
    <w:name w:val="WW8Num7z4"/>
    <w:qFormat/>
  </w:style>
  <w:style w:type="character" w:customStyle="1" w:styleId="WW8Num7z5">
    <w:name w:val="WW8Num7z5"/>
    <w:qFormat/>
  </w:style>
  <w:style w:type="character" w:customStyle="1" w:styleId="WW8Num7z6">
    <w:name w:val="WW8Num7z6"/>
    <w:qFormat/>
  </w:style>
  <w:style w:type="character" w:customStyle="1" w:styleId="WW8Num7z7">
    <w:name w:val="WW8Num7z7"/>
    <w:qFormat/>
  </w:style>
  <w:style w:type="character" w:customStyle="1" w:styleId="WW8Num7z8">
    <w:name w:val="WW8Num7z8"/>
    <w:qFormat/>
  </w:style>
  <w:style w:type="character" w:customStyle="1" w:styleId="WW8Num8z0">
    <w:name w:val="WW8Num8z0"/>
    <w:qFormat/>
    <w:rPr>
      <w:rFonts w:ascii="Symbol" w:hAnsi="Symbol" w:cs="Symbol"/>
    </w:rPr>
  </w:style>
  <w:style w:type="character" w:customStyle="1" w:styleId="WW8Num8z1">
    <w:name w:val="WW8Num8z1"/>
    <w:qFormat/>
    <w:rPr>
      <w:rFonts w:ascii="Courier New" w:hAnsi="Courier New" w:cs="Courier New"/>
    </w:rPr>
  </w:style>
  <w:style w:type="character" w:customStyle="1" w:styleId="WW8Num8z2">
    <w:name w:val="WW8Num8z2"/>
    <w:qFormat/>
    <w:rPr>
      <w:rFonts w:ascii="Wingdings" w:hAnsi="Wingdings" w:cs="Wingdings"/>
    </w:rPr>
  </w:style>
  <w:style w:type="character" w:customStyle="1" w:styleId="WW8Num9z0">
    <w:name w:val="WW8Num9z0"/>
    <w:qFormat/>
  </w:style>
  <w:style w:type="character" w:customStyle="1" w:styleId="WW8Num9z1">
    <w:name w:val="WW8Num9z1"/>
    <w:qFormat/>
  </w:style>
  <w:style w:type="character" w:customStyle="1" w:styleId="WW8Num9z2">
    <w:name w:val="WW8Num9z2"/>
    <w:qFormat/>
  </w:style>
  <w:style w:type="character" w:customStyle="1" w:styleId="WW8Num9z3">
    <w:name w:val="WW8Num9z3"/>
    <w:qFormat/>
  </w:style>
  <w:style w:type="character" w:customStyle="1" w:styleId="WW8Num9z4">
    <w:name w:val="WW8Num9z4"/>
    <w:qFormat/>
  </w:style>
  <w:style w:type="character" w:customStyle="1" w:styleId="WW8Num9z5">
    <w:name w:val="WW8Num9z5"/>
    <w:qFormat/>
  </w:style>
  <w:style w:type="character" w:customStyle="1" w:styleId="WW8Num9z6">
    <w:name w:val="WW8Num9z6"/>
    <w:qFormat/>
  </w:style>
  <w:style w:type="character" w:customStyle="1" w:styleId="WW8Num9z7">
    <w:name w:val="WW8Num9z7"/>
    <w:qFormat/>
  </w:style>
  <w:style w:type="character" w:customStyle="1" w:styleId="WW8Num9z8">
    <w:name w:val="WW8Num9z8"/>
    <w:qFormat/>
  </w:style>
  <w:style w:type="character" w:customStyle="1" w:styleId="WW8Num10z0">
    <w:name w:val="WW8Num10z0"/>
    <w:qFormat/>
    <w:rPr>
      <w:sz w:val="20"/>
    </w:rPr>
  </w:style>
  <w:style w:type="character" w:customStyle="1" w:styleId="WW8Num10z1">
    <w:name w:val="WW8Num10z1"/>
    <w:qFormat/>
  </w:style>
  <w:style w:type="character" w:customStyle="1" w:styleId="WW8Num10z2">
    <w:name w:val="WW8Num10z2"/>
    <w:qFormat/>
  </w:style>
  <w:style w:type="character" w:customStyle="1" w:styleId="WW8Num10z3">
    <w:name w:val="WW8Num10z3"/>
    <w:qFormat/>
  </w:style>
  <w:style w:type="character" w:customStyle="1" w:styleId="WW8Num10z4">
    <w:name w:val="WW8Num10z4"/>
    <w:qFormat/>
  </w:style>
  <w:style w:type="character" w:customStyle="1" w:styleId="WW8Num10z5">
    <w:name w:val="WW8Num10z5"/>
    <w:qFormat/>
  </w:style>
  <w:style w:type="character" w:customStyle="1" w:styleId="WW8Num10z6">
    <w:name w:val="WW8Num10z6"/>
    <w:qFormat/>
  </w:style>
  <w:style w:type="character" w:customStyle="1" w:styleId="WW8Num10z7">
    <w:name w:val="WW8Num10z7"/>
    <w:qFormat/>
  </w:style>
  <w:style w:type="character" w:customStyle="1" w:styleId="WW8Num10z8">
    <w:name w:val="WW8Num10z8"/>
    <w:qFormat/>
  </w:style>
  <w:style w:type="character" w:customStyle="1" w:styleId="WW8Num11z0">
    <w:name w:val="WW8Num11z0"/>
    <w:qFormat/>
    <w:rPr>
      <w:rFonts w:ascii="Symbol" w:hAnsi="Symbol" w:cs="Symbol"/>
    </w:rPr>
  </w:style>
  <w:style w:type="character" w:customStyle="1" w:styleId="WW8Num12z0">
    <w:name w:val="WW8Num12z0"/>
    <w:qFormat/>
    <w:rPr>
      <w:rFonts w:ascii="Symbol" w:hAnsi="Symbol" w:cs="Symbol"/>
    </w:rPr>
  </w:style>
  <w:style w:type="character" w:customStyle="1" w:styleId="WW8Num13z0">
    <w:name w:val="WW8Num13z0"/>
    <w:qFormat/>
    <w:rPr>
      <w:rFonts w:ascii="Symbol" w:hAnsi="Symbol" w:cs="Symbol"/>
    </w:rPr>
  </w:style>
  <w:style w:type="character" w:customStyle="1" w:styleId="WW8Num14z0">
    <w:name w:val="WW8Num14z0"/>
    <w:qFormat/>
    <w:rPr>
      <w:rFonts w:ascii="Symbol" w:hAnsi="Symbol" w:cs="Symbol"/>
    </w:rPr>
  </w:style>
  <w:style w:type="character" w:customStyle="1" w:styleId="WW8Num14z1">
    <w:name w:val="WW8Num14z1"/>
    <w:qFormat/>
    <w:rPr>
      <w:rFonts w:ascii="Courier New" w:hAnsi="Courier New" w:cs="Courier New"/>
    </w:rPr>
  </w:style>
  <w:style w:type="character" w:customStyle="1" w:styleId="WW8Num14z2">
    <w:name w:val="WW8Num14z2"/>
    <w:qFormat/>
    <w:rPr>
      <w:rFonts w:ascii="Wingdings" w:hAnsi="Wingdings" w:cs="Wingdings"/>
    </w:rPr>
  </w:style>
  <w:style w:type="character" w:customStyle="1" w:styleId="WW8Num15z0">
    <w:name w:val="WW8Num15z0"/>
    <w:qFormat/>
    <w:rPr>
      <w:rFonts w:ascii="Symbol" w:hAnsi="Symbol" w:cs="Symbol"/>
    </w:rPr>
  </w:style>
  <w:style w:type="character" w:customStyle="1" w:styleId="WW8Num16z0">
    <w:name w:val="WW8Num16z0"/>
    <w:qFormat/>
    <w:rPr>
      <w:rFonts w:ascii="Symbol" w:hAnsi="Symbol" w:cs="Symbol"/>
    </w:rPr>
  </w:style>
  <w:style w:type="character" w:customStyle="1" w:styleId="WW8Num16z1">
    <w:name w:val="WW8Num16z1"/>
    <w:qFormat/>
    <w:rPr>
      <w:rFonts w:ascii="Courier New" w:hAnsi="Courier New" w:cs="Courier New"/>
    </w:rPr>
  </w:style>
  <w:style w:type="character" w:customStyle="1" w:styleId="WW8Num16z2">
    <w:name w:val="WW8Num16z2"/>
    <w:qFormat/>
    <w:rPr>
      <w:rFonts w:ascii="Wingdings" w:hAnsi="Wingdings" w:cs="Wingdings"/>
    </w:rPr>
  </w:style>
  <w:style w:type="character" w:customStyle="1" w:styleId="WW8Num17z0">
    <w:name w:val="WW8Num17z0"/>
    <w:qFormat/>
    <w:rPr>
      <w:rFonts w:ascii="Symbol" w:hAnsi="Symbol" w:cs="Symbol"/>
    </w:rPr>
  </w:style>
  <w:style w:type="character" w:customStyle="1" w:styleId="WW8Num18z0">
    <w:name w:val="WW8Num18z0"/>
    <w:qFormat/>
    <w:rPr>
      <w:rFonts w:ascii="Symbol" w:hAnsi="Symbol" w:cs="Symbol"/>
    </w:rPr>
  </w:style>
  <w:style w:type="character" w:customStyle="1" w:styleId="WW8Num18z1">
    <w:name w:val="WW8Num18z1"/>
    <w:qFormat/>
    <w:rPr>
      <w:rFonts w:ascii="Courier New" w:hAnsi="Courier New" w:cs="Courier New"/>
    </w:rPr>
  </w:style>
  <w:style w:type="character" w:customStyle="1" w:styleId="WW8Num18z2">
    <w:name w:val="WW8Num18z2"/>
    <w:qFormat/>
    <w:rPr>
      <w:rFonts w:ascii="Wingdings" w:hAnsi="Wingdings" w:cs="Wingdings"/>
    </w:rPr>
  </w:style>
  <w:style w:type="character" w:customStyle="1" w:styleId="WW8Num19z0">
    <w:name w:val="WW8Num19z0"/>
    <w:qFormat/>
    <w:rPr>
      <w:rFonts w:ascii="Albertus" w:hAnsi="Albertus" w:cs="Albertus"/>
    </w:rPr>
  </w:style>
  <w:style w:type="character" w:customStyle="1" w:styleId="WW8Num19z1">
    <w:name w:val="WW8Num19z1"/>
    <w:qFormat/>
    <w:rPr>
      <w:rFonts w:ascii="Courier New" w:hAnsi="Courier New" w:cs="Courier New"/>
    </w:rPr>
  </w:style>
  <w:style w:type="character" w:customStyle="1" w:styleId="WW8Num19z2">
    <w:name w:val="WW8Num19z2"/>
    <w:qFormat/>
    <w:rPr>
      <w:rFonts w:ascii="Wingdings" w:hAnsi="Wingdings" w:cs="Wingdings"/>
    </w:rPr>
  </w:style>
  <w:style w:type="character" w:customStyle="1" w:styleId="WW8Num19z3">
    <w:name w:val="WW8Num19z3"/>
    <w:qFormat/>
    <w:rPr>
      <w:rFonts w:ascii="Symbol" w:hAnsi="Symbol" w:cs="Symbol"/>
    </w:rPr>
  </w:style>
  <w:style w:type="character" w:customStyle="1" w:styleId="WW8Num20z0">
    <w:name w:val="WW8Num20z0"/>
    <w:qFormat/>
  </w:style>
  <w:style w:type="character" w:customStyle="1" w:styleId="WW8Num20z1">
    <w:name w:val="WW8Num20z1"/>
    <w:qFormat/>
  </w:style>
  <w:style w:type="character" w:customStyle="1" w:styleId="WW8Num20z2">
    <w:name w:val="WW8Num20z2"/>
    <w:qFormat/>
  </w:style>
  <w:style w:type="character" w:customStyle="1" w:styleId="WW8Num20z3">
    <w:name w:val="WW8Num20z3"/>
    <w:qFormat/>
  </w:style>
  <w:style w:type="character" w:customStyle="1" w:styleId="WW8Num20z4">
    <w:name w:val="WW8Num20z4"/>
    <w:qFormat/>
  </w:style>
  <w:style w:type="character" w:customStyle="1" w:styleId="WW8Num20z5">
    <w:name w:val="WW8Num20z5"/>
    <w:qFormat/>
  </w:style>
  <w:style w:type="character" w:customStyle="1" w:styleId="WW8Num20z6">
    <w:name w:val="WW8Num20z6"/>
    <w:qFormat/>
  </w:style>
  <w:style w:type="character" w:customStyle="1" w:styleId="WW8Num20z7">
    <w:name w:val="WW8Num20z7"/>
    <w:qFormat/>
  </w:style>
  <w:style w:type="character" w:customStyle="1" w:styleId="WW8Num20z8">
    <w:name w:val="WW8Num20z8"/>
    <w:qFormat/>
  </w:style>
  <w:style w:type="character" w:customStyle="1" w:styleId="WW8Num21z0">
    <w:name w:val="WW8Num21z0"/>
    <w:qFormat/>
    <w:rPr>
      <w:rFonts w:ascii="Symbol" w:hAnsi="Symbol" w:cs="Symbol"/>
    </w:rPr>
  </w:style>
  <w:style w:type="character" w:customStyle="1" w:styleId="WW8Num21z1">
    <w:name w:val="WW8Num21z1"/>
    <w:qFormat/>
    <w:rPr>
      <w:rFonts w:ascii="Courier New" w:hAnsi="Courier New" w:cs="Courier New"/>
    </w:rPr>
  </w:style>
  <w:style w:type="character" w:customStyle="1" w:styleId="WW8Num21z2">
    <w:name w:val="WW8Num21z2"/>
    <w:qFormat/>
    <w:rPr>
      <w:rFonts w:ascii="Wingdings" w:hAnsi="Wingdings" w:cs="Wingdings"/>
    </w:rPr>
  </w:style>
  <w:style w:type="character" w:customStyle="1" w:styleId="WW8Num22z0">
    <w:name w:val="WW8Num22z0"/>
    <w:qFormat/>
    <w:rPr>
      <w:rFonts w:ascii="Symbol" w:hAnsi="Symbol" w:cs="Symbol"/>
    </w:rPr>
  </w:style>
  <w:style w:type="character" w:customStyle="1" w:styleId="WW8Num22z1">
    <w:name w:val="WW8Num22z1"/>
    <w:qFormat/>
    <w:rPr>
      <w:rFonts w:ascii="Courier New" w:hAnsi="Courier New" w:cs="Courier New"/>
    </w:rPr>
  </w:style>
  <w:style w:type="character" w:customStyle="1" w:styleId="WW8Num22z2">
    <w:name w:val="WW8Num22z2"/>
    <w:qFormat/>
    <w:rPr>
      <w:rFonts w:ascii="Wingdings" w:hAnsi="Wingdings" w:cs="Wingdings"/>
    </w:rPr>
  </w:style>
  <w:style w:type="character" w:customStyle="1" w:styleId="WW8Num23z0">
    <w:name w:val="WW8Num23z0"/>
    <w:qFormat/>
    <w:rPr>
      <w:rFonts w:ascii="Symbol" w:hAnsi="Symbol" w:cs="Symbol"/>
    </w:rPr>
  </w:style>
  <w:style w:type="character" w:customStyle="1" w:styleId="WW8Num24z0">
    <w:name w:val="WW8Num24z0"/>
    <w:qFormat/>
    <w:rPr>
      <w:rFonts w:ascii="Symbol" w:hAnsi="Symbol" w:cs="Symbol"/>
    </w:rPr>
  </w:style>
  <w:style w:type="character" w:customStyle="1" w:styleId="WW8Num24z1">
    <w:name w:val="WW8Num24z1"/>
    <w:qFormat/>
    <w:rPr>
      <w:rFonts w:ascii="Courier New" w:hAnsi="Courier New" w:cs="Courier New"/>
    </w:rPr>
  </w:style>
  <w:style w:type="character" w:customStyle="1" w:styleId="WW8Num24z2">
    <w:name w:val="WW8Num24z2"/>
    <w:qFormat/>
    <w:rPr>
      <w:rFonts w:ascii="Wingdings" w:hAnsi="Wingdings" w:cs="Wingdings"/>
    </w:rPr>
  </w:style>
  <w:style w:type="character" w:customStyle="1" w:styleId="WW8NumSt16z0">
    <w:name w:val="WW8NumSt16z0"/>
    <w:qFormat/>
    <w:rPr>
      <w:rFonts w:ascii="Symbol" w:hAnsi="Symbol" w:cs="Symbol"/>
    </w:rPr>
  </w:style>
  <w:style w:type="character" w:customStyle="1" w:styleId="WW8NumSt18z0">
    <w:name w:val="WW8NumSt18z0"/>
    <w:qFormat/>
    <w:rPr>
      <w:rFonts w:ascii="Symbol" w:hAnsi="Symbol" w:cs="Symbol"/>
    </w:rPr>
  </w:style>
  <w:style w:type="character" w:styleId="CommentReference">
    <w:name w:val="annotation reference"/>
    <w:qFormat/>
    <w:rPr>
      <w:sz w:val="16"/>
      <w:szCs w:val="16"/>
    </w:rPr>
  </w:style>
  <w:style w:type="character" w:customStyle="1" w:styleId="CommentTextChar">
    <w:name w:val="Comment Text Char"/>
    <w:qFormat/>
    <w:rPr>
      <w:lang w:eastAsia="zh-CN"/>
    </w:rPr>
  </w:style>
  <w:style w:type="character" w:customStyle="1" w:styleId="CommentSubjectChar">
    <w:name w:val="Comment Subject Char"/>
    <w:qFormat/>
    <w:rPr>
      <w:b/>
      <w:bCs/>
      <w:lang w:eastAsia="zh-CN"/>
    </w:rPr>
  </w:style>
  <w:style w:type="character" w:customStyle="1" w:styleId="BalloonTextChar">
    <w:name w:val="Balloon Text Char"/>
    <w:qFormat/>
    <w:rPr>
      <w:rFonts w:ascii="Tahoma" w:hAnsi="Tahoma" w:cs="Tahoma"/>
      <w:sz w:val="16"/>
      <w:szCs w:val="16"/>
      <w:lang w:eastAsia="zh-CN"/>
    </w:rPr>
  </w:style>
  <w:style w:type="character" w:customStyle="1" w:styleId="HeaderChar">
    <w:name w:val="Header Char"/>
    <w:qFormat/>
    <w:rPr>
      <w:rFonts w:ascii="Trebuchet MS" w:eastAsia="Calibri" w:hAnsi="Trebuchet MS" w:cs="Tahoma"/>
      <w:sz w:val="22"/>
    </w:rPr>
  </w:style>
  <w:style w:type="character" w:customStyle="1" w:styleId="FooterChar">
    <w:name w:val="Footer Char"/>
    <w:qFormat/>
    <w:rPr>
      <w:sz w:val="24"/>
      <w:szCs w:val="24"/>
      <w:lang w:eastAsia="zh-CN"/>
    </w:rPr>
  </w:style>
  <w:style w:type="character" w:customStyle="1" w:styleId="FootnoteCharacters">
    <w:name w:val="Footnote Characters"/>
    <w:qFormat/>
  </w:style>
  <w:style w:type="character" w:customStyle="1" w:styleId="FootnoteAnchor">
    <w:name w:val="Footnote Anchor"/>
    <w:rPr>
      <w:vertAlign w:val="superscript"/>
    </w:rPr>
  </w:style>
  <w:style w:type="character" w:customStyle="1" w:styleId="EndnoteCharacters">
    <w:name w:val="Endnote Characters"/>
    <w:qFormat/>
    <w:rPr>
      <w:vertAlign w:val="superscript"/>
    </w:rPr>
  </w:style>
  <w:style w:type="character" w:customStyle="1" w:styleId="WW-EndnoteCharacters">
    <w:name w:val="WW-Endnote Characters"/>
    <w:qFormat/>
  </w:style>
  <w:style w:type="character" w:customStyle="1" w:styleId="EndnoteAnchor">
    <w:name w:val="Endnote Anchor"/>
    <w:rPr>
      <w:vertAlign w:val="superscript"/>
    </w:rPr>
  </w:style>
  <w:style w:type="character" w:styleId="Hyperlink">
    <w:name w:val="Hyperlink"/>
    <w:rPr>
      <w:color w:val="000080"/>
      <w:u w:val="single"/>
    </w:rPr>
  </w:style>
  <w:style w:type="character" w:customStyle="1" w:styleId="Bullets">
    <w:name w:val="Bullets"/>
    <w:qFormat/>
    <w:rPr>
      <w:rFonts w:ascii="OpenSymbol;Arial Unicode MS" w:eastAsia="OpenSymbol;Arial Unicode MS" w:hAnsi="OpenSymbol;Arial Unicode MS" w:cs="OpenSymbol;Arial Unicode MS"/>
    </w:rPr>
  </w:style>
  <w:style w:type="paragraph" w:customStyle="1" w:styleId="Heading">
    <w:name w:val="Heading"/>
    <w:basedOn w:val="Normal"/>
    <w:next w:val="BodyText"/>
    <w:qFormat/>
    <w:pPr>
      <w:keepNext/>
      <w:spacing w:before="240" w:after="120"/>
    </w:pPr>
    <w:rPr>
      <w:rFonts w:ascii="Liberation Sans;Arial" w:eastAsia="Microsoft YaHei" w:hAnsi="Liberation Sans;Arial" w:cs="Lucida Sans"/>
      <w:sz w:val="28"/>
      <w:szCs w:val="28"/>
    </w:rPr>
  </w:style>
  <w:style w:type="paragraph" w:styleId="BodyText">
    <w:name w:val="Body Text"/>
    <w:basedOn w:val="Normal"/>
    <w:pPr>
      <w:spacing w:after="140" w:line="276" w:lineRule="auto"/>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rPr>
  </w:style>
  <w:style w:type="paragraph" w:customStyle="1" w:styleId="Index">
    <w:name w:val="Index"/>
    <w:basedOn w:val="Normal"/>
    <w:qFormat/>
    <w:pPr>
      <w:suppressLineNumbers/>
    </w:pPr>
    <w:rPr>
      <w:rFonts w:cs="Lucida Sans"/>
    </w:rPr>
  </w:style>
  <w:style w:type="paragraph" w:styleId="NormalWeb">
    <w:name w:val="Normal (Web)"/>
    <w:basedOn w:val="Normal"/>
    <w:qFormat/>
    <w:pPr>
      <w:spacing w:before="280" w:after="280"/>
    </w:pPr>
    <w:rPr>
      <w:rFonts w:ascii="Georgia" w:hAnsi="Georgia" w:cs="Georgia"/>
      <w:color w:val="000000"/>
      <w:sz w:val="21"/>
      <w:szCs w:val="21"/>
    </w:rPr>
  </w:style>
  <w:style w:type="paragraph" w:styleId="CommentText">
    <w:name w:val="annotation text"/>
    <w:basedOn w:val="Normal"/>
    <w:qFormat/>
    <w:rPr>
      <w:sz w:val="20"/>
      <w:szCs w:val="20"/>
    </w:rPr>
  </w:style>
  <w:style w:type="paragraph" w:styleId="CommentSubject">
    <w:name w:val="annotation subject"/>
    <w:basedOn w:val="CommentText"/>
    <w:next w:val="CommentText"/>
    <w:qFormat/>
    <w:rPr>
      <w:b/>
      <w:bCs/>
    </w:rPr>
  </w:style>
  <w:style w:type="paragraph" w:styleId="BalloonText">
    <w:name w:val="Balloon Text"/>
    <w:basedOn w:val="Normal"/>
    <w:qFormat/>
    <w:rPr>
      <w:rFonts w:ascii="Tahoma" w:hAnsi="Tahoma" w:cs="Tahoma"/>
      <w:sz w:val="16"/>
      <w:szCs w:val="16"/>
    </w:rPr>
  </w:style>
  <w:style w:type="paragraph" w:customStyle="1" w:styleId="HeaderandFooter">
    <w:name w:val="Header and Footer"/>
    <w:basedOn w:val="Normal"/>
    <w:qFormat/>
    <w:pPr>
      <w:suppressLineNumbers/>
      <w:tabs>
        <w:tab w:val="center" w:pos="4819"/>
        <w:tab w:val="right" w:pos="9638"/>
      </w:tabs>
    </w:pPr>
  </w:style>
  <w:style w:type="paragraph" w:styleId="Header">
    <w:name w:val="header"/>
    <w:basedOn w:val="Normal"/>
    <w:pPr>
      <w:tabs>
        <w:tab w:val="center" w:pos="4513"/>
        <w:tab w:val="right" w:pos="9026"/>
      </w:tabs>
    </w:pPr>
    <w:rPr>
      <w:rFonts w:ascii="Trebuchet MS" w:eastAsia="Calibri" w:hAnsi="Trebuchet MS" w:cs="Trebuchet MS"/>
      <w:sz w:val="22"/>
      <w:szCs w:val="20"/>
    </w:rPr>
  </w:style>
  <w:style w:type="paragraph" w:styleId="Footer">
    <w:name w:val="footer"/>
    <w:basedOn w:val="Normal"/>
    <w:pPr>
      <w:tabs>
        <w:tab w:val="center" w:pos="4513"/>
        <w:tab w:val="right" w:pos="9026"/>
      </w:tabs>
    </w:pPr>
  </w:style>
  <w:style w:type="paragraph" w:customStyle="1" w:styleId="TableContents">
    <w:name w:val="Table Contents"/>
    <w:basedOn w:val="Normal"/>
    <w:qFormat/>
    <w:pPr>
      <w:widowControl w:val="0"/>
      <w:suppressLineNumbers/>
    </w:pPr>
  </w:style>
  <w:style w:type="paragraph" w:customStyle="1" w:styleId="TableHeading">
    <w:name w:val="Table Heading"/>
    <w:basedOn w:val="TableContents"/>
    <w:qFormat/>
    <w:pPr>
      <w:jc w:val="center"/>
    </w:pPr>
    <w:rPr>
      <w:b/>
      <w:bCs/>
    </w:rPr>
  </w:style>
  <w:style w:type="paragraph" w:styleId="FootnoteText">
    <w:name w:val="footnote text"/>
    <w:basedOn w:val="Normal"/>
    <w:pPr>
      <w:suppressLineNumbers/>
      <w:ind w:left="339" w:hanging="339"/>
    </w:pPr>
    <w:rPr>
      <w:sz w:val="20"/>
      <w:szCs w:val="20"/>
    </w:rPr>
  </w:style>
  <w:style w:type="numbering" w:customStyle="1" w:styleId="WW8Num1">
    <w:name w:val="WW8Num1"/>
    <w:qFormat/>
  </w:style>
  <w:style w:type="paragraph" w:styleId="Revision">
    <w:name w:val="Revision"/>
    <w:hidden/>
    <w:uiPriority w:val="99"/>
    <w:semiHidden/>
    <w:rsid w:val="000C6C68"/>
    <w:pPr>
      <w:suppressAutoHyphens w:val="0"/>
    </w:pPr>
    <w:rPr>
      <w:rFonts w:ascii="Times New Roman" w:eastAsia="SimSun;宋体" w:hAnsi="Times New Roman" w:cs="Times New Roman"/>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hyperlink" Target="https://doi.org/10.2307/j.ctt1v2xvw6.4" TargetMode="External" /><Relationship Id="rId26" Type="http://schemas.openxmlformats.org/officeDocument/2006/relationships/fontTable" Target="fontTable.xml" /><Relationship Id="rId3" Type="http://schemas.openxmlformats.org/officeDocument/2006/relationships/settings" Target="settings.xml" /><Relationship Id="rId21" Type="http://schemas.openxmlformats.org/officeDocument/2006/relationships/hyperlink" Target="https://www-jstor-org.ezproxy.uwtsd.ac.uk/stable/1396218" TargetMode="Externa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image" Target="media/image11.png" /><Relationship Id="rId25" Type="http://schemas.openxmlformats.org/officeDocument/2006/relationships/header" Target="header2.xml" /><Relationship Id="rId2" Type="http://schemas.openxmlformats.org/officeDocument/2006/relationships/styles" Target="styles.xml" /><Relationship Id="rId16" Type="http://schemas.openxmlformats.org/officeDocument/2006/relationships/image" Target="media/image10.png" /><Relationship Id="rId20" Type="http://schemas.openxmlformats.org/officeDocument/2006/relationships/hyperlink" Target="https://birmingham-faith-visits.theartssociety.org/node/6"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header" Target="header1.xml" /><Relationship Id="rId10" Type="http://schemas.openxmlformats.org/officeDocument/2006/relationships/image" Target="media/image4.png" /><Relationship Id="rId19" Type="http://schemas.openxmlformats.org/officeDocument/2006/relationships/hyperlink" Target="https://www.patheos.com/library/sikhism/ritual-worship-devotion-symbolism/sacred-space"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hyperlink" Target="https://dpi.org/10.1525/nr.1999.3.1.147" TargetMode="External" /><Relationship Id="rId27" Type="http://schemas.openxmlformats.org/officeDocument/2006/relationships/theme" Target="theme/theme1.xml" /></Relationships>
</file>

<file path=word/_rels/footnotes.xml.rels><?xml version="1.0" encoding="UTF-8" standalone="yes"?>
<Relationships xmlns="http://schemas.openxmlformats.org/package/2006/relationships"><Relationship Id="rId8" Type="http://schemas.openxmlformats.org/officeDocument/2006/relationships/hyperlink" Target="https://birmingham-faith-visits.theartssociety.org/node/6" TargetMode="External" /><Relationship Id="rId3" Type="http://schemas.openxmlformats.org/officeDocument/2006/relationships/hyperlink" Target="https://dpi.org/10.1525/nr.1999.3.1.147" TargetMode="External" /><Relationship Id="rId7" Type="http://schemas.openxmlformats.org/officeDocument/2006/relationships/hyperlink" Target="https://birmingham-faith-visits.theartssociety.org/node/6" TargetMode="External" /><Relationship Id="rId12" Type="http://schemas.openxmlformats.org/officeDocument/2006/relationships/hyperlink" Target="https://birmingham-faith-visits.theartssociety.org/node/6" TargetMode="External" /><Relationship Id="rId2" Type="http://schemas.openxmlformats.org/officeDocument/2006/relationships/hyperlink" Target="https://doi.org/10.2307/j.ctt1v2xvw6.4" TargetMode="External" /><Relationship Id="rId1" Type="http://schemas.openxmlformats.org/officeDocument/2006/relationships/hyperlink" Target="https://www-jstor-org.ezproxy.uwtsd.ac.uk/stable/1396218" TargetMode="External" /><Relationship Id="rId6" Type="http://schemas.openxmlformats.org/officeDocument/2006/relationships/hyperlink" Target="https://www.patheos.com/library/sikhism/ritual-worship-devotion-symbolism/sacred-space" TargetMode="External" /><Relationship Id="rId11" Type="http://schemas.openxmlformats.org/officeDocument/2006/relationships/hyperlink" Target="https://birmingham-faith-visits.theartssociety.org/node/6" TargetMode="External" /><Relationship Id="rId5" Type="http://schemas.openxmlformats.org/officeDocument/2006/relationships/hyperlink" Target="https://birmingham-faith-visits.theartssociety.org/node/6" TargetMode="External" /><Relationship Id="rId10" Type="http://schemas.openxmlformats.org/officeDocument/2006/relationships/hyperlink" Target="https://birmingham-faith-visits.theartssociety.org/node/6" TargetMode="External" /><Relationship Id="rId4" Type="http://schemas.openxmlformats.org/officeDocument/2006/relationships/hyperlink" Target="https://birmingham-faith-visits.theartssociety.org/node/6" TargetMode="External" /><Relationship Id="rId9" Type="http://schemas.openxmlformats.org/officeDocument/2006/relationships/hyperlink" Target="https://birmingham-faith-visits.theartssociety.org/node/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17151eb3-00ab-470c-b25c-644c7691e891}" enabled="1" method="Privileged" siteId="{3ded2960-214a-46ff-8cf4-611f125e2398}" removed="0"/>
</clbl:labelList>
</file>

<file path=docProps/app.xml><?xml version="1.0" encoding="utf-8"?>
<Properties xmlns="http://schemas.openxmlformats.org/officeDocument/2006/extended-properties" xmlns:vt="http://schemas.openxmlformats.org/officeDocument/2006/docPropsVTypes">
  <Template>Normal</Template>
  <TotalTime>0</TotalTime>
  <Pages>19</Pages>
  <Words>5627</Words>
  <Characters>32078</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UNIVERSITY OF WALES</vt:lpstr>
    </vt:vector>
  </TitlesOfParts>
  <Company/>
  <LinksUpToDate>false</LinksUpToDate>
  <CharactersWithSpaces>37630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dc:description/>
  <cp:lastModifiedBy>rebecca Booker</cp:lastModifiedBy>
  <cp:revision>2</cp:revision>
  <cp:lastPrinted>1995-11-21T17:41:00Z</cp:lastPrinted>
  <dcterms:created xsi:type="dcterms:W3CDTF">2023-12-29T12:45:00Z</dcterms:created>
  <dcterms:modified xsi:type="dcterms:W3CDTF">2023-12-29T12:45:00Z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y fmtid="{D5CDD505-2E9C-101B-9397-08002B2CF9AE}" pid="8" name="ClassificationContentMarkingHeaderShapeIds">
    <vt:lpwstr>3d013ff9,13bbe237,c89683f</vt:lpwstr>
  </property>
  <property fmtid="{D5CDD505-2E9C-101B-9397-08002B2CF9AE}" pid="9" name="ClassificationContentMarkingHeaderFontProps">
    <vt:lpwstr>#008000,12,Calibri</vt:lpwstr>
  </property>
  <property fmtid="{D5CDD505-2E9C-101B-9397-08002B2CF9AE}" pid="10" name="ClassificationContentMarkingHeaderText">
    <vt:lpwstr>Classification: Public</vt:lpwstr>
  </property>
</Properties>
</file>