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3B83" w14:textId="4127E858" w:rsidR="008D1E7D" w:rsidRPr="006B26BA" w:rsidRDefault="00B0007E">
      <w:pPr>
        <w:pStyle w:val="cvgsua"/>
        <w:spacing w:line="360" w:lineRule="auto"/>
        <w:rPr>
          <w:rFonts w:ascii="Arial" w:hAnsi="Arial" w:cs="Arial"/>
          <w:sz w:val="22"/>
          <w:szCs w:val="22"/>
        </w:rPr>
      </w:pPr>
      <w:r w:rsidRPr="006B26BA">
        <w:rPr>
          <w:rFonts w:ascii="Arial" w:hAnsi="Arial" w:cs="Arial"/>
          <w:noProof/>
          <w:sz w:val="22"/>
          <w:szCs w:val="22"/>
        </w:rPr>
        <w:drawing>
          <wp:inline distT="0" distB="0" distL="0" distR="0" wp14:anchorId="50E618EC" wp14:editId="14A982FC">
            <wp:extent cx="3977640" cy="2369820"/>
            <wp:effectExtent l="0" t="0" r="3810" b="0"/>
            <wp:docPr id="2125467494" name="Picture 1"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5440" t="3040" r="52960" b="73120"/>
                    <a:stretch>
                      <a:fillRect/>
                    </a:stretch>
                  </pic:blipFill>
                  <pic:spPr>
                    <a:xfrm>
                      <a:off x="0" y="0"/>
                      <a:ext cx="3978538" cy="2370355"/>
                    </a:xfrm>
                    <a:prstGeom prst="rect">
                      <a:avLst/>
                    </a:prstGeom>
                    <a:noFill/>
                    <a:ln>
                      <a:noFill/>
                      <a:prstDash/>
                    </a:ln>
                  </pic:spPr>
                </pic:pic>
              </a:graphicData>
            </a:graphic>
          </wp:inline>
        </w:drawing>
      </w:r>
    </w:p>
    <w:p w14:paraId="7A658CAC" w14:textId="77777777" w:rsidR="008D1E7D" w:rsidRPr="006B26BA" w:rsidRDefault="008D1E7D">
      <w:pPr>
        <w:pStyle w:val="cvgsua"/>
        <w:spacing w:line="360" w:lineRule="auto"/>
        <w:rPr>
          <w:rFonts w:ascii="Arial" w:hAnsi="Arial" w:cs="Arial"/>
          <w:sz w:val="22"/>
          <w:szCs w:val="22"/>
        </w:rPr>
      </w:pPr>
    </w:p>
    <w:p w14:paraId="518453CE" w14:textId="77777777" w:rsidR="008D1E7D" w:rsidRPr="006B26BA" w:rsidRDefault="008D1E7D">
      <w:pPr>
        <w:pStyle w:val="cvgsua"/>
        <w:spacing w:line="360" w:lineRule="auto"/>
        <w:rPr>
          <w:rFonts w:ascii="Arial" w:hAnsi="Arial" w:cs="Arial"/>
          <w:sz w:val="22"/>
          <w:szCs w:val="22"/>
        </w:rPr>
      </w:pPr>
    </w:p>
    <w:p w14:paraId="50E618EF" w14:textId="77777777" w:rsidR="00080B44" w:rsidRPr="006B26BA" w:rsidRDefault="00080B44">
      <w:pPr>
        <w:pStyle w:val="cvgsua"/>
        <w:spacing w:line="360" w:lineRule="auto"/>
        <w:rPr>
          <w:rFonts w:ascii="Arial" w:hAnsi="Arial" w:cs="Arial"/>
          <w:sz w:val="22"/>
          <w:szCs w:val="22"/>
        </w:rPr>
      </w:pPr>
    </w:p>
    <w:p w14:paraId="50E618F0" w14:textId="77777777" w:rsidR="00080B44" w:rsidRPr="006B26BA" w:rsidRDefault="00B0007E">
      <w:pPr>
        <w:pStyle w:val="cvgsua"/>
        <w:spacing w:line="360" w:lineRule="auto"/>
        <w:rPr>
          <w:rFonts w:ascii="Arial" w:hAnsi="Arial" w:cs="Arial"/>
          <w:sz w:val="22"/>
          <w:szCs w:val="22"/>
        </w:rPr>
      </w:pPr>
      <w:r w:rsidRPr="006B26BA">
        <w:rPr>
          <w:rStyle w:val="oypena"/>
          <w:rFonts w:ascii="Arial" w:hAnsi="Arial" w:cs="Arial"/>
          <w:b/>
          <w:bCs/>
          <w:color w:val="000000"/>
          <w:sz w:val="22"/>
          <w:szCs w:val="22"/>
        </w:rPr>
        <w:t>Student name: Katarina Dydnanska</w:t>
      </w:r>
    </w:p>
    <w:p w14:paraId="50E618F1" w14:textId="77777777" w:rsidR="00080B44" w:rsidRPr="006B26BA" w:rsidRDefault="00B0007E">
      <w:pPr>
        <w:pStyle w:val="cvgsua"/>
        <w:spacing w:line="360" w:lineRule="auto"/>
        <w:rPr>
          <w:rFonts w:ascii="Arial" w:hAnsi="Arial" w:cs="Arial"/>
          <w:sz w:val="22"/>
          <w:szCs w:val="22"/>
        </w:rPr>
      </w:pPr>
      <w:r w:rsidRPr="006B26BA">
        <w:rPr>
          <w:rStyle w:val="oypena"/>
          <w:rFonts w:ascii="Arial" w:hAnsi="Arial" w:cs="Arial"/>
          <w:b/>
          <w:bCs/>
          <w:color w:val="000000"/>
          <w:sz w:val="22"/>
          <w:szCs w:val="22"/>
        </w:rPr>
        <w:t>Student ID: 2247512</w:t>
      </w:r>
    </w:p>
    <w:p w14:paraId="50E618F2" w14:textId="42FF96A4" w:rsidR="00080B44" w:rsidRPr="00BB0164" w:rsidRDefault="00B0007E">
      <w:pPr>
        <w:pStyle w:val="cvgsua"/>
        <w:spacing w:line="360" w:lineRule="auto"/>
        <w:rPr>
          <w:rFonts w:ascii="Arial" w:hAnsi="Arial" w:cs="Arial"/>
          <w:b/>
          <w:bCs/>
          <w:color w:val="000000"/>
          <w:sz w:val="22"/>
          <w:szCs w:val="22"/>
        </w:rPr>
      </w:pPr>
      <w:r w:rsidRPr="006B26BA">
        <w:rPr>
          <w:rStyle w:val="oypena"/>
          <w:rFonts w:ascii="Arial" w:hAnsi="Arial" w:cs="Arial"/>
          <w:b/>
          <w:bCs/>
          <w:color w:val="000000"/>
          <w:sz w:val="22"/>
          <w:szCs w:val="22"/>
        </w:rPr>
        <w:t xml:space="preserve">Module code: </w:t>
      </w:r>
      <w:r w:rsidR="00BB0164" w:rsidRPr="00BB0164">
        <w:rPr>
          <w:rFonts w:ascii="Arial" w:hAnsi="Arial" w:cs="Arial"/>
          <w:b/>
          <w:bCs/>
          <w:color w:val="000000"/>
          <w:sz w:val="22"/>
          <w:szCs w:val="22"/>
        </w:rPr>
        <w:t>LCBB5013</w:t>
      </w:r>
    </w:p>
    <w:p w14:paraId="50E618F3" w14:textId="5C8ED388" w:rsidR="00080B44" w:rsidRPr="00C214E0" w:rsidRDefault="00B0007E">
      <w:pPr>
        <w:pStyle w:val="cvgsua"/>
        <w:spacing w:line="360" w:lineRule="auto"/>
        <w:rPr>
          <w:rFonts w:ascii="Arial" w:hAnsi="Arial" w:cs="Arial"/>
          <w:b/>
          <w:bCs/>
          <w:color w:val="000000"/>
          <w:sz w:val="22"/>
          <w:szCs w:val="22"/>
        </w:rPr>
      </w:pPr>
      <w:r w:rsidRPr="006B26BA">
        <w:rPr>
          <w:rStyle w:val="oypena"/>
          <w:rFonts w:ascii="Arial" w:hAnsi="Arial" w:cs="Arial"/>
          <w:b/>
          <w:bCs/>
          <w:color w:val="000000"/>
          <w:sz w:val="22"/>
          <w:szCs w:val="22"/>
        </w:rPr>
        <w:t xml:space="preserve">Module name: </w:t>
      </w:r>
      <w:r w:rsidR="00C214E0" w:rsidRPr="00C214E0">
        <w:rPr>
          <w:rFonts w:ascii="Arial" w:hAnsi="Arial" w:cs="Arial"/>
          <w:b/>
          <w:bCs/>
          <w:color w:val="000000"/>
          <w:sz w:val="22"/>
          <w:szCs w:val="22"/>
        </w:rPr>
        <w:t>Entrepreneurship</w:t>
      </w:r>
    </w:p>
    <w:p w14:paraId="50E618F4" w14:textId="5D1C0F12" w:rsidR="00080B44" w:rsidRPr="006B26BA" w:rsidRDefault="00B0007E">
      <w:pPr>
        <w:rPr>
          <w:rFonts w:ascii="Arial" w:hAnsi="Arial" w:cs="Arial"/>
          <w:b/>
          <w:bCs/>
          <w:color w:val="000000"/>
          <w:sz w:val="22"/>
          <w:szCs w:val="22"/>
        </w:rPr>
      </w:pPr>
      <w:r w:rsidRPr="006B26BA">
        <w:rPr>
          <w:rStyle w:val="oypena"/>
          <w:rFonts w:ascii="Arial" w:hAnsi="Arial" w:cs="Arial"/>
          <w:b/>
          <w:bCs/>
          <w:color w:val="000000"/>
          <w:sz w:val="22"/>
          <w:szCs w:val="22"/>
        </w:rPr>
        <w:t xml:space="preserve">Lecture: </w:t>
      </w:r>
      <w:r w:rsidR="003564C2" w:rsidRPr="003564C2">
        <w:rPr>
          <w:rFonts w:ascii="Arial" w:hAnsi="Arial" w:cs="Arial"/>
          <w:b/>
          <w:bCs/>
          <w:color w:val="000000"/>
          <w:sz w:val="22"/>
          <w:szCs w:val="22"/>
        </w:rPr>
        <w:t>Zainab Atta</w:t>
      </w:r>
    </w:p>
    <w:p w14:paraId="59865D1C" w14:textId="77777777" w:rsidR="00B0007E" w:rsidRPr="006B26BA" w:rsidRDefault="00B0007E">
      <w:pPr>
        <w:rPr>
          <w:rFonts w:ascii="Arial" w:hAnsi="Arial" w:cs="Arial"/>
          <w:b/>
          <w:bCs/>
          <w:color w:val="000000"/>
          <w:sz w:val="22"/>
          <w:szCs w:val="22"/>
        </w:rPr>
      </w:pPr>
    </w:p>
    <w:p w14:paraId="50E618F5" w14:textId="5DC6863B" w:rsidR="00080B44" w:rsidRPr="006B26BA" w:rsidRDefault="00080B44">
      <w:pPr>
        <w:rPr>
          <w:rFonts w:ascii="Arial" w:hAnsi="Arial" w:cs="Arial"/>
          <w:b/>
          <w:bCs/>
          <w:color w:val="000000"/>
          <w:sz w:val="22"/>
          <w:szCs w:val="22"/>
        </w:rPr>
      </w:pPr>
    </w:p>
    <w:p w14:paraId="50E618F6" w14:textId="77777777" w:rsidR="00080B44" w:rsidRPr="006B26BA" w:rsidRDefault="00080B44">
      <w:pPr>
        <w:rPr>
          <w:rFonts w:ascii="Arial" w:hAnsi="Arial" w:cs="Arial"/>
          <w:b/>
          <w:bCs/>
          <w:color w:val="000000"/>
          <w:sz w:val="22"/>
          <w:szCs w:val="22"/>
        </w:rPr>
      </w:pPr>
    </w:p>
    <w:p w14:paraId="50E618F7" w14:textId="77777777" w:rsidR="00080B44" w:rsidRPr="006B26BA" w:rsidRDefault="00080B44">
      <w:pPr>
        <w:rPr>
          <w:rFonts w:ascii="Arial" w:hAnsi="Arial" w:cs="Arial"/>
          <w:b/>
          <w:bCs/>
          <w:color w:val="000000"/>
          <w:sz w:val="22"/>
          <w:szCs w:val="22"/>
        </w:rPr>
      </w:pPr>
    </w:p>
    <w:p w14:paraId="50E618F8" w14:textId="77777777" w:rsidR="00080B44" w:rsidRPr="006B26BA" w:rsidRDefault="00080B44">
      <w:pPr>
        <w:rPr>
          <w:rFonts w:ascii="Arial" w:hAnsi="Arial" w:cs="Arial"/>
          <w:b/>
          <w:bCs/>
          <w:color w:val="000000"/>
          <w:sz w:val="22"/>
          <w:szCs w:val="22"/>
        </w:rPr>
      </w:pPr>
    </w:p>
    <w:p w14:paraId="50E618F9" w14:textId="77777777" w:rsidR="00080B44" w:rsidRPr="006B26BA" w:rsidRDefault="00080B44">
      <w:pPr>
        <w:rPr>
          <w:rFonts w:ascii="Arial" w:hAnsi="Arial" w:cs="Arial"/>
          <w:b/>
          <w:bCs/>
          <w:color w:val="000000"/>
          <w:sz w:val="22"/>
          <w:szCs w:val="22"/>
        </w:rPr>
      </w:pPr>
    </w:p>
    <w:p w14:paraId="50E61900" w14:textId="77777777" w:rsidR="00080B44" w:rsidRPr="006B26BA" w:rsidRDefault="00080B44">
      <w:pPr>
        <w:rPr>
          <w:rFonts w:ascii="Arial" w:hAnsi="Arial" w:cs="Arial"/>
          <w:b/>
          <w:bCs/>
          <w:color w:val="000000"/>
          <w:sz w:val="22"/>
          <w:szCs w:val="22"/>
        </w:rPr>
      </w:pPr>
    </w:p>
    <w:p w14:paraId="5B86C998" w14:textId="77777777" w:rsidR="00BC177E" w:rsidRPr="006B26BA" w:rsidRDefault="00BC177E" w:rsidP="00BC177E">
      <w:pPr>
        <w:rPr>
          <w:rFonts w:ascii="Arial" w:hAnsi="Arial" w:cs="Arial"/>
          <w:b/>
          <w:bCs/>
          <w:color w:val="000000"/>
          <w:sz w:val="22"/>
          <w:szCs w:val="22"/>
        </w:rPr>
      </w:pPr>
    </w:p>
    <w:p w14:paraId="187056DF" w14:textId="77777777" w:rsidR="008D1E7D" w:rsidRPr="006B26BA" w:rsidRDefault="008D1E7D" w:rsidP="00BC177E">
      <w:pPr>
        <w:rPr>
          <w:rFonts w:ascii="Arial" w:hAnsi="Arial" w:cs="Arial"/>
          <w:b/>
          <w:bCs/>
          <w:color w:val="000000"/>
          <w:sz w:val="22"/>
          <w:szCs w:val="22"/>
        </w:rPr>
      </w:pPr>
    </w:p>
    <w:p w14:paraId="1F619DED" w14:textId="77777777" w:rsidR="008D1E7D" w:rsidRPr="006B26BA" w:rsidRDefault="008D1E7D" w:rsidP="00BC177E">
      <w:pPr>
        <w:rPr>
          <w:rFonts w:ascii="Arial" w:hAnsi="Arial" w:cs="Arial"/>
          <w:b/>
          <w:bCs/>
          <w:color w:val="000000"/>
          <w:sz w:val="22"/>
          <w:szCs w:val="22"/>
        </w:rPr>
      </w:pPr>
    </w:p>
    <w:p w14:paraId="7DD67C9E" w14:textId="77777777" w:rsidR="008D1E7D" w:rsidRPr="006B26BA" w:rsidRDefault="008D1E7D" w:rsidP="00BC177E">
      <w:pPr>
        <w:rPr>
          <w:rFonts w:ascii="Arial" w:hAnsi="Arial" w:cs="Arial"/>
          <w:b/>
          <w:bCs/>
          <w:color w:val="000000"/>
          <w:sz w:val="22"/>
          <w:szCs w:val="22"/>
        </w:rPr>
      </w:pPr>
    </w:p>
    <w:p w14:paraId="5EAE296F" w14:textId="77777777" w:rsidR="00B13482" w:rsidRPr="006B26BA" w:rsidRDefault="00B13482" w:rsidP="0068548F">
      <w:pPr>
        <w:rPr>
          <w:rFonts w:ascii="Arial" w:hAnsi="Arial" w:cs="Arial"/>
          <w:sz w:val="22"/>
          <w:szCs w:val="22"/>
        </w:rPr>
      </w:pPr>
    </w:p>
    <w:p w14:paraId="5C1733B9" w14:textId="77777777" w:rsidR="006B26BA" w:rsidRDefault="006B26BA"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p>
    <w:p w14:paraId="0966DBE3" w14:textId="2DB6E25F" w:rsidR="0042504D" w:rsidRPr="00EE3309" w:rsidRDefault="0042504D" w:rsidP="006B26BA">
      <w:pPr>
        <w:suppressAutoHyphens w:val="0"/>
        <w:autoSpaceDN/>
        <w:spacing w:before="100" w:beforeAutospacing="1" w:after="100" w:afterAutospacing="1" w:line="240" w:lineRule="auto"/>
        <w:jc w:val="center"/>
        <w:rPr>
          <w:rFonts w:ascii="Arial" w:eastAsia="Times New Roman" w:hAnsi="Arial" w:cs="Arial"/>
          <w:b/>
          <w:bCs/>
          <w:kern w:val="0"/>
          <w:lang w:eastAsia="en-GB"/>
        </w:rPr>
      </w:pPr>
      <w:r w:rsidRPr="00EE3309">
        <w:rPr>
          <w:rFonts w:ascii="Arial" w:eastAsia="Times New Roman" w:hAnsi="Arial" w:cs="Arial"/>
          <w:b/>
          <w:bCs/>
          <w:kern w:val="0"/>
          <w:lang w:eastAsia="en-GB"/>
        </w:rPr>
        <w:lastRenderedPageBreak/>
        <w:t>Analysis of the external environment for a nutrition-focused breakfast club in Newport using a PESTEL-SWOT framework.</w:t>
      </w:r>
    </w:p>
    <w:p w14:paraId="651AE516" w14:textId="77777777" w:rsidR="00EE3309" w:rsidRPr="0042504D" w:rsidRDefault="00EE3309" w:rsidP="006B26BA">
      <w:pPr>
        <w:suppressAutoHyphens w:val="0"/>
        <w:autoSpaceDN/>
        <w:spacing w:before="100" w:beforeAutospacing="1" w:after="100" w:afterAutospacing="1" w:line="240" w:lineRule="auto"/>
        <w:jc w:val="center"/>
        <w:rPr>
          <w:rFonts w:ascii="Arial" w:eastAsia="Times New Roman" w:hAnsi="Arial" w:cs="Arial"/>
          <w:b/>
          <w:bCs/>
          <w:kern w:val="0"/>
          <w:sz w:val="22"/>
          <w:szCs w:val="22"/>
          <w:lang w:eastAsia="en-GB"/>
        </w:rPr>
      </w:pPr>
    </w:p>
    <w:p w14:paraId="4A0E5075"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Introduction</w:t>
      </w:r>
    </w:p>
    <w:p w14:paraId="22316CCD"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The Newport breakfast club targets healthy breakfasts for children, using a PESTEL-informed SWOT analysis considering various factors. There's growth potential by addressing parents’ nutrition concerns, with funding for child obesity initiatives, though the Welsh Government’s plan mainly targets those over five, leaving younger kids underserved. Despite competition from existing clubs, focusing on preschoolers offers a significant opportunity. Utilizing the “Healthy Start Scheme” and local organic suppliers can help. Strengths include a strong reputation and skilled staff, while weaknesses are limited cooking facilities and an untrained workforce.</w:t>
      </w:r>
    </w:p>
    <w:p w14:paraId="5D27B536"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PESTEL analysis of the external environment</w:t>
      </w:r>
    </w:p>
    <w:p w14:paraId="575FB00F"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The PESTEL framework </w:t>
      </w:r>
      <w:proofErr w:type="spellStart"/>
      <w:r w:rsidRPr="0042504D">
        <w:rPr>
          <w:rFonts w:ascii="Arial" w:eastAsia="Times New Roman" w:hAnsi="Arial" w:cs="Arial"/>
          <w:kern w:val="0"/>
          <w:sz w:val="22"/>
          <w:szCs w:val="22"/>
          <w:lang w:eastAsia="en-GB"/>
        </w:rPr>
        <w:t>analyzes</w:t>
      </w:r>
      <w:proofErr w:type="spellEnd"/>
      <w:r w:rsidRPr="0042504D">
        <w:rPr>
          <w:rFonts w:ascii="Arial" w:eastAsia="Times New Roman" w:hAnsi="Arial" w:cs="Arial"/>
          <w:kern w:val="0"/>
          <w:sz w:val="22"/>
          <w:szCs w:val="22"/>
          <w:lang w:eastAsia="en-GB"/>
        </w:rPr>
        <w:t xml:space="preserve"> the external environment. Political factors include government support for nutrition initiatives and rising food production costs. Economic influences relate to malnutrition rates and school performance in disadvantaged areas. Sociocultural elements emphasize healthy nutrition awareness and local collaborations. Technological aspects cover online diet consultations. Climate change affects food sourcing, while legal factors pertain to food safety regulations and breakfast club incentives.</w:t>
      </w:r>
    </w:p>
    <w:p w14:paraId="0CF20851"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Political factors affect breakfast clubs' nutritious meal offerings. A 2022 report prompted the UK government to adopt nutrient profiling. Rising food costs may lead councils to impose taxes that threaten fresh produce availability. Economic issues link free school meals, malnutrition, and obesity to breakfast club attendance. Newport, with high free school meal rates, seeks to expand clubs for healthier school starts. Despite limited actions, notable revenue was reported in 2021. Malnutrition's effect on school performance highlights the need for breakfast clubs in Newport's post-COVID recovery.</w:t>
      </w:r>
    </w:p>
    <w:p w14:paraId="3C35CF3D"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In the UK, sociocultural factors promote healthy diet awareness as part of government objectives. Local partnerships inform schools on nutrition and limit unhealthy breakfast choices. The Newport breakfast club, initiated with 66.5% of students on free meals, highlights the need for dietary planning. Schools are leveraging online dietary advice, and Newport City Council partners with a </w:t>
      </w:r>
      <w:proofErr w:type="spellStart"/>
      <w:r w:rsidRPr="0042504D">
        <w:rPr>
          <w:rFonts w:ascii="Arial" w:eastAsia="Times New Roman" w:hAnsi="Arial" w:cs="Arial"/>
          <w:kern w:val="0"/>
          <w:sz w:val="22"/>
          <w:szCs w:val="22"/>
          <w:lang w:eastAsia="en-GB"/>
        </w:rPr>
        <w:t>neighboring</w:t>
      </w:r>
      <w:proofErr w:type="spellEnd"/>
      <w:r w:rsidRPr="0042504D">
        <w:rPr>
          <w:rFonts w:ascii="Arial" w:eastAsia="Times New Roman" w:hAnsi="Arial" w:cs="Arial"/>
          <w:kern w:val="0"/>
          <w:sz w:val="22"/>
          <w:szCs w:val="22"/>
          <w:lang w:eastAsia="en-GB"/>
        </w:rPr>
        <w:t xml:space="preserve"> authority for school visits to successful breakfast programs. Increased parental engagement has initiated trials for a multi-channel online ordering system for same-day delivery via the council's website.</w:t>
      </w:r>
    </w:p>
    <w:p w14:paraId="775C1965"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Environmental changes affect food sourcing, raising sustainability issues and climate change's impact on global food distribution. Legal factors involve food safety regulations for breakfast clubs. National programs providing free breakfasts for children offer financial support, with nutrient profiling securing government funding.</w:t>
      </w:r>
    </w:p>
    <w:p w14:paraId="23472769" w14:textId="77777777"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t>Political</w:t>
      </w:r>
    </w:p>
    <w:p w14:paraId="763CE564" w14:textId="26F1875D" w:rsidR="006B26BA" w:rsidRDefault="0042504D" w:rsidP="00EE3309">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Political factors affecting breakfast clubs include fiscal policy and the future of free school meals. Newport City Council offers healthy food initiatives for disadvantaged communities, with plans for the Healthy Schools Programme expansion by 2023. </w:t>
      </w:r>
    </w:p>
    <w:p w14:paraId="09B37EEE" w14:textId="77777777" w:rsidR="00EE3309" w:rsidRPr="00EE3309" w:rsidRDefault="00EE3309" w:rsidP="00EE3309">
      <w:pPr>
        <w:suppressAutoHyphens w:val="0"/>
        <w:autoSpaceDN/>
        <w:spacing w:before="100" w:beforeAutospacing="1" w:after="100" w:afterAutospacing="1" w:line="240" w:lineRule="auto"/>
        <w:rPr>
          <w:rFonts w:ascii="Arial" w:eastAsia="Times New Roman" w:hAnsi="Arial" w:cs="Arial"/>
          <w:kern w:val="0"/>
          <w:sz w:val="22"/>
          <w:szCs w:val="22"/>
          <w:lang w:eastAsia="en-GB"/>
        </w:rPr>
      </w:pPr>
    </w:p>
    <w:p w14:paraId="055E609A" w14:textId="66FF967B"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lastRenderedPageBreak/>
        <w:t>Economic</w:t>
      </w:r>
    </w:p>
    <w:p w14:paraId="10ACB882"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Newport's economy has changed, affecting local breakfast clubs. In 2011, 27% of jobs were highly skilled (Level 4), declining to 20% by 2019. Self-employment dropped from 9% to 7%, while public sector jobs rose from 16% to 23%. The Newport Economic Development Strategy emphasizes fostering an enterprise-friendly culture to promote self-employment and innovation among local entrepreneurs. </w:t>
      </w:r>
    </w:p>
    <w:p w14:paraId="4D2F0E6B" w14:textId="77777777"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t>Sociocultural</w:t>
      </w:r>
    </w:p>
    <w:p w14:paraId="21490BBE"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The breakfast club is vital for schools to engage families and promote parental involvement. Simply being present isn't enough; it's important to create chances for parents to connect with each other, staff, and support agencies. Professional informal interactions can highlight opportunities that improve children's well-being. In today's fragmented families, these daily gatherings are key for sharing advice. Providing refreshments like tea and pastries creates a warm environment, enhanced by expert speakers and tailored support for families.</w:t>
      </w:r>
    </w:p>
    <w:p w14:paraId="0A544EF2" w14:textId="77777777"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t>Technological</w:t>
      </w:r>
    </w:p>
    <w:p w14:paraId="5F654200"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Technological advances greatly influence organisational behaviour and market demand. Internet-enabled devices like smartphones offer new customer interaction opportunities, boosting brand awareness and promotions. Social media facilitates rapid sharing of product quality information, necessitating a focus on service excellence. </w:t>
      </w:r>
    </w:p>
    <w:p w14:paraId="4AA1DAA8"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The House of Commons Environment, Food, and Rural Affairs Committee stresses the importance of aiding vulnerable groups with food affordability and access to culturally respectful healthy food. It recommends school breakfast clubs to boost children's nutrition, supporting UK Policy for nutritious options for families.</w:t>
      </w:r>
    </w:p>
    <w:p w14:paraId="3E4E4502" w14:textId="77777777"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t>Environmental</w:t>
      </w:r>
    </w:p>
    <w:p w14:paraId="5BBA3FBB"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Outdoor food growing, community gardens, and food cooperatives can bypass food </w:t>
      </w:r>
      <w:proofErr w:type="spellStart"/>
      <w:r w:rsidRPr="0042504D">
        <w:rPr>
          <w:rFonts w:ascii="Arial" w:eastAsia="Times New Roman" w:hAnsi="Arial" w:cs="Arial"/>
          <w:kern w:val="0"/>
          <w:sz w:val="22"/>
          <w:szCs w:val="22"/>
          <w:lang w:eastAsia="en-GB"/>
        </w:rPr>
        <w:t>labeling</w:t>
      </w:r>
      <w:proofErr w:type="spellEnd"/>
      <w:r w:rsidRPr="0042504D">
        <w:rPr>
          <w:rFonts w:ascii="Arial" w:eastAsia="Times New Roman" w:hAnsi="Arial" w:cs="Arial"/>
          <w:kern w:val="0"/>
          <w:sz w:val="22"/>
          <w:szCs w:val="22"/>
          <w:lang w:eastAsia="en-GB"/>
        </w:rPr>
        <w:t xml:space="preserve"> laws, with anticipated benefits for public health, social cohesion, and sustainability.</w:t>
      </w:r>
    </w:p>
    <w:p w14:paraId="132BD941"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Outside Newport, gardening periodicals provide valuable ideas. The Edible Estate projects in Scotland display various edible gardening concepts, inspiring vehicle-based gardening in soil-less areas. Limited spaces and pollinator threats suggest food production systems like hanging gardens and green walls, including rooftops. Policies promote responsible vehicle-based food gardening in Wales.</w:t>
      </w:r>
    </w:p>
    <w:p w14:paraId="143A50CF" w14:textId="77777777" w:rsidR="0042504D" w:rsidRPr="0042504D" w:rsidRDefault="0042504D" w:rsidP="0042504D">
      <w:pPr>
        <w:suppressAutoHyphens w:val="0"/>
        <w:autoSpaceDN/>
        <w:spacing w:before="100" w:beforeAutospacing="1" w:after="100" w:afterAutospacing="1" w:line="240" w:lineRule="auto"/>
        <w:outlineLvl w:val="1"/>
        <w:rPr>
          <w:rFonts w:ascii="Arial" w:eastAsia="Times New Roman" w:hAnsi="Arial" w:cs="Arial"/>
          <w:b/>
          <w:bCs/>
          <w:kern w:val="0"/>
          <w:sz w:val="22"/>
          <w:szCs w:val="22"/>
          <w:lang w:eastAsia="en-GB"/>
        </w:rPr>
      </w:pPr>
      <w:r w:rsidRPr="0042504D">
        <w:rPr>
          <w:rFonts w:ascii="Arial" w:eastAsia="Times New Roman" w:hAnsi="Arial" w:cs="Arial"/>
          <w:b/>
          <w:bCs/>
          <w:kern w:val="0"/>
          <w:sz w:val="22"/>
          <w:szCs w:val="22"/>
          <w:lang w:eastAsia="en-GB"/>
        </w:rPr>
        <w:t>Legal</w:t>
      </w:r>
    </w:p>
    <w:p w14:paraId="1C3ABF89"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Concerns over child obesity and poverty in Newport, noted by the FSA, DA, and ACE, may prompt increased ACC funding. The Newport City Council is pushing for better welfare standards through legislation, focused on Child Poverty and regulations in high street areas. The Child Poverty Act 2010 seeks to mitigate child poverty in the UK, supported by the Government's strategy through the Department for Work and Pensions and Treasury, indicating possible funding from the Council.</w:t>
      </w:r>
    </w:p>
    <w:p w14:paraId="14D2B64D"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The Council emphasizes Community Cohesion and Resilience in its Corporate Plan through early interventions. Local strategies include child feeding initiatives in Newport to foster competition. Since 2006, Newport APS has operated feeding schemes Outside School Hours. Authorities must ensure that all children over five receive a daily meal, supported by Newport </w:t>
      </w:r>
      <w:r w:rsidRPr="0042504D">
        <w:rPr>
          <w:rFonts w:ascii="Arial" w:eastAsia="Times New Roman" w:hAnsi="Arial" w:cs="Arial"/>
          <w:kern w:val="0"/>
          <w:sz w:val="22"/>
          <w:szCs w:val="22"/>
          <w:lang w:eastAsia="en-GB"/>
        </w:rPr>
        <w:lastRenderedPageBreak/>
        <w:t>City Council and the Foundation for the World, as these efforts can improve business performance.</w:t>
      </w:r>
    </w:p>
    <w:p w14:paraId="72A85F0B"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Implications for the business: opportunities and threats</w:t>
      </w:r>
    </w:p>
    <w:p w14:paraId="4053163E"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Newport's socio-economic landscape offers a chance for a breakfast club featuring nutritious, plant-based meals. PESTEL analysis indicates rising interest in healthy eating, particularly for children facing food poverty. As more kids qualify for free school meals and schools can't serve hot meals before 9:00 AM, the demand for creative breakfast options is growing.</w:t>
      </w:r>
    </w:p>
    <w:p w14:paraId="4E891C11"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Children's nutritional intake is crucial, demanding improved communication for early years. In Newport, the focus is on </w:t>
      </w:r>
      <w:proofErr w:type="gramStart"/>
      <w:r w:rsidRPr="0042504D">
        <w:rPr>
          <w:rFonts w:ascii="Arial" w:eastAsia="Times New Roman" w:hAnsi="Arial" w:cs="Arial"/>
          <w:kern w:val="0"/>
          <w:sz w:val="22"/>
          <w:szCs w:val="22"/>
          <w:lang w:eastAsia="en-GB"/>
        </w:rPr>
        <w:t>3-11 year-olds</w:t>
      </w:r>
      <w:proofErr w:type="gramEnd"/>
      <w:r w:rsidRPr="0042504D">
        <w:rPr>
          <w:rFonts w:ascii="Arial" w:eastAsia="Times New Roman" w:hAnsi="Arial" w:cs="Arial"/>
          <w:kern w:val="0"/>
          <w:sz w:val="22"/>
          <w:szCs w:val="22"/>
          <w:lang w:eastAsia="en-GB"/>
        </w:rPr>
        <w:t xml:space="preserve">, yet many school children face food poverty at breakfast. Increased awareness of nutrient-rich breakfast options is needed. </w:t>
      </w:r>
    </w:p>
    <w:p w14:paraId="7D06A651"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Internal analysis: strengths and weaknesses</w:t>
      </w:r>
    </w:p>
    <w:p w14:paraId="03277215"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A Newport breakfast club for less fortunate families could benefit from a SWOT and PESTEL analysis. Strengths include strong community engagement, while weaknesses involve inadequate kitchen facilities. </w:t>
      </w:r>
    </w:p>
    <w:p w14:paraId="1B503E76"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SWOT synthesis</w:t>
      </w:r>
    </w:p>
    <w:p w14:paraId="7078FC80"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The World Health Organization (WHO) highlights that many countries are prioritizing disease control due to emerging disorders. WHO emphasizes the importance of breakfast for well-being, helping prevent obesity, manage blood pressure, control sugar levels, and support the immune system. This focus on nutritious breakfasts presents significant market opportunities in Newport, Gwent, located between Wales and England.</w:t>
      </w:r>
    </w:p>
    <w:p w14:paraId="6C7B9DDA"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SWOT frameworks are popular strategic planning tools across industries, focusing on Strengths, Weaknesses, Opportunities, and Threats. Another global framework is the PESTEL analysis, which includes Political, Economic, Social, Technological, Environmental, and Legal factors. Combining PESTEL with SWOT results in the PESTEL-informed SWOT framework.</w:t>
      </w:r>
    </w:p>
    <w:p w14:paraId="5D63AF00" w14:textId="77777777" w:rsidR="0042504D" w:rsidRPr="0042504D" w:rsidRDefault="0042504D" w:rsidP="0042504D">
      <w:pPr>
        <w:suppressAutoHyphens w:val="0"/>
        <w:autoSpaceDN/>
        <w:spacing w:before="100" w:beforeAutospacing="1" w:after="100" w:afterAutospacing="1" w:line="240" w:lineRule="auto"/>
        <w:outlineLvl w:val="0"/>
        <w:rPr>
          <w:rFonts w:ascii="Arial" w:eastAsia="Times New Roman" w:hAnsi="Arial" w:cs="Arial"/>
          <w:b/>
          <w:bCs/>
          <w:kern w:val="36"/>
          <w:sz w:val="22"/>
          <w:szCs w:val="22"/>
          <w:lang w:eastAsia="en-GB"/>
        </w:rPr>
      </w:pPr>
      <w:r w:rsidRPr="0042504D">
        <w:rPr>
          <w:rFonts w:ascii="Arial" w:eastAsia="Times New Roman" w:hAnsi="Arial" w:cs="Arial"/>
          <w:b/>
          <w:bCs/>
          <w:kern w:val="36"/>
          <w:sz w:val="22"/>
          <w:szCs w:val="22"/>
          <w:lang w:eastAsia="en-GB"/>
        </w:rPr>
        <w:t>Conclusion</w:t>
      </w:r>
    </w:p>
    <w:p w14:paraId="543D881D" w14:textId="77777777" w:rsidR="0042504D" w:rsidRPr="0042504D" w:rsidRDefault="0042504D" w:rsidP="0042504D">
      <w:pPr>
        <w:suppressAutoHyphens w:val="0"/>
        <w:autoSpaceDN/>
        <w:spacing w:before="100" w:beforeAutospacing="1" w:after="100" w:afterAutospacing="1" w:line="240" w:lineRule="auto"/>
        <w:rPr>
          <w:rFonts w:ascii="Arial" w:eastAsia="Times New Roman" w:hAnsi="Arial" w:cs="Arial"/>
          <w:kern w:val="0"/>
          <w:sz w:val="22"/>
          <w:szCs w:val="22"/>
          <w:lang w:eastAsia="en-GB"/>
        </w:rPr>
      </w:pPr>
      <w:r w:rsidRPr="0042504D">
        <w:rPr>
          <w:rFonts w:ascii="Arial" w:eastAsia="Times New Roman" w:hAnsi="Arial" w:cs="Arial"/>
          <w:kern w:val="0"/>
          <w:sz w:val="22"/>
          <w:szCs w:val="22"/>
          <w:lang w:eastAsia="en-GB"/>
        </w:rPr>
        <w:t xml:space="preserve">During summer vacation, low-income families face financial strain seeking breakfast clubs. A nutritious breakfast benefits adolescents' cognitive, emotional, and </w:t>
      </w:r>
      <w:proofErr w:type="spellStart"/>
      <w:r w:rsidRPr="0042504D">
        <w:rPr>
          <w:rFonts w:ascii="Arial" w:eastAsia="Times New Roman" w:hAnsi="Arial" w:cs="Arial"/>
          <w:kern w:val="0"/>
          <w:sz w:val="22"/>
          <w:szCs w:val="22"/>
          <w:lang w:eastAsia="en-GB"/>
        </w:rPr>
        <w:t>behavioral</w:t>
      </w:r>
      <w:proofErr w:type="spellEnd"/>
      <w:r w:rsidRPr="0042504D">
        <w:rPr>
          <w:rFonts w:ascii="Arial" w:eastAsia="Times New Roman" w:hAnsi="Arial" w:cs="Arial"/>
          <w:kern w:val="0"/>
          <w:sz w:val="22"/>
          <w:szCs w:val="22"/>
          <w:lang w:eastAsia="en-GB"/>
        </w:rPr>
        <w:t xml:space="preserve"> health. Providing breakfast in Welsh schools is crucial, particularly in underprivileged areas, ensuring access to meals and good food awareness. </w:t>
      </w:r>
    </w:p>
    <w:p w14:paraId="079F5349" w14:textId="77777777" w:rsidR="00C33491" w:rsidRPr="006B26BA" w:rsidRDefault="00C33491" w:rsidP="00C33491">
      <w:pPr>
        <w:rPr>
          <w:rFonts w:ascii="Arial" w:hAnsi="Arial" w:cs="Arial"/>
          <w:sz w:val="22"/>
          <w:szCs w:val="22"/>
        </w:rPr>
      </w:pPr>
    </w:p>
    <w:p w14:paraId="3F69C530" w14:textId="77777777" w:rsidR="006B26BA" w:rsidRDefault="006B26BA" w:rsidP="006B26BA">
      <w:pPr>
        <w:rPr>
          <w:rFonts w:ascii="Arial" w:hAnsi="Arial" w:cs="Arial"/>
          <w:b/>
          <w:bCs/>
          <w:sz w:val="22"/>
          <w:szCs w:val="22"/>
        </w:rPr>
      </w:pPr>
    </w:p>
    <w:p w14:paraId="46F9BBE7" w14:textId="77777777" w:rsidR="006B26BA" w:rsidRDefault="006B26BA" w:rsidP="006B26BA">
      <w:pPr>
        <w:rPr>
          <w:rFonts w:ascii="Arial" w:hAnsi="Arial" w:cs="Arial"/>
          <w:b/>
          <w:bCs/>
          <w:sz w:val="22"/>
          <w:szCs w:val="22"/>
        </w:rPr>
      </w:pPr>
    </w:p>
    <w:p w14:paraId="275439B5" w14:textId="77777777" w:rsidR="006B26BA" w:rsidRDefault="006B26BA" w:rsidP="006B26BA">
      <w:pPr>
        <w:rPr>
          <w:rFonts w:ascii="Arial" w:hAnsi="Arial" w:cs="Arial"/>
          <w:b/>
          <w:bCs/>
          <w:sz w:val="22"/>
          <w:szCs w:val="22"/>
        </w:rPr>
      </w:pPr>
    </w:p>
    <w:p w14:paraId="7C08E394" w14:textId="77777777" w:rsidR="006B26BA" w:rsidRDefault="006B26BA" w:rsidP="006B26BA">
      <w:pPr>
        <w:rPr>
          <w:rFonts w:ascii="Arial" w:hAnsi="Arial" w:cs="Arial"/>
          <w:b/>
          <w:bCs/>
          <w:sz w:val="22"/>
          <w:szCs w:val="22"/>
        </w:rPr>
      </w:pPr>
    </w:p>
    <w:p w14:paraId="003B4435" w14:textId="77777777" w:rsidR="006B26BA" w:rsidRDefault="006B26BA" w:rsidP="006B26BA">
      <w:pPr>
        <w:rPr>
          <w:rFonts w:ascii="Arial" w:hAnsi="Arial" w:cs="Arial"/>
          <w:b/>
          <w:bCs/>
          <w:sz w:val="22"/>
          <w:szCs w:val="22"/>
        </w:rPr>
      </w:pPr>
    </w:p>
    <w:p w14:paraId="2AE2B075" w14:textId="77777777" w:rsidR="006B26BA" w:rsidRDefault="006B26BA" w:rsidP="006B26BA">
      <w:pPr>
        <w:rPr>
          <w:rFonts w:ascii="Arial" w:hAnsi="Arial" w:cs="Arial"/>
          <w:b/>
          <w:bCs/>
          <w:sz w:val="22"/>
          <w:szCs w:val="22"/>
        </w:rPr>
      </w:pPr>
    </w:p>
    <w:p w14:paraId="2AD61678" w14:textId="7CB445B2" w:rsidR="006B26BA" w:rsidRPr="006B26BA" w:rsidRDefault="006B26BA" w:rsidP="006B26BA">
      <w:pPr>
        <w:rPr>
          <w:rFonts w:ascii="Arial" w:hAnsi="Arial" w:cs="Arial"/>
          <w:b/>
          <w:bCs/>
          <w:sz w:val="22"/>
          <w:szCs w:val="22"/>
        </w:rPr>
      </w:pPr>
      <w:r w:rsidRPr="006B26BA">
        <w:rPr>
          <w:rFonts w:ascii="Arial" w:hAnsi="Arial" w:cs="Arial"/>
          <w:b/>
          <w:bCs/>
          <w:sz w:val="22"/>
          <w:szCs w:val="22"/>
        </w:rPr>
        <w:lastRenderedPageBreak/>
        <w:t xml:space="preserve">References </w:t>
      </w:r>
    </w:p>
    <w:p w14:paraId="7228BDA0"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Coulthard, J.D., Palla, L. and Pot, G.K. (2017) ‘Breakfast consumption and nutrient intakes in 4–18-year-olds: UK National Diet and Nutrition Survey Rolling Programme (2008–2012)’, </w:t>
      </w:r>
      <w:r w:rsidRPr="006B26BA">
        <w:rPr>
          <w:rFonts w:ascii="Arial" w:hAnsi="Arial" w:cs="Arial"/>
          <w:i/>
          <w:iCs/>
          <w:sz w:val="22"/>
          <w:szCs w:val="22"/>
        </w:rPr>
        <w:t>British Journal of Nutrition</w:t>
      </w:r>
      <w:r w:rsidRPr="006B26BA">
        <w:rPr>
          <w:rFonts w:ascii="Arial" w:hAnsi="Arial" w:cs="Arial"/>
          <w:sz w:val="22"/>
          <w:szCs w:val="22"/>
        </w:rPr>
        <w:t xml:space="preserve">, 118(4), pp. 280–290. </w:t>
      </w:r>
    </w:p>
    <w:p w14:paraId="1FFFA0A2"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Crawford, C., Farquharson, C. and Greaves, E. (2017) </w:t>
      </w:r>
      <w:r w:rsidRPr="006B26BA">
        <w:rPr>
          <w:rFonts w:ascii="Arial" w:hAnsi="Arial" w:cs="Arial"/>
          <w:i/>
          <w:iCs/>
          <w:sz w:val="22"/>
          <w:szCs w:val="22"/>
        </w:rPr>
        <w:t>The causal impact of school breakfast clubs on academic attainment</w:t>
      </w:r>
      <w:r w:rsidRPr="006B26BA">
        <w:rPr>
          <w:rFonts w:ascii="Arial" w:hAnsi="Arial" w:cs="Arial"/>
          <w:sz w:val="22"/>
          <w:szCs w:val="22"/>
        </w:rPr>
        <w:t xml:space="preserve">. London: Institute for Fiscal Studies. Available at: https://ifs.org.uk/publications (Accessed: 26 March 2026). </w:t>
      </w:r>
    </w:p>
    <w:p w14:paraId="2CC223EB"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Defeyter, M.A., Graham, P.L. and Prince, K. (2015) ‘A qualitative evaluation of holiday breakfast clubs in the UK: Views of adult attendees, children, and staff’, </w:t>
      </w:r>
      <w:r w:rsidRPr="006B26BA">
        <w:rPr>
          <w:rFonts w:ascii="Arial" w:hAnsi="Arial" w:cs="Arial"/>
          <w:i/>
          <w:iCs/>
          <w:sz w:val="22"/>
          <w:szCs w:val="22"/>
        </w:rPr>
        <w:t>Frontiers in Public Health</w:t>
      </w:r>
      <w:r w:rsidRPr="006B26BA">
        <w:rPr>
          <w:rFonts w:ascii="Arial" w:hAnsi="Arial" w:cs="Arial"/>
          <w:sz w:val="22"/>
          <w:szCs w:val="22"/>
        </w:rPr>
        <w:t xml:space="preserve">, 3, pp. 1–9. </w:t>
      </w:r>
    </w:p>
    <w:p w14:paraId="2EE8C9A3"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Defeyter, M.A., Graham, P.L., Walton, J. and Apicella, T. (2010) ‘Breakfast clubs: Availability for British schoolchildren and the nutritional, social and academic benefits’, </w:t>
      </w:r>
      <w:r w:rsidRPr="006B26BA">
        <w:rPr>
          <w:rFonts w:ascii="Arial" w:hAnsi="Arial" w:cs="Arial"/>
          <w:i/>
          <w:iCs/>
          <w:sz w:val="22"/>
          <w:szCs w:val="22"/>
        </w:rPr>
        <w:t>Nutrition Bulletin</w:t>
      </w:r>
      <w:r w:rsidRPr="006B26BA">
        <w:rPr>
          <w:rFonts w:ascii="Arial" w:hAnsi="Arial" w:cs="Arial"/>
          <w:sz w:val="22"/>
          <w:szCs w:val="22"/>
        </w:rPr>
        <w:t xml:space="preserve">, 35(3), pp. 245–253. </w:t>
      </w:r>
    </w:p>
    <w:p w14:paraId="338C2ED5"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Graham, P.L., Russo, R. and Defeyter, M.A. (2015) ‘The advantages and disadvantages of breakfast clubs according to parents, children and school staff in the </w:t>
      </w:r>
      <w:proofErr w:type="gramStart"/>
      <w:r w:rsidRPr="006B26BA">
        <w:rPr>
          <w:rFonts w:ascii="Arial" w:hAnsi="Arial" w:cs="Arial"/>
          <w:sz w:val="22"/>
          <w:szCs w:val="22"/>
        </w:rPr>
        <w:t>North East</w:t>
      </w:r>
      <w:proofErr w:type="gramEnd"/>
      <w:r w:rsidRPr="006B26BA">
        <w:rPr>
          <w:rFonts w:ascii="Arial" w:hAnsi="Arial" w:cs="Arial"/>
          <w:sz w:val="22"/>
          <w:szCs w:val="22"/>
        </w:rPr>
        <w:t xml:space="preserve"> of England, UK’, </w:t>
      </w:r>
      <w:r w:rsidRPr="006B26BA">
        <w:rPr>
          <w:rFonts w:ascii="Arial" w:hAnsi="Arial" w:cs="Arial"/>
          <w:i/>
          <w:iCs/>
          <w:sz w:val="22"/>
          <w:szCs w:val="22"/>
        </w:rPr>
        <w:t>Frontiers in Public Health</w:t>
      </w:r>
      <w:r w:rsidRPr="006B26BA">
        <w:rPr>
          <w:rFonts w:ascii="Arial" w:hAnsi="Arial" w:cs="Arial"/>
          <w:sz w:val="22"/>
          <w:szCs w:val="22"/>
        </w:rPr>
        <w:t xml:space="preserve">, 3, p. 156. </w:t>
      </w:r>
    </w:p>
    <w:p w14:paraId="23ED7932"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Hoyland, A., McWilliams, K.A., Duff, R.J. and Walton, J.L. (2012) ‘Breakfast consumption in UK schoolchildren and provision of school breakfast clubs’, </w:t>
      </w:r>
      <w:r w:rsidRPr="006B26BA">
        <w:rPr>
          <w:rFonts w:ascii="Arial" w:hAnsi="Arial" w:cs="Arial"/>
          <w:i/>
          <w:iCs/>
          <w:sz w:val="22"/>
          <w:szCs w:val="22"/>
        </w:rPr>
        <w:t>Nutrition Bulletin</w:t>
      </w:r>
      <w:r w:rsidRPr="006B26BA">
        <w:rPr>
          <w:rFonts w:ascii="Arial" w:hAnsi="Arial" w:cs="Arial"/>
          <w:sz w:val="22"/>
          <w:szCs w:val="22"/>
        </w:rPr>
        <w:t xml:space="preserve">, 37(3), pp. 232–240. </w:t>
      </w:r>
    </w:p>
    <w:p w14:paraId="684F4881"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House of Commons Environment, Food and Rural Affairs Committee (2022) </w:t>
      </w:r>
      <w:r w:rsidRPr="006B26BA">
        <w:rPr>
          <w:rFonts w:ascii="Arial" w:hAnsi="Arial" w:cs="Arial"/>
          <w:i/>
          <w:iCs/>
          <w:sz w:val="22"/>
          <w:szCs w:val="22"/>
        </w:rPr>
        <w:t>Food security report: Access to affordable and healthy food</w:t>
      </w:r>
      <w:r w:rsidRPr="006B26BA">
        <w:rPr>
          <w:rFonts w:ascii="Arial" w:hAnsi="Arial" w:cs="Arial"/>
          <w:sz w:val="22"/>
          <w:szCs w:val="22"/>
        </w:rPr>
        <w:t>. London: UK Parliament.</w:t>
      </w:r>
    </w:p>
    <w:p w14:paraId="449D78CB"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Khehra, R., Fairchild, R.M. and Morgan, M.Z. (2018) ‘UK children’s breakfast cereals: An oral health perspective’, </w:t>
      </w:r>
      <w:r w:rsidRPr="006B26BA">
        <w:rPr>
          <w:rFonts w:ascii="Arial" w:hAnsi="Arial" w:cs="Arial"/>
          <w:i/>
          <w:iCs/>
          <w:sz w:val="22"/>
          <w:szCs w:val="22"/>
        </w:rPr>
        <w:t>British Dental Journal</w:t>
      </w:r>
      <w:r w:rsidRPr="006B26BA">
        <w:rPr>
          <w:rFonts w:ascii="Arial" w:hAnsi="Arial" w:cs="Arial"/>
          <w:sz w:val="22"/>
          <w:szCs w:val="22"/>
        </w:rPr>
        <w:t xml:space="preserve">, 225(2), pp. 164–169. </w:t>
      </w:r>
    </w:p>
    <w:p w14:paraId="682FEE38"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Singh, A. and Maqbool, R. (2018) ‘Urban agriculture and sustainable food systems: A review’, </w:t>
      </w:r>
      <w:r w:rsidRPr="006B26BA">
        <w:rPr>
          <w:rFonts w:ascii="Arial" w:hAnsi="Arial" w:cs="Arial"/>
          <w:i/>
          <w:iCs/>
          <w:sz w:val="22"/>
          <w:szCs w:val="22"/>
        </w:rPr>
        <w:t>Sustainability</w:t>
      </w:r>
      <w:r w:rsidRPr="006B26BA">
        <w:rPr>
          <w:rFonts w:ascii="Arial" w:hAnsi="Arial" w:cs="Arial"/>
          <w:sz w:val="22"/>
          <w:szCs w:val="22"/>
        </w:rPr>
        <w:t>, 10(5), pp. 1–15.</w:t>
      </w:r>
    </w:p>
    <w:p w14:paraId="11D2B875" w14:textId="77777777" w:rsidR="006B26BA" w:rsidRPr="006B26BA" w:rsidRDefault="006B26BA" w:rsidP="006B26BA">
      <w:pPr>
        <w:rPr>
          <w:rFonts w:ascii="Arial" w:hAnsi="Arial" w:cs="Arial"/>
          <w:sz w:val="22"/>
          <w:szCs w:val="22"/>
        </w:rPr>
      </w:pPr>
      <w:r w:rsidRPr="006B26BA">
        <w:rPr>
          <w:rFonts w:ascii="Arial" w:hAnsi="Arial" w:cs="Arial"/>
          <w:sz w:val="22"/>
          <w:szCs w:val="22"/>
        </w:rPr>
        <w:t xml:space="preserve">Welsh Government (2022) </w:t>
      </w:r>
      <w:r w:rsidRPr="006B26BA">
        <w:rPr>
          <w:rFonts w:ascii="Arial" w:hAnsi="Arial" w:cs="Arial"/>
          <w:i/>
          <w:iCs/>
          <w:sz w:val="22"/>
          <w:szCs w:val="22"/>
        </w:rPr>
        <w:t>Healthy eating in maintained schools: Statutory guidance for local authorities and governing bodies</w:t>
      </w:r>
      <w:r w:rsidRPr="006B26BA">
        <w:rPr>
          <w:rFonts w:ascii="Arial" w:hAnsi="Arial" w:cs="Arial"/>
          <w:sz w:val="22"/>
          <w:szCs w:val="22"/>
        </w:rPr>
        <w:t>. Cardiff: Welsh Government.</w:t>
      </w:r>
    </w:p>
    <w:p w14:paraId="5BFB1960" w14:textId="447962F9" w:rsidR="006B26BA" w:rsidRPr="006B26BA" w:rsidRDefault="006B26BA" w:rsidP="006B26BA">
      <w:pPr>
        <w:rPr>
          <w:rFonts w:ascii="Arial" w:hAnsi="Arial" w:cs="Arial"/>
          <w:sz w:val="22"/>
          <w:szCs w:val="22"/>
        </w:rPr>
      </w:pPr>
      <w:r w:rsidRPr="006B26BA">
        <w:rPr>
          <w:rFonts w:ascii="Arial" w:hAnsi="Arial" w:cs="Arial"/>
          <w:sz w:val="22"/>
          <w:szCs w:val="22"/>
        </w:rPr>
        <w:t xml:space="preserve">World Health Organization (WHO) (2022) </w:t>
      </w:r>
      <w:r w:rsidRPr="006B26BA">
        <w:rPr>
          <w:rFonts w:ascii="Arial" w:hAnsi="Arial" w:cs="Arial"/>
          <w:i/>
          <w:iCs/>
          <w:sz w:val="22"/>
          <w:szCs w:val="22"/>
        </w:rPr>
        <w:t>Healthy diet</w:t>
      </w:r>
      <w:r w:rsidRPr="006B26BA">
        <w:rPr>
          <w:rFonts w:ascii="Arial" w:hAnsi="Arial" w:cs="Arial"/>
          <w:sz w:val="22"/>
          <w:szCs w:val="22"/>
        </w:rPr>
        <w:t xml:space="preserve">. Available at: </w:t>
      </w:r>
      <w:hyperlink r:id="rId9" w:tgtFrame="_new" w:history="1">
        <w:r w:rsidRPr="006B26BA">
          <w:rPr>
            <w:rStyle w:val="Hyperlink"/>
            <w:rFonts w:ascii="Arial" w:hAnsi="Arial" w:cs="Arial"/>
            <w:sz w:val="22"/>
            <w:szCs w:val="22"/>
          </w:rPr>
          <w:t>https://www.who.int</w:t>
        </w:r>
      </w:hyperlink>
      <w:r w:rsidRPr="006B26BA">
        <w:rPr>
          <w:rFonts w:ascii="Arial" w:hAnsi="Arial" w:cs="Arial"/>
          <w:sz w:val="22"/>
          <w:szCs w:val="22"/>
        </w:rPr>
        <w:t xml:space="preserve"> </w:t>
      </w:r>
    </w:p>
    <w:p w14:paraId="3320C870" w14:textId="77777777" w:rsidR="006B26BA" w:rsidRPr="006B26BA" w:rsidRDefault="006B26BA" w:rsidP="00C33491">
      <w:pPr>
        <w:rPr>
          <w:rFonts w:ascii="Arial" w:hAnsi="Arial" w:cs="Arial"/>
          <w:sz w:val="22"/>
          <w:szCs w:val="22"/>
        </w:rPr>
      </w:pPr>
    </w:p>
    <w:sectPr w:rsidR="006B26BA" w:rsidRPr="006B26BA">
      <w:headerReference w:type="default" r:id="rId10"/>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4F27" w14:textId="77777777" w:rsidR="00D43AF4" w:rsidRDefault="00D43AF4">
      <w:pPr>
        <w:spacing w:after="0" w:line="240" w:lineRule="auto"/>
      </w:pPr>
      <w:r>
        <w:separator/>
      </w:r>
    </w:p>
  </w:endnote>
  <w:endnote w:type="continuationSeparator" w:id="0">
    <w:p w14:paraId="1D299D92" w14:textId="77777777" w:rsidR="00D43AF4" w:rsidRDefault="00D4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8" w14:textId="77777777" w:rsidR="00B0007E" w:rsidRDefault="00B0007E">
    <w:pPr>
      <w:pStyle w:val="Footer"/>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50E618F9" w14:textId="77777777" w:rsidR="00B0007E" w:rsidRDefault="00B0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4ACED" w14:textId="77777777" w:rsidR="00D43AF4" w:rsidRDefault="00D43AF4">
      <w:pPr>
        <w:spacing w:after="0" w:line="240" w:lineRule="auto"/>
      </w:pPr>
      <w:r>
        <w:rPr>
          <w:color w:val="000000"/>
        </w:rPr>
        <w:separator/>
      </w:r>
    </w:p>
  </w:footnote>
  <w:footnote w:type="continuationSeparator" w:id="0">
    <w:p w14:paraId="6917A842" w14:textId="77777777" w:rsidR="00D43AF4" w:rsidRDefault="00D43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6" w14:textId="77777777" w:rsidR="00B0007E" w:rsidRDefault="00B0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046"/>
    <w:multiLevelType w:val="multilevel"/>
    <w:tmpl w:val="63AC4D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AB35E8"/>
    <w:multiLevelType w:val="multilevel"/>
    <w:tmpl w:val="6F2421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E0710"/>
    <w:multiLevelType w:val="multilevel"/>
    <w:tmpl w:val="55FC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B38EE"/>
    <w:multiLevelType w:val="multilevel"/>
    <w:tmpl w:val="A6F4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320D0"/>
    <w:multiLevelType w:val="multilevel"/>
    <w:tmpl w:val="165A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C5B9E"/>
    <w:multiLevelType w:val="multilevel"/>
    <w:tmpl w:val="04C2F5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C395E"/>
    <w:multiLevelType w:val="multilevel"/>
    <w:tmpl w:val="2C24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2320E"/>
    <w:multiLevelType w:val="multilevel"/>
    <w:tmpl w:val="F67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37BC0"/>
    <w:multiLevelType w:val="hybridMultilevel"/>
    <w:tmpl w:val="995031F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1C5C3C0A"/>
    <w:multiLevelType w:val="multilevel"/>
    <w:tmpl w:val="3B00B7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982565"/>
    <w:multiLevelType w:val="multilevel"/>
    <w:tmpl w:val="8D9C1C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20CD1713"/>
    <w:multiLevelType w:val="multilevel"/>
    <w:tmpl w:val="F50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C2766"/>
    <w:multiLevelType w:val="multilevel"/>
    <w:tmpl w:val="38C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82AA8"/>
    <w:multiLevelType w:val="multilevel"/>
    <w:tmpl w:val="799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BF76CB"/>
    <w:multiLevelType w:val="multilevel"/>
    <w:tmpl w:val="5566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34444F"/>
    <w:multiLevelType w:val="hybridMultilevel"/>
    <w:tmpl w:val="4B5213DA"/>
    <w:lvl w:ilvl="0" w:tplc="BC189936">
      <w:numFmt w:val="bullet"/>
      <w:lvlText w:val="-"/>
      <w:lvlJc w:val="left"/>
      <w:pPr>
        <w:ind w:left="720" w:hanging="36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50822"/>
    <w:multiLevelType w:val="hybridMultilevel"/>
    <w:tmpl w:val="4F863D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4F709DD"/>
    <w:multiLevelType w:val="multilevel"/>
    <w:tmpl w:val="40BCF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5D372F"/>
    <w:multiLevelType w:val="multilevel"/>
    <w:tmpl w:val="686697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A52D69"/>
    <w:multiLevelType w:val="multilevel"/>
    <w:tmpl w:val="7ECA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565B2"/>
    <w:multiLevelType w:val="multilevel"/>
    <w:tmpl w:val="38188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464120"/>
    <w:multiLevelType w:val="multilevel"/>
    <w:tmpl w:val="4C467E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75027D"/>
    <w:multiLevelType w:val="multilevel"/>
    <w:tmpl w:val="65E0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15D7F"/>
    <w:multiLevelType w:val="multilevel"/>
    <w:tmpl w:val="1E46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451764"/>
    <w:multiLevelType w:val="multilevel"/>
    <w:tmpl w:val="01E28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7B7586"/>
    <w:multiLevelType w:val="hybridMultilevel"/>
    <w:tmpl w:val="F13064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145460268">
    <w:abstractNumId w:val="10"/>
  </w:num>
  <w:num w:numId="2" w16cid:durableId="939142208">
    <w:abstractNumId w:val="22"/>
  </w:num>
  <w:num w:numId="3" w16cid:durableId="841552940">
    <w:abstractNumId w:val="14"/>
  </w:num>
  <w:num w:numId="4" w16cid:durableId="1404336609">
    <w:abstractNumId w:val="3"/>
  </w:num>
  <w:num w:numId="5" w16cid:durableId="725955217">
    <w:abstractNumId w:val="2"/>
  </w:num>
  <w:num w:numId="6" w16cid:durableId="871042732">
    <w:abstractNumId w:val="11"/>
  </w:num>
  <w:num w:numId="7" w16cid:durableId="516238392">
    <w:abstractNumId w:val="6"/>
  </w:num>
  <w:num w:numId="8" w16cid:durableId="1774664202">
    <w:abstractNumId w:val="12"/>
  </w:num>
  <w:num w:numId="9" w16cid:durableId="1284265279">
    <w:abstractNumId w:val="19"/>
  </w:num>
  <w:num w:numId="10" w16cid:durableId="1745564837">
    <w:abstractNumId w:val="7"/>
  </w:num>
  <w:num w:numId="11" w16cid:durableId="911155723">
    <w:abstractNumId w:val="23"/>
  </w:num>
  <w:num w:numId="12" w16cid:durableId="521741987">
    <w:abstractNumId w:val="13"/>
  </w:num>
  <w:num w:numId="13" w16cid:durableId="1701055160">
    <w:abstractNumId w:val="15"/>
  </w:num>
  <w:num w:numId="14" w16cid:durableId="95563985">
    <w:abstractNumId w:val="25"/>
  </w:num>
  <w:num w:numId="15" w16cid:durableId="647902718">
    <w:abstractNumId w:val="8"/>
  </w:num>
  <w:num w:numId="16" w16cid:durableId="1820805126">
    <w:abstractNumId w:val="16"/>
  </w:num>
  <w:num w:numId="17" w16cid:durableId="1230847770">
    <w:abstractNumId w:val="0"/>
    <w:lvlOverride w:ilvl="0">
      <w:startOverride w:val="1"/>
    </w:lvlOverride>
  </w:num>
  <w:num w:numId="18" w16cid:durableId="2048991497">
    <w:abstractNumId w:val="21"/>
    <w:lvlOverride w:ilvl="0">
      <w:startOverride w:val="2"/>
    </w:lvlOverride>
  </w:num>
  <w:num w:numId="19" w16cid:durableId="501050190">
    <w:abstractNumId w:val="5"/>
    <w:lvlOverride w:ilvl="0">
      <w:startOverride w:val="3"/>
    </w:lvlOverride>
  </w:num>
  <w:num w:numId="20" w16cid:durableId="1499343508">
    <w:abstractNumId w:val="20"/>
    <w:lvlOverride w:ilvl="0">
      <w:startOverride w:val="4"/>
    </w:lvlOverride>
  </w:num>
  <w:num w:numId="21" w16cid:durableId="1750342876">
    <w:abstractNumId w:val="9"/>
    <w:lvlOverride w:ilvl="0">
      <w:startOverride w:val="5"/>
    </w:lvlOverride>
  </w:num>
  <w:num w:numId="22" w16cid:durableId="546184603">
    <w:abstractNumId w:val="4"/>
    <w:lvlOverride w:ilvl="0">
      <w:startOverride w:val="1"/>
    </w:lvlOverride>
  </w:num>
  <w:num w:numId="23" w16cid:durableId="392244283">
    <w:abstractNumId w:val="1"/>
    <w:lvlOverride w:ilvl="0">
      <w:startOverride w:val="2"/>
    </w:lvlOverride>
  </w:num>
  <w:num w:numId="24" w16cid:durableId="2050257793">
    <w:abstractNumId w:val="24"/>
    <w:lvlOverride w:ilvl="0">
      <w:startOverride w:val="3"/>
    </w:lvlOverride>
  </w:num>
  <w:num w:numId="25" w16cid:durableId="1488395779">
    <w:abstractNumId w:val="17"/>
    <w:lvlOverride w:ilvl="0">
      <w:startOverride w:val="4"/>
    </w:lvlOverride>
  </w:num>
  <w:num w:numId="26" w16cid:durableId="1364406900">
    <w:abstractNumId w:val="1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44"/>
    <w:rsid w:val="00011813"/>
    <w:rsid w:val="0006018F"/>
    <w:rsid w:val="000624CC"/>
    <w:rsid w:val="0006472D"/>
    <w:rsid w:val="00080B44"/>
    <w:rsid w:val="000871F5"/>
    <w:rsid w:val="000A2CF0"/>
    <w:rsid w:val="000C48C2"/>
    <w:rsid w:val="000D0F75"/>
    <w:rsid w:val="000E1C73"/>
    <w:rsid w:val="000E243E"/>
    <w:rsid w:val="000F02C2"/>
    <w:rsid w:val="00101B7A"/>
    <w:rsid w:val="00123B61"/>
    <w:rsid w:val="00151EC5"/>
    <w:rsid w:val="00152665"/>
    <w:rsid w:val="00152C79"/>
    <w:rsid w:val="0016168E"/>
    <w:rsid w:val="001C2B36"/>
    <w:rsid w:val="001E2684"/>
    <w:rsid w:val="001F50F9"/>
    <w:rsid w:val="0022506D"/>
    <w:rsid w:val="0022771F"/>
    <w:rsid w:val="00232073"/>
    <w:rsid w:val="002616B6"/>
    <w:rsid w:val="002B4FB0"/>
    <w:rsid w:val="0034536A"/>
    <w:rsid w:val="00355D4E"/>
    <w:rsid w:val="003564C2"/>
    <w:rsid w:val="00382499"/>
    <w:rsid w:val="00393F8A"/>
    <w:rsid w:val="003A2A53"/>
    <w:rsid w:val="003D5FDB"/>
    <w:rsid w:val="003F03A7"/>
    <w:rsid w:val="0040384C"/>
    <w:rsid w:val="0042504D"/>
    <w:rsid w:val="00433699"/>
    <w:rsid w:val="00467CD8"/>
    <w:rsid w:val="0049564F"/>
    <w:rsid w:val="004D0488"/>
    <w:rsid w:val="004D2564"/>
    <w:rsid w:val="004D64CA"/>
    <w:rsid w:val="005236B7"/>
    <w:rsid w:val="00532F7C"/>
    <w:rsid w:val="0054368A"/>
    <w:rsid w:val="005819DF"/>
    <w:rsid w:val="00586715"/>
    <w:rsid w:val="005A3DE2"/>
    <w:rsid w:val="005B170D"/>
    <w:rsid w:val="005C24D2"/>
    <w:rsid w:val="005F7E3A"/>
    <w:rsid w:val="00602898"/>
    <w:rsid w:val="00611666"/>
    <w:rsid w:val="0062770F"/>
    <w:rsid w:val="006473D8"/>
    <w:rsid w:val="00654D7F"/>
    <w:rsid w:val="00677F1B"/>
    <w:rsid w:val="00680AC3"/>
    <w:rsid w:val="0068548F"/>
    <w:rsid w:val="00685FF1"/>
    <w:rsid w:val="00691A33"/>
    <w:rsid w:val="006B26BA"/>
    <w:rsid w:val="006D568A"/>
    <w:rsid w:val="006F17CC"/>
    <w:rsid w:val="00727289"/>
    <w:rsid w:val="00735314"/>
    <w:rsid w:val="00737951"/>
    <w:rsid w:val="007407EA"/>
    <w:rsid w:val="007415F6"/>
    <w:rsid w:val="007646DF"/>
    <w:rsid w:val="0079345C"/>
    <w:rsid w:val="007B5D26"/>
    <w:rsid w:val="00846870"/>
    <w:rsid w:val="0087141D"/>
    <w:rsid w:val="00884340"/>
    <w:rsid w:val="008A0BA4"/>
    <w:rsid w:val="008A3868"/>
    <w:rsid w:val="008D1E7D"/>
    <w:rsid w:val="008E23E8"/>
    <w:rsid w:val="008E7558"/>
    <w:rsid w:val="0094012C"/>
    <w:rsid w:val="00950A83"/>
    <w:rsid w:val="0096537D"/>
    <w:rsid w:val="009703F2"/>
    <w:rsid w:val="00976390"/>
    <w:rsid w:val="009822E7"/>
    <w:rsid w:val="009909D7"/>
    <w:rsid w:val="009E06EA"/>
    <w:rsid w:val="00A04B7C"/>
    <w:rsid w:val="00A26BBD"/>
    <w:rsid w:val="00A30A0B"/>
    <w:rsid w:val="00A46DB1"/>
    <w:rsid w:val="00A57F43"/>
    <w:rsid w:val="00A671F7"/>
    <w:rsid w:val="00A739EF"/>
    <w:rsid w:val="00AE67F2"/>
    <w:rsid w:val="00AF50C6"/>
    <w:rsid w:val="00B0007E"/>
    <w:rsid w:val="00B004EC"/>
    <w:rsid w:val="00B13482"/>
    <w:rsid w:val="00B15C85"/>
    <w:rsid w:val="00B31091"/>
    <w:rsid w:val="00B412FD"/>
    <w:rsid w:val="00B43854"/>
    <w:rsid w:val="00B5313C"/>
    <w:rsid w:val="00B636B3"/>
    <w:rsid w:val="00B800FB"/>
    <w:rsid w:val="00BB0164"/>
    <w:rsid w:val="00BC177E"/>
    <w:rsid w:val="00BF5088"/>
    <w:rsid w:val="00C00AF5"/>
    <w:rsid w:val="00C214E0"/>
    <w:rsid w:val="00C2772C"/>
    <w:rsid w:val="00C33491"/>
    <w:rsid w:val="00C719C5"/>
    <w:rsid w:val="00C81C62"/>
    <w:rsid w:val="00D43AF4"/>
    <w:rsid w:val="00D94BEC"/>
    <w:rsid w:val="00DA742D"/>
    <w:rsid w:val="00DB5AF6"/>
    <w:rsid w:val="00DC71DD"/>
    <w:rsid w:val="00DD7660"/>
    <w:rsid w:val="00E04530"/>
    <w:rsid w:val="00E11C84"/>
    <w:rsid w:val="00E14B8A"/>
    <w:rsid w:val="00E3110A"/>
    <w:rsid w:val="00E76D7B"/>
    <w:rsid w:val="00EB3F1A"/>
    <w:rsid w:val="00EB69AB"/>
    <w:rsid w:val="00EE3309"/>
    <w:rsid w:val="00F062D0"/>
    <w:rsid w:val="00F15F6E"/>
    <w:rsid w:val="00F377FE"/>
    <w:rsid w:val="00F51430"/>
    <w:rsid w:val="00F9313D"/>
    <w:rsid w:val="00FA120C"/>
    <w:rsid w:val="00FB0A61"/>
    <w:rsid w:val="00FC7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618EC"/>
  <w15:docId w15:val="{3F29AB1B-D7BF-4C27-86FC-A259B331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BBD"/>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cvgsua">
    <w:name w:val="cvgsua"/>
    <w:basedOn w:val="Normal"/>
    <w:pPr>
      <w:spacing w:before="100" w:after="100" w:line="240" w:lineRule="auto"/>
    </w:pPr>
    <w:rPr>
      <w:rFonts w:ascii="Times New Roman" w:eastAsia="Times New Roman" w:hAnsi="Times New Roman"/>
      <w:kern w:val="0"/>
      <w:lang w:eastAsia="en-GB"/>
    </w:rPr>
  </w:style>
  <w:style w:type="character" w:customStyle="1" w:styleId="oypena">
    <w:name w:val="oypena"/>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09456">
      <w:bodyDiv w:val="1"/>
      <w:marLeft w:val="0"/>
      <w:marRight w:val="0"/>
      <w:marTop w:val="0"/>
      <w:marBottom w:val="0"/>
      <w:divBdr>
        <w:top w:val="none" w:sz="0" w:space="0" w:color="auto"/>
        <w:left w:val="none" w:sz="0" w:space="0" w:color="auto"/>
        <w:bottom w:val="none" w:sz="0" w:space="0" w:color="auto"/>
        <w:right w:val="none" w:sz="0" w:space="0" w:color="auto"/>
      </w:divBdr>
    </w:div>
    <w:div w:id="209877837">
      <w:bodyDiv w:val="1"/>
      <w:marLeft w:val="0"/>
      <w:marRight w:val="0"/>
      <w:marTop w:val="0"/>
      <w:marBottom w:val="0"/>
      <w:divBdr>
        <w:top w:val="none" w:sz="0" w:space="0" w:color="auto"/>
        <w:left w:val="none" w:sz="0" w:space="0" w:color="auto"/>
        <w:bottom w:val="none" w:sz="0" w:space="0" w:color="auto"/>
        <w:right w:val="none" w:sz="0" w:space="0" w:color="auto"/>
      </w:divBdr>
    </w:div>
    <w:div w:id="244194359">
      <w:bodyDiv w:val="1"/>
      <w:marLeft w:val="0"/>
      <w:marRight w:val="0"/>
      <w:marTop w:val="0"/>
      <w:marBottom w:val="0"/>
      <w:divBdr>
        <w:top w:val="none" w:sz="0" w:space="0" w:color="auto"/>
        <w:left w:val="none" w:sz="0" w:space="0" w:color="auto"/>
        <w:bottom w:val="none" w:sz="0" w:space="0" w:color="auto"/>
        <w:right w:val="none" w:sz="0" w:space="0" w:color="auto"/>
      </w:divBdr>
    </w:div>
    <w:div w:id="498077675">
      <w:bodyDiv w:val="1"/>
      <w:marLeft w:val="0"/>
      <w:marRight w:val="0"/>
      <w:marTop w:val="0"/>
      <w:marBottom w:val="0"/>
      <w:divBdr>
        <w:top w:val="none" w:sz="0" w:space="0" w:color="auto"/>
        <w:left w:val="none" w:sz="0" w:space="0" w:color="auto"/>
        <w:bottom w:val="none" w:sz="0" w:space="0" w:color="auto"/>
        <w:right w:val="none" w:sz="0" w:space="0" w:color="auto"/>
      </w:divBdr>
    </w:div>
    <w:div w:id="891815190">
      <w:bodyDiv w:val="1"/>
      <w:marLeft w:val="0"/>
      <w:marRight w:val="0"/>
      <w:marTop w:val="0"/>
      <w:marBottom w:val="0"/>
      <w:divBdr>
        <w:top w:val="none" w:sz="0" w:space="0" w:color="auto"/>
        <w:left w:val="none" w:sz="0" w:space="0" w:color="auto"/>
        <w:bottom w:val="none" w:sz="0" w:space="0" w:color="auto"/>
        <w:right w:val="none" w:sz="0" w:space="0" w:color="auto"/>
      </w:divBdr>
    </w:div>
    <w:div w:id="987513752">
      <w:bodyDiv w:val="1"/>
      <w:marLeft w:val="0"/>
      <w:marRight w:val="0"/>
      <w:marTop w:val="0"/>
      <w:marBottom w:val="0"/>
      <w:divBdr>
        <w:top w:val="none" w:sz="0" w:space="0" w:color="auto"/>
        <w:left w:val="none" w:sz="0" w:space="0" w:color="auto"/>
        <w:bottom w:val="none" w:sz="0" w:space="0" w:color="auto"/>
        <w:right w:val="none" w:sz="0" w:space="0" w:color="auto"/>
      </w:divBdr>
    </w:div>
    <w:div w:id="1243029442">
      <w:bodyDiv w:val="1"/>
      <w:marLeft w:val="0"/>
      <w:marRight w:val="0"/>
      <w:marTop w:val="0"/>
      <w:marBottom w:val="0"/>
      <w:divBdr>
        <w:top w:val="none" w:sz="0" w:space="0" w:color="auto"/>
        <w:left w:val="none" w:sz="0" w:space="0" w:color="auto"/>
        <w:bottom w:val="none" w:sz="0" w:space="0" w:color="auto"/>
        <w:right w:val="none" w:sz="0" w:space="0" w:color="auto"/>
      </w:divBdr>
    </w:div>
    <w:div w:id="1282767140">
      <w:bodyDiv w:val="1"/>
      <w:marLeft w:val="0"/>
      <w:marRight w:val="0"/>
      <w:marTop w:val="0"/>
      <w:marBottom w:val="0"/>
      <w:divBdr>
        <w:top w:val="none" w:sz="0" w:space="0" w:color="auto"/>
        <w:left w:val="none" w:sz="0" w:space="0" w:color="auto"/>
        <w:bottom w:val="none" w:sz="0" w:space="0" w:color="auto"/>
        <w:right w:val="none" w:sz="0" w:space="0" w:color="auto"/>
      </w:divBdr>
    </w:div>
    <w:div w:id="1350568022">
      <w:bodyDiv w:val="1"/>
      <w:marLeft w:val="0"/>
      <w:marRight w:val="0"/>
      <w:marTop w:val="0"/>
      <w:marBottom w:val="0"/>
      <w:divBdr>
        <w:top w:val="none" w:sz="0" w:space="0" w:color="auto"/>
        <w:left w:val="none" w:sz="0" w:space="0" w:color="auto"/>
        <w:bottom w:val="none" w:sz="0" w:space="0" w:color="auto"/>
        <w:right w:val="none" w:sz="0" w:space="0" w:color="auto"/>
      </w:divBdr>
    </w:div>
    <w:div w:id="1358702131">
      <w:bodyDiv w:val="1"/>
      <w:marLeft w:val="0"/>
      <w:marRight w:val="0"/>
      <w:marTop w:val="0"/>
      <w:marBottom w:val="0"/>
      <w:divBdr>
        <w:top w:val="none" w:sz="0" w:space="0" w:color="auto"/>
        <w:left w:val="none" w:sz="0" w:space="0" w:color="auto"/>
        <w:bottom w:val="none" w:sz="0" w:space="0" w:color="auto"/>
        <w:right w:val="none" w:sz="0" w:space="0" w:color="auto"/>
      </w:divBdr>
    </w:div>
    <w:div w:id="1597443743">
      <w:bodyDiv w:val="1"/>
      <w:marLeft w:val="0"/>
      <w:marRight w:val="0"/>
      <w:marTop w:val="0"/>
      <w:marBottom w:val="0"/>
      <w:divBdr>
        <w:top w:val="none" w:sz="0" w:space="0" w:color="auto"/>
        <w:left w:val="none" w:sz="0" w:space="0" w:color="auto"/>
        <w:bottom w:val="none" w:sz="0" w:space="0" w:color="auto"/>
        <w:right w:val="none" w:sz="0" w:space="0" w:color="auto"/>
      </w:divBdr>
    </w:div>
    <w:div w:id="1675300874">
      <w:bodyDiv w:val="1"/>
      <w:marLeft w:val="0"/>
      <w:marRight w:val="0"/>
      <w:marTop w:val="0"/>
      <w:marBottom w:val="0"/>
      <w:divBdr>
        <w:top w:val="none" w:sz="0" w:space="0" w:color="auto"/>
        <w:left w:val="none" w:sz="0" w:space="0" w:color="auto"/>
        <w:bottom w:val="none" w:sz="0" w:space="0" w:color="auto"/>
        <w:right w:val="none" w:sz="0" w:space="0" w:color="auto"/>
      </w:divBdr>
    </w:div>
    <w:div w:id="1884826358">
      <w:bodyDiv w:val="1"/>
      <w:marLeft w:val="0"/>
      <w:marRight w:val="0"/>
      <w:marTop w:val="0"/>
      <w:marBottom w:val="0"/>
      <w:divBdr>
        <w:top w:val="none" w:sz="0" w:space="0" w:color="auto"/>
        <w:left w:val="none" w:sz="0" w:space="0" w:color="auto"/>
        <w:bottom w:val="none" w:sz="0" w:space="0" w:color="auto"/>
        <w:right w:val="none" w:sz="0" w:space="0" w:color="auto"/>
      </w:divBdr>
    </w:div>
    <w:div w:id="1998456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E90E0-A91D-4CC6-B95D-E42DC309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1431</Words>
  <Characters>9134</Characters>
  <Application>Microsoft Office Word</Application>
  <DocSecurity>0</DocSecurity>
  <Lines>172</Lines>
  <Paragraphs>58</Paragraphs>
  <ScaleCrop>false</ScaleCrop>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Dydňanská</dc:creator>
  <dc:description/>
  <cp:lastModifiedBy>Katarína Dydňanská</cp:lastModifiedBy>
  <cp:revision>3</cp:revision>
  <dcterms:created xsi:type="dcterms:W3CDTF">2026-03-26T19:43:00Z</dcterms:created>
  <dcterms:modified xsi:type="dcterms:W3CDTF">2026-03-26T19:45:00Z</dcterms:modified>
</cp:coreProperties>
</file>