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7993D8" w14:textId="08B95798" w:rsidR="00686DEF" w:rsidRDefault="00686DEF" w:rsidP="00A4238A">
      <w:pPr>
        <w:jc w:val="center"/>
      </w:pPr>
      <w:r>
        <w:rPr>
          <w:noProof/>
        </w:rPr>
        <w:drawing>
          <wp:inline distT="0" distB="0" distL="0" distR="0" wp14:anchorId="4962091B" wp14:editId="51043510">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3CA22164" w14:textId="77777777" w:rsidR="00686DEF" w:rsidRDefault="00686DEF" w:rsidP="00686DEF">
      <w:pPr>
        <w:jc w:val="center"/>
        <w:rPr>
          <w:rFonts w:ascii="Arial" w:hAnsi="Arial" w:cs="Arial"/>
          <w:b/>
          <w:bCs/>
          <w:sz w:val="36"/>
          <w:szCs w:val="36"/>
        </w:rPr>
      </w:pPr>
    </w:p>
    <w:p w14:paraId="02636CE2" w14:textId="77777777" w:rsidR="00686DEF" w:rsidRDefault="00686DEF" w:rsidP="00686DEF">
      <w:pPr>
        <w:jc w:val="center"/>
        <w:rPr>
          <w:rFonts w:ascii="Arial" w:hAnsi="Arial" w:cs="Arial"/>
          <w:b/>
          <w:bCs/>
          <w:sz w:val="36"/>
          <w:szCs w:val="36"/>
        </w:rPr>
      </w:pPr>
    </w:p>
    <w:p w14:paraId="4028AF63" w14:textId="77777777" w:rsidR="00686DEF" w:rsidRDefault="00686DEF" w:rsidP="00686DEF">
      <w:pPr>
        <w:jc w:val="center"/>
        <w:rPr>
          <w:rFonts w:ascii="Arial" w:hAnsi="Arial" w:cs="Arial"/>
          <w:b/>
          <w:bCs/>
          <w:sz w:val="36"/>
          <w:szCs w:val="36"/>
        </w:rPr>
      </w:pPr>
    </w:p>
    <w:p w14:paraId="0E9C0094" w14:textId="1A3290DE" w:rsidR="00686DEF" w:rsidRPr="00686DEF" w:rsidRDefault="00686DEF" w:rsidP="00686DEF">
      <w:pPr>
        <w:jc w:val="center"/>
        <w:rPr>
          <w:rFonts w:ascii="Arial" w:hAnsi="Arial" w:cs="Arial"/>
          <w:b/>
          <w:bCs/>
          <w:sz w:val="36"/>
          <w:szCs w:val="36"/>
        </w:rPr>
      </w:pPr>
      <w:r w:rsidRPr="00686DEF">
        <w:rPr>
          <w:rFonts w:ascii="Arial" w:hAnsi="Arial" w:cs="Arial"/>
          <w:b/>
          <w:bCs/>
          <w:sz w:val="36"/>
          <w:szCs w:val="36"/>
        </w:rPr>
        <w:t>Health, Wellbeing and Sustainable Development</w:t>
      </w:r>
    </w:p>
    <w:p w14:paraId="6C41936E" w14:textId="77777777" w:rsidR="00686DEF" w:rsidRPr="00686DEF" w:rsidRDefault="00686DEF" w:rsidP="00A4238A">
      <w:pPr>
        <w:jc w:val="center"/>
        <w:rPr>
          <w:rFonts w:ascii="Arial" w:hAnsi="Arial" w:cs="Arial"/>
          <w:sz w:val="36"/>
          <w:szCs w:val="36"/>
        </w:rPr>
      </w:pPr>
    </w:p>
    <w:p w14:paraId="13340FDA" w14:textId="77777777" w:rsidR="00686DEF" w:rsidRPr="00686DEF" w:rsidRDefault="00686DEF" w:rsidP="00686DEF">
      <w:pPr>
        <w:jc w:val="center"/>
        <w:rPr>
          <w:rFonts w:ascii="Arial" w:hAnsi="Arial" w:cs="Arial"/>
          <w:sz w:val="36"/>
          <w:szCs w:val="36"/>
        </w:rPr>
      </w:pPr>
      <w:r w:rsidRPr="00686DEF">
        <w:rPr>
          <w:rFonts w:ascii="Arial" w:hAnsi="Arial" w:cs="Arial"/>
          <w:b/>
          <w:bCs/>
          <w:sz w:val="36"/>
          <w:szCs w:val="36"/>
          <w:lang w:val="en-US"/>
        </w:rPr>
        <w:t>Name:</w:t>
      </w:r>
      <w:r w:rsidRPr="00686DEF">
        <w:rPr>
          <w:rFonts w:ascii="Arial" w:hAnsi="Arial" w:cs="Arial"/>
          <w:sz w:val="36"/>
          <w:szCs w:val="36"/>
          <w:lang w:val="en-US"/>
        </w:rPr>
        <w:t xml:space="preserve"> Sarolta Beri </w:t>
      </w:r>
    </w:p>
    <w:p w14:paraId="4F50D26B" w14:textId="77777777" w:rsidR="00686DEF" w:rsidRPr="00686DEF" w:rsidRDefault="00686DEF" w:rsidP="00686DEF">
      <w:pPr>
        <w:jc w:val="center"/>
        <w:rPr>
          <w:rFonts w:ascii="Arial" w:hAnsi="Arial" w:cs="Arial"/>
          <w:sz w:val="36"/>
          <w:szCs w:val="36"/>
        </w:rPr>
      </w:pPr>
      <w:r w:rsidRPr="00686DEF">
        <w:rPr>
          <w:rFonts w:ascii="Arial" w:hAnsi="Arial" w:cs="Arial"/>
          <w:b/>
          <w:bCs/>
          <w:sz w:val="36"/>
          <w:szCs w:val="36"/>
          <w:lang w:val="en-US"/>
        </w:rPr>
        <w:t>Student Number:</w:t>
      </w:r>
      <w:r w:rsidRPr="00686DEF">
        <w:rPr>
          <w:rFonts w:ascii="Arial" w:hAnsi="Arial" w:cs="Arial"/>
          <w:sz w:val="36"/>
          <w:szCs w:val="36"/>
          <w:lang w:val="en-US"/>
        </w:rPr>
        <w:t xml:space="preserve"> </w:t>
      </w:r>
      <w:r w:rsidRPr="00686DEF">
        <w:rPr>
          <w:rFonts w:ascii="Arial" w:hAnsi="Arial" w:cs="Arial"/>
          <w:i/>
          <w:iCs/>
          <w:sz w:val="36"/>
          <w:szCs w:val="36"/>
          <w:lang w:val="en-US"/>
        </w:rPr>
        <w:t>2314149</w:t>
      </w:r>
    </w:p>
    <w:p w14:paraId="6AA543DC" w14:textId="77777777" w:rsidR="00686DEF" w:rsidRPr="00686DEF" w:rsidRDefault="00686DEF" w:rsidP="00686DEF">
      <w:pPr>
        <w:jc w:val="center"/>
        <w:rPr>
          <w:rFonts w:ascii="Arial" w:hAnsi="Arial" w:cs="Arial"/>
          <w:sz w:val="36"/>
          <w:szCs w:val="36"/>
        </w:rPr>
      </w:pPr>
      <w:r w:rsidRPr="00686DEF">
        <w:rPr>
          <w:rFonts w:ascii="Arial" w:hAnsi="Arial" w:cs="Arial"/>
          <w:b/>
          <w:bCs/>
          <w:sz w:val="36"/>
          <w:szCs w:val="36"/>
          <w:lang w:val="en-US"/>
        </w:rPr>
        <w:t>Lecturer:</w:t>
      </w:r>
      <w:r w:rsidRPr="00686DEF">
        <w:rPr>
          <w:rFonts w:ascii="Arial" w:hAnsi="Arial" w:cs="Arial"/>
          <w:sz w:val="36"/>
          <w:szCs w:val="36"/>
          <w:lang w:val="en-US"/>
        </w:rPr>
        <w:t xml:space="preserve"> </w:t>
      </w:r>
      <w:r w:rsidRPr="00686DEF">
        <w:rPr>
          <w:rFonts w:ascii="Arial" w:hAnsi="Arial" w:cs="Arial"/>
          <w:sz w:val="36"/>
          <w:szCs w:val="36"/>
        </w:rPr>
        <w:t>Dr Itse Olaoye</w:t>
      </w:r>
    </w:p>
    <w:p w14:paraId="61294BD3" w14:textId="77777777" w:rsidR="00686DEF" w:rsidRPr="00686DEF" w:rsidRDefault="00686DEF" w:rsidP="00686DEF">
      <w:pPr>
        <w:jc w:val="center"/>
        <w:rPr>
          <w:rFonts w:ascii="Arial" w:hAnsi="Arial" w:cs="Arial"/>
          <w:sz w:val="36"/>
          <w:szCs w:val="36"/>
        </w:rPr>
      </w:pPr>
      <w:r w:rsidRPr="00686DEF">
        <w:rPr>
          <w:rFonts w:ascii="Arial" w:hAnsi="Arial" w:cs="Arial"/>
          <w:b/>
          <w:bCs/>
          <w:sz w:val="36"/>
          <w:szCs w:val="36"/>
          <w:lang w:val="en-US"/>
        </w:rPr>
        <w:t>Module Code &amp; Title:</w:t>
      </w:r>
      <w:r w:rsidRPr="00686DEF">
        <w:rPr>
          <w:rFonts w:ascii="Arial" w:hAnsi="Arial" w:cs="Arial"/>
          <w:sz w:val="36"/>
          <w:szCs w:val="36"/>
          <w:lang w:val="en-US"/>
        </w:rPr>
        <w:t xml:space="preserve"> </w:t>
      </w:r>
      <w:r w:rsidRPr="00686DEF">
        <w:rPr>
          <w:rFonts w:ascii="Arial" w:hAnsi="Arial" w:cs="Arial"/>
          <w:sz w:val="36"/>
          <w:szCs w:val="36"/>
        </w:rPr>
        <w:t>BMHP6030-Health, Wellbeing and Sustainable Development.</w:t>
      </w:r>
    </w:p>
    <w:p w14:paraId="66608B9D" w14:textId="77777777" w:rsidR="00686DEF" w:rsidRDefault="00686DEF" w:rsidP="00A4238A">
      <w:pPr>
        <w:jc w:val="center"/>
      </w:pPr>
    </w:p>
    <w:p w14:paraId="742E1545" w14:textId="77777777" w:rsidR="00686DEF" w:rsidRDefault="00686DEF">
      <w:r>
        <w:br w:type="page"/>
      </w:r>
    </w:p>
    <w:sdt>
      <w:sdtPr>
        <w:rPr>
          <w:rFonts w:asciiTheme="minorHAnsi" w:eastAsiaTheme="minorEastAsia" w:hAnsiTheme="minorHAnsi" w:cstheme="minorBidi"/>
          <w:color w:val="auto"/>
          <w:kern w:val="2"/>
          <w:sz w:val="24"/>
          <w:szCs w:val="24"/>
          <w:lang w:val="en-GB" w:eastAsia="zh-CN"/>
          <w14:ligatures w14:val="standardContextual"/>
        </w:rPr>
        <w:id w:val="391710212"/>
        <w:docPartObj>
          <w:docPartGallery w:val="Table of Contents"/>
          <w:docPartUnique/>
        </w:docPartObj>
      </w:sdtPr>
      <w:sdtEndPr>
        <w:rPr>
          <w:b/>
          <w:bCs/>
          <w:noProof/>
        </w:rPr>
      </w:sdtEndPr>
      <w:sdtContent>
        <w:p w14:paraId="2CABFFEB" w14:textId="57BE800C" w:rsidR="00686DEF" w:rsidRDefault="00686DEF">
          <w:pPr>
            <w:pStyle w:val="TOCHeading"/>
          </w:pPr>
          <w:r>
            <w:t>Table of Contents</w:t>
          </w:r>
        </w:p>
        <w:p w14:paraId="3D8CC039" w14:textId="0832394C" w:rsidR="00AD35B9" w:rsidRDefault="00686DEF">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236405546" w:history="1">
            <w:r w:rsidR="00AD35B9" w:rsidRPr="003750D7">
              <w:rPr>
                <w:rStyle w:val="Hyperlink"/>
                <w:rFonts w:ascii="Arial" w:hAnsi="Arial" w:cs="Arial"/>
                <w:b/>
                <w:bCs/>
                <w:noProof/>
              </w:rPr>
              <w:t>1.</w:t>
            </w:r>
            <w:r w:rsidR="00AD35B9">
              <w:rPr>
                <w:noProof/>
                <w:lang w:eastAsia="en-GB"/>
              </w:rPr>
              <w:tab/>
            </w:r>
            <w:r w:rsidR="00AD35B9" w:rsidRPr="003750D7">
              <w:rPr>
                <w:rStyle w:val="Hyperlink"/>
                <w:rFonts w:ascii="Arial" w:hAnsi="Arial" w:cs="Arial"/>
                <w:b/>
                <w:bCs/>
                <w:noProof/>
              </w:rPr>
              <w:t>Introduction</w:t>
            </w:r>
            <w:r w:rsidR="00AD35B9">
              <w:rPr>
                <w:noProof/>
                <w:webHidden/>
              </w:rPr>
              <w:tab/>
            </w:r>
            <w:r w:rsidR="00AD35B9">
              <w:rPr>
                <w:noProof/>
                <w:webHidden/>
              </w:rPr>
              <w:fldChar w:fldCharType="begin"/>
            </w:r>
            <w:r w:rsidR="00AD35B9">
              <w:rPr>
                <w:noProof/>
                <w:webHidden/>
              </w:rPr>
              <w:instrText xml:space="preserve"> PAGEREF _Toc236405546 \h </w:instrText>
            </w:r>
            <w:r w:rsidR="00AD35B9">
              <w:rPr>
                <w:noProof/>
                <w:webHidden/>
              </w:rPr>
            </w:r>
            <w:r w:rsidR="00AD35B9">
              <w:rPr>
                <w:noProof/>
                <w:webHidden/>
              </w:rPr>
              <w:fldChar w:fldCharType="separate"/>
            </w:r>
            <w:r w:rsidR="00AD35B9">
              <w:rPr>
                <w:noProof/>
                <w:webHidden/>
              </w:rPr>
              <w:t>3</w:t>
            </w:r>
            <w:r w:rsidR="00AD35B9">
              <w:rPr>
                <w:noProof/>
                <w:webHidden/>
              </w:rPr>
              <w:fldChar w:fldCharType="end"/>
            </w:r>
          </w:hyperlink>
        </w:p>
        <w:p w14:paraId="5BB7169C" w14:textId="0FCCC488" w:rsidR="00AD35B9" w:rsidRDefault="00AD35B9">
          <w:pPr>
            <w:pStyle w:val="TOC1"/>
            <w:tabs>
              <w:tab w:val="left" w:pos="480"/>
              <w:tab w:val="right" w:leader="dot" w:pos="9016"/>
            </w:tabs>
            <w:rPr>
              <w:noProof/>
              <w:lang w:eastAsia="en-GB"/>
            </w:rPr>
          </w:pPr>
          <w:hyperlink w:anchor="_Toc236405547" w:history="1">
            <w:r w:rsidRPr="003750D7">
              <w:rPr>
                <w:rStyle w:val="Hyperlink"/>
                <w:rFonts w:ascii="Arial" w:hAnsi="Arial" w:cs="Arial"/>
                <w:b/>
                <w:bCs/>
                <w:noProof/>
              </w:rPr>
              <w:t>2.</w:t>
            </w:r>
            <w:r>
              <w:rPr>
                <w:noProof/>
                <w:lang w:eastAsia="en-GB"/>
              </w:rPr>
              <w:tab/>
            </w:r>
            <w:r w:rsidRPr="003750D7">
              <w:rPr>
                <w:rStyle w:val="Hyperlink"/>
                <w:rFonts w:ascii="Arial" w:hAnsi="Arial" w:cs="Arial"/>
                <w:b/>
                <w:bCs/>
                <w:noProof/>
              </w:rPr>
              <w:t>Sustainable Development Goal 3: Good Health and Well-being</w:t>
            </w:r>
            <w:r>
              <w:rPr>
                <w:noProof/>
                <w:webHidden/>
              </w:rPr>
              <w:tab/>
            </w:r>
            <w:r>
              <w:rPr>
                <w:noProof/>
                <w:webHidden/>
              </w:rPr>
              <w:fldChar w:fldCharType="begin"/>
            </w:r>
            <w:r>
              <w:rPr>
                <w:noProof/>
                <w:webHidden/>
              </w:rPr>
              <w:instrText xml:space="preserve"> PAGEREF _Toc236405547 \h </w:instrText>
            </w:r>
            <w:r>
              <w:rPr>
                <w:noProof/>
                <w:webHidden/>
              </w:rPr>
            </w:r>
            <w:r>
              <w:rPr>
                <w:noProof/>
                <w:webHidden/>
              </w:rPr>
              <w:fldChar w:fldCharType="separate"/>
            </w:r>
            <w:r>
              <w:rPr>
                <w:noProof/>
                <w:webHidden/>
              </w:rPr>
              <w:t>3</w:t>
            </w:r>
            <w:r>
              <w:rPr>
                <w:noProof/>
                <w:webHidden/>
              </w:rPr>
              <w:fldChar w:fldCharType="end"/>
            </w:r>
          </w:hyperlink>
        </w:p>
        <w:p w14:paraId="19EB3897" w14:textId="2FB61700" w:rsidR="00AD35B9" w:rsidRDefault="00AD35B9">
          <w:pPr>
            <w:pStyle w:val="TOC1"/>
            <w:tabs>
              <w:tab w:val="left" w:pos="480"/>
              <w:tab w:val="right" w:leader="dot" w:pos="9016"/>
            </w:tabs>
            <w:rPr>
              <w:noProof/>
              <w:lang w:eastAsia="en-GB"/>
            </w:rPr>
          </w:pPr>
          <w:hyperlink w:anchor="_Toc236405548" w:history="1">
            <w:r w:rsidRPr="003750D7">
              <w:rPr>
                <w:rStyle w:val="Hyperlink"/>
                <w:rFonts w:ascii="Arial" w:hAnsi="Arial" w:cs="Arial"/>
                <w:b/>
                <w:bCs/>
                <w:noProof/>
              </w:rPr>
              <w:t>3.</w:t>
            </w:r>
            <w:r>
              <w:rPr>
                <w:noProof/>
                <w:lang w:eastAsia="en-GB"/>
              </w:rPr>
              <w:tab/>
            </w:r>
            <w:r w:rsidRPr="003750D7">
              <w:rPr>
                <w:rStyle w:val="Hyperlink"/>
                <w:rFonts w:ascii="Arial" w:hAnsi="Arial" w:cs="Arial"/>
                <w:b/>
                <w:bCs/>
                <w:noProof/>
              </w:rPr>
              <w:t>Sustainable Development Goal 6: Clean Water and Sanitation</w:t>
            </w:r>
            <w:r>
              <w:rPr>
                <w:noProof/>
                <w:webHidden/>
              </w:rPr>
              <w:tab/>
            </w:r>
            <w:r>
              <w:rPr>
                <w:noProof/>
                <w:webHidden/>
              </w:rPr>
              <w:fldChar w:fldCharType="begin"/>
            </w:r>
            <w:r>
              <w:rPr>
                <w:noProof/>
                <w:webHidden/>
              </w:rPr>
              <w:instrText xml:space="preserve"> PAGEREF _Toc236405548 \h </w:instrText>
            </w:r>
            <w:r>
              <w:rPr>
                <w:noProof/>
                <w:webHidden/>
              </w:rPr>
            </w:r>
            <w:r>
              <w:rPr>
                <w:noProof/>
                <w:webHidden/>
              </w:rPr>
              <w:fldChar w:fldCharType="separate"/>
            </w:r>
            <w:r>
              <w:rPr>
                <w:noProof/>
                <w:webHidden/>
              </w:rPr>
              <w:t>5</w:t>
            </w:r>
            <w:r>
              <w:rPr>
                <w:noProof/>
                <w:webHidden/>
              </w:rPr>
              <w:fldChar w:fldCharType="end"/>
            </w:r>
          </w:hyperlink>
        </w:p>
        <w:p w14:paraId="6FE6AB21" w14:textId="613B193B" w:rsidR="00AD35B9" w:rsidRDefault="00AD35B9">
          <w:pPr>
            <w:pStyle w:val="TOC1"/>
            <w:tabs>
              <w:tab w:val="left" w:pos="480"/>
              <w:tab w:val="right" w:leader="dot" w:pos="9016"/>
            </w:tabs>
            <w:rPr>
              <w:noProof/>
              <w:lang w:eastAsia="en-GB"/>
            </w:rPr>
          </w:pPr>
          <w:hyperlink w:anchor="_Toc236405549" w:history="1">
            <w:r w:rsidRPr="003750D7">
              <w:rPr>
                <w:rStyle w:val="Hyperlink"/>
                <w:rFonts w:ascii="Arial" w:hAnsi="Arial" w:cs="Arial"/>
                <w:b/>
                <w:bCs/>
                <w:noProof/>
              </w:rPr>
              <w:t>4.</w:t>
            </w:r>
            <w:r>
              <w:rPr>
                <w:noProof/>
                <w:lang w:eastAsia="en-GB"/>
              </w:rPr>
              <w:tab/>
            </w:r>
            <w:r w:rsidRPr="003750D7">
              <w:rPr>
                <w:rStyle w:val="Hyperlink"/>
                <w:rFonts w:ascii="Arial" w:hAnsi="Arial" w:cs="Arial"/>
                <w:b/>
                <w:bCs/>
                <w:noProof/>
              </w:rPr>
              <w:t>National Wellbeing Initiatives</w:t>
            </w:r>
            <w:r>
              <w:rPr>
                <w:noProof/>
                <w:webHidden/>
              </w:rPr>
              <w:tab/>
            </w:r>
            <w:r>
              <w:rPr>
                <w:noProof/>
                <w:webHidden/>
              </w:rPr>
              <w:fldChar w:fldCharType="begin"/>
            </w:r>
            <w:r>
              <w:rPr>
                <w:noProof/>
                <w:webHidden/>
              </w:rPr>
              <w:instrText xml:space="preserve"> PAGEREF _Toc236405549 \h </w:instrText>
            </w:r>
            <w:r>
              <w:rPr>
                <w:noProof/>
                <w:webHidden/>
              </w:rPr>
            </w:r>
            <w:r>
              <w:rPr>
                <w:noProof/>
                <w:webHidden/>
              </w:rPr>
              <w:fldChar w:fldCharType="separate"/>
            </w:r>
            <w:r>
              <w:rPr>
                <w:noProof/>
                <w:webHidden/>
              </w:rPr>
              <w:t>6</w:t>
            </w:r>
            <w:r>
              <w:rPr>
                <w:noProof/>
                <w:webHidden/>
              </w:rPr>
              <w:fldChar w:fldCharType="end"/>
            </w:r>
          </w:hyperlink>
        </w:p>
        <w:p w14:paraId="7F400C9E" w14:textId="4A98B769" w:rsidR="00AD35B9" w:rsidRDefault="00AD35B9">
          <w:pPr>
            <w:pStyle w:val="TOC1"/>
            <w:tabs>
              <w:tab w:val="left" w:pos="480"/>
              <w:tab w:val="right" w:leader="dot" w:pos="9016"/>
            </w:tabs>
            <w:rPr>
              <w:noProof/>
              <w:lang w:eastAsia="en-GB"/>
            </w:rPr>
          </w:pPr>
          <w:hyperlink w:anchor="_Toc236405550" w:history="1">
            <w:r w:rsidRPr="003750D7">
              <w:rPr>
                <w:rStyle w:val="Hyperlink"/>
                <w:rFonts w:ascii="Arial" w:hAnsi="Arial" w:cs="Arial"/>
                <w:b/>
                <w:bCs/>
                <w:noProof/>
              </w:rPr>
              <w:t>5.</w:t>
            </w:r>
            <w:r>
              <w:rPr>
                <w:noProof/>
                <w:lang w:eastAsia="en-GB"/>
              </w:rPr>
              <w:tab/>
            </w:r>
            <w:r w:rsidRPr="003750D7">
              <w:rPr>
                <w:rStyle w:val="Hyperlink"/>
                <w:rFonts w:ascii="Arial" w:hAnsi="Arial" w:cs="Arial"/>
                <w:b/>
                <w:bCs/>
                <w:noProof/>
              </w:rPr>
              <w:t>Local Wellbeing Initiatives</w:t>
            </w:r>
            <w:r>
              <w:rPr>
                <w:noProof/>
                <w:webHidden/>
              </w:rPr>
              <w:tab/>
            </w:r>
            <w:r>
              <w:rPr>
                <w:noProof/>
                <w:webHidden/>
              </w:rPr>
              <w:fldChar w:fldCharType="begin"/>
            </w:r>
            <w:r>
              <w:rPr>
                <w:noProof/>
                <w:webHidden/>
              </w:rPr>
              <w:instrText xml:space="preserve"> PAGEREF _Toc236405550 \h </w:instrText>
            </w:r>
            <w:r>
              <w:rPr>
                <w:noProof/>
                <w:webHidden/>
              </w:rPr>
            </w:r>
            <w:r>
              <w:rPr>
                <w:noProof/>
                <w:webHidden/>
              </w:rPr>
              <w:fldChar w:fldCharType="separate"/>
            </w:r>
            <w:r>
              <w:rPr>
                <w:noProof/>
                <w:webHidden/>
              </w:rPr>
              <w:t>7</w:t>
            </w:r>
            <w:r>
              <w:rPr>
                <w:noProof/>
                <w:webHidden/>
              </w:rPr>
              <w:fldChar w:fldCharType="end"/>
            </w:r>
          </w:hyperlink>
        </w:p>
        <w:p w14:paraId="5730FE83" w14:textId="0E3693E4" w:rsidR="00AD35B9" w:rsidRDefault="00AD35B9">
          <w:pPr>
            <w:pStyle w:val="TOC1"/>
            <w:tabs>
              <w:tab w:val="left" w:pos="480"/>
              <w:tab w:val="right" w:leader="dot" w:pos="9016"/>
            </w:tabs>
            <w:rPr>
              <w:noProof/>
              <w:lang w:eastAsia="en-GB"/>
            </w:rPr>
          </w:pPr>
          <w:hyperlink w:anchor="_Toc236405551" w:history="1">
            <w:r w:rsidRPr="003750D7">
              <w:rPr>
                <w:rStyle w:val="Hyperlink"/>
                <w:rFonts w:ascii="Arial" w:hAnsi="Arial" w:cs="Arial"/>
                <w:b/>
                <w:bCs/>
                <w:noProof/>
              </w:rPr>
              <w:t>6.</w:t>
            </w:r>
            <w:r>
              <w:rPr>
                <w:noProof/>
                <w:lang w:eastAsia="en-GB"/>
              </w:rPr>
              <w:tab/>
            </w:r>
            <w:r w:rsidRPr="003750D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_Toc236405551 \h </w:instrText>
            </w:r>
            <w:r>
              <w:rPr>
                <w:noProof/>
                <w:webHidden/>
              </w:rPr>
            </w:r>
            <w:r>
              <w:rPr>
                <w:noProof/>
                <w:webHidden/>
              </w:rPr>
              <w:fldChar w:fldCharType="separate"/>
            </w:r>
            <w:r>
              <w:rPr>
                <w:noProof/>
                <w:webHidden/>
              </w:rPr>
              <w:t>9</w:t>
            </w:r>
            <w:r>
              <w:rPr>
                <w:noProof/>
                <w:webHidden/>
              </w:rPr>
              <w:fldChar w:fldCharType="end"/>
            </w:r>
          </w:hyperlink>
        </w:p>
        <w:p w14:paraId="0DA0BDD6" w14:textId="13DD6BB2" w:rsidR="00AD35B9" w:rsidRDefault="00AD35B9">
          <w:pPr>
            <w:pStyle w:val="TOC1"/>
            <w:tabs>
              <w:tab w:val="left" w:pos="480"/>
              <w:tab w:val="right" w:leader="dot" w:pos="9016"/>
            </w:tabs>
            <w:rPr>
              <w:noProof/>
              <w:lang w:eastAsia="en-GB"/>
            </w:rPr>
          </w:pPr>
          <w:hyperlink w:anchor="_Toc236405552" w:history="1">
            <w:r w:rsidRPr="003750D7">
              <w:rPr>
                <w:rStyle w:val="Hyperlink"/>
                <w:rFonts w:ascii="Arial" w:hAnsi="Arial" w:cs="Arial"/>
                <w:b/>
                <w:bCs/>
                <w:noProof/>
              </w:rPr>
              <w:t>7.</w:t>
            </w:r>
            <w:r>
              <w:rPr>
                <w:noProof/>
                <w:lang w:eastAsia="en-GB"/>
              </w:rPr>
              <w:tab/>
            </w:r>
            <w:r w:rsidRPr="003750D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_Toc236405552 \h </w:instrText>
            </w:r>
            <w:r>
              <w:rPr>
                <w:noProof/>
                <w:webHidden/>
              </w:rPr>
            </w:r>
            <w:r>
              <w:rPr>
                <w:noProof/>
                <w:webHidden/>
              </w:rPr>
              <w:fldChar w:fldCharType="separate"/>
            </w:r>
            <w:r>
              <w:rPr>
                <w:noProof/>
                <w:webHidden/>
              </w:rPr>
              <w:t>10</w:t>
            </w:r>
            <w:r>
              <w:rPr>
                <w:noProof/>
                <w:webHidden/>
              </w:rPr>
              <w:fldChar w:fldCharType="end"/>
            </w:r>
          </w:hyperlink>
        </w:p>
        <w:p w14:paraId="5D859C9B" w14:textId="6A9F70D7" w:rsidR="00686DEF" w:rsidRDefault="00686DEF">
          <w:r>
            <w:rPr>
              <w:b/>
              <w:bCs/>
              <w:noProof/>
            </w:rPr>
            <w:fldChar w:fldCharType="end"/>
          </w:r>
        </w:p>
      </w:sdtContent>
    </w:sdt>
    <w:p w14:paraId="55E19522" w14:textId="0AA4076C" w:rsidR="00686DEF" w:rsidRDefault="00686DEF" w:rsidP="00A4238A">
      <w:pPr>
        <w:jc w:val="both"/>
      </w:pPr>
    </w:p>
    <w:p w14:paraId="51BD6ED5" w14:textId="77777777" w:rsidR="00686DEF" w:rsidRDefault="00686DEF">
      <w:r>
        <w:br w:type="page"/>
      </w:r>
    </w:p>
    <w:p w14:paraId="752048BC" w14:textId="7B75B401" w:rsidR="000D132E" w:rsidRPr="00AD35B9" w:rsidRDefault="000D132E" w:rsidP="00AD35B9">
      <w:pPr>
        <w:pStyle w:val="Heading1"/>
        <w:numPr>
          <w:ilvl w:val="0"/>
          <w:numId w:val="7"/>
        </w:numPr>
        <w:rPr>
          <w:rFonts w:ascii="Arial" w:hAnsi="Arial" w:cs="Arial"/>
          <w:b/>
          <w:bCs/>
          <w:sz w:val="24"/>
          <w:szCs w:val="24"/>
        </w:rPr>
      </w:pPr>
      <w:bookmarkStart w:id="0" w:name="_Toc236405546"/>
      <w:r w:rsidRPr="00AD35B9">
        <w:rPr>
          <w:rFonts w:ascii="Arial" w:hAnsi="Arial" w:cs="Arial"/>
          <w:b/>
          <w:bCs/>
          <w:sz w:val="24"/>
          <w:szCs w:val="24"/>
        </w:rPr>
        <w:lastRenderedPageBreak/>
        <w:t>Introduction</w:t>
      </w:r>
      <w:bookmarkEnd w:id="0"/>
      <w:r w:rsidRPr="00AD35B9">
        <w:rPr>
          <w:rFonts w:ascii="Arial" w:hAnsi="Arial" w:cs="Arial"/>
          <w:b/>
          <w:bCs/>
          <w:sz w:val="24"/>
          <w:szCs w:val="24"/>
        </w:rPr>
        <w:t xml:space="preserve"> </w:t>
      </w:r>
    </w:p>
    <w:p w14:paraId="7293388C" w14:textId="77777777" w:rsidR="000D132E" w:rsidRPr="00176BD2" w:rsidRDefault="000D132E" w:rsidP="00F34487">
      <w:pPr>
        <w:spacing w:line="360" w:lineRule="auto"/>
        <w:jc w:val="both"/>
        <w:rPr>
          <w:rFonts w:ascii="Arial" w:hAnsi="Arial" w:cs="Arial"/>
          <w:sz w:val="22"/>
          <w:szCs w:val="22"/>
        </w:rPr>
      </w:pPr>
      <w:r w:rsidRPr="00176BD2">
        <w:rPr>
          <w:rFonts w:ascii="Arial" w:hAnsi="Arial" w:cs="Arial"/>
          <w:sz w:val="22"/>
          <w:szCs w:val="22"/>
        </w:rPr>
        <w:t>The United Nations Sustainable Development Goals (SDGs) provide a global framework for improving health, reducing inequalities and promoting sustainable development by 2030. Within the United Kingdom, these goals influence national health policies, environmental protection and public wellbeing initiatives. This report examines Sustainable Development Goal 3 (Good Health and Well-being) and Sustainable Development Goal 6 (Clean Water and Sanitation), exploring how they contribute to improving the health and wellbeing of individuals and communities. The report also evaluates two national and two local UK wellbeing initiatives, assessing their effectiveness and providing recommendations for improving health outcomes and supporting sustainable development across the UK.</w:t>
      </w:r>
    </w:p>
    <w:p w14:paraId="6FD1DBF8" w14:textId="587F80E0" w:rsidR="000D132E" w:rsidRPr="00AD35B9" w:rsidRDefault="000D132E" w:rsidP="00AD35B9">
      <w:pPr>
        <w:pStyle w:val="Heading1"/>
        <w:numPr>
          <w:ilvl w:val="0"/>
          <w:numId w:val="7"/>
        </w:numPr>
        <w:rPr>
          <w:rFonts w:ascii="Arial" w:hAnsi="Arial" w:cs="Arial"/>
          <w:b/>
          <w:bCs/>
          <w:sz w:val="24"/>
          <w:szCs w:val="24"/>
        </w:rPr>
      </w:pPr>
      <w:bookmarkStart w:id="1" w:name="_Toc236405547"/>
      <w:r w:rsidRPr="00AD35B9">
        <w:rPr>
          <w:rFonts w:ascii="Arial" w:hAnsi="Arial" w:cs="Arial"/>
          <w:b/>
          <w:bCs/>
          <w:sz w:val="24"/>
          <w:szCs w:val="24"/>
        </w:rPr>
        <w:t>Sustainable Development Goal 3: Good Health and Well-being</w:t>
      </w:r>
      <w:bookmarkEnd w:id="1"/>
      <w:r w:rsidRPr="00AD35B9">
        <w:rPr>
          <w:rFonts w:ascii="Arial" w:hAnsi="Arial" w:cs="Arial"/>
          <w:b/>
          <w:bCs/>
          <w:sz w:val="24"/>
          <w:szCs w:val="24"/>
        </w:rPr>
        <w:t xml:space="preserve"> </w:t>
      </w:r>
    </w:p>
    <w:p w14:paraId="301AAC77" w14:textId="77777777" w:rsidR="00176BD2" w:rsidRPr="00176BD2" w:rsidRDefault="00176BD2" w:rsidP="00F34487">
      <w:pPr>
        <w:pStyle w:val="NormalWeb"/>
        <w:spacing w:line="360" w:lineRule="auto"/>
        <w:jc w:val="both"/>
        <w:rPr>
          <w:rFonts w:ascii="Arial" w:hAnsi="Arial" w:cs="Arial"/>
          <w:sz w:val="22"/>
          <w:szCs w:val="22"/>
        </w:rPr>
      </w:pPr>
      <w:r w:rsidRPr="00176BD2">
        <w:rPr>
          <w:rStyle w:val="font-ligatures-none"/>
          <w:rFonts w:ascii="Arial" w:hAnsi="Arial" w:cs="Arial"/>
          <w:sz w:val="22"/>
          <w:szCs w:val="22"/>
        </w:rPr>
        <w:t xml:space="preserve">Sustainable Development Goal 3 (SDG 3) aims to </w:t>
      </w:r>
      <w:r w:rsidRPr="00176BD2">
        <w:rPr>
          <w:rStyle w:val="Strong"/>
          <w:rFonts w:ascii="Arial" w:hAnsi="Arial" w:cs="Arial"/>
          <w:sz w:val="22"/>
          <w:szCs w:val="22"/>
        </w:rPr>
        <w:t>ensure healthy lives and promote well-being for all at all ages</w:t>
      </w:r>
      <w:r w:rsidRPr="00176BD2">
        <w:rPr>
          <w:rStyle w:val="font-ligatures-none"/>
          <w:rFonts w:ascii="Arial" w:hAnsi="Arial" w:cs="Arial"/>
          <w:sz w:val="22"/>
          <w:szCs w:val="22"/>
        </w:rPr>
        <w:t xml:space="preserve"> (Macassa, 2021). It is one of the 17 Sustainable Development Goals adopted by the United Nations in 2015 as part of the 2030 Agenda for Sustainable Development (Weiland et al., 2021). SDG 3 recognises that good health underpins economic growth, social development and reduced inequalities (Macassa, 2021). Its targets include reducing maternal and infant mortality, preventing communicable and non-communicable diseases, improving mental health, reducing substance misuse, promoting road safety and achieving universal health coverage (WHO, 2022).</w:t>
      </w:r>
      <w:r w:rsidRPr="00176BD2">
        <w:rPr>
          <w:rFonts w:ascii="Arial" w:hAnsi="Arial" w:cs="Arial"/>
          <w:sz w:val="22"/>
          <w:szCs w:val="22"/>
        </w:rPr>
        <w:t xml:space="preserve"> </w:t>
      </w:r>
    </w:p>
    <w:p w14:paraId="522B24A0" w14:textId="28A72A9E" w:rsidR="00176BD2" w:rsidRDefault="00176BD2" w:rsidP="00F34487">
      <w:pPr>
        <w:pStyle w:val="NormalWeb"/>
        <w:spacing w:line="360" w:lineRule="auto"/>
        <w:jc w:val="both"/>
        <w:rPr>
          <w:rStyle w:val="font-ligatures-none"/>
          <w:rFonts w:ascii="Arial" w:hAnsi="Arial" w:cs="Arial"/>
          <w:sz w:val="22"/>
          <w:szCs w:val="22"/>
        </w:rPr>
      </w:pPr>
      <w:r w:rsidRPr="00176BD2">
        <w:rPr>
          <w:rStyle w:val="font-ligatures-none"/>
          <w:rFonts w:ascii="Arial" w:hAnsi="Arial" w:cs="Arial"/>
          <w:sz w:val="22"/>
          <w:szCs w:val="22"/>
        </w:rPr>
        <w:t xml:space="preserve">A key construct of SDG 3 is </w:t>
      </w:r>
      <w:r w:rsidRPr="00176BD2">
        <w:rPr>
          <w:rStyle w:val="Strong"/>
          <w:rFonts w:ascii="Arial" w:hAnsi="Arial" w:cs="Arial"/>
          <w:sz w:val="22"/>
          <w:szCs w:val="22"/>
        </w:rPr>
        <w:t>life expectancy</w:t>
      </w:r>
      <w:r w:rsidRPr="00176BD2">
        <w:rPr>
          <w:rStyle w:val="font-ligatures-none"/>
          <w:rFonts w:ascii="Arial" w:hAnsi="Arial" w:cs="Arial"/>
          <w:sz w:val="22"/>
          <w:szCs w:val="22"/>
        </w:rPr>
        <w:t>, an indicator of overall population health (Yu et al., 2025; Taherian et al., 2026). Between 2012 and 2019, UK life expectancy trends showed widening socioeconomic disparities, with the most deprived areas in Scotland experiencing declines that reversed earlier gains (Kaye-Bardgett et al., 2026). These patterns have been linked to austerity policies that disproportionately harmed disadvantaged groups (Kaye-Bardgett et al., 2026). Inequalities persist, as people in deprived UK areas continue to have lower life expectancy due to social determinants and risk factors (Bachmann et al., 2026). Income level strongly predicts healthy life expectancy (HLE), with higher weekly income associated with several additional years of HLE at birth and at age 65 for both sexes (Bachmann et al., 2026). Conversely, deprivation correlates with lower HLE (Bachmann et al., 2026). Poor housing conditions, social isolation among older adults, and physical inactivity—more common in deprived communities—also contribute to reduced HLE (Bachmann et al., 2026).</w:t>
      </w:r>
    </w:p>
    <w:p w14:paraId="232F308E" w14:textId="77777777" w:rsidR="00176BD2" w:rsidRPr="00176BD2" w:rsidRDefault="00176BD2" w:rsidP="00F34487">
      <w:pPr>
        <w:pStyle w:val="NormalWeb"/>
        <w:spacing w:line="360" w:lineRule="auto"/>
        <w:jc w:val="both"/>
        <w:rPr>
          <w:rFonts w:ascii="Arial" w:hAnsi="Arial" w:cs="Arial"/>
          <w:sz w:val="22"/>
          <w:szCs w:val="22"/>
        </w:rPr>
      </w:pPr>
    </w:p>
    <w:p w14:paraId="5C28EC62" w14:textId="77777777" w:rsidR="00176BD2" w:rsidRPr="00176BD2" w:rsidRDefault="00176BD2" w:rsidP="00F34487">
      <w:pPr>
        <w:pStyle w:val="NormalWeb"/>
        <w:spacing w:line="360" w:lineRule="auto"/>
        <w:jc w:val="both"/>
        <w:rPr>
          <w:rFonts w:ascii="Arial" w:hAnsi="Arial" w:cs="Arial"/>
          <w:sz w:val="22"/>
          <w:szCs w:val="22"/>
        </w:rPr>
      </w:pPr>
      <w:r w:rsidRPr="00176BD2">
        <w:rPr>
          <w:rStyle w:val="font-ligatures-none"/>
          <w:rFonts w:ascii="Arial" w:hAnsi="Arial" w:cs="Arial"/>
          <w:sz w:val="22"/>
          <w:szCs w:val="22"/>
        </w:rPr>
        <w:lastRenderedPageBreak/>
        <w:t>The NHS helps address health inequalities by providing free healthcare and preventive services such as NHS Health Checks, which aim to reduce cardiovascular disease and related disparities (Coghill et al., 2018). A cross-sectional study in Bristol found no significant inequity in Health Check attendance by socioeconomic status, though older adults and women were more likely to attend (Coghill et al., 2018). This suggests progress in equitable access, while highlighting the need for targeted efforts for men, younger people and ethnic minority groups (Coghill et al., 2018).</w:t>
      </w:r>
    </w:p>
    <w:p w14:paraId="290158C6" w14:textId="0A572C7F" w:rsidR="00176BD2" w:rsidRPr="00176BD2" w:rsidRDefault="00176BD2" w:rsidP="00F34487">
      <w:pPr>
        <w:pStyle w:val="NormalWeb"/>
        <w:spacing w:line="360" w:lineRule="auto"/>
        <w:jc w:val="both"/>
        <w:rPr>
          <w:rFonts w:ascii="Arial" w:hAnsi="Arial" w:cs="Arial"/>
          <w:sz w:val="22"/>
          <w:szCs w:val="22"/>
        </w:rPr>
      </w:pPr>
      <w:r w:rsidRPr="00176BD2">
        <w:rPr>
          <w:rStyle w:val="font-ligatures-none"/>
          <w:rFonts w:ascii="Arial" w:hAnsi="Arial" w:cs="Arial"/>
          <w:sz w:val="22"/>
          <w:szCs w:val="22"/>
        </w:rPr>
        <w:t xml:space="preserve">Another central construct is </w:t>
      </w:r>
      <w:r w:rsidRPr="00176BD2">
        <w:rPr>
          <w:rStyle w:val="Strong"/>
          <w:rFonts w:ascii="Arial" w:hAnsi="Arial" w:cs="Arial"/>
          <w:sz w:val="22"/>
          <w:szCs w:val="22"/>
        </w:rPr>
        <w:t>quality of life</w:t>
      </w:r>
      <w:r w:rsidRPr="00176BD2">
        <w:rPr>
          <w:rStyle w:val="font-ligatures-none"/>
          <w:rFonts w:ascii="Arial" w:hAnsi="Arial" w:cs="Arial"/>
          <w:sz w:val="22"/>
          <w:szCs w:val="22"/>
        </w:rPr>
        <w:t>, which includes physical health, emotional wellbeing, independence and daily functioning (Osborne et al., 2012). Research with individuals living with long-term conditions shows that independence and normality are core to perceived quality of life, though priorities vary by age and time since diagnosis (Osborne et al., 2012). Younger individuals newly diagnosed emphasise involvement, while others focus on social-emotional, physical and psychological wellbeing (Osborne et al., 2012). Chronic conditions such as diabetes, heart disease and arthritis can reduce quality of life by affecting mobility, employment and social relationships (Khunti et al., 2023).</w:t>
      </w:r>
    </w:p>
    <w:p w14:paraId="33B7705C" w14:textId="77777777" w:rsidR="00176BD2" w:rsidRDefault="00176BD2" w:rsidP="00F34487">
      <w:pPr>
        <w:pStyle w:val="NormalWeb"/>
        <w:spacing w:line="360" w:lineRule="auto"/>
        <w:jc w:val="both"/>
        <w:rPr>
          <w:rStyle w:val="font-ligatures-none"/>
          <w:rFonts w:ascii="Arial" w:hAnsi="Arial" w:cs="Arial"/>
          <w:sz w:val="22"/>
          <w:szCs w:val="22"/>
        </w:rPr>
      </w:pPr>
      <w:r w:rsidRPr="00176BD2">
        <w:rPr>
          <w:rStyle w:val="font-ligatures-none"/>
          <w:rFonts w:ascii="Arial" w:hAnsi="Arial" w:cs="Arial"/>
          <w:sz w:val="22"/>
          <w:szCs w:val="22"/>
        </w:rPr>
        <w:t>SDG 3 encourages investment in both treatment and prevention (Sharma et al., 2023). Literature highlights the role of indigenous knowledge and medicinal plants in disease prevention and health promotion, aligning with SDG 3’s focus on reducing disease burden (Sharma et al., 2023). In the UK, public health campaigns promoting healthy eating, physical activity, smoking cessation and alcohol awareness help reduce preventable diseases (Liu et al., 2012), easing pressure on the NHS by lowering demand for hospital care (Hardy et al., 2010).</w:t>
      </w:r>
    </w:p>
    <w:p w14:paraId="493D4189" w14:textId="77777777" w:rsidR="002A73FB" w:rsidRPr="002A73FB" w:rsidRDefault="002A73FB" w:rsidP="00F34487">
      <w:pPr>
        <w:pStyle w:val="NormalWeb"/>
        <w:spacing w:line="360" w:lineRule="auto"/>
        <w:jc w:val="both"/>
        <w:rPr>
          <w:rFonts w:ascii="Arial" w:hAnsi="Arial" w:cs="Arial"/>
          <w:sz w:val="22"/>
          <w:szCs w:val="22"/>
        </w:rPr>
      </w:pPr>
      <w:r w:rsidRPr="002A73FB">
        <w:rPr>
          <w:rFonts w:ascii="Arial" w:hAnsi="Arial" w:cs="Arial"/>
          <w:b/>
          <w:bCs/>
          <w:sz w:val="22"/>
          <w:szCs w:val="22"/>
        </w:rPr>
        <w:t>Mental wellbeing</w:t>
      </w:r>
      <w:r w:rsidRPr="002A73FB">
        <w:rPr>
          <w:rFonts w:ascii="Arial" w:hAnsi="Arial" w:cs="Arial"/>
          <w:sz w:val="22"/>
          <w:szCs w:val="22"/>
        </w:rPr>
        <w:t xml:space="preserve"> is a central part of SDG 3. In the UK, mental health conditions such as anxiety and depression affect a large proportion of both young people and adults (Bell et al., 2019). Mental health is viewed as equally important as physical health, with both influencing outcomes such as educational attainment and overall wellbeing (Bell et al., 2019). Research on adolescents shows mixed evidence regarding links between physical activity and mental wellbeing (Bell et al., 2019). Poor mental health can negatively affect education, employment, relationships and quality of life (Yeboah et al., 2024).</w:t>
      </w:r>
    </w:p>
    <w:p w14:paraId="4E0810D1" w14:textId="77777777" w:rsidR="002A73FB" w:rsidRPr="002A73FB" w:rsidRDefault="002A73FB" w:rsidP="00F34487">
      <w:pPr>
        <w:pStyle w:val="NormalWeb"/>
        <w:spacing w:line="360" w:lineRule="auto"/>
        <w:jc w:val="both"/>
        <w:rPr>
          <w:rFonts w:ascii="Arial" w:hAnsi="Arial" w:cs="Arial"/>
          <w:sz w:val="22"/>
          <w:szCs w:val="22"/>
        </w:rPr>
      </w:pPr>
      <w:r w:rsidRPr="002A73FB">
        <w:rPr>
          <w:rFonts w:ascii="Arial" w:hAnsi="Arial" w:cs="Arial"/>
          <w:sz w:val="22"/>
          <w:szCs w:val="22"/>
        </w:rPr>
        <w:t xml:space="preserve">The NHS Long Term Plan prioritises expanding access to mental health services, including talking therapies, crisis support and community mental health teams (Mental Health Practice, 2019). Schools, employers and local authorities also promote mental health awareness and early intervention (Laurens et al., 2022). Despite these improvements, long waiting times for </w:t>
      </w:r>
      <w:r w:rsidRPr="002A73FB">
        <w:rPr>
          <w:rFonts w:ascii="Arial" w:hAnsi="Arial" w:cs="Arial"/>
          <w:sz w:val="22"/>
          <w:szCs w:val="22"/>
        </w:rPr>
        <w:lastRenderedPageBreak/>
        <w:t>specialist support remain common, indicating the need for greater investment in mental health services (Goldberg, 2008).</w:t>
      </w:r>
    </w:p>
    <w:p w14:paraId="06D7F00E" w14:textId="3A1B4C8C" w:rsidR="002A73FB" w:rsidRPr="00176BD2" w:rsidRDefault="002A73FB" w:rsidP="00F34487">
      <w:pPr>
        <w:pStyle w:val="NormalWeb"/>
        <w:spacing w:line="360" w:lineRule="auto"/>
        <w:jc w:val="both"/>
        <w:rPr>
          <w:rFonts w:ascii="Arial" w:hAnsi="Arial" w:cs="Arial"/>
          <w:sz w:val="22"/>
          <w:szCs w:val="22"/>
        </w:rPr>
      </w:pPr>
      <w:r w:rsidRPr="002A73FB">
        <w:rPr>
          <w:rFonts w:ascii="Arial" w:hAnsi="Arial" w:cs="Arial"/>
          <w:sz w:val="22"/>
          <w:szCs w:val="22"/>
        </w:rPr>
        <w:t>Overall, SDG 3 significantly influences the health and wellbeing of UK citizens (Macassa, 2021). By improving life expectancy, enhancing quality of life and supporting mental wellbeing, SDG 3 contributes to healthier communities and reduced health inequalities (Zábó et al., 2025). Continued investment in healthcare, disease prevention and mental health services will help the UK progress towards achieving SDG 3 by 2030 (Collaborators et al., 2018).</w:t>
      </w:r>
    </w:p>
    <w:p w14:paraId="6D6C5BBD" w14:textId="51D7D6F4" w:rsidR="000D132E" w:rsidRPr="00AD35B9" w:rsidRDefault="000D132E" w:rsidP="00AD35B9">
      <w:pPr>
        <w:pStyle w:val="Heading1"/>
        <w:numPr>
          <w:ilvl w:val="0"/>
          <w:numId w:val="7"/>
        </w:numPr>
        <w:rPr>
          <w:rFonts w:ascii="Arial" w:hAnsi="Arial" w:cs="Arial"/>
          <w:b/>
          <w:bCs/>
          <w:sz w:val="24"/>
          <w:szCs w:val="24"/>
        </w:rPr>
      </w:pPr>
      <w:bookmarkStart w:id="2" w:name="_Toc236405548"/>
      <w:r w:rsidRPr="00AD35B9">
        <w:rPr>
          <w:rFonts w:ascii="Arial" w:hAnsi="Arial" w:cs="Arial"/>
          <w:b/>
          <w:bCs/>
          <w:sz w:val="24"/>
          <w:szCs w:val="24"/>
        </w:rPr>
        <w:t>Sustainable Development Goal 6: Clean Water and Sanitation</w:t>
      </w:r>
      <w:bookmarkEnd w:id="2"/>
      <w:r w:rsidRPr="00AD35B9">
        <w:rPr>
          <w:rFonts w:ascii="Arial" w:hAnsi="Arial" w:cs="Arial"/>
          <w:b/>
          <w:bCs/>
          <w:sz w:val="24"/>
          <w:szCs w:val="24"/>
        </w:rPr>
        <w:t xml:space="preserve"> </w:t>
      </w:r>
    </w:p>
    <w:p w14:paraId="18CCB55A" w14:textId="77777777"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Sustainable Development Goal 6 (SDG 6) aims to ensure the availability and sustainable management of clean water and sanitation for all (Rajapakse et al., 2023). Safe drinking water and proper sanitation are essential for public health, disease prevention and quality of life (World Bank, 2003). Although the UK has one of the safest public water supplies globally, SDG 6 remains important for promoting sustainable water management, environmental protection and long-term access to clean water (Sadoff et al., 2020). Its targets include improving water quality, reducing pollution, increasing water-use efficiency, protecting water-related ecosystems and ensuring adequate sanitation and hygiene (WHO, 2019).</w:t>
      </w:r>
    </w:p>
    <w:p w14:paraId="0055FC7D" w14:textId="77777777"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A key objective of SDG 6 is access to safe drinking water. Clean water is vital for drinking, cooking, hygiene and food preparation (Jacob et al., 2021). Access reduces waterborne diseases and supports good health (Machado et al., 2022). In the UK, drinking water is treated and monitored to meet strict standards (Ander et al., 2016), with the Drinking Water Inspectorate regulating safety (Rink, 2025). Despite widespread access, challenges persist in protecting rivers, lakes and reservoirs from pollution caused by agriculture, industry and untreated sewage (Holden et al., 2017).</w:t>
      </w:r>
    </w:p>
    <w:p w14:paraId="7DC40320" w14:textId="77777777" w:rsidR="002A73FB" w:rsidRDefault="002A73FB" w:rsidP="00F34487">
      <w:pPr>
        <w:pStyle w:val="NormalWeb"/>
        <w:spacing w:line="360" w:lineRule="auto"/>
        <w:jc w:val="both"/>
        <w:rPr>
          <w:rStyle w:val="font-ligatures-none"/>
          <w:rFonts w:ascii="Arial" w:hAnsi="Arial" w:cs="Arial"/>
          <w:sz w:val="22"/>
          <w:szCs w:val="22"/>
        </w:rPr>
      </w:pPr>
      <w:r w:rsidRPr="002A73FB">
        <w:rPr>
          <w:rStyle w:val="font-ligatures-none"/>
          <w:rFonts w:ascii="Arial" w:hAnsi="Arial" w:cs="Arial"/>
          <w:sz w:val="22"/>
          <w:szCs w:val="22"/>
        </w:rPr>
        <w:t>Effective sanitation and hygiene are also central to SDG 6. Good sanitation prevents waste contamination and reduces infectious disease spread (Bhowmick et al., 2020). Modern UK sewage systems have greatly improved public health compared with past centuries, when poor sanitation contributed to outbreaks such as cholera (van Loosdrecht et al., 2104). The COVID-19 pandemic highlighted the importance of handwashing and clean water for preventing illness (Roshan et al., 2020). Continued investment in water and sewage infrastructure is essential for protecting health and the environment (Mohammed et al., 2025).</w:t>
      </w:r>
    </w:p>
    <w:p w14:paraId="1722CDA8" w14:textId="77777777" w:rsidR="00F34487" w:rsidRPr="002A73FB" w:rsidRDefault="00F34487" w:rsidP="00F34487">
      <w:pPr>
        <w:pStyle w:val="NormalWeb"/>
        <w:spacing w:line="360" w:lineRule="auto"/>
        <w:jc w:val="both"/>
        <w:rPr>
          <w:rFonts w:ascii="Arial" w:hAnsi="Arial" w:cs="Arial"/>
          <w:sz w:val="22"/>
          <w:szCs w:val="22"/>
        </w:rPr>
      </w:pPr>
    </w:p>
    <w:p w14:paraId="63B8D9E9" w14:textId="77777777"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lastRenderedPageBreak/>
        <w:t>SDG 6 further emphasises protecting water resources and promoting environmental sustainability (Wang et al., 2025). Rivers, lakes and wetlands support biodiversity, supply drinking water and contribute to recreation and mental wellbeing (Čerba et al., 2025). Concerns have increased about sewage discharges into English rivers and their impact on wildlife and water quality (Ford et al., 2025). Government bodies and water companies are working to improve wastewater treatment, reduce pollution and restore ecosystems (Ford et al., 2025). These actions support environmental protection and healthier communities by ensuring cleaner water and reducing public health risks (Ford et al., 2025).</w:t>
      </w:r>
    </w:p>
    <w:p w14:paraId="01C5AABF" w14:textId="14A027B6"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SDG 6 directly affects the health and wellbeing of UK citizens (Chirgwin et al., 2021). Clean water and reliable sanitation reduce infectious disease risk, support healthy lifestyles and improve quality of life (World Bank, 2003). Protecting water resources also benefits mental wellbeing by providing safe blue and green spaces (Bergou et al., 2022). Achieving SDG 6 requires ongoing investment, stronger environmental regulation and greater public awareness of water conservation (Aman et al., 2024). Sustainable water management and ecosystem protection will improve public health and help ensure clean water for future generations (Bowman et al., 2022).</w:t>
      </w:r>
    </w:p>
    <w:p w14:paraId="49CD220B" w14:textId="5A1088F3" w:rsidR="000D132E" w:rsidRPr="00AD35B9" w:rsidRDefault="000D132E" w:rsidP="00AD35B9">
      <w:pPr>
        <w:pStyle w:val="Heading1"/>
        <w:numPr>
          <w:ilvl w:val="0"/>
          <w:numId w:val="7"/>
        </w:numPr>
        <w:rPr>
          <w:rFonts w:ascii="Arial" w:hAnsi="Arial" w:cs="Arial"/>
          <w:b/>
          <w:bCs/>
          <w:sz w:val="24"/>
          <w:szCs w:val="24"/>
        </w:rPr>
      </w:pPr>
      <w:bookmarkStart w:id="3" w:name="_Toc236405549"/>
      <w:r w:rsidRPr="00AD35B9">
        <w:rPr>
          <w:rFonts w:ascii="Arial" w:hAnsi="Arial" w:cs="Arial"/>
          <w:b/>
          <w:bCs/>
          <w:sz w:val="24"/>
          <w:szCs w:val="24"/>
        </w:rPr>
        <w:t>National Wellbeing Initiatives</w:t>
      </w:r>
      <w:bookmarkEnd w:id="3"/>
      <w:r w:rsidRPr="00AD35B9">
        <w:rPr>
          <w:rFonts w:ascii="Arial" w:hAnsi="Arial" w:cs="Arial"/>
          <w:b/>
          <w:bCs/>
          <w:sz w:val="24"/>
          <w:szCs w:val="24"/>
        </w:rPr>
        <w:t xml:space="preserve"> </w:t>
      </w:r>
    </w:p>
    <w:p w14:paraId="36D78E8B" w14:textId="37B56C19"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The UK Government has introduced several national initiatives to improve health, wellbeing and reduce health inequalities</w:t>
      </w:r>
      <w:r>
        <w:rPr>
          <w:rStyle w:val="font-ligatures-none"/>
          <w:rFonts w:ascii="Arial" w:hAnsi="Arial" w:cs="Arial"/>
          <w:sz w:val="22"/>
          <w:szCs w:val="22"/>
        </w:rPr>
        <w:t xml:space="preserve"> (</w:t>
      </w:r>
      <w:r w:rsidRPr="002A73FB">
        <w:rPr>
          <w:rFonts w:ascii="Arial" w:hAnsi="Arial" w:cs="Arial"/>
          <w:sz w:val="22"/>
          <w:szCs w:val="22"/>
        </w:rPr>
        <w:t>Carey</w:t>
      </w:r>
      <w:r>
        <w:rPr>
          <w:rFonts w:ascii="Arial" w:hAnsi="Arial" w:cs="Arial"/>
          <w:sz w:val="22"/>
          <w:szCs w:val="22"/>
        </w:rPr>
        <w:t xml:space="preserve"> et al., 2014)</w:t>
      </w:r>
      <w:r w:rsidRPr="002A73FB">
        <w:rPr>
          <w:rStyle w:val="font-ligatures-none"/>
          <w:rFonts w:ascii="Arial" w:hAnsi="Arial" w:cs="Arial"/>
          <w:sz w:val="22"/>
          <w:szCs w:val="22"/>
        </w:rPr>
        <w:t xml:space="preserve">. Two major examples are the </w:t>
      </w:r>
      <w:r w:rsidRPr="002A73FB">
        <w:rPr>
          <w:rStyle w:val="Strong"/>
          <w:rFonts w:ascii="Arial" w:hAnsi="Arial" w:cs="Arial"/>
          <w:sz w:val="22"/>
          <w:szCs w:val="22"/>
        </w:rPr>
        <w:t>NHS Long Term Plan</w:t>
      </w:r>
      <w:r w:rsidRPr="002A73FB">
        <w:rPr>
          <w:rStyle w:val="font-ligatures-none"/>
          <w:rFonts w:ascii="Arial" w:hAnsi="Arial" w:cs="Arial"/>
          <w:sz w:val="22"/>
          <w:szCs w:val="22"/>
        </w:rPr>
        <w:t xml:space="preserve"> and the </w:t>
      </w:r>
      <w:r w:rsidRPr="002A73FB">
        <w:rPr>
          <w:rStyle w:val="Strong"/>
          <w:rFonts w:ascii="Arial" w:hAnsi="Arial" w:cs="Arial"/>
          <w:sz w:val="22"/>
          <w:szCs w:val="22"/>
        </w:rPr>
        <w:t>Better Health Campaign</w:t>
      </w:r>
      <w:r w:rsidRPr="002A73FB">
        <w:rPr>
          <w:rStyle w:val="font-ligatures-none"/>
          <w:rFonts w:ascii="Arial" w:hAnsi="Arial" w:cs="Arial"/>
          <w:sz w:val="22"/>
          <w:szCs w:val="22"/>
        </w:rPr>
        <w:t>, both supporting Sustainable Development Goal 3 by promoting healthier lifestyles, preventing disease and improving access to healthcare</w:t>
      </w:r>
      <w:r w:rsidR="0030606F">
        <w:rPr>
          <w:rStyle w:val="font-ligatures-none"/>
          <w:rFonts w:ascii="Arial" w:hAnsi="Arial" w:cs="Arial"/>
          <w:sz w:val="22"/>
          <w:szCs w:val="22"/>
        </w:rPr>
        <w:t xml:space="preserve"> (</w:t>
      </w:r>
      <w:r w:rsidR="0030606F" w:rsidRPr="0030606F">
        <w:rPr>
          <w:rFonts w:ascii="Arial" w:hAnsi="Arial" w:cs="Arial"/>
          <w:sz w:val="22"/>
          <w:szCs w:val="22"/>
        </w:rPr>
        <w:t>Evans, 2019)</w:t>
      </w:r>
      <w:r w:rsidR="0030606F">
        <w:rPr>
          <w:rFonts w:ascii="Arial" w:hAnsi="Arial" w:cs="Arial"/>
          <w:sz w:val="22"/>
          <w:szCs w:val="22"/>
        </w:rPr>
        <w:t>.</w:t>
      </w:r>
    </w:p>
    <w:p w14:paraId="068436DA" w14:textId="4F204F5B"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 xml:space="preserve">The </w:t>
      </w:r>
      <w:r w:rsidRPr="002A73FB">
        <w:rPr>
          <w:rStyle w:val="Strong"/>
          <w:rFonts w:ascii="Arial" w:hAnsi="Arial" w:cs="Arial"/>
          <w:sz w:val="22"/>
          <w:szCs w:val="22"/>
        </w:rPr>
        <w:t>NHS Long Term Plan</w:t>
      </w:r>
      <w:r w:rsidRPr="002A73FB">
        <w:rPr>
          <w:rStyle w:val="font-ligatures-none"/>
          <w:rFonts w:ascii="Arial" w:hAnsi="Arial" w:cs="Arial"/>
          <w:sz w:val="22"/>
          <w:szCs w:val="22"/>
        </w:rPr>
        <w:t xml:space="preserve"> (2019) is a 10</w:t>
      </w:r>
      <w:r w:rsidRPr="002A73FB">
        <w:rPr>
          <w:rStyle w:val="font-ligatures-none"/>
          <w:rFonts w:ascii="Arial" w:hAnsi="Arial" w:cs="Arial"/>
          <w:sz w:val="22"/>
          <w:szCs w:val="22"/>
        </w:rPr>
        <w:noBreakHyphen/>
        <w:t>year strategy to strengthen healthcare services across England</w:t>
      </w:r>
      <w:r w:rsidR="0030606F">
        <w:rPr>
          <w:rStyle w:val="font-ligatures-none"/>
          <w:rFonts w:ascii="Arial" w:hAnsi="Arial" w:cs="Arial"/>
          <w:sz w:val="22"/>
          <w:szCs w:val="22"/>
        </w:rPr>
        <w:t xml:space="preserve"> (</w:t>
      </w:r>
      <w:r w:rsidR="0030606F" w:rsidRPr="0030606F">
        <w:rPr>
          <w:rFonts w:ascii="Arial" w:hAnsi="Arial" w:cs="Arial"/>
          <w:sz w:val="22"/>
          <w:szCs w:val="22"/>
        </w:rPr>
        <w:t>Evans, 2019)</w:t>
      </w:r>
      <w:r w:rsidRPr="002A73FB">
        <w:rPr>
          <w:rStyle w:val="font-ligatures-none"/>
          <w:rFonts w:ascii="Arial" w:hAnsi="Arial" w:cs="Arial"/>
          <w:sz w:val="22"/>
          <w:szCs w:val="22"/>
        </w:rPr>
        <w:t>. It prioritises illness prevention, improved mental health support, expanded community care and greater use of digital technology</w:t>
      </w:r>
      <w:r w:rsidR="0030606F">
        <w:rPr>
          <w:rStyle w:val="font-ligatures-none"/>
          <w:rFonts w:ascii="Arial" w:hAnsi="Arial" w:cs="Arial"/>
          <w:sz w:val="22"/>
          <w:szCs w:val="22"/>
        </w:rPr>
        <w:t xml:space="preserve"> (</w:t>
      </w:r>
      <w:r w:rsidR="0030606F" w:rsidRPr="0030606F">
        <w:rPr>
          <w:rFonts w:ascii="Arial" w:hAnsi="Arial" w:cs="Arial"/>
          <w:sz w:val="22"/>
          <w:szCs w:val="22"/>
        </w:rPr>
        <w:t>Evans, 2019)</w:t>
      </w:r>
      <w:r w:rsidRPr="002A73FB">
        <w:rPr>
          <w:rStyle w:val="font-ligatures-none"/>
          <w:rFonts w:ascii="Arial" w:hAnsi="Arial" w:cs="Arial"/>
          <w:sz w:val="22"/>
          <w:szCs w:val="22"/>
        </w:rPr>
        <w:t>. A key focus is reducing preventable diseases such as heart disease, diabetes and cancer through early diagnosis and healthier living</w:t>
      </w:r>
      <w:r w:rsidR="0030606F">
        <w:rPr>
          <w:rStyle w:val="font-ligatures-none"/>
          <w:rFonts w:ascii="Arial" w:hAnsi="Arial" w:cs="Arial"/>
          <w:sz w:val="22"/>
          <w:szCs w:val="22"/>
        </w:rPr>
        <w:t xml:space="preserve"> (</w:t>
      </w:r>
      <w:r w:rsidR="0030606F" w:rsidRPr="0030606F">
        <w:rPr>
          <w:rFonts w:ascii="Arial" w:hAnsi="Arial" w:cs="Arial"/>
          <w:sz w:val="22"/>
          <w:szCs w:val="22"/>
        </w:rPr>
        <w:t>Iacobucci, 2019)</w:t>
      </w:r>
      <w:r w:rsidR="0030606F">
        <w:rPr>
          <w:rFonts w:ascii="Arial" w:hAnsi="Arial" w:cs="Arial"/>
          <w:sz w:val="22"/>
          <w:szCs w:val="22"/>
        </w:rPr>
        <w:t>.</w:t>
      </w:r>
      <w:r w:rsidRPr="002A73FB">
        <w:rPr>
          <w:rStyle w:val="font-ligatures-none"/>
          <w:rFonts w:ascii="Arial" w:hAnsi="Arial" w:cs="Arial"/>
          <w:sz w:val="22"/>
          <w:szCs w:val="22"/>
        </w:rPr>
        <w:t xml:space="preserve"> The plan also increases investment in mental health, including talking therapies, crisis services and children’s mental health care</w:t>
      </w:r>
      <w:r w:rsidR="0030606F">
        <w:rPr>
          <w:rStyle w:val="font-ligatures-none"/>
          <w:rFonts w:ascii="Arial" w:hAnsi="Arial" w:cs="Arial"/>
          <w:sz w:val="22"/>
          <w:szCs w:val="22"/>
        </w:rPr>
        <w:t xml:space="preserve"> (Tracy et al., 2021).</w:t>
      </w:r>
    </w:p>
    <w:p w14:paraId="19390032" w14:textId="77AEFE30"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The plan has improved access to healthcare for many people</w:t>
      </w:r>
      <w:r w:rsidR="0030606F">
        <w:rPr>
          <w:rStyle w:val="font-ligatures-none"/>
          <w:rFonts w:ascii="Arial" w:hAnsi="Arial" w:cs="Arial"/>
          <w:sz w:val="22"/>
          <w:szCs w:val="22"/>
        </w:rPr>
        <w:t xml:space="preserve"> (</w:t>
      </w:r>
      <w:r w:rsidR="0030606F" w:rsidRPr="0030606F">
        <w:rPr>
          <w:rFonts w:ascii="Arial" w:hAnsi="Arial" w:cs="Arial"/>
          <w:sz w:val="22"/>
          <w:szCs w:val="22"/>
        </w:rPr>
        <w:t>Evans, 2019)</w:t>
      </w:r>
      <w:r w:rsidRPr="002A73FB">
        <w:rPr>
          <w:rStyle w:val="font-ligatures-none"/>
          <w:rFonts w:ascii="Arial" w:hAnsi="Arial" w:cs="Arial"/>
          <w:sz w:val="22"/>
          <w:szCs w:val="22"/>
        </w:rPr>
        <w:t>. Cancer screening and NHS Health Checks have enabled earlier diagnosis, improving treatment outcomes</w:t>
      </w:r>
      <w:r w:rsidR="0030606F">
        <w:rPr>
          <w:rStyle w:val="font-ligatures-none"/>
          <w:rFonts w:ascii="Arial" w:hAnsi="Arial" w:cs="Arial"/>
          <w:sz w:val="22"/>
          <w:szCs w:val="22"/>
        </w:rPr>
        <w:t xml:space="preserve"> (</w:t>
      </w:r>
      <w:r w:rsidR="0030606F" w:rsidRPr="0030606F">
        <w:rPr>
          <w:rFonts w:ascii="Arial" w:hAnsi="Arial" w:cs="Arial"/>
          <w:sz w:val="22"/>
          <w:szCs w:val="22"/>
        </w:rPr>
        <w:t>Lee </w:t>
      </w:r>
      <w:r w:rsidR="0030606F" w:rsidRPr="0030606F">
        <w:rPr>
          <w:rFonts w:ascii="Arial" w:hAnsi="Arial" w:cs="Arial"/>
          <w:i/>
          <w:iCs/>
          <w:sz w:val="22"/>
          <w:szCs w:val="22"/>
        </w:rPr>
        <w:t>et al.</w:t>
      </w:r>
      <w:r w:rsidR="0030606F">
        <w:rPr>
          <w:rFonts w:ascii="Arial" w:hAnsi="Arial" w:cs="Arial"/>
          <w:sz w:val="22"/>
          <w:szCs w:val="22"/>
        </w:rPr>
        <w:t>, 2</w:t>
      </w:r>
      <w:r w:rsidR="0030606F" w:rsidRPr="0030606F">
        <w:rPr>
          <w:rFonts w:ascii="Arial" w:hAnsi="Arial" w:cs="Arial"/>
          <w:sz w:val="22"/>
          <w:szCs w:val="22"/>
        </w:rPr>
        <w:t>026)</w:t>
      </w:r>
      <w:r w:rsidR="0030606F">
        <w:rPr>
          <w:rFonts w:ascii="Arial" w:hAnsi="Arial" w:cs="Arial"/>
          <w:sz w:val="22"/>
          <w:szCs w:val="22"/>
        </w:rPr>
        <w:t>.</w:t>
      </w:r>
      <w:r w:rsidRPr="002A73FB">
        <w:rPr>
          <w:rStyle w:val="font-ligatures-none"/>
          <w:rFonts w:ascii="Arial" w:hAnsi="Arial" w:cs="Arial"/>
          <w:sz w:val="22"/>
          <w:szCs w:val="22"/>
        </w:rPr>
        <w:t xml:space="preserve"> Expanded mental health services have encouraged more people to seek support</w:t>
      </w:r>
      <w:r w:rsidR="00FD0F87">
        <w:rPr>
          <w:rStyle w:val="font-ligatures-none"/>
          <w:rFonts w:ascii="Arial" w:hAnsi="Arial" w:cs="Arial"/>
          <w:sz w:val="22"/>
          <w:szCs w:val="22"/>
        </w:rPr>
        <w:t xml:space="preserve"> (</w:t>
      </w:r>
      <w:r w:rsidR="00FD0F87" w:rsidRPr="00FD0F87">
        <w:rPr>
          <w:rFonts w:ascii="Arial" w:hAnsi="Arial" w:cs="Arial"/>
          <w:sz w:val="22"/>
          <w:szCs w:val="22"/>
        </w:rPr>
        <w:t>Pederson</w:t>
      </w:r>
      <w:r w:rsidR="00FD0F87">
        <w:rPr>
          <w:rFonts w:ascii="Arial" w:hAnsi="Arial" w:cs="Arial"/>
          <w:sz w:val="22"/>
          <w:szCs w:val="22"/>
        </w:rPr>
        <w:t xml:space="preserve"> </w:t>
      </w:r>
      <w:r w:rsidR="00FD0F87" w:rsidRPr="00FD0F87">
        <w:rPr>
          <w:rFonts w:ascii="Arial" w:hAnsi="Arial" w:cs="Arial"/>
          <w:i/>
          <w:iCs/>
          <w:sz w:val="22"/>
          <w:szCs w:val="22"/>
        </w:rPr>
        <w:t>et al.</w:t>
      </w:r>
      <w:r w:rsidR="00FD0F87">
        <w:rPr>
          <w:rFonts w:ascii="Arial" w:hAnsi="Arial" w:cs="Arial"/>
          <w:sz w:val="22"/>
          <w:szCs w:val="22"/>
        </w:rPr>
        <w:t xml:space="preserve">, </w:t>
      </w:r>
      <w:r w:rsidR="00FD0F87" w:rsidRPr="00FD0F87">
        <w:rPr>
          <w:rFonts w:ascii="Arial" w:hAnsi="Arial" w:cs="Arial"/>
          <w:sz w:val="22"/>
          <w:szCs w:val="22"/>
        </w:rPr>
        <w:t>2023)</w:t>
      </w:r>
      <w:r w:rsidR="00FD0F87">
        <w:rPr>
          <w:rFonts w:ascii="Arial" w:hAnsi="Arial" w:cs="Arial"/>
          <w:sz w:val="22"/>
          <w:szCs w:val="22"/>
        </w:rPr>
        <w:t>.</w:t>
      </w:r>
      <w:r w:rsidRPr="002A73FB">
        <w:rPr>
          <w:rStyle w:val="font-ligatures-none"/>
          <w:rFonts w:ascii="Arial" w:hAnsi="Arial" w:cs="Arial"/>
          <w:sz w:val="22"/>
          <w:szCs w:val="22"/>
        </w:rPr>
        <w:t xml:space="preserve"> However, staff shortages, long waiting lists and rising </w:t>
      </w:r>
      <w:r w:rsidRPr="002A73FB">
        <w:rPr>
          <w:rStyle w:val="font-ligatures-none"/>
          <w:rFonts w:ascii="Arial" w:hAnsi="Arial" w:cs="Arial"/>
          <w:sz w:val="22"/>
          <w:szCs w:val="22"/>
        </w:rPr>
        <w:lastRenderedPageBreak/>
        <w:t>demand continue to challenge the NHS, delaying treatment and disproportionately affecting disadvantaged communities</w:t>
      </w:r>
      <w:r w:rsidR="00FD0F87">
        <w:rPr>
          <w:rStyle w:val="font-ligatures-none"/>
          <w:rFonts w:ascii="Arial" w:hAnsi="Arial" w:cs="Arial"/>
          <w:sz w:val="22"/>
          <w:szCs w:val="22"/>
        </w:rPr>
        <w:t xml:space="preserve"> (</w:t>
      </w:r>
      <w:r w:rsidR="00FD0F87" w:rsidRPr="00FD0F87">
        <w:rPr>
          <w:rFonts w:ascii="Arial" w:hAnsi="Arial" w:cs="Arial"/>
          <w:sz w:val="22"/>
          <w:szCs w:val="22"/>
        </w:rPr>
        <w:t>Khan, 2023)</w:t>
      </w:r>
      <w:r w:rsidR="00FD0F87">
        <w:rPr>
          <w:rFonts w:ascii="Arial" w:hAnsi="Arial" w:cs="Arial"/>
          <w:sz w:val="22"/>
          <w:szCs w:val="22"/>
        </w:rPr>
        <w:t>.</w:t>
      </w:r>
    </w:p>
    <w:p w14:paraId="3AC93E14" w14:textId="7B29B0F7"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 xml:space="preserve">The </w:t>
      </w:r>
      <w:r w:rsidRPr="002A73FB">
        <w:rPr>
          <w:rStyle w:val="Strong"/>
          <w:rFonts w:ascii="Arial" w:hAnsi="Arial" w:cs="Arial"/>
          <w:sz w:val="22"/>
          <w:szCs w:val="22"/>
        </w:rPr>
        <w:t>Better Health Campaign</w:t>
      </w:r>
      <w:r w:rsidRPr="002A73FB">
        <w:rPr>
          <w:rStyle w:val="font-ligatures-none"/>
          <w:rFonts w:ascii="Arial" w:hAnsi="Arial" w:cs="Arial"/>
          <w:sz w:val="22"/>
          <w:szCs w:val="22"/>
        </w:rPr>
        <w:t xml:space="preserve"> encourages healthier lifestyles by offering guidance on healthy eating, physical activity, weight management, smoking cessation and reducing alcohol intake</w:t>
      </w:r>
      <w:r w:rsidR="00FD0F87">
        <w:rPr>
          <w:rStyle w:val="font-ligatures-none"/>
          <w:rFonts w:ascii="Arial" w:hAnsi="Arial" w:cs="Arial"/>
          <w:sz w:val="22"/>
          <w:szCs w:val="22"/>
        </w:rPr>
        <w:t xml:space="preserve"> (</w:t>
      </w:r>
      <w:r w:rsidR="00FD0F87" w:rsidRPr="00FD0F87">
        <w:rPr>
          <w:rFonts w:ascii="Arial" w:hAnsi="Arial" w:cs="Arial"/>
          <w:sz w:val="22"/>
          <w:szCs w:val="22"/>
        </w:rPr>
        <w:t>Schuette</w:t>
      </w:r>
      <w:r w:rsidR="00FD0F87" w:rsidRPr="00FD0F87">
        <w:rPr>
          <w:rFonts w:ascii="Arial" w:hAnsi="Arial" w:cs="Arial"/>
          <w:i/>
          <w:iCs/>
          <w:sz w:val="22"/>
          <w:szCs w:val="22"/>
        </w:rPr>
        <w:t xml:space="preserve"> et al.</w:t>
      </w:r>
      <w:r w:rsidR="00FD0F87">
        <w:rPr>
          <w:rFonts w:ascii="Arial" w:hAnsi="Arial" w:cs="Arial"/>
          <w:sz w:val="22"/>
          <w:szCs w:val="22"/>
        </w:rPr>
        <w:t xml:space="preserve">, </w:t>
      </w:r>
      <w:r w:rsidR="00FD0F87" w:rsidRPr="00FD0F87">
        <w:rPr>
          <w:rFonts w:ascii="Arial" w:hAnsi="Arial" w:cs="Arial"/>
          <w:sz w:val="22"/>
          <w:szCs w:val="22"/>
        </w:rPr>
        <w:t>2019</w:t>
      </w:r>
      <w:r w:rsidR="00FD0F87">
        <w:rPr>
          <w:rFonts w:ascii="Arial" w:hAnsi="Arial" w:cs="Arial"/>
          <w:sz w:val="22"/>
          <w:szCs w:val="22"/>
        </w:rPr>
        <w:t>).</w:t>
      </w:r>
      <w:r w:rsidRPr="002A73FB">
        <w:rPr>
          <w:rStyle w:val="font-ligatures-none"/>
          <w:rFonts w:ascii="Arial" w:hAnsi="Arial" w:cs="Arial"/>
          <w:sz w:val="22"/>
          <w:szCs w:val="22"/>
        </w:rPr>
        <w:t xml:space="preserve"> It provides free digital tools such as the NHS Weight Loss Plan and the NHS Active 10 app to support behaviour change</w:t>
      </w:r>
      <w:r w:rsidR="00FD0F87">
        <w:rPr>
          <w:rStyle w:val="font-ligatures-none"/>
          <w:rFonts w:ascii="Arial" w:hAnsi="Arial" w:cs="Arial"/>
          <w:sz w:val="22"/>
          <w:szCs w:val="22"/>
        </w:rPr>
        <w:t xml:space="preserve"> (</w:t>
      </w:r>
      <w:r w:rsidR="00FD0F87" w:rsidRPr="00FD0F87">
        <w:rPr>
          <w:rFonts w:ascii="Arial" w:hAnsi="Arial" w:cs="Arial"/>
          <w:sz w:val="22"/>
          <w:szCs w:val="22"/>
        </w:rPr>
        <w:t>Noreik</w:t>
      </w:r>
      <w:r w:rsidR="00FD0F87">
        <w:rPr>
          <w:rFonts w:ascii="Arial" w:hAnsi="Arial" w:cs="Arial"/>
          <w:sz w:val="22"/>
          <w:szCs w:val="22"/>
        </w:rPr>
        <w:t xml:space="preserve"> </w:t>
      </w:r>
      <w:r w:rsidR="00FD0F87" w:rsidRPr="00FD0F87">
        <w:rPr>
          <w:rFonts w:ascii="Arial" w:hAnsi="Arial" w:cs="Arial"/>
          <w:i/>
          <w:iCs/>
          <w:sz w:val="22"/>
          <w:szCs w:val="22"/>
        </w:rPr>
        <w:t>et al.</w:t>
      </w:r>
      <w:r w:rsidR="00FD0F87">
        <w:rPr>
          <w:rFonts w:ascii="Arial" w:hAnsi="Arial" w:cs="Arial"/>
          <w:sz w:val="22"/>
          <w:szCs w:val="22"/>
        </w:rPr>
        <w:t xml:space="preserve">, </w:t>
      </w:r>
      <w:r w:rsidR="00FD0F87" w:rsidRPr="00FD0F87">
        <w:rPr>
          <w:rFonts w:ascii="Arial" w:hAnsi="Arial" w:cs="Arial"/>
          <w:sz w:val="22"/>
          <w:szCs w:val="22"/>
        </w:rPr>
        <w:t>2021)</w:t>
      </w:r>
      <w:r w:rsidR="00FD0F87">
        <w:rPr>
          <w:rFonts w:ascii="Arial" w:hAnsi="Arial" w:cs="Arial"/>
          <w:sz w:val="22"/>
          <w:szCs w:val="22"/>
        </w:rPr>
        <w:t>.</w:t>
      </w:r>
      <w:r w:rsidRPr="002A73FB">
        <w:rPr>
          <w:rStyle w:val="font-ligatures-none"/>
          <w:rFonts w:ascii="Arial" w:hAnsi="Arial" w:cs="Arial"/>
          <w:sz w:val="22"/>
          <w:szCs w:val="22"/>
        </w:rPr>
        <w:t xml:space="preserve"> By promoting healthier habits, the campaign aims to reduce obesity, lower chronic disease risk and improve wellbeing</w:t>
      </w:r>
      <w:r w:rsidR="00FD0F87">
        <w:rPr>
          <w:rStyle w:val="font-ligatures-none"/>
          <w:rFonts w:ascii="Arial" w:hAnsi="Arial" w:cs="Arial"/>
          <w:sz w:val="22"/>
          <w:szCs w:val="22"/>
        </w:rPr>
        <w:t xml:space="preserve"> (</w:t>
      </w:r>
      <w:r w:rsidR="00FD0F87" w:rsidRPr="00FD0F87">
        <w:rPr>
          <w:rFonts w:ascii="Arial" w:hAnsi="Arial" w:cs="Arial"/>
          <w:sz w:val="22"/>
          <w:szCs w:val="22"/>
        </w:rPr>
        <w:t>Noreik</w:t>
      </w:r>
      <w:r w:rsidR="00FD0F87">
        <w:rPr>
          <w:rFonts w:ascii="Arial" w:hAnsi="Arial" w:cs="Arial"/>
          <w:sz w:val="22"/>
          <w:szCs w:val="22"/>
        </w:rPr>
        <w:t xml:space="preserve"> </w:t>
      </w:r>
      <w:r w:rsidR="00FD0F87" w:rsidRPr="00FD0F87">
        <w:rPr>
          <w:rFonts w:ascii="Arial" w:hAnsi="Arial" w:cs="Arial"/>
          <w:i/>
          <w:iCs/>
          <w:sz w:val="22"/>
          <w:szCs w:val="22"/>
        </w:rPr>
        <w:t>et al.</w:t>
      </w:r>
      <w:r w:rsidR="00FD0F87">
        <w:rPr>
          <w:rFonts w:ascii="Arial" w:hAnsi="Arial" w:cs="Arial"/>
          <w:sz w:val="22"/>
          <w:szCs w:val="22"/>
        </w:rPr>
        <w:t xml:space="preserve">, </w:t>
      </w:r>
      <w:r w:rsidR="00FD0F87" w:rsidRPr="00FD0F87">
        <w:rPr>
          <w:rFonts w:ascii="Arial" w:hAnsi="Arial" w:cs="Arial"/>
          <w:sz w:val="22"/>
          <w:szCs w:val="22"/>
        </w:rPr>
        <w:t>2021)</w:t>
      </w:r>
      <w:r w:rsidR="00FD0F87">
        <w:rPr>
          <w:rFonts w:ascii="Arial" w:hAnsi="Arial" w:cs="Arial"/>
          <w:sz w:val="22"/>
          <w:szCs w:val="22"/>
        </w:rPr>
        <w:t>.</w:t>
      </w:r>
    </w:p>
    <w:p w14:paraId="555F5CC8" w14:textId="49D4DEC3"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The campaign has increased public awareness and motivated many people to improve their diet and activity levels</w:t>
      </w:r>
      <w:r w:rsidR="00FD0F87">
        <w:rPr>
          <w:rStyle w:val="font-ligatures-none"/>
          <w:rFonts w:ascii="Arial" w:hAnsi="Arial" w:cs="Arial"/>
          <w:sz w:val="22"/>
          <w:szCs w:val="22"/>
        </w:rPr>
        <w:t xml:space="preserve"> (</w:t>
      </w:r>
      <w:r w:rsidR="00FD0F87" w:rsidRPr="00FD0F87">
        <w:rPr>
          <w:rFonts w:ascii="Arial" w:hAnsi="Arial" w:cs="Arial"/>
          <w:sz w:val="22"/>
          <w:szCs w:val="22"/>
        </w:rPr>
        <w:t>Ball,</w:t>
      </w:r>
      <w:r w:rsidR="00FD0F87">
        <w:rPr>
          <w:rFonts w:ascii="Arial" w:hAnsi="Arial" w:cs="Arial"/>
          <w:sz w:val="22"/>
          <w:szCs w:val="22"/>
        </w:rPr>
        <w:t xml:space="preserve"> </w:t>
      </w:r>
      <w:r w:rsidR="00FD0F87" w:rsidRPr="00FD0F87">
        <w:rPr>
          <w:rFonts w:ascii="Arial" w:hAnsi="Arial" w:cs="Arial"/>
          <w:sz w:val="22"/>
          <w:szCs w:val="22"/>
        </w:rPr>
        <w:t>2015)</w:t>
      </w:r>
      <w:r w:rsidR="00FD0F87">
        <w:rPr>
          <w:rFonts w:ascii="Arial" w:hAnsi="Arial" w:cs="Arial"/>
          <w:sz w:val="22"/>
          <w:szCs w:val="22"/>
        </w:rPr>
        <w:t>.</w:t>
      </w:r>
      <w:r w:rsidRPr="002A73FB">
        <w:rPr>
          <w:rStyle w:val="font-ligatures-none"/>
          <w:rFonts w:ascii="Arial" w:hAnsi="Arial" w:cs="Arial"/>
          <w:sz w:val="22"/>
          <w:szCs w:val="22"/>
        </w:rPr>
        <w:t xml:space="preserve"> However, its impact is limited by unequal access to healthy food, safe exercise spaces and reliable health information</w:t>
      </w:r>
      <w:r w:rsidR="00FD0F87">
        <w:rPr>
          <w:rStyle w:val="font-ligatures-none"/>
          <w:rFonts w:ascii="Arial" w:hAnsi="Arial" w:cs="Arial"/>
          <w:sz w:val="22"/>
          <w:szCs w:val="22"/>
        </w:rPr>
        <w:t xml:space="preserve"> (</w:t>
      </w:r>
      <w:r w:rsidR="00FD0F87" w:rsidRPr="00FD0F87">
        <w:rPr>
          <w:rFonts w:ascii="Arial" w:hAnsi="Arial" w:cs="Arial"/>
          <w:sz w:val="22"/>
          <w:szCs w:val="22"/>
        </w:rPr>
        <w:t>Ball, 2015)</w:t>
      </w:r>
      <w:r w:rsidRPr="002A73FB">
        <w:rPr>
          <w:rStyle w:val="font-ligatures-none"/>
          <w:rFonts w:ascii="Arial" w:hAnsi="Arial" w:cs="Arial"/>
          <w:sz w:val="22"/>
          <w:szCs w:val="22"/>
        </w:rPr>
        <w:t>. People in deprived areas often face financial and social barriers that make lifestyle changes harder</w:t>
      </w:r>
      <w:r w:rsidR="00EE314D">
        <w:rPr>
          <w:rStyle w:val="font-ligatures-none"/>
          <w:rFonts w:ascii="Arial" w:hAnsi="Arial" w:cs="Arial"/>
          <w:sz w:val="22"/>
          <w:szCs w:val="22"/>
        </w:rPr>
        <w:t xml:space="preserve"> (</w:t>
      </w:r>
      <w:r w:rsidR="00EE314D" w:rsidRPr="00EE314D">
        <w:rPr>
          <w:rFonts w:ascii="Arial" w:hAnsi="Arial" w:cs="Arial"/>
          <w:sz w:val="22"/>
          <w:szCs w:val="22"/>
        </w:rPr>
        <w:t>Woolf</w:t>
      </w:r>
      <w:r w:rsidR="00EE314D">
        <w:rPr>
          <w:rFonts w:ascii="Arial" w:hAnsi="Arial" w:cs="Arial"/>
          <w:sz w:val="22"/>
          <w:szCs w:val="22"/>
        </w:rPr>
        <w:t xml:space="preserve"> et al., 2011).</w:t>
      </w:r>
    </w:p>
    <w:p w14:paraId="23CAF2DC" w14:textId="28B62217" w:rsidR="002A73FB" w:rsidRPr="002A73FB" w:rsidRDefault="002A73FB" w:rsidP="00F34487">
      <w:pPr>
        <w:pStyle w:val="NormalWeb"/>
        <w:spacing w:line="360" w:lineRule="auto"/>
        <w:jc w:val="both"/>
        <w:rPr>
          <w:rFonts w:ascii="Arial" w:hAnsi="Arial" w:cs="Arial"/>
          <w:sz w:val="22"/>
          <w:szCs w:val="22"/>
        </w:rPr>
      </w:pPr>
      <w:r w:rsidRPr="002A73FB">
        <w:rPr>
          <w:rStyle w:val="font-ligatures-none"/>
          <w:rFonts w:ascii="Arial" w:hAnsi="Arial" w:cs="Arial"/>
          <w:sz w:val="22"/>
          <w:szCs w:val="22"/>
        </w:rPr>
        <w:t>Overall, both initiatives contribute positively to improving health and wellbeing in the UK. Further progress requires continued investment in the NHS workforce to reduce waiting times and improve access to care</w:t>
      </w:r>
      <w:r w:rsidR="00EE314D">
        <w:rPr>
          <w:rStyle w:val="font-ligatures-none"/>
          <w:rFonts w:ascii="Arial" w:hAnsi="Arial" w:cs="Arial"/>
          <w:sz w:val="22"/>
          <w:szCs w:val="22"/>
        </w:rPr>
        <w:t xml:space="preserve"> (</w:t>
      </w:r>
      <w:r w:rsidR="00EE314D" w:rsidRPr="00EE314D">
        <w:rPr>
          <w:rFonts w:ascii="Arial" w:hAnsi="Arial" w:cs="Arial"/>
          <w:sz w:val="22"/>
          <w:szCs w:val="22"/>
        </w:rPr>
        <w:t>Azad, 2026)</w:t>
      </w:r>
      <w:r w:rsidR="00EE314D">
        <w:rPr>
          <w:rFonts w:ascii="Arial" w:hAnsi="Arial" w:cs="Arial"/>
          <w:sz w:val="22"/>
          <w:szCs w:val="22"/>
        </w:rPr>
        <w:t xml:space="preserve">. </w:t>
      </w:r>
      <w:r w:rsidRPr="002A73FB">
        <w:rPr>
          <w:rStyle w:val="font-ligatures-none"/>
          <w:rFonts w:ascii="Arial" w:hAnsi="Arial" w:cs="Arial"/>
          <w:sz w:val="22"/>
          <w:szCs w:val="22"/>
        </w:rPr>
        <w:t xml:space="preserve">Public health campaigns should also work </w:t>
      </w:r>
      <w:r w:rsidRPr="00EE314D">
        <w:rPr>
          <w:rStyle w:val="font-ligatures-none"/>
          <w:rFonts w:ascii="Arial" w:hAnsi="Arial" w:cs="Arial"/>
          <w:sz w:val="22"/>
          <w:szCs w:val="22"/>
        </w:rPr>
        <w:t>more closely with local councils, schools and community organisations to reach disadvantaged groups</w:t>
      </w:r>
      <w:r w:rsidR="00EE314D" w:rsidRPr="00EE314D">
        <w:rPr>
          <w:rStyle w:val="font-ligatures-none"/>
          <w:rFonts w:ascii="Arial" w:hAnsi="Arial" w:cs="Arial"/>
          <w:sz w:val="22"/>
          <w:szCs w:val="22"/>
        </w:rPr>
        <w:t xml:space="preserve"> (</w:t>
      </w:r>
      <w:r w:rsidR="00EE314D" w:rsidRPr="00EE314D">
        <w:rPr>
          <w:rFonts w:ascii="Arial" w:hAnsi="Arial" w:cs="Arial"/>
          <w:sz w:val="22"/>
          <w:szCs w:val="22"/>
        </w:rPr>
        <w:t xml:space="preserve">Clark </w:t>
      </w:r>
      <w:r w:rsidR="00EE314D" w:rsidRPr="00EE314D">
        <w:rPr>
          <w:rFonts w:ascii="Arial" w:hAnsi="Arial" w:cs="Arial"/>
          <w:i/>
          <w:iCs/>
          <w:sz w:val="22"/>
          <w:szCs w:val="22"/>
        </w:rPr>
        <w:t>et al.</w:t>
      </w:r>
      <w:r w:rsidR="00EE314D" w:rsidRPr="00EE314D">
        <w:rPr>
          <w:rFonts w:ascii="Arial" w:hAnsi="Arial" w:cs="Arial"/>
          <w:sz w:val="22"/>
          <w:szCs w:val="22"/>
        </w:rPr>
        <w:t>, 2024)</w:t>
      </w:r>
      <w:r w:rsidRPr="00EE314D">
        <w:rPr>
          <w:rStyle w:val="font-ligatures-none"/>
          <w:rFonts w:ascii="Arial" w:hAnsi="Arial" w:cs="Arial"/>
          <w:sz w:val="22"/>
          <w:szCs w:val="22"/>
        </w:rPr>
        <w:t>. Strengthening prevention programmes and addressing wider social determinants—poverty, housing and education—will help reduce health inequalities and support the achievement of Sustainable Development Goal 3</w:t>
      </w:r>
      <w:r w:rsidR="00EE314D" w:rsidRPr="00EE314D">
        <w:rPr>
          <w:rStyle w:val="font-ligatures-none"/>
          <w:rFonts w:ascii="Arial" w:hAnsi="Arial" w:cs="Arial"/>
          <w:sz w:val="22"/>
          <w:szCs w:val="22"/>
        </w:rPr>
        <w:t xml:space="preserve"> (</w:t>
      </w:r>
      <w:r w:rsidR="00EE314D" w:rsidRPr="00EE314D">
        <w:rPr>
          <w:rFonts w:ascii="Arial" w:hAnsi="Arial" w:cs="Arial"/>
          <w:sz w:val="22"/>
          <w:szCs w:val="22"/>
        </w:rPr>
        <w:t>Lakioti, et al., 2025).</w:t>
      </w:r>
    </w:p>
    <w:p w14:paraId="1F0F76BC" w14:textId="166433EB" w:rsidR="000D132E" w:rsidRPr="00AD35B9" w:rsidRDefault="000D132E" w:rsidP="00AD35B9">
      <w:pPr>
        <w:pStyle w:val="Heading1"/>
        <w:numPr>
          <w:ilvl w:val="0"/>
          <w:numId w:val="7"/>
        </w:numPr>
        <w:rPr>
          <w:rFonts w:ascii="Arial" w:hAnsi="Arial" w:cs="Arial"/>
          <w:b/>
          <w:bCs/>
          <w:sz w:val="24"/>
          <w:szCs w:val="24"/>
        </w:rPr>
      </w:pPr>
      <w:bookmarkStart w:id="4" w:name="_Toc236405550"/>
      <w:r w:rsidRPr="00AD35B9">
        <w:rPr>
          <w:rFonts w:ascii="Arial" w:hAnsi="Arial" w:cs="Arial"/>
          <w:b/>
          <w:bCs/>
          <w:sz w:val="24"/>
          <w:szCs w:val="24"/>
        </w:rPr>
        <w:t>Local Wellbeing Initiatives</w:t>
      </w:r>
      <w:bookmarkEnd w:id="4"/>
      <w:r w:rsidRPr="00AD35B9">
        <w:rPr>
          <w:rFonts w:ascii="Arial" w:hAnsi="Arial" w:cs="Arial"/>
          <w:b/>
          <w:bCs/>
          <w:sz w:val="24"/>
          <w:szCs w:val="24"/>
        </w:rPr>
        <w:t xml:space="preserve"> </w:t>
      </w:r>
    </w:p>
    <w:p w14:paraId="330179D2" w14:textId="575D5B58" w:rsidR="002A73FB" w:rsidRPr="00AD35B9" w:rsidRDefault="002A73FB" w:rsidP="00F34487">
      <w:pPr>
        <w:pStyle w:val="NormalWeb"/>
        <w:spacing w:line="360" w:lineRule="auto"/>
        <w:jc w:val="both"/>
        <w:rPr>
          <w:rFonts w:ascii="Arial" w:hAnsi="Arial" w:cs="Arial"/>
          <w:sz w:val="22"/>
          <w:szCs w:val="22"/>
        </w:rPr>
      </w:pPr>
      <w:r w:rsidRPr="00AD35B9">
        <w:rPr>
          <w:rStyle w:val="font-ligatures-none"/>
          <w:rFonts w:ascii="Arial" w:hAnsi="Arial" w:cs="Arial"/>
          <w:sz w:val="22"/>
          <w:szCs w:val="22"/>
        </w:rPr>
        <w:t>Local authorities play a key role in improving health and wellbeing by delivering services tailored to community needs</w:t>
      </w:r>
      <w:r w:rsidR="006B29FA" w:rsidRPr="00AD35B9">
        <w:rPr>
          <w:rStyle w:val="font-ligatures-none"/>
          <w:rFonts w:ascii="Arial" w:hAnsi="Arial" w:cs="Arial"/>
          <w:sz w:val="22"/>
          <w:szCs w:val="22"/>
        </w:rPr>
        <w:t xml:space="preserve"> (</w:t>
      </w:r>
      <w:r w:rsidR="006B29FA" w:rsidRPr="00AD35B9">
        <w:rPr>
          <w:rFonts w:ascii="Arial" w:hAnsi="Arial" w:cs="Arial"/>
          <w:sz w:val="22"/>
          <w:szCs w:val="22"/>
        </w:rPr>
        <w:t xml:space="preserve">Tompson </w:t>
      </w:r>
      <w:r w:rsidR="006B29FA" w:rsidRPr="00AD35B9">
        <w:rPr>
          <w:rFonts w:ascii="Arial" w:hAnsi="Arial" w:cs="Arial"/>
          <w:i/>
          <w:iCs/>
          <w:sz w:val="22"/>
          <w:szCs w:val="22"/>
        </w:rPr>
        <w:t>et al.</w:t>
      </w:r>
      <w:r w:rsidR="006B29FA" w:rsidRPr="00AD35B9">
        <w:rPr>
          <w:rFonts w:ascii="Arial" w:hAnsi="Arial" w:cs="Arial"/>
          <w:sz w:val="22"/>
          <w:szCs w:val="22"/>
        </w:rPr>
        <w:t>, 2024).</w:t>
      </w:r>
      <w:r w:rsidRPr="00AD35B9">
        <w:rPr>
          <w:rStyle w:val="font-ligatures-none"/>
          <w:rFonts w:ascii="Arial" w:hAnsi="Arial" w:cs="Arial"/>
          <w:sz w:val="22"/>
          <w:szCs w:val="22"/>
        </w:rPr>
        <w:t xml:space="preserve"> In the London Borough of Barking and Dagenham, initiatives such as the </w:t>
      </w:r>
      <w:r w:rsidRPr="00AD35B9">
        <w:rPr>
          <w:rStyle w:val="Strong"/>
          <w:rFonts w:ascii="Arial" w:hAnsi="Arial" w:cs="Arial"/>
          <w:sz w:val="22"/>
          <w:szCs w:val="22"/>
        </w:rPr>
        <w:t>Healthy Weight Programme</w:t>
      </w:r>
      <w:r w:rsidRPr="00AD35B9">
        <w:rPr>
          <w:rStyle w:val="font-ligatures-none"/>
          <w:rFonts w:ascii="Arial" w:hAnsi="Arial" w:cs="Arial"/>
          <w:sz w:val="22"/>
          <w:szCs w:val="22"/>
        </w:rPr>
        <w:t xml:space="preserve"> and the </w:t>
      </w:r>
      <w:r w:rsidRPr="00AD35B9">
        <w:rPr>
          <w:rStyle w:val="Strong"/>
          <w:rFonts w:ascii="Arial" w:hAnsi="Arial" w:cs="Arial"/>
          <w:sz w:val="22"/>
          <w:szCs w:val="22"/>
        </w:rPr>
        <w:t>Community Health Champions Programme</w:t>
      </w:r>
      <w:r w:rsidRPr="00AD35B9">
        <w:rPr>
          <w:rStyle w:val="font-ligatures-none"/>
          <w:rFonts w:ascii="Arial" w:hAnsi="Arial" w:cs="Arial"/>
          <w:sz w:val="22"/>
          <w:szCs w:val="22"/>
        </w:rPr>
        <w:t xml:space="preserve"> support Sustainable Development Goals 3 and 6 by promoting healthier lifestyles, improving mental wellbeing and reducing health inequalities</w:t>
      </w:r>
      <w:r w:rsidR="00D66369" w:rsidRPr="00AD35B9">
        <w:rPr>
          <w:rStyle w:val="font-ligatures-none"/>
          <w:rFonts w:ascii="Arial" w:hAnsi="Arial" w:cs="Arial"/>
          <w:sz w:val="22"/>
          <w:szCs w:val="22"/>
        </w:rPr>
        <w:t xml:space="preserve"> (</w:t>
      </w:r>
      <w:r w:rsidR="00D66369" w:rsidRPr="00AD35B9">
        <w:rPr>
          <w:rFonts w:ascii="Arial" w:hAnsi="Arial" w:cs="Arial"/>
          <w:sz w:val="22"/>
          <w:szCs w:val="22"/>
        </w:rPr>
        <w:t>Asmar et al., 2024)</w:t>
      </w:r>
    </w:p>
    <w:p w14:paraId="5AAB35AB" w14:textId="063DD639" w:rsidR="002A73FB" w:rsidRPr="00AD35B9" w:rsidRDefault="002A73FB" w:rsidP="00F34487">
      <w:pPr>
        <w:pStyle w:val="NormalWeb"/>
        <w:spacing w:line="360" w:lineRule="auto"/>
        <w:jc w:val="both"/>
        <w:rPr>
          <w:rFonts w:ascii="Arial" w:hAnsi="Arial" w:cs="Arial"/>
          <w:sz w:val="22"/>
          <w:szCs w:val="22"/>
        </w:rPr>
      </w:pPr>
      <w:r w:rsidRPr="00AD35B9">
        <w:rPr>
          <w:rStyle w:val="font-ligatures-none"/>
          <w:rFonts w:ascii="Arial" w:hAnsi="Arial" w:cs="Arial"/>
          <w:sz w:val="22"/>
          <w:szCs w:val="22"/>
        </w:rPr>
        <w:t xml:space="preserve">The </w:t>
      </w:r>
      <w:r w:rsidRPr="00AD35B9">
        <w:rPr>
          <w:rStyle w:val="Strong"/>
          <w:rFonts w:ascii="Arial" w:hAnsi="Arial" w:cs="Arial"/>
          <w:sz w:val="22"/>
          <w:szCs w:val="22"/>
        </w:rPr>
        <w:t>Healthy Weight Programme</w:t>
      </w:r>
      <w:r w:rsidRPr="00AD35B9">
        <w:rPr>
          <w:rStyle w:val="font-ligatures-none"/>
          <w:rFonts w:ascii="Arial" w:hAnsi="Arial" w:cs="Arial"/>
          <w:sz w:val="22"/>
          <w:szCs w:val="22"/>
        </w:rPr>
        <w:t xml:space="preserve"> aims to reduce obesity and encourage healthier living. It offers free support for children, young people and adults through healthy eating advice, weight</w:t>
      </w:r>
      <w:r w:rsidRPr="00AD35B9">
        <w:rPr>
          <w:rStyle w:val="font-ligatures-none"/>
          <w:rFonts w:ascii="Arial" w:hAnsi="Arial" w:cs="Arial"/>
          <w:sz w:val="22"/>
          <w:szCs w:val="22"/>
        </w:rPr>
        <w:noBreakHyphen/>
        <w:t>management sessions, physical activity classes and nutritional education</w:t>
      </w:r>
      <w:r w:rsidR="00D66369" w:rsidRPr="00AD35B9">
        <w:rPr>
          <w:rStyle w:val="font-ligatures-none"/>
          <w:rFonts w:ascii="Arial" w:hAnsi="Arial" w:cs="Arial"/>
          <w:sz w:val="22"/>
          <w:szCs w:val="22"/>
        </w:rPr>
        <w:t xml:space="preserve"> (</w:t>
      </w:r>
      <w:r w:rsidR="00D66369" w:rsidRPr="00AD35B9">
        <w:rPr>
          <w:rFonts w:ascii="Arial" w:hAnsi="Arial" w:cs="Arial"/>
          <w:sz w:val="22"/>
          <w:szCs w:val="22"/>
        </w:rPr>
        <w:t>Kozica</w:t>
      </w:r>
      <w:r w:rsidR="00D66369" w:rsidRPr="00AD35B9">
        <w:rPr>
          <w:rStyle w:val="font-ligatures-none"/>
          <w:rFonts w:ascii="Arial" w:hAnsi="Arial" w:cs="Arial"/>
          <w:sz w:val="22"/>
          <w:szCs w:val="22"/>
        </w:rPr>
        <w:t xml:space="preserve"> et al., 2016). </w:t>
      </w:r>
      <w:r w:rsidRPr="00AD35B9">
        <w:rPr>
          <w:rStyle w:val="font-ligatures-none"/>
          <w:rFonts w:ascii="Arial" w:hAnsi="Arial" w:cs="Arial"/>
          <w:sz w:val="22"/>
          <w:szCs w:val="22"/>
        </w:rPr>
        <w:t>Because</w:t>
      </w:r>
      <w:r w:rsidR="00D66369" w:rsidRPr="00AD35B9">
        <w:rPr>
          <w:rStyle w:val="font-ligatures-none"/>
          <w:rFonts w:ascii="Arial" w:hAnsi="Arial" w:cs="Arial"/>
          <w:sz w:val="22"/>
          <w:szCs w:val="22"/>
        </w:rPr>
        <w:t>,</w:t>
      </w:r>
      <w:r w:rsidRPr="00AD35B9">
        <w:rPr>
          <w:rStyle w:val="font-ligatures-none"/>
          <w:rFonts w:ascii="Arial" w:hAnsi="Arial" w:cs="Arial"/>
          <w:sz w:val="22"/>
          <w:szCs w:val="22"/>
        </w:rPr>
        <w:t xml:space="preserve"> obesity increases the risk of type 2 diabetes, heart disease, stroke and certain cancers, the programme helps improve physical health, raise life expectancy and </w:t>
      </w:r>
      <w:r w:rsidRPr="00AD35B9">
        <w:rPr>
          <w:rStyle w:val="font-ligatures-none"/>
          <w:rFonts w:ascii="Arial" w:hAnsi="Arial" w:cs="Arial"/>
          <w:sz w:val="22"/>
          <w:szCs w:val="22"/>
        </w:rPr>
        <w:lastRenderedPageBreak/>
        <w:t>enhance quality of life</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Welsh et al., 2024)</w:t>
      </w:r>
      <w:r w:rsidRPr="00AD35B9">
        <w:rPr>
          <w:rStyle w:val="font-ligatures-none"/>
          <w:rFonts w:ascii="Arial" w:hAnsi="Arial" w:cs="Arial"/>
          <w:sz w:val="22"/>
          <w:szCs w:val="22"/>
        </w:rPr>
        <w:t>. It has increased awareness of healthy lifestyles and encouraged greater physical activity, with families supported to make healthier food choices and reduce childhood obesity</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Welsh et al., 2024)</w:t>
      </w:r>
      <w:r w:rsidRPr="00AD35B9">
        <w:rPr>
          <w:rStyle w:val="font-ligatures-none"/>
          <w:rFonts w:ascii="Arial" w:hAnsi="Arial" w:cs="Arial"/>
          <w:sz w:val="22"/>
          <w:szCs w:val="22"/>
        </w:rPr>
        <w:t>. However, financial pressures, low motivation, limited access to affordable healthy food and time constraints can reduce participation</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Katre et al., 2023).</w:t>
      </w:r>
      <w:r w:rsidRPr="00AD35B9">
        <w:rPr>
          <w:rStyle w:val="font-ligatures-none"/>
          <w:rFonts w:ascii="Arial" w:hAnsi="Arial" w:cs="Arial"/>
          <w:sz w:val="22"/>
          <w:szCs w:val="22"/>
        </w:rPr>
        <w:t xml:space="preserve"> Improvements could include more online support, additional evening and weekend sessions and stronger partnerships with schools and local businesses to promote healthier habits across the community</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Belanger et al., 2024).</w:t>
      </w:r>
    </w:p>
    <w:p w14:paraId="7536CCCA" w14:textId="04396DBC" w:rsidR="002A73FB" w:rsidRPr="00AD35B9" w:rsidRDefault="002A73FB" w:rsidP="00F34487">
      <w:pPr>
        <w:pStyle w:val="NormalWeb"/>
        <w:spacing w:line="360" w:lineRule="auto"/>
        <w:jc w:val="both"/>
        <w:rPr>
          <w:rFonts w:ascii="Arial" w:hAnsi="Arial" w:cs="Arial"/>
          <w:sz w:val="22"/>
          <w:szCs w:val="22"/>
        </w:rPr>
      </w:pPr>
      <w:r w:rsidRPr="00AD35B9">
        <w:rPr>
          <w:rStyle w:val="font-ligatures-none"/>
          <w:rFonts w:ascii="Arial" w:hAnsi="Arial" w:cs="Arial"/>
          <w:sz w:val="22"/>
          <w:szCs w:val="22"/>
        </w:rPr>
        <w:t xml:space="preserve">The </w:t>
      </w:r>
      <w:r w:rsidRPr="00AD35B9">
        <w:rPr>
          <w:rStyle w:val="Strong"/>
          <w:rFonts w:ascii="Arial" w:hAnsi="Arial" w:cs="Arial"/>
          <w:sz w:val="22"/>
          <w:szCs w:val="22"/>
        </w:rPr>
        <w:t>Community Health Champions Programme</w:t>
      </w:r>
      <w:r w:rsidRPr="00AD35B9">
        <w:rPr>
          <w:rStyle w:val="font-ligatures-none"/>
          <w:rFonts w:ascii="Arial" w:hAnsi="Arial" w:cs="Arial"/>
          <w:sz w:val="22"/>
          <w:szCs w:val="22"/>
        </w:rPr>
        <w:t xml:space="preserve"> trains local volunteers to promote healthy lifestyles, raise awareness of health services and encourage residents to access support</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South, 2015).</w:t>
      </w:r>
      <w:r w:rsidRPr="00AD35B9">
        <w:rPr>
          <w:rStyle w:val="font-ligatures-none"/>
          <w:rFonts w:ascii="Arial" w:hAnsi="Arial" w:cs="Arial"/>
          <w:sz w:val="22"/>
          <w:szCs w:val="22"/>
        </w:rPr>
        <w:t xml:space="preserve"> Champions share information on mental health, healthy eating, physical activity, vaccinations and smoking cessation</w:t>
      </w:r>
      <w:r w:rsidR="0080192D" w:rsidRPr="00AD35B9">
        <w:rPr>
          <w:rStyle w:val="font-ligatures-none"/>
          <w:rFonts w:ascii="Arial" w:hAnsi="Arial" w:cs="Arial"/>
          <w:sz w:val="22"/>
          <w:szCs w:val="22"/>
        </w:rPr>
        <w:t xml:space="preserve"> ((</w:t>
      </w:r>
      <w:r w:rsidR="0080192D" w:rsidRPr="00AD35B9">
        <w:rPr>
          <w:rFonts w:ascii="Arial" w:hAnsi="Arial" w:cs="Arial"/>
          <w:sz w:val="22"/>
          <w:szCs w:val="22"/>
        </w:rPr>
        <w:t>South, 2015).</w:t>
      </w:r>
      <w:r w:rsidRPr="00AD35B9">
        <w:rPr>
          <w:rStyle w:val="font-ligatures-none"/>
          <w:rFonts w:ascii="Arial" w:hAnsi="Arial" w:cs="Arial"/>
          <w:sz w:val="22"/>
          <w:szCs w:val="22"/>
        </w:rPr>
        <w:t xml:space="preserve"> Because</w:t>
      </w:r>
      <w:r w:rsidR="0080192D" w:rsidRPr="00AD35B9">
        <w:rPr>
          <w:rStyle w:val="font-ligatures-none"/>
          <w:rFonts w:ascii="Arial" w:hAnsi="Arial" w:cs="Arial"/>
          <w:sz w:val="22"/>
          <w:szCs w:val="22"/>
        </w:rPr>
        <w:t>,</w:t>
      </w:r>
      <w:r w:rsidRPr="00AD35B9">
        <w:rPr>
          <w:rStyle w:val="font-ligatures-none"/>
          <w:rFonts w:ascii="Arial" w:hAnsi="Arial" w:cs="Arial"/>
          <w:sz w:val="22"/>
          <w:szCs w:val="22"/>
        </w:rPr>
        <w:t xml:space="preserve"> volunteers are trusted community members, they can reach people who may not usually engage with healthcare services</w:t>
      </w:r>
      <w:r w:rsidR="00531A5F" w:rsidRPr="00AD35B9">
        <w:rPr>
          <w:rStyle w:val="font-ligatures-none"/>
          <w:rFonts w:ascii="Arial" w:hAnsi="Arial" w:cs="Arial"/>
          <w:sz w:val="22"/>
          <w:szCs w:val="22"/>
        </w:rPr>
        <w:t xml:space="preserve"> (South et al., 2010)</w:t>
      </w:r>
      <w:r w:rsidRPr="00AD35B9">
        <w:rPr>
          <w:rStyle w:val="font-ligatures-none"/>
          <w:rFonts w:ascii="Arial" w:hAnsi="Arial" w:cs="Arial"/>
          <w:sz w:val="22"/>
          <w:szCs w:val="22"/>
        </w:rPr>
        <w:t>. The programme has strengthened community engagement and reduced social isolation by connecting residents with support groups and wellbeing activities, improving mental wellbeing and encouraging early help</w:t>
      </w:r>
      <w:r w:rsidRPr="00AD35B9">
        <w:rPr>
          <w:rStyle w:val="font-ligatures-none"/>
          <w:rFonts w:ascii="Arial" w:hAnsi="Arial" w:cs="Arial"/>
          <w:sz w:val="22"/>
          <w:szCs w:val="22"/>
        </w:rPr>
        <w:noBreakHyphen/>
        <w:t>seeking</w:t>
      </w:r>
      <w:r w:rsidR="00AD35B9" w:rsidRPr="00AD35B9">
        <w:rPr>
          <w:rStyle w:val="font-ligatures-none"/>
          <w:rFonts w:ascii="Arial" w:hAnsi="Arial" w:cs="Arial"/>
          <w:sz w:val="22"/>
          <w:szCs w:val="22"/>
        </w:rPr>
        <w:t xml:space="preserve"> (</w:t>
      </w:r>
      <w:r w:rsidR="00AD35B9" w:rsidRPr="00AD35B9">
        <w:rPr>
          <w:rFonts w:ascii="Arial" w:hAnsi="Arial" w:cs="Arial"/>
          <w:sz w:val="22"/>
          <w:szCs w:val="22"/>
        </w:rPr>
        <w:t>Woodall et al., 2012)</w:t>
      </w:r>
      <w:r w:rsidRPr="00AD35B9">
        <w:rPr>
          <w:rStyle w:val="font-ligatures-none"/>
          <w:rFonts w:ascii="Arial" w:hAnsi="Arial" w:cs="Arial"/>
          <w:sz w:val="22"/>
          <w:szCs w:val="22"/>
        </w:rPr>
        <w:t>. Its reliance on volunteers and limited funding, however, affects long</w:t>
      </w:r>
      <w:r w:rsidRPr="00AD35B9">
        <w:rPr>
          <w:rStyle w:val="font-ligatures-none"/>
          <w:rFonts w:ascii="Arial" w:hAnsi="Arial" w:cs="Arial"/>
          <w:sz w:val="22"/>
          <w:szCs w:val="22"/>
        </w:rPr>
        <w:noBreakHyphen/>
        <w:t>term sustainability. Increasing investment, expanding training and recruiting more volunteers from diverse backgrounds would help the programme reach more residents</w:t>
      </w:r>
      <w:r w:rsidR="00AD35B9" w:rsidRPr="00AD35B9">
        <w:rPr>
          <w:rStyle w:val="font-ligatures-none"/>
          <w:rFonts w:ascii="Arial" w:hAnsi="Arial" w:cs="Arial"/>
          <w:sz w:val="22"/>
          <w:szCs w:val="22"/>
        </w:rPr>
        <w:t xml:space="preserve"> (South et al., 2010)</w:t>
      </w:r>
      <w:r w:rsidRPr="00AD35B9">
        <w:rPr>
          <w:rStyle w:val="font-ligatures-none"/>
          <w:rFonts w:ascii="Arial" w:hAnsi="Arial" w:cs="Arial"/>
          <w:sz w:val="22"/>
          <w:szCs w:val="22"/>
        </w:rPr>
        <w:t>.</w:t>
      </w:r>
    </w:p>
    <w:p w14:paraId="31627F29" w14:textId="5F202A23" w:rsidR="000D132E" w:rsidRPr="00F34487" w:rsidRDefault="002A73FB" w:rsidP="00F34487">
      <w:pPr>
        <w:pStyle w:val="NormalWeb"/>
        <w:spacing w:line="360" w:lineRule="auto"/>
        <w:jc w:val="both"/>
        <w:rPr>
          <w:rFonts w:ascii="Arial" w:hAnsi="Arial" w:cs="Arial"/>
          <w:sz w:val="22"/>
          <w:szCs w:val="22"/>
        </w:rPr>
      </w:pPr>
      <w:r w:rsidRPr="00AD35B9">
        <w:rPr>
          <w:rStyle w:val="font-ligatures-none"/>
          <w:rFonts w:ascii="Arial" w:hAnsi="Arial" w:cs="Arial"/>
          <w:sz w:val="22"/>
          <w:szCs w:val="22"/>
        </w:rPr>
        <w:t>Overall, both initiatives contribute significantly to improving health and wellbeing in Barking and Dagenham</w:t>
      </w:r>
      <w:r w:rsidR="00AD35B9" w:rsidRPr="00AD35B9">
        <w:rPr>
          <w:rStyle w:val="font-ligatures-none"/>
          <w:rFonts w:ascii="Arial" w:hAnsi="Arial" w:cs="Arial"/>
          <w:sz w:val="22"/>
          <w:szCs w:val="22"/>
        </w:rPr>
        <w:t xml:space="preserve"> (LBBD, 2019). </w:t>
      </w:r>
      <w:r w:rsidRPr="00AD35B9">
        <w:rPr>
          <w:rStyle w:val="font-ligatures-none"/>
          <w:rFonts w:ascii="Arial" w:hAnsi="Arial" w:cs="Arial"/>
          <w:sz w:val="22"/>
          <w:szCs w:val="22"/>
        </w:rPr>
        <w:t>They support SDG 3 by promoting healthier lifestyles, preventing disease and improving mental wellbeing, while helping reduce health inequalities within the community</w:t>
      </w:r>
      <w:r w:rsidR="00AD35B9" w:rsidRPr="00AD35B9">
        <w:rPr>
          <w:rStyle w:val="font-ligatures-none"/>
          <w:rFonts w:ascii="Arial" w:hAnsi="Arial" w:cs="Arial"/>
          <w:sz w:val="22"/>
          <w:szCs w:val="22"/>
        </w:rPr>
        <w:t xml:space="preserve"> (LBBD, 2019)</w:t>
      </w:r>
      <w:r w:rsidRPr="00AD35B9">
        <w:rPr>
          <w:rStyle w:val="font-ligatures-none"/>
          <w:rFonts w:ascii="Arial" w:hAnsi="Arial" w:cs="Arial"/>
          <w:sz w:val="22"/>
          <w:szCs w:val="22"/>
        </w:rPr>
        <w:t>.</w:t>
      </w:r>
    </w:p>
    <w:p w14:paraId="27CD58AA" w14:textId="1CB1C488" w:rsidR="000D132E" w:rsidRPr="00AD35B9" w:rsidRDefault="000D132E" w:rsidP="00F34487">
      <w:pPr>
        <w:pStyle w:val="Heading1"/>
        <w:numPr>
          <w:ilvl w:val="0"/>
          <w:numId w:val="7"/>
        </w:numPr>
        <w:jc w:val="both"/>
        <w:rPr>
          <w:rFonts w:ascii="Arial" w:hAnsi="Arial" w:cs="Arial"/>
          <w:b/>
          <w:bCs/>
          <w:sz w:val="24"/>
          <w:szCs w:val="24"/>
        </w:rPr>
      </w:pPr>
      <w:bookmarkStart w:id="5" w:name="_Toc236405551"/>
      <w:r w:rsidRPr="00AD35B9">
        <w:rPr>
          <w:rFonts w:ascii="Arial" w:hAnsi="Arial" w:cs="Arial"/>
          <w:b/>
          <w:bCs/>
          <w:sz w:val="24"/>
          <w:szCs w:val="24"/>
        </w:rPr>
        <w:t>Conclusion</w:t>
      </w:r>
      <w:bookmarkEnd w:id="5"/>
      <w:r w:rsidRPr="00AD35B9">
        <w:rPr>
          <w:rFonts w:ascii="Arial" w:hAnsi="Arial" w:cs="Arial"/>
          <w:b/>
          <w:bCs/>
          <w:sz w:val="24"/>
          <w:szCs w:val="24"/>
        </w:rPr>
        <w:t xml:space="preserve"> </w:t>
      </w:r>
    </w:p>
    <w:p w14:paraId="3FDDE415" w14:textId="036FC1C5" w:rsidR="002A73FB" w:rsidRPr="004648E3" w:rsidRDefault="000D132E" w:rsidP="004648E3">
      <w:pPr>
        <w:spacing w:line="360" w:lineRule="auto"/>
        <w:jc w:val="both"/>
        <w:rPr>
          <w:rFonts w:ascii="Arial" w:hAnsi="Arial" w:cs="Arial"/>
          <w:sz w:val="22"/>
          <w:szCs w:val="22"/>
        </w:rPr>
      </w:pPr>
      <w:r w:rsidRPr="00AD35B9">
        <w:rPr>
          <w:rFonts w:ascii="Arial" w:hAnsi="Arial" w:cs="Arial"/>
          <w:sz w:val="22"/>
          <w:szCs w:val="22"/>
        </w:rPr>
        <w:t>In conclusion, Sustainable Development Goals 3 and 6 play a vital role in improving health, wellbeing and sustainability within the United Kingdom. SDG 3 focuses on increasing life expectancy, improving quality of life and promoting positive mental wellbeing through accessible healthcare, disease prevention and public health initiatives. SDG 6 supports these aims by ensuring access to clean water, effective sanitation and sustainable water management, all of which are essential for protecting public health. National initiatives such as the NHS Long Term Plan and Better Health Campaign, alongside local programmes in Barking and Dagenham, have made positive contributions to improving health outcomes. However, continued investment, stronger partnerships and targeted action to reduce health inequalities are essential if the UK is to achieve these Sustainable Development Goals by 2030.</w:t>
      </w:r>
    </w:p>
    <w:p w14:paraId="1DFFE138" w14:textId="4BCE7A74" w:rsidR="002A73FB" w:rsidRPr="00AD35B9" w:rsidRDefault="000D132E" w:rsidP="00AD35B9">
      <w:pPr>
        <w:pStyle w:val="Heading1"/>
        <w:numPr>
          <w:ilvl w:val="0"/>
          <w:numId w:val="7"/>
        </w:numPr>
        <w:rPr>
          <w:rFonts w:ascii="Arial" w:hAnsi="Arial" w:cs="Arial"/>
          <w:b/>
          <w:bCs/>
          <w:sz w:val="24"/>
          <w:szCs w:val="24"/>
        </w:rPr>
      </w:pPr>
      <w:bookmarkStart w:id="6" w:name="_Toc236405552"/>
      <w:r w:rsidRPr="00AD35B9">
        <w:rPr>
          <w:rFonts w:ascii="Arial" w:hAnsi="Arial" w:cs="Arial"/>
          <w:b/>
          <w:bCs/>
          <w:sz w:val="24"/>
          <w:szCs w:val="24"/>
        </w:rPr>
        <w:lastRenderedPageBreak/>
        <w:t>References</w:t>
      </w:r>
      <w:bookmarkEnd w:id="6"/>
      <w:r w:rsidRPr="00AD35B9">
        <w:rPr>
          <w:rFonts w:ascii="Arial" w:hAnsi="Arial" w:cs="Arial"/>
          <w:b/>
          <w:bCs/>
          <w:sz w:val="24"/>
          <w:szCs w:val="24"/>
        </w:rPr>
        <w:t xml:space="preserve"> </w:t>
      </w:r>
    </w:p>
    <w:p w14:paraId="77E71660" w14:textId="77777777" w:rsidR="007B4715" w:rsidRPr="00686DEF" w:rsidRDefault="007B4715" w:rsidP="007B4715">
      <w:pPr>
        <w:jc w:val="both"/>
      </w:pPr>
    </w:p>
    <w:p w14:paraId="77524C05" w14:textId="716943AF"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Aman, H., Doost, Z.H., Hejran, A.W., Mehr, A.D., Szczepanek, R. and Gilja, G., </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2024</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 Survey on the challenges for achieving SDG 6: clean water and sanitation: a global insight. </w:t>
      </w:r>
      <w:r w:rsidRPr="007B4715">
        <w:rPr>
          <w:rFonts w:ascii="Arial" w:eastAsia="Times New Roman" w:hAnsi="Arial" w:cs="Arial"/>
          <w:i/>
          <w:iCs/>
          <w:kern w:val="0"/>
          <w:sz w:val="22"/>
          <w:szCs w:val="22"/>
          <w:lang w:eastAsia="en-GB"/>
          <w14:ligatures w14:val="none"/>
        </w:rPr>
        <w:t>Knowledge-based Engineering and Sciences</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5</w:t>
      </w:r>
      <w:r w:rsidRPr="007B4715">
        <w:rPr>
          <w:rFonts w:ascii="Arial" w:eastAsia="Times New Roman" w:hAnsi="Arial" w:cs="Arial"/>
          <w:kern w:val="0"/>
          <w:sz w:val="22"/>
          <w:szCs w:val="22"/>
          <w:lang w:eastAsia="en-GB"/>
          <w14:ligatures w14:val="none"/>
        </w:rPr>
        <w:t xml:space="preserve">(3), pp.21-42. </w:t>
      </w:r>
      <w:r w:rsidR="004648E3">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Accessed: 31 July 2026).</w:t>
      </w:r>
    </w:p>
    <w:p w14:paraId="651866B4"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B3B526E"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Ander, E.L.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(2016) “Variability in the chemistry of private drinking water supplies and the impact of domestic treatment systems on water quality,” </w:t>
      </w:r>
      <w:r w:rsidRPr="007B4715">
        <w:rPr>
          <w:rFonts w:ascii="Arial" w:eastAsia="Times New Roman" w:hAnsi="Arial" w:cs="Arial"/>
          <w:i/>
          <w:iCs/>
          <w:kern w:val="0"/>
          <w:sz w:val="22"/>
          <w:szCs w:val="22"/>
          <w:lang w:eastAsia="en-GB"/>
          <w14:ligatures w14:val="none"/>
        </w:rPr>
        <w:t>Environmental geochemistry and health</w:t>
      </w:r>
      <w:r w:rsidRPr="007B4715">
        <w:rPr>
          <w:rFonts w:ascii="Arial" w:eastAsia="Times New Roman" w:hAnsi="Arial" w:cs="Arial"/>
          <w:kern w:val="0"/>
          <w:sz w:val="22"/>
          <w:szCs w:val="22"/>
          <w:lang w:eastAsia="en-GB"/>
          <w14:ligatures w14:val="none"/>
        </w:rPr>
        <w:t xml:space="preserve">, 38(6), pp. 1313–1332. Available at: </w:t>
      </w:r>
      <w:hyperlink r:id="rId7" w:history="1">
        <w:r w:rsidRPr="007B4715">
          <w:rPr>
            <w:rStyle w:val="Hyperlink"/>
            <w:rFonts w:ascii="Arial" w:eastAsia="Times New Roman" w:hAnsi="Arial" w:cs="Arial"/>
            <w:kern w:val="0"/>
            <w:sz w:val="22"/>
            <w:szCs w:val="22"/>
            <w:lang w:eastAsia="en-GB"/>
            <w14:ligatures w14:val="none"/>
          </w:rPr>
          <w:t>https://doi.org/10.1007/s10653-016-9798-0</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30 July 2026).</w:t>
      </w:r>
    </w:p>
    <w:p w14:paraId="62BC5EE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DD60E1F" w14:textId="2B6D679B"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Asmar, M.L.E., Karki, M., Mall, B., Riboli-Sasco, E. and El-Osta, A., </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2024</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 Components of joint health and wellbeing strategies: a pan-London review of all 33 local authorities. </w:t>
      </w:r>
      <w:r w:rsidRPr="007B4715">
        <w:rPr>
          <w:rFonts w:ascii="Arial" w:eastAsia="Times New Roman" w:hAnsi="Arial" w:cs="Arial"/>
          <w:i/>
          <w:iCs/>
          <w:kern w:val="0"/>
          <w:sz w:val="22"/>
          <w:szCs w:val="22"/>
          <w:lang w:eastAsia="en-GB"/>
          <w14:ligatures w14:val="none"/>
        </w:rPr>
        <w:t>BMC Public Health</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24</w:t>
      </w:r>
      <w:r w:rsidRPr="007B4715">
        <w:rPr>
          <w:rFonts w:ascii="Arial" w:eastAsia="Times New Roman" w:hAnsi="Arial" w:cs="Arial"/>
          <w:kern w:val="0"/>
          <w:sz w:val="22"/>
          <w:szCs w:val="22"/>
          <w:lang w:eastAsia="en-GB"/>
          <w14:ligatures w14:val="none"/>
        </w:rPr>
        <w:t xml:space="preserve">(1), p.3432. Available at: </w:t>
      </w:r>
      <w:hyperlink r:id="rId8" w:history="1">
        <w:r w:rsidRPr="007B4715">
          <w:rPr>
            <w:rStyle w:val="Hyperlink"/>
            <w:rFonts w:ascii="Arial" w:eastAsia="Times New Roman" w:hAnsi="Arial" w:cs="Arial"/>
            <w:kern w:val="0"/>
            <w:sz w:val="22"/>
            <w:szCs w:val="22"/>
            <w:lang w:eastAsia="en-GB"/>
            <w14:ligatures w14:val="none"/>
          </w:rPr>
          <w:t>Components of joint health and wellbeing strategies: a pan-London review of all 33 local authorities | BMC Public Health | Springer Nature Link</w:t>
        </w:r>
      </w:hyperlink>
      <w:r w:rsidRPr="007B4715">
        <w:rPr>
          <w:rFonts w:ascii="Arial" w:eastAsia="Times New Roman" w:hAnsi="Arial" w:cs="Arial"/>
          <w:kern w:val="0"/>
          <w:sz w:val="22"/>
          <w:szCs w:val="22"/>
          <w:lang w:eastAsia="en-GB"/>
          <w14:ligatures w14:val="none"/>
        </w:rPr>
        <w:t xml:space="preserve"> (Accessed: 2 August 2026).</w:t>
      </w:r>
    </w:p>
    <w:p w14:paraId="59E6870F"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7E86BAB"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Azad, A. (2026) “64 A paradox of supply and demand: unemployed doctors amid NHS waiting lists,” </w:t>
      </w:r>
      <w:r w:rsidRPr="007B4715">
        <w:rPr>
          <w:rFonts w:ascii="Arial" w:eastAsia="Times New Roman" w:hAnsi="Arial" w:cs="Arial"/>
          <w:i/>
          <w:iCs/>
          <w:kern w:val="0"/>
          <w:sz w:val="22"/>
          <w:szCs w:val="22"/>
          <w:lang w:eastAsia="en-GB"/>
          <w14:ligatures w14:val="none"/>
        </w:rPr>
        <w:t>64 A paradox of supply and demand: unemployed doctors amid NHS waiting lists</w:t>
      </w:r>
      <w:r w:rsidRPr="007B4715">
        <w:rPr>
          <w:rFonts w:ascii="Arial" w:eastAsia="Times New Roman" w:hAnsi="Arial" w:cs="Arial"/>
          <w:kern w:val="0"/>
          <w:sz w:val="22"/>
          <w:szCs w:val="22"/>
          <w:lang w:eastAsia="en-GB"/>
          <w14:ligatures w14:val="none"/>
        </w:rPr>
        <w:t xml:space="preserve">, 15(Suppl 2), pp. A63–A64. Available at: </w:t>
      </w:r>
      <w:hyperlink r:id="rId9" w:history="1">
        <w:r w:rsidRPr="007B4715">
          <w:rPr>
            <w:rStyle w:val="Hyperlink"/>
            <w:rFonts w:ascii="Arial" w:eastAsia="Times New Roman" w:hAnsi="Arial" w:cs="Arial"/>
            <w:kern w:val="0"/>
            <w:sz w:val="22"/>
            <w:szCs w:val="22"/>
            <w:lang w:eastAsia="en-GB"/>
            <w14:ligatures w14:val="none"/>
          </w:rPr>
          <w:t>https://doi.org/10.1136/bmjoq-2026-QSHO.64</w:t>
        </w:r>
      </w:hyperlink>
      <w:r w:rsidRPr="007B4715">
        <w:rPr>
          <w:rFonts w:ascii="Arial" w:eastAsia="Times New Roman" w:hAnsi="Arial" w:cs="Arial"/>
          <w:kern w:val="0"/>
          <w:sz w:val="22"/>
          <w:szCs w:val="22"/>
          <w:lang w:eastAsia="en-GB"/>
          <w14:ligatures w14:val="none"/>
        </w:rPr>
        <w:t>. (Accessed: 2 August 2026).</w:t>
      </w:r>
    </w:p>
    <w:p w14:paraId="320B4D7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A773FA2"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Bachmann, M.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(2026) “How do associations between healthy life expectancy and risk factors vary across small geographic areas in a UK integrated care system? Cross-sectional study,” </w:t>
      </w:r>
      <w:r w:rsidRPr="007B4715">
        <w:rPr>
          <w:rFonts w:ascii="Arial" w:eastAsia="Times New Roman" w:hAnsi="Arial" w:cs="Arial"/>
          <w:i/>
          <w:iCs/>
          <w:kern w:val="0"/>
          <w:sz w:val="22"/>
          <w:szCs w:val="22"/>
          <w:lang w:eastAsia="en-GB"/>
          <w14:ligatures w14:val="none"/>
        </w:rPr>
        <w:t>BMJ open</w:t>
      </w:r>
      <w:r w:rsidRPr="007B4715">
        <w:rPr>
          <w:rFonts w:ascii="Arial" w:eastAsia="Times New Roman" w:hAnsi="Arial" w:cs="Arial"/>
          <w:kern w:val="0"/>
          <w:sz w:val="22"/>
          <w:szCs w:val="22"/>
          <w:lang w:eastAsia="en-GB"/>
          <w14:ligatures w14:val="none"/>
        </w:rPr>
        <w:t xml:space="preserve">, 16(7), p. e108114. Available at: </w:t>
      </w:r>
      <w:hyperlink r:id="rId10" w:history="1">
        <w:r w:rsidRPr="007B4715">
          <w:rPr>
            <w:rStyle w:val="Hyperlink"/>
            <w:rFonts w:ascii="Arial" w:eastAsia="Times New Roman" w:hAnsi="Arial" w:cs="Arial"/>
            <w:kern w:val="0"/>
            <w:sz w:val="22"/>
            <w:szCs w:val="22"/>
            <w:lang w:eastAsia="en-GB"/>
            <w14:ligatures w14:val="none"/>
          </w:rPr>
          <w:t>https://doi.org/10.1136/bmjopen-2025-108114</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27 July 2026).</w:t>
      </w:r>
    </w:p>
    <w:p w14:paraId="2F458A98"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7BD112BF"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Ball, K. (2015) “Traversing myths and mountains: addressing socioeconomic inequities in the promotion of nutrition and physical activity behaviours,” </w:t>
      </w:r>
      <w:r w:rsidRPr="007B4715">
        <w:rPr>
          <w:rFonts w:ascii="Arial" w:eastAsia="Times New Roman" w:hAnsi="Arial" w:cs="Arial"/>
          <w:i/>
          <w:iCs/>
          <w:kern w:val="0"/>
          <w:sz w:val="22"/>
          <w:szCs w:val="22"/>
          <w:lang w:eastAsia="en-GB"/>
          <w14:ligatures w14:val="none"/>
        </w:rPr>
        <w:t>The international journal of behavioral nutrition and physical activity</w:t>
      </w:r>
      <w:r w:rsidRPr="007B4715">
        <w:rPr>
          <w:rFonts w:ascii="Arial" w:eastAsia="Times New Roman" w:hAnsi="Arial" w:cs="Arial"/>
          <w:kern w:val="0"/>
          <w:sz w:val="22"/>
          <w:szCs w:val="22"/>
          <w:lang w:eastAsia="en-GB"/>
          <w14:ligatures w14:val="none"/>
        </w:rPr>
        <w:t xml:space="preserve">, 12(1). Available at: </w:t>
      </w:r>
      <w:hyperlink r:id="rId11" w:history="1">
        <w:r w:rsidRPr="007B4715">
          <w:rPr>
            <w:rStyle w:val="Hyperlink"/>
            <w:rFonts w:ascii="Arial" w:eastAsia="Times New Roman" w:hAnsi="Arial" w:cs="Arial"/>
            <w:kern w:val="0"/>
            <w:sz w:val="22"/>
            <w:szCs w:val="22"/>
            <w:lang w:eastAsia="en-GB"/>
            <w14:ligatures w14:val="none"/>
          </w:rPr>
          <w:t>https://doi.org/10.1186/s12966-015-0303-4</w:t>
        </w:r>
      </w:hyperlink>
      <w:r w:rsidRPr="007B4715">
        <w:rPr>
          <w:rFonts w:ascii="Arial" w:eastAsia="Times New Roman" w:hAnsi="Arial" w:cs="Arial"/>
          <w:kern w:val="0"/>
          <w:sz w:val="22"/>
          <w:szCs w:val="22"/>
          <w:lang w:eastAsia="en-GB"/>
          <w14:ligatures w14:val="none"/>
        </w:rPr>
        <w:t>. (Accessed: 2 August 2026).</w:t>
      </w:r>
    </w:p>
    <w:p w14:paraId="60549984" w14:textId="77777777" w:rsidR="007B4715" w:rsidRDefault="007B4715" w:rsidP="007B4715">
      <w:pPr>
        <w:spacing w:after="0" w:line="360" w:lineRule="auto"/>
        <w:rPr>
          <w:rFonts w:ascii="Arial" w:eastAsia="Times New Roman" w:hAnsi="Arial" w:cs="Arial"/>
          <w:kern w:val="0"/>
          <w:sz w:val="22"/>
          <w:szCs w:val="22"/>
          <w:lang w:eastAsia="en-GB"/>
          <w14:ligatures w14:val="none"/>
        </w:rPr>
      </w:pPr>
    </w:p>
    <w:p w14:paraId="0E804213" w14:textId="77777777" w:rsidR="007B4715" w:rsidRDefault="007B4715" w:rsidP="007B4715">
      <w:pPr>
        <w:spacing w:after="0" w:line="360" w:lineRule="auto"/>
        <w:rPr>
          <w:rFonts w:ascii="Arial" w:eastAsia="Times New Roman" w:hAnsi="Arial" w:cs="Arial"/>
          <w:kern w:val="0"/>
          <w:sz w:val="22"/>
          <w:szCs w:val="22"/>
          <w:lang w:eastAsia="en-GB"/>
          <w14:ligatures w14:val="none"/>
        </w:rPr>
      </w:pPr>
    </w:p>
    <w:p w14:paraId="0F954D4F"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EC934FB"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lastRenderedPageBreak/>
        <w:t xml:space="preserve">Belanger, B. and Arthur, P. (2024) “Telehealth to Address Health Promotion &amp; Social Isolation in Community Dwelling Seniors During a Public Health Emergency,” </w:t>
      </w:r>
      <w:r w:rsidRPr="007B4715">
        <w:rPr>
          <w:rFonts w:ascii="Arial" w:eastAsia="Times New Roman" w:hAnsi="Arial" w:cs="Arial"/>
          <w:i/>
          <w:iCs/>
          <w:kern w:val="0"/>
          <w:sz w:val="22"/>
          <w:szCs w:val="22"/>
          <w:lang w:eastAsia="en-GB"/>
          <w14:ligatures w14:val="none"/>
        </w:rPr>
        <w:t>Home health care management &amp; practice</w:t>
      </w:r>
      <w:r w:rsidRPr="007B4715">
        <w:rPr>
          <w:rFonts w:ascii="Arial" w:eastAsia="Times New Roman" w:hAnsi="Arial" w:cs="Arial"/>
          <w:kern w:val="0"/>
          <w:sz w:val="22"/>
          <w:szCs w:val="22"/>
          <w:lang w:eastAsia="en-GB"/>
          <w14:ligatures w14:val="none"/>
        </w:rPr>
        <w:t xml:space="preserve">, 36(3), pp. 165–171. Available at: </w:t>
      </w:r>
      <w:hyperlink r:id="rId12" w:history="1">
        <w:r w:rsidRPr="007B4715">
          <w:rPr>
            <w:rStyle w:val="Hyperlink"/>
            <w:rFonts w:ascii="Arial" w:eastAsia="Times New Roman" w:hAnsi="Arial" w:cs="Arial"/>
            <w:kern w:val="0"/>
            <w:sz w:val="22"/>
            <w:szCs w:val="22"/>
            <w:lang w:eastAsia="en-GB"/>
            <w14:ligatures w14:val="none"/>
          </w:rPr>
          <w:t>https://doi.org/10.1177/10848223231220065</w:t>
        </w:r>
      </w:hyperlink>
      <w:r w:rsidRPr="007B4715">
        <w:rPr>
          <w:rFonts w:ascii="Arial" w:eastAsia="Times New Roman" w:hAnsi="Arial" w:cs="Arial"/>
          <w:kern w:val="0"/>
          <w:sz w:val="22"/>
          <w:szCs w:val="22"/>
          <w:lang w:eastAsia="en-GB"/>
          <w14:ligatures w14:val="none"/>
        </w:rPr>
        <w:t>. (Accessed: 03 August 2026)</w:t>
      </w:r>
    </w:p>
    <w:p w14:paraId="043AFC9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80243F2"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Bell, S.L.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(2019) “The relationship between physical activity, mental wellbeing and symptoms of mental health disorder in adolescents: a cohort study,” </w:t>
      </w:r>
      <w:r w:rsidRPr="007B4715">
        <w:rPr>
          <w:rFonts w:ascii="Arial" w:eastAsia="Times New Roman" w:hAnsi="Arial" w:cs="Arial"/>
          <w:i/>
          <w:iCs/>
          <w:kern w:val="0"/>
          <w:sz w:val="22"/>
          <w:szCs w:val="22"/>
          <w:lang w:eastAsia="en-GB"/>
          <w14:ligatures w14:val="none"/>
        </w:rPr>
        <w:t>The international journal of behavioral nutrition and physical activity</w:t>
      </w:r>
      <w:r w:rsidRPr="007B4715">
        <w:rPr>
          <w:rFonts w:ascii="Arial" w:eastAsia="Times New Roman" w:hAnsi="Arial" w:cs="Arial"/>
          <w:kern w:val="0"/>
          <w:sz w:val="22"/>
          <w:szCs w:val="22"/>
          <w:lang w:eastAsia="en-GB"/>
          <w14:ligatures w14:val="none"/>
        </w:rPr>
        <w:t xml:space="preserve">, 16(1). Available at: </w:t>
      </w:r>
      <w:hyperlink r:id="rId13" w:history="1">
        <w:r w:rsidRPr="007B4715">
          <w:rPr>
            <w:rStyle w:val="Hyperlink"/>
            <w:rFonts w:ascii="Arial" w:eastAsia="Times New Roman" w:hAnsi="Arial" w:cs="Arial"/>
            <w:kern w:val="0"/>
            <w:sz w:val="22"/>
            <w:szCs w:val="22"/>
            <w:lang w:eastAsia="en-GB"/>
            <w14:ligatures w14:val="none"/>
          </w:rPr>
          <w:t>https://doi.org/10.1186/s12966-019-0901-7</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2D5D75B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79F56EAE"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Bergou, N.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(2022) “The mental health benefits of visiting canals and rivers: An ecological momentary assessment study,” </w:t>
      </w:r>
      <w:r w:rsidRPr="007B4715">
        <w:rPr>
          <w:rFonts w:ascii="Arial" w:eastAsia="Times New Roman" w:hAnsi="Arial" w:cs="Arial"/>
          <w:i/>
          <w:iCs/>
          <w:kern w:val="0"/>
          <w:sz w:val="22"/>
          <w:szCs w:val="22"/>
          <w:lang w:eastAsia="en-GB"/>
          <w14:ligatures w14:val="none"/>
        </w:rPr>
        <w:t>PloS one</w:t>
      </w:r>
      <w:r w:rsidRPr="007B4715">
        <w:rPr>
          <w:rFonts w:ascii="Arial" w:eastAsia="Times New Roman" w:hAnsi="Arial" w:cs="Arial"/>
          <w:kern w:val="0"/>
          <w:sz w:val="22"/>
          <w:szCs w:val="22"/>
          <w:lang w:eastAsia="en-GB"/>
          <w14:ligatures w14:val="none"/>
        </w:rPr>
        <w:t xml:space="preserve">, 17(8), p. e0271306. Available at: </w:t>
      </w:r>
      <w:hyperlink r:id="rId14" w:history="1">
        <w:r w:rsidRPr="007B4715">
          <w:rPr>
            <w:rStyle w:val="Hyperlink"/>
            <w:rFonts w:ascii="Arial" w:eastAsia="Times New Roman" w:hAnsi="Arial" w:cs="Arial"/>
            <w:kern w:val="0"/>
            <w:sz w:val="22"/>
            <w:szCs w:val="22"/>
            <w:lang w:eastAsia="en-GB"/>
            <w14:ligatures w14:val="none"/>
          </w:rPr>
          <w:t>https://doi.org/10.1371/journal.pone.0271306</w:t>
        </w:r>
      </w:hyperlink>
      <w:r w:rsidRPr="007B4715">
        <w:rPr>
          <w:rFonts w:ascii="Arial" w:eastAsia="Times New Roman" w:hAnsi="Arial" w:cs="Arial"/>
          <w:kern w:val="0"/>
          <w:sz w:val="22"/>
          <w:szCs w:val="22"/>
          <w:lang w:eastAsia="en-GB"/>
          <w14:ligatures w14:val="none"/>
        </w:rPr>
        <w:t>. . (Accessed: 31 July 2026).</w:t>
      </w:r>
    </w:p>
    <w:p w14:paraId="6EE5CB61"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7A40C42"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Bhowmick, G.D.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(2020) “Coronavirus disease 2019 (COVID-19) outbreak: some serious consequences with urban and rural water cycle,” </w:t>
      </w:r>
      <w:r w:rsidRPr="007B4715">
        <w:rPr>
          <w:rFonts w:ascii="Arial" w:eastAsia="Times New Roman" w:hAnsi="Arial" w:cs="Arial"/>
          <w:i/>
          <w:iCs/>
          <w:kern w:val="0"/>
          <w:sz w:val="22"/>
          <w:szCs w:val="22"/>
          <w:lang w:eastAsia="en-GB"/>
          <w14:ligatures w14:val="none"/>
        </w:rPr>
        <w:t>npj clean water</w:t>
      </w:r>
      <w:r w:rsidRPr="007B4715">
        <w:rPr>
          <w:rFonts w:ascii="Arial" w:eastAsia="Times New Roman" w:hAnsi="Arial" w:cs="Arial"/>
          <w:kern w:val="0"/>
          <w:sz w:val="22"/>
          <w:szCs w:val="22"/>
          <w:lang w:eastAsia="en-GB"/>
          <w14:ligatures w14:val="none"/>
        </w:rPr>
        <w:t xml:space="preserve">, 3(1). Available at: </w:t>
      </w:r>
      <w:hyperlink r:id="rId15" w:history="1">
        <w:r w:rsidRPr="007B4715">
          <w:rPr>
            <w:rStyle w:val="Hyperlink"/>
            <w:rFonts w:ascii="Arial" w:eastAsia="Times New Roman" w:hAnsi="Arial" w:cs="Arial"/>
            <w:kern w:val="0"/>
            <w:sz w:val="22"/>
            <w:szCs w:val="22"/>
            <w:lang w:eastAsia="en-GB"/>
            <w14:ligatures w14:val="none"/>
          </w:rPr>
          <w:t>https://doi.org/10.1038/s41545-020-0079-1</w:t>
        </w:r>
      </w:hyperlink>
      <w:r w:rsidRPr="007B4715">
        <w:rPr>
          <w:rFonts w:ascii="Arial" w:eastAsia="Times New Roman" w:hAnsi="Arial" w:cs="Arial"/>
          <w:kern w:val="0"/>
          <w:sz w:val="22"/>
          <w:szCs w:val="22"/>
          <w:lang w:eastAsia="en-GB"/>
          <w14:ligatures w14:val="none"/>
        </w:rPr>
        <w:t>. (Accessed: 31 July 2026).</w:t>
      </w:r>
    </w:p>
    <w:p w14:paraId="38D6E7C4"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B773457"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Bowman, B.M., Hunt, D.V.L. and Rogers, C.D.F. (2022) “Gazing into the Crystal Ball: A Review of Futures Analysis to Promote Environmental Justice in the UK Water Industry,” </w:t>
      </w:r>
      <w:r w:rsidRPr="007B4715">
        <w:rPr>
          <w:rFonts w:ascii="Arial" w:eastAsia="Times New Roman" w:hAnsi="Arial" w:cs="Arial"/>
          <w:i/>
          <w:iCs/>
          <w:kern w:val="0"/>
          <w:sz w:val="22"/>
          <w:szCs w:val="22"/>
          <w:lang w:eastAsia="en-GB"/>
          <w14:ligatures w14:val="none"/>
        </w:rPr>
        <w:t>Sustainability</w:t>
      </w:r>
      <w:r w:rsidRPr="007B4715">
        <w:rPr>
          <w:rFonts w:ascii="Arial" w:eastAsia="Times New Roman" w:hAnsi="Arial" w:cs="Arial"/>
          <w:kern w:val="0"/>
          <w:sz w:val="22"/>
          <w:szCs w:val="22"/>
          <w:lang w:eastAsia="en-GB"/>
          <w14:ligatures w14:val="none"/>
        </w:rPr>
        <w:t xml:space="preserve">, 14(8), p. 4586. Available at: </w:t>
      </w:r>
      <w:hyperlink r:id="rId16" w:history="1">
        <w:r w:rsidRPr="007B4715">
          <w:rPr>
            <w:rStyle w:val="Hyperlink"/>
            <w:rFonts w:ascii="Arial" w:eastAsia="Times New Roman" w:hAnsi="Arial" w:cs="Arial"/>
            <w:kern w:val="0"/>
            <w:sz w:val="22"/>
            <w:szCs w:val="22"/>
            <w:lang w:eastAsia="en-GB"/>
            <w14:ligatures w14:val="none"/>
          </w:rPr>
          <w:t>https://doi.org/10.3390/su14084586</w:t>
        </w:r>
      </w:hyperlink>
      <w:r w:rsidRPr="007B4715">
        <w:rPr>
          <w:rFonts w:ascii="Arial" w:eastAsia="Times New Roman" w:hAnsi="Arial" w:cs="Arial"/>
          <w:kern w:val="0"/>
          <w:sz w:val="22"/>
          <w:szCs w:val="22"/>
          <w:lang w:eastAsia="en-GB"/>
          <w14:ligatures w14:val="none"/>
        </w:rPr>
        <w:t>. (Accessed: 31 July 2026).</w:t>
      </w:r>
    </w:p>
    <w:p w14:paraId="5C2AE4C8"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71FCAD1"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Carey, G., Crammond, B. and Keast, R. (2014) “Creating change in government to address the social determinants of health: how can efforts be improved?,” </w:t>
      </w:r>
      <w:r w:rsidRPr="007B4715">
        <w:rPr>
          <w:rFonts w:ascii="Arial" w:eastAsia="Times New Roman" w:hAnsi="Arial" w:cs="Arial"/>
          <w:i/>
          <w:iCs/>
          <w:kern w:val="0"/>
          <w:sz w:val="22"/>
          <w:szCs w:val="22"/>
          <w:lang w:eastAsia="en-GB"/>
          <w14:ligatures w14:val="none"/>
        </w:rPr>
        <w:t>BMC public health</w:t>
      </w:r>
      <w:r w:rsidRPr="007B4715">
        <w:rPr>
          <w:rFonts w:ascii="Arial" w:eastAsia="Times New Roman" w:hAnsi="Arial" w:cs="Arial"/>
          <w:kern w:val="0"/>
          <w:sz w:val="22"/>
          <w:szCs w:val="22"/>
          <w:lang w:eastAsia="en-GB"/>
          <w14:ligatures w14:val="none"/>
        </w:rPr>
        <w:t xml:space="preserve">, 14(1). Available at: </w:t>
      </w:r>
      <w:hyperlink r:id="rId17" w:history="1">
        <w:r w:rsidRPr="007B4715">
          <w:rPr>
            <w:rStyle w:val="Hyperlink"/>
            <w:rFonts w:ascii="Arial" w:eastAsia="Times New Roman" w:hAnsi="Arial" w:cs="Arial"/>
            <w:kern w:val="0"/>
            <w:sz w:val="22"/>
            <w:szCs w:val="22"/>
            <w:lang w:eastAsia="en-GB"/>
            <w14:ligatures w14:val="none"/>
          </w:rPr>
          <w:t>https://doi.org/10.1186/1471-2458-14-1087</w:t>
        </w:r>
      </w:hyperlink>
      <w:r w:rsidRPr="007B4715">
        <w:rPr>
          <w:rFonts w:ascii="Arial" w:eastAsia="Times New Roman" w:hAnsi="Arial" w:cs="Arial"/>
          <w:kern w:val="0"/>
          <w:sz w:val="22"/>
          <w:szCs w:val="22"/>
          <w:lang w:eastAsia="en-GB"/>
          <w14:ligatures w14:val="none"/>
        </w:rPr>
        <w:t>. (Accessed: 01 August 2026).</w:t>
      </w:r>
    </w:p>
    <w:p w14:paraId="7CE03982"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9B48C44"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Čerba, D.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(2025) “Freshwater Ecosystems—Biodiversity and Protection,” </w:t>
      </w:r>
      <w:r w:rsidRPr="007B4715">
        <w:rPr>
          <w:rFonts w:ascii="Arial" w:eastAsia="Times New Roman" w:hAnsi="Arial" w:cs="Arial"/>
          <w:i/>
          <w:iCs/>
          <w:kern w:val="0"/>
          <w:sz w:val="22"/>
          <w:szCs w:val="22"/>
          <w:lang w:eastAsia="en-GB"/>
          <w14:ligatures w14:val="none"/>
        </w:rPr>
        <w:t>Water (Basel)</w:t>
      </w:r>
      <w:r w:rsidRPr="007B4715">
        <w:rPr>
          <w:rFonts w:ascii="Arial" w:eastAsia="Times New Roman" w:hAnsi="Arial" w:cs="Arial"/>
          <w:kern w:val="0"/>
          <w:sz w:val="22"/>
          <w:szCs w:val="22"/>
          <w:lang w:eastAsia="en-GB"/>
          <w14:ligatures w14:val="none"/>
        </w:rPr>
        <w:t xml:space="preserve">, 17(21), p. 3109. Available at: </w:t>
      </w:r>
      <w:hyperlink r:id="rId18" w:history="1">
        <w:r w:rsidRPr="007B4715">
          <w:rPr>
            <w:rStyle w:val="Hyperlink"/>
            <w:rFonts w:ascii="Arial" w:eastAsia="Times New Roman" w:hAnsi="Arial" w:cs="Arial"/>
            <w:kern w:val="0"/>
            <w:sz w:val="22"/>
            <w:szCs w:val="22"/>
            <w:lang w:eastAsia="en-GB"/>
            <w14:ligatures w14:val="none"/>
          </w:rPr>
          <w:t>https://doi.org/10.3390/w17213109</w:t>
        </w:r>
      </w:hyperlink>
      <w:r w:rsidRPr="007B4715">
        <w:rPr>
          <w:rFonts w:ascii="Arial" w:eastAsia="Times New Roman" w:hAnsi="Arial" w:cs="Arial"/>
          <w:kern w:val="0"/>
          <w:sz w:val="22"/>
          <w:szCs w:val="22"/>
          <w:lang w:eastAsia="en-GB"/>
          <w14:ligatures w14:val="none"/>
        </w:rPr>
        <w:t>. (Accessed: 31 July 2026).</w:t>
      </w:r>
    </w:p>
    <w:p w14:paraId="629BDCBE"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7E75EC75"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Chirgwin, H.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(2021) “Interventions promoting uptake of water, sanitation and hygiene (WASH) technologies in low</w:t>
      </w:r>
      <w:r w:rsidRPr="007B4715">
        <w:rPr>
          <w:rFonts w:ascii="Cambria Math" w:eastAsia="Times New Roman" w:hAnsi="Cambria Math" w:cs="Cambria Math"/>
          <w:kern w:val="0"/>
          <w:sz w:val="22"/>
          <w:szCs w:val="22"/>
          <w:lang w:eastAsia="en-GB"/>
          <w14:ligatures w14:val="none"/>
        </w:rPr>
        <w:t>‐</w:t>
      </w:r>
      <w:r w:rsidRPr="007B4715">
        <w:rPr>
          <w:rFonts w:ascii="Arial" w:eastAsia="Times New Roman" w:hAnsi="Arial" w:cs="Arial"/>
          <w:kern w:val="0"/>
          <w:sz w:val="22"/>
          <w:szCs w:val="22"/>
          <w:lang w:eastAsia="en-GB"/>
          <w14:ligatures w14:val="none"/>
        </w:rPr>
        <w:t xml:space="preserve"> and middle</w:t>
      </w:r>
      <w:r w:rsidRPr="007B4715">
        <w:rPr>
          <w:rFonts w:ascii="Cambria Math" w:eastAsia="Times New Roman" w:hAnsi="Cambria Math" w:cs="Cambria Math"/>
          <w:kern w:val="0"/>
          <w:sz w:val="22"/>
          <w:szCs w:val="22"/>
          <w:lang w:eastAsia="en-GB"/>
          <w14:ligatures w14:val="none"/>
        </w:rPr>
        <w:t>‐</w:t>
      </w:r>
      <w:r w:rsidRPr="007B4715">
        <w:rPr>
          <w:rFonts w:ascii="Arial" w:eastAsia="Times New Roman" w:hAnsi="Arial" w:cs="Arial"/>
          <w:kern w:val="0"/>
          <w:sz w:val="22"/>
          <w:szCs w:val="22"/>
          <w:lang w:eastAsia="en-GB"/>
          <w14:ligatures w14:val="none"/>
        </w:rPr>
        <w:t xml:space="preserve">income countries: An evidence and gap map of effectiveness studies,” </w:t>
      </w:r>
      <w:r w:rsidRPr="007B4715">
        <w:rPr>
          <w:rFonts w:ascii="Arial" w:eastAsia="Times New Roman" w:hAnsi="Arial" w:cs="Arial"/>
          <w:i/>
          <w:iCs/>
          <w:kern w:val="0"/>
          <w:sz w:val="22"/>
          <w:szCs w:val="22"/>
          <w:lang w:eastAsia="en-GB"/>
          <w14:ligatures w14:val="none"/>
        </w:rPr>
        <w:t>Campbell systematic review</w:t>
      </w:r>
      <w:r w:rsidRPr="007B4715">
        <w:rPr>
          <w:rFonts w:ascii="Arial" w:eastAsia="Times New Roman" w:hAnsi="Arial" w:cs="Arial"/>
          <w:kern w:val="0"/>
          <w:sz w:val="22"/>
          <w:szCs w:val="22"/>
          <w:lang w:eastAsia="en-GB"/>
          <w14:ligatures w14:val="none"/>
        </w:rPr>
        <w:t xml:space="preserve">, 17(4), pp. e1194-n/a. Available at: </w:t>
      </w:r>
      <w:hyperlink r:id="rId19" w:history="1">
        <w:r w:rsidRPr="007B4715">
          <w:rPr>
            <w:rStyle w:val="Hyperlink"/>
            <w:rFonts w:ascii="Arial" w:eastAsia="Times New Roman" w:hAnsi="Arial" w:cs="Arial"/>
            <w:kern w:val="0"/>
            <w:sz w:val="22"/>
            <w:szCs w:val="22"/>
            <w:lang w:eastAsia="en-GB"/>
            <w14:ligatures w14:val="none"/>
          </w:rPr>
          <w:t>https://doi.org/10.1002/cl2.1194</w:t>
        </w:r>
      </w:hyperlink>
      <w:r w:rsidRPr="007B4715">
        <w:rPr>
          <w:rFonts w:ascii="Arial" w:eastAsia="Times New Roman" w:hAnsi="Arial" w:cs="Arial"/>
          <w:kern w:val="0"/>
          <w:sz w:val="22"/>
          <w:szCs w:val="22"/>
          <w:lang w:eastAsia="en-GB"/>
          <w14:ligatures w14:val="none"/>
        </w:rPr>
        <w:t>. (Accessed: 31 July 2026).</w:t>
      </w:r>
    </w:p>
    <w:p w14:paraId="0CFD49F4"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lastRenderedPageBreak/>
        <w:t xml:space="preserve">Clark, E.C.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(2024) “Mobilizing community-driven health promotion through community granting programs: a rapid systematic review,” </w:t>
      </w:r>
      <w:r w:rsidRPr="007B4715">
        <w:rPr>
          <w:rFonts w:ascii="Arial" w:eastAsia="Times New Roman" w:hAnsi="Arial" w:cs="Arial"/>
          <w:i/>
          <w:iCs/>
          <w:kern w:val="0"/>
          <w:sz w:val="22"/>
          <w:szCs w:val="22"/>
          <w:lang w:eastAsia="en-GB"/>
          <w14:ligatures w14:val="none"/>
        </w:rPr>
        <w:t>BMC public health</w:t>
      </w:r>
      <w:r w:rsidRPr="007B4715">
        <w:rPr>
          <w:rFonts w:ascii="Arial" w:eastAsia="Times New Roman" w:hAnsi="Arial" w:cs="Arial"/>
          <w:kern w:val="0"/>
          <w:sz w:val="22"/>
          <w:szCs w:val="22"/>
          <w:lang w:eastAsia="en-GB"/>
          <w14:ligatures w14:val="none"/>
        </w:rPr>
        <w:t xml:space="preserve">, 24(1). Available at: </w:t>
      </w:r>
      <w:hyperlink r:id="rId20" w:history="1">
        <w:r w:rsidRPr="007B4715">
          <w:rPr>
            <w:rStyle w:val="Hyperlink"/>
            <w:rFonts w:ascii="Arial" w:eastAsia="Times New Roman" w:hAnsi="Arial" w:cs="Arial"/>
            <w:kern w:val="0"/>
            <w:sz w:val="22"/>
            <w:szCs w:val="22"/>
            <w:lang w:eastAsia="en-GB"/>
            <w14:ligatures w14:val="none"/>
          </w:rPr>
          <w:t>https://doi.org/10.1186/s12889-024-18443-8</w:t>
        </w:r>
      </w:hyperlink>
      <w:r w:rsidRPr="007B4715">
        <w:rPr>
          <w:rFonts w:ascii="Arial" w:eastAsia="Times New Roman" w:hAnsi="Arial" w:cs="Arial"/>
          <w:kern w:val="0"/>
          <w:sz w:val="22"/>
          <w:szCs w:val="22"/>
          <w:lang w:eastAsia="en-GB"/>
          <w14:ligatures w14:val="none"/>
        </w:rPr>
        <w:t>. (Accessed: 2 August 2026).</w:t>
      </w:r>
    </w:p>
    <w:p w14:paraId="7A29A573"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C0ADC72"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Coghill, N.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(2018) “NHS health checks: a cross- sectional observational study on equity of uptake and outcomes,” </w:t>
      </w:r>
      <w:r w:rsidRPr="007B4715">
        <w:rPr>
          <w:rFonts w:ascii="Arial" w:eastAsia="Times New Roman" w:hAnsi="Arial" w:cs="Arial"/>
          <w:i/>
          <w:iCs/>
          <w:kern w:val="0"/>
          <w:sz w:val="22"/>
          <w:szCs w:val="22"/>
          <w:lang w:eastAsia="en-GB"/>
          <w14:ligatures w14:val="none"/>
        </w:rPr>
        <w:t>BMC health services research</w:t>
      </w:r>
      <w:r w:rsidRPr="007B4715">
        <w:rPr>
          <w:rFonts w:ascii="Arial" w:eastAsia="Times New Roman" w:hAnsi="Arial" w:cs="Arial"/>
          <w:kern w:val="0"/>
          <w:sz w:val="22"/>
          <w:szCs w:val="22"/>
          <w:lang w:eastAsia="en-GB"/>
          <w14:ligatures w14:val="none"/>
        </w:rPr>
        <w:t xml:space="preserve">, 18(1). Available at: </w:t>
      </w:r>
      <w:hyperlink r:id="rId21" w:history="1">
        <w:r w:rsidRPr="007B4715">
          <w:rPr>
            <w:rStyle w:val="Hyperlink"/>
            <w:rFonts w:ascii="Arial" w:eastAsia="Times New Roman" w:hAnsi="Arial" w:cs="Arial"/>
            <w:kern w:val="0"/>
            <w:sz w:val="22"/>
            <w:szCs w:val="22"/>
            <w:lang w:eastAsia="en-GB"/>
            <w14:ligatures w14:val="none"/>
          </w:rPr>
          <w:t>https://doi.org/10.1186/s12913-018-3027-8</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27 July 2026).</w:t>
      </w:r>
    </w:p>
    <w:p w14:paraId="376A9FCF"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77B7F433"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Collaborators, G.S.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(2018) “Measuring progress from 1990 to 2017 and projecting attainment to 2030 of the health-related Sustainable Development Goals for 195 countries and territories: a systematic analysis for the Global Burden of Disease Study 2017,” </w:t>
      </w:r>
      <w:r w:rsidRPr="007B4715">
        <w:rPr>
          <w:rFonts w:ascii="Arial" w:eastAsia="Times New Roman" w:hAnsi="Arial" w:cs="Arial"/>
          <w:i/>
          <w:iCs/>
          <w:kern w:val="0"/>
          <w:sz w:val="22"/>
          <w:szCs w:val="22"/>
          <w:lang w:eastAsia="en-GB"/>
          <w14:ligatures w14:val="none"/>
        </w:rPr>
        <w:t>The Lancet</w:t>
      </w:r>
      <w:r w:rsidRPr="007B4715">
        <w:rPr>
          <w:rFonts w:ascii="Arial" w:eastAsia="Times New Roman" w:hAnsi="Arial" w:cs="Arial"/>
          <w:kern w:val="0"/>
          <w:sz w:val="22"/>
          <w:szCs w:val="22"/>
          <w:lang w:eastAsia="en-GB"/>
          <w14:ligatures w14:val="none"/>
        </w:rPr>
        <w:t xml:space="preserve">, 392(10159), pp. 2091–2138. </w:t>
      </w:r>
      <w:r w:rsidRPr="007B4715">
        <w:rPr>
          <w:rFonts w:ascii="Arial" w:hAnsi="Arial" w:cs="Arial"/>
          <w:sz w:val="22"/>
          <w:szCs w:val="22"/>
        </w:rPr>
        <w:t>(Accessed 29 July 2026).</w:t>
      </w:r>
      <w:r w:rsidRPr="007B4715">
        <w:rPr>
          <w:rFonts w:ascii="Arial" w:eastAsia="Times New Roman" w:hAnsi="Arial" w:cs="Arial"/>
          <w:kern w:val="0"/>
          <w:sz w:val="22"/>
          <w:szCs w:val="22"/>
          <w:lang w:eastAsia="en-GB"/>
          <w14:ligatures w14:val="none"/>
        </w:rPr>
        <w:t xml:space="preserve"> </w:t>
      </w:r>
    </w:p>
    <w:p w14:paraId="57CD8FD4"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7205338"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Evans, N. (2019) “NHS Long Term Plan ‘guarantees’ shifting resources from hospitals to community,” </w:t>
      </w:r>
      <w:r w:rsidRPr="007B4715">
        <w:rPr>
          <w:rFonts w:ascii="Arial" w:eastAsia="Times New Roman" w:hAnsi="Arial" w:cs="Arial"/>
          <w:i/>
          <w:iCs/>
          <w:kern w:val="0"/>
          <w:sz w:val="22"/>
          <w:szCs w:val="22"/>
          <w:lang w:eastAsia="en-GB"/>
          <w14:ligatures w14:val="none"/>
        </w:rPr>
        <w:t>Nursing management (Harrow, London, England)</w:t>
      </w:r>
      <w:r w:rsidRPr="007B4715">
        <w:rPr>
          <w:rFonts w:ascii="Arial" w:eastAsia="Times New Roman" w:hAnsi="Arial" w:cs="Arial"/>
          <w:kern w:val="0"/>
          <w:sz w:val="22"/>
          <w:szCs w:val="22"/>
          <w:lang w:eastAsia="en-GB"/>
          <w14:ligatures w14:val="none"/>
        </w:rPr>
        <w:t xml:space="preserve">, 26(1), pp. 8–10. Available at: </w:t>
      </w:r>
      <w:hyperlink r:id="rId22" w:history="1">
        <w:r w:rsidRPr="007B4715">
          <w:rPr>
            <w:rStyle w:val="Hyperlink"/>
            <w:rFonts w:ascii="Arial" w:eastAsia="Times New Roman" w:hAnsi="Arial" w:cs="Arial"/>
            <w:kern w:val="0"/>
            <w:sz w:val="22"/>
            <w:szCs w:val="22"/>
            <w:lang w:eastAsia="en-GB"/>
            <w14:ligatures w14:val="none"/>
          </w:rPr>
          <w:t>https://doi.org/10.7748/nm.26.1.8.s7</w:t>
        </w:r>
      </w:hyperlink>
      <w:r w:rsidRPr="007B4715">
        <w:rPr>
          <w:rFonts w:ascii="Arial" w:eastAsia="Times New Roman" w:hAnsi="Arial" w:cs="Arial"/>
          <w:kern w:val="0"/>
          <w:sz w:val="22"/>
          <w:szCs w:val="22"/>
          <w:lang w:eastAsia="en-GB"/>
          <w14:ligatures w14:val="none"/>
        </w:rPr>
        <w:t>. . (Accessed: 01 August 2026).</w:t>
      </w:r>
    </w:p>
    <w:p w14:paraId="021C3EB4"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E256D93"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Ford, A.T.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(2025) “Water industry strategies to manufacture doubt and deflect blame for sewage pollution in England,” </w:t>
      </w:r>
      <w:r w:rsidRPr="007B4715">
        <w:rPr>
          <w:rFonts w:ascii="Arial" w:eastAsia="Times New Roman" w:hAnsi="Arial" w:cs="Arial"/>
          <w:i/>
          <w:iCs/>
          <w:kern w:val="0"/>
          <w:sz w:val="22"/>
          <w:szCs w:val="22"/>
          <w:lang w:eastAsia="en-GB"/>
          <w14:ligatures w14:val="none"/>
        </w:rPr>
        <w:t>Nature water</w:t>
      </w:r>
      <w:r w:rsidRPr="007B4715">
        <w:rPr>
          <w:rFonts w:ascii="Arial" w:eastAsia="Times New Roman" w:hAnsi="Arial" w:cs="Arial"/>
          <w:kern w:val="0"/>
          <w:sz w:val="22"/>
          <w:szCs w:val="22"/>
          <w:lang w:eastAsia="en-GB"/>
          <w14:ligatures w14:val="none"/>
        </w:rPr>
        <w:t xml:space="preserve">, 3(2), pp. 231–243. Available at: </w:t>
      </w:r>
      <w:hyperlink r:id="rId23" w:history="1">
        <w:r w:rsidRPr="007B4715">
          <w:rPr>
            <w:rStyle w:val="Hyperlink"/>
            <w:rFonts w:ascii="Arial" w:eastAsia="Times New Roman" w:hAnsi="Arial" w:cs="Arial"/>
            <w:kern w:val="0"/>
            <w:sz w:val="22"/>
            <w:szCs w:val="22"/>
            <w:lang w:eastAsia="en-GB"/>
            <w14:ligatures w14:val="none"/>
          </w:rPr>
          <w:t>https://doi.org/10.1038/s44221-024-00370-y</w:t>
        </w:r>
      </w:hyperlink>
      <w:r w:rsidRPr="007B4715">
        <w:rPr>
          <w:rFonts w:ascii="Arial" w:eastAsia="Times New Roman" w:hAnsi="Arial" w:cs="Arial"/>
          <w:kern w:val="0"/>
          <w:sz w:val="22"/>
          <w:szCs w:val="22"/>
          <w:lang w:eastAsia="en-GB"/>
          <w14:ligatures w14:val="none"/>
        </w:rPr>
        <w:t>. (Accessed: 31 July 2026).</w:t>
      </w:r>
    </w:p>
    <w:p w14:paraId="1F2F2A8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CE97F43"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Goldberg, D. (2008) “Improved investment in mental health services: value for money?,” </w:t>
      </w:r>
      <w:r w:rsidRPr="007B4715">
        <w:rPr>
          <w:rFonts w:ascii="Arial" w:eastAsia="Times New Roman" w:hAnsi="Arial" w:cs="Arial"/>
          <w:i/>
          <w:iCs/>
          <w:kern w:val="0"/>
          <w:sz w:val="22"/>
          <w:szCs w:val="22"/>
          <w:lang w:eastAsia="en-GB"/>
          <w14:ligatures w14:val="none"/>
        </w:rPr>
        <w:t>British journal of psychiatry</w:t>
      </w:r>
      <w:r w:rsidRPr="007B4715">
        <w:rPr>
          <w:rFonts w:ascii="Arial" w:eastAsia="Times New Roman" w:hAnsi="Arial" w:cs="Arial"/>
          <w:kern w:val="0"/>
          <w:sz w:val="22"/>
          <w:szCs w:val="22"/>
          <w:lang w:eastAsia="en-GB"/>
          <w14:ligatures w14:val="none"/>
        </w:rPr>
        <w:t xml:space="preserve">, 192(2), pp. 88–91. Available at: </w:t>
      </w:r>
      <w:hyperlink r:id="rId24" w:history="1">
        <w:r w:rsidRPr="007B4715">
          <w:rPr>
            <w:rStyle w:val="Hyperlink"/>
            <w:rFonts w:ascii="Arial" w:eastAsia="Times New Roman" w:hAnsi="Arial" w:cs="Arial"/>
            <w:kern w:val="0"/>
            <w:sz w:val="22"/>
            <w:szCs w:val="22"/>
            <w:lang w:eastAsia="en-GB"/>
            <w14:ligatures w14:val="none"/>
          </w:rPr>
          <w:t>https://doi.org/10.1192/bjp.bp.107.042879</w:t>
        </w:r>
      </w:hyperlink>
      <w:r w:rsidRPr="007B4715">
        <w:rPr>
          <w:rFonts w:ascii="Arial" w:eastAsia="Times New Roman" w:hAnsi="Arial" w:cs="Arial"/>
          <w:kern w:val="0"/>
          <w:sz w:val="22"/>
          <w:szCs w:val="22"/>
          <w:lang w:eastAsia="en-GB"/>
          <w14:ligatures w14:val="none"/>
        </w:rPr>
        <w:t>.</w:t>
      </w:r>
      <w:r w:rsidRPr="007B4715">
        <w:rPr>
          <w:rFonts w:ascii="Arial" w:hAnsi="Arial" w:cs="Arial"/>
          <w:sz w:val="22"/>
          <w:szCs w:val="22"/>
        </w:rPr>
        <w:t xml:space="preserve"> (Accessed 29 July 2026).</w:t>
      </w:r>
      <w:r w:rsidRPr="007B4715">
        <w:rPr>
          <w:rFonts w:ascii="Arial" w:eastAsia="Times New Roman" w:hAnsi="Arial" w:cs="Arial"/>
          <w:kern w:val="0"/>
          <w:sz w:val="22"/>
          <w:szCs w:val="22"/>
          <w:lang w:eastAsia="en-GB"/>
          <w14:ligatures w14:val="none"/>
        </w:rPr>
        <w:t xml:space="preserve"> </w:t>
      </w:r>
    </w:p>
    <w:p w14:paraId="14E16238"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04C40589"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Hardy, S. and Gray, R. (2010) “Adapting the severe mental illness physical Health Improvement Profile for use in primary care,” </w:t>
      </w:r>
      <w:r w:rsidRPr="007B4715">
        <w:rPr>
          <w:rFonts w:ascii="Arial" w:eastAsia="Times New Roman" w:hAnsi="Arial" w:cs="Arial"/>
          <w:i/>
          <w:iCs/>
          <w:kern w:val="0"/>
          <w:sz w:val="22"/>
          <w:szCs w:val="22"/>
          <w:lang w:eastAsia="en-GB"/>
          <w14:ligatures w14:val="none"/>
        </w:rPr>
        <w:t>International journal of mental health nursing</w:t>
      </w:r>
      <w:r w:rsidRPr="007B4715">
        <w:rPr>
          <w:rFonts w:ascii="Arial" w:eastAsia="Times New Roman" w:hAnsi="Arial" w:cs="Arial"/>
          <w:kern w:val="0"/>
          <w:sz w:val="22"/>
          <w:szCs w:val="22"/>
          <w:lang w:eastAsia="en-GB"/>
          <w14:ligatures w14:val="none"/>
        </w:rPr>
        <w:t xml:space="preserve">, 19(5), pp. 350–355. Available at: </w:t>
      </w:r>
      <w:hyperlink r:id="rId25" w:history="1">
        <w:r w:rsidRPr="007B4715">
          <w:rPr>
            <w:rStyle w:val="Hyperlink"/>
            <w:rFonts w:ascii="Arial" w:eastAsia="Times New Roman" w:hAnsi="Arial" w:cs="Arial"/>
            <w:kern w:val="0"/>
            <w:sz w:val="22"/>
            <w:szCs w:val="22"/>
            <w:lang w:eastAsia="en-GB"/>
            <w14:ligatures w14:val="none"/>
          </w:rPr>
          <w:t>https://doi.org/10.1111/j.1447-0349.2010.00686.x</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7B059D2A"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F15043A" w14:textId="02DC774E" w:rsidR="007B4715" w:rsidRP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Holden, J., Haygarth, P.M., Dunn, N., Harris, J., Harris, R.C., Humble, A., Jenkins, A., MacDonald, J., McGonigle, D.F., Meacham, T. and Orr, H.G., 2017. Water quality and UK agriculture: challenges and opportunities. </w:t>
      </w:r>
      <w:r w:rsidRPr="007B4715">
        <w:rPr>
          <w:rFonts w:ascii="Arial" w:eastAsia="Times New Roman" w:hAnsi="Arial" w:cs="Arial"/>
          <w:i/>
          <w:iCs/>
          <w:kern w:val="0"/>
          <w:sz w:val="22"/>
          <w:szCs w:val="22"/>
          <w:lang w:eastAsia="en-GB"/>
          <w14:ligatures w14:val="none"/>
        </w:rPr>
        <w:t>Wiley Interdisciplinary Reviews: Water</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4</w:t>
      </w:r>
      <w:r w:rsidRPr="007B4715">
        <w:rPr>
          <w:rFonts w:ascii="Arial" w:eastAsia="Times New Roman" w:hAnsi="Arial" w:cs="Arial"/>
          <w:kern w:val="0"/>
          <w:sz w:val="22"/>
          <w:szCs w:val="22"/>
          <w:lang w:eastAsia="en-GB"/>
          <w14:ligatures w14:val="none"/>
        </w:rPr>
        <w:t xml:space="preserve">(2), p.e1201. Available at: </w:t>
      </w:r>
      <w:hyperlink r:id="rId26" w:history="1">
        <w:r w:rsidRPr="007B4715">
          <w:rPr>
            <w:rStyle w:val="Hyperlink"/>
            <w:rFonts w:ascii="Arial" w:eastAsia="Times New Roman" w:hAnsi="Arial" w:cs="Arial"/>
            <w:kern w:val="0"/>
            <w:sz w:val="22"/>
            <w:szCs w:val="22"/>
            <w:lang w:eastAsia="en-GB"/>
            <w14:ligatures w14:val="none"/>
          </w:rPr>
          <w:t>Water quality and UK agriculture: challenges and opportunities - Holden - 2017 - WIREs Water - Wiley Online Library</w:t>
        </w:r>
      </w:hyperlink>
      <w:r w:rsidRPr="007B4715">
        <w:rPr>
          <w:rFonts w:ascii="Arial" w:eastAsia="Times New Roman" w:hAnsi="Arial" w:cs="Arial"/>
          <w:kern w:val="0"/>
          <w:sz w:val="22"/>
          <w:szCs w:val="22"/>
          <w:lang w:eastAsia="en-GB"/>
          <w14:ligatures w14:val="none"/>
        </w:rPr>
        <w:t xml:space="preserve"> (Accessed: 31 July 2026)</w:t>
      </w:r>
      <w:r>
        <w:rPr>
          <w:rFonts w:ascii="Arial" w:eastAsia="Times New Roman" w:hAnsi="Arial" w:cs="Arial"/>
          <w:kern w:val="0"/>
          <w:sz w:val="22"/>
          <w:szCs w:val="22"/>
          <w:lang w:eastAsia="en-GB"/>
          <w14:ligatures w14:val="none"/>
        </w:rPr>
        <w:t>.</w:t>
      </w:r>
    </w:p>
    <w:p w14:paraId="14500C66"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lastRenderedPageBreak/>
        <w:t xml:space="preserve">Iacobucci, G. (2019) “NHS long term plan: three new models of care that could be replicated across England,” </w:t>
      </w:r>
      <w:r w:rsidRPr="007B4715">
        <w:rPr>
          <w:rFonts w:ascii="Arial" w:eastAsia="Times New Roman" w:hAnsi="Arial" w:cs="Arial"/>
          <w:i/>
          <w:iCs/>
          <w:kern w:val="0"/>
          <w:sz w:val="22"/>
          <w:szCs w:val="22"/>
          <w:lang w:eastAsia="en-GB"/>
          <w14:ligatures w14:val="none"/>
        </w:rPr>
        <w:t>BMJ (Online)</w:t>
      </w:r>
      <w:r w:rsidRPr="007B4715">
        <w:rPr>
          <w:rFonts w:ascii="Arial" w:eastAsia="Times New Roman" w:hAnsi="Arial" w:cs="Arial"/>
          <w:kern w:val="0"/>
          <w:sz w:val="22"/>
          <w:szCs w:val="22"/>
          <w:lang w:eastAsia="en-GB"/>
          <w14:ligatures w14:val="none"/>
        </w:rPr>
        <w:t xml:space="preserve">, 364, pp. l254–l254. Available at: </w:t>
      </w:r>
      <w:hyperlink r:id="rId27" w:history="1">
        <w:r w:rsidRPr="007B4715">
          <w:rPr>
            <w:rStyle w:val="Hyperlink"/>
            <w:rFonts w:ascii="Arial" w:eastAsia="Times New Roman" w:hAnsi="Arial" w:cs="Arial"/>
            <w:kern w:val="0"/>
            <w:sz w:val="22"/>
            <w:szCs w:val="22"/>
            <w:lang w:eastAsia="en-GB"/>
            <w14:ligatures w14:val="none"/>
          </w:rPr>
          <w:t>https://doi.org/10.1136/bmj.l254</w:t>
        </w:r>
      </w:hyperlink>
      <w:r w:rsidRPr="007B4715">
        <w:rPr>
          <w:rFonts w:ascii="Arial" w:eastAsia="Times New Roman" w:hAnsi="Arial" w:cs="Arial"/>
          <w:kern w:val="0"/>
          <w:sz w:val="22"/>
          <w:szCs w:val="22"/>
          <w:lang w:eastAsia="en-GB"/>
          <w14:ligatures w14:val="none"/>
        </w:rPr>
        <w:t>. (Accessed: 01 August 2026).</w:t>
      </w:r>
    </w:p>
    <w:p w14:paraId="5F7A4E8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DF86B1C"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Jacob, B. and Kazaura, M. (2021) “Access to Safe Water, Sanitation, and Hygiene: A Cross-Sectional Study among the Maasai in Tanzania,” </w:t>
      </w:r>
      <w:r w:rsidRPr="007B4715">
        <w:rPr>
          <w:rFonts w:ascii="Arial" w:eastAsia="Times New Roman" w:hAnsi="Arial" w:cs="Arial"/>
          <w:i/>
          <w:iCs/>
          <w:kern w:val="0"/>
          <w:sz w:val="22"/>
          <w:szCs w:val="22"/>
          <w:lang w:eastAsia="en-GB"/>
          <w14:ligatures w14:val="none"/>
        </w:rPr>
        <w:t>The American journal of tropical medicine and hygiene</w:t>
      </w:r>
      <w:r w:rsidRPr="007B4715">
        <w:rPr>
          <w:rFonts w:ascii="Arial" w:eastAsia="Times New Roman" w:hAnsi="Arial" w:cs="Arial"/>
          <w:kern w:val="0"/>
          <w:sz w:val="22"/>
          <w:szCs w:val="22"/>
          <w:lang w:eastAsia="en-GB"/>
          <w14:ligatures w14:val="none"/>
        </w:rPr>
        <w:t xml:space="preserve">, 104(4), pp. 1535–1539. Available at: </w:t>
      </w:r>
      <w:hyperlink r:id="rId28" w:history="1">
        <w:r w:rsidRPr="007B4715">
          <w:rPr>
            <w:rStyle w:val="Hyperlink"/>
            <w:rFonts w:ascii="Arial" w:eastAsia="Times New Roman" w:hAnsi="Arial" w:cs="Arial"/>
            <w:kern w:val="0"/>
            <w:sz w:val="22"/>
            <w:szCs w:val="22"/>
            <w:lang w:eastAsia="en-GB"/>
            <w14:ligatures w14:val="none"/>
          </w:rPr>
          <w:t>https://doi.org/10.4269/ajtmh.20-0134</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30 July 2026).</w:t>
      </w:r>
    </w:p>
    <w:p w14:paraId="6D146E66"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E320B02" w14:textId="50503350"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Katre, A. and Raddatz, B., </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2023</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 Low-income families’ direct participation in food-systems innovation to promote healthy food behaviors. </w:t>
      </w:r>
      <w:r w:rsidRPr="007B4715">
        <w:rPr>
          <w:rFonts w:ascii="Arial" w:eastAsia="Times New Roman" w:hAnsi="Arial" w:cs="Arial"/>
          <w:i/>
          <w:iCs/>
          <w:kern w:val="0"/>
          <w:sz w:val="22"/>
          <w:szCs w:val="22"/>
          <w:lang w:eastAsia="en-GB"/>
          <w14:ligatures w14:val="none"/>
        </w:rPr>
        <w:t>Nutrients</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15</w:t>
      </w:r>
      <w:r w:rsidRPr="007B4715">
        <w:rPr>
          <w:rFonts w:ascii="Arial" w:eastAsia="Times New Roman" w:hAnsi="Arial" w:cs="Arial"/>
          <w:kern w:val="0"/>
          <w:sz w:val="22"/>
          <w:szCs w:val="22"/>
          <w:lang w:eastAsia="en-GB"/>
          <w14:ligatures w14:val="none"/>
        </w:rPr>
        <w:t xml:space="preserve">(5), p.1271. Available at: </w:t>
      </w:r>
      <w:hyperlink r:id="rId29" w:history="1">
        <w:r w:rsidRPr="007B4715">
          <w:rPr>
            <w:rStyle w:val="Hyperlink"/>
            <w:rFonts w:ascii="Arial" w:eastAsia="Times New Roman" w:hAnsi="Arial" w:cs="Arial"/>
            <w:kern w:val="0"/>
            <w:sz w:val="22"/>
            <w:szCs w:val="22"/>
            <w:lang w:eastAsia="en-GB"/>
            <w14:ligatures w14:val="none"/>
          </w:rPr>
          <w:t>Low-Income Families’ Direct Participation in Food-Systems Innovation to Promote Healthy Food Behaviors</w:t>
        </w:r>
      </w:hyperlink>
      <w:r w:rsidRPr="007B4715">
        <w:rPr>
          <w:rFonts w:ascii="Arial" w:eastAsia="Times New Roman" w:hAnsi="Arial" w:cs="Arial"/>
          <w:kern w:val="0"/>
          <w:sz w:val="22"/>
          <w:szCs w:val="22"/>
          <w:lang w:eastAsia="en-GB"/>
          <w14:ligatures w14:val="none"/>
        </w:rPr>
        <w:t xml:space="preserve"> (Accessed: 03 August 2026)</w:t>
      </w:r>
      <w:r>
        <w:rPr>
          <w:rFonts w:ascii="Arial" w:eastAsia="Times New Roman" w:hAnsi="Arial" w:cs="Arial"/>
          <w:kern w:val="0"/>
          <w:sz w:val="22"/>
          <w:szCs w:val="22"/>
          <w:lang w:eastAsia="en-GB"/>
          <w14:ligatures w14:val="none"/>
        </w:rPr>
        <w:t>.</w:t>
      </w:r>
    </w:p>
    <w:p w14:paraId="771C1B9E"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00DD0C8B"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Khan, Z. (2023) “The Emerging Challenges and Strengths of the National Health Services: A Physician Perspective,” </w:t>
      </w:r>
      <w:r w:rsidRPr="007B4715">
        <w:rPr>
          <w:rFonts w:ascii="Arial" w:eastAsia="Times New Roman" w:hAnsi="Arial" w:cs="Arial"/>
          <w:i/>
          <w:iCs/>
          <w:kern w:val="0"/>
          <w:sz w:val="22"/>
          <w:szCs w:val="22"/>
          <w:lang w:eastAsia="en-GB"/>
          <w14:ligatures w14:val="none"/>
        </w:rPr>
        <w:t>Curēus (Palo Alto, CA)</w:t>
      </w:r>
      <w:r w:rsidRPr="007B4715">
        <w:rPr>
          <w:rFonts w:ascii="Arial" w:eastAsia="Times New Roman" w:hAnsi="Arial" w:cs="Arial"/>
          <w:kern w:val="0"/>
          <w:sz w:val="22"/>
          <w:szCs w:val="22"/>
          <w:lang w:eastAsia="en-GB"/>
          <w14:ligatures w14:val="none"/>
        </w:rPr>
        <w:t xml:space="preserve">, 15(5), p. e38617. Available at: </w:t>
      </w:r>
      <w:hyperlink r:id="rId30" w:history="1">
        <w:r w:rsidRPr="007B4715">
          <w:rPr>
            <w:rStyle w:val="Hyperlink"/>
            <w:rFonts w:ascii="Arial" w:eastAsia="Times New Roman" w:hAnsi="Arial" w:cs="Arial"/>
            <w:kern w:val="0"/>
            <w:sz w:val="22"/>
            <w:szCs w:val="22"/>
            <w:lang w:eastAsia="en-GB"/>
            <w14:ligatures w14:val="none"/>
          </w:rPr>
          <w:t>https://doi.org/10.7759/cureus.38617</w:t>
        </w:r>
      </w:hyperlink>
      <w:r w:rsidRPr="007B4715">
        <w:rPr>
          <w:rFonts w:ascii="Arial" w:eastAsia="Times New Roman" w:hAnsi="Arial" w:cs="Arial"/>
          <w:kern w:val="0"/>
          <w:sz w:val="22"/>
          <w:szCs w:val="22"/>
          <w:lang w:eastAsia="en-GB"/>
          <w14:ligatures w14:val="none"/>
        </w:rPr>
        <w:t>. (Accessed: 2 August 2026).</w:t>
      </w:r>
    </w:p>
    <w:p w14:paraId="52B7B69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B36E88B"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Khunti, K.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(2023) “Diabetes and Multiple Long-term Conditions: A Review of Our Current Global Health Challenge,” </w:t>
      </w:r>
      <w:r w:rsidRPr="007B4715">
        <w:rPr>
          <w:rFonts w:ascii="Arial" w:eastAsia="Times New Roman" w:hAnsi="Arial" w:cs="Arial"/>
          <w:i/>
          <w:iCs/>
          <w:kern w:val="0"/>
          <w:sz w:val="22"/>
          <w:szCs w:val="22"/>
          <w:lang w:eastAsia="en-GB"/>
          <w14:ligatures w14:val="none"/>
        </w:rPr>
        <w:t>Diabetes care</w:t>
      </w:r>
      <w:r w:rsidRPr="007B4715">
        <w:rPr>
          <w:rFonts w:ascii="Arial" w:eastAsia="Times New Roman" w:hAnsi="Arial" w:cs="Arial"/>
          <w:kern w:val="0"/>
          <w:sz w:val="22"/>
          <w:szCs w:val="22"/>
          <w:lang w:eastAsia="en-GB"/>
          <w14:ligatures w14:val="none"/>
        </w:rPr>
        <w:t xml:space="preserve">, 46(12), pp. 2092–2101. Available at: </w:t>
      </w:r>
      <w:hyperlink r:id="rId31" w:history="1">
        <w:r w:rsidRPr="007B4715">
          <w:rPr>
            <w:rStyle w:val="Hyperlink"/>
            <w:rFonts w:ascii="Arial" w:eastAsia="Times New Roman" w:hAnsi="Arial" w:cs="Arial"/>
            <w:kern w:val="0"/>
            <w:sz w:val="22"/>
            <w:szCs w:val="22"/>
            <w:lang w:eastAsia="en-GB"/>
            <w14:ligatures w14:val="none"/>
          </w:rPr>
          <w:t>https://doi.org/10.2337/dci23-0035</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27 July 2026).</w:t>
      </w:r>
    </w:p>
    <w:p w14:paraId="31347CC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483F13E" w14:textId="39075152"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Kozica, S.L., Lombard, C.B., Harrison, C.L. and Teede, H.J., </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2016</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 Evaluation of a large healthy lifestyle program: informing program implementation and scale-up in the prevention of obesity. </w:t>
      </w:r>
      <w:r w:rsidRPr="007B4715">
        <w:rPr>
          <w:rFonts w:ascii="Arial" w:eastAsia="Times New Roman" w:hAnsi="Arial" w:cs="Arial"/>
          <w:i/>
          <w:iCs/>
          <w:kern w:val="0"/>
          <w:sz w:val="22"/>
          <w:szCs w:val="22"/>
          <w:lang w:eastAsia="en-GB"/>
          <w14:ligatures w14:val="none"/>
        </w:rPr>
        <w:t>Implementation Science</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11</w:t>
      </w:r>
      <w:r w:rsidRPr="007B4715">
        <w:rPr>
          <w:rFonts w:ascii="Arial" w:eastAsia="Times New Roman" w:hAnsi="Arial" w:cs="Arial"/>
          <w:kern w:val="0"/>
          <w:sz w:val="22"/>
          <w:szCs w:val="22"/>
          <w:lang w:eastAsia="en-GB"/>
          <w14:ligatures w14:val="none"/>
        </w:rPr>
        <w:t xml:space="preserve">(1), p.151. Available at: </w:t>
      </w:r>
      <w:hyperlink r:id="rId32" w:history="1">
        <w:r w:rsidRPr="007B4715">
          <w:rPr>
            <w:rStyle w:val="Hyperlink"/>
            <w:rFonts w:ascii="Arial" w:eastAsia="Times New Roman" w:hAnsi="Arial" w:cs="Arial"/>
            <w:kern w:val="0"/>
            <w:sz w:val="22"/>
            <w:szCs w:val="22"/>
            <w:lang w:eastAsia="en-GB"/>
            <w14:ligatures w14:val="none"/>
          </w:rPr>
          <w:t>Evaluation of a large healthy lifestyle program: informing program implementation and scale-up in the prevention of obesity | Implementation Science | Springer Nature Link</w:t>
        </w:r>
      </w:hyperlink>
      <w:r w:rsidRPr="007B4715">
        <w:rPr>
          <w:rFonts w:ascii="Arial" w:eastAsia="Times New Roman" w:hAnsi="Arial" w:cs="Arial"/>
          <w:kern w:val="0"/>
          <w:sz w:val="22"/>
          <w:szCs w:val="22"/>
          <w:lang w:eastAsia="en-GB"/>
          <w14:ligatures w14:val="none"/>
        </w:rPr>
        <w:t xml:space="preserve"> (Accessed; 2 August 2026).</w:t>
      </w:r>
    </w:p>
    <w:p w14:paraId="4C9E305F"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4CAA72D" w14:textId="47836A82"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Lakioti, E., Pagonis, N., Flegkas, D., Itziou, A., Moustakas, K. and Karayannis, V., </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2025</w:t>
      </w:r>
      <w:r>
        <w:rPr>
          <w:rFonts w:ascii="Arial" w:eastAsia="Times New Roman" w:hAnsi="Arial" w:cs="Arial"/>
          <w:kern w:val="0"/>
          <w:sz w:val="22"/>
          <w:szCs w:val="22"/>
          <w:lang w:eastAsia="en-GB"/>
          <w14:ligatures w14:val="none"/>
        </w:rPr>
        <w:t>)</w:t>
      </w:r>
      <w:r w:rsidRPr="007B4715">
        <w:rPr>
          <w:rFonts w:ascii="Arial" w:eastAsia="Times New Roman" w:hAnsi="Arial" w:cs="Arial"/>
          <w:kern w:val="0"/>
          <w:sz w:val="22"/>
          <w:szCs w:val="22"/>
          <w:lang w:eastAsia="en-GB"/>
          <w14:ligatures w14:val="none"/>
        </w:rPr>
        <w:t>. Social factors and policies promoting good health and well-being as a sustainable development goal: current achievements and future pathways. </w:t>
      </w:r>
      <w:r w:rsidRPr="007B4715">
        <w:rPr>
          <w:rFonts w:ascii="Arial" w:eastAsia="Times New Roman" w:hAnsi="Arial" w:cs="Arial"/>
          <w:i/>
          <w:iCs/>
          <w:kern w:val="0"/>
          <w:sz w:val="22"/>
          <w:szCs w:val="22"/>
          <w:lang w:eastAsia="en-GB"/>
          <w14:ligatures w14:val="none"/>
        </w:rPr>
        <w:t>Sustainability</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17</w:t>
      </w:r>
      <w:r w:rsidRPr="007B4715">
        <w:rPr>
          <w:rFonts w:ascii="Arial" w:eastAsia="Times New Roman" w:hAnsi="Arial" w:cs="Arial"/>
          <w:kern w:val="0"/>
          <w:sz w:val="22"/>
          <w:szCs w:val="22"/>
          <w:lang w:eastAsia="en-GB"/>
          <w14:ligatures w14:val="none"/>
        </w:rPr>
        <w:t xml:space="preserve">(11), p.5063. Available at: </w:t>
      </w:r>
      <w:hyperlink r:id="rId33" w:history="1">
        <w:r w:rsidRPr="007B4715">
          <w:rPr>
            <w:rStyle w:val="Hyperlink"/>
            <w:rFonts w:ascii="Arial" w:eastAsia="Times New Roman" w:hAnsi="Arial" w:cs="Arial"/>
            <w:kern w:val="0"/>
            <w:sz w:val="22"/>
            <w:szCs w:val="22"/>
            <w:lang w:eastAsia="en-GB"/>
            <w14:ligatures w14:val="none"/>
          </w:rPr>
          <w:t>Social Factors and Policies Promoting Good Health and Well-Being as a Sustainable Development Goal: Current Achievements and Future Pathways</w:t>
        </w:r>
      </w:hyperlink>
      <w:r w:rsidRPr="007B4715">
        <w:rPr>
          <w:rFonts w:ascii="Arial" w:eastAsia="Times New Roman" w:hAnsi="Arial" w:cs="Arial"/>
          <w:kern w:val="0"/>
          <w:sz w:val="22"/>
          <w:szCs w:val="22"/>
          <w:lang w:eastAsia="en-GB"/>
          <w14:ligatures w14:val="none"/>
        </w:rPr>
        <w:t xml:space="preserve"> (Accessed: 2 August 2026).</w:t>
      </w:r>
    </w:p>
    <w:p w14:paraId="06C2177C" w14:textId="77777777" w:rsidR="007B4715" w:rsidRDefault="007B4715" w:rsidP="007B4715">
      <w:pPr>
        <w:spacing w:after="0" w:line="360" w:lineRule="auto"/>
        <w:rPr>
          <w:rFonts w:ascii="Arial" w:eastAsia="Times New Roman" w:hAnsi="Arial" w:cs="Arial"/>
          <w:kern w:val="0"/>
          <w:sz w:val="22"/>
          <w:szCs w:val="22"/>
          <w:lang w:eastAsia="en-GB"/>
          <w14:ligatures w14:val="none"/>
        </w:rPr>
      </w:pPr>
    </w:p>
    <w:p w14:paraId="5E1F8B3F"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D7C200C"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lastRenderedPageBreak/>
        <w:t xml:space="preserve">Laurens, K.R.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(2022) “School-Based Mental Health Promotion and Early Intervention Programs in New South Wales, Australia : Mapping Practice to Policy and Evidence,” </w:t>
      </w:r>
      <w:r w:rsidRPr="007B4715">
        <w:rPr>
          <w:rFonts w:ascii="Arial" w:eastAsia="Times New Roman" w:hAnsi="Arial" w:cs="Arial"/>
          <w:i/>
          <w:iCs/>
          <w:kern w:val="0"/>
          <w:sz w:val="22"/>
          <w:szCs w:val="22"/>
          <w:lang w:eastAsia="en-GB"/>
          <w14:ligatures w14:val="none"/>
        </w:rPr>
        <w:t>School mental health</w:t>
      </w:r>
      <w:r w:rsidRPr="007B4715">
        <w:rPr>
          <w:rFonts w:ascii="Arial" w:eastAsia="Times New Roman" w:hAnsi="Arial" w:cs="Arial"/>
          <w:kern w:val="0"/>
          <w:sz w:val="22"/>
          <w:szCs w:val="22"/>
          <w:lang w:eastAsia="en-GB"/>
          <w14:ligatures w14:val="none"/>
        </w:rPr>
        <w:t xml:space="preserve">, 14(3), pp. 582–597. Available at: </w:t>
      </w:r>
      <w:hyperlink r:id="rId34" w:history="1">
        <w:r w:rsidRPr="007B4715">
          <w:rPr>
            <w:rStyle w:val="Hyperlink"/>
            <w:rFonts w:ascii="Arial" w:eastAsia="Times New Roman" w:hAnsi="Arial" w:cs="Arial"/>
            <w:kern w:val="0"/>
            <w:sz w:val="22"/>
            <w:szCs w:val="22"/>
            <w:lang w:eastAsia="en-GB"/>
            <w14:ligatures w14:val="none"/>
          </w:rPr>
          <w:t>https://doi.org/10.1007/s12310-021-09482-2</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29 July 2026).</w:t>
      </w:r>
    </w:p>
    <w:p w14:paraId="2655F99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DE636C3" w14:textId="77777777" w:rsidR="007B4715" w:rsidRPr="009C68EA" w:rsidRDefault="007B4715" w:rsidP="007B4715">
      <w:pPr>
        <w:pStyle w:val="NormalWeb"/>
        <w:spacing w:before="0" w:beforeAutospacing="0" w:after="240" w:afterAutospacing="0" w:line="360" w:lineRule="auto"/>
        <w:rPr>
          <w:rFonts w:ascii="Arial" w:hAnsi="Arial" w:cs="Arial"/>
          <w:sz w:val="22"/>
          <w:szCs w:val="22"/>
        </w:rPr>
      </w:pPr>
      <w:r w:rsidRPr="009C68EA">
        <w:rPr>
          <w:rFonts w:ascii="Arial" w:hAnsi="Arial" w:cs="Arial"/>
          <w:sz w:val="22"/>
          <w:szCs w:val="22"/>
        </w:rPr>
        <w:t xml:space="preserve">LBBD- Barking and Dagenham Joint Health and wellbeing strategy. (2019). [online] Available at: </w:t>
      </w:r>
      <w:hyperlink r:id="rId35" w:history="1">
        <w:r w:rsidRPr="009C68EA">
          <w:rPr>
            <w:rStyle w:val="Hyperlink"/>
            <w:rFonts w:ascii="Arial" w:hAnsi="Arial" w:cs="Arial"/>
            <w:sz w:val="22"/>
            <w:szCs w:val="22"/>
          </w:rPr>
          <w:t>https://www.lbbd.gov.uk/sites/default/files/2022-07/Joint-Health-and-Wellbeing-Strategy-2019-2023.pdf</w:t>
        </w:r>
      </w:hyperlink>
      <w:r w:rsidRPr="009C68EA">
        <w:rPr>
          <w:rFonts w:ascii="Arial" w:hAnsi="Arial" w:cs="Arial"/>
          <w:sz w:val="22"/>
          <w:szCs w:val="22"/>
        </w:rPr>
        <w:t xml:space="preserve">  (Accessed 3 August 2026).</w:t>
      </w:r>
    </w:p>
    <w:p w14:paraId="63CFBED7"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Lee, R.W.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(2026) “Implementation of the NHS England Lung Cancer Screening Programme over 5 years,” </w:t>
      </w:r>
      <w:r w:rsidRPr="007B4715">
        <w:rPr>
          <w:rFonts w:ascii="Arial" w:eastAsia="Times New Roman" w:hAnsi="Arial" w:cs="Arial"/>
          <w:i/>
          <w:iCs/>
          <w:kern w:val="0"/>
          <w:sz w:val="22"/>
          <w:szCs w:val="22"/>
          <w:lang w:eastAsia="en-GB"/>
          <w14:ligatures w14:val="none"/>
        </w:rPr>
        <w:t>Nature Medicine</w:t>
      </w:r>
      <w:r w:rsidRPr="007B4715">
        <w:rPr>
          <w:rFonts w:ascii="Arial" w:eastAsia="Times New Roman" w:hAnsi="Arial" w:cs="Arial"/>
          <w:kern w:val="0"/>
          <w:sz w:val="22"/>
          <w:szCs w:val="22"/>
          <w:lang w:eastAsia="en-GB"/>
          <w14:ligatures w14:val="none"/>
        </w:rPr>
        <w:t xml:space="preserve">, 32(5), pp. 1817–1826. Available at: </w:t>
      </w:r>
      <w:hyperlink r:id="rId36" w:history="1">
        <w:r w:rsidRPr="007B4715">
          <w:rPr>
            <w:rStyle w:val="Hyperlink"/>
            <w:rFonts w:ascii="Arial" w:eastAsia="Times New Roman" w:hAnsi="Arial" w:cs="Arial"/>
            <w:kern w:val="0"/>
            <w:sz w:val="22"/>
            <w:szCs w:val="22"/>
            <w:lang w:eastAsia="en-GB"/>
            <w14:ligatures w14:val="none"/>
          </w:rPr>
          <w:t>https://doi.org/10.1038/s41591-026-04292-y</w:t>
        </w:r>
      </w:hyperlink>
      <w:r w:rsidRPr="007B4715">
        <w:rPr>
          <w:rFonts w:ascii="Arial" w:eastAsia="Times New Roman" w:hAnsi="Arial" w:cs="Arial"/>
          <w:kern w:val="0"/>
          <w:sz w:val="22"/>
          <w:szCs w:val="22"/>
          <w:lang w:eastAsia="en-GB"/>
          <w14:ligatures w14:val="none"/>
        </w:rPr>
        <w:t>. (Accessed: 1 August 2026).</w:t>
      </w:r>
    </w:p>
    <w:p w14:paraId="2A3956F6"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3D91C71"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Liu, J.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(2012) “Adapting health promotion interventions to meet the needs of ethnic minority groups: mixed-methods evidence synthesis,” </w:t>
      </w:r>
      <w:r w:rsidRPr="007B4715">
        <w:rPr>
          <w:rFonts w:ascii="Arial" w:eastAsia="Times New Roman" w:hAnsi="Arial" w:cs="Arial"/>
          <w:i/>
          <w:iCs/>
          <w:kern w:val="0"/>
          <w:sz w:val="22"/>
          <w:szCs w:val="22"/>
          <w:lang w:eastAsia="en-GB"/>
          <w14:ligatures w14:val="none"/>
        </w:rPr>
        <w:t>Health technology assessment (Winchester, England)</w:t>
      </w:r>
      <w:r w:rsidRPr="007B4715">
        <w:rPr>
          <w:rFonts w:ascii="Arial" w:eastAsia="Times New Roman" w:hAnsi="Arial" w:cs="Arial"/>
          <w:kern w:val="0"/>
          <w:sz w:val="22"/>
          <w:szCs w:val="22"/>
          <w:lang w:eastAsia="en-GB"/>
          <w14:ligatures w14:val="none"/>
        </w:rPr>
        <w:t xml:space="preserve">, 16(44), pp. 1–490. Available at: </w:t>
      </w:r>
      <w:hyperlink r:id="rId37" w:history="1">
        <w:r w:rsidRPr="007B4715">
          <w:rPr>
            <w:rStyle w:val="Hyperlink"/>
            <w:rFonts w:ascii="Arial" w:eastAsia="Times New Roman" w:hAnsi="Arial" w:cs="Arial"/>
            <w:kern w:val="0"/>
            <w:sz w:val="22"/>
            <w:szCs w:val="22"/>
            <w:lang w:eastAsia="en-GB"/>
            <w14:ligatures w14:val="none"/>
          </w:rPr>
          <w:t>https://doi.org/10.3310/hta16440</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02ED82A3"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B24E8D4" w14:textId="77777777" w:rsidR="007B4715" w:rsidRPr="007B4715" w:rsidRDefault="007B4715" w:rsidP="007B4715">
      <w:pPr>
        <w:spacing w:line="360" w:lineRule="auto"/>
        <w:rPr>
          <w:rFonts w:ascii="Arial" w:hAnsi="Arial" w:cs="Arial"/>
          <w:sz w:val="22"/>
          <w:szCs w:val="22"/>
        </w:rPr>
      </w:pPr>
      <w:r w:rsidRPr="007B4715">
        <w:rPr>
          <w:rFonts w:ascii="Arial" w:hAnsi="Arial" w:cs="Arial"/>
          <w:sz w:val="22"/>
          <w:szCs w:val="22"/>
        </w:rPr>
        <w:t xml:space="preserve">Macassa, G. (2021) “Social Enterprise, Population Health and Sustainable Development Goal 3: A Public Health Viewpoint,” </w:t>
      </w:r>
      <w:r w:rsidRPr="007B4715">
        <w:rPr>
          <w:rFonts w:ascii="Arial" w:hAnsi="Arial" w:cs="Arial"/>
          <w:i/>
          <w:iCs/>
          <w:sz w:val="22"/>
          <w:szCs w:val="22"/>
        </w:rPr>
        <w:t>Annals of global health</w:t>
      </w:r>
      <w:r w:rsidRPr="007B4715">
        <w:rPr>
          <w:rFonts w:ascii="Arial" w:hAnsi="Arial" w:cs="Arial"/>
          <w:sz w:val="22"/>
          <w:szCs w:val="22"/>
        </w:rPr>
        <w:t xml:space="preserve">, 87(1), p. 52. Available at: </w:t>
      </w:r>
      <w:hyperlink r:id="rId38" w:history="1">
        <w:r w:rsidRPr="007B4715">
          <w:rPr>
            <w:rStyle w:val="Hyperlink"/>
            <w:rFonts w:ascii="Arial" w:hAnsi="Arial" w:cs="Arial"/>
            <w:sz w:val="22"/>
            <w:szCs w:val="22"/>
          </w:rPr>
          <w:t>https://doi.org/10.5334/aogh.3231</w:t>
        </w:r>
      </w:hyperlink>
      <w:r w:rsidRPr="007B4715">
        <w:rPr>
          <w:rFonts w:ascii="Arial" w:hAnsi="Arial" w:cs="Arial"/>
          <w:sz w:val="22"/>
          <w:szCs w:val="22"/>
        </w:rPr>
        <w:t>. (Accessed: 25 July 2026).</w:t>
      </w:r>
    </w:p>
    <w:p w14:paraId="4204D552"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Machado, A., Amorim, E. and Bordalo, A.A. (2022) “Spatial and Seasonal Drinking Water Quality Assessment in a Sub-Saharan Country (Guinea-Bissau),” </w:t>
      </w:r>
      <w:r w:rsidRPr="007B4715">
        <w:rPr>
          <w:rFonts w:ascii="Arial" w:eastAsia="Times New Roman" w:hAnsi="Arial" w:cs="Arial"/>
          <w:i/>
          <w:iCs/>
          <w:kern w:val="0"/>
          <w:sz w:val="22"/>
          <w:szCs w:val="22"/>
          <w:lang w:eastAsia="en-GB"/>
          <w14:ligatures w14:val="none"/>
        </w:rPr>
        <w:t>Water (Basel)</w:t>
      </w:r>
      <w:r w:rsidRPr="007B4715">
        <w:rPr>
          <w:rFonts w:ascii="Arial" w:eastAsia="Times New Roman" w:hAnsi="Arial" w:cs="Arial"/>
          <w:kern w:val="0"/>
          <w:sz w:val="22"/>
          <w:szCs w:val="22"/>
          <w:lang w:eastAsia="en-GB"/>
          <w14:ligatures w14:val="none"/>
        </w:rPr>
        <w:t xml:space="preserve">, 14(13), p. 1987. Available at: </w:t>
      </w:r>
      <w:hyperlink r:id="rId39" w:history="1">
        <w:r w:rsidRPr="007B4715">
          <w:rPr>
            <w:rStyle w:val="Hyperlink"/>
            <w:rFonts w:ascii="Arial" w:eastAsia="Times New Roman" w:hAnsi="Arial" w:cs="Arial"/>
            <w:kern w:val="0"/>
            <w:sz w:val="22"/>
            <w:szCs w:val="22"/>
            <w:lang w:eastAsia="en-GB"/>
            <w14:ligatures w14:val="none"/>
          </w:rPr>
          <w:t>https://doi.org/10.3390/w14131987</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30 July 2026).</w:t>
      </w:r>
    </w:p>
    <w:p w14:paraId="1D5A8FA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E788F7E"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i/>
          <w:iCs/>
          <w:kern w:val="0"/>
          <w:sz w:val="22"/>
          <w:szCs w:val="22"/>
          <w:lang w:eastAsia="en-GB"/>
          <w14:ligatures w14:val="none"/>
        </w:rPr>
        <w:t>Mental Health Practice</w:t>
      </w:r>
      <w:r w:rsidRPr="007B4715">
        <w:rPr>
          <w:rFonts w:ascii="Arial" w:eastAsia="Times New Roman" w:hAnsi="Arial" w:cs="Arial"/>
          <w:kern w:val="0"/>
          <w:sz w:val="22"/>
          <w:szCs w:val="22"/>
          <w:lang w:eastAsia="en-GB"/>
          <w14:ligatures w14:val="none"/>
        </w:rPr>
        <w:t xml:space="preserve"> (2019) “What the NHS Long Term Plan means for mental healthcare: While the goals are welcomed, leading healthcare figures have concerns about how the ambitious health service proposals will be realised,” 22(2), pp. 8–10. Available at: </w:t>
      </w:r>
      <w:hyperlink r:id="rId40" w:history="1">
        <w:r w:rsidRPr="007B4715">
          <w:rPr>
            <w:rStyle w:val="Hyperlink"/>
            <w:rFonts w:ascii="Arial" w:eastAsia="Times New Roman" w:hAnsi="Arial" w:cs="Arial"/>
            <w:kern w:val="0"/>
            <w:sz w:val="22"/>
            <w:szCs w:val="22"/>
            <w:lang w:eastAsia="en-GB"/>
            <w14:ligatures w14:val="none"/>
          </w:rPr>
          <w:t>https://doi.org/10.7748/mhp.22.2.8.s6</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42E0D84E"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0225B369"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Mohammed, J.N. and Swalaha, F.M. (2025) “Sewage intrusion into drinking water distribution systems: implications for water resource management,” </w:t>
      </w:r>
      <w:r w:rsidRPr="007B4715">
        <w:rPr>
          <w:rFonts w:ascii="Arial" w:eastAsia="Times New Roman" w:hAnsi="Arial" w:cs="Arial"/>
          <w:i/>
          <w:iCs/>
          <w:kern w:val="0"/>
          <w:sz w:val="22"/>
          <w:szCs w:val="22"/>
          <w:lang w:eastAsia="en-GB"/>
          <w14:ligatures w14:val="none"/>
        </w:rPr>
        <w:t>Environmental monitoring and assessment</w:t>
      </w:r>
      <w:r w:rsidRPr="007B4715">
        <w:rPr>
          <w:rFonts w:ascii="Arial" w:eastAsia="Times New Roman" w:hAnsi="Arial" w:cs="Arial"/>
          <w:kern w:val="0"/>
          <w:sz w:val="22"/>
          <w:szCs w:val="22"/>
          <w:lang w:eastAsia="en-GB"/>
          <w14:ligatures w14:val="none"/>
        </w:rPr>
        <w:t xml:space="preserve">, 197(10). Available at: </w:t>
      </w:r>
      <w:hyperlink r:id="rId41" w:history="1">
        <w:r w:rsidRPr="007B4715">
          <w:rPr>
            <w:rStyle w:val="Hyperlink"/>
            <w:rFonts w:ascii="Arial" w:eastAsia="Times New Roman" w:hAnsi="Arial" w:cs="Arial"/>
            <w:kern w:val="0"/>
            <w:sz w:val="22"/>
            <w:szCs w:val="22"/>
            <w:lang w:eastAsia="en-GB"/>
            <w14:ligatures w14:val="none"/>
          </w:rPr>
          <w:t>https://doi.org/10.1007/s10661-025-14607-0</w:t>
        </w:r>
      </w:hyperlink>
      <w:r w:rsidRPr="007B4715">
        <w:rPr>
          <w:rFonts w:ascii="Arial" w:eastAsia="Times New Roman" w:hAnsi="Arial" w:cs="Arial"/>
          <w:kern w:val="0"/>
          <w:sz w:val="22"/>
          <w:szCs w:val="22"/>
          <w:lang w:eastAsia="en-GB"/>
          <w14:ligatures w14:val="none"/>
        </w:rPr>
        <w:t>. . (Accessed: 31 July 2026).</w:t>
      </w:r>
    </w:p>
    <w:p w14:paraId="3F19E570"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7B60866D"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lastRenderedPageBreak/>
        <w:t xml:space="preserve">Noreik, M.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(2021) “Testing the short</w:t>
      </w:r>
      <w:r w:rsidRPr="007B4715">
        <w:rPr>
          <w:rFonts w:ascii="Cambria Math" w:eastAsia="Times New Roman" w:hAnsi="Cambria Math" w:cs="Cambria Math"/>
          <w:kern w:val="0"/>
          <w:sz w:val="22"/>
          <w:szCs w:val="22"/>
          <w:lang w:eastAsia="en-GB"/>
          <w14:ligatures w14:val="none"/>
        </w:rPr>
        <w:t>‐</w:t>
      </w:r>
      <w:r w:rsidRPr="007B4715">
        <w:rPr>
          <w:rFonts w:ascii="Arial" w:eastAsia="Times New Roman" w:hAnsi="Arial" w:cs="Arial"/>
          <w:kern w:val="0"/>
          <w:sz w:val="22"/>
          <w:szCs w:val="22"/>
          <w:lang w:eastAsia="en-GB"/>
          <w14:ligatures w14:val="none"/>
        </w:rPr>
        <w:t xml:space="preserve">term effectiveness of primary care referral to online weight loss programmes: A randomised controlled trial,” </w:t>
      </w:r>
      <w:r w:rsidRPr="007B4715">
        <w:rPr>
          <w:rFonts w:ascii="Arial" w:eastAsia="Times New Roman" w:hAnsi="Arial" w:cs="Arial"/>
          <w:i/>
          <w:iCs/>
          <w:kern w:val="0"/>
          <w:sz w:val="22"/>
          <w:szCs w:val="22"/>
          <w:lang w:eastAsia="en-GB"/>
          <w14:ligatures w14:val="none"/>
        </w:rPr>
        <w:t>Clinical obesity</w:t>
      </w:r>
      <w:r w:rsidRPr="007B4715">
        <w:rPr>
          <w:rFonts w:ascii="Arial" w:eastAsia="Times New Roman" w:hAnsi="Arial" w:cs="Arial"/>
          <w:kern w:val="0"/>
          <w:sz w:val="22"/>
          <w:szCs w:val="22"/>
          <w:lang w:eastAsia="en-GB"/>
          <w14:ligatures w14:val="none"/>
        </w:rPr>
        <w:t xml:space="preserve">, 11(6). Available at: </w:t>
      </w:r>
      <w:hyperlink r:id="rId42" w:history="1">
        <w:r w:rsidRPr="007B4715">
          <w:rPr>
            <w:rStyle w:val="Hyperlink"/>
            <w:rFonts w:ascii="Arial" w:eastAsia="Times New Roman" w:hAnsi="Arial" w:cs="Arial"/>
            <w:kern w:val="0"/>
            <w:sz w:val="22"/>
            <w:szCs w:val="22"/>
            <w:lang w:eastAsia="en-GB"/>
            <w14:ligatures w14:val="none"/>
          </w:rPr>
          <w:t>https://doi.org/10.1111/cob.12482</w:t>
        </w:r>
      </w:hyperlink>
      <w:r w:rsidRPr="007B4715">
        <w:rPr>
          <w:rFonts w:ascii="Arial" w:eastAsia="Times New Roman" w:hAnsi="Arial" w:cs="Arial"/>
          <w:kern w:val="0"/>
          <w:sz w:val="22"/>
          <w:szCs w:val="22"/>
          <w:lang w:eastAsia="en-GB"/>
          <w14:ligatures w14:val="none"/>
        </w:rPr>
        <w:t>. (Accessed: 2 August 2026).</w:t>
      </w:r>
    </w:p>
    <w:p w14:paraId="5DF8037E"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1120826"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Osborne, L.A.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(2012) “Changes in the key areas of quality of life associated with age and time since diagnosis of long-term conditions,” </w:t>
      </w:r>
      <w:r w:rsidRPr="007B4715">
        <w:rPr>
          <w:rFonts w:ascii="Arial" w:eastAsia="Times New Roman" w:hAnsi="Arial" w:cs="Arial"/>
          <w:i/>
          <w:iCs/>
          <w:kern w:val="0"/>
          <w:sz w:val="22"/>
          <w:szCs w:val="22"/>
          <w:lang w:eastAsia="en-GB"/>
          <w14:ligatures w14:val="none"/>
        </w:rPr>
        <w:t>Chronic illness</w:t>
      </w:r>
      <w:r w:rsidRPr="007B4715">
        <w:rPr>
          <w:rFonts w:ascii="Arial" w:eastAsia="Times New Roman" w:hAnsi="Arial" w:cs="Arial"/>
          <w:kern w:val="0"/>
          <w:sz w:val="22"/>
          <w:szCs w:val="22"/>
          <w:lang w:eastAsia="en-GB"/>
          <w14:ligatures w14:val="none"/>
        </w:rPr>
        <w:t xml:space="preserve">, 8(2), pp. 112–120. Available at: </w:t>
      </w:r>
      <w:hyperlink r:id="rId43" w:history="1">
        <w:r w:rsidRPr="007B4715">
          <w:rPr>
            <w:rStyle w:val="Hyperlink"/>
            <w:rFonts w:ascii="Arial" w:eastAsia="Times New Roman" w:hAnsi="Arial" w:cs="Arial"/>
            <w:kern w:val="0"/>
            <w:sz w:val="22"/>
            <w:szCs w:val="22"/>
            <w:lang w:eastAsia="en-GB"/>
            <w14:ligatures w14:val="none"/>
          </w:rPr>
          <w:t>https://doi.org/10.1177/1742395312436747</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27 July 2026).</w:t>
      </w:r>
    </w:p>
    <w:p w14:paraId="4AE89C80"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BCF70A5"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Pederson, A.B.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(2023) “Understanding the Association Between Mental Health Knowledge and Mental Health Service Utilization Among Black Adults,” </w:t>
      </w:r>
      <w:r w:rsidRPr="007B4715">
        <w:rPr>
          <w:rFonts w:ascii="Arial" w:eastAsia="Times New Roman" w:hAnsi="Arial" w:cs="Arial"/>
          <w:i/>
          <w:iCs/>
          <w:kern w:val="0"/>
          <w:sz w:val="22"/>
          <w:szCs w:val="22"/>
          <w:lang w:eastAsia="en-GB"/>
          <w14:ligatures w14:val="none"/>
        </w:rPr>
        <w:t>Community mental health journal</w:t>
      </w:r>
      <w:r w:rsidRPr="007B4715">
        <w:rPr>
          <w:rFonts w:ascii="Arial" w:eastAsia="Times New Roman" w:hAnsi="Arial" w:cs="Arial"/>
          <w:kern w:val="0"/>
          <w:sz w:val="22"/>
          <w:szCs w:val="22"/>
          <w:lang w:eastAsia="en-GB"/>
          <w14:ligatures w14:val="none"/>
        </w:rPr>
        <w:t xml:space="preserve">, 59(1), pp. 57–67. Available at: </w:t>
      </w:r>
      <w:hyperlink r:id="rId44" w:history="1">
        <w:r w:rsidRPr="007B4715">
          <w:rPr>
            <w:rStyle w:val="Hyperlink"/>
            <w:rFonts w:ascii="Arial" w:eastAsia="Times New Roman" w:hAnsi="Arial" w:cs="Arial"/>
            <w:kern w:val="0"/>
            <w:sz w:val="22"/>
            <w:szCs w:val="22"/>
            <w:lang w:eastAsia="en-GB"/>
            <w14:ligatures w14:val="none"/>
          </w:rPr>
          <w:t>https://doi.org/10.1007/s10597-022-00988-w</w:t>
        </w:r>
      </w:hyperlink>
      <w:r w:rsidRPr="007B4715">
        <w:rPr>
          <w:rFonts w:ascii="Arial" w:eastAsia="Times New Roman" w:hAnsi="Arial" w:cs="Arial"/>
          <w:kern w:val="0"/>
          <w:sz w:val="22"/>
          <w:szCs w:val="22"/>
          <w:lang w:eastAsia="en-GB"/>
          <w14:ligatures w14:val="none"/>
        </w:rPr>
        <w:t>. (Accessed: 1 August 2026).</w:t>
      </w:r>
    </w:p>
    <w:p w14:paraId="25C40A67"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02157CA"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Rajapakse, J., Otoo, M. and Danso, G. (2023) “Progress in delivering SDG6: Safe water and sanitation,” </w:t>
      </w:r>
      <w:r w:rsidRPr="007B4715">
        <w:rPr>
          <w:rFonts w:ascii="Arial" w:eastAsia="Times New Roman" w:hAnsi="Arial" w:cs="Arial"/>
          <w:i/>
          <w:iCs/>
          <w:kern w:val="0"/>
          <w:sz w:val="22"/>
          <w:szCs w:val="22"/>
          <w:lang w:eastAsia="en-GB"/>
          <w14:ligatures w14:val="none"/>
        </w:rPr>
        <w:t>Cambridge Prisms: Water</w:t>
      </w:r>
      <w:r w:rsidRPr="007B4715">
        <w:rPr>
          <w:rFonts w:ascii="Arial" w:eastAsia="Times New Roman" w:hAnsi="Arial" w:cs="Arial"/>
          <w:kern w:val="0"/>
          <w:sz w:val="22"/>
          <w:szCs w:val="22"/>
          <w:lang w:eastAsia="en-GB"/>
          <w14:ligatures w14:val="none"/>
        </w:rPr>
        <w:t xml:space="preserve">, 1. Available at: </w:t>
      </w:r>
      <w:hyperlink r:id="rId45" w:history="1">
        <w:r w:rsidRPr="007B4715">
          <w:rPr>
            <w:rStyle w:val="Hyperlink"/>
            <w:rFonts w:ascii="Arial" w:eastAsia="Times New Roman" w:hAnsi="Arial" w:cs="Arial"/>
            <w:kern w:val="0"/>
            <w:sz w:val="22"/>
            <w:szCs w:val="22"/>
            <w:lang w:eastAsia="en-GB"/>
            <w14:ligatures w14:val="none"/>
          </w:rPr>
          <w:t>https://doi.org/10.1017/wat.2023.5</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29 July 2026).</w:t>
      </w:r>
    </w:p>
    <w:p w14:paraId="7B0EC7DC"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A319EF2"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Rink, M., 2025. </w:t>
      </w:r>
      <w:r w:rsidRPr="007B4715">
        <w:rPr>
          <w:rFonts w:ascii="Arial" w:eastAsia="Times New Roman" w:hAnsi="Arial" w:cs="Arial"/>
          <w:i/>
          <w:iCs/>
          <w:kern w:val="0"/>
          <w:sz w:val="22"/>
          <w:szCs w:val="22"/>
          <w:lang w:eastAsia="en-GB"/>
          <w14:ligatures w14:val="none"/>
        </w:rPr>
        <w:t>Regulatory Risk Strategies: The Impact of Risk-Based Regulation in the Provision of Safe Drinking Water in England and Wales</w:t>
      </w:r>
      <w:r w:rsidRPr="007B4715">
        <w:rPr>
          <w:rFonts w:ascii="Arial" w:eastAsia="Times New Roman" w:hAnsi="Arial" w:cs="Arial"/>
          <w:kern w:val="0"/>
          <w:sz w:val="22"/>
          <w:szCs w:val="22"/>
          <w:lang w:eastAsia="en-GB"/>
          <w14:ligatures w14:val="none"/>
        </w:rPr>
        <w:t xml:space="preserve"> (Doctoral dissertation, Aston University). Available at: </w:t>
      </w:r>
      <w:hyperlink r:id="rId46" w:history="1">
        <w:r w:rsidRPr="007B4715">
          <w:rPr>
            <w:rStyle w:val="Hyperlink"/>
            <w:rFonts w:ascii="Arial" w:eastAsia="Times New Roman" w:hAnsi="Arial" w:cs="Arial"/>
            <w:kern w:val="0"/>
            <w:sz w:val="22"/>
            <w:szCs w:val="22"/>
            <w:lang w:eastAsia="en-GB"/>
            <w14:ligatures w14:val="none"/>
          </w:rPr>
          <w:t>Aston Publications Explorer</w:t>
        </w:r>
      </w:hyperlink>
      <w:r w:rsidRPr="007B4715">
        <w:rPr>
          <w:rFonts w:ascii="Arial" w:eastAsia="Times New Roman" w:hAnsi="Arial" w:cs="Arial"/>
          <w:kern w:val="0"/>
          <w:sz w:val="22"/>
          <w:szCs w:val="22"/>
          <w:lang w:eastAsia="en-GB"/>
          <w14:ligatures w14:val="none"/>
        </w:rPr>
        <w:t xml:space="preserve"> (Accessed: 30 July 2026).</w:t>
      </w:r>
    </w:p>
    <w:p w14:paraId="4B681369"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0CAB9D75"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Roshan, R.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(2020) “Rigorous Hand Hygiene Practices Among Health Care Workers Reduce Hospital-Associated Infections During the COVID-19 Pandemic,” </w:t>
      </w:r>
      <w:r w:rsidRPr="007B4715">
        <w:rPr>
          <w:rFonts w:ascii="Arial" w:eastAsia="Times New Roman" w:hAnsi="Arial" w:cs="Arial"/>
          <w:i/>
          <w:iCs/>
          <w:kern w:val="0"/>
          <w:sz w:val="22"/>
          <w:szCs w:val="22"/>
          <w:lang w:eastAsia="en-GB"/>
          <w14:ligatures w14:val="none"/>
        </w:rPr>
        <w:t>Journal of primary care &amp; community health</w:t>
      </w:r>
      <w:r w:rsidRPr="007B4715">
        <w:rPr>
          <w:rFonts w:ascii="Arial" w:eastAsia="Times New Roman" w:hAnsi="Arial" w:cs="Arial"/>
          <w:kern w:val="0"/>
          <w:sz w:val="22"/>
          <w:szCs w:val="22"/>
          <w:lang w:eastAsia="en-GB"/>
          <w14:ligatures w14:val="none"/>
        </w:rPr>
        <w:t xml:space="preserve">, 11, p. 2150132720943331. Available at: </w:t>
      </w:r>
      <w:hyperlink r:id="rId47" w:history="1">
        <w:r w:rsidRPr="007B4715">
          <w:rPr>
            <w:rStyle w:val="Hyperlink"/>
            <w:rFonts w:ascii="Arial" w:eastAsia="Times New Roman" w:hAnsi="Arial" w:cs="Arial"/>
            <w:kern w:val="0"/>
            <w:sz w:val="22"/>
            <w:szCs w:val="22"/>
            <w:lang w:eastAsia="en-GB"/>
            <w14:ligatures w14:val="none"/>
          </w:rPr>
          <w:t>https://doi.org/10.1177/2150132720943331</w:t>
        </w:r>
      </w:hyperlink>
      <w:r w:rsidRPr="007B4715">
        <w:rPr>
          <w:rFonts w:ascii="Arial" w:eastAsia="Times New Roman" w:hAnsi="Arial" w:cs="Arial"/>
          <w:kern w:val="0"/>
          <w:sz w:val="22"/>
          <w:szCs w:val="22"/>
          <w:lang w:eastAsia="en-GB"/>
          <w14:ligatures w14:val="none"/>
        </w:rPr>
        <w:t xml:space="preserve"> . (Accessed: 31 July 2026).</w:t>
      </w:r>
    </w:p>
    <w:p w14:paraId="6A28CFEA"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EC4486D"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Sadoff, C.W., Borgomeo, E. and Uhlenbrook, S. (2020) “Rethinking water for SDG 6,” </w:t>
      </w:r>
      <w:r w:rsidRPr="007B4715">
        <w:rPr>
          <w:rFonts w:ascii="Arial" w:eastAsia="Times New Roman" w:hAnsi="Arial" w:cs="Arial"/>
          <w:i/>
          <w:iCs/>
          <w:kern w:val="0"/>
          <w:sz w:val="22"/>
          <w:szCs w:val="22"/>
          <w:lang w:eastAsia="en-GB"/>
          <w14:ligatures w14:val="none"/>
        </w:rPr>
        <w:t>Nature sustainability</w:t>
      </w:r>
      <w:r w:rsidRPr="007B4715">
        <w:rPr>
          <w:rFonts w:ascii="Arial" w:eastAsia="Times New Roman" w:hAnsi="Arial" w:cs="Arial"/>
          <w:kern w:val="0"/>
          <w:sz w:val="22"/>
          <w:szCs w:val="22"/>
          <w:lang w:eastAsia="en-GB"/>
          <w14:ligatures w14:val="none"/>
        </w:rPr>
        <w:t xml:space="preserve">, 3(5), pp. 346–347. Available at: </w:t>
      </w:r>
      <w:hyperlink r:id="rId48" w:history="1">
        <w:r w:rsidRPr="007B4715">
          <w:rPr>
            <w:rStyle w:val="Hyperlink"/>
            <w:rFonts w:ascii="Arial" w:eastAsia="Times New Roman" w:hAnsi="Arial" w:cs="Arial"/>
            <w:kern w:val="0"/>
            <w:sz w:val="22"/>
            <w:szCs w:val="22"/>
            <w:lang w:eastAsia="en-GB"/>
            <w14:ligatures w14:val="none"/>
          </w:rPr>
          <w:t>https://doi.org/10.1038/s41893-020-0530-9</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30 July 2026).</w:t>
      </w:r>
    </w:p>
    <w:p w14:paraId="06E0C078"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B1B5CE8"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Schuette, S.A.P.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(2019) “A Scoping Review of Positive Lifestyle and Wellness Interventions to Inform the Development of a Comprehensive Health Promotion Program: ‘HealthPro,’” </w:t>
      </w:r>
      <w:r w:rsidRPr="007B4715">
        <w:rPr>
          <w:rFonts w:ascii="Arial" w:eastAsia="Times New Roman" w:hAnsi="Arial" w:cs="Arial"/>
          <w:i/>
          <w:iCs/>
          <w:kern w:val="0"/>
          <w:sz w:val="22"/>
          <w:szCs w:val="22"/>
          <w:lang w:eastAsia="en-GB"/>
          <w14:ligatures w14:val="none"/>
        </w:rPr>
        <w:t>American journal of lifestyle medicine</w:t>
      </w:r>
      <w:r w:rsidRPr="007B4715">
        <w:rPr>
          <w:rFonts w:ascii="Arial" w:eastAsia="Times New Roman" w:hAnsi="Arial" w:cs="Arial"/>
          <w:kern w:val="0"/>
          <w:sz w:val="22"/>
          <w:szCs w:val="22"/>
          <w:lang w:eastAsia="en-GB"/>
          <w14:ligatures w14:val="none"/>
        </w:rPr>
        <w:t xml:space="preserve">, 13(4), pp. 336–346. Available at: </w:t>
      </w:r>
      <w:hyperlink r:id="rId49" w:history="1">
        <w:r w:rsidRPr="007B4715">
          <w:rPr>
            <w:rStyle w:val="Hyperlink"/>
            <w:rFonts w:ascii="Arial" w:eastAsia="Times New Roman" w:hAnsi="Arial" w:cs="Arial"/>
            <w:kern w:val="0"/>
            <w:sz w:val="22"/>
            <w:szCs w:val="22"/>
            <w:lang w:eastAsia="en-GB"/>
            <w14:ligatures w14:val="none"/>
          </w:rPr>
          <w:t>https://doi.org/10.1177/1559827617704825</w:t>
        </w:r>
      </w:hyperlink>
      <w:r w:rsidRPr="007B4715">
        <w:rPr>
          <w:rFonts w:ascii="Arial" w:eastAsia="Times New Roman" w:hAnsi="Arial" w:cs="Arial"/>
          <w:kern w:val="0"/>
          <w:sz w:val="22"/>
          <w:szCs w:val="22"/>
          <w:lang w:eastAsia="en-GB"/>
          <w14:ligatures w14:val="none"/>
        </w:rPr>
        <w:t>. (Accessed: 2 August 2026).</w:t>
      </w:r>
    </w:p>
    <w:p w14:paraId="18968981"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3C80BEC"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lastRenderedPageBreak/>
        <w:t xml:space="preserve">Sharma, B. and Reena Kumari (2023) “Indigenous Knowledge of Medicinal Plants and Attainment of SDG3: A Systematic Literature Review,” </w:t>
      </w:r>
      <w:r w:rsidRPr="007B4715">
        <w:rPr>
          <w:rFonts w:ascii="Arial" w:eastAsia="Times New Roman" w:hAnsi="Arial" w:cs="Arial"/>
          <w:i/>
          <w:iCs/>
          <w:kern w:val="0"/>
          <w:sz w:val="22"/>
          <w:szCs w:val="22"/>
          <w:lang w:eastAsia="en-GB"/>
          <w14:ligatures w14:val="none"/>
        </w:rPr>
        <w:t>Space and culture, India</w:t>
      </w:r>
      <w:r w:rsidRPr="007B4715">
        <w:rPr>
          <w:rFonts w:ascii="Arial" w:eastAsia="Times New Roman" w:hAnsi="Arial" w:cs="Arial"/>
          <w:kern w:val="0"/>
          <w:sz w:val="22"/>
          <w:szCs w:val="22"/>
          <w:lang w:eastAsia="en-GB"/>
          <w14:ligatures w14:val="none"/>
        </w:rPr>
        <w:t xml:space="preserve">, 11(2), pp. 73–83. Available at: </w:t>
      </w:r>
      <w:hyperlink r:id="rId50" w:history="1">
        <w:r w:rsidRPr="007B4715">
          <w:rPr>
            <w:rStyle w:val="Hyperlink"/>
            <w:rFonts w:ascii="Arial" w:eastAsia="Times New Roman" w:hAnsi="Arial" w:cs="Arial"/>
            <w:kern w:val="0"/>
            <w:sz w:val="22"/>
            <w:szCs w:val="22"/>
            <w:lang w:eastAsia="en-GB"/>
            <w14:ligatures w14:val="none"/>
          </w:rPr>
          <w:t>https://doi.org/10.20896/saci.v11i2.1330</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62B8AC71"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C7E15D4"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South, J., 2015. A guide to community-centred approaches for health and wellbeing. Available at: </w:t>
      </w:r>
      <w:hyperlink r:id="rId51" w:history="1">
        <w:r w:rsidRPr="007B4715">
          <w:rPr>
            <w:rStyle w:val="Hyperlink"/>
            <w:rFonts w:ascii="Arial" w:eastAsia="Times New Roman" w:hAnsi="Arial" w:cs="Arial"/>
            <w:kern w:val="0"/>
            <w:sz w:val="22"/>
            <w:szCs w:val="22"/>
            <w:lang w:eastAsia="en-GB"/>
            <w14:ligatures w14:val="none"/>
          </w:rPr>
          <w:t>A guide to community-centred approaches for health and wellbeing - Leeds Beckett Repository</w:t>
        </w:r>
      </w:hyperlink>
      <w:r w:rsidRPr="007B4715">
        <w:rPr>
          <w:rFonts w:ascii="Arial" w:eastAsia="Times New Roman" w:hAnsi="Arial" w:cs="Arial"/>
          <w:kern w:val="0"/>
          <w:sz w:val="22"/>
          <w:szCs w:val="22"/>
          <w:lang w:eastAsia="en-GB"/>
          <w14:ligatures w14:val="none"/>
        </w:rPr>
        <w:t xml:space="preserve"> (Accessed: 3 August 2026).</w:t>
      </w:r>
    </w:p>
    <w:p w14:paraId="13DBB4C1"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C184F98"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South, J., Raine, G. and White, J., 2010. Community health champions: evidence review. Available at: </w:t>
      </w:r>
      <w:hyperlink r:id="rId52" w:history="1">
        <w:r w:rsidRPr="007B4715">
          <w:rPr>
            <w:rStyle w:val="Hyperlink"/>
            <w:rFonts w:ascii="Arial" w:eastAsia="Times New Roman" w:hAnsi="Arial" w:cs="Arial"/>
            <w:kern w:val="0"/>
            <w:sz w:val="22"/>
            <w:szCs w:val="22"/>
            <w:lang w:eastAsia="en-GB"/>
            <w14:ligatures w14:val="none"/>
          </w:rPr>
          <w:t>Community Health Champions: Evidence Review - Leeds Beckett Repository</w:t>
        </w:r>
      </w:hyperlink>
      <w:r w:rsidRPr="007B4715">
        <w:rPr>
          <w:rFonts w:ascii="Arial" w:eastAsia="Times New Roman" w:hAnsi="Arial" w:cs="Arial"/>
          <w:kern w:val="0"/>
          <w:sz w:val="22"/>
          <w:szCs w:val="22"/>
          <w:lang w:eastAsia="en-GB"/>
          <w14:ligatures w14:val="none"/>
        </w:rPr>
        <w:t xml:space="preserve"> (Accessed: 3 August 2026).</w:t>
      </w:r>
    </w:p>
    <w:p w14:paraId="405171BB"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BB22B12"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Taherian, R., Karimi Ghahfarokhi, M. and Zayeri, F. (2026) “A study of trends and projection of life expectancy and its association with socio-demographic index: Results from GBD study 2023,” </w:t>
      </w:r>
      <w:r w:rsidRPr="007B4715">
        <w:rPr>
          <w:rFonts w:ascii="Arial" w:eastAsia="Times New Roman" w:hAnsi="Arial" w:cs="Arial"/>
          <w:i/>
          <w:iCs/>
          <w:kern w:val="0"/>
          <w:sz w:val="22"/>
          <w:szCs w:val="22"/>
          <w:lang w:eastAsia="en-GB"/>
          <w14:ligatures w14:val="none"/>
        </w:rPr>
        <w:t>PloS one</w:t>
      </w:r>
      <w:r w:rsidRPr="007B4715">
        <w:rPr>
          <w:rFonts w:ascii="Arial" w:eastAsia="Times New Roman" w:hAnsi="Arial" w:cs="Arial"/>
          <w:kern w:val="0"/>
          <w:sz w:val="22"/>
          <w:szCs w:val="22"/>
          <w:lang w:eastAsia="en-GB"/>
          <w14:ligatures w14:val="none"/>
        </w:rPr>
        <w:t xml:space="preserve">, 21(6), p. e0347865. Available at: </w:t>
      </w:r>
      <w:hyperlink r:id="rId53" w:history="1">
        <w:r w:rsidRPr="007B4715">
          <w:rPr>
            <w:rStyle w:val="Hyperlink"/>
            <w:rFonts w:ascii="Arial" w:eastAsia="Times New Roman" w:hAnsi="Arial" w:cs="Arial"/>
            <w:kern w:val="0"/>
            <w:sz w:val="22"/>
            <w:szCs w:val="22"/>
            <w:lang w:eastAsia="en-GB"/>
            <w14:ligatures w14:val="none"/>
          </w:rPr>
          <w:t>https://doi.org/10.1371/journal.pone.0347865</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25 July 2026).</w:t>
      </w:r>
    </w:p>
    <w:p w14:paraId="7AC9AA99"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D2B3BDD"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 Tompson, A.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(2024) “Assessment and Qualitative Comparative Analysis of English Local Authority Joint Health and Wellbeing Strategies to Improve Health under Austerity Conditions, 2013–2017,” </w:t>
      </w:r>
      <w:r w:rsidRPr="007B4715">
        <w:rPr>
          <w:rFonts w:ascii="Arial" w:eastAsia="Times New Roman" w:hAnsi="Arial" w:cs="Arial"/>
          <w:i/>
          <w:iCs/>
          <w:kern w:val="0"/>
          <w:sz w:val="22"/>
          <w:szCs w:val="22"/>
          <w:lang w:eastAsia="en-GB"/>
          <w14:ligatures w14:val="none"/>
        </w:rPr>
        <w:t>Health &amp; social care in the community</w:t>
      </w:r>
      <w:r w:rsidRPr="007B4715">
        <w:rPr>
          <w:rFonts w:ascii="Arial" w:eastAsia="Times New Roman" w:hAnsi="Arial" w:cs="Arial"/>
          <w:kern w:val="0"/>
          <w:sz w:val="22"/>
          <w:szCs w:val="22"/>
          <w:lang w:eastAsia="en-GB"/>
          <w14:ligatures w14:val="none"/>
        </w:rPr>
        <w:t xml:space="preserve">. Edited by Kumari Shweta Kalyani, 2024(1). Available at: </w:t>
      </w:r>
      <w:hyperlink r:id="rId54" w:history="1">
        <w:r w:rsidRPr="007B4715">
          <w:rPr>
            <w:rStyle w:val="Hyperlink"/>
            <w:rFonts w:ascii="Arial" w:eastAsia="Times New Roman" w:hAnsi="Arial" w:cs="Arial"/>
            <w:kern w:val="0"/>
            <w:sz w:val="22"/>
            <w:szCs w:val="22"/>
            <w:lang w:eastAsia="en-GB"/>
            <w14:ligatures w14:val="none"/>
          </w:rPr>
          <w:t>https://doi.org/10.1155/2024/4764325</w:t>
        </w:r>
      </w:hyperlink>
      <w:r w:rsidRPr="007B4715">
        <w:rPr>
          <w:rFonts w:ascii="Arial" w:eastAsia="Times New Roman" w:hAnsi="Arial" w:cs="Arial"/>
          <w:kern w:val="0"/>
          <w:sz w:val="22"/>
          <w:szCs w:val="22"/>
          <w:lang w:eastAsia="en-GB"/>
          <w14:ligatures w14:val="none"/>
        </w:rPr>
        <w:t>. (Accessed: 2 August 2026).</w:t>
      </w:r>
    </w:p>
    <w:p w14:paraId="6A86E310"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6EA45D88"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Tracy, D.K., Hanson, K., Brown, T., James, A.J., Paulsen, H., Mulliez, Z. and Shergill, S.S., 2019. Integrated care in mental health: next steps after the NHS Long Term Plan. </w:t>
      </w:r>
      <w:r w:rsidRPr="007B4715">
        <w:rPr>
          <w:rFonts w:ascii="Arial" w:eastAsia="Times New Roman" w:hAnsi="Arial" w:cs="Arial"/>
          <w:i/>
          <w:iCs/>
          <w:kern w:val="0"/>
          <w:sz w:val="22"/>
          <w:szCs w:val="22"/>
          <w:lang w:eastAsia="en-GB"/>
          <w14:ligatures w14:val="none"/>
        </w:rPr>
        <w:t>The British Journal of Psychiatry</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214</w:t>
      </w:r>
      <w:r w:rsidRPr="007B4715">
        <w:rPr>
          <w:rFonts w:ascii="Arial" w:eastAsia="Times New Roman" w:hAnsi="Arial" w:cs="Arial"/>
          <w:kern w:val="0"/>
          <w:sz w:val="22"/>
          <w:szCs w:val="22"/>
          <w:lang w:eastAsia="en-GB"/>
          <w14:ligatures w14:val="none"/>
        </w:rPr>
        <w:t xml:space="preserve">(6), pp.315-317. Available at: </w:t>
      </w:r>
      <w:hyperlink r:id="rId55" w:history="1">
        <w:r w:rsidRPr="007B4715">
          <w:rPr>
            <w:rStyle w:val="Hyperlink"/>
            <w:rFonts w:ascii="Arial" w:eastAsia="Times New Roman" w:hAnsi="Arial" w:cs="Arial"/>
            <w:kern w:val="0"/>
            <w:sz w:val="22"/>
            <w:szCs w:val="22"/>
            <w:lang w:eastAsia="en-GB"/>
            <w14:ligatures w14:val="none"/>
          </w:rPr>
          <w:t>Integrated care in mental health: next steps after the NHS Long Term Plan | The British Journal of Psychiatry | Cambridge Core</w:t>
        </w:r>
      </w:hyperlink>
      <w:r w:rsidRPr="007B4715">
        <w:rPr>
          <w:rFonts w:ascii="Arial" w:eastAsia="Times New Roman" w:hAnsi="Arial" w:cs="Arial"/>
          <w:kern w:val="0"/>
          <w:sz w:val="22"/>
          <w:szCs w:val="22"/>
          <w:lang w:eastAsia="en-GB"/>
          <w14:ligatures w14:val="none"/>
        </w:rPr>
        <w:t xml:space="preserve"> (Accessed: 1 August 2026).</w:t>
      </w:r>
    </w:p>
    <w:p w14:paraId="4A7D4B59"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32A518DA"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van Loosdrecht, M.C.M. and Brdjanovic, D. (2014) “Anticipating the next century of wastewater treatment,” </w:t>
      </w:r>
      <w:r w:rsidRPr="007B4715">
        <w:rPr>
          <w:rFonts w:ascii="Arial" w:eastAsia="Times New Roman" w:hAnsi="Arial" w:cs="Arial"/>
          <w:i/>
          <w:iCs/>
          <w:kern w:val="0"/>
          <w:sz w:val="22"/>
          <w:szCs w:val="22"/>
          <w:lang w:eastAsia="en-GB"/>
          <w14:ligatures w14:val="none"/>
        </w:rPr>
        <w:t>Science (American Association for the Advancement of Science)</w:t>
      </w:r>
      <w:r w:rsidRPr="007B4715">
        <w:rPr>
          <w:rFonts w:ascii="Arial" w:eastAsia="Times New Roman" w:hAnsi="Arial" w:cs="Arial"/>
          <w:kern w:val="0"/>
          <w:sz w:val="22"/>
          <w:szCs w:val="22"/>
          <w:lang w:eastAsia="en-GB"/>
          <w14:ligatures w14:val="none"/>
        </w:rPr>
        <w:t xml:space="preserve">, 344(6191), pp. 1452–1453. Available at: </w:t>
      </w:r>
      <w:hyperlink r:id="rId56" w:history="1">
        <w:r w:rsidRPr="007B4715">
          <w:rPr>
            <w:rStyle w:val="Hyperlink"/>
            <w:rFonts w:ascii="Arial" w:eastAsia="Times New Roman" w:hAnsi="Arial" w:cs="Arial"/>
            <w:kern w:val="0"/>
            <w:sz w:val="22"/>
            <w:szCs w:val="22"/>
            <w:lang w:eastAsia="en-GB"/>
            <w14:ligatures w14:val="none"/>
          </w:rPr>
          <w:t>https://doi.org/10.1126/science.1255183</w:t>
        </w:r>
      </w:hyperlink>
      <w:r w:rsidRPr="007B4715">
        <w:rPr>
          <w:rFonts w:ascii="Arial" w:eastAsia="Times New Roman" w:hAnsi="Arial" w:cs="Arial"/>
          <w:kern w:val="0"/>
          <w:sz w:val="22"/>
          <w:szCs w:val="22"/>
          <w:lang w:eastAsia="en-GB"/>
          <w14:ligatures w14:val="none"/>
        </w:rPr>
        <w:t>. (Accessed: 31 July 2026).</w:t>
      </w:r>
    </w:p>
    <w:p w14:paraId="47A3E619" w14:textId="77777777" w:rsidR="007B4715" w:rsidRDefault="007B4715" w:rsidP="007B4715">
      <w:pPr>
        <w:spacing w:after="0" w:line="360" w:lineRule="auto"/>
        <w:rPr>
          <w:rFonts w:ascii="Arial" w:eastAsia="Times New Roman" w:hAnsi="Arial" w:cs="Arial"/>
          <w:kern w:val="0"/>
          <w:sz w:val="22"/>
          <w:szCs w:val="22"/>
          <w:lang w:eastAsia="en-GB"/>
          <w14:ligatures w14:val="none"/>
        </w:rPr>
      </w:pPr>
    </w:p>
    <w:p w14:paraId="404AE8A8" w14:textId="77777777" w:rsidR="007B4715" w:rsidRDefault="007B4715" w:rsidP="007B4715">
      <w:pPr>
        <w:spacing w:after="0" w:line="360" w:lineRule="auto"/>
        <w:rPr>
          <w:rFonts w:ascii="Arial" w:eastAsia="Times New Roman" w:hAnsi="Arial" w:cs="Arial"/>
          <w:kern w:val="0"/>
          <w:sz w:val="22"/>
          <w:szCs w:val="22"/>
          <w:lang w:eastAsia="en-GB"/>
          <w14:ligatures w14:val="none"/>
        </w:rPr>
      </w:pPr>
    </w:p>
    <w:p w14:paraId="7EE8FC70"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02B73326"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lastRenderedPageBreak/>
        <w:t xml:space="preserve">Wang, P.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(2025) “Interactions Between SDG 6 and Sustainable Development Goals: A Case Study from Chenzhou City, China’s Sustainable Development Agenda Innovation Demonstration Area,” </w:t>
      </w:r>
      <w:r w:rsidRPr="007B4715">
        <w:rPr>
          <w:rFonts w:ascii="Arial" w:eastAsia="Times New Roman" w:hAnsi="Arial" w:cs="Arial"/>
          <w:i/>
          <w:iCs/>
          <w:kern w:val="0"/>
          <w:sz w:val="22"/>
          <w:szCs w:val="22"/>
          <w:lang w:eastAsia="en-GB"/>
          <w14:ligatures w14:val="none"/>
        </w:rPr>
        <w:t>Land (Basel)</w:t>
      </w:r>
      <w:r w:rsidRPr="007B4715">
        <w:rPr>
          <w:rFonts w:ascii="Arial" w:eastAsia="Times New Roman" w:hAnsi="Arial" w:cs="Arial"/>
          <w:kern w:val="0"/>
          <w:sz w:val="22"/>
          <w:szCs w:val="22"/>
          <w:lang w:eastAsia="en-GB"/>
          <w14:ligatures w14:val="none"/>
        </w:rPr>
        <w:t xml:space="preserve">, 14(5), p. 938. Available at: </w:t>
      </w:r>
      <w:hyperlink r:id="rId57" w:history="1">
        <w:r w:rsidRPr="007B4715">
          <w:rPr>
            <w:rStyle w:val="Hyperlink"/>
            <w:rFonts w:ascii="Arial" w:eastAsia="Times New Roman" w:hAnsi="Arial" w:cs="Arial"/>
            <w:kern w:val="0"/>
            <w:sz w:val="22"/>
            <w:szCs w:val="22"/>
            <w:lang w:eastAsia="en-GB"/>
            <w14:ligatures w14:val="none"/>
          </w:rPr>
          <w:t>https://doi.org/10.3390/land14050938</w:t>
        </w:r>
      </w:hyperlink>
      <w:r w:rsidRPr="007B4715">
        <w:rPr>
          <w:rFonts w:ascii="Arial" w:eastAsia="Times New Roman" w:hAnsi="Arial" w:cs="Arial"/>
          <w:kern w:val="0"/>
          <w:sz w:val="22"/>
          <w:szCs w:val="22"/>
          <w:lang w:eastAsia="en-GB"/>
          <w14:ligatures w14:val="none"/>
        </w:rPr>
        <w:t>. (Accessed: 31 July 2026).</w:t>
      </w:r>
    </w:p>
    <w:p w14:paraId="08DBE0E9"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4931E503" w14:textId="77777777" w:rsidR="007B4715" w:rsidRPr="007B4715" w:rsidRDefault="007B4715" w:rsidP="007B4715">
      <w:pPr>
        <w:spacing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Weiland, S.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(2021) “The 2030 Agenda for Sustainable Development: Transformative Change through the Sustainable Development Goals?,” </w:t>
      </w:r>
      <w:r w:rsidRPr="007B4715">
        <w:rPr>
          <w:rFonts w:ascii="Arial" w:eastAsia="Times New Roman" w:hAnsi="Arial" w:cs="Arial"/>
          <w:i/>
          <w:iCs/>
          <w:kern w:val="0"/>
          <w:sz w:val="22"/>
          <w:szCs w:val="22"/>
          <w:lang w:eastAsia="en-GB"/>
          <w14:ligatures w14:val="none"/>
        </w:rPr>
        <w:t>Politics and governance</w:t>
      </w:r>
      <w:r w:rsidRPr="007B4715">
        <w:rPr>
          <w:rFonts w:ascii="Arial" w:eastAsia="Times New Roman" w:hAnsi="Arial" w:cs="Arial"/>
          <w:kern w:val="0"/>
          <w:sz w:val="22"/>
          <w:szCs w:val="22"/>
          <w:lang w:eastAsia="en-GB"/>
          <w14:ligatures w14:val="none"/>
        </w:rPr>
        <w:t xml:space="preserve">, 9(1), pp. 90–95. Available at: </w:t>
      </w:r>
      <w:hyperlink r:id="rId58" w:history="1">
        <w:r w:rsidRPr="007B4715">
          <w:rPr>
            <w:rStyle w:val="Hyperlink"/>
            <w:rFonts w:ascii="Arial" w:eastAsia="Times New Roman" w:hAnsi="Arial" w:cs="Arial"/>
            <w:kern w:val="0"/>
            <w:sz w:val="22"/>
            <w:szCs w:val="22"/>
            <w:lang w:eastAsia="en-GB"/>
            <w14:ligatures w14:val="none"/>
          </w:rPr>
          <w:t>https://doi.org/10.17645/pag.v9i1.4191</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25 July 2026).</w:t>
      </w:r>
    </w:p>
    <w:p w14:paraId="1A2B8461"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Welsh, A., Hammad, M., Piña, I.L. and Kulinski, J., 2024. Obesity and cardiovascular health. </w:t>
      </w:r>
      <w:r w:rsidRPr="007B4715">
        <w:rPr>
          <w:rFonts w:ascii="Arial" w:eastAsia="Times New Roman" w:hAnsi="Arial" w:cs="Arial"/>
          <w:i/>
          <w:iCs/>
          <w:kern w:val="0"/>
          <w:sz w:val="22"/>
          <w:szCs w:val="22"/>
          <w:lang w:eastAsia="en-GB"/>
          <w14:ligatures w14:val="none"/>
        </w:rPr>
        <w:t>European journal of preventive cardiology</w:t>
      </w:r>
      <w:r w:rsidRPr="007B4715">
        <w:rPr>
          <w:rFonts w:ascii="Arial" w:eastAsia="Times New Roman" w:hAnsi="Arial" w:cs="Arial"/>
          <w:kern w:val="0"/>
          <w:sz w:val="22"/>
          <w:szCs w:val="22"/>
          <w:lang w:eastAsia="en-GB"/>
          <w14:ligatures w14:val="none"/>
        </w:rPr>
        <w:t>, </w:t>
      </w:r>
      <w:r w:rsidRPr="007B4715">
        <w:rPr>
          <w:rFonts w:ascii="Arial" w:eastAsia="Times New Roman" w:hAnsi="Arial" w:cs="Arial"/>
          <w:i/>
          <w:iCs/>
          <w:kern w:val="0"/>
          <w:sz w:val="22"/>
          <w:szCs w:val="22"/>
          <w:lang w:eastAsia="en-GB"/>
          <w14:ligatures w14:val="none"/>
        </w:rPr>
        <w:t>31</w:t>
      </w:r>
      <w:r w:rsidRPr="007B4715">
        <w:rPr>
          <w:rFonts w:ascii="Arial" w:eastAsia="Times New Roman" w:hAnsi="Arial" w:cs="Arial"/>
          <w:kern w:val="0"/>
          <w:sz w:val="22"/>
          <w:szCs w:val="22"/>
          <w:lang w:eastAsia="en-GB"/>
          <w14:ligatures w14:val="none"/>
        </w:rPr>
        <w:t xml:space="preserve">(8), pp.1026-1035. Available at: </w:t>
      </w:r>
      <w:hyperlink r:id="rId59" w:history="1">
        <w:r w:rsidRPr="007B4715">
          <w:rPr>
            <w:rStyle w:val="Hyperlink"/>
            <w:rFonts w:ascii="Arial" w:eastAsia="Times New Roman" w:hAnsi="Arial" w:cs="Arial"/>
            <w:kern w:val="0"/>
            <w:sz w:val="22"/>
            <w:szCs w:val="22"/>
            <w:lang w:eastAsia="en-GB"/>
            <w14:ligatures w14:val="none"/>
          </w:rPr>
          <w:t>Obesity and cardiovascular health | European Journal of Preventive Cardiology | Oxford Academic</w:t>
        </w:r>
      </w:hyperlink>
      <w:r w:rsidRPr="007B4715">
        <w:rPr>
          <w:rFonts w:ascii="Arial" w:eastAsia="Times New Roman" w:hAnsi="Arial" w:cs="Arial"/>
          <w:kern w:val="0"/>
          <w:sz w:val="22"/>
          <w:szCs w:val="22"/>
          <w:lang w:eastAsia="en-GB"/>
          <w14:ligatures w14:val="none"/>
        </w:rPr>
        <w:t xml:space="preserve"> (Accessed: 3 August 2026).</w:t>
      </w:r>
    </w:p>
    <w:p w14:paraId="75FA1B40"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12823104" w14:textId="77777777" w:rsidR="007B4715" w:rsidRPr="009C68EA" w:rsidRDefault="007B4715" w:rsidP="007B4715">
      <w:pPr>
        <w:pStyle w:val="NormalWeb"/>
        <w:spacing w:before="0" w:beforeAutospacing="0" w:after="240" w:afterAutospacing="0" w:line="360" w:lineRule="auto"/>
        <w:rPr>
          <w:rFonts w:ascii="Arial" w:hAnsi="Arial" w:cs="Arial"/>
          <w:sz w:val="22"/>
          <w:szCs w:val="22"/>
        </w:rPr>
      </w:pPr>
      <w:r w:rsidRPr="009C68EA">
        <w:rPr>
          <w:rFonts w:ascii="Arial" w:hAnsi="Arial" w:cs="Arial"/>
          <w:sz w:val="22"/>
          <w:szCs w:val="22"/>
        </w:rPr>
        <w:t xml:space="preserve">WHO (2022). </w:t>
      </w:r>
      <w:r w:rsidRPr="009C68EA">
        <w:rPr>
          <w:rFonts w:ascii="Arial" w:hAnsi="Arial" w:cs="Arial"/>
          <w:i/>
          <w:iCs/>
          <w:sz w:val="22"/>
          <w:szCs w:val="22"/>
        </w:rPr>
        <w:t>Targets of Sustainable Development Goal 3</w:t>
      </w:r>
      <w:r w:rsidRPr="009C68EA">
        <w:rPr>
          <w:rFonts w:ascii="Arial" w:hAnsi="Arial" w:cs="Arial"/>
          <w:sz w:val="22"/>
          <w:szCs w:val="22"/>
        </w:rPr>
        <w:t xml:space="preserve">. [online] </w:t>
      </w:r>
      <w:r w:rsidRPr="009C68EA">
        <w:rPr>
          <w:rFonts w:ascii="Arial" w:hAnsi="Arial" w:cs="Arial"/>
          <w:i/>
          <w:iCs/>
          <w:sz w:val="22"/>
          <w:szCs w:val="22"/>
        </w:rPr>
        <w:t>World Health Organisation</w:t>
      </w:r>
      <w:r w:rsidRPr="009C68EA">
        <w:rPr>
          <w:rFonts w:ascii="Arial" w:hAnsi="Arial" w:cs="Arial"/>
          <w:sz w:val="22"/>
          <w:szCs w:val="22"/>
        </w:rPr>
        <w:t>. Available at: https://www.who.int/europe/about-us/our-work/sustainable-development-goals/targets-of-sustainable-development-goal-3  (Accessed 25 July 2026).</w:t>
      </w:r>
    </w:p>
    <w:p w14:paraId="279F2DA3"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WHO- World Health Organization, (2019). Safer water, better health. Available at: </w:t>
      </w:r>
      <w:hyperlink r:id="rId60" w:history="1">
        <w:r w:rsidRPr="007B4715">
          <w:rPr>
            <w:rStyle w:val="Hyperlink"/>
            <w:rFonts w:ascii="Arial" w:eastAsia="Times New Roman" w:hAnsi="Arial" w:cs="Arial"/>
            <w:kern w:val="0"/>
            <w:sz w:val="22"/>
            <w:szCs w:val="22"/>
            <w:lang w:eastAsia="en-GB"/>
            <w14:ligatures w14:val="none"/>
          </w:rPr>
          <w:t>https://iris.who.int/bitstream/handle/10665/329905/9789241516891-eng.pdf</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30 July 2026).</w:t>
      </w:r>
    </w:p>
    <w:p w14:paraId="36B55CCA"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20A68F1F" w14:textId="77777777" w:rsidR="007B4715" w:rsidRPr="009C68EA" w:rsidRDefault="007B4715" w:rsidP="007B4715">
      <w:pPr>
        <w:pStyle w:val="NormalWeb"/>
        <w:spacing w:before="0" w:beforeAutospacing="0" w:after="240" w:afterAutospacing="0" w:line="360" w:lineRule="auto"/>
        <w:rPr>
          <w:rFonts w:ascii="Arial" w:hAnsi="Arial" w:cs="Arial"/>
          <w:sz w:val="22"/>
          <w:szCs w:val="22"/>
        </w:rPr>
      </w:pPr>
      <w:r w:rsidRPr="009C68EA">
        <w:rPr>
          <w:rFonts w:ascii="Arial" w:hAnsi="Arial" w:cs="Arial"/>
          <w:sz w:val="22"/>
          <w:szCs w:val="22"/>
        </w:rPr>
        <w:t xml:space="preserve">Woodall, J., White, J. and South, J. (2012). Improving health and well-being through community health champions: A thematic evaluation of a programme in Yorkshire and Humber. </w:t>
      </w:r>
      <w:r w:rsidRPr="009C68EA">
        <w:rPr>
          <w:rFonts w:ascii="Arial" w:hAnsi="Arial" w:cs="Arial"/>
          <w:i/>
          <w:iCs/>
          <w:sz w:val="22"/>
          <w:szCs w:val="22"/>
        </w:rPr>
        <w:t>Perspectives in Public Health</w:t>
      </w:r>
      <w:r w:rsidRPr="009C68EA">
        <w:rPr>
          <w:rFonts w:ascii="Arial" w:hAnsi="Arial" w:cs="Arial"/>
          <w:sz w:val="22"/>
          <w:szCs w:val="22"/>
        </w:rPr>
        <w:t>, 133(2), pp.96–103. Available at:</w:t>
      </w:r>
      <w:r w:rsidRPr="009C68EA">
        <w:rPr>
          <w:rFonts w:ascii="Arial" w:eastAsiaTheme="minorHAnsi" w:hAnsi="Arial" w:cs="Arial"/>
          <w:kern w:val="2"/>
          <w:sz w:val="22"/>
          <w:szCs w:val="22"/>
          <w:lang w:eastAsia="en-US"/>
          <w14:ligatures w14:val="standardContextual"/>
        </w:rPr>
        <w:t xml:space="preserve"> </w:t>
      </w:r>
      <w:hyperlink r:id="rId61" w:history="1">
        <w:r w:rsidRPr="009C68EA">
          <w:rPr>
            <w:rStyle w:val="Hyperlink"/>
            <w:rFonts w:ascii="Arial" w:hAnsi="Arial" w:cs="Arial"/>
            <w:sz w:val="22"/>
            <w:szCs w:val="22"/>
          </w:rPr>
          <w:t>Improving health and well-being through community health champions: a thematic evaluation of a programme in Yorkshire and Humber - James Woodall, Judy White, Jane South, 2013</w:t>
        </w:r>
      </w:hyperlink>
      <w:r w:rsidRPr="009C68EA">
        <w:rPr>
          <w:rFonts w:ascii="Arial" w:hAnsi="Arial" w:cs="Arial"/>
          <w:sz w:val="22"/>
          <w:szCs w:val="22"/>
        </w:rPr>
        <w:t xml:space="preserve"> (Accessed: 3 August 2026).</w:t>
      </w:r>
    </w:p>
    <w:p w14:paraId="30CD67FD" w14:textId="77777777" w:rsid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Woolf, S.H. and Braveman, P. (2011) “Where Health Disparities Begin: The Role Of Social And Economic Determinants—And Why Current Policies May Make Matters Worse,” </w:t>
      </w:r>
      <w:r w:rsidRPr="007B4715">
        <w:rPr>
          <w:rFonts w:ascii="Arial" w:eastAsia="Times New Roman" w:hAnsi="Arial" w:cs="Arial"/>
          <w:i/>
          <w:iCs/>
          <w:kern w:val="0"/>
          <w:sz w:val="22"/>
          <w:szCs w:val="22"/>
          <w:lang w:eastAsia="en-GB"/>
          <w14:ligatures w14:val="none"/>
        </w:rPr>
        <w:t>Health Affairs</w:t>
      </w:r>
      <w:r w:rsidRPr="007B4715">
        <w:rPr>
          <w:rFonts w:ascii="Arial" w:eastAsia="Times New Roman" w:hAnsi="Arial" w:cs="Arial"/>
          <w:kern w:val="0"/>
          <w:sz w:val="22"/>
          <w:szCs w:val="22"/>
          <w:lang w:eastAsia="en-GB"/>
          <w14:ligatures w14:val="none"/>
        </w:rPr>
        <w:t xml:space="preserve">, 30(10), pp. 1852–1859. Available at: </w:t>
      </w:r>
      <w:hyperlink r:id="rId62" w:history="1">
        <w:r w:rsidRPr="007B4715">
          <w:rPr>
            <w:rStyle w:val="Hyperlink"/>
            <w:rFonts w:ascii="Arial" w:eastAsia="Times New Roman" w:hAnsi="Arial" w:cs="Arial"/>
            <w:kern w:val="0"/>
            <w:sz w:val="22"/>
            <w:szCs w:val="22"/>
            <w:lang w:eastAsia="en-GB"/>
            <w14:ligatures w14:val="none"/>
          </w:rPr>
          <w:t>https://doi.org/10.1377/hlthaff.2011.0685</w:t>
        </w:r>
      </w:hyperlink>
      <w:r w:rsidRPr="007B4715">
        <w:rPr>
          <w:rFonts w:ascii="Arial" w:eastAsia="Times New Roman" w:hAnsi="Arial" w:cs="Arial"/>
          <w:kern w:val="0"/>
          <w:sz w:val="22"/>
          <w:szCs w:val="22"/>
          <w:lang w:eastAsia="en-GB"/>
          <w14:ligatures w14:val="none"/>
        </w:rPr>
        <w:t>. (Accessed: 2 August 2026).</w:t>
      </w:r>
    </w:p>
    <w:p w14:paraId="5ADF1B94"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31B1293"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t xml:space="preserve">World Bank (2003) </w:t>
      </w:r>
      <w:r w:rsidRPr="007B4715">
        <w:rPr>
          <w:rFonts w:ascii="Arial" w:eastAsia="Times New Roman" w:hAnsi="Arial" w:cs="Arial"/>
          <w:i/>
          <w:iCs/>
          <w:kern w:val="0"/>
          <w:sz w:val="22"/>
          <w:szCs w:val="22"/>
          <w:lang w:eastAsia="en-GB"/>
          <w14:ligatures w14:val="none"/>
        </w:rPr>
        <w:t>Water, Sanitation, and Hygiene</w:t>
      </w:r>
      <w:r w:rsidRPr="007B4715">
        <w:rPr>
          <w:rFonts w:ascii="Arial" w:eastAsia="Times New Roman" w:hAnsi="Arial" w:cs="Arial"/>
          <w:kern w:val="0"/>
          <w:sz w:val="22"/>
          <w:szCs w:val="22"/>
          <w:lang w:eastAsia="en-GB"/>
          <w14:ligatures w14:val="none"/>
        </w:rPr>
        <w:t xml:space="preserve">. Washington, DC. Available at: </w:t>
      </w:r>
      <w:hyperlink r:id="rId63" w:history="1">
        <w:r w:rsidRPr="007B4715">
          <w:rPr>
            <w:rStyle w:val="Hyperlink"/>
            <w:rFonts w:ascii="Arial" w:eastAsia="Times New Roman" w:hAnsi="Arial" w:cs="Arial"/>
            <w:kern w:val="0"/>
            <w:sz w:val="22"/>
            <w:szCs w:val="22"/>
            <w:lang w:eastAsia="en-GB"/>
            <w14:ligatures w14:val="none"/>
          </w:rPr>
          <w:t>https://doi.org/10.1596/9715</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29 July 2026).</w:t>
      </w:r>
    </w:p>
    <w:p w14:paraId="633E7939"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0A47E0C" w14:textId="77777777" w:rsidR="007B4715" w:rsidRDefault="007B4715" w:rsidP="007B4715">
      <w:pPr>
        <w:spacing w:after="0" w:line="360" w:lineRule="auto"/>
        <w:rPr>
          <w:rFonts w:ascii="Arial" w:hAnsi="Arial" w:cs="Arial"/>
          <w:sz w:val="22"/>
          <w:szCs w:val="22"/>
        </w:rPr>
      </w:pPr>
      <w:r w:rsidRPr="007B4715">
        <w:rPr>
          <w:rFonts w:ascii="Arial" w:eastAsia="Times New Roman" w:hAnsi="Arial" w:cs="Arial"/>
          <w:kern w:val="0"/>
          <w:sz w:val="22"/>
          <w:szCs w:val="22"/>
          <w:lang w:eastAsia="en-GB"/>
          <w14:ligatures w14:val="none"/>
        </w:rPr>
        <w:lastRenderedPageBreak/>
        <w:t xml:space="preserve">Yeboah Asiamah-Asare, B.K.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(2024) “Associations of nuptiality perceptions, financial difficulties, and socio-demographic factors with mental health status in Australian adults: Analysis of the Household, Income and Labour Dynamics in Australia (HILDA) survey,” </w:t>
      </w:r>
      <w:r w:rsidRPr="007B4715">
        <w:rPr>
          <w:rFonts w:ascii="Arial" w:eastAsia="Times New Roman" w:hAnsi="Arial" w:cs="Arial"/>
          <w:i/>
          <w:iCs/>
          <w:kern w:val="0"/>
          <w:sz w:val="22"/>
          <w:szCs w:val="22"/>
          <w:lang w:eastAsia="en-GB"/>
          <w14:ligatures w14:val="none"/>
        </w:rPr>
        <w:t>PloS one</w:t>
      </w:r>
      <w:r w:rsidRPr="007B4715">
        <w:rPr>
          <w:rFonts w:ascii="Arial" w:eastAsia="Times New Roman" w:hAnsi="Arial" w:cs="Arial"/>
          <w:kern w:val="0"/>
          <w:sz w:val="22"/>
          <w:szCs w:val="22"/>
          <w:lang w:eastAsia="en-GB"/>
          <w14:ligatures w14:val="none"/>
        </w:rPr>
        <w:t xml:space="preserve">, 19(2), p. e0296941. Available at: </w:t>
      </w:r>
      <w:hyperlink r:id="rId64" w:history="1">
        <w:r w:rsidRPr="007B4715">
          <w:rPr>
            <w:rStyle w:val="Hyperlink"/>
            <w:rFonts w:ascii="Arial" w:eastAsia="Times New Roman" w:hAnsi="Arial" w:cs="Arial"/>
            <w:kern w:val="0"/>
            <w:sz w:val="22"/>
            <w:szCs w:val="22"/>
            <w:lang w:eastAsia="en-GB"/>
            <w14:ligatures w14:val="none"/>
          </w:rPr>
          <w:t>https://doi.org/10.1371/journal.pone.0296941</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28 July 2026).</w:t>
      </w:r>
    </w:p>
    <w:p w14:paraId="73F2A111"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p>
    <w:p w14:paraId="51847ABC" w14:textId="77777777" w:rsidR="007B4715" w:rsidRPr="007B4715" w:rsidRDefault="007B4715" w:rsidP="007B4715">
      <w:pPr>
        <w:spacing w:after="0" w:line="360" w:lineRule="auto"/>
        <w:rPr>
          <w:rFonts w:ascii="Arial" w:eastAsia="Times New Roman" w:hAnsi="Arial" w:cs="Arial"/>
          <w:kern w:val="0"/>
          <w:sz w:val="22"/>
          <w:szCs w:val="22"/>
          <w:lang w:eastAsia="en-GB"/>
          <w14:ligatures w14:val="none"/>
        </w:rPr>
      </w:pPr>
      <w:r w:rsidRPr="007B4715">
        <w:rPr>
          <w:rFonts w:ascii="Arial" w:eastAsia="Times New Roman" w:hAnsi="Arial" w:cs="Arial"/>
          <w:kern w:val="0"/>
          <w:sz w:val="22"/>
          <w:szCs w:val="22"/>
          <w:lang w:eastAsia="en-GB"/>
          <w14:ligatures w14:val="none"/>
        </w:rPr>
        <w:t xml:space="preserve">Yu, P. </w:t>
      </w:r>
      <w:r w:rsidRPr="007B4715">
        <w:rPr>
          <w:rFonts w:ascii="Arial" w:eastAsia="Times New Roman" w:hAnsi="Arial" w:cs="Arial"/>
          <w:i/>
          <w:iCs/>
          <w:kern w:val="0"/>
          <w:sz w:val="22"/>
          <w:szCs w:val="22"/>
          <w:lang w:eastAsia="en-GB"/>
          <w14:ligatures w14:val="none"/>
        </w:rPr>
        <w:t>et al.</w:t>
      </w:r>
      <w:r w:rsidRPr="007B4715">
        <w:rPr>
          <w:rFonts w:ascii="Arial" w:eastAsia="Times New Roman" w:hAnsi="Arial" w:cs="Arial"/>
          <w:kern w:val="0"/>
          <w:sz w:val="22"/>
          <w:szCs w:val="22"/>
          <w:lang w:eastAsia="en-GB"/>
          <w14:ligatures w14:val="none"/>
        </w:rPr>
        <w:t xml:space="preserve"> (2025) “Association between the rule of law and health-related sustainable development goals: an ecological study,” </w:t>
      </w:r>
      <w:r w:rsidRPr="007B4715">
        <w:rPr>
          <w:rFonts w:ascii="Arial" w:eastAsia="Times New Roman" w:hAnsi="Arial" w:cs="Arial"/>
          <w:i/>
          <w:iCs/>
          <w:kern w:val="0"/>
          <w:sz w:val="22"/>
          <w:szCs w:val="22"/>
          <w:lang w:eastAsia="en-GB"/>
          <w14:ligatures w14:val="none"/>
        </w:rPr>
        <w:t>BMC public health</w:t>
      </w:r>
      <w:r w:rsidRPr="007B4715">
        <w:rPr>
          <w:rFonts w:ascii="Arial" w:eastAsia="Times New Roman" w:hAnsi="Arial" w:cs="Arial"/>
          <w:kern w:val="0"/>
          <w:sz w:val="22"/>
          <w:szCs w:val="22"/>
          <w:lang w:eastAsia="en-GB"/>
          <w14:ligatures w14:val="none"/>
        </w:rPr>
        <w:t xml:space="preserve">, 26(1). Available at: </w:t>
      </w:r>
      <w:hyperlink r:id="rId65" w:history="1">
        <w:r w:rsidRPr="007B4715">
          <w:rPr>
            <w:rStyle w:val="Hyperlink"/>
            <w:rFonts w:ascii="Arial" w:eastAsia="Times New Roman" w:hAnsi="Arial" w:cs="Arial"/>
            <w:kern w:val="0"/>
            <w:sz w:val="22"/>
            <w:szCs w:val="22"/>
            <w:lang w:eastAsia="en-GB"/>
            <w14:ligatures w14:val="none"/>
          </w:rPr>
          <w:t>https://doi.org/10.1186/s12889-025-25817-z</w:t>
        </w:r>
      </w:hyperlink>
      <w:r w:rsidRPr="007B4715">
        <w:rPr>
          <w:rFonts w:ascii="Arial" w:eastAsia="Times New Roman" w:hAnsi="Arial" w:cs="Arial"/>
          <w:kern w:val="0"/>
          <w:sz w:val="22"/>
          <w:szCs w:val="22"/>
          <w:lang w:eastAsia="en-GB"/>
          <w14:ligatures w14:val="none"/>
        </w:rPr>
        <w:t xml:space="preserve">. </w:t>
      </w:r>
      <w:r w:rsidRPr="007B4715">
        <w:rPr>
          <w:rFonts w:ascii="Arial" w:hAnsi="Arial" w:cs="Arial"/>
          <w:sz w:val="22"/>
          <w:szCs w:val="22"/>
        </w:rPr>
        <w:t>(Accessed 25 July 2026).</w:t>
      </w:r>
    </w:p>
    <w:p w14:paraId="7BC5D73A" w14:textId="77777777" w:rsidR="00A4238A" w:rsidRDefault="00A4238A" w:rsidP="00A4238A">
      <w:pPr>
        <w:jc w:val="both"/>
      </w:pPr>
    </w:p>
    <w:sectPr w:rsidR="00A42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661B81"/>
    <w:multiLevelType w:val="multilevel"/>
    <w:tmpl w:val="B8B44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F0D3D"/>
    <w:multiLevelType w:val="multilevel"/>
    <w:tmpl w:val="3A229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353B2"/>
    <w:multiLevelType w:val="hybridMultilevel"/>
    <w:tmpl w:val="56383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347F97"/>
    <w:multiLevelType w:val="hybridMultilevel"/>
    <w:tmpl w:val="86620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6172AC"/>
    <w:multiLevelType w:val="multilevel"/>
    <w:tmpl w:val="F5267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743A7D"/>
    <w:multiLevelType w:val="hybridMultilevel"/>
    <w:tmpl w:val="3B802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6718C"/>
    <w:multiLevelType w:val="multilevel"/>
    <w:tmpl w:val="BBC2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51491E"/>
    <w:multiLevelType w:val="multilevel"/>
    <w:tmpl w:val="6A48D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5063548">
    <w:abstractNumId w:val="7"/>
  </w:num>
  <w:num w:numId="2" w16cid:durableId="780995217">
    <w:abstractNumId w:val="1"/>
  </w:num>
  <w:num w:numId="3" w16cid:durableId="442381143">
    <w:abstractNumId w:val="0"/>
  </w:num>
  <w:num w:numId="4" w16cid:durableId="2094693219">
    <w:abstractNumId w:val="4"/>
  </w:num>
  <w:num w:numId="5" w16cid:durableId="30764121">
    <w:abstractNumId w:val="6"/>
  </w:num>
  <w:num w:numId="6" w16cid:durableId="954561415">
    <w:abstractNumId w:val="3"/>
  </w:num>
  <w:num w:numId="7" w16cid:durableId="157579469">
    <w:abstractNumId w:val="5"/>
  </w:num>
  <w:num w:numId="8" w16cid:durableId="2350919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45BC2"/>
    <w:rsid w:val="00077732"/>
    <w:rsid w:val="00081965"/>
    <w:rsid w:val="000D132E"/>
    <w:rsid w:val="000F7A31"/>
    <w:rsid w:val="00176BD2"/>
    <w:rsid w:val="00270A03"/>
    <w:rsid w:val="002A73FB"/>
    <w:rsid w:val="002F57BA"/>
    <w:rsid w:val="003040A8"/>
    <w:rsid w:val="0030606F"/>
    <w:rsid w:val="003F7D8A"/>
    <w:rsid w:val="004648E3"/>
    <w:rsid w:val="00531A5F"/>
    <w:rsid w:val="0063323F"/>
    <w:rsid w:val="00686DEF"/>
    <w:rsid w:val="006B29FA"/>
    <w:rsid w:val="007376DF"/>
    <w:rsid w:val="007A4912"/>
    <w:rsid w:val="007B4715"/>
    <w:rsid w:val="0080192D"/>
    <w:rsid w:val="0083462F"/>
    <w:rsid w:val="008B4DFD"/>
    <w:rsid w:val="008F4ABB"/>
    <w:rsid w:val="009218B6"/>
    <w:rsid w:val="009507DB"/>
    <w:rsid w:val="009571BE"/>
    <w:rsid w:val="00A35220"/>
    <w:rsid w:val="00A4238A"/>
    <w:rsid w:val="00AD35B9"/>
    <w:rsid w:val="00AF4DE4"/>
    <w:rsid w:val="00B2763B"/>
    <w:rsid w:val="00B50C8C"/>
    <w:rsid w:val="00C30F9C"/>
    <w:rsid w:val="00C672AE"/>
    <w:rsid w:val="00D66369"/>
    <w:rsid w:val="00EE314D"/>
    <w:rsid w:val="00F34487"/>
    <w:rsid w:val="00FD0F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styleId="TOCHeading">
    <w:name w:val="TOC Heading"/>
    <w:basedOn w:val="Heading1"/>
    <w:next w:val="Normal"/>
    <w:uiPriority w:val="39"/>
    <w:unhideWhenUsed/>
    <w:qFormat/>
    <w:rsid w:val="00686DEF"/>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0D132E"/>
    <w:rPr>
      <w:color w:val="467886" w:themeColor="hyperlink"/>
      <w:u w:val="single"/>
    </w:rPr>
  </w:style>
  <w:style w:type="character" w:styleId="UnresolvedMention">
    <w:name w:val="Unresolved Mention"/>
    <w:basedOn w:val="DefaultParagraphFont"/>
    <w:uiPriority w:val="99"/>
    <w:semiHidden/>
    <w:unhideWhenUsed/>
    <w:rsid w:val="000D132E"/>
    <w:rPr>
      <w:color w:val="605E5C"/>
      <w:shd w:val="clear" w:color="auto" w:fill="E1DFDD"/>
    </w:rPr>
  </w:style>
  <w:style w:type="paragraph" w:styleId="NormalWeb">
    <w:name w:val="Normal (Web)"/>
    <w:basedOn w:val="Normal"/>
    <w:uiPriority w:val="99"/>
    <w:unhideWhenUsed/>
    <w:rsid w:val="00176B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font-ligatures-none">
    <w:name w:val="font-ligatures-none"/>
    <w:basedOn w:val="DefaultParagraphFont"/>
    <w:rsid w:val="00176BD2"/>
  </w:style>
  <w:style w:type="character" w:styleId="Strong">
    <w:name w:val="Strong"/>
    <w:basedOn w:val="DefaultParagraphFont"/>
    <w:uiPriority w:val="22"/>
    <w:qFormat/>
    <w:rsid w:val="00176BD2"/>
    <w:rPr>
      <w:b/>
      <w:bCs/>
    </w:rPr>
  </w:style>
  <w:style w:type="character" w:customStyle="1" w:styleId="text-start">
    <w:name w:val="text-start"/>
    <w:basedOn w:val="DefaultParagraphFont"/>
    <w:rsid w:val="00176BD2"/>
  </w:style>
  <w:style w:type="paragraph" w:styleId="TOC1">
    <w:name w:val="toc 1"/>
    <w:basedOn w:val="Normal"/>
    <w:next w:val="Normal"/>
    <w:autoRedefine/>
    <w:uiPriority w:val="39"/>
    <w:unhideWhenUsed/>
    <w:rsid w:val="00AD35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ires.onlinelibrary.wiley.com/doi/abs/10.1002/wat2.1201" TargetMode="External"/><Relationship Id="rId21" Type="http://schemas.openxmlformats.org/officeDocument/2006/relationships/hyperlink" Target="https://doi.org/10.1186/s12913-018-3027-8" TargetMode="External"/><Relationship Id="rId34" Type="http://schemas.openxmlformats.org/officeDocument/2006/relationships/hyperlink" Target="https://doi.org/10.1007/s12310-021-09482-2" TargetMode="External"/><Relationship Id="rId42" Type="http://schemas.openxmlformats.org/officeDocument/2006/relationships/hyperlink" Target="https://doi.org/10.1111/cob.12482" TargetMode="External"/><Relationship Id="rId47" Type="http://schemas.openxmlformats.org/officeDocument/2006/relationships/hyperlink" Target="https://doi.org/10.1177/2150132720943331" TargetMode="External"/><Relationship Id="rId50" Type="http://schemas.openxmlformats.org/officeDocument/2006/relationships/hyperlink" Target="https://doi.org/10.20896/saci.v11i2.1330" TargetMode="External"/><Relationship Id="rId55" Type="http://schemas.openxmlformats.org/officeDocument/2006/relationships/hyperlink" Target="https://www.cambridge.org/core/journals/the-british-journal-of-psychiatry/article/integrated-care-in-mental-health-next-steps-after-the-nhs-long-term-plan/940FE8F388EED1325D0E71FDAA8822D9" TargetMode="External"/><Relationship Id="rId63" Type="http://schemas.openxmlformats.org/officeDocument/2006/relationships/hyperlink" Target="https://doi.org/10.1596/9715" TargetMode="External"/><Relationship Id="rId7" Type="http://schemas.openxmlformats.org/officeDocument/2006/relationships/hyperlink" Target="https://doi.org/10.1007/s10653-016-9798-0" TargetMode="External"/><Relationship Id="rId2" Type="http://schemas.openxmlformats.org/officeDocument/2006/relationships/numbering" Target="numbering.xml"/><Relationship Id="rId16" Type="http://schemas.openxmlformats.org/officeDocument/2006/relationships/hyperlink" Target="https://doi.org/10.3390/su14084586" TargetMode="External"/><Relationship Id="rId29" Type="http://schemas.openxmlformats.org/officeDocument/2006/relationships/hyperlink" Target="https://www.mdpi.com/2072-6643/15/5/1271" TargetMode="External"/><Relationship Id="rId11" Type="http://schemas.openxmlformats.org/officeDocument/2006/relationships/hyperlink" Target="https://doi.org/10.1186/s12966-015-0303-4" TargetMode="External"/><Relationship Id="rId24" Type="http://schemas.openxmlformats.org/officeDocument/2006/relationships/hyperlink" Target="https://doi.org/10.1192/bjp.bp.107.042879" TargetMode="External"/><Relationship Id="rId32" Type="http://schemas.openxmlformats.org/officeDocument/2006/relationships/hyperlink" Target="https://link.springer.com/article/10.1186/s13012-016-0521-4" TargetMode="External"/><Relationship Id="rId37" Type="http://schemas.openxmlformats.org/officeDocument/2006/relationships/hyperlink" Target="https://doi.org/10.3310/hta16440" TargetMode="External"/><Relationship Id="rId40" Type="http://schemas.openxmlformats.org/officeDocument/2006/relationships/hyperlink" Target="https://doi.org/10.7748/mhp.22.2.8.s6" TargetMode="External"/><Relationship Id="rId45" Type="http://schemas.openxmlformats.org/officeDocument/2006/relationships/hyperlink" Target="https://doi.org/10.1017/wat.2023.5" TargetMode="External"/><Relationship Id="rId53" Type="http://schemas.openxmlformats.org/officeDocument/2006/relationships/hyperlink" Target="https://doi.org/10.1371/journal.pone.0347865" TargetMode="External"/><Relationship Id="rId58" Type="http://schemas.openxmlformats.org/officeDocument/2006/relationships/hyperlink" Target="https://doi.org/10.17645/pag.v9i1.4191"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journals.sagepub.com/doi/10.1177/1757913912453669" TargetMode="External"/><Relationship Id="rId19" Type="http://schemas.openxmlformats.org/officeDocument/2006/relationships/hyperlink" Target="https://doi.org/10.1002/cl2.1194" TargetMode="External"/><Relationship Id="rId14" Type="http://schemas.openxmlformats.org/officeDocument/2006/relationships/hyperlink" Target="https://doi.org/10.1371/journal.pone.0271306" TargetMode="External"/><Relationship Id="rId22" Type="http://schemas.openxmlformats.org/officeDocument/2006/relationships/hyperlink" Target="https://doi.org/10.7748/nm.26.1.8.s7" TargetMode="External"/><Relationship Id="rId27" Type="http://schemas.openxmlformats.org/officeDocument/2006/relationships/hyperlink" Target="https://doi.org/10.1136/bmj.l254" TargetMode="External"/><Relationship Id="rId30" Type="http://schemas.openxmlformats.org/officeDocument/2006/relationships/hyperlink" Target="https://doi.org/10.7759/cureus.38617" TargetMode="External"/><Relationship Id="rId35" Type="http://schemas.openxmlformats.org/officeDocument/2006/relationships/hyperlink" Target="https://www.lbbd.gov.uk/sites/default/files/2022-07/Joint-Health-and-Wellbeing-Strategy-2019-2023.pdf" TargetMode="External"/><Relationship Id="rId43" Type="http://schemas.openxmlformats.org/officeDocument/2006/relationships/hyperlink" Target="https://doi.org/10.1177/1742395312436747" TargetMode="External"/><Relationship Id="rId48" Type="http://schemas.openxmlformats.org/officeDocument/2006/relationships/hyperlink" Target="https://doi.org/10.1038/s41893-020-0530-9" TargetMode="External"/><Relationship Id="rId56" Type="http://schemas.openxmlformats.org/officeDocument/2006/relationships/hyperlink" Target="https://doi.org/10.1126/science.1255183" TargetMode="External"/><Relationship Id="rId64" Type="http://schemas.openxmlformats.org/officeDocument/2006/relationships/hyperlink" Target="https://doi.org/10.1371/journal.pone.0296941" TargetMode="External"/><Relationship Id="rId8" Type="http://schemas.openxmlformats.org/officeDocument/2006/relationships/hyperlink" Target="https://link.springer.com/article/10.1186/s12889-024-20579-6" TargetMode="External"/><Relationship Id="rId51" Type="http://schemas.openxmlformats.org/officeDocument/2006/relationships/hyperlink" Target="https://eprints.leedsbeckett.ac.uk/id/eprint/1229/" TargetMode="External"/><Relationship Id="rId3" Type="http://schemas.openxmlformats.org/officeDocument/2006/relationships/styles" Target="styles.xml"/><Relationship Id="rId12" Type="http://schemas.openxmlformats.org/officeDocument/2006/relationships/hyperlink" Target="https://doi.org/10.1177/10848223231220065" TargetMode="External"/><Relationship Id="rId17" Type="http://schemas.openxmlformats.org/officeDocument/2006/relationships/hyperlink" Target="https://doi.org/10.1186/1471-2458-14-1087" TargetMode="External"/><Relationship Id="rId25" Type="http://schemas.openxmlformats.org/officeDocument/2006/relationships/hyperlink" Target="https://doi.org/10.1111/j.1447-0349.2010.00686.x" TargetMode="External"/><Relationship Id="rId33" Type="http://schemas.openxmlformats.org/officeDocument/2006/relationships/hyperlink" Target="https://www.mdpi.com/2071-1050/17/11/5063" TargetMode="External"/><Relationship Id="rId38" Type="http://schemas.openxmlformats.org/officeDocument/2006/relationships/hyperlink" Target="https://doi.org/10.5334/aogh.3231" TargetMode="External"/><Relationship Id="rId46" Type="http://schemas.openxmlformats.org/officeDocument/2006/relationships/hyperlink" Target="https://publications.aston.ac.uk/id/eprint/49028/" TargetMode="External"/><Relationship Id="rId59" Type="http://schemas.openxmlformats.org/officeDocument/2006/relationships/hyperlink" Target="https://academic.oup.com/eurjpc/article/31/8/1026/7578360?" TargetMode="External"/><Relationship Id="rId67" Type="http://schemas.openxmlformats.org/officeDocument/2006/relationships/theme" Target="theme/theme1.xml"/><Relationship Id="rId20" Type="http://schemas.openxmlformats.org/officeDocument/2006/relationships/hyperlink" Target="https://doi.org/10.1186/s12889-024-18443-8" TargetMode="External"/><Relationship Id="rId41" Type="http://schemas.openxmlformats.org/officeDocument/2006/relationships/hyperlink" Target="https://doi.org/10.1007/s10661-025-14607-0" TargetMode="External"/><Relationship Id="rId54" Type="http://schemas.openxmlformats.org/officeDocument/2006/relationships/hyperlink" Target="https://doi.org/10.1155/2024/4764325" TargetMode="External"/><Relationship Id="rId62" Type="http://schemas.openxmlformats.org/officeDocument/2006/relationships/hyperlink" Target="https://doi.org/10.1377/hlthaff.2011.0685"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doi.org/10.1038/s41545-020-0079-1" TargetMode="External"/><Relationship Id="rId23" Type="http://schemas.openxmlformats.org/officeDocument/2006/relationships/hyperlink" Target="https://doi.org/10.1038/s44221-024-00370-y" TargetMode="External"/><Relationship Id="rId28" Type="http://schemas.openxmlformats.org/officeDocument/2006/relationships/hyperlink" Target="https://doi.org/10.4269/ajtmh.20-0134" TargetMode="External"/><Relationship Id="rId36" Type="http://schemas.openxmlformats.org/officeDocument/2006/relationships/hyperlink" Target="https://doi.org/10.1038/s41591-026-04292-y" TargetMode="External"/><Relationship Id="rId49" Type="http://schemas.openxmlformats.org/officeDocument/2006/relationships/hyperlink" Target="https://doi.org/10.1177/1559827617704825" TargetMode="External"/><Relationship Id="rId57" Type="http://schemas.openxmlformats.org/officeDocument/2006/relationships/hyperlink" Target="https://doi.org/10.3390/land14050938" TargetMode="External"/><Relationship Id="rId10" Type="http://schemas.openxmlformats.org/officeDocument/2006/relationships/hyperlink" Target="https://doi.org/10.1136/bmjopen-2025-108114" TargetMode="External"/><Relationship Id="rId31" Type="http://schemas.openxmlformats.org/officeDocument/2006/relationships/hyperlink" Target="https://doi.org/10.2337/dci23-0035" TargetMode="External"/><Relationship Id="rId44" Type="http://schemas.openxmlformats.org/officeDocument/2006/relationships/hyperlink" Target="https://doi.org/10.1007/s10597-022-00988-w" TargetMode="External"/><Relationship Id="rId52" Type="http://schemas.openxmlformats.org/officeDocument/2006/relationships/hyperlink" Target="https://eprints.leedsbeckett.ac.uk/id/eprint/7368/" TargetMode="External"/><Relationship Id="rId60" Type="http://schemas.openxmlformats.org/officeDocument/2006/relationships/hyperlink" Target="https://iris.who.int/bitstream/handle/10665/329905/9789241516891-eng.pdf" TargetMode="External"/><Relationship Id="rId65" Type="http://schemas.openxmlformats.org/officeDocument/2006/relationships/hyperlink" Target="https://doi.org/10.1186/s12889-025-25817-z" TargetMode="External"/><Relationship Id="rId4" Type="http://schemas.openxmlformats.org/officeDocument/2006/relationships/settings" Target="settings.xml"/><Relationship Id="rId9" Type="http://schemas.openxmlformats.org/officeDocument/2006/relationships/hyperlink" Target="https://doi.org/10.1136/bmjoq-2026-QSHO.64" TargetMode="External"/><Relationship Id="rId13" Type="http://schemas.openxmlformats.org/officeDocument/2006/relationships/hyperlink" Target="https://doi.org/10.1186/s12966-019-0901-7" TargetMode="External"/><Relationship Id="rId18" Type="http://schemas.openxmlformats.org/officeDocument/2006/relationships/hyperlink" Target="https://doi.org/10.3390/w17213109" TargetMode="External"/><Relationship Id="rId39" Type="http://schemas.openxmlformats.org/officeDocument/2006/relationships/hyperlink" Target="https://doi.org/10.3390/w141319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9E7E5-0758-47B9-9ACA-8E2692BCC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1526</TotalTime>
  <Pages>17</Pages>
  <Words>5675</Words>
  <Characters>32351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Sarolta Beri (2314149)</cp:lastModifiedBy>
  <cp:revision>8</cp:revision>
  <dcterms:created xsi:type="dcterms:W3CDTF">2025-07-22T12:27:00Z</dcterms:created>
  <dcterms:modified xsi:type="dcterms:W3CDTF">2026-08-04T08:38:00Z</dcterms:modified>
</cp:coreProperties>
</file>