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9FA29" w14:textId="77777777" w:rsidR="00DC10BF" w:rsidRDefault="00DC10BF" w:rsidP="00B562F8">
      <w:pPr>
        <w:spacing w:after="0" w:line="360" w:lineRule="auto"/>
        <w:contextualSpacing/>
        <w:jc w:val="center"/>
        <w:rPr>
          <w:rFonts w:ascii="Times New Roman" w:hAnsi="Times New Roman" w:cs="Times New Roman"/>
          <w:sz w:val="24"/>
          <w:szCs w:val="24"/>
        </w:rPr>
      </w:pPr>
    </w:p>
    <w:p w14:paraId="5E5FC2AE" w14:textId="1552246C" w:rsidR="00DC10BF" w:rsidRPr="00EC4251" w:rsidRDefault="00531E74" w:rsidP="00B562F8">
      <w:pPr>
        <w:spacing w:after="0" w:line="360" w:lineRule="auto"/>
        <w:contextualSpacing/>
        <w:jc w:val="center"/>
        <w:rPr>
          <w:rFonts w:ascii="Arial" w:hAnsi="Arial" w:cs="Arial"/>
          <w:caps/>
          <w:sz w:val="24"/>
          <w:szCs w:val="24"/>
        </w:rPr>
      </w:pPr>
      <w:r w:rsidRPr="00EC4251">
        <w:rPr>
          <w:rFonts w:ascii="Arial" w:hAnsi="Arial" w:cs="Arial"/>
          <w:caps/>
          <w:sz w:val="24"/>
          <w:szCs w:val="24"/>
        </w:rPr>
        <w:t>Assignment 2:</w:t>
      </w:r>
    </w:p>
    <w:p w14:paraId="6B6E77F2" w14:textId="7A3D5420" w:rsidR="00DC10BF" w:rsidRPr="00EC4251" w:rsidRDefault="00DC10BF" w:rsidP="00B562F8">
      <w:pPr>
        <w:spacing w:line="360" w:lineRule="auto"/>
        <w:jc w:val="both"/>
        <w:rPr>
          <w:rFonts w:ascii="Arial" w:eastAsia="Arial" w:hAnsi="Arial" w:cs="Arial"/>
          <w:b/>
          <w:bCs/>
          <w:color w:val="000000" w:themeColor="text1"/>
          <w:sz w:val="24"/>
          <w:szCs w:val="24"/>
        </w:rPr>
      </w:pPr>
      <w:r w:rsidRPr="00EC4251">
        <w:rPr>
          <w:rFonts w:ascii="Arial" w:eastAsia="Arial" w:hAnsi="Arial" w:cs="Arial"/>
          <w:b/>
          <w:bCs/>
          <w:color w:val="000000" w:themeColor="text1"/>
          <w:sz w:val="24"/>
          <w:szCs w:val="24"/>
        </w:rPr>
        <w:t>Choose a UK case where someone with personal factors of vulnerability have been a victim of crime. Critically evaluate how the criminal justice supported or failed them.</w:t>
      </w:r>
    </w:p>
    <w:p w14:paraId="487F72C2" w14:textId="07FC621F" w:rsidR="00DC10BF" w:rsidRPr="00EC4251" w:rsidRDefault="00DC10BF" w:rsidP="00B562F8">
      <w:pPr>
        <w:tabs>
          <w:tab w:val="left" w:pos="2592"/>
        </w:tabs>
        <w:spacing w:after="0" w:line="360" w:lineRule="auto"/>
        <w:contextualSpacing/>
        <w:rPr>
          <w:rFonts w:ascii="Arial" w:hAnsi="Arial" w:cs="Arial"/>
          <w:sz w:val="24"/>
          <w:szCs w:val="24"/>
        </w:rPr>
      </w:pPr>
    </w:p>
    <w:p w14:paraId="7C85DCA1" w14:textId="74DC3E08" w:rsidR="00EA4C80" w:rsidRPr="00EC4251" w:rsidRDefault="00837795" w:rsidP="00B562F8">
      <w:pPr>
        <w:spacing w:after="0" w:line="360" w:lineRule="auto"/>
        <w:contextualSpacing/>
        <w:rPr>
          <w:rFonts w:ascii="Arial" w:hAnsi="Arial" w:cs="Arial"/>
          <w:sz w:val="24"/>
          <w:szCs w:val="24"/>
        </w:rPr>
      </w:pPr>
      <w:r w:rsidRPr="00EC4251">
        <w:rPr>
          <w:rFonts w:ascii="Arial" w:hAnsi="Arial" w:cs="Arial"/>
          <w:sz w:val="24"/>
          <w:szCs w:val="24"/>
        </w:rPr>
        <w:t xml:space="preserve">                                                            </w:t>
      </w:r>
      <w:r w:rsidR="00EA4C80" w:rsidRPr="00EC4251">
        <w:rPr>
          <w:rFonts w:ascii="Arial" w:hAnsi="Arial" w:cs="Arial"/>
          <w:sz w:val="24"/>
          <w:szCs w:val="24"/>
        </w:rPr>
        <w:t>Introduction</w:t>
      </w:r>
      <w:r w:rsidR="00EA4C80" w:rsidRPr="00EC4251">
        <w:rPr>
          <w:rFonts w:ascii="Arial" w:hAnsi="Arial" w:cs="Arial"/>
          <w:sz w:val="24"/>
          <w:szCs w:val="24"/>
        </w:rPr>
        <w:t>:</w:t>
      </w:r>
      <w:r w:rsidR="00D435BE">
        <w:rPr>
          <w:rFonts w:ascii="Arial" w:hAnsi="Arial" w:cs="Arial"/>
          <w:sz w:val="24"/>
          <w:szCs w:val="24"/>
        </w:rPr>
        <w:t xml:space="preserve"> </w:t>
      </w:r>
    </w:p>
    <w:p w14:paraId="366E04F9" w14:textId="170915DC" w:rsidR="00EA4C80" w:rsidRPr="00DF3B49" w:rsidRDefault="001F00AC" w:rsidP="00B562F8">
      <w:pPr>
        <w:pStyle w:val="NormalWeb"/>
        <w:spacing w:line="360" w:lineRule="auto"/>
        <w:rPr>
          <w:rFonts w:ascii="Arial" w:hAnsi="Arial" w:cs="Arial"/>
        </w:rPr>
      </w:pPr>
      <w:r w:rsidRPr="00DF3B49">
        <w:rPr>
          <w:rFonts w:ascii="Arial" w:hAnsi="Arial" w:cs="Arial"/>
        </w:rPr>
        <w:t xml:space="preserve">This essay, you will </w:t>
      </w:r>
      <w:r w:rsidR="00F27ED3" w:rsidRPr="00DF3B49">
        <w:rPr>
          <w:rFonts w:ascii="Arial" w:hAnsi="Arial" w:cs="Arial"/>
        </w:rPr>
        <w:t>consist of</w:t>
      </w:r>
      <w:r w:rsidRPr="00DF3B49">
        <w:rPr>
          <w:rFonts w:ascii="Arial" w:hAnsi="Arial" w:cs="Arial"/>
        </w:rPr>
        <w:t xml:space="preserve"> a case in the UK where an individual with personal factors of vulnerability has been the victim of a crime, followed by a critical evaluation of how the criminal justice system (CJS) has supported or failed the victim.</w:t>
      </w:r>
      <w:r w:rsidRPr="00DF3B49">
        <w:rPr>
          <w:rFonts w:ascii="Arial" w:hAnsi="Arial" w:cs="Arial"/>
        </w:rPr>
        <w:t xml:space="preserve"> Nonetheless</w:t>
      </w:r>
      <w:r w:rsidR="00740F2D" w:rsidRPr="00DF3B49">
        <w:rPr>
          <w:rFonts w:ascii="Arial" w:hAnsi="Arial" w:cs="Arial"/>
        </w:rPr>
        <w:t>, t</w:t>
      </w:r>
      <w:r w:rsidR="00EA4C80" w:rsidRPr="00DF3B49">
        <w:rPr>
          <w:rFonts w:ascii="Arial" w:hAnsi="Arial" w:cs="Arial"/>
        </w:rPr>
        <w:t xml:space="preserve">he chosen case is that of Victoria Climbié, an eight-year-old Ivorian girl who was not only tortured but also murdered by her great-aunt and great-aunt’s boyfriend. The personal factors of vulnerability in this case are ethnicity and age, specifically as it involves a black child (College of Policing, 2021). </w:t>
      </w:r>
      <w:r w:rsidR="00A0673A" w:rsidRPr="00DF3B49">
        <w:rPr>
          <w:rFonts w:ascii="Arial" w:hAnsi="Arial" w:cs="Arial"/>
        </w:rPr>
        <w:t>The importance of safeguarding is prominent within this case</w:t>
      </w:r>
      <w:r w:rsidR="00C80FAC" w:rsidRPr="00DF3B49">
        <w:rPr>
          <w:rFonts w:ascii="Arial" w:hAnsi="Arial" w:cs="Arial"/>
        </w:rPr>
        <w:t xml:space="preserve">. Safeguarding is defined as </w:t>
      </w:r>
      <w:r w:rsidR="00D71BAE" w:rsidRPr="00DF3B49">
        <w:rPr>
          <w:rFonts w:ascii="Arial" w:hAnsi="Arial" w:cs="Arial"/>
        </w:rPr>
        <w:t xml:space="preserve">action taken for </w:t>
      </w:r>
      <w:r w:rsidR="00C80FAC" w:rsidRPr="00DF3B49">
        <w:rPr>
          <w:rFonts w:ascii="Arial" w:hAnsi="Arial" w:cs="Arial"/>
        </w:rPr>
        <w:t xml:space="preserve">the </w:t>
      </w:r>
      <w:r w:rsidR="006A7C68" w:rsidRPr="00DF3B49">
        <w:rPr>
          <w:rFonts w:ascii="Arial" w:hAnsi="Arial" w:cs="Arial"/>
        </w:rPr>
        <w:t xml:space="preserve">protection of </w:t>
      </w:r>
      <w:r w:rsidR="009F6D4B" w:rsidRPr="00DF3B49">
        <w:rPr>
          <w:rFonts w:ascii="Arial" w:hAnsi="Arial" w:cs="Arial"/>
        </w:rPr>
        <w:t>children’s</w:t>
      </w:r>
      <w:r w:rsidR="006A7C68" w:rsidRPr="00DF3B49">
        <w:rPr>
          <w:rFonts w:ascii="Arial" w:hAnsi="Arial" w:cs="Arial"/>
        </w:rPr>
        <w:t xml:space="preserve"> health and welfare</w:t>
      </w:r>
      <w:r w:rsidR="00D71BAE" w:rsidRPr="00DF3B49">
        <w:rPr>
          <w:rFonts w:ascii="Arial" w:hAnsi="Arial" w:cs="Arial"/>
        </w:rPr>
        <w:t xml:space="preserve"> (</w:t>
      </w:r>
      <w:r w:rsidR="009F6D4B" w:rsidRPr="00DF3B49">
        <w:rPr>
          <w:rFonts w:ascii="Arial" w:hAnsi="Arial" w:cs="Arial"/>
        </w:rPr>
        <w:t xml:space="preserve">Dobinson,2018). </w:t>
      </w:r>
      <w:r w:rsidR="00D71BAE" w:rsidRPr="00DF3B49">
        <w:rPr>
          <w:rFonts w:ascii="Arial" w:hAnsi="Arial" w:cs="Arial"/>
        </w:rPr>
        <w:t xml:space="preserve"> </w:t>
      </w:r>
      <w:r w:rsidR="003E5F57" w:rsidRPr="00DF3B49">
        <w:rPr>
          <w:rFonts w:ascii="Arial" w:hAnsi="Arial" w:cs="Arial"/>
        </w:rPr>
        <w:t xml:space="preserve">Victoria however was </w:t>
      </w:r>
      <w:r w:rsidR="003E5F57" w:rsidRPr="00DF3B49">
        <w:rPr>
          <w:rFonts w:ascii="Arial" w:hAnsi="Arial" w:cs="Arial"/>
        </w:rPr>
        <w:t>cruelly treated by those who were supposed to protect her, namely her great aunt and her great aunt's boyfriend.</w:t>
      </w:r>
      <w:r w:rsidR="003E5F57" w:rsidRPr="00DF3B49">
        <w:rPr>
          <w:rFonts w:ascii="Arial" w:hAnsi="Arial" w:cs="Arial"/>
        </w:rPr>
        <w:t xml:space="preserve"> </w:t>
      </w:r>
      <w:proofErr w:type="gramStart"/>
      <w:r w:rsidR="003E5F57" w:rsidRPr="00DF3B49">
        <w:rPr>
          <w:rFonts w:ascii="Arial" w:hAnsi="Arial" w:cs="Arial"/>
        </w:rPr>
        <w:t>In spite of</w:t>
      </w:r>
      <w:proofErr w:type="gramEnd"/>
      <w:r w:rsidR="003E5F57" w:rsidRPr="00DF3B49">
        <w:rPr>
          <w:rFonts w:ascii="Arial" w:hAnsi="Arial" w:cs="Arial"/>
        </w:rPr>
        <w:t xml:space="preserve"> this the criminal justice system</w:t>
      </w:r>
      <w:r w:rsidR="001A52FF" w:rsidRPr="00DF3B49">
        <w:rPr>
          <w:rFonts w:ascii="Arial" w:hAnsi="Arial" w:cs="Arial"/>
        </w:rPr>
        <w:t xml:space="preserve"> had the facilities and appropriate action </w:t>
      </w:r>
      <w:r w:rsidR="00256B7F" w:rsidRPr="00DF3B49">
        <w:rPr>
          <w:rFonts w:ascii="Arial" w:hAnsi="Arial" w:cs="Arial"/>
        </w:rPr>
        <w:t>available to them to protect Victoria. However,</w:t>
      </w:r>
      <w:r w:rsidR="008667D7" w:rsidRPr="00DF3B49">
        <w:rPr>
          <w:rFonts w:ascii="Arial" w:hAnsi="Arial" w:cs="Arial"/>
        </w:rPr>
        <w:t xml:space="preserve"> t</w:t>
      </w:r>
      <w:r w:rsidR="00EA4C80" w:rsidRPr="00DF3B49">
        <w:rPr>
          <w:rFonts w:ascii="Arial" w:hAnsi="Arial" w:cs="Arial"/>
        </w:rPr>
        <w:t xml:space="preserve">he central argument of this essay is that despite her vulnerability, hospital staff, social workers, and police officers (the entire CJS) failed to protect Victoria. </w:t>
      </w:r>
      <w:r w:rsidR="002A7816" w:rsidRPr="00DF3B49">
        <w:rPr>
          <w:rFonts w:ascii="Arial" w:hAnsi="Arial" w:cs="Arial"/>
        </w:rPr>
        <w:t xml:space="preserve">The case brought to life the </w:t>
      </w:r>
      <w:r w:rsidR="005C6A81" w:rsidRPr="00DF3B49">
        <w:rPr>
          <w:rFonts w:ascii="Arial" w:hAnsi="Arial" w:cs="Arial"/>
        </w:rPr>
        <w:t xml:space="preserve">need for dire for a change in child protection policies within the UK. </w:t>
      </w:r>
      <w:r w:rsidR="00EA4C80" w:rsidRPr="00DF3B49">
        <w:rPr>
          <w:rFonts w:ascii="Arial" w:hAnsi="Arial" w:cs="Arial"/>
        </w:rPr>
        <w:t>There are two main themes to explore: an overview of the Victoria case and the failures of the authorities involved. Lastly, the conclusion will restate the essay's main points and arguments.</w:t>
      </w:r>
    </w:p>
    <w:p w14:paraId="2429D1CA" w14:textId="3C129E55" w:rsidR="00530F8A" w:rsidRPr="00DF3B49" w:rsidRDefault="004A4E30" w:rsidP="00B562F8">
      <w:pPr>
        <w:spacing w:after="0" w:line="360" w:lineRule="auto"/>
        <w:contextualSpacing/>
        <w:jc w:val="center"/>
        <w:rPr>
          <w:rFonts w:ascii="Arial" w:hAnsi="Arial" w:cs="Arial"/>
          <w:sz w:val="24"/>
          <w:szCs w:val="24"/>
        </w:rPr>
      </w:pPr>
      <w:r w:rsidRPr="00DF3B49">
        <w:rPr>
          <w:rFonts w:ascii="Arial" w:hAnsi="Arial" w:cs="Arial"/>
          <w:sz w:val="24"/>
          <w:szCs w:val="24"/>
        </w:rPr>
        <w:t>Overview of the Victoria Climbié Case</w:t>
      </w:r>
      <w:r w:rsidR="00B562F8">
        <w:rPr>
          <w:rFonts w:ascii="Arial" w:hAnsi="Arial" w:cs="Arial"/>
          <w:sz w:val="24"/>
          <w:szCs w:val="24"/>
        </w:rPr>
        <w:t>:</w:t>
      </w:r>
    </w:p>
    <w:p w14:paraId="4C92596A" w14:textId="7E01558A" w:rsidR="00F27ED3" w:rsidRPr="00DF3B49" w:rsidRDefault="004A4E30" w:rsidP="00B562F8">
      <w:pPr>
        <w:spacing w:after="0" w:line="360" w:lineRule="auto"/>
        <w:contextualSpacing/>
        <w:jc w:val="center"/>
        <w:rPr>
          <w:rFonts w:ascii="Arial" w:hAnsi="Arial" w:cs="Arial"/>
          <w:sz w:val="24"/>
          <w:szCs w:val="24"/>
        </w:rPr>
      </w:pPr>
      <w:r w:rsidRPr="00DF3B49">
        <w:rPr>
          <w:rFonts w:ascii="Arial" w:hAnsi="Arial" w:cs="Arial"/>
          <w:sz w:val="24"/>
          <w:szCs w:val="24"/>
        </w:rPr>
        <w:t xml:space="preserve"> Shortly before Victoria's seventh birthday, her great aunt, Marie-Therese </w:t>
      </w:r>
      <w:proofErr w:type="spellStart"/>
      <w:r w:rsidRPr="00DF3B49">
        <w:rPr>
          <w:rFonts w:ascii="Arial" w:hAnsi="Arial" w:cs="Arial"/>
          <w:sz w:val="24"/>
          <w:szCs w:val="24"/>
        </w:rPr>
        <w:t>Jouao</w:t>
      </w:r>
      <w:proofErr w:type="spellEnd"/>
      <w:r w:rsidRPr="00DF3B49">
        <w:rPr>
          <w:rFonts w:ascii="Arial" w:hAnsi="Arial" w:cs="Arial"/>
          <w:sz w:val="24"/>
          <w:szCs w:val="24"/>
        </w:rPr>
        <w:t xml:space="preserve">, offered to take her to France. This was viewed as a unique opportunity, considering that her home country, Ivory Coast, was plagued by civil wars, high levels of poverty, and an exceptionally high illiteracy rate among women (Crime Investigation, 2023). </w:t>
      </w:r>
      <w:r w:rsidR="00DB1C6B" w:rsidRPr="00DF3B49">
        <w:rPr>
          <w:rFonts w:ascii="Arial" w:hAnsi="Arial" w:cs="Arial"/>
          <w:sz w:val="24"/>
          <w:szCs w:val="24"/>
        </w:rPr>
        <w:t xml:space="preserve">When Victoria's family entrusted her to her great aunt, they did not know that the </w:t>
      </w:r>
      <w:r w:rsidR="00DB1C6B" w:rsidRPr="00DF3B49">
        <w:rPr>
          <w:rFonts w:ascii="Arial" w:hAnsi="Arial" w:cs="Arial"/>
          <w:sz w:val="24"/>
          <w:szCs w:val="24"/>
        </w:rPr>
        <w:lastRenderedPageBreak/>
        <w:t>aunt was merely interested in her for her own monetary gain, such as receiving priority on housing lists from the state (BBC News, 2003; Crime Investigation, 2023). As a result of her prior attempts to take a girl from another family, the</w:t>
      </w:r>
      <w:r w:rsidR="0047277C" w:rsidRPr="00DF3B49">
        <w:rPr>
          <w:rFonts w:ascii="Arial" w:hAnsi="Arial" w:cs="Arial"/>
          <w:sz w:val="24"/>
          <w:szCs w:val="24"/>
        </w:rPr>
        <w:t xml:space="preserve"> </w:t>
      </w:r>
      <w:r w:rsidR="00DB1C6B" w:rsidRPr="00DF3B49">
        <w:rPr>
          <w:rFonts w:ascii="Arial" w:hAnsi="Arial" w:cs="Arial"/>
          <w:sz w:val="24"/>
          <w:szCs w:val="24"/>
        </w:rPr>
        <w:t xml:space="preserve">aunt's </w:t>
      </w:r>
      <w:r w:rsidR="001740AA" w:rsidRPr="00DF3B49">
        <w:rPr>
          <w:rFonts w:ascii="Arial" w:hAnsi="Arial" w:cs="Arial"/>
          <w:sz w:val="24"/>
          <w:szCs w:val="24"/>
        </w:rPr>
        <w:t>selfish</w:t>
      </w:r>
      <w:r w:rsidR="001740AA">
        <w:rPr>
          <w:rFonts w:ascii="Arial" w:hAnsi="Arial" w:cs="Arial"/>
          <w:sz w:val="24"/>
          <w:szCs w:val="24"/>
        </w:rPr>
        <w:t xml:space="preserve"> interests</w:t>
      </w:r>
      <w:r w:rsidR="00DB1C6B" w:rsidRPr="00DF3B49">
        <w:rPr>
          <w:rFonts w:ascii="Arial" w:hAnsi="Arial" w:cs="Arial"/>
          <w:sz w:val="24"/>
          <w:szCs w:val="24"/>
        </w:rPr>
        <w:t xml:space="preserve"> are evident.</w:t>
      </w:r>
    </w:p>
    <w:p w14:paraId="28056437" w14:textId="77777777" w:rsidR="00630987" w:rsidRPr="00DF3B49" w:rsidRDefault="00630987" w:rsidP="00B562F8">
      <w:pPr>
        <w:spacing w:after="0" w:line="360" w:lineRule="auto"/>
        <w:contextualSpacing/>
        <w:rPr>
          <w:rFonts w:ascii="Arial" w:hAnsi="Arial" w:cs="Arial"/>
          <w:sz w:val="24"/>
          <w:szCs w:val="24"/>
        </w:rPr>
      </w:pPr>
      <w:r w:rsidRPr="00DF3B49">
        <w:rPr>
          <w:rFonts w:ascii="Arial" w:hAnsi="Arial" w:cs="Arial"/>
          <w:sz w:val="24"/>
          <w:szCs w:val="24"/>
        </w:rPr>
        <w:t>After taking Victoria to France, the aunt began abusing her, with French authorities threatening to take action as Victoria was only attending school half the time. In response, the aunt fled with the child after five months, and in April 1999, they made their way to West London. In London, the young girl was tragically abused by her great aunt. Similarly, neither Victoria nor her aunt spoke English, so it was easy for the relationship to flourish when Kouao was befriended by a bus driver, Carl Manning, who later became her boyfriend. In July 1999, they began living in Manning's flat in Tottenham, and it has been reported that this decision was the start of Victoria's painful and horrific journey to an early grave (Dobinson, 2018). The aunt and her boyfriend showed no concern for Victoria.</w:t>
      </w:r>
    </w:p>
    <w:p w14:paraId="6F44C3A6" w14:textId="77777777" w:rsidR="00B562F8" w:rsidRDefault="00B562F8" w:rsidP="00B562F8">
      <w:pPr>
        <w:spacing w:after="0" w:line="360" w:lineRule="auto"/>
        <w:contextualSpacing/>
        <w:rPr>
          <w:rFonts w:ascii="Arial" w:hAnsi="Arial" w:cs="Arial"/>
          <w:sz w:val="24"/>
          <w:szCs w:val="24"/>
        </w:rPr>
      </w:pPr>
    </w:p>
    <w:p w14:paraId="71E259D5" w14:textId="7CD0BF38" w:rsidR="00630987" w:rsidRPr="00DF3B49" w:rsidRDefault="00630987" w:rsidP="00B562F8">
      <w:pPr>
        <w:spacing w:after="0" w:line="360" w:lineRule="auto"/>
        <w:contextualSpacing/>
        <w:rPr>
          <w:rFonts w:ascii="Arial" w:hAnsi="Arial" w:cs="Arial"/>
          <w:sz w:val="24"/>
          <w:szCs w:val="24"/>
        </w:rPr>
      </w:pPr>
      <w:r w:rsidRPr="00DF3B49">
        <w:rPr>
          <w:rFonts w:ascii="Arial" w:hAnsi="Arial" w:cs="Arial"/>
          <w:sz w:val="24"/>
          <w:szCs w:val="24"/>
        </w:rPr>
        <w:t>Aleksandra (2016), reporting on child abuse, explains that Marie-Therese and Manning forced Victoria to sleep in a bathtub's bin liner, with the level of inhumanity being unimaginable as she slept on her own faeces and urine. Additionally, Victoria was regularly beaten, with the two hitting her toes with a hammer, whipping her with a bicycle chain, and burning her with cigarettes all over her body. The child was later taken to the hospital with hypothermia (a temperature of 27 degrees Celsius) and was unconscious. However, according to Laming (2003), she did not survive, and on February 25, 2000, at 3:15 pm, she was pronounced dead. It has been argued that Victoria's death could have been avoided if the relevant agencies that were in contact with her had acted accordingly (BBC News, 2002; BBC News, 2003; The Victoria Climbié Inquiry, 2013; Child Protection Resource, 2015). Immediate investigations of the case would have been extremely helpful after the first signs of child abuse were observed.</w:t>
      </w:r>
    </w:p>
    <w:p w14:paraId="76385728" w14:textId="77777777" w:rsidR="00B562F8" w:rsidRDefault="00B562F8" w:rsidP="00B562F8">
      <w:pPr>
        <w:spacing w:after="0" w:line="360" w:lineRule="auto"/>
        <w:contextualSpacing/>
        <w:rPr>
          <w:rFonts w:ascii="Arial" w:hAnsi="Arial" w:cs="Arial"/>
          <w:sz w:val="24"/>
          <w:szCs w:val="24"/>
        </w:rPr>
      </w:pPr>
    </w:p>
    <w:p w14:paraId="45AF3F45" w14:textId="64E3120D" w:rsidR="00E46594" w:rsidRPr="00DF3B49" w:rsidRDefault="00E46594" w:rsidP="00B562F8">
      <w:pPr>
        <w:spacing w:after="0" w:line="360" w:lineRule="auto"/>
        <w:contextualSpacing/>
        <w:rPr>
          <w:rFonts w:ascii="Arial" w:hAnsi="Arial" w:cs="Arial"/>
          <w:sz w:val="24"/>
          <w:szCs w:val="24"/>
        </w:rPr>
      </w:pPr>
      <w:r w:rsidRPr="00DF3B49">
        <w:rPr>
          <w:rFonts w:ascii="Arial" w:hAnsi="Arial" w:cs="Arial"/>
          <w:sz w:val="24"/>
          <w:szCs w:val="24"/>
        </w:rPr>
        <w:t>The Role of the Criminal Justice System in Victoria’s</w:t>
      </w:r>
      <w:r w:rsidR="00776172" w:rsidRPr="00DF3B49">
        <w:rPr>
          <w:rFonts w:ascii="Arial" w:hAnsi="Arial" w:cs="Arial"/>
          <w:sz w:val="24"/>
          <w:szCs w:val="24"/>
        </w:rPr>
        <w:t xml:space="preserve"> </w:t>
      </w:r>
      <w:bookmarkStart w:id="0" w:name="_Hlk134122190"/>
      <w:r w:rsidR="00776172" w:rsidRPr="00DF3B49">
        <w:rPr>
          <w:rFonts w:ascii="Arial" w:hAnsi="Arial" w:cs="Arial"/>
          <w:sz w:val="24"/>
          <w:szCs w:val="24"/>
        </w:rPr>
        <w:t>Climbié</w:t>
      </w:r>
      <w:r w:rsidRPr="00DF3B49">
        <w:rPr>
          <w:rFonts w:ascii="Arial" w:hAnsi="Arial" w:cs="Arial"/>
          <w:sz w:val="24"/>
          <w:szCs w:val="24"/>
        </w:rPr>
        <w:t xml:space="preserve"> Case</w:t>
      </w:r>
      <w:bookmarkEnd w:id="0"/>
      <w:r w:rsidRPr="00DF3B49">
        <w:rPr>
          <w:rFonts w:ascii="Arial" w:hAnsi="Arial" w:cs="Arial"/>
          <w:sz w:val="24"/>
          <w:szCs w:val="24"/>
        </w:rPr>
        <w:t>:</w:t>
      </w:r>
      <w:r w:rsidR="00FD5903" w:rsidRPr="00DF3B49">
        <w:rPr>
          <w:rFonts w:ascii="Arial" w:hAnsi="Arial" w:cs="Arial"/>
          <w:sz w:val="24"/>
          <w:szCs w:val="24"/>
        </w:rPr>
        <w:t xml:space="preserve"> What went Wrong?</w:t>
      </w:r>
    </w:p>
    <w:p w14:paraId="7B9B4B2D" w14:textId="77777777" w:rsidR="00E46594" w:rsidRPr="00DF3B49" w:rsidRDefault="00E46594" w:rsidP="00B562F8">
      <w:pPr>
        <w:spacing w:after="0" w:line="360" w:lineRule="auto"/>
        <w:contextualSpacing/>
        <w:rPr>
          <w:rFonts w:ascii="Arial" w:hAnsi="Arial" w:cs="Arial"/>
          <w:sz w:val="24"/>
          <w:szCs w:val="24"/>
        </w:rPr>
      </w:pPr>
    </w:p>
    <w:p w14:paraId="46E9A2F1" w14:textId="36C52F70" w:rsidR="004C53CE" w:rsidRPr="00DF3B49" w:rsidRDefault="004C53CE" w:rsidP="00B562F8">
      <w:pPr>
        <w:spacing w:after="0" w:line="360" w:lineRule="auto"/>
        <w:contextualSpacing/>
        <w:rPr>
          <w:rFonts w:ascii="Arial" w:hAnsi="Arial" w:cs="Arial"/>
          <w:sz w:val="24"/>
          <w:szCs w:val="24"/>
        </w:rPr>
      </w:pPr>
      <w:r w:rsidRPr="00DF3B49">
        <w:rPr>
          <w:rFonts w:ascii="Arial" w:hAnsi="Arial" w:cs="Arial"/>
          <w:sz w:val="24"/>
          <w:szCs w:val="24"/>
        </w:rPr>
        <w:lastRenderedPageBreak/>
        <w:t xml:space="preserve">The criminal justice system plays a critical role in responding formally to crime and protecting victims. Specifically, the CJS consists of four major systems: law enforcement, prosecution agencies such as the CPS, courts, the penal system, and crime prevention agencies that support crime-free environments and promote </w:t>
      </w:r>
      <w:r w:rsidR="00980FA3" w:rsidRPr="00DF3B49">
        <w:rPr>
          <w:rFonts w:ascii="Arial" w:hAnsi="Arial" w:cs="Arial"/>
          <w:sz w:val="24"/>
          <w:szCs w:val="24"/>
        </w:rPr>
        <w:t>behavioural</w:t>
      </w:r>
      <w:r w:rsidRPr="00DF3B49">
        <w:rPr>
          <w:rFonts w:ascii="Arial" w:hAnsi="Arial" w:cs="Arial"/>
          <w:sz w:val="24"/>
          <w:szCs w:val="24"/>
        </w:rPr>
        <w:t xml:space="preserve"> change (</w:t>
      </w:r>
      <w:proofErr w:type="spellStart"/>
      <w:r w:rsidRPr="00DF3B49">
        <w:rPr>
          <w:rFonts w:ascii="Arial" w:hAnsi="Arial" w:cs="Arial"/>
          <w:sz w:val="24"/>
          <w:szCs w:val="24"/>
        </w:rPr>
        <w:t>Spalek</w:t>
      </w:r>
      <w:proofErr w:type="spellEnd"/>
      <w:r w:rsidRPr="00DF3B49">
        <w:rPr>
          <w:rFonts w:ascii="Arial" w:hAnsi="Arial" w:cs="Arial"/>
          <w:sz w:val="24"/>
          <w:szCs w:val="24"/>
        </w:rPr>
        <w:t xml:space="preserve">, 2017). The relevant authorities in this case are healthcare staff, child protection authorities such as social services workers, and the criminal justice system, particularly the police and legal system. Victoria was in contact with several social services, including Ealing, Brent, Haringey, and Enfield social services and the Tottenham Child and Family Centre. Social workers have an invaluable role in safeguarding children as they support </w:t>
      </w:r>
      <w:r w:rsidR="00EB1AB8" w:rsidRPr="00DF3B49">
        <w:rPr>
          <w:rFonts w:ascii="Arial" w:hAnsi="Arial" w:cs="Arial"/>
          <w:sz w:val="24"/>
          <w:szCs w:val="24"/>
        </w:rPr>
        <w:t xml:space="preserve">victims </w:t>
      </w:r>
      <w:r w:rsidRPr="00DF3B49">
        <w:rPr>
          <w:rFonts w:ascii="Arial" w:hAnsi="Arial" w:cs="Arial"/>
          <w:sz w:val="24"/>
          <w:szCs w:val="24"/>
        </w:rPr>
        <w:t xml:space="preserve">through distinct periods and ensure that vulnerable children are protected from harm. Wrench (2018) argues that social workers act as advocates for </w:t>
      </w:r>
      <w:r w:rsidR="00901051" w:rsidRPr="00DF3B49">
        <w:rPr>
          <w:rFonts w:ascii="Arial" w:hAnsi="Arial" w:cs="Arial"/>
          <w:sz w:val="24"/>
          <w:szCs w:val="24"/>
        </w:rPr>
        <w:t>child protection</w:t>
      </w:r>
      <w:r w:rsidRPr="00DF3B49">
        <w:rPr>
          <w:rFonts w:ascii="Arial" w:hAnsi="Arial" w:cs="Arial"/>
          <w:sz w:val="24"/>
          <w:szCs w:val="24"/>
        </w:rPr>
        <w:t xml:space="preserve">, including vulnerable individuals, and use their professional judgment in decision-making, even when </w:t>
      </w:r>
      <w:r w:rsidR="0009626C" w:rsidRPr="00DF3B49">
        <w:rPr>
          <w:rFonts w:ascii="Arial" w:hAnsi="Arial" w:cs="Arial"/>
          <w:sz w:val="24"/>
          <w:szCs w:val="24"/>
        </w:rPr>
        <w:t>victims</w:t>
      </w:r>
      <w:r w:rsidRPr="00DF3B49">
        <w:rPr>
          <w:rFonts w:ascii="Arial" w:hAnsi="Arial" w:cs="Arial"/>
          <w:sz w:val="24"/>
          <w:szCs w:val="24"/>
        </w:rPr>
        <w:t xml:space="preserve"> and their families find such decisions difficult to accept.</w:t>
      </w:r>
    </w:p>
    <w:p w14:paraId="3E91DDBD" w14:textId="77777777" w:rsidR="008A5913" w:rsidRPr="00DF3B49" w:rsidRDefault="008A5913" w:rsidP="00B562F8">
      <w:pPr>
        <w:spacing w:after="0" w:line="360" w:lineRule="auto"/>
        <w:contextualSpacing/>
        <w:rPr>
          <w:rFonts w:ascii="Arial" w:hAnsi="Arial" w:cs="Arial"/>
          <w:sz w:val="24"/>
          <w:szCs w:val="24"/>
        </w:rPr>
      </w:pPr>
    </w:p>
    <w:p w14:paraId="475297EF" w14:textId="142B86E7" w:rsidR="008A5913" w:rsidRPr="00DF3B49" w:rsidRDefault="008A5913" w:rsidP="00B562F8">
      <w:pPr>
        <w:spacing w:after="0" w:line="360" w:lineRule="auto"/>
        <w:contextualSpacing/>
        <w:rPr>
          <w:rFonts w:ascii="Arial" w:hAnsi="Arial" w:cs="Arial"/>
          <w:sz w:val="24"/>
          <w:szCs w:val="24"/>
        </w:rPr>
      </w:pPr>
      <w:r w:rsidRPr="00DF3B49">
        <w:rPr>
          <w:rFonts w:ascii="Arial" w:hAnsi="Arial" w:cs="Arial"/>
          <w:sz w:val="24"/>
          <w:szCs w:val="24"/>
        </w:rPr>
        <w:t xml:space="preserve">In Victoria's case, the </w:t>
      </w:r>
      <w:r w:rsidR="003506F0" w:rsidRPr="00DF3B49">
        <w:rPr>
          <w:rFonts w:ascii="Arial" w:hAnsi="Arial" w:cs="Arial"/>
          <w:sz w:val="24"/>
          <w:szCs w:val="24"/>
        </w:rPr>
        <w:t xml:space="preserve">key agencies </w:t>
      </w:r>
      <w:r w:rsidRPr="00DF3B49">
        <w:rPr>
          <w:rFonts w:ascii="Arial" w:hAnsi="Arial" w:cs="Arial"/>
          <w:sz w:val="24"/>
          <w:szCs w:val="24"/>
        </w:rPr>
        <w:t xml:space="preserve">failed the victim by not fulfilling their protection duties. </w:t>
      </w:r>
      <w:r w:rsidR="00AD73D2" w:rsidRPr="00DF3B49">
        <w:rPr>
          <w:rFonts w:ascii="Arial" w:hAnsi="Arial" w:cs="Arial"/>
          <w:sz w:val="24"/>
          <w:szCs w:val="24"/>
        </w:rPr>
        <w:t xml:space="preserve">Arguably </w:t>
      </w:r>
      <w:r w:rsidR="0095566A" w:rsidRPr="00DF3B49">
        <w:rPr>
          <w:rFonts w:ascii="Arial" w:hAnsi="Arial" w:cs="Arial"/>
          <w:sz w:val="24"/>
          <w:szCs w:val="24"/>
        </w:rPr>
        <w:t xml:space="preserve">one of </w:t>
      </w:r>
      <w:r w:rsidR="00231D71" w:rsidRPr="00DF3B49">
        <w:rPr>
          <w:rFonts w:ascii="Arial" w:hAnsi="Arial" w:cs="Arial"/>
          <w:sz w:val="24"/>
          <w:szCs w:val="24"/>
        </w:rPr>
        <w:t>the main</w:t>
      </w:r>
      <w:r w:rsidR="00AD73D2" w:rsidRPr="00DF3B49">
        <w:rPr>
          <w:rFonts w:ascii="Arial" w:hAnsi="Arial" w:cs="Arial"/>
          <w:sz w:val="24"/>
          <w:szCs w:val="24"/>
        </w:rPr>
        <w:t xml:space="preserve"> reason</w:t>
      </w:r>
      <w:r w:rsidR="0095566A" w:rsidRPr="00DF3B49">
        <w:rPr>
          <w:rFonts w:ascii="Arial" w:hAnsi="Arial" w:cs="Arial"/>
          <w:sz w:val="24"/>
          <w:szCs w:val="24"/>
        </w:rPr>
        <w:t>s</w:t>
      </w:r>
      <w:r w:rsidR="00AD73D2" w:rsidRPr="00DF3B49">
        <w:rPr>
          <w:rFonts w:ascii="Arial" w:hAnsi="Arial" w:cs="Arial"/>
          <w:sz w:val="24"/>
          <w:szCs w:val="24"/>
        </w:rPr>
        <w:t xml:space="preserve"> for the system failing Victoria was due to </w:t>
      </w:r>
      <w:r w:rsidR="0095566A" w:rsidRPr="00DF3B49">
        <w:rPr>
          <w:rFonts w:ascii="Arial" w:hAnsi="Arial" w:cs="Arial"/>
          <w:sz w:val="24"/>
          <w:szCs w:val="24"/>
        </w:rPr>
        <w:t>a lack of good practice</w:t>
      </w:r>
      <w:r w:rsidR="00231D71" w:rsidRPr="00DF3B49">
        <w:rPr>
          <w:rFonts w:ascii="Arial" w:hAnsi="Arial" w:cs="Arial"/>
          <w:sz w:val="24"/>
          <w:szCs w:val="24"/>
        </w:rPr>
        <w:t xml:space="preserve"> </w:t>
      </w:r>
      <w:r w:rsidR="00753C94" w:rsidRPr="00DF3B49">
        <w:rPr>
          <w:rFonts w:ascii="Arial" w:hAnsi="Arial" w:cs="Arial"/>
          <w:sz w:val="24"/>
          <w:szCs w:val="24"/>
        </w:rPr>
        <w:t xml:space="preserve">- </w:t>
      </w:r>
      <w:r w:rsidR="00231D71" w:rsidRPr="00DF3B49">
        <w:rPr>
          <w:rFonts w:ascii="Arial" w:hAnsi="Arial" w:cs="Arial"/>
          <w:sz w:val="24"/>
          <w:szCs w:val="24"/>
        </w:rPr>
        <w:t>Their failings began with not providing the necessary housing and enrolling Victoria in school (The Guardian, 2001). Ealing Council did not inquire about Victoria's schooling, focusing solely on Kouao's housing and financial needs (The Guardian, 2001). Despite receiving complaints about Victoria's welfare from a distant relative, the services did not conduct further investigations (The Guardian, 2001).</w:t>
      </w:r>
      <w:r w:rsidR="00A8434C" w:rsidRPr="00DF3B49">
        <w:rPr>
          <w:rFonts w:ascii="Arial" w:hAnsi="Arial" w:cs="Arial"/>
          <w:sz w:val="24"/>
          <w:szCs w:val="24"/>
        </w:rPr>
        <w:t xml:space="preserve"> In </w:t>
      </w:r>
      <w:r w:rsidR="00C974E2" w:rsidRPr="00DF3B49">
        <w:rPr>
          <w:rFonts w:ascii="Arial" w:hAnsi="Arial" w:cs="Arial"/>
          <w:sz w:val="24"/>
          <w:szCs w:val="24"/>
        </w:rPr>
        <w:t>addition,</w:t>
      </w:r>
      <w:r w:rsidR="00A8434C" w:rsidRPr="00DF3B49">
        <w:rPr>
          <w:rFonts w:ascii="Arial" w:hAnsi="Arial" w:cs="Arial"/>
          <w:sz w:val="24"/>
          <w:szCs w:val="24"/>
        </w:rPr>
        <w:t xml:space="preserve"> </w:t>
      </w:r>
      <w:r w:rsidR="0074213E" w:rsidRPr="00DF3B49">
        <w:rPr>
          <w:rFonts w:ascii="Arial" w:hAnsi="Arial" w:cs="Arial"/>
          <w:sz w:val="24"/>
          <w:szCs w:val="24"/>
        </w:rPr>
        <w:t xml:space="preserve">the gross failure of the system itself meant that Victoria </w:t>
      </w:r>
      <w:r w:rsidR="00825DCE" w:rsidRPr="00DF3B49">
        <w:rPr>
          <w:rFonts w:ascii="Arial" w:hAnsi="Arial" w:cs="Arial"/>
          <w:sz w:val="24"/>
          <w:szCs w:val="24"/>
        </w:rPr>
        <w:t xml:space="preserve">was not protected and provided with an appropriate response to </w:t>
      </w:r>
      <w:r w:rsidR="00D435BE" w:rsidRPr="00DF3B49">
        <w:rPr>
          <w:rFonts w:ascii="Arial" w:hAnsi="Arial" w:cs="Arial"/>
          <w:sz w:val="24"/>
          <w:szCs w:val="24"/>
        </w:rPr>
        <w:t>her needs.</w:t>
      </w:r>
      <w:r w:rsidR="00057393" w:rsidRPr="00DF3B49">
        <w:rPr>
          <w:rFonts w:ascii="Arial" w:hAnsi="Arial" w:cs="Arial"/>
          <w:sz w:val="24"/>
          <w:szCs w:val="24"/>
        </w:rPr>
        <w:t xml:space="preserve"> </w:t>
      </w:r>
      <w:r w:rsidR="00FF16A1" w:rsidRPr="00DF3B49">
        <w:rPr>
          <w:rFonts w:ascii="Arial" w:hAnsi="Arial" w:cs="Arial"/>
          <w:sz w:val="24"/>
          <w:szCs w:val="24"/>
        </w:rPr>
        <w:t>According to Lord Lamming (2003), t</w:t>
      </w:r>
      <w:r w:rsidR="00057393" w:rsidRPr="00DF3B49">
        <w:rPr>
          <w:rFonts w:ascii="Arial" w:hAnsi="Arial" w:cs="Arial"/>
          <w:sz w:val="24"/>
          <w:szCs w:val="24"/>
        </w:rPr>
        <w:t xml:space="preserve">he failure of the key agencies is evident </w:t>
      </w:r>
      <w:r w:rsidR="00EB6CF5" w:rsidRPr="00DF3B49">
        <w:rPr>
          <w:rFonts w:ascii="Arial" w:hAnsi="Arial" w:cs="Arial"/>
          <w:sz w:val="24"/>
          <w:szCs w:val="24"/>
        </w:rPr>
        <w:t>under the Children Act 19</w:t>
      </w:r>
      <w:r w:rsidR="00564AEB" w:rsidRPr="00DF3B49">
        <w:rPr>
          <w:rFonts w:ascii="Arial" w:hAnsi="Arial" w:cs="Arial"/>
          <w:sz w:val="24"/>
          <w:szCs w:val="24"/>
        </w:rPr>
        <w:t>89</w:t>
      </w:r>
      <w:r w:rsidR="00131EDB" w:rsidRPr="00DF3B49">
        <w:rPr>
          <w:rFonts w:ascii="Arial" w:hAnsi="Arial" w:cs="Arial"/>
          <w:sz w:val="24"/>
          <w:szCs w:val="24"/>
        </w:rPr>
        <w:t xml:space="preserve">, despite the </w:t>
      </w:r>
      <w:r w:rsidR="00207989" w:rsidRPr="00DF3B49">
        <w:rPr>
          <w:rFonts w:ascii="Arial" w:hAnsi="Arial" w:cs="Arial"/>
          <w:sz w:val="24"/>
          <w:szCs w:val="24"/>
        </w:rPr>
        <w:t>investigations</w:t>
      </w:r>
      <w:r w:rsidR="00131EDB" w:rsidRPr="00DF3B49">
        <w:rPr>
          <w:rFonts w:ascii="Arial" w:hAnsi="Arial" w:cs="Arial"/>
          <w:sz w:val="24"/>
          <w:szCs w:val="24"/>
        </w:rPr>
        <w:t xml:space="preserve"> carried out by Haringey</w:t>
      </w:r>
      <w:r w:rsidR="004B7337" w:rsidRPr="00DF3B49">
        <w:rPr>
          <w:rFonts w:ascii="Arial" w:hAnsi="Arial" w:cs="Arial"/>
          <w:sz w:val="24"/>
          <w:szCs w:val="24"/>
        </w:rPr>
        <w:t xml:space="preserve"> Child Protection Team</w:t>
      </w:r>
      <w:r w:rsidR="00324326" w:rsidRPr="00DF3B49">
        <w:rPr>
          <w:rFonts w:ascii="Arial" w:hAnsi="Arial" w:cs="Arial"/>
          <w:sz w:val="24"/>
          <w:szCs w:val="24"/>
        </w:rPr>
        <w:t xml:space="preserve"> was </w:t>
      </w:r>
      <w:r w:rsidR="00FF16A1" w:rsidRPr="00DF3B49">
        <w:rPr>
          <w:rFonts w:ascii="Arial" w:hAnsi="Arial" w:cs="Arial"/>
          <w:sz w:val="24"/>
          <w:szCs w:val="24"/>
        </w:rPr>
        <w:t>poorly</w:t>
      </w:r>
      <w:r w:rsidR="00324326" w:rsidRPr="00DF3B49">
        <w:rPr>
          <w:rFonts w:ascii="Arial" w:hAnsi="Arial" w:cs="Arial"/>
          <w:sz w:val="24"/>
          <w:szCs w:val="24"/>
        </w:rPr>
        <w:t xml:space="preserve"> conducted and </w:t>
      </w:r>
      <w:r w:rsidR="00207989" w:rsidRPr="00DF3B49">
        <w:rPr>
          <w:rFonts w:ascii="Arial" w:hAnsi="Arial" w:cs="Arial"/>
          <w:sz w:val="24"/>
          <w:szCs w:val="24"/>
        </w:rPr>
        <w:t>did not go from “A to B”</w:t>
      </w:r>
      <w:r w:rsidR="00FF16A1" w:rsidRPr="00DF3B49">
        <w:rPr>
          <w:rFonts w:ascii="Arial" w:hAnsi="Arial" w:cs="Arial"/>
          <w:sz w:val="24"/>
          <w:szCs w:val="24"/>
        </w:rPr>
        <w:t xml:space="preserve">. </w:t>
      </w:r>
      <w:r w:rsidR="00650E02" w:rsidRPr="00DF3B49">
        <w:rPr>
          <w:rFonts w:ascii="Arial" w:hAnsi="Arial" w:cs="Arial"/>
          <w:sz w:val="24"/>
          <w:szCs w:val="24"/>
        </w:rPr>
        <w:t xml:space="preserve">The </w:t>
      </w:r>
      <w:r w:rsidR="00E13F8E" w:rsidRPr="00DF3B49">
        <w:rPr>
          <w:rFonts w:ascii="Arial" w:hAnsi="Arial" w:cs="Arial"/>
          <w:sz w:val="24"/>
          <w:szCs w:val="24"/>
        </w:rPr>
        <w:t>widespread organisational malaise</w:t>
      </w:r>
      <w:r w:rsidR="00650E02" w:rsidRPr="00DF3B49">
        <w:rPr>
          <w:rFonts w:ascii="Arial" w:hAnsi="Arial" w:cs="Arial"/>
          <w:sz w:val="24"/>
          <w:szCs w:val="24"/>
        </w:rPr>
        <w:t xml:space="preserve"> </w:t>
      </w:r>
      <w:r w:rsidR="00865D50" w:rsidRPr="00DF3B49">
        <w:rPr>
          <w:rFonts w:ascii="Arial" w:hAnsi="Arial" w:cs="Arial"/>
          <w:sz w:val="24"/>
          <w:szCs w:val="24"/>
        </w:rPr>
        <w:t>apparent in this case is relevant to t</w:t>
      </w:r>
      <w:r w:rsidRPr="00DF3B49">
        <w:rPr>
          <w:rFonts w:ascii="Arial" w:hAnsi="Arial" w:cs="Arial"/>
          <w:sz w:val="24"/>
          <w:szCs w:val="24"/>
        </w:rPr>
        <w:t xml:space="preserve">heir failings with not providing the necessary housing and enrolling Victoria in school (The Guardian, 2001). Ealing Council did not inquire about Victoria's schooling, focusing solely on Kouao's housing and financial needs (The Guardian, 2001). Despite receiving complaints about Victoria's welfare from a distant relative, the services did not conduct further investigations (The Guardian, 2001). When they did investigate, they were not </w:t>
      </w:r>
      <w:r w:rsidRPr="00DF3B49">
        <w:rPr>
          <w:rFonts w:ascii="Arial" w:hAnsi="Arial" w:cs="Arial"/>
          <w:sz w:val="24"/>
          <w:szCs w:val="24"/>
        </w:rPr>
        <w:lastRenderedPageBreak/>
        <w:t xml:space="preserve">thorough and did not follow up on the matter (Batty, 2002; BBC News, 2003; Evening Standard, 2008; Aleksandra, 2016). Lisa </w:t>
      </w:r>
      <w:proofErr w:type="spellStart"/>
      <w:r w:rsidRPr="00DF3B49">
        <w:rPr>
          <w:rFonts w:ascii="Arial" w:hAnsi="Arial" w:cs="Arial"/>
          <w:sz w:val="24"/>
          <w:szCs w:val="24"/>
        </w:rPr>
        <w:t>Arthurworrey</w:t>
      </w:r>
      <w:proofErr w:type="spellEnd"/>
      <w:r w:rsidRPr="00DF3B49">
        <w:rPr>
          <w:rFonts w:ascii="Arial" w:hAnsi="Arial" w:cs="Arial"/>
          <w:sz w:val="24"/>
          <w:szCs w:val="24"/>
        </w:rPr>
        <w:t xml:space="preserve">, one of Haringey Council's social workers, was responsible for investigating the child's living conditions, but she closed the case, speculating that Victoria had left that borough (Batty, 2002; BBC News, 2003; Evening Standard, 2008; Aleksandra, 2016). The CJS also failed when Miss </w:t>
      </w:r>
      <w:proofErr w:type="spellStart"/>
      <w:r w:rsidRPr="00DF3B49">
        <w:rPr>
          <w:rFonts w:ascii="Arial" w:hAnsi="Arial" w:cs="Arial"/>
          <w:sz w:val="24"/>
          <w:szCs w:val="24"/>
        </w:rPr>
        <w:t>Arthurworrey</w:t>
      </w:r>
      <w:proofErr w:type="spellEnd"/>
      <w:r w:rsidRPr="00DF3B49">
        <w:rPr>
          <w:rFonts w:ascii="Arial" w:hAnsi="Arial" w:cs="Arial"/>
          <w:sz w:val="24"/>
          <w:szCs w:val="24"/>
        </w:rPr>
        <w:t xml:space="preserve"> was offered another job working with children after being sacked following Victoria's murder (Evening Standard, 2008). In line with the arguments of </w:t>
      </w:r>
      <w:proofErr w:type="spellStart"/>
      <w:r w:rsidRPr="00DF3B49">
        <w:rPr>
          <w:rFonts w:ascii="Arial" w:hAnsi="Arial" w:cs="Arial"/>
          <w:sz w:val="24"/>
          <w:szCs w:val="24"/>
        </w:rPr>
        <w:t>Syal</w:t>
      </w:r>
      <w:proofErr w:type="spellEnd"/>
      <w:r w:rsidRPr="00DF3B49">
        <w:rPr>
          <w:rFonts w:ascii="Arial" w:hAnsi="Arial" w:cs="Arial"/>
          <w:sz w:val="24"/>
          <w:szCs w:val="24"/>
        </w:rPr>
        <w:t xml:space="preserve"> (2016), </w:t>
      </w:r>
      <w:proofErr w:type="spellStart"/>
      <w:r w:rsidRPr="00DF3B49">
        <w:rPr>
          <w:rFonts w:ascii="Arial" w:hAnsi="Arial" w:cs="Arial"/>
          <w:sz w:val="24"/>
          <w:szCs w:val="24"/>
        </w:rPr>
        <w:t>Spalek</w:t>
      </w:r>
      <w:proofErr w:type="spellEnd"/>
      <w:r w:rsidRPr="00DF3B49">
        <w:rPr>
          <w:rFonts w:ascii="Arial" w:hAnsi="Arial" w:cs="Arial"/>
          <w:sz w:val="24"/>
          <w:szCs w:val="24"/>
        </w:rPr>
        <w:t xml:space="preserve"> (2017), </w:t>
      </w:r>
      <w:proofErr w:type="spellStart"/>
      <w:r w:rsidRPr="00DF3B49">
        <w:rPr>
          <w:rFonts w:ascii="Arial" w:hAnsi="Arial" w:cs="Arial"/>
          <w:sz w:val="24"/>
          <w:szCs w:val="24"/>
        </w:rPr>
        <w:t>Rossner</w:t>
      </w:r>
      <w:proofErr w:type="spellEnd"/>
      <w:r w:rsidRPr="00DF3B49">
        <w:rPr>
          <w:rFonts w:ascii="Arial" w:hAnsi="Arial" w:cs="Arial"/>
          <w:sz w:val="24"/>
          <w:szCs w:val="24"/>
        </w:rPr>
        <w:t xml:space="preserve"> (2017), and Topping (2020), it can be concluded that as a victim of crime, Victoria did not receive the necessary justice.</w:t>
      </w:r>
    </w:p>
    <w:p w14:paraId="6EB3E5B7" w14:textId="1BA4F2DC" w:rsidR="00C73D44" w:rsidRPr="00DF3B49" w:rsidRDefault="00C73D44" w:rsidP="00B562F8">
      <w:pPr>
        <w:spacing w:after="0" w:line="360" w:lineRule="auto"/>
        <w:contextualSpacing/>
        <w:rPr>
          <w:rFonts w:ascii="Arial" w:hAnsi="Arial" w:cs="Arial"/>
          <w:sz w:val="24"/>
          <w:szCs w:val="24"/>
        </w:rPr>
      </w:pPr>
      <w:r w:rsidRPr="00DF3B49">
        <w:rPr>
          <w:rFonts w:ascii="Arial" w:hAnsi="Arial" w:cs="Arial"/>
          <w:sz w:val="24"/>
          <w:szCs w:val="24"/>
        </w:rPr>
        <w:t>Additionally, child protection agencies such as the NSPCC failed Victoria by not conducting further investigations once the case was referred to them, with confusion such as Victoria moving out of the borough causing the case to be closed (Dobinson, 2018). Negligent social workers were not punished in line with the different rights of victims, indicating that other victims may lose faith in the CJS.</w:t>
      </w:r>
    </w:p>
    <w:p w14:paraId="179C2337" w14:textId="77777777" w:rsidR="00B562F8" w:rsidRDefault="00B562F8" w:rsidP="00B562F8">
      <w:pPr>
        <w:spacing w:after="0" w:line="360" w:lineRule="auto"/>
        <w:contextualSpacing/>
        <w:rPr>
          <w:rFonts w:ascii="Arial" w:hAnsi="Arial" w:cs="Arial"/>
          <w:sz w:val="24"/>
          <w:szCs w:val="24"/>
        </w:rPr>
      </w:pPr>
    </w:p>
    <w:p w14:paraId="5AA06356" w14:textId="6A74A2F3" w:rsidR="00573FEF" w:rsidRPr="00DF3B49" w:rsidRDefault="004B170E" w:rsidP="00B562F8">
      <w:pPr>
        <w:spacing w:after="0" w:line="360" w:lineRule="auto"/>
        <w:contextualSpacing/>
        <w:rPr>
          <w:rFonts w:ascii="Arial" w:hAnsi="Arial" w:cs="Arial"/>
          <w:sz w:val="24"/>
          <w:szCs w:val="24"/>
        </w:rPr>
      </w:pPr>
      <w:r w:rsidRPr="00DF3B49">
        <w:rPr>
          <w:rFonts w:ascii="Arial" w:hAnsi="Arial" w:cs="Arial"/>
          <w:sz w:val="24"/>
          <w:szCs w:val="24"/>
        </w:rPr>
        <w:t xml:space="preserve">In accordance management issues </w:t>
      </w:r>
      <w:r w:rsidR="00531F75" w:rsidRPr="00DF3B49">
        <w:rPr>
          <w:rFonts w:ascii="Arial" w:hAnsi="Arial" w:cs="Arial"/>
          <w:sz w:val="24"/>
          <w:szCs w:val="24"/>
        </w:rPr>
        <w:t xml:space="preserve">present in the service </w:t>
      </w:r>
      <w:r w:rsidR="00A16EF5" w:rsidRPr="00DF3B49">
        <w:rPr>
          <w:rFonts w:ascii="Arial" w:hAnsi="Arial" w:cs="Arial"/>
          <w:sz w:val="24"/>
          <w:szCs w:val="24"/>
        </w:rPr>
        <w:t xml:space="preserve">contributed to Victoria’s death. </w:t>
      </w:r>
      <w:r w:rsidR="001A6CBC" w:rsidRPr="00DF3B49">
        <w:rPr>
          <w:rFonts w:ascii="Arial" w:hAnsi="Arial" w:cs="Arial"/>
          <w:sz w:val="24"/>
          <w:szCs w:val="24"/>
        </w:rPr>
        <w:t xml:space="preserve">In North and Central Middlesex Hospitals, healthcare providers, particularly nurses and general practitioners (GPs), failed to properly attend to the victim. Healthcare staff are responsible for evaluating a patient's injuries and illnesses for health </w:t>
      </w:r>
      <w:r w:rsidR="00A16EF5" w:rsidRPr="00DF3B49">
        <w:rPr>
          <w:rFonts w:ascii="Arial" w:hAnsi="Arial" w:cs="Arial"/>
          <w:sz w:val="24"/>
          <w:szCs w:val="24"/>
        </w:rPr>
        <w:t>maintenance and</w:t>
      </w:r>
      <w:r w:rsidR="001A6CBC" w:rsidRPr="00DF3B49">
        <w:rPr>
          <w:rFonts w:ascii="Arial" w:hAnsi="Arial" w:cs="Arial"/>
          <w:sz w:val="24"/>
          <w:szCs w:val="24"/>
        </w:rPr>
        <w:t xml:space="preserve"> must also report any abuse pertaining to injuries or illnesses to child protection authorities within the police and social services in order to protect patients from abuse. However, in Victoria's case, the staff at North Middlesex Hospital failed in their duty. For instance, the practice nurse had the first opportunity to identify the abuse if they had physically examined Victoria, indicating that the hospital also failed in this area. At Central Middlesex Hospital, </w:t>
      </w:r>
      <w:proofErr w:type="spellStart"/>
      <w:r w:rsidR="001A6CBC" w:rsidRPr="00DF3B49">
        <w:rPr>
          <w:rFonts w:ascii="Arial" w:hAnsi="Arial" w:cs="Arial"/>
          <w:sz w:val="24"/>
          <w:szCs w:val="24"/>
        </w:rPr>
        <w:t>Dr.</w:t>
      </w:r>
      <w:proofErr w:type="spellEnd"/>
      <w:r w:rsidR="001A6CBC" w:rsidRPr="00DF3B49">
        <w:rPr>
          <w:rFonts w:ascii="Arial" w:hAnsi="Arial" w:cs="Arial"/>
          <w:sz w:val="24"/>
          <w:szCs w:val="24"/>
        </w:rPr>
        <w:t xml:space="preserve"> Beynon referred the case to the </w:t>
      </w:r>
      <w:proofErr w:type="spellStart"/>
      <w:r w:rsidR="001A6CBC" w:rsidRPr="00DF3B49">
        <w:rPr>
          <w:rFonts w:ascii="Arial" w:hAnsi="Arial" w:cs="Arial"/>
          <w:sz w:val="24"/>
          <w:szCs w:val="24"/>
        </w:rPr>
        <w:t>pediatric</w:t>
      </w:r>
      <w:proofErr w:type="spellEnd"/>
      <w:r w:rsidR="001A6CBC" w:rsidRPr="00DF3B49">
        <w:rPr>
          <w:rFonts w:ascii="Arial" w:hAnsi="Arial" w:cs="Arial"/>
          <w:sz w:val="24"/>
          <w:szCs w:val="24"/>
        </w:rPr>
        <w:t xml:space="preserve"> registrar, </w:t>
      </w:r>
      <w:proofErr w:type="spellStart"/>
      <w:r w:rsidR="001A6CBC" w:rsidRPr="00DF3B49">
        <w:rPr>
          <w:rFonts w:ascii="Arial" w:hAnsi="Arial" w:cs="Arial"/>
          <w:sz w:val="24"/>
          <w:szCs w:val="24"/>
        </w:rPr>
        <w:t>Dr.</w:t>
      </w:r>
      <w:proofErr w:type="spellEnd"/>
      <w:r w:rsidR="001A6CBC" w:rsidRPr="00DF3B49">
        <w:rPr>
          <w:rFonts w:ascii="Arial" w:hAnsi="Arial" w:cs="Arial"/>
          <w:sz w:val="24"/>
          <w:szCs w:val="24"/>
        </w:rPr>
        <w:t xml:space="preserve"> Ajayi-</w:t>
      </w:r>
      <w:proofErr w:type="spellStart"/>
      <w:r w:rsidR="001A6CBC" w:rsidRPr="00DF3B49">
        <w:rPr>
          <w:rFonts w:ascii="Arial" w:hAnsi="Arial" w:cs="Arial"/>
          <w:sz w:val="24"/>
          <w:szCs w:val="24"/>
        </w:rPr>
        <w:t>Obe</w:t>
      </w:r>
      <w:proofErr w:type="spellEnd"/>
      <w:r w:rsidR="001A6CBC" w:rsidRPr="00DF3B49">
        <w:rPr>
          <w:rFonts w:ascii="Arial" w:hAnsi="Arial" w:cs="Arial"/>
          <w:sz w:val="24"/>
          <w:szCs w:val="24"/>
        </w:rPr>
        <w:t>, after suspecting that the injuries were not accidental, with the latter informing relevant authorities (BBC News, 2003). The evidence of failure in protecting the child victim emerged when the child protection consultant concluded that Victoria had scabies and discharged her. Such a diagnosis could be equated to medical negligence, which was also the case at North Middlesex Hospital, where physicians suspected abuse but ultimately discharged Victoria (Aleksandra, 2016). Healthcare professionals should not easily accept simple explanations, such as scabies, for such severe injuries.</w:t>
      </w:r>
      <w:r w:rsidR="00573FEF" w:rsidRPr="00DF3B49">
        <w:rPr>
          <w:rFonts w:ascii="Arial" w:hAnsi="Arial" w:cs="Arial"/>
          <w:sz w:val="24"/>
          <w:szCs w:val="24"/>
        </w:rPr>
        <w:t xml:space="preserve"> </w:t>
      </w:r>
      <w:r w:rsidR="00573FEF" w:rsidRPr="00DF3B49">
        <w:rPr>
          <w:rFonts w:ascii="Arial" w:hAnsi="Arial" w:cs="Arial"/>
          <w:sz w:val="24"/>
          <w:szCs w:val="24"/>
        </w:rPr>
        <w:t xml:space="preserve">These </w:t>
      </w:r>
      <w:r w:rsidR="00573FEF" w:rsidRPr="00DF3B49">
        <w:rPr>
          <w:rFonts w:ascii="Arial" w:hAnsi="Arial" w:cs="Arial"/>
          <w:sz w:val="24"/>
          <w:szCs w:val="24"/>
        </w:rPr>
        <w:lastRenderedPageBreak/>
        <w:t xml:space="preserve">professionals are responsible for protecting children and should have challenged and further investigated the matter. According to </w:t>
      </w:r>
      <w:proofErr w:type="spellStart"/>
      <w:r w:rsidR="00573FEF" w:rsidRPr="00DF3B49">
        <w:rPr>
          <w:rFonts w:ascii="Arial" w:hAnsi="Arial" w:cs="Arial"/>
          <w:sz w:val="24"/>
          <w:szCs w:val="24"/>
        </w:rPr>
        <w:t>Leatherby</w:t>
      </w:r>
      <w:proofErr w:type="spellEnd"/>
      <w:r w:rsidR="00573FEF" w:rsidRPr="00DF3B49">
        <w:rPr>
          <w:rFonts w:ascii="Arial" w:hAnsi="Arial" w:cs="Arial"/>
          <w:sz w:val="24"/>
          <w:szCs w:val="24"/>
        </w:rPr>
        <w:t xml:space="preserve"> (2016), NSPCC (2016), </w:t>
      </w:r>
      <w:proofErr w:type="spellStart"/>
      <w:r w:rsidR="00573FEF" w:rsidRPr="00DF3B49">
        <w:rPr>
          <w:rFonts w:ascii="Arial" w:hAnsi="Arial" w:cs="Arial"/>
          <w:sz w:val="24"/>
          <w:szCs w:val="24"/>
        </w:rPr>
        <w:t>Pawlik</w:t>
      </w:r>
      <w:proofErr w:type="spellEnd"/>
      <w:r w:rsidR="00573FEF" w:rsidRPr="00DF3B49">
        <w:rPr>
          <w:rFonts w:ascii="Arial" w:hAnsi="Arial" w:cs="Arial"/>
          <w:sz w:val="24"/>
          <w:szCs w:val="24"/>
        </w:rPr>
        <w:t xml:space="preserve"> et al. (2016), and Barker (2023), burns and scalds are indicative or signs of intentional physical abuse and could result in long-term health issues or even death. In this light, healthcare providers missed a chance to save Victoria. </w:t>
      </w:r>
    </w:p>
    <w:p w14:paraId="0816A56C" w14:textId="77777777" w:rsidR="00333995" w:rsidRPr="00DF3B49" w:rsidRDefault="00333995" w:rsidP="00B562F8">
      <w:pPr>
        <w:spacing w:after="0" w:line="360" w:lineRule="auto"/>
        <w:contextualSpacing/>
        <w:rPr>
          <w:rFonts w:ascii="Arial" w:hAnsi="Arial" w:cs="Arial"/>
          <w:sz w:val="24"/>
          <w:szCs w:val="24"/>
        </w:rPr>
      </w:pPr>
    </w:p>
    <w:p w14:paraId="54861720" w14:textId="7C29C462" w:rsidR="00333995" w:rsidRPr="00DF3B49" w:rsidRDefault="00333995" w:rsidP="00B562F8">
      <w:pPr>
        <w:spacing w:after="0" w:line="360" w:lineRule="auto"/>
        <w:contextualSpacing/>
        <w:rPr>
          <w:rFonts w:ascii="Arial" w:hAnsi="Arial" w:cs="Arial"/>
          <w:sz w:val="24"/>
          <w:szCs w:val="24"/>
        </w:rPr>
      </w:pPr>
      <w:r w:rsidRPr="00DF3B49">
        <w:rPr>
          <w:rFonts w:ascii="Arial" w:hAnsi="Arial" w:cs="Arial"/>
          <w:sz w:val="24"/>
          <w:szCs w:val="24"/>
        </w:rPr>
        <w:t xml:space="preserve">It is necessary to clarify that social workers are distinct from child protection police officers, as the latter safeguard children by investigating any criminal </w:t>
      </w:r>
      <w:r w:rsidR="00CE01E9" w:rsidRPr="00DF3B49">
        <w:rPr>
          <w:rFonts w:ascii="Arial" w:hAnsi="Arial" w:cs="Arial"/>
          <w:sz w:val="24"/>
          <w:szCs w:val="24"/>
        </w:rPr>
        <w:t>endeavour</w:t>
      </w:r>
      <w:r w:rsidRPr="00DF3B49">
        <w:rPr>
          <w:rFonts w:ascii="Arial" w:hAnsi="Arial" w:cs="Arial"/>
          <w:sz w:val="24"/>
          <w:szCs w:val="24"/>
        </w:rPr>
        <w:t xml:space="preserve"> that may be linked to child abuse. Police child protection teams failed Victoria by not executing their role of investigating claims of abuse, including sexual, physical, emotional, or even neglect of those under 18 years (children). As opposed to social workers who are involved in housing, education, or healthcare issues, police officers tasked with child protection primarily investigate criminal claims of abuse. According to the College of Policing (2018), these officers (child abuse investigators) are responsible for supporting victims and investigating for the identification of perpetrators of child abuse and related crimes. In Victoria’s case, the child protection teams did not investigate the abuse and simply agreed with Victoria’s great aunt’s explanation that she had scabies. Lamming (2003) and BBC News (2003) reported that Metropolitan police officers totally failed the victim. For instance, PC Karen Jones did not inspect the victim’s home as she feared catching scabies.</w:t>
      </w:r>
    </w:p>
    <w:p w14:paraId="3482273E" w14:textId="16B5C710" w:rsidR="00F55976" w:rsidRPr="00DF3B49" w:rsidRDefault="00F55976" w:rsidP="00B562F8">
      <w:pPr>
        <w:spacing w:after="0" w:line="360" w:lineRule="auto"/>
        <w:contextualSpacing/>
        <w:rPr>
          <w:rFonts w:ascii="Arial" w:hAnsi="Arial" w:cs="Arial"/>
          <w:sz w:val="24"/>
          <w:szCs w:val="24"/>
        </w:rPr>
      </w:pPr>
      <w:r w:rsidRPr="00DF3B49">
        <w:rPr>
          <w:rFonts w:ascii="Arial" w:hAnsi="Arial" w:cs="Arial"/>
          <w:sz w:val="24"/>
          <w:szCs w:val="24"/>
        </w:rPr>
        <w:t xml:space="preserve">In line with the Code of Practice, victims have the right to have full information about the crime recorded with no unreasonable delay </w:t>
      </w:r>
      <w:r w:rsidR="00904E22" w:rsidRPr="00DF3B49">
        <w:rPr>
          <w:rFonts w:ascii="Arial" w:hAnsi="Arial" w:cs="Arial"/>
          <w:sz w:val="24"/>
          <w:szCs w:val="24"/>
        </w:rPr>
        <w:t>and</w:t>
      </w:r>
      <w:r w:rsidRPr="00DF3B49">
        <w:rPr>
          <w:rFonts w:ascii="Arial" w:hAnsi="Arial" w:cs="Arial"/>
          <w:sz w:val="24"/>
          <w:szCs w:val="24"/>
        </w:rPr>
        <w:t xml:space="preserve"> be referred to services supporting victims with needs matching theirs (Ministry of Justice, 2021). The UK Criminal Justice System (CJS) denied Victoria these rights, hence failing her as a victim of crime. This conclusion is consistent with recent criticism of the CJS. For instance, Shannon and </w:t>
      </w:r>
      <w:proofErr w:type="spellStart"/>
      <w:r w:rsidRPr="00DF3B49">
        <w:rPr>
          <w:rFonts w:ascii="Arial" w:hAnsi="Arial" w:cs="Arial"/>
          <w:sz w:val="24"/>
          <w:szCs w:val="24"/>
        </w:rPr>
        <w:t>Concubhair</w:t>
      </w:r>
      <w:proofErr w:type="spellEnd"/>
      <w:r w:rsidRPr="00DF3B49">
        <w:rPr>
          <w:rFonts w:ascii="Arial" w:hAnsi="Arial" w:cs="Arial"/>
          <w:sz w:val="24"/>
          <w:szCs w:val="24"/>
        </w:rPr>
        <w:t xml:space="preserve"> (2016) and Dearden (2018) report that UK authorities (particularly the police and overall CJS) have fallen short of standard codes of practice and continue to fail victims, which ultimately causes victims to lose confidence in the system.</w:t>
      </w:r>
    </w:p>
    <w:p w14:paraId="40AB14A8" w14:textId="1C602C49" w:rsidR="003F2F17" w:rsidRPr="00DF3B49" w:rsidRDefault="003F2F17" w:rsidP="00B562F8">
      <w:pPr>
        <w:spacing w:after="0" w:line="360" w:lineRule="auto"/>
        <w:contextualSpacing/>
        <w:rPr>
          <w:rFonts w:ascii="Arial" w:hAnsi="Arial" w:cs="Arial"/>
          <w:sz w:val="24"/>
          <w:szCs w:val="24"/>
        </w:rPr>
      </w:pPr>
      <w:r w:rsidRPr="00DF3B49">
        <w:rPr>
          <w:rFonts w:ascii="Arial" w:hAnsi="Arial" w:cs="Arial"/>
          <w:sz w:val="24"/>
          <w:szCs w:val="24"/>
        </w:rPr>
        <w:t xml:space="preserve">A different perspective on police racism emerged in the Victoria case investigations. Precisely, Carvel (2002) reported that the Met Police was institutionally racist in how it handled the investigation, for instance, by blaming Victoria’s death on a black woman police officer but failing to examine the </w:t>
      </w:r>
      <w:r w:rsidR="00E56D0E" w:rsidRPr="00DF3B49">
        <w:rPr>
          <w:rFonts w:ascii="Arial" w:hAnsi="Arial" w:cs="Arial"/>
          <w:sz w:val="24"/>
          <w:szCs w:val="24"/>
        </w:rPr>
        <w:t>behaviour</w:t>
      </w:r>
      <w:r w:rsidRPr="00DF3B49">
        <w:rPr>
          <w:rFonts w:ascii="Arial" w:hAnsi="Arial" w:cs="Arial"/>
          <w:sz w:val="24"/>
          <w:szCs w:val="24"/>
        </w:rPr>
        <w:t xml:space="preserve"> of white colleagues as they </w:t>
      </w:r>
      <w:r w:rsidRPr="00DF3B49">
        <w:rPr>
          <w:rFonts w:ascii="Arial" w:hAnsi="Arial" w:cs="Arial"/>
          <w:sz w:val="24"/>
          <w:szCs w:val="24"/>
        </w:rPr>
        <w:lastRenderedPageBreak/>
        <w:t xml:space="preserve">were also culpable. These issues further demonstrate that the CJS was unprofessional in responding to the case </w:t>
      </w:r>
      <w:r w:rsidR="00B562F8" w:rsidRPr="00DF3B49">
        <w:rPr>
          <w:rFonts w:ascii="Arial" w:hAnsi="Arial" w:cs="Arial"/>
          <w:sz w:val="24"/>
          <w:szCs w:val="24"/>
        </w:rPr>
        <w:t>and failed</w:t>
      </w:r>
      <w:r w:rsidR="00E56D0E" w:rsidRPr="00DF3B49">
        <w:rPr>
          <w:rFonts w:ascii="Arial" w:hAnsi="Arial" w:cs="Arial"/>
          <w:sz w:val="24"/>
          <w:szCs w:val="24"/>
        </w:rPr>
        <w:t xml:space="preserve"> to </w:t>
      </w:r>
      <w:r w:rsidRPr="00DF3B49">
        <w:rPr>
          <w:rFonts w:ascii="Arial" w:hAnsi="Arial" w:cs="Arial"/>
          <w:sz w:val="24"/>
          <w:szCs w:val="24"/>
        </w:rPr>
        <w:t>ensur</w:t>
      </w:r>
      <w:r w:rsidR="00E56D0E" w:rsidRPr="00DF3B49">
        <w:rPr>
          <w:rFonts w:ascii="Arial" w:hAnsi="Arial" w:cs="Arial"/>
          <w:sz w:val="24"/>
          <w:szCs w:val="24"/>
        </w:rPr>
        <w:t>e</w:t>
      </w:r>
      <w:r w:rsidRPr="00DF3B49">
        <w:rPr>
          <w:rFonts w:ascii="Arial" w:hAnsi="Arial" w:cs="Arial"/>
          <w:sz w:val="24"/>
          <w:szCs w:val="24"/>
        </w:rPr>
        <w:t xml:space="preserve"> that justice was served. </w:t>
      </w:r>
    </w:p>
    <w:p w14:paraId="3D0B7039" w14:textId="308FA46B" w:rsidR="001507E4" w:rsidRPr="00DF3B49" w:rsidRDefault="001507E4" w:rsidP="00B562F8">
      <w:pPr>
        <w:spacing w:after="0" w:line="360" w:lineRule="auto"/>
        <w:contextualSpacing/>
        <w:jc w:val="center"/>
        <w:rPr>
          <w:rFonts w:ascii="Arial" w:hAnsi="Arial" w:cs="Arial"/>
          <w:sz w:val="24"/>
          <w:szCs w:val="24"/>
        </w:rPr>
      </w:pPr>
      <w:r w:rsidRPr="00DF3B49">
        <w:rPr>
          <w:rFonts w:ascii="Arial" w:hAnsi="Arial" w:cs="Arial"/>
          <w:sz w:val="24"/>
          <w:szCs w:val="24"/>
        </w:rPr>
        <w:t>Conclusion</w:t>
      </w:r>
      <w:r w:rsidR="00B562F8">
        <w:rPr>
          <w:rFonts w:ascii="Arial" w:hAnsi="Arial" w:cs="Arial"/>
          <w:sz w:val="24"/>
          <w:szCs w:val="24"/>
        </w:rPr>
        <w:t>:</w:t>
      </w:r>
    </w:p>
    <w:p w14:paraId="7ADD1418" w14:textId="74EC2D14" w:rsidR="001507E4" w:rsidRPr="00DF3B49" w:rsidRDefault="001507E4" w:rsidP="00B562F8">
      <w:pPr>
        <w:spacing w:after="0" w:line="360" w:lineRule="auto"/>
        <w:contextualSpacing/>
        <w:rPr>
          <w:rFonts w:ascii="Arial" w:hAnsi="Arial" w:cs="Arial"/>
          <w:sz w:val="24"/>
          <w:szCs w:val="24"/>
        </w:rPr>
      </w:pPr>
      <w:r w:rsidRPr="00DF3B49">
        <w:rPr>
          <w:rFonts w:ascii="Arial" w:hAnsi="Arial" w:cs="Arial"/>
          <w:sz w:val="24"/>
          <w:szCs w:val="24"/>
        </w:rPr>
        <w:t>The essay provided clarification that Victoria, together with her great-aunt Marie-Thérèse Kouao (a French citizen), left their country, Ivory Coast, to receive an education in France. However, they later travelled to London, England, in April 1999. Tragically, Victoria was subjected to abuse by her aunt and her boyfriend, who was a bus driver. The healthcare services, social services, and the police (CJS) failed miserably in protecting Victoria as a victim of crime. It has been revealed that if these relevant authorities and organizations had carried out their roles of protecting crime victims, Victoria's death could have been prevented.</w:t>
      </w:r>
      <w:r w:rsidR="00EA4933" w:rsidRPr="00DF3B49">
        <w:rPr>
          <w:rFonts w:ascii="Arial" w:hAnsi="Arial" w:cs="Arial"/>
          <w:sz w:val="24"/>
          <w:szCs w:val="24"/>
        </w:rPr>
        <w:t xml:space="preserve"> However, the Victoria </w:t>
      </w:r>
      <w:r w:rsidR="00EA4933" w:rsidRPr="00DF3B49">
        <w:rPr>
          <w:rFonts w:ascii="Arial" w:hAnsi="Arial" w:cs="Arial"/>
          <w:sz w:val="24"/>
          <w:szCs w:val="24"/>
        </w:rPr>
        <w:t>Climbié Case</w:t>
      </w:r>
      <w:r w:rsidR="00EA4933" w:rsidRPr="00DF3B49">
        <w:rPr>
          <w:rFonts w:ascii="Arial" w:hAnsi="Arial" w:cs="Arial"/>
          <w:sz w:val="24"/>
          <w:szCs w:val="24"/>
        </w:rPr>
        <w:t xml:space="preserve"> </w:t>
      </w:r>
      <w:r w:rsidR="0064740D" w:rsidRPr="00DF3B49">
        <w:rPr>
          <w:rFonts w:ascii="Arial" w:hAnsi="Arial" w:cs="Arial"/>
          <w:sz w:val="24"/>
          <w:szCs w:val="24"/>
        </w:rPr>
        <w:t xml:space="preserve">highlighted the drastic need for a change to </w:t>
      </w:r>
      <w:r w:rsidR="00C97DD3">
        <w:rPr>
          <w:rFonts w:ascii="Arial" w:hAnsi="Arial" w:cs="Arial"/>
          <w:sz w:val="24"/>
          <w:szCs w:val="24"/>
        </w:rPr>
        <w:t>child protection</w:t>
      </w:r>
      <w:r w:rsidR="00CA7609">
        <w:rPr>
          <w:rFonts w:ascii="Arial" w:hAnsi="Arial" w:cs="Arial"/>
          <w:sz w:val="24"/>
          <w:szCs w:val="24"/>
        </w:rPr>
        <w:t xml:space="preserve"> policies in the United Kingdom. </w:t>
      </w:r>
      <w:r w:rsidR="0041639C">
        <w:rPr>
          <w:rFonts w:ascii="Arial" w:hAnsi="Arial" w:cs="Arial"/>
          <w:sz w:val="24"/>
          <w:szCs w:val="24"/>
        </w:rPr>
        <w:t xml:space="preserve">Namely, </w:t>
      </w:r>
      <w:r w:rsidR="00E84603">
        <w:rPr>
          <w:rFonts w:ascii="Arial" w:hAnsi="Arial" w:cs="Arial"/>
          <w:sz w:val="24"/>
          <w:szCs w:val="24"/>
        </w:rPr>
        <w:t>the introduction of the children</w:t>
      </w:r>
      <w:r w:rsidR="00800587">
        <w:rPr>
          <w:rFonts w:ascii="Arial" w:hAnsi="Arial" w:cs="Arial"/>
          <w:sz w:val="24"/>
          <w:szCs w:val="24"/>
        </w:rPr>
        <w:t xml:space="preserve"> Act 2004, a government database entailing information on all children in England</w:t>
      </w:r>
      <w:r w:rsidR="001E1BBA">
        <w:rPr>
          <w:rFonts w:ascii="Arial" w:hAnsi="Arial" w:cs="Arial"/>
          <w:sz w:val="24"/>
          <w:szCs w:val="24"/>
        </w:rPr>
        <w:t xml:space="preserve"> as well as other improvements in</w:t>
      </w:r>
      <w:r w:rsidR="00FE6D5F">
        <w:rPr>
          <w:rFonts w:ascii="Arial" w:hAnsi="Arial" w:cs="Arial"/>
          <w:sz w:val="24"/>
          <w:szCs w:val="24"/>
        </w:rPr>
        <w:t xml:space="preserve"> child protection services. </w:t>
      </w:r>
    </w:p>
    <w:p w14:paraId="474DE8F3" w14:textId="560FD3C6" w:rsidR="001A6CBC" w:rsidRPr="00DF3B49" w:rsidRDefault="001A6CBC" w:rsidP="004C53CE">
      <w:pPr>
        <w:spacing w:after="0" w:line="480" w:lineRule="auto"/>
        <w:contextualSpacing/>
        <w:rPr>
          <w:rFonts w:ascii="Arial" w:hAnsi="Arial" w:cs="Arial"/>
          <w:sz w:val="24"/>
          <w:szCs w:val="24"/>
        </w:rPr>
      </w:pPr>
    </w:p>
    <w:p w14:paraId="5EAD1E3E" w14:textId="71E70883" w:rsidR="009A4A29" w:rsidRPr="009A4A29" w:rsidRDefault="009A4A29" w:rsidP="009A4A29">
      <w:pPr>
        <w:spacing w:line="480" w:lineRule="auto"/>
        <w:contextualSpacing/>
        <w:jc w:val="center"/>
        <w:rPr>
          <w:rFonts w:ascii="Times New Roman" w:hAnsi="Times New Roman" w:cs="Times New Roman"/>
          <w:sz w:val="24"/>
          <w:szCs w:val="24"/>
        </w:rPr>
      </w:pPr>
      <w:r w:rsidRPr="009A4A29">
        <w:rPr>
          <w:rFonts w:ascii="Times New Roman" w:hAnsi="Times New Roman" w:cs="Times New Roman"/>
          <w:sz w:val="24"/>
          <w:szCs w:val="24"/>
        </w:rPr>
        <w:t>References</w:t>
      </w:r>
      <w:r w:rsidRPr="009A4A29">
        <w:rPr>
          <w:rFonts w:ascii="Times New Roman" w:hAnsi="Times New Roman" w:cs="Times New Roman"/>
          <w:sz w:val="24"/>
          <w:szCs w:val="24"/>
        </w:rPr>
        <w:t>:</w:t>
      </w:r>
    </w:p>
    <w:p w14:paraId="7360FEEE" w14:textId="77777777" w:rsidR="00D152E4" w:rsidRPr="009A4A29" w:rsidRDefault="00D152E4" w:rsidP="004C53CE">
      <w:pPr>
        <w:spacing w:after="0" w:line="480" w:lineRule="auto"/>
        <w:contextualSpacing/>
        <w:rPr>
          <w:rFonts w:ascii="Times New Roman" w:hAnsi="Times New Roman" w:cs="Times New Roman"/>
          <w:sz w:val="24"/>
          <w:szCs w:val="24"/>
        </w:rPr>
      </w:pPr>
    </w:p>
    <w:p w14:paraId="6B20D310"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Aleksandra, B., 2016. </w:t>
      </w:r>
      <w:r w:rsidRPr="00D152E4">
        <w:rPr>
          <w:rFonts w:ascii="Times New Roman" w:hAnsi="Times New Roman" w:cs="Times New Roman"/>
          <w:i/>
          <w:sz w:val="24"/>
          <w:szCs w:val="24"/>
        </w:rPr>
        <w:t>Research into the death of Victoria Climbie, what went wrong and how her death could have been prevented</w:t>
      </w:r>
      <w:r w:rsidRPr="00D152E4">
        <w:rPr>
          <w:rFonts w:ascii="Times New Roman" w:hAnsi="Times New Roman" w:cs="Times New Roman"/>
          <w:sz w:val="24"/>
          <w:szCs w:val="24"/>
        </w:rPr>
        <w:t xml:space="preserve">. [Online] Available at: </w:t>
      </w:r>
      <w:hyperlink r:id="rId6" w:history="1">
        <w:r w:rsidRPr="00D152E4">
          <w:rPr>
            <w:rStyle w:val="Hyperlink"/>
            <w:rFonts w:ascii="Times New Roman" w:hAnsi="Times New Roman" w:cs="Times New Roman"/>
            <w:sz w:val="24"/>
            <w:szCs w:val="24"/>
          </w:rPr>
          <w:t>https://bonitaleksandra.wordpress.com/2016/08/11/first-blog-post/</w:t>
        </w:r>
      </w:hyperlink>
      <w:r w:rsidRPr="00D152E4">
        <w:rPr>
          <w:rFonts w:ascii="Times New Roman" w:hAnsi="Times New Roman" w:cs="Times New Roman"/>
          <w:sz w:val="24"/>
          <w:szCs w:val="24"/>
        </w:rPr>
        <w:t xml:space="preserve"> [Accessed 26/4/2023].</w:t>
      </w:r>
    </w:p>
    <w:p w14:paraId="654E0E83"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Barker, T.H., 2023. </w:t>
      </w:r>
      <w:r w:rsidRPr="00D152E4">
        <w:rPr>
          <w:rFonts w:ascii="Times New Roman" w:hAnsi="Times New Roman" w:cs="Times New Roman"/>
          <w:i/>
          <w:sz w:val="24"/>
          <w:szCs w:val="24"/>
        </w:rPr>
        <w:t>On the hygienic management of infants and children</w:t>
      </w:r>
      <w:r w:rsidRPr="00D152E4">
        <w:rPr>
          <w:rFonts w:ascii="Times New Roman" w:hAnsi="Times New Roman" w:cs="Times New Roman"/>
          <w:sz w:val="24"/>
          <w:szCs w:val="24"/>
        </w:rPr>
        <w:t xml:space="preserve">. </w:t>
      </w:r>
      <w:proofErr w:type="spellStart"/>
      <w:r w:rsidRPr="00D152E4">
        <w:rPr>
          <w:rFonts w:ascii="Times New Roman" w:hAnsi="Times New Roman" w:cs="Times New Roman"/>
          <w:sz w:val="24"/>
          <w:szCs w:val="24"/>
        </w:rPr>
        <w:t>BoD</w:t>
      </w:r>
      <w:proofErr w:type="spellEnd"/>
      <w:r w:rsidRPr="00D152E4">
        <w:rPr>
          <w:rFonts w:ascii="Times New Roman" w:hAnsi="Times New Roman" w:cs="Times New Roman"/>
          <w:sz w:val="24"/>
          <w:szCs w:val="24"/>
        </w:rPr>
        <w:t xml:space="preserve"> – Books on Demand.‌</w:t>
      </w:r>
    </w:p>
    <w:p w14:paraId="7E8FA19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Batty, D., 2002. </w:t>
      </w:r>
      <w:r w:rsidRPr="00D152E4">
        <w:rPr>
          <w:rFonts w:ascii="Times New Roman" w:hAnsi="Times New Roman" w:cs="Times New Roman"/>
          <w:i/>
          <w:sz w:val="24"/>
          <w:szCs w:val="24"/>
        </w:rPr>
        <w:t>Councils pin blame on suspended social worker</w:t>
      </w:r>
      <w:r w:rsidRPr="00D152E4">
        <w:rPr>
          <w:rFonts w:ascii="Times New Roman" w:hAnsi="Times New Roman" w:cs="Times New Roman"/>
          <w:sz w:val="24"/>
          <w:szCs w:val="24"/>
        </w:rPr>
        <w:t xml:space="preserve">. [Online] Available at: </w:t>
      </w:r>
      <w:hyperlink r:id="rId7" w:history="1">
        <w:r w:rsidRPr="00D152E4">
          <w:rPr>
            <w:rStyle w:val="Hyperlink"/>
            <w:rFonts w:ascii="Times New Roman" w:hAnsi="Times New Roman" w:cs="Times New Roman"/>
            <w:sz w:val="24"/>
            <w:szCs w:val="24"/>
          </w:rPr>
          <w:t>https://www.theguardian.com/society/2002/feb/18/3</w:t>
        </w:r>
      </w:hyperlink>
      <w:r w:rsidRPr="00D152E4">
        <w:rPr>
          <w:rFonts w:ascii="Times New Roman" w:hAnsi="Times New Roman" w:cs="Times New Roman"/>
          <w:sz w:val="24"/>
          <w:szCs w:val="24"/>
        </w:rPr>
        <w:t xml:space="preserve"> [Accessed 26/4/2023].</w:t>
      </w:r>
    </w:p>
    <w:p w14:paraId="6737DEB2"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BBC News, 2002. </w:t>
      </w:r>
      <w:r w:rsidRPr="00D152E4">
        <w:rPr>
          <w:rFonts w:ascii="Times New Roman" w:hAnsi="Times New Roman" w:cs="Times New Roman"/>
          <w:i/>
          <w:sz w:val="24"/>
          <w:szCs w:val="24"/>
        </w:rPr>
        <w:t xml:space="preserve">Could Victoria have been saved? </w:t>
      </w:r>
      <w:r w:rsidRPr="00D152E4">
        <w:rPr>
          <w:rFonts w:ascii="Times New Roman" w:hAnsi="Times New Roman" w:cs="Times New Roman"/>
          <w:sz w:val="24"/>
          <w:szCs w:val="24"/>
        </w:rPr>
        <w:t xml:space="preserve">[Online] Available at: </w:t>
      </w:r>
      <w:hyperlink r:id="rId8" w:history="1">
        <w:r w:rsidRPr="00D152E4">
          <w:rPr>
            <w:rStyle w:val="Hyperlink"/>
            <w:rFonts w:ascii="Times New Roman" w:hAnsi="Times New Roman" w:cs="Times New Roman"/>
            <w:sz w:val="24"/>
            <w:szCs w:val="24"/>
          </w:rPr>
          <w:t>http://news.bbc.co.uk/1/hi/uk/2122256.stm</w:t>
        </w:r>
      </w:hyperlink>
      <w:r w:rsidRPr="00D152E4">
        <w:rPr>
          <w:rFonts w:ascii="Times New Roman" w:hAnsi="Times New Roman" w:cs="Times New Roman"/>
          <w:sz w:val="24"/>
          <w:szCs w:val="24"/>
        </w:rPr>
        <w:t xml:space="preserve"> [Accessed 26/4/2023].</w:t>
      </w:r>
    </w:p>
    <w:p w14:paraId="65674AC6"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lastRenderedPageBreak/>
        <w:t xml:space="preserve">BBC News, 2003. </w:t>
      </w:r>
      <w:r w:rsidRPr="00D152E4">
        <w:rPr>
          <w:rFonts w:ascii="Times New Roman" w:hAnsi="Times New Roman" w:cs="Times New Roman"/>
          <w:i/>
          <w:sz w:val="24"/>
          <w:szCs w:val="24"/>
        </w:rPr>
        <w:t>Victoria Climbie: chain of neglect</w:t>
      </w:r>
      <w:r w:rsidRPr="00D152E4">
        <w:rPr>
          <w:rFonts w:ascii="Times New Roman" w:hAnsi="Times New Roman" w:cs="Times New Roman"/>
          <w:sz w:val="24"/>
          <w:szCs w:val="24"/>
        </w:rPr>
        <w:t xml:space="preserve">. [Online] Available at: </w:t>
      </w:r>
      <w:hyperlink r:id="rId9" w:history="1">
        <w:r w:rsidRPr="00D152E4">
          <w:rPr>
            <w:rStyle w:val="Hyperlink"/>
            <w:rFonts w:ascii="Times New Roman" w:hAnsi="Times New Roman" w:cs="Times New Roman"/>
            <w:sz w:val="24"/>
            <w:szCs w:val="24"/>
          </w:rPr>
          <w:t>http://news.bbc.co.uk/2/hi/uk_news/2700427.stm</w:t>
        </w:r>
      </w:hyperlink>
      <w:r w:rsidRPr="00D152E4">
        <w:rPr>
          <w:rFonts w:ascii="Times New Roman" w:hAnsi="Times New Roman" w:cs="Times New Roman"/>
          <w:sz w:val="24"/>
          <w:szCs w:val="24"/>
        </w:rPr>
        <w:t xml:space="preserve"> [Accessed 26/4/2023].</w:t>
      </w:r>
    </w:p>
    <w:p w14:paraId="46AC6E4A"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Carvel, J., 2002. </w:t>
      </w:r>
      <w:r w:rsidRPr="00D152E4">
        <w:rPr>
          <w:rFonts w:ascii="Times New Roman" w:hAnsi="Times New Roman" w:cs="Times New Roman"/>
          <w:i/>
          <w:sz w:val="24"/>
          <w:szCs w:val="24"/>
        </w:rPr>
        <w:t>Police ‘were racist’ in Climbié case</w:t>
      </w:r>
      <w:r w:rsidRPr="00D152E4">
        <w:rPr>
          <w:rFonts w:ascii="Times New Roman" w:hAnsi="Times New Roman" w:cs="Times New Roman"/>
          <w:sz w:val="24"/>
          <w:szCs w:val="24"/>
        </w:rPr>
        <w:t xml:space="preserve">. [Online] Available at: </w:t>
      </w:r>
      <w:hyperlink r:id="rId10" w:history="1">
        <w:r w:rsidRPr="00D152E4">
          <w:rPr>
            <w:rStyle w:val="Hyperlink"/>
            <w:rFonts w:ascii="Times New Roman" w:hAnsi="Times New Roman" w:cs="Times New Roman"/>
            <w:sz w:val="24"/>
            <w:szCs w:val="24"/>
          </w:rPr>
          <w:t>https://www.theguardian.com/society/2002/apr/30/raceintheuk.crime</w:t>
        </w:r>
      </w:hyperlink>
      <w:r w:rsidRPr="00D152E4">
        <w:rPr>
          <w:rFonts w:ascii="Times New Roman" w:hAnsi="Times New Roman" w:cs="Times New Roman"/>
          <w:sz w:val="24"/>
          <w:szCs w:val="24"/>
        </w:rPr>
        <w:t xml:space="preserve"> [Accessed 26/4/2023].</w:t>
      </w:r>
    </w:p>
    <w:p w14:paraId="600FD6F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Child Protection Resource, 2015. </w:t>
      </w:r>
      <w:r w:rsidRPr="00D152E4">
        <w:rPr>
          <w:rFonts w:ascii="Times New Roman" w:hAnsi="Times New Roman" w:cs="Times New Roman"/>
          <w:i/>
          <w:sz w:val="24"/>
          <w:szCs w:val="24"/>
        </w:rPr>
        <w:t>A system in continual crisis – what happens when all you do is try to shift the blame?</w:t>
      </w:r>
      <w:r w:rsidRPr="00D152E4">
        <w:rPr>
          <w:rFonts w:ascii="Times New Roman" w:hAnsi="Times New Roman" w:cs="Times New Roman"/>
          <w:sz w:val="24"/>
          <w:szCs w:val="24"/>
        </w:rPr>
        <w:t xml:space="preserve"> [Online] Available at: </w:t>
      </w:r>
      <w:hyperlink r:id="rId11" w:history="1">
        <w:r w:rsidRPr="00D152E4">
          <w:rPr>
            <w:rStyle w:val="Hyperlink"/>
            <w:rFonts w:ascii="Times New Roman" w:hAnsi="Times New Roman" w:cs="Times New Roman"/>
            <w:sz w:val="24"/>
            <w:szCs w:val="24"/>
          </w:rPr>
          <w:t>https://childprotectionresource.online/tag/victoria-climbie/</w:t>
        </w:r>
      </w:hyperlink>
      <w:r w:rsidRPr="00D152E4">
        <w:rPr>
          <w:rFonts w:ascii="Times New Roman" w:hAnsi="Times New Roman" w:cs="Times New Roman"/>
          <w:sz w:val="24"/>
          <w:szCs w:val="24"/>
        </w:rPr>
        <w:t xml:space="preserve"> [Accessed 26/4/2023].</w:t>
      </w:r>
    </w:p>
    <w:p w14:paraId="5AB77409"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College of Policing (2018). </w:t>
      </w:r>
      <w:r w:rsidRPr="00D152E4">
        <w:rPr>
          <w:rFonts w:ascii="Times New Roman" w:hAnsi="Times New Roman" w:cs="Times New Roman"/>
          <w:i/>
          <w:sz w:val="24"/>
          <w:szCs w:val="24"/>
        </w:rPr>
        <w:t>Child Abuse Investigator - College of Policing</w:t>
      </w:r>
      <w:r w:rsidRPr="00D152E4">
        <w:rPr>
          <w:rFonts w:ascii="Times New Roman" w:hAnsi="Times New Roman" w:cs="Times New Roman"/>
          <w:sz w:val="24"/>
          <w:szCs w:val="24"/>
        </w:rPr>
        <w:t xml:space="preserve">. [Online] College of Policing. Available at: </w:t>
      </w:r>
      <w:hyperlink r:id="rId12" w:history="1">
        <w:r w:rsidRPr="00D152E4">
          <w:rPr>
            <w:rStyle w:val="Hyperlink"/>
            <w:rFonts w:ascii="Times New Roman" w:hAnsi="Times New Roman" w:cs="Times New Roman"/>
            <w:sz w:val="24"/>
            <w:szCs w:val="24"/>
          </w:rPr>
          <w:t>https://profdev.college.police.uk/professional-profile/child-abuse-investigator/</w:t>
        </w:r>
      </w:hyperlink>
      <w:r w:rsidRPr="00D152E4">
        <w:rPr>
          <w:rFonts w:ascii="Times New Roman" w:hAnsi="Times New Roman" w:cs="Times New Roman"/>
          <w:sz w:val="24"/>
          <w:szCs w:val="24"/>
        </w:rPr>
        <w:t xml:space="preserve"> [Accessed 30/4/2023].</w:t>
      </w:r>
    </w:p>
    <w:p w14:paraId="4AEB6C17"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College of Policing, 2021. </w:t>
      </w:r>
      <w:r w:rsidRPr="00D152E4">
        <w:rPr>
          <w:rFonts w:ascii="Times New Roman" w:hAnsi="Times New Roman" w:cs="Times New Roman"/>
          <w:i/>
          <w:sz w:val="24"/>
          <w:szCs w:val="24"/>
        </w:rPr>
        <w:t>Introduction to vulnerability-related risk</w:t>
      </w:r>
      <w:r w:rsidRPr="00D152E4">
        <w:rPr>
          <w:rFonts w:ascii="Times New Roman" w:hAnsi="Times New Roman" w:cs="Times New Roman"/>
          <w:sz w:val="24"/>
          <w:szCs w:val="24"/>
        </w:rPr>
        <w:t xml:space="preserve">. [Online] Available at: </w:t>
      </w:r>
      <w:hyperlink r:id="rId13" w:history="1">
        <w:r w:rsidRPr="00D152E4">
          <w:rPr>
            <w:rStyle w:val="Hyperlink"/>
            <w:rFonts w:ascii="Times New Roman" w:hAnsi="Times New Roman" w:cs="Times New Roman"/>
            <w:sz w:val="24"/>
            <w:szCs w:val="24"/>
          </w:rPr>
          <w:t>https://www.college.police.uk/guidance/vulnerability-related-risks/introduction-vulnerability-related-risk</w:t>
        </w:r>
      </w:hyperlink>
      <w:r w:rsidRPr="00D152E4">
        <w:rPr>
          <w:rFonts w:ascii="Times New Roman" w:hAnsi="Times New Roman" w:cs="Times New Roman"/>
          <w:sz w:val="24"/>
          <w:szCs w:val="24"/>
        </w:rPr>
        <w:t xml:space="preserve"> [Accessed 26/4/2023].</w:t>
      </w:r>
    </w:p>
    <w:p w14:paraId="449E7AA2"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Crime Investigation, 2023. </w:t>
      </w:r>
      <w:r w:rsidRPr="00D152E4">
        <w:rPr>
          <w:rFonts w:ascii="Times New Roman" w:hAnsi="Times New Roman" w:cs="Times New Roman"/>
          <w:i/>
          <w:sz w:val="24"/>
          <w:szCs w:val="24"/>
        </w:rPr>
        <w:t>The Victoria Climbie case</w:t>
      </w:r>
      <w:r w:rsidRPr="00D152E4">
        <w:rPr>
          <w:rFonts w:ascii="Times New Roman" w:hAnsi="Times New Roman" w:cs="Times New Roman"/>
          <w:sz w:val="24"/>
          <w:szCs w:val="24"/>
        </w:rPr>
        <w:t xml:space="preserve">. [Online] Available at: </w:t>
      </w:r>
      <w:hyperlink r:id="rId14" w:history="1">
        <w:r w:rsidRPr="00D152E4">
          <w:rPr>
            <w:rStyle w:val="Hyperlink"/>
            <w:rFonts w:ascii="Times New Roman" w:hAnsi="Times New Roman" w:cs="Times New Roman"/>
            <w:sz w:val="24"/>
            <w:szCs w:val="24"/>
          </w:rPr>
          <w:t>https://www.crimeandinvestigation.co.uk/crime-files/victoria-climbie-case</w:t>
        </w:r>
      </w:hyperlink>
      <w:r w:rsidRPr="00D152E4">
        <w:rPr>
          <w:rFonts w:ascii="Times New Roman" w:hAnsi="Times New Roman" w:cs="Times New Roman"/>
          <w:sz w:val="24"/>
          <w:szCs w:val="24"/>
        </w:rPr>
        <w:t xml:space="preserve"> [Accessed 26/4/2023].</w:t>
      </w:r>
    </w:p>
    <w:p w14:paraId="0ED36F3F" w14:textId="77777777" w:rsidR="00D152E4" w:rsidRPr="00D152E4" w:rsidRDefault="00D152E4" w:rsidP="004C53CE">
      <w:pPr>
        <w:spacing w:after="0" w:line="480" w:lineRule="auto"/>
        <w:contextualSpacing/>
        <w:rPr>
          <w:rFonts w:ascii="Times New Roman" w:hAnsi="Times New Roman" w:cs="Times New Roman"/>
          <w:color w:val="3A3A3A"/>
          <w:sz w:val="24"/>
          <w:szCs w:val="24"/>
          <w:shd w:val="clear" w:color="auto" w:fill="FFFFFF"/>
        </w:rPr>
      </w:pPr>
      <w:r w:rsidRPr="00D152E4">
        <w:rPr>
          <w:rFonts w:ascii="Times New Roman" w:hAnsi="Times New Roman" w:cs="Times New Roman"/>
          <w:color w:val="3A3A3A"/>
          <w:sz w:val="24"/>
          <w:szCs w:val="24"/>
          <w:shd w:val="clear" w:color="auto" w:fill="FFFFFF"/>
        </w:rPr>
        <w:t>Davies, P., Francis, P. and Greer, C. (2017) </w:t>
      </w:r>
      <w:r w:rsidRPr="00D152E4">
        <w:rPr>
          <w:rFonts w:ascii="Times New Roman" w:hAnsi="Times New Roman" w:cs="Times New Roman"/>
          <w:i/>
          <w:iCs/>
          <w:color w:val="3A3A3A"/>
          <w:sz w:val="24"/>
          <w:szCs w:val="24"/>
          <w:shd w:val="clear" w:color="auto" w:fill="FFFFFF"/>
        </w:rPr>
        <w:t xml:space="preserve">Victims, crime &amp; </w:t>
      </w:r>
      <w:proofErr w:type="gramStart"/>
      <w:r w:rsidRPr="00D152E4">
        <w:rPr>
          <w:rFonts w:ascii="Times New Roman" w:hAnsi="Times New Roman" w:cs="Times New Roman"/>
          <w:i/>
          <w:iCs/>
          <w:color w:val="3A3A3A"/>
          <w:sz w:val="24"/>
          <w:szCs w:val="24"/>
          <w:shd w:val="clear" w:color="auto" w:fill="FFFFFF"/>
        </w:rPr>
        <w:t>society :</w:t>
      </w:r>
      <w:proofErr w:type="gramEnd"/>
      <w:r w:rsidRPr="00D152E4">
        <w:rPr>
          <w:rFonts w:ascii="Times New Roman" w:hAnsi="Times New Roman" w:cs="Times New Roman"/>
          <w:i/>
          <w:iCs/>
          <w:color w:val="3A3A3A"/>
          <w:sz w:val="24"/>
          <w:szCs w:val="24"/>
          <w:shd w:val="clear" w:color="auto" w:fill="FFFFFF"/>
        </w:rPr>
        <w:t xml:space="preserve"> an introduction</w:t>
      </w:r>
      <w:r w:rsidRPr="00D152E4">
        <w:rPr>
          <w:rFonts w:ascii="Times New Roman" w:hAnsi="Times New Roman" w:cs="Times New Roman"/>
          <w:color w:val="3A3A3A"/>
          <w:sz w:val="24"/>
          <w:szCs w:val="24"/>
          <w:shd w:val="clear" w:color="auto" w:fill="FFFFFF"/>
        </w:rPr>
        <w:t xml:space="preserve">. Second edition. Edited by P. Davies, P. Francis, and C. (Chris </w:t>
      </w:r>
      <w:proofErr w:type="gramStart"/>
      <w:r w:rsidRPr="00D152E4">
        <w:rPr>
          <w:rFonts w:ascii="Times New Roman" w:hAnsi="Times New Roman" w:cs="Times New Roman"/>
          <w:color w:val="3A3A3A"/>
          <w:sz w:val="24"/>
          <w:szCs w:val="24"/>
          <w:shd w:val="clear" w:color="auto" w:fill="FFFFFF"/>
        </w:rPr>
        <w:t>R.H..</w:t>
      </w:r>
      <w:proofErr w:type="gramEnd"/>
      <w:r w:rsidRPr="00D152E4">
        <w:rPr>
          <w:rFonts w:ascii="Times New Roman" w:hAnsi="Times New Roman" w:cs="Times New Roman"/>
          <w:color w:val="3A3A3A"/>
          <w:sz w:val="24"/>
          <w:szCs w:val="24"/>
          <w:shd w:val="clear" w:color="auto" w:fill="FFFFFF"/>
        </w:rPr>
        <w:t xml:space="preserve"> Greer. London: SAGE Publications Ltd.</w:t>
      </w:r>
    </w:p>
    <w:p w14:paraId="605F87E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Dearden, L., 2018. </w:t>
      </w:r>
      <w:proofErr w:type="gramStart"/>
      <w:r w:rsidRPr="00D152E4">
        <w:rPr>
          <w:rFonts w:ascii="Times New Roman" w:hAnsi="Times New Roman" w:cs="Times New Roman"/>
          <w:i/>
          <w:sz w:val="24"/>
          <w:szCs w:val="24"/>
        </w:rPr>
        <w:t>Victims’</w:t>
      </w:r>
      <w:proofErr w:type="gramEnd"/>
      <w:r w:rsidRPr="00D152E4">
        <w:rPr>
          <w:rFonts w:ascii="Times New Roman" w:hAnsi="Times New Roman" w:cs="Times New Roman"/>
          <w:i/>
          <w:sz w:val="24"/>
          <w:szCs w:val="24"/>
        </w:rPr>
        <w:t xml:space="preserve"> increasingly failed by authorities’ as confidence in criminal justice system falls, research shows</w:t>
      </w:r>
      <w:r w:rsidRPr="00D152E4">
        <w:rPr>
          <w:rFonts w:ascii="Times New Roman" w:hAnsi="Times New Roman" w:cs="Times New Roman"/>
          <w:sz w:val="24"/>
          <w:szCs w:val="24"/>
        </w:rPr>
        <w:t xml:space="preserve">. [Online] Available at: </w:t>
      </w:r>
      <w:hyperlink r:id="rId15" w:history="1">
        <w:r w:rsidRPr="00D152E4">
          <w:rPr>
            <w:rStyle w:val="Hyperlink"/>
            <w:rFonts w:ascii="Times New Roman" w:hAnsi="Times New Roman" w:cs="Times New Roman"/>
            <w:sz w:val="24"/>
            <w:szCs w:val="24"/>
          </w:rPr>
          <w:t>https://www.independent.co.uk/news/uk/crime/police-victims-failed-confidence-reporting-dangerous-support-criminal-justice-system-a8476811.html</w:t>
        </w:r>
      </w:hyperlink>
      <w:r w:rsidRPr="00D152E4">
        <w:rPr>
          <w:rFonts w:ascii="Times New Roman" w:hAnsi="Times New Roman" w:cs="Times New Roman"/>
          <w:sz w:val="24"/>
          <w:szCs w:val="24"/>
        </w:rPr>
        <w:t xml:space="preserve"> [Accessed 30/4/2023].</w:t>
      </w:r>
    </w:p>
    <w:p w14:paraId="4BEE3FE0"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lastRenderedPageBreak/>
        <w:t xml:space="preserve">Dobinson, I., 2018. </w:t>
      </w:r>
      <w:r w:rsidRPr="00D152E4">
        <w:rPr>
          <w:rFonts w:ascii="Times New Roman" w:hAnsi="Times New Roman" w:cs="Times New Roman"/>
          <w:i/>
          <w:sz w:val="24"/>
          <w:szCs w:val="24"/>
        </w:rPr>
        <w:t>The disturbing murder of a little girl and the vital legacy she left behind</w:t>
      </w:r>
      <w:r w:rsidRPr="00D152E4">
        <w:rPr>
          <w:rFonts w:ascii="Times New Roman" w:hAnsi="Times New Roman" w:cs="Times New Roman"/>
          <w:sz w:val="24"/>
          <w:szCs w:val="24"/>
        </w:rPr>
        <w:t xml:space="preserve">. [Online] Available at: </w:t>
      </w:r>
      <w:hyperlink r:id="rId16" w:history="1">
        <w:r w:rsidRPr="00D152E4">
          <w:rPr>
            <w:rStyle w:val="Hyperlink"/>
            <w:rFonts w:ascii="Times New Roman" w:hAnsi="Times New Roman" w:cs="Times New Roman"/>
            <w:sz w:val="24"/>
            <w:szCs w:val="24"/>
          </w:rPr>
          <w:t>https://www.mylondon.news/news/west-london-news/disturbing-murder-little-girl-vital-15444368</w:t>
        </w:r>
      </w:hyperlink>
      <w:r w:rsidRPr="00D152E4">
        <w:rPr>
          <w:rFonts w:ascii="Times New Roman" w:hAnsi="Times New Roman" w:cs="Times New Roman"/>
          <w:sz w:val="24"/>
          <w:szCs w:val="24"/>
        </w:rPr>
        <w:t xml:space="preserve"> [Accessed 26/4/2023].</w:t>
      </w:r>
    </w:p>
    <w:p w14:paraId="0E1557B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Evening Standard, 2008. </w:t>
      </w:r>
      <w:r w:rsidRPr="00D152E4">
        <w:rPr>
          <w:rFonts w:ascii="Times New Roman" w:hAnsi="Times New Roman" w:cs="Times New Roman"/>
          <w:i/>
          <w:sz w:val="24"/>
          <w:szCs w:val="24"/>
        </w:rPr>
        <w:t>Social worker sacked after Victoria Climbie scandal wins right to work with children again</w:t>
      </w:r>
      <w:r w:rsidRPr="00D152E4">
        <w:rPr>
          <w:rFonts w:ascii="Times New Roman" w:hAnsi="Times New Roman" w:cs="Times New Roman"/>
          <w:sz w:val="24"/>
          <w:szCs w:val="24"/>
        </w:rPr>
        <w:t xml:space="preserve">. [Online] Available at: </w:t>
      </w:r>
      <w:hyperlink r:id="rId17" w:history="1">
        <w:r w:rsidRPr="00D152E4">
          <w:rPr>
            <w:rStyle w:val="Hyperlink"/>
            <w:rFonts w:ascii="Times New Roman" w:hAnsi="Times New Roman" w:cs="Times New Roman"/>
            <w:sz w:val="24"/>
            <w:szCs w:val="24"/>
          </w:rPr>
          <w:t>https://www.standard.co.uk/hp/front/social-worker-sacked-after-victoria-climbie-scandal-wins-right-to-work-with-children-again-6839310.html</w:t>
        </w:r>
      </w:hyperlink>
      <w:r w:rsidRPr="00D152E4">
        <w:rPr>
          <w:rFonts w:ascii="Times New Roman" w:hAnsi="Times New Roman" w:cs="Times New Roman"/>
          <w:sz w:val="24"/>
          <w:szCs w:val="24"/>
        </w:rPr>
        <w:t xml:space="preserve"> [Accessed 29/4/2023].</w:t>
      </w:r>
    </w:p>
    <w:p w14:paraId="63D3753A" w14:textId="77777777" w:rsidR="00D152E4" w:rsidRPr="00D152E4" w:rsidRDefault="00D152E4" w:rsidP="004C53CE">
      <w:pPr>
        <w:spacing w:after="0" w:line="480" w:lineRule="auto"/>
        <w:contextualSpacing/>
        <w:rPr>
          <w:rFonts w:ascii="Times New Roman" w:hAnsi="Times New Roman" w:cs="Times New Roman"/>
          <w:color w:val="3A3A3A"/>
          <w:sz w:val="24"/>
          <w:szCs w:val="24"/>
          <w:shd w:val="clear" w:color="auto" w:fill="FFFFFF"/>
        </w:rPr>
      </w:pPr>
      <w:proofErr w:type="spellStart"/>
      <w:r w:rsidRPr="00D152E4">
        <w:rPr>
          <w:rFonts w:ascii="Times New Roman" w:hAnsi="Times New Roman" w:cs="Times New Roman"/>
          <w:color w:val="3A3A3A"/>
          <w:sz w:val="24"/>
          <w:szCs w:val="24"/>
          <w:shd w:val="clear" w:color="auto" w:fill="FFFFFF"/>
        </w:rPr>
        <w:t>Kennison</w:t>
      </w:r>
      <w:proofErr w:type="spellEnd"/>
      <w:r w:rsidRPr="00D152E4">
        <w:rPr>
          <w:rFonts w:ascii="Times New Roman" w:hAnsi="Times New Roman" w:cs="Times New Roman"/>
          <w:color w:val="3A3A3A"/>
          <w:sz w:val="24"/>
          <w:szCs w:val="24"/>
          <w:shd w:val="clear" w:color="auto" w:fill="FFFFFF"/>
        </w:rPr>
        <w:t>, P. and Goodman, A. (2008) </w:t>
      </w:r>
      <w:r w:rsidRPr="00D152E4">
        <w:rPr>
          <w:rFonts w:ascii="Times New Roman" w:hAnsi="Times New Roman" w:cs="Times New Roman"/>
          <w:i/>
          <w:iCs/>
          <w:color w:val="3A3A3A"/>
          <w:sz w:val="24"/>
          <w:szCs w:val="24"/>
          <w:shd w:val="clear" w:color="auto" w:fill="FFFFFF"/>
        </w:rPr>
        <w:t>Children as victims</w:t>
      </w:r>
      <w:r w:rsidRPr="00D152E4">
        <w:rPr>
          <w:rFonts w:ascii="Times New Roman" w:hAnsi="Times New Roman" w:cs="Times New Roman"/>
          <w:color w:val="3A3A3A"/>
          <w:sz w:val="24"/>
          <w:szCs w:val="24"/>
          <w:shd w:val="clear" w:color="auto" w:fill="FFFFFF"/>
        </w:rPr>
        <w:t>. Exeter: Learning Matters Ltd.</w:t>
      </w:r>
    </w:p>
    <w:p w14:paraId="4245192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Laming, L., 2003. </w:t>
      </w:r>
      <w:r w:rsidRPr="00D152E4">
        <w:rPr>
          <w:rFonts w:ascii="Times New Roman" w:hAnsi="Times New Roman" w:cs="Times New Roman"/>
          <w:i/>
          <w:sz w:val="24"/>
          <w:szCs w:val="24"/>
        </w:rPr>
        <w:t xml:space="preserve">The Victoria </w:t>
      </w:r>
      <w:proofErr w:type="spellStart"/>
      <w:r w:rsidRPr="00D152E4">
        <w:rPr>
          <w:rFonts w:ascii="Times New Roman" w:hAnsi="Times New Roman" w:cs="Times New Roman"/>
          <w:i/>
          <w:sz w:val="24"/>
          <w:szCs w:val="24"/>
        </w:rPr>
        <w:t>Climbé</w:t>
      </w:r>
      <w:proofErr w:type="spellEnd"/>
      <w:r w:rsidRPr="00D152E4">
        <w:rPr>
          <w:rFonts w:ascii="Times New Roman" w:hAnsi="Times New Roman" w:cs="Times New Roman"/>
          <w:i/>
          <w:sz w:val="24"/>
          <w:szCs w:val="24"/>
        </w:rPr>
        <w:t xml:space="preserve"> Inquiry</w:t>
      </w:r>
      <w:r w:rsidRPr="00D152E4">
        <w:rPr>
          <w:rFonts w:ascii="Times New Roman" w:hAnsi="Times New Roman" w:cs="Times New Roman"/>
          <w:sz w:val="24"/>
          <w:szCs w:val="24"/>
        </w:rPr>
        <w:t>. London: The Stationary Office Limited.</w:t>
      </w:r>
    </w:p>
    <w:p w14:paraId="6FE3846C"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proofErr w:type="spellStart"/>
      <w:r w:rsidRPr="00D152E4">
        <w:rPr>
          <w:rFonts w:ascii="Times New Roman" w:hAnsi="Times New Roman" w:cs="Times New Roman"/>
          <w:sz w:val="24"/>
          <w:szCs w:val="24"/>
        </w:rPr>
        <w:t>Leatherby</w:t>
      </w:r>
      <w:proofErr w:type="spellEnd"/>
      <w:r w:rsidRPr="00D152E4">
        <w:rPr>
          <w:rFonts w:ascii="Times New Roman" w:hAnsi="Times New Roman" w:cs="Times New Roman"/>
          <w:sz w:val="24"/>
          <w:szCs w:val="24"/>
        </w:rPr>
        <w:t xml:space="preserve">, L., 2016. The characteristics of burns among children referred for child abuse evaluations: new research. </w:t>
      </w:r>
      <w:r w:rsidRPr="00D152E4">
        <w:rPr>
          <w:rFonts w:ascii="Times New Roman" w:hAnsi="Times New Roman" w:cs="Times New Roman"/>
          <w:i/>
          <w:sz w:val="24"/>
          <w:szCs w:val="24"/>
        </w:rPr>
        <w:t>Criminal Justice, Health</w:t>
      </w:r>
      <w:r w:rsidRPr="00D152E4">
        <w:rPr>
          <w:rFonts w:ascii="Times New Roman" w:hAnsi="Times New Roman" w:cs="Times New Roman"/>
          <w:sz w:val="24"/>
          <w:szCs w:val="24"/>
        </w:rPr>
        <w:t>, p.1.</w:t>
      </w:r>
    </w:p>
    <w:p w14:paraId="065C2277"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Ministry of Justice, 2021. </w:t>
      </w:r>
      <w:r w:rsidRPr="00D152E4">
        <w:rPr>
          <w:rFonts w:ascii="Times New Roman" w:hAnsi="Times New Roman" w:cs="Times New Roman"/>
          <w:i/>
          <w:sz w:val="24"/>
          <w:szCs w:val="24"/>
        </w:rPr>
        <w:t>Statutory guidance- The Code of Practice for victims of crime in England and Wales and supporting public information materials</w:t>
      </w:r>
      <w:r w:rsidRPr="00D152E4">
        <w:rPr>
          <w:rFonts w:ascii="Times New Roman" w:hAnsi="Times New Roman" w:cs="Times New Roman"/>
          <w:sz w:val="24"/>
          <w:szCs w:val="24"/>
        </w:rPr>
        <w:t xml:space="preserve">. [Online] Available at: </w:t>
      </w:r>
      <w:hyperlink r:id="rId18" w:history="1">
        <w:r w:rsidRPr="00D152E4">
          <w:rPr>
            <w:rStyle w:val="Hyperlink"/>
            <w:rFonts w:ascii="Times New Roman" w:hAnsi="Times New Roman" w:cs="Times New Roman"/>
            <w:sz w:val="24"/>
            <w:szCs w:val="24"/>
          </w:rPr>
          <w:t>https://www.gov.uk/government/publications/the-code-of-practice-for-victims-of-crime</w:t>
        </w:r>
      </w:hyperlink>
      <w:r w:rsidRPr="00D152E4">
        <w:rPr>
          <w:rFonts w:ascii="Times New Roman" w:hAnsi="Times New Roman" w:cs="Times New Roman"/>
          <w:sz w:val="24"/>
          <w:szCs w:val="24"/>
        </w:rPr>
        <w:t xml:space="preserve"> [Accessed 30/4/2023].</w:t>
      </w:r>
    </w:p>
    <w:p w14:paraId="17A2F331"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NSPCC, 2016. </w:t>
      </w:r>
      <w:r w:rsidRPr="00D152E4">
        <w:rPr>
          <w:rFonts w:ascii="Times New Roman" w:hAnsi="Times New Roman" w:cs="Times New Roman"/>
          <w:i/>
          <w:sz w:val="24"/>
          <w:szCs w:val="24"/>
        </w:rPr>
        <w:t>Physical abuse</w:t>
      </w:r>
      <w:r w:rsidRPr="00D152E4">
        <w:rPr>
          <w:rFonts w:ascii="Times New Roman" w:hAnsi="Times New Roman" w:cs="Times New Roman"/>
          <w:sz w:val="24"/>
          <w:szCs w:val="24"/>
        </w:rPr>
        <w:t xml:space="preserve">. [Online] Available at: </w:t>
      </w:r>
      <w:hyperlink r:id="rId19" w:history="1">
        <w:r w:rsidRPr="00D152E4">
          <w:rPr>
            <w:rStyle w:val="Hyperlink"/>
            <w:rFonts w:ascii="Times New Roman" w:hAnsi="Times New Roman" w:cs="Times New Roman"/>
            <w:sz w:val="24"/>
            <w:szCs w:val="24"/>
          </w:rPr>
          <w:t>https://www.nspcc.org.uk/what-is-child-abuse/types-of-abuse/physical-abuse/</w:t>
        </w:r>
      </w:hyperlink>
      <w:r w:rsidRPr="00D152E4">
        <w:rPr>
          <w:rFonts w:ascii="Times New Roman" w:hAnsi="Times New Roman" w:cs="Times New Roman"/>
          <w:sz w:val="24"/>
          <w:szCs w:val="24"/>
        </w:rPr>
        <w:t xml:space="preserve"> [Accessed 30/4/2023].</w:t>
      </w:r>
    </w:p>
    <w:p w14:paraId="61586EF9"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proofErr w:type="spellStart"/>
      <w:r w:rsidRPr="00D152E4">
        <w:rPr>
          <w:rFonts w:ascii="Times New Roman" w:hAnsi="Times New Roman" w:cs="Times New Roman"/>
          <w:sz w:val="24"/>
          <w:szCs w:val="24"/>
        </w:rPr>
        <w:t>Pawlik</w:t>
      </w:r>
      <w:proofErr w:type="spellEnd"/>
      <w:r w:rsidRPr="00D152E4">
        <w:rPr>
          <w:rFonts w:ascii="Times New Roman" w:hAnsi="Times New Roman" w:cs="Times New Roman"/>
          <w:sz w:val="24"/>
          <w:szCs w:val="24"/>
        </w:rPr>
        <w:t xml:space="preserve">, M.-C., Kemp, A., Maguire, S., Nuttall, D., Feldman, K.W. and Lindberg, D.M., 2016. Children with burns referred for child abuse evaluation: Burn characteristics and co-existent injuries. </w:t>
      </w:r>
      <w:r w:rsidRPr="00D152E4">
        <w:rPr>
          <w:rFonts w:ascii="Times New Roman" w:hAnsi="Times New Roman" w:cs="Times New Roman"/>
          <w:i/>
          <w:sz w:val="24"/>
          <w:szCs w:val="24"/>
        </w:rPr>
        <w:t>Child Abuse &amp; Neglect</w:t>
      </w:r>
      <w:r w:rsidRPr="00D152E4">
        <w:rPr>
          <w:rFonts w:ascii="Times New Roman" w:hAnsi="Times New Roman" w:cs="Times New Roman"/>
          <w:sz w:val="24"/>
          <w:szCs w:val="24"/>
        </w:rPr>
        <w:t xml:space="preserve">, </w:t>
      </w:r>
      <w:r w:rsidRPr="00D152E4">
        <w:rPr>
          <w:rFonts w:ascii="Times New Roman" w:hAnsi="Times New Roman" w:cs="Times New Roman"/>
          <w:b/>
          <w:sz w:val="24"/>
          <w:szCs w:val="24"/>
        </w:rPr>
        <w:t>55</w:t>
      </w:r>
      <w:r w:rsidRPr="00D152E4">
        <w:rPr>
          <w:rFonts w:ascii="Times New Roman" w:hAnsi="Times New Roman" w:cs="Times New Roman"/>
          <w:sz w:val="24"/>
          <w:szCs w:val="24"/>
        </w:rPr>
        <w:t xml:space="preserve">, pp.52–61. </w:t>
      </w:r>
    </w:p>
    <w:p w14:paraId="18A62DF0"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proofErr w:type="spellStart"/>
      <w:r w:rsidRPr="00D152E4">
        <w:rPr>
          <w:rFonts w:ascii="Times New Roman" w:hAnsi="Times New Roman" w:cs="Times New Roman"/>
          <w:sz w:val="24"/>
          <w:szCs w:val="24"/>
        </w:rPr>
        <w:t>Rossner</w:t>
      </w:r>
      <w:proofErr w:type="spellEnd"/>
      <w:r w:rsidRPr="00D152E4">
        <w:rPr>
          <w:rFonts w:ascii="Times New Roman" w:hAnsi="Times New Roman" w:cs="Times New Roman"/>
          <w:sz w:val="24"/>
          <w:szCs w:val="24"/>
        </w:rPr>
        <w:t xml:space="preserve">, M., 2017. Restorative justice and victims of crime: directions and developments. In: </w:t>
      </w:r>
      <w:proofErr w:type="spellStart"/>
      <w:r w:rsidRPr="00D152E4">
        <w:rPr>
          <w:rFonts w:ascii="Times New Roman" w:hAnsi="Times New Roman" w:cs="Times New Roman"/>
          <w:sz w:val="24"/>
          <w:szCs w:val="24"/>
        </w:rPr>
        <w:t>Walklate</w:t>
      </w:r>
      <w:proofErr w:type="spellEnd"/>
      <w:r w:rsidRPr="00D152E4">
        <w:rPr>
          <w:rFonts w:ascii="Times New Roman" w:hAnsi="Times New Roman" w:cs="Times New Roman"/>
          <w:sz w:val="24"/>
          <w:szCs w:val="24"/>
        </w:rPr>
        <w:t xml:space="preserve">, S., (ed.) </w:t>
      </w:r>
      <w:r w:rsidRPr="00D152E4">
        <w:rPr>
          <w:rFonts w:ascii="Times New Roman" w:hAnsi="Times New Roman" w:cs="Times New Roman"/>
          <w:i/>
          <w:sz w:val="24"/>
          <w:szCs w:val="24"/>
        </w:rPr>
        <w:t>Handbook of Victims and Victimology</w:t>
      </w:r>
      <w:r w:rsidRPr="00D152E4">
        <w:rPr>
          <w:rFonts w:ascii="Times New Roman" w:hAnsi="Times New Roman" w:cs="Times New Roman"/>
          <w:sz w:val="24"/>
          <w:szCs w:val="24"/>
        </w:rPr>
        <w:t>. Abingdon, UK: Routledge, pp.1-22.</w:t>
      </w:r>
    </w:p>
    <w:p w14:paraId="3A3CFDBF"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Shannon, G. and </w:t>
      </w:r>
      <w:proofErr w:type="spellStart"/>
      <w:r w:rsidRPr="00D152E4">
        <w:rPr>
          <w:rFonts w:ascii="Times New Roman" w:hAnsi="Times New Roman" w:cs="Times New Roman"/>
          <w:sz w:val="24"/>
          <w:szCs w:val="24"/>
        </w:rPr>
        <w:t>Concubhair</w:t>
      </w:r>
      <w:proofErr w:type="spellEnd"/>
      <w:r w:rsidRPr="00D152E4">
        <w:rPr>
          <w:rFonts w:ascii="Times New Roman" w:hAnsi="Times New Roman" w:cs="Times New Roman"/>
          <w:sz w:val="24"/>
          <w:szCs w:val="24"/>
        </w:rPr>
        <w:t xml:space="preserve">, C.Ó., 2016. The role of policing in contemporary child protection. </w:t>
      </w:r>
      <w:r w:rsidRPr="00D152E4">
        <w:rPr>
          <w:rFonts w:ascii="Times New Roman" w:hAnsi="Times New Roman" w:cs="Times New Roman"/>
          <w:i/>
          <w:sz w:val="24"/>
          <w:szCs w:val="24"/>
        </w:rPr>
        <w:t>Irish Jurist</w:t>
      </w:r>
      <w:r w:rsidRPr="00D152E4">
        <w:rPr>
          <w:rFonts w:ascii="Times New Roman" w:hAnsi="Times New Roman" w:cs="Times New Roman"/>
          <w:sz w:val="24"/>
          <w:szCs w:val="24"/>
        </w:rPr>
        <w:t xml:space="preserve">, </w:t>
      </w:r>
      <w:r w:rsidRPr="00D152E4">
        <w:rPr>
          <w:rFonts w:ascii="Times New Roman" w:hAnsi="Times New Roman" w:cs="Times New Roman"/>
          <w:b/>
          <w:sz w:val="24"/>
          <w:szCs w:val="24"/>
        </w:rPr>
        <w:t>56</w:t>
      </w:r>
      <w:r w:rsidRPr="00D152E4">
        <w:rPr>
          <w:rFonts w:ascii="Times New Roman" w:hAnsi="Times New Roman" w:cs="Times New Roman"/>
          <w:sz w:val="24"/>
          <w:szCs w:val="24"/>
        </w:rPr>
        <w:t xml:space="preserve">, pp.66–102. </w:t>
      </w:r>
    </w:p>
    <w:p w14:paraId="50DF4CA5"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proofErr w:type="spellStart"/>
      <w:r w:rsidRPr="00D152E4">
        <w:rPr>
          <w:rFonts w:ascii="Times New Roman" w:hAnsi="Times New Roman" w:cs="Times New Roman"/>
          <w:sz w:val="24"/>
          <w:szCs w:val="24"/>
        </w:rPr>
        <w:lastRenderedPageBreak/>
        <w:t>Spalek</w:t>
      </w:r>
      <w:proofErr w:type="spellEnd"/>
      <w:r w:rsidRPr="00D152E4">
        <w:rPr>
          <w:rFonts w:ascii="Times New Roman" w:hAnsi="Times New Roman" w:cs="Times New Roman"/>
          <w:sz w:val="24"/>
          <w:szCs w:val="24"/>
        </w:rPr>
        <w:t xml:space="preserve">, B., 2017. </w:t>
      </w:r>
      <w:r w:rsidRPr="00D152E4">
        <w:rPr>
          <w:rFonts w:ascii="Times New Roman" w:hAnsi="Times New Roman" w:cs="Times New Roman"/>
          <w:i/>
          <w:sz w:val="24"/>
          <w:szCs w:val="24"/>
        </w:rPr>
        <w:t>Crime victims: theory, policy and practice</w:t>
      </w:r>
      <w:r w:rsidRPr="00D152E4">
        <w:rPr>
          <w:rFonts w:ascii="Times New Roman" w:hAnsi="Times New Roman" w:cs="Times New Roman"/>
          <w:sz w:val="24"/>
          <w:szCs w:val="24"/>
        </w:rPr>
        <w:t>. London: Palgrave.</w:t>
      </w:r>
    </w:p>
    <w:p w14:paraId="218C41FD"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proofErr w:type="spellStart"/>
      <w:r w:rsidRPr="00D152E4">
        <w:rPr>
          <w:rFonts w:ascii="Times New Roman" w:hAnsi="Times New Roman" w:cs="Times New Roman"/>
          <w:sz w:val="24"/>
          <w:szCs w:val="24"/>
        </w:rPr>
        <w:t>Syal</w:t>
      </w:r>
      <w:proofErr w:type="spellEnd"/>
      <w:r w:rsidRPr="00D152E4">
        <w:rPr>
          <w:rFonts w:ascii="Times New Roman" w:hAnsi="Times New Roman" w:cs="Times New Roman"/>
          <w:sz w:val="24"/>
          <w:szCs w:val="24"/>
        </w:rPr>
        <w:t xml:space="preserve">, R., 2016. </w:t>
      </w:r>
      <w:r w:rsidRPr="00D152E4">
        <w:rPr>
          <w:rFonts w:ascii="Times New Roman" w:hAnsi="Times New Roman" w:cs="Times New Roman"/>
          <w:i/>
          <w:sz w:val="24"/>
          <w:szCs w:val="24"/>
        </w:rPr>
        <w:t>Justice system is failing witnesses and victims of crime, say MPs</w:t>
      </w:r>
      <w:r w:rsidRPr="00D152E4">
        <w:rPr>
          <w:rFonts w:ascii="Times New Roman" w:hAnsi="Times New Roman" w:cs="Times New Roman"/>
          <w:sz w:val="24"/>
          <w:szCs w:val="24"/>
        </w:rPr>
        <w:t xml:space="preserve">. [Online] Available at: </w:t>
      </w:r>
      <w:hyperlink r:id="rId20" w:history="1">
        <w:r w:rsidRPr="00D152E4">
          <w:rPr>
            <w:rStyle w:val="Hyperlink"/>
            <w:rFonts w:ascii="Times New Roman" w:hAnsi="Times New Roman" w:cs="Times New Roman"/>
            <w:sz w:val="24"/>
            <w:szCs w:val="24"/>
          </w:rPr>
          <w:t>https://www.theguardian.com/uk-news/2016/may/27/justice-system-failing-witnesses-victims-crime</w:t>
        </w:r>
      </w:hyperlink>
      <w:r w:rsidRPr="00D152E4">
        <w:rPr>
          <w:rFonts w:ascii="Times New Roman" w:hAnsi="Times New Roman" w:cs="Times New Roman"/>
          <w:sz w:val="24"/>
          <w:szCs w:val="24"/>
        </w:rPr>
        <w:t xml:space="preserve"> [Accessed 29/4/2023].</w:t>
      </w:r>
    </w:p>
    <w:p w14:paraId="1CCC5DE8"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The Guardian, 2001. </w:t>
      </w:r>
      <w:r w:rsidRPr="00D152E4">
        <w:rPr>
          <w:rFonts w:ascii="Times New Roman" w:hAnsi="Times New Roman" w:cs="Times New Roman"/>
          <w:i/>
          <w:sz w:val="24"/>
          <w:szCs w:val="24"/>
        </w:rPr>
        <w:t xml:space="preserve">Social services’ </w:t>
      </w:r>
      <w:proofErr w:type="gramStart"/>
      <w:r w:rsidRPr="00D152E4">
        <w:rPr>
          <w:rFonts w:ascii="Times New Roman" w:hAnsi="Times New Roman" w:cs="Times New Roman"/>
          <w:i/>
          <w:sz w:val="24"/>
          <w:szCs w:val="24"/>
        </w:rPr>
        <w:t>failures’</w:t>
      </w:r>
      <w:proofErr w:type="gramEnd"/>
      <w:r w:rsidRPr="00D152E4">
        <w:rPr>
          <w:rFonts w:ascii="Times New Roman" w:hAnsi="Times New Roman" w:cs="Times New Roman"/>
          <w:i/>
          <w:sz w:val="24"/>
          <w:szCs w:val="24"/>
        </w:rPr>
        <w:t xml:space="preserve"> in Climbié case</w:t>
      </w:r>
      <w:r w:rsidRPr="00D152E4">
        <w:rPr>
          <w:rFonts w:ascii="Times New Roman" w:hAnsi="Times New Roman" w:cs="Times New Roman"/>
          <w:sz w:val="24"/>
          <w:szCs w:val="24"/>
        </w:rPr>
        <w:t xml:space="preserve">. [Online] Available at: </w:t>
      </w:r>
      <w:hyperlink r:id="rId21" w:history="1">
        <w:r w:rsidRPr="00D152E4">
          <w:rPr>
            <w:rStyle w:val="Hyperlink"/>
            <w:rFonts w:ascii="Times New Roman" w:hAnsi="Times New Roman" w:cs="Times New Roman"/>
            <w:sz w:val="24"/>
            <w:szCs w:val="24"/>
          </w:rPr>
          <w:t>https://www.theguardian.com/society/2001/sep/26/1</w:t>
        </w:r>
      </w:hyperlink>
      <w:r w:rsidRPr="00D152E4">
        <w:rPr>
          <w:rFonts w:ascii="Times New Roman" w:hAnsi="Times New Roman" w:cs="Times New Roman"/>
          <w:sz w:val="24"/>
          <w:szCs w:val="24"/>
        </w:rPr>
        <w:t xml:space="preserve"> [Accessed 30/4/2023].</w:t>
      </w:r>
    </w:p>
    <w:p w14:paraId="673B3C56"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Topping, A., 2020. </w:t>
      </w:r>
      <w:r w:rsidRPr="00D152E4">
        <w:rPr>
          <w:rFonts w:ascii="Times New Roman" w:hAnsi="Times New Roman" w:cs="Times New Roman"/>
          <w:i/>
          <w:sz w:val="24"/>
          <w:szCs w:val="24"/>
        </w:rPr>
        <w:t xml:space="preserve">UK justice system treats victims of crime ‘like </w:t>
      </w:r>
      <w:proofErr w:type="gramStart"/>
      <w:r w:rsidRPr="00D152E4">
        <w:rPr>
          <w:rFonts w:ascii="Times New Roman" w:hAnsi="Times New Roman" w:cs="Times New Roman"/>
          <w:i/>
          <w:sz w:val="24"/>
          <w:szCs w:val="24"/>
        </w:rPr>
        <w:t>bystanders’</w:t>
      </w:r>
      <w:proofErr w:type="gramEnd"/>
      <w:r w:rsidRPr="00D152E4">
        <w:rPr>
          <w:rFonts w:ascii="Times New Roman" w:hAnsi="Times New Roman" w:cs="Times New Roman"/>
          <w:sz w:val="24"/>
          <w:szCs w:val="24"/>
        </w:rPr>
        <w:t xml:space="preserve">. [Online] Available at: </w:t>
      </w:r>
      <w:hyperlink r:id="rId22" w:history="1">
        <w:r w:rsidRPr="00D152E4">
          <w:rPr>
            <w:rStyle w:val="Hyperlink"/>
            <w:rFonts w:ascii="Times New Roman" w:hAnsi="Times New Roman" w:cs="Times New Roman"/>
            <w:sz w:val="24"/>
            <w:szCs w:val="24"/>
          </w:rPr>
          <w:t>https://www.theguardian.com/law/2020/dec/17/uk-justice-system-treats-victims-of-like-bystanders</w:t>
        </w:r>
      </w:hyperlink>
      <w:r w:rsidRPr="00D152E4">
        <w:rPr>
          <w:rFonts w:ascii="Times New Roman" w:hAnsi="Times New Roman" w:cs="Times New Roman"/>
          <w:sz w:val="24"/>
          <w:szCs w:val="24"/>
        </w:rPr>
        <w:t xml:space="preserve"> [Accessed 29/4/2023].</w:t>
      </w:r>
    </w:p>
    <w:p w14:paraId="66868BC7" w14:textId="77777777" w:rsidR="00D152E4" w:rsidRPr="00D152E4" w:rsidRDefault="00D152E4" w:rsidP="009A4A29">
      <w:pPr>
        <w:spacing w:line="480" w:lineRule="auto"/>
        <w:ind w:left="720" w:hanging="720"/>
        <w:contextualSpacing/>
        <w:rPr>
          <w:rFonts w:ascii="Times New Roman" w:hAnsi="Times New Roman" w:cs="Times New Roman"/>
          <w:sz w:val="24"/>
          <w:szCs w:val="24"/>
        </w:rPr>
      </w:pPr>
      <w:r w:rsidRPr="00D152E4">
        <w:rPr>
          <w:rFonts w:ascii="Times New Roman" w:hAnsi="Times New Roman" w:cs="Times New Roman"/>
          <w:sz w:val="24"/>
          <w:szCs w:val="24"/>
        </w:rPr>
        <w:t xml:space="preserve">Wrench, K., 2018. </w:t>
      </w:r>
      <w:r w:rsidRPr="00D152E4">
        <w:rPr>
          <w:rFonts w:ascii="Times New Roman" w:hAnsi="Times New Roman" w:cs="Times New Roman"/>
          <w:i/>
          <w:sz w:val="24"/>
          <w:szCs w:val="24"/>
        </w:rPr>
        <w:t>Creative ideas for assessing vulnerable children and families</w:t>
      </w:r>
      <w:r w:rsidRPr="00D152E4">
        <w:rPr>
          <w:rFonts w:ascii="Times New Roman" w:hAnsi="Times New Roman" w:cs="Times New Roman"/>
          <w:sz w:val="24"/>
          <w:szCs w:val="24"/>
        </w:rPr>
        <w:t>. London: Jessica Kingsley Publishers.</w:t>
      </w:r>
    </w:p>
    <w:p w14:paraId="0CA4718D" w14:textId="77777777" w:rsidR="00C73D44" w:rsidRPr="009A4A29" w:rsidRDefault="00C73D44" w:rsidP="004C53CE">
      <w:pPr>
        <w:spacing w:after="0" w:line="480" w:lineRule="auto"/>
        <w:contextualSpacing/>
        <w:rPr>
          <w:rFonts w:ascii="Times New Roman" w:hAnsi="Times New Roman" w:cs="Times New Roman"/>
          <w:sz w:val="24"/>
          <w:szCs w:val="24"/>
        </w:rPr>
      </w:pPr>
    </w:p>
    <w:p w14:paraId="14152F12" w14:textId="77777777" w:rsidR="00776298" w:rsidRPr="00DF3B49" w:rsidRDefault="00776298" w:rsidP="004C53CE">
      <w:pPr>
        <w:spacing w:after="0" w:line="480" w:lineRule="auto"/>
        <w:contextualSpacing/>
        <w:rPr>
          <w:rFonts w:ascii="Arial" w:hAnsi="Arial" w:cs="Arial"/>
          <w:sz w:val="24"/>
          <w:szCs w:val="24"/>
        </w:rPr>
      </w:pPr>
    </w:p>
    <w:p w14:paraId="3926B2B8" w14:textId="77777777" w:rsidR="00630987" w:rsidRPr="00DF3B49" w:rsidRDefault="00630987" w:rsidP="00630987">
      <w:pPr>
        <w:spacing w:after="0" w:line="480" w:lineRule="auto"/>
        <w:contextualSpacing/>
        <w:rPr>
          <w:rFonts w:ascii="Arial" w:hAnsi="Arial" w:cs="Arial"/>
          <w:sz w:val="24"/>
          <w:szCs w:val="24"/>
        </w:rPr>
      </w:pPr>
    </w:p>
    <w:p w14:paraId="3F243A20" w14:textId="77777777" w:rsidR="00D876CC" w:rsidRPr="00DF3B49" w:rsidRDefault="00D876CC">
      <w:pPr>
        <w:rPr>
          <w:rFonts w:ascii="Arial" w:hAnsi="Arial" w:cs="Arial"/>
        </w:rPr>
      </w:pPr>
    </w:p>
    <w:sectPr w:rsidR="00D876CC" w:rsidRPr="00DF3B49">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C6EF2" w14:textId="77777777" w:rsidR="00DD2E91" w:rsidRDefault="00DD2E91" w:rsidP="006847E8">
      <w:pPr>
        <w:spacing w:after="0" w:line="240" w:lineRule="auto"/>
      </w:pPr>
      <w:r>
        <w:separator/>
      </w:r>
    </w:p>
  </w:endnote>
  <w:endnote w:type="continuationSeparator" w:id="0">
    <w:p w14:paraId="5B18A7F2" w14:textId="77777777" w:rsidR="00DD2E91" w:rsidRDefault="00DD2E91" w:rsidP="00684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DBFC2" w14:textId="77777777" w:rsidR="00DD2E91" w:rsidRDefault="00DD2E91" w:rsidP="006847E8">
      <w:pPr>
        <w:spacing w:after="0" w:line="240" w:lineRule="auto"/>
      </w:pPr>
      <w:r>
        <w:separator/>
      </w:r>
    </w:p>
  </w:footnote>
  <w:footnote w:type="continuationSeparator" w:id="0">
    <w:p w14:paraId="47F55317" w14:textId="77777777" w:rsidR="00DD2E91" w:rsidRDefault="00DD2E91" w:rsidP="006847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99757" w14:textId="324B621B" w:rsidR="006847E8" w:rsidRDefault="006847E8" w:rsidP="00DC10BF">
    <w:pPr>
      <w:pStyle w:val="Header"/>
      <w:jc w:val="both"/>
    </w:pPr>
    <w:r>
      <w:t>Ella Jade Smith</w:t>
    </w:r>
  </w:p>
  <w:p w14:paraId="3474D91E" w14:textId="5233C8BA" w:rsidR="006847E8" w:rsidRDefault="006847E8">
    <w:pPr>
      <w:pStyle w:val="Header"/>
    </w:pPr>
    <w:r>
      <w:t>5/05/</w:t>
    </w:r>
    <w:r w:rsidR="0082604A">
      <w:t>2023</w:t>
    </w:r>
  </w:p>
  <w:p w14:paraId="044E6C8F" w14:textId="3142069B" w:rsidR="0082604A" w:rsidRDefault="00DC10BF">
    <w:pPr>
      <w:pStyle w:val="Header"/>
    </w:pPr>
    <w:r>
      <w:t>BMCP5002</w:t>
    </w:r>
  </w:p>
  <w:p w14:paraId="378A1C0E" w14:textId="77777777" w:rsidR="00DC10BF" w:rsidRDefault="00DC10BF" w:rsidP="00DC10BF">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291"/>
    <w:rsid w:val="00051607"/>
    <w:rsid w:val="00057393"/>
    <w:rsid w:val="0008558C"/>
    <w:rsid w:val="0009626C"/>
    <w:rsid w:val="000A1D06"/>
    <w:rsid w:val="00131EDB"/>
    <w:rsid w:val="001507E4"/>
    <w:rsid w:val="001740AA"/>
    <w:rsid w:val="001A52FF"/>
    <w:rsid w:val="001A6CBC"/>
    <w:rsid w:val="001E1BBA"/>
    <w:rsid w:val="001F00AC"/>
    <w:rsid w:val="00207989"/>
    <w:rsid w:val="00215788"/>
    <w:rsid w:val="00231D71"/>
    <w:rsid w:val="00256B7F"/>
    <w:rsid w:val="002A7816"/>
    <w:rsid w:val="00324326"/>
    <w:rsid w:val="00333995"/>
    <w:rsid w:val="003506F0"/>
    <w:rsid w:val="003B3DFE"/>
    <w:rsid w:val="003E5F57"/>
    <w:rsid w:val="003F2F17"/>
    <w:rsid w:val="0041639C"/>
    <w:rsid w:val="0047277C"/>
    <w:rsid w:val="004A4E30"/>
    <w:rsid w:val="004B170E"/>
    <w:rsid w:val="004B7337"/>
    <w:rsid w:val="004C53CE"/>
    <w:rsid w:val="00530F8A"/>
    <w:rsid w:val="00531E74"/>
    <w:rsid w:val="00531F75"/>
    <w:rsid w:val="00564AEB"/>
    <w:rsid w:val="00573FEF"/>
    <w:rsid w:val="005C6A81"/>
    <w:rsid w:val="00630987"/>
    <w:rsid w:val="0063575A"/>
    <w:rsid w:val="0064740D"/>
    <w:rsid w:val="00650E02"/>
    <w:rsid w:val="006847E8"/>
    <w:rsid w:val="006A7C68"/>
    <w:rsid w:val="006D2291"/>
    <w:rsid w:val="00740F2D"/>
    <w:rsid w:val="0074213E"/>
    <w:rsid w:val="00753C94"/>
    <w:rsid w:val="00776172"/>
    <w:rsid w:val="00776298"/>
    <w:rsid w:val="00800587"/>
    <w:rsid w:val="00824EB5"/>
    <w:rsid w:val="00825DCE"/>
    <w:rsid w:val="0082604A"/>
    <w:rsid w:val="00837795"/>
    <w:rsid w:val="00865D50"/>
    <w:rsid w:val="008667D7"/>
    <w:rsid w:val="008A5913"/>
    <w:rsid w:val="00901051"/>
    <w:rsid w:val="00904E22"/>
    <w:rsid w:val="0095566A"/>
    <w:rsid w:val="00980FA3"/>
    <w:rsid w:val="009A4A29"/>
    <w:rsid w:val="009B23E7"/>
    <w:rsid w:val="009F6D4B"/>
    <w:rsid w:val="00A0673A"/>
    <w:rsid w:val="00A16EF5"/>
    <w:rsid w:val="00A3081A"/>
    <w:rsid w:val="00A8434C"/>
    <w:rsid w:val="00A91CFB"/>
    <w:rsid w:val="00AD73D2"/>
    <w:rsid w:val="00B562F8"/>
    <w:rsid w:val="00C73D44"/>
    <w:rsid w:val="00C80FAC"/>
    <w:rsid w:val="00C974E2"/>
    <w:rsid w:val="00C97DD3"/>
    <w:rsid w:val="00CA4637"/>
    <w:rsid w:val="00CA7609"/>
    <w:rsid w:val="00CE01E9"/>
    <w:rsid w:val="00D152E4"/>
    <w:rsid w:val="00D4018E"/>
    <w:rsid w:val="00D435BE"/>
    <w:rsid w:val="00D71BAE"/>
    <w:rsid w:val="00D876CC"/>
    <w:rsid w:val="00D96CCB"/>
    <w:rsid w:val="00DB1C6B"/>
    <w:rsid w:val="00DC10BF"/>
    <w:rsid w:val="00DD2E91"/>
    <w:rsid w:val="00DF3B49"/>
    <w:rsid w:val="00DF65BE"/>
    <w:rsid w:val="00E13F8E"/>
    <w:rsid w:val="00E46594"/>
    <w:rsid w:val="00E56D0E"/>
    <w:rsid w:val="00E84603"/>
    <w:rsid w:val="00EA4933"/>
    <w:rsid w:val="00EA4C80"/>
    <w:rsid w:val="00EB1AB8"/>
    <w:rsid w:val="00EB6CF5"/>
    <w:rsid w:val="00EC4251"/>
    <w:rsid w:val="00F27ED3"/>
    <w:rsid w:val="00F55976"/>
    <w:rsid w:val="00FA138E"/>
    <w:rsid w:val="00FD5903"/>
    <w:rsid w:val="00FE6D5F"/>
    <w:rsid w:val="00FF1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60C1F"/>
  <w15:chartTrackingRefBased/>
  <w15:docId w15:val="{928C93E8-127F-449B-9701-4FA222D48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C8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00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84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7E8"/>
    <w:rPr>
      <w:kern w:val="0"/>
      <w14:ligatures w14:val="none"/>
    </w:rPr>
  </w:style>
  <w:style w:type="paragraph" w:styleId="Footer">
    <w:name w:val="footer"/>
    <w:basedOn w:val="Normal"/>
    <w:link w:val="FooterChar"/>
    <w:uiPriority w:val="99"/>
    <w:unhideWhenUsed/>
    <w:rsid w:val="00684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7E8"/>
    <w:rPr>
      <w:kern w:val="0"/>
      <w14:ligatures w14:val="none"/>
    </w:rPr>
  </w:style>
  <w:style w:type="character" w:styleId="Hyperlink">
    <w:name w:val="Hyperlink"/>
    <w:basedOn w:val="DefaultParagraphFont"/>
    <w:uiPriority w:val="99"/>
    <w:unhideWhenUsed/>
    <w:rsid w:val="004A4E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599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2122256.stm" TargetMode="External"/><Relationship Id="rId13" Type="http://schemas.openxmlformats.org/officeDocument/2006/relationships/hyperlink" Target="https://www.college.police.uk/guidance/vulnerability-related-risks/introduction-vulnerability-related-risk" TargetMode="External"/><Relationship Id="rId18" Type="http://schemas.openxmlformats.org/officeDocument/2006/relationships/hyperlink" Target="https://www.gov.uk/government/publications/the-code-of-practice-for-victims-of-crime" TargetMode="External"/><Relationship Id="rId3" Type="http://schemas.openxmlformats.org/officeDocument/2006/relationships/webSettings" Target="webSettings.xml"/><Relationship Id="rId21" Type="http://schemas.openxmlformats.org/officeDocument/2006/relationships/hyperlink" Target="https://www.theguardian.com/society/2001/sep/26/1" TargetMode="External"/><Relationship Id="rId7" Type="http://schemas.openxmlformats.org/officeDocument/2006/relationships/hyperlink" Target="https://www.theguardian.com/society/2002/feb/18/3" TargetMode="External"/><Relationship Id="rId12" Type="http://schemas.openxmlformats.org/officeDocument/2006/relationships/hyperlink" Target="https://profdev.college.police.uk/professional-profile/child-abuse-investigator/" TargetMode="External"/><Relationship Id="rId17" Type="http://schemas.openxmlformats.org/officeDocument/2006/relationships/hyperlink" Target="https://www.standard.co.uk/hp/front/social-worker-sacked-after-victoria-climbie-scandal-wins-right-to-work-with-children-again-6839310.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ylondon.news/news/west-london-news/disturbing-murder-little-girl-vital-15444368" TargetMode="External"/><Relationship Id="rId20" Type="http://schemas.openxmlformats.org/officeDocument/2006/relationships/hyperlink" Target="https://www.theguardian.com/uk-news/2016/may/27/justice-system-failing-witnesses-victims-crime" TargetMode="External"/><Relationship Id="rId1" Type="http://schemas.openxmlformats.org/officeDocument/2006/relationships/styles" Target="styles.xml"/><Relationship Id="rId6" Type="http://schemas.openxmlformats.org/officeDocument/2006/relationships/hyperlink" Target="https://bonitaleksandra.wordpress.com/2016/08/11/first-blog-post/" TargetMode="External"/><Relationship Id="rId11" Type="http://schemas.openxmlformats.org/officeDocument/2006/relationships/hyperlink" Target="https://childprotectionresource.online/tag/victoria-climbie/"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dependent.co.uk/news/uk/crime/police-victims-failed-confidence-reporting-dangerous-support-criminal-justice-system-a8476811.html" TargetMode="External"/><Relationship Id="rId23" Type="http://schemas.openxmlformats.org/officeDocument/2006/relationships/header" Target="header1.xml"/><Relationship Id="rId10" Type="http://schemas.openxmlformats.org/officeDocument/2006/relationships/hyperlink" Target="https://www.theguardian.com/society/2002/apr/30/raceintheuk.crime" TargetMode="External"/><Relationship Id="rId19" Type="http://schemas.openxmlformats.org/officeDocument/2006/relationships/hyperlink" Target="https://www.nspcc.org.uk/what-is-child-abuse/types-of-abuse/physical-abuse/" TargetMode="External"/><Relationship Id="rId4" Type="http://schemas.openxmlformats.org/officeDocument/2006/relationships/footnotes" Target="footnotes.xml"/><Relationship Id="rId9" Type="http://schemas.openxmlformats.org/officeDocument/2006/relationships/hyperlink" Target="http://news.bbc.co.uk/2/hi/uk_news/2700427.stm" TargetMode="External"/><Relationship Id="rId14" Type="http://schemas.openxmlformats.org/officeDocument/2006/relationships/hyperlink" Target="https://www.crimeandinvestigation.co.uk/crime-files/victoria-climbie-case" TargetMode="External"/><Relationship Id="rId22" Type="http://schemas.openxmlformats.org/officeDocument/2006/relationships/hyperlink" Target="https://www.theguardian.com/law/2020/dec/17/uk-justice-system-treats-victims-of-like-bystan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9</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98</cp:revision>
  <dcterms:created xsi:type="dcterms:W3CDTF">2023-05-04T17:30:00Z</dcterms:created>
  <dcterms:modified xsi:type="dcterms:W3CDTF">2023-05-04T23:51:00Z</dcterms:modified>
</cp:coreProperties>
</file>