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A314FB" w14:textId="77777777" w:rsidR="00944711" w:rsidRDefault="00944711" w:rsidP="00944711">
      <w:pPr>
        <w:pStyle w:val="Title"/>
        <w:spacing w:line="360" w:lineRule="auto"/>
        <w:rPr>
          <w:b/>
          <w:bCs/>
          <w:sz w:val="40"/>
          <w:szCs w:val="48"/>
        </w:rPr>
      </w:pPr>
      <w:r>
        <w:rPr>
          <w:b/>
          <w:bCs/>
          <w:noProof/>
          <w:sz w:val="40"/>
          <w:szCs w:val="48"/>
        </w:rPr>
        <w:drawing>
          <wp:inline distT="0" distB="0" distL="0" distR="0" wp14:anchorId="4FF56230" wp14:editId="13C4A68E">
            <wp:extent cx="1957070" cy="981710"/>
            <wp:effectExtent l="0" t="0" r="5080" b="8890"/>
            <wp:docPr id="95872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57070" cy="981710"/>
                    </a:xfrm>
                    <a:prstGeom prst="rect">
                      <a:avLst/>
                    </a:prstGeom>
                    <a:noFill/>
                  </pic:spPr>
                </pic:pic>
              </a:graphicData>
            </a:graphic>
          </wp:inline>
        </w:drawing>
      </w:r>
    </w:p>
    <w:p w14:paraId="6DC11497" w14:textId="77777777" w:rsidR="00633128" w:rsidRDefault="00633128" w:rsidP="00633128"/>
    <w:p w14:paraId="60E234A2" w14:textId="77777777" w:rsidR="00633128" w:rsidRPr="00633128" w:rsidRDefault="00633128" w:rsidP="00633128"/>
    <w:p w14:paraId="0E4AE269" w14:textId="77777777" w:rsidR="00944711" w:rsidRDefault="00944711" w:rsidP="00944711"/>
    <w:p w14:paraId="4F247C4D" w14:textId="4936EA6E" w:rsidR="00F079AA" w:rsidRPr="00EE3719" w:rsidRDefault="00633128" w:rsidP="00633128">
      <w:pPr>
        <w:spacing w:line="259" w:lineRule="auto"/>
        <w:jc w:val="center"/>
        <w:rPr>
          <w:sz w:val="44"/>
          <w:szCs w:val="44"/>
        </w:rPr>
      </w:pPr>
      <w:r>
        <w:rPr>
          <w:sz w:val="44"/>
          <w:szCs w:val="44"/>
        </w:rPr>
        <w:t>Report</w:t>
      </w:r>
    </w:p>
    <w:p w14:paraId="45C170F0" w14:textId="77777777" w:rsidR="00F079AA" w:rsidRDefault="00F079AA" w:rsidP="00F079AA">
      <w:pPr>
        <w:spacing w:line="259" w:lineRule="auto"/>
        <w:jc w:val="left"/>
        <w:rPr>
          <w:b/>
          <w:sz w:val="28"/>
          <w:szCs w:val="18"/>
        </w:rPr>
      </w:pPr>
    </w:p>
    <w:p w14:paraId="29166E4C" w14:textId="77777777" w:rsidR="00F079AA" w:rsidRDefault="00F079AA" w:rsidP="00F079AA">
      <w:pPr>
        <w:spacing w:line="259" w:lineRule="auto"/>
        <w:jc w:val="left"/>
        <w:rPr>
          <w:b/>
          <w:sz w:val="28"/>
          <w:szCs w:val="18"/>
        </w:rPr>
      </w:pPr>
    </w:p>
    <w:p w14:paraId="5C921B8B" w14:textId="77777777" w:rsidR="00F079AA" w:rsidRDefault="00F079AA" w:rsidP="00F079AA">
      <w:pPr>
        <w:spacing w:line="259" w:lineRule="auto"/>
        <w:jc w:val="left"/>
        <w:rPr>
          <w:b/>
          <w:sz w:val="28"/>
          <w:szCs w:val="18"/>
        </w:rPr>
      </w:pPr>
    </w:p>
    <w:p w14:paraId="6C379DB4" w14:textId="77777777" w:rsidR="00F079AA" w:rsidRDefault="00F079AA" w:rsidP="00F079AA">
      <w:pPr>
        <w:spacing w:line="259" w:lineRule="auto"/>
        <w:jc w:val="left"/>
        <w:rPr>
          <w:b/>
          <w:sz w:val="28"/>
          <w:szCs w:val="18"/>
        </w:rPr>
      </w:pPr>
    </w:p>
    <w:p w14:paraId="2CA9E60C" w14:textId="77777777" w:rsidR="00F079AA" w:rsidRDefault="00F079AA" w:rsidP="00F079AA">
      <w:pPr>
        <w:spacing w:line="259" w:lineRule="auto"/>
        <w:jc w:val="left"/>
        <w:rPr>
          <w:b/>
          <w:sz w:val="28"/>
          <w:szCs w:val="18"/>
        </w:rPr>
      </w:pPr>
    </w:p>
    <w:p w14:paraId="0CEB2451" w14:textId="77777777" w:rsidR="00F079AA" w:rsidRDefault="00F079AA" w:rsidP="00F079AA">
      <w:pPr>
        <w:spacing w:line="259" w:lineRule="auto"/>
        <w:jc w:val="left"/>
        <w:rPr>
          <w:b/>
          <w:sz w:val="28"/>
          <w:szCs w:val="18"/>
        </w:rPr>
      </w:pPr>
    </w:p>
    <w:p w14:paraId="33DCF59E" w14:textId="77777777" w:rsidR="00F079AA" w:rsidRDefault="00F079AA" w:rsidP="00F079AA">
      <w:pPr>
        <w:spacing w:line="259" w:lineRule="auto"/>
        <w:jc w:val="left"/>
        <w:rPr>
          <w:b/>
          <w:sz w:val="28"/>
          <w:szCs w:val="18"/>
        </w:rPr>
      </w:pPr>
    </w:p>
    <w:p w14:paraId="3EC77F19" w14:textId="77777777" w:rsidR="00F079AA" w:rsidRDefault="00F079AA" w:rsidP="00F079AA">
      <w:pPr>
        <w:spacing w:line="259" w:lineRule="auto"/>
        <w:jc w:val="left"/>
        <w:rPr>
          <w:b/>
          <w:sz w:val="28"/>
          <w:szCs w:val="18"/>
        </w:rPr>
      </w:pPr>
    </w:p>
    <w:p w14:paraId="0663AD9D" w14:textId="77777777" w:rsidR="00F079AA" w:rsidRDefault="00F079AA" w:rsidP="00F079AA">
      <w:pPr>
        <w:spacing w:line="259" w:lineRule="auto"/>
        <w:jc w:val="left"/>
        <w:rPr>
          <w:b/>
          <w:sz w:val="28"/>
          <w:szCs w:val="18"/>
        </w:rPr>
      </w:pPr>
    </w:p>
    <w:p w14:paraId="530130A4" w14:textId="77777777" w:rsidR="00F079AA" w:rsidRDefault="00F079AA" w:rsidP="00F079AA">
      <w:pPr>
        <w:spacing w:line="259" w:lineRule="auto"/>
        <w:jc w:val="left"/>
        <w:rPr>
          <w:b/>
          <w:sz w:val="28"/>
          <w:szCs w:val="18"/>
        </w:rPr>
      </w:pPr>
    </w:p>
    <w:p w14:paraId="641F6513" w14:textId="77777777" w:rsidR="00F079AA" w:rsidRDefault="00F079AA" w:rsidP="00F079AA">
      <w:pPr>
        <w:spacing w:line="259" w:lineRule="auto"/>
        <w:jc w:val="left"/>
        <w:rPr>
          <w:b/>
          <w:sz w:val="28"/>
          <w:szCs w:val="18"/>
        </w:rPr>
      </w:pPr>
    </w:p>
    <w:p w14:paraId="6ECD04A7" w14:textId="77777777" w:rsidR="00F079AA" w:rsidRDefault="00F079AA" w:rsidP="00F079AA">
      <w:pPr>
        <w:spacing w:line="259" w:lineRule="auto"/>
        <w:jc w:val="left"/>
        <w:rPr>
          <w:b/>
          <w:sz w:val="28"/>
          <w:szCs w:val="18"/>
        </w:rPr>
      </w:pPr>
    </w:p>
    <w:p w14:paraId="3908171C" w14:textId="77777777" w:rsidR="00F079AA" w:rsidRDefault="00F079AA" w:rsidP="00F079AA">
      <w:pPr>
        <w:spacing w:line="259" w:lineRule="auto"/>
        <w:jc w:val="left"/>
        <w:rPr>
          <w:b/>
          <w:sz w:val="28"/>
          <w:szCs w:val="18"/>
        </w:rPr>
      </w:pPr>
    </w:p>
    <w:p w14:paraId="066B540F" w14:textId="5272B628" w:rsidR="00F079AA" w:rsidRPr="00EE3719" w:rsidRDefault="00F079AA" w:rsidP="00F079AA">
      <w:pPr>
        <w:spacing w:line="259" w:lineRule="auto"/>
        <w:jc w:val="left"/>
        <w:rPr>
          <w:bCs/>
          <w:sz w:val="22"/>
        </w:rPr>
      </w:pPr>
      <w:r w:rsidRPr="00EE3719">
        <w:rPr>
          <w:bCs/>
          <w:sz w:val="22"/>
        </w:rPr>
        <w:t xml:space="preserve">Module Name: International </w:t>
      </w:r>
      <w:r w:rsidR="00265936">
        <w:rPr>
          <w:bCs/>
          <w:sz w:val="22"/>
        </w:rPr>
        <w:t>Business Concepts</w:t>
      </w:r>
    </w:p>
    <w:p w14:paraId="5E84707B" w14:textId="2FEEAC07" w:rsidR="00F079AA" w:rsidRPr="00EE3719" w:rsidRDefault="00F079AA" w:rsidP="00F079AA">
      <w:pPr>
        <w:spacing w:line="259" w:lineRule="auto"/>
        <w:jc w:val="left"/>
        <w:rPr>
          <w:bCs/>
          <w:sz w:val="22"/>
        </w:rPr>
      </w:pPr>
      <w:r w:rsidRPr="00EE3719">
        <w:rPr>
          <w:bCs/>
          <w:sz w:val="22"/>
        </w:rPr>
        <w:t>Module code: LCMB70</w:t>
      </w:r>
      <w:r w:rsidR="00265936">
        <w:rPr>
          <w:bCs/>
          <w:sz w:val="22"/>
        </w:rPr>
        <w:t>34</w:t>
      </w:r>
    </w:p>
    <w:p w14:paraId="19DBFEE5" w14:textId="3E348220" w:rsidR="00F079AA" w:rsidRPr="00EE3719" w:rsidRDefault="00F079AA" w:rsidP="00F079AA">
      <w:pPr>
        <w:spacing w:line="259" w:lineRule="auto"/>
        <w:jc w:val="left"/>
        <w:rPr>
          <w:bCs/>
          <w:sz w:val="22"/>
        </w:rPr>
      </w:pPr>
      <w:r w:rsidRPr="00EE3719">
        <w:rPr>
          <w:bCs/>
          <w:sz w:val="22"/>
        </w:rPr>
        <w:t xml:space="preserve">Lecturer name: </w:t>
      </w:r>
      <w:proofErr w:type="spellStart"/>
      <w:r w:rsidR="00633128">
        <w:rPr>
          <w:bCs/>
          <w:sz w:val="22"/>
        </w:rPr>
        <w:t>Mansoob</w:t>
      </w:r>
      <w:proofErr w:type="spellEnd"/>
      <w:r w:rsidR="00633128">
        <w:rPr>
          <w:bCs/>
          <w:sz w:val="22"/>
        </w:rPr>
        <w:t xml:space="preserve"> Murshed</w:t>
      </w:r>
    </w:p>
    <w:p w14:paraId="27CE535C" w14:textId="77777777" w:rsidR="00F079AA" w:rsidRPr="00EE3719" w:rsidRDefault="00F079AA" w:rsidP="00F079AA">
      <w:pPr>
        <w:spacing w:line="259" w:lineRule="auto"/>
        <w:jc w:val="left"/>
        <w:rPr>
          <w:bCs/>
          <w:sz w:val="22"/>
        </w:rPr>
      </w:pPr>
      <w:r w:rsidRPr="00EE3719">
        <w:rPr>
          <w:bCs/>
          <w:sz w:val="22"/>
        </w:rPr>
        <w:t>Student name: Diana Olimpia Mekker</w:t>
      </w:r>
    </w:p>
    <w:p w14:paraId="7DCA7B3E" w14:textId="1DCFAF12" w:rsidR="00746BD9" w:rsidRPr="00633128" w:rsidRDefault="00F079AA" w:rsidP="00633128">
      <w:pPr>
        <w:spacing w:line="259" w:lineRule="auto"/>
        <w:jc w:val="left"/>
        <w:rPr>
          <w:bCs/>
          <w:sz w:val="22"/>
        </w:rPr>
      </w:pPr>
      <w:r w:rsidRPr="00EE3719">
        <w:rPr>
          <w:bCs/>
          <w:sz w:val="22"/>
        </w:rPr>
        <w:t>Student number: 2122278</w:t>
      </w:r>
    </w:p>
    <w:sdt>
      <w:sdtPr>
        <w:rPr>
          <w:rFonts w:ascii="Times New Roman" w:eastAsiaTheme="minorHAnsi" w:hAnsi="Times New Roman" w:cstheme="minorBidi"/>
          <w:color w:val="auto"/>
          <w:sz w:val="24"/>
          <w:szCs w:val="22"/>
        </w:rPr>
        <w:id w:val="1265952637"/>
        <w:docPartObj>
          <w:docPartGallery w:val="Table of Contents"/>
          <w:docPartUnique/>
        </w:docPartObj>
      </w:sdtPr>
      <w:sdtEndPr>
        <w:rPr>
          <w:b/>
          <w:bCs/>
          <w:noProof/>
        </w:rPr>
      </w:sdtEndPr>
      <w:sdtContent>
        <w:p w14:paraId="6ACF2747" w14:textId="0F0E48DB" w:rsidR="00746BD9" w:rsidRDefault="00746BD9" w:rsidP="00367423">
          <w:pPr>
            <w:pStyle w:val="TOCHeading"/>
            <w:spacing w:line="276" w:lineRule="auto"/>
          </w:pPr>
          <w:r>
            <w:t>Table of Contents</w:t>
          </w:r>
        </w:p>
        <w:p w14:paraId="3D9B0852" w14:textId="72D09B0B" w:rsidR="00367423" w:rsidRDefault="00746BD9" w:rsidP="00367423">
          <w:pPr>
            <w:pStyle w:val="TOC1"/>
            <w:tabs>
              <w:tab w:val="right" w:leader="dot" w:pos="9350"/>
            </w:tabs>
            <w:spacing w:line="276" w:lineRule="auto"/>
            <w:rPr>
              <w:noProof/>
            </w:rPr>
          </w:pPr>
          <w:r>
            <w:fldChar w:fldCharType="begin"/>
          </w:r>
          <w:r>
            <w:instrText xml:space="preserve"> TOC \o "1-3" \h \z \u </w:instrText>
          </w:r>
          <w:r>
            <w:fldChar w:fldCharType="separate"/>
          </w:r>
          <w:hyperlink w:anchor="_Toc234883372" w:history="1">
            <w:r w:rsidR="00367423" w:rsidRPr="00B11800">
              <w:rPr>
                <w:rStyle w:val="Hyperlink"/>
                <w:noProof/>
              </w:rPr>
              <w:t>Introduction</w:t>
            </w:r>
            <w:r w:rsidR="00367423">
              <w:rPr>
                <w:noProof/>
                <w:webHidden/>
              </w:rPr>
              <w:tab/>
            </w:r>
            <w:r w:rsidR="00367423">
              <w:rPr>
                <w:noProof/>
                <w:webHidden/>
              </w:rPr>
              <w:fldChar w:fldCharType="begin"/>
            </w:r>
            <w:r w:rsidR="00367423">
              <w:rPr>
                <w:noProof/>
                <w:webHidden/>
              </w:rPr>
              <w:instrText xml:space="preserve"> PAGEREF _Toc234883372 \h </w:instrText>
            </w:r>
            <w:r w:rsidR="00367423">
              <w:rPr>
                <w:noProof/>
                <w:webHidden/>
              </w:rPr>
            </w:r>
            <w:r w:rsidR="00367423">
              <w:rPr>
                <w:noProof/>
                <w:webHidden/>
              </w:rPr>
              <w:fldChar w:fldCharType="separate"/>
            </w:r>
            <w:r w:rsidR="00367423">
              <w:rPr>
                <w:noProof/>
                <w:webHidden/>
              </w:rPr>
              <w:t>1</w:t>
            </w:r>
            <w:r w:rsidR="00367423">
              <w:rPr>
                <w:noProof/>
                <w:webHidden/>
              </w:rPr>
              <w:fldChar w:fldCharType="end"/>
            </w:r>
          </w:hyperlink>
        </w:p>
        <w:p w14:paraId="7F9B02B5" w14:textId="65AE8074" w:rsidR="00367423" w:rsidRDefault="00367423" w:rsidP="00367423">
          <w:pPr>
            <w:pStyle w:val="TOC1"/>
            <w:tabs>
              <w:tab w:val="right" w:leader="dot" w:pos="9350"/>
            </w:tabs>
            <w:spacing w:line="276" w:lineRule="auto"/>
            <w:rPr>
              <w:noProof/>
            </w:rPr>
          </w:pPr>
          <w:hyperlink w:anchor="_Toc234883373" w:history="1">
            <w:r w:rsidRPr="00B11800">
              <w:rPr>
                <w:rStyle w:val="Hyperlink"/>
                <w:noProof/>
              </w:rPr>
              <w:t>Part A</w:t>
            </w:r>
            <w:r>
              <w:rPr>
                <w:noProof/>
                <w:webHidden/>
              </w:rPr>
              <w:tab/>
            </w:r>
            <w:r>
              <w:rPr>
                <w:noProof/>
                <w:webHidden/>
              </w:rPr>
              <w:fldChar w:fldCharType="begin"/>
            </w:r>
            <w:r>
              <w:rPr>
                <w:noProof/>
                <w:webHidden/>
              </w:rPr>
              <w:instrText xml:space="preserve"> PAGEREF _Toc234883373 \h </w:instrText>
            </w:r>
            <w:r>
              <w:rPr>
                <w:noProof/>
                <w:webHidden/>
              </w:rPr>
            </w:r>
            <w:r>
              <w:rPr>
                <w:noProof/>
                <w:webHidden/>
              </w:rPr>
              <w:fldChar w:fldCharType="separate"/>
            </w:r>
            <w:r>
              <w:rPr>
                <w:noProof/>
                <w:webHidden/>
              </w:rPr>
              <w:t>2</w:t>
            </w:r>
            <w:r>
              <w:rPr>
                <w:noProof/>
                <w:webHidden/>
              </w:rPr>
              <w:fldChar w:fldCharType="end"/>
            </w:r>
          </w:hyperlink>
        </w:p>
        <w:p w14:paraId="78C3E08C" w14:textId="1DEAECEB" w:rsidR="00367423" w:rsidRDefault="00367423" w:rsidP="00367423">
          <w:pPr>
            <w:pStyle w:val="TOC1"/>
            <w:tabs>
              <w:tab w:val="right" w:leader="dot" w:pos="9350"/>
            </w:tabs>
            <w:spacing w:line="276" w:lineRule="auto"/>
            <w:rPr>
              <w:noProof/>
            </w:rPr>
          </w:pPr>
          <w:hyperlink w:anchor="_Toc234883374" w:history="1">
            <w:r w:rsidRPr="00B11800">
              <w:rPr>
                <w:rStyle w:val="Hyperlink"/>
                <w:noProof/>
              </w:rPr>
              <w:t>Organisational Classification and Global Strategy</w:t>
            </w:r>
            <w:r>
              <w:rPr>
                <w:noProof/>
                <w:webHidden/>
              </w:rPr>
              <w:tab/>
            </w:r>
            <w:r>
              <w:rPr>
                <w:noProof/>
                <w:webHidden/>
              </w:rPr>
              <w:fldChar w:fldCharType="begin"/>
            </w:r>
            <w:r>
              <w:rPr>
                <w:noProof/>
                <w:webHidden/>
              </w:rPr>
              <w:instrText xml:space="preserve"> PAGEREF _Toc234883374 \h </w:instrText>
            </w:r>
            <w:r>
              <w:rPr>
                <w:noProof/>
                <w:webHidden/>
              </w:rPr>
            </w:r>
            <w:r>
              <w:rPr>
                <w:noProof/>
                <w:webHidden/>
              </w:rPr>
              <w:fldChar w:fldCharType="separate"/>
            </w:r>
            <w:r>
              <w:rPr>
                <w:noProof/>
                <w:webHidden/>
              </w:rPr>
              <w:t>2</w:t>
            </w:r>
            <w:r>
              <w:rPr>
                <w:noProof/>
                <w:webHidden/>
              </w:rPr>
              <w:fldChar w:fldCharType="end"/>
            </w:r>
          </w:hyperlink>
        </w:p>
        <w:p w14:paraId="0D8A5260" w14:textId="1987E9F0" w:rsidR="00367423" w:rsidRDefault="00367423" w:rsidP="00367423">
          <w:pPr>
            <w:pStyle w:val="TOC2"/>
            <w:tabs>
              <w:tab w:val="right" w:leader="dot" w:pos="9350"/>
            </w:tabs>
            <w:spacing w:line="276" w:lineRule="auto"/>
            <w:rPr>
              <w:noProof/>
            </w:rPr>
          </w:pPr>
          <w:hyperlink w:anchor="_Toc234883375" w:history="1">
            <w:r w:rsidRPr="00B11800">
              <w:rPr>
                <w:rStyle w:val="Hyperlink"/>
                <w:noProof/>
              </w:rPr>
              <w:t>Strategic Categorisation</w:t>
            </w:r>
            <w:r>
              <w:rPr>
                <w:noProof/>
                <w:webHidden/>
              </w:rPr>
              <w:tab/>
            </w:r>
            <w:r>
              <w:rPr>
                <w:noProof/>
                <w:webHidden/>
              </w:rPr>
              <w:fldChar w:fldCharType="begin"/>
            </w:r>
            <w:r>
              <w:rPr>
                <w:noProof/>
                <w:webHidden/>
              </w:rPr>
              <w:instrText xml:space="preserve"> PAGEREF _Toc234883375 \h </w:instrText>
            </w:r>
            <w:r>
              <w:rPr>
                <w:noProof/>
                <w:webHidden/>
              </w:rPr>
            </w:r>
            <w:r>
              <w:rPr>
                <w:noProof/>
                <w:webHidden/>
              </w:rPr>
              <w:fldChar w:fldCharType="separate"/>
            </w:r>
            <w:r>
              <w:rPr>
                <w:noProof/>
                <w:webHidden/>
              </w:rPr>
              <w:t>2</w:t>
            </w:r>
            <w:r>
              <w:rPr>
                <w:noProof/>
                <w:webHidden/>
              </w:rPr>
              <w:fldChar w:fldCharType="end"/>
            </w:r>
          </w:hyperlink>
        </w:p>
        <w:p w14:paraId="0E86D590" w14:textId="71AADD52" w:rsidR="00367423" w:rsidRDefault="00367423" w:rsidP="00367423">
          <w:pPr>
            <w:pStyle w:val="TOC2"/>
            <w:tabs>
              <w:tab w:val="right" w:leader="dot" w:pos="9350"/>
            </w:tabs>
            <w:spacing w:line="276" w:lineRule="auto"/>
            <w:rPr>
              <w:noProof/>
            </w:rPr>
          </w:pPr>
          <w:hyperlink w:anchor="_Toc234883376" w:history="1">
            <w:r w:rsidRPr="00B11800">
              <w:rPr>
                <w:rStyle w:val="Hyperlink"/>
                <w:noProof/>
              </w:rPr>
              <w:t>Global Configuration and Competitive Advantage</w:t>
            </w:r>
            <w:r>
              <w:rPr>
                <w:noProof/>
                <w:webHidden/>
              </w:rPr>
              <w:tab/>
            </w:r>
            <w:r>
              <w:rPr>
                <w:noProof/>
                <w:webHidden/>
              </w:rPr>
              <w:fldChar w:fldCharType="begin"/>
            </w:r>
            <w:r>
              <w:rPr>
                <w:noProof/>
                <w:webHidden/>
              </w:rPr>
              <w:instrText xml:space="preserve"> PAGEREF _Toc234883376 \h </w:instrText>
            </w:r>
            <w:r>
              <w:rPr>
                <w:noProof/>
                <w:webHidden/>
              </w:rPr>
            </w:r>
            <w:r>
              <w:rPr>
                <w:noProof/>
                <w:webHidden/>
              </w:rPr>
              <w:fldChar w:fldCharType="separate"/>
            </w:r>
            <w:r>
              <w:rPr>
                <w:noProof/>
                <w:webHidden/>
              </w:rPr>
              <w:t>3</w:t>
            </w:r>
            <w:r>
              <w:rPr>
                <w:noProof/>
                <w:webHidden/>
              </w:rPr>
              <w:fldChar w:fldCharType="end"/>
            </w:r>
          </w:hyperlink>
        </w:p>
        <w:p w14:paraId="65BBC0FD" w14:textId="7897CDE7" w:rsidR="00367423" w:rsidRDefault="00367423" w:rsidP="00367423">
          <w:pPr>
            <w:pStyle w:val="TOC1"/>
            <w:tabs>
              <w:tab w:val="right" w:leader="dot" w:pos="9350"/>
            </w:tabs>
            <w:spacing w:line="276" w:lineRule="auto"/>
            <w:rPr>
              <w:noProof/>
            </w:rPr>
          </w:pPr>
          <w:hyperlink w:anchor="_Toc234883377" w:history="1">
            <w:r w:rsidRPr="00B11800">
              <w:rPr>
                <w:rStyle w:val="Hyperlink"/>
                <w:noProof/>
              </w:rPr>
              <w:t>Macro-Environmental Appraisal and Market Attractiveness</w:t>
            </w:r>
            <w:r>
              <w:rPr>
                <w:noProof/>
                <w:webHidden/>
              </w:rPr>
              <w:tab/>
            </w:r>
            <w:r>
              <w:rPr>
                <w:noProof/>
                <w:webHidden/>
              </w:rPr>
              <w:fldChar w:fldCharType="begin"/>
            </w:r>
            <w:r>
              <w:rPr>
                <w:noProof/>
                <w:webHidden/>
              </w:rPr>
              <w:instrText xml:space="preserve"> PAGEREF _Toc234883377 \h </w:instrText>
            </w:r>
            <w:r>
              <w:rPr>
                <w:noProof/>
                <w:webHidden/>
              </w:rPr>
            </w:r>
            <w:r>
              <w:rPr>
                <w:noProof/>
                <w:webHidden/>
              </w:rPr>
              <w:fldChar w:fldCharType="separate"/>
            </w:r>
            <w:r>
              <w:rPr>
                <w:noProof/>
                <w:webHidden/>
              </w:rPr>
              <w:t>4</w:t>
            </w:r>
            <w:r>
              <w:rPr>
                <w:noProof/>
                <w:webHidden/>
              </w:rPr>
              <w:fldChar w:fldCharType="end"/>
            </w:r>
          </w:hyperlink>
        </w:p>
        <w:p w14:paraId="6EE79548" w14:textId="3D69DF54" w:rsidR="00367423" w:rsidRDefault="00367423" w:rsidP="00367423">
          <w:pPr>
            <w:pStyle w:val="TOC2"/>
            <w:tabs>
              <w:tab w:val="right" w:leader="dot" w:pos="9350"/>
            </w:tabs>
            <w:spacing w:line="276" w:lineRule="auto"/>
            <w:rPr>
              <w:noProof/>
            </w:rPr>
          </w:pPr>
          <w:hyperlink w:anchor="_Toc234883378" w:history="1">
            <w:r w:rsidRPr="00B11800">
              <w:rPr>
                <w:rStyle w:val="Hyperlink"/>
                <w:noProof/>
              </w:rPr>
              <w:t>Political Analysis</w:t>
            </w:r>
            <w:r>
              <w:rPr>
                <w:noProof/>
                <w:webHidden/>
              </w:rPr>
              <w:tab/>
            </w:r>
            <w:r>
              <w:rPr>
                <w:noProof/>
                <w:webHidden/>
              </w:rPr>
              <w:fldChar w:fldCharType="begin"/>
            </w:r>
            <w:r>
              <w:rPr>
                <w:noProof/>
                <w:webHidden/>
              </w:rPr>
              <w:instrText xml:space="preserve"> PAGEREF _Toc234883378 \h </w:instrText>
            </w:r>
            <w:r>
              <w:rPr>
                <w:noProof/>
                <w:webHidden/>
              </w:rPr>
            </w:r>
            <w:r>
              <w:rPr>
                <w:noProof/>
                <w:webHidden/>
              </w:rPr>
              <w:fldChar w:fldCharType="separate"/>
            </w:r>
            <w:r>
              <w:rPr>
                <w:noProof/>
                <w:webHidden/>
              </w:rPr>
              <w:t>4</w:t>
            </w:r>
            <w:r>
              <w:rPr>
                <w:noProof/>
                <w:webHidden/>
              </w:rPr>
              <w:fldChar w:fldCharType="end"/>
            </w:r>
          </w:hyperlink>
        </w:p>
        <w:p w14:paraId="4556D029" w14:textId="7AFACFE7" w:rsidR="00367423" w:rsidRDefault="00367423" w:rsidP="00367423">
          <w:pPr>
            <w:pStyle w:val="TOC2"/>
            <w:tabs>
              <w:tab w:val="right" w:leader="dot" w:pos="9350"/>
            </w:tabs>
            <w:spacing w:line="276" w:lineRule="auto"/>
            <w:rPr>
              <w:noProof/>
            </w:rPr>
          </w:pPr>
          <w:hyperlink w:anchor="_Toc234883379" w:history="1">
            <w:r w:rsidRPr="00B11800">
              <w:rPr>
                <w:rStyle w:val="Hyperlink"/>
                <w:noProof/>
              </w:rPr>
              <w:t>Economic Analysis</w:t>
            </w:r>
            <w:r>
              <w:rPr>
                <w:noProof/>
                <w:webHidden/>
              </w:rPr>
              <w:tab/>
            </w:r>
            <w:r>
              <w:rPr>
                <w:noProof/>
                <w:webHidden/>
              </w:rPr>
              <w:fldChar w:fldCharType="begin"/>
            </w:r>
            <w:r>
              <w:rPr>
                <w:noProof/>
                <w:webHidden/>
              </w:rPr>
              <w:instrText xml:space="preserve"> PAGEREF _Toc234883379 \h </w:instrText>
            </w:r>
            <w:r>
              <w:rPr>
                <w:noProof/>
                <w:webHidden/>
              </w:rPr>
            </w:r>
            <w:r>
              <w:rPr>
                <w:noProof/>
                <w:webHidden/>
              </w:rPr>
              <w:fldChar w:fldCharType="separate"/>
            </w:r>
            <w:r>
              <w:rPr>
                <w:noProof/>
                <w:webHidden/>
              </w:rPr>
              <w:t>5</w:t>
            </w:r>
            <w:r>
              <w:rPr>
                <w:noProof/>
                <w:webHidden/>
              </w:rPr>
              <w:fldChar w:fldCharType="end"/>
            </w:r>
          </w:hyperlink>
        </w:p>
        <w:p w14:paraId="2E7C890A" w14:textId="361BB4D2" w:rsidR="00367423" w:rsidRDefault="00367423" w:rsidP="00367423">
          <w:pPr>
            <w:pStyle w:val="TOC2"/>
            <w:tabs>
              <w:tab w:val="right" w:leader="dot" w:pos="9350"/>
            </w:tabs>
            <w:spacing w:line="276" w:lineRule="auto"/>
            <w:rPr>
              <w:noProof/>
            </w:rPr>
          </w:pPr>
          <w:hyperlink w:anchor="_Toc234883380" w:history="1">
            <w:r w:rsidRPr="00B11800">
              <w:rPr>
                <w:rStyle w:val="Hyperlink"/>
                <w:noProof/>
              </w:rPr>
              <w:t>Legal Analysis</w:t>
            </w:r>
            <w:r>
              <w:rPr>
                <w:noProof/>
                <w:webHidden/>
              </w:rPr>
              <w:tab/>
            </w:r>
            <w:r>
              <w:rPr>
                <w:noProof/>
                <w:webHidden/>
              </w:rPr>
              <w:fldChar w:fldCharType="begin"/>
            </w:r>
            <w:r>
              <w:rPr>
                <w:noProof/>
                <w:webHidden/>
              </w:rPr>
              <w:instrText xml:space="preserve"> PAGEREF _Toc234883380 \h </w:instrText>
            </w:r>
            <w:r>
              <w:rPr>
                <w:noProof/>
                <w:webHidden/>
              </w:rPr>
            </w:r>
            <w:r>
              <w:rPr>
                <w:noProof/>
                <w:webHidden/>
              </w:rPr>
              <w:fldChar w:fldCharType="separate"/>
            </w:r>
            <w:r>
              <w:rPr>
                <w:noProof/>
                <w:webHidden/>
              </w:rPr>
              <w:t>7</w:t>
            </w:r>
            <w:r>
              <w:rPr>
                <w:noProof/>
                <w:webHidden/>
              </w:rPr>
              <w:fldChar w:fldCharType="end"/>
            </w:r>
          </w:hyperlink>
        </w:p>
        <w:p w14:paraId="7AA21DCB" w14:textId="4AC24FBD" w:rsidR="00367423" w:rsidRDefault="00367423" w:rsidP="00367423">
          <w:pPr>
            <w:pStyle w:val="TOC2"/>
            <w:tabs>
              <w:tab w:val="right" w:leader="dot" w:pos="9350"/>
            </w:tabs>
            <w:spacing w:line="276" w:lineRule="auto"/>
            <w:rPr>
              <w:noProof/>
            </w:rPr>
          </w:pPr>
          <w:hyperlink w:anchor="_Toc234883381" w:history="1">
            <w:r w:rsidRPr="00B11800">
              <w:rPr>
                <w:rStyle w:val="Hyperlink"/>
                <w:noProof/>
              </w:rPr>
              <w:t>Cultural Analysis</w:t>
            </w:r>
            <w:r>
              <w:rPr>
                <w:noProof/>
                <w:webHidden/>
              </w:rPr>
              <w:tab/>
            </w:r>
            <w:r>
              <w:rPr>
                <w:noProof/>
                <w:webHidden/>
              </w:rPr>
              <w:fldChar w:fldCharType="begin"/>
            </w:r>
            <w:r>
              <w:rPr>
                <w:noProof/>
                <w:webHidden/>
              </w:rPr>
              <w:instrText xml:space="preserve"> PAGEREF _Toc234883381 \h </w:instrText>
            </w:r>
            <w:r>
              <w:rPr>
                <w:noProof/>
                <w:webHidden/>
              </w:rPr>
            </w:r>
            <w:r>
              <w:rPr>
                <w:noProof/>
                <w:webHidden/>
              </w:rPr>
              <w:fldChar w:fldCharType="separate"/>
            </w:r>
            <w:r>
              <w:rPr>
                <w:noProof/>
                <w:webHidden/>
              </w:rPr>
              <w:t>8</w:t>
            </w:r>
            <w:r>
              <w:rPr>
                <w:noProof/>
                <w:webHidden/>
              </w:rPr>
              <w:fldChar w:fldCharType="end"/>
            </w:r>
          </w:hyperlink>
        </w:p>
        <w:p w14:paraId="385DFACB" w14:textId="2F742CAC" w:rsidR="00367423" w:rsidRDefault="00367423" w:rsidP="00367423">
          <w:pPr>
            <w:pStyle w:val="TOC2"/>
            <w:tabs>
              <w:tab w:val="right" w:leader="dot" w:pos="9350"/>
            </w:tabs>
            <w:spacing w:line="276" w:lineRule="auto"/>
            <w:rPr>
              <w:noProof/>
            </w:rPr>
          </w:pPr>
          <w:hyperlink w:anchor="_Toc234883382" w:history="1">
            <w:r w:rsidRPr="00B11800">
              <w:rPr>
                <w:rStyle w:val="Hyperlink"/>
                <w:noProof/>
              </w:rPr>
              <w:t>National Competitive Advantage: Porter's Diamond</w:t>
            </w:r>
            <w:r>
              <w:rPr>
                <w:noProof/>
                <w:webHidden/>
              </w:rPr>
              <w:tab/>
            </w:r>
            <w:r>
              <w:rPr>
                <w:noProof/>
                <w:webHidden/>
              </w:rPr>
              <w:fldChar w:fldCharType="begin"/>
            </w:r>
            <w:r>
              <w:rPr>
                <w:noProof/>
                <w:webHidden/>
              </w:rPr>
              <w:instrText xml:space="preserve"> PAGEREF _Toc234883382 \h </w:instrText>
            </w:r>
            <w:r>
              <w:rPr>
                <w:noProof/>
                <w:webHidden/>
              </w:rPr>
            </w:r>
            <w:r>
              <w:rPr>
                <w:noProof/>
                <w:webHidden/>
              </w:rPr>
              <w:fldChar w:fldCharType="separate"/>
            </w:r>
            <w:r>
              <w:rPr>
                <w:noProof/>
                <w:webHidden/>
              </w:rPr>
              <w:t>9</w:t>
            </w:r>
            <w:r>
              <w:rPr>
                <w:noProof/>
                <w:webHidden/>
              </w:rPr>
              <w:fldChar w:fldCharType="end"/>
            </w:r>
          </w:hyperlink>
        </w:p>
        <w:p w14:paraId="086B15F1" w14:textId="0A891C63" w:rsidR="00367423" w:rsidRDefault="00367423" w:rsidP="00367423">
          <w:pPr>
            <w:pStyle w:val="TOC2"/>
            <w:tabs>
              <w:tab w:val="right" w:leader="dot" w:pos="9350"/>
            </w:tabs>
            <w:spacing w:line="276" w:lineRule="auto"/>
            <w:rPr>
              <w:noProof/>
            </w:rPr>
          </w:pPr>
          <w:hyperlink w:anchor="_Toc234883383" w:history="1">
            <w:r w:rsidRPr="00B11800">
              <w:rPr>
                <w:rStyle w:val="Hyperlink"/>
                <w:noProof/>
              </w:rPr>
              <w:t>Market Entry: Synthesis via Dunning's Eclectic Paradigm (OLI)</w:t>
            </w:r>
            <w:r>
              <w:rPr>
                <w:noProof/>
                <w:webHidden/>
              </w:rPr>
              <w:tab/>
            </w:r>
            <w:r>
              <w:rPr>
                <w:noProof/>
                <w:webHidden/>
              </w:rPr>
              <w:fldChar w:fldCharType="begin"/>
            </w:r>
            <w:r>
              <w:rPr>
                <w:noProof/>
                <w:webHidden/>
              </w:rPr>
              <w:instrText xml:space="preserve"> PAGEREF _Toc234883383 \h </w:instrText>
            </w:r>
            <w:r>
              <w:rPr>
                <w:noProof/>
                <w:webHidden/>
              </w:rPr>
            </w:r>
            <w:r>
              <w:rPr>
                <w:noProof/>
                <w:webHidden/>
              </w:rPr>
              <w:fldChar w:fldCharType="separate"/>
            </w:r>
            <w:r>
              <w:rPr>
                <w:noProof/>
                <w:webHidden/>
              </w:rPr>
              <w:t>11</w:t>
            </w:r>
            <w:r>
              <w:rPr>
                <w:noProof/>
                <w:webHidden/>
              </w:rPr>
              <w:fldChar w:fldCharType="end"/>
            </w:r>
          </w:hyperlink>
        </w:p>
        <w:p w14:paraId="0F356A03" w14:textId="6BD35839" w:rsidR="00367423" w:rsidRDefault="00367423" w:rsidP="00367423">
          <w:pPr>
            <w:pStyle w:val="TOC1"/>
            <w:tabs>
              <w:tab w:val="right" w:leader="dot" w:pos="9350"/>
            </w:tabs>
            <w:spacing w:line="276" w:lineRule="auto"/>
            <w:rPr>
              <w:noProof/>
            </w:rPr>
          </w:pPr>
          <w:hyperlink w:anchor="_Toc234883384" w:history="1">
            <w:r w:rsidRPr="00B11800">
              <w:rPr>
                <w:rStyle w:val="Hyperlink"/>
                <w:noProof/>
              </w:rPr>
              <w:t>Entry Mode Strategy and Strategic Synthesis</w:t>
            </w:r>
            <w:r>
              <w:rPr>
                <w:noProof/>
                <w:webHidden/>
              </w:rPr>
              <w:tab/>
            </w:r>
            <w:r>
              <w:rPr>
                <w:noProof/>
                <w:webHidden/>
              </w:rPr>
              <w:fldChar w:fldCharType="begin"/>
            </w:r>
            <w:r>
              <w:rPr>
                <w:noProof/>
                <w:webHidden/>
              </w:rPr>
              <w:instrText xml:space="preserve"> PAGEREF _Toc234883384 \h </w:instrText>
            </w:r>
            <w:r>
              <w:rPr>
                <w:noProof/>
                <w:webHidden/>
              </w:rPr>
            </w:r>
            <w:r>
              <w:rPr>
                <w:noProof/>
                <w:webHidden/>
              </w:rPr>
              <w:fldChar w:fldCharType="separate"/>
            </w:r>
            <w:r>
              <w:rPr>
                <w:noProof/>
                <w:webHidden/>
              </w:rPr>
              <w:t>12</w:t>
            </w:r>
            <w:r>
              <w:rPr>
                <w:noProof/>
                <w:webHidden/>
              </w:rPr>
              <w:fldChar w:fldCharType="end"/>
            </w:r>
          </w:hyperlink>
        </w:p>
        <w:p w14:paraId="0F30B60E" w14:textId="7B8F8B99" w:rsidR="00367423" w:rsidRDefault="00367423" w:rsidP="00367423">
          <w:pPr>
            <w:pStyle w:val="TOC2"/>
            <w:tabs>
              <w:tab w:val="right" w:leader="dot" w:pos="9350"/>
            </w:tabs>
            <w:spacing w:line="276" w:lineRule="auto"/>
            <w:rPr>
              <w:noProof/>
            </w:rPr>
          </w:pPr>
          <w:hyperlink w:anchor="_Toc234883385" w:history="1">
            <w:r w:rsidRPr="00B11800">
              <w:rPr>
                <w:rStyle w:val="Hyperlink"/>
                <w:noProof/>
              </w:rPr>
              <w:t>Historical Pattern Recognition</w:t>
            </w:r>
            <w:r>
              <w:rPr>
                <w:noProof/>
                <w:webHidden/>
              </w:rPr>
              <w:tab/>
            </w:r>
            <w:r>
              <w:rPr>
                <w:noProof/>
                <w:webHidden/>
              </w:rPr>
              <w:fldChar w:fldCharType="begin"/>
            </w:r>
            <w:r>
              <w:rPr>
                <w:noProof/>
                <w:webHidden/>
              </w:rPr>
              <w:instrText xml:space="preserve"> PAGEREF _Toc234883385 \h </w:instrText>
            </w:r>
            <w:r>
              <w:rPr>
                <w:noProof/>
                <w:webHidden/>
              </w:rPr>
            </w:r>
            <w:r>
              <w:rPr>
                <w:noProof/>
                <w:webHidden/>
              </w:rPr>
              <w:fldChar w:fldCharType="separate"/>
            </w:r>
            <w:r>
              <w:rPr>
                <w:noProof/>
                <w:webHidden/>
              </w:rPr>
              <w:t>12</w:t>
            </w:r>
            <w:r>
              <w:rPr>
                <w:noProof/>
                <w:webHidden/>
              </w:rPr>
              <w:fldChar w:fldCharType="end"/>
            </w:r>
          </w:hyperlink>
        </w:p>
        <w:p w14:paraId="5AC4FD11" w14:textId="7D7FDAEF" w:rsidR="00367423" w:rsidRDefault="00367423" w:rsidP="00367423">
          <w:pPr>
            <w:pStyle w:val="TOC2"/>
            <w:tabs>
              <w:tab w:val="right" w:leader="dot" w:pos="9350"/>
            </w:tabs>
            <w:spacing w:line="276" w:lineRule="auto"/>
            <w:rPr>
              <w:noProof/>
            </w:rPr>
          </w:pPr>
          <w:hyperlink w:anchor="_Toc234883386" w:history="1">
            <w:r w:rsidRPr="00B11800">
              <w:rPr>
                <w:rStyle w:val="Hyperlink"/>
                <w:noProof/>
              </w:rPr>
              <w:t>Strategic Fit and Justification</w:t>
            </w:r>
            <w:r>
              <w:rPr>
                <w:noProof/>
                <w:webHidden/>
              </w:rPr>
              <w:tab/>
            </w:r>
            <w:r>
              <w:rPr>
                <w:noProof/>
                <w:webHidden/>
              </w:rPr>
              <w:fldChar w:fldCharType="begin"/>
            </w:r>
            <w:r>
              <w:rPr>
                <w:noProof/>
                <w:webHidden/>
              </w:rPr>
              <w:instrText xml:space="preserve"> PAGEREF _Toc234883386 \h </w:instrText>
            </w:r>
            <w:r>
              <w:rPr>
                <w:noProof/>
                <w:webHidden/>
              </w:rPr>
            </w:r>
            <w:r>
              <w:rPr>
                <w:noProof/>
                <w:webHidden/>
              </w:rPr>
              <w:fldChar w:fldCharType="separate"/>
            </w:r>
            <w:r>
              <w:rPr>
                <w:noProof/>
                <w:webHidden/>
              </w:rPr>
              <w:t>13</w:t>
            </w:r>
            <w:r>
              <w:rPr>
                <w:noProof/>
                <w:webHidden/>
              </w:rPr>
              <w:fldChar w:fldCharType="end"/>
            </w:r>
          </w:hyperlink>
        </w:p>
        <w:p w14:paraId="522D680A" w14:textId="4E7D115B" w:rsidR="00367423" w:rsidRDefault="00367423" w:rsidP="00367423">
          <w:pPr>
            <w:pStyle w:val="TOC1"/>
            <w:tabs>
              <w:tab w:val="right" w:leader="dot" w:pos="9350"/>
            </w:tabs>
            <w:spacing w:line="276" w:lineRule="auto"/>
            <w:rPr>
              <w:noProof/>
            </w:rPr>
          </w:pPr>
          <w:hyperlink w:anchor="_Toc234883387" w:history="1">
            <w:r w:rsidRPr="00B11800">
              <w:rPr>
                <w:rStyle w:val="Hyperlink"/>
                <w:noProof/>
              </w:rPr>
              <w:t>Conclusion and Recommendations</w:t>
            </w:r>
            <w:r>
              <w:rPr>
                <w:noProof/>
                <w:webHidden/>
              </w:rPr>
              <w:tab/>
            </w:r>
            <w:r>
              <w:rPr>
                <w:noProof/>
                <w:webHidden/>
              </w:rPr>
              <w:fldChar w:fldCharType="begin"/>
            </w:r>
            <w:r>
              <w:rPr>
                <w:noProof/>
                <w:webHidden/>
              </w:rPr>
              <w:instrText xml:space="preserve"> PAGEREF _Toc234883387 \h </w:instrText>
            </w:r>
            <w:r>
              <w:rPr>
                <w:noProof/>
                <w:webHidden/>
              </w:rPr>
            </w:r>
            <w:r>
              <w:rPr>
                <w:noProof/>
                <w:webHidden/>
              </w:rPr>
              <w:fldChar w:fldCharType="separate"/>
            </w:r>
            <w:r>
              <w:rPr>
                <w:noProof/>
                <w:webHidden/>
              </w:rPr>
              <w:t>14</w:t>
            </w:r>
            <w:r>
              <w:rPr>
                <w:noProof/>
                <w:webHidden/>
              </w:rPr>
              <w:fldChar w:fldCharType="end"/>
            </w:r>
          </w:hyperlink>
        </w:p>
        <w:p w14:paraId="32FD32EE" w14:textId="07154CCF" w:rsidR="00367423" w:rsidRDefault="00367423" w:rsidP="00367423">
          <w:pPr>
            <w:pStyle w:val="TOC1"/>
            <w:tabs>
              <w:tab w:val="right" w:leader="dot" w:pos="9350"/>
            </w:tabs>
            <w:spacing w:line="276" w:lineRule="auto"/>
            <w:rPr>
              <w:noProof/>
            </w:rPr>
          </w:pPr>
          <w:hyperlink w:anchor="_Toc234883388" w:history="1">
            <w:r w:rsidRPr="00B11800">
              <w:rPr>
                <w:rStyle w:val="Hyperlink"/>
                <w:noProof/>
              </w:rPr>
              <w:t>Part B</w:t>
            </w:r>
            <w:r>
              <w:rPr>
                <w:noProof/>
                <w:webHidden/>
              </w:rPr>
              <w:tab/>
            </w:r>
            <w:r>
              <w:rPr>
                <w:noProof/>
                <w:webHidden/>
              </w:rPr>
              <w:fldChar w:fldCharType="begin"/>
            </w:r>
            <w:r>
              <w:rPr>
                <w:noProof/>
                <w:webHidden/>
              </w:rPr>
              <w:instrText xml:space="preserve"> PAGEREF _Toc234883388 \h </w:instrText>
            </w:r>
            <w:r>
              <w:rPr>
                <w:noProof/>
                <w:webHidden/>
              </w:rPr>
            </w:r>
            <w:r>
              <w:rPr>
                <w:noProof/>
                <w:webHidden/>
              </w:rPr>
              <w:fldChar w:fldCharType="separate"/>
            </w:r>
            <w:r>
              <w:rPr>
                <w:noProof/>
                <w:webHidden/>
              </w:rPr>
              <w:t>16</w:t>
            </w:r>
            <w:r>
              <w:rPr>
                <w:noProof/>
                <w:webHidden/>
              </w:rPr>
              <w:fldChar w:fldCharType="end"/>
            </w:r>
          </w:hyperlink>
        </w:p>
        <w:p w14:paraId="3697B27F" w14:textId="7310AF52" w:rsidR="00367423" w:rsidRDefault="00367423" w:rsidP="00367423">
          <w:pPr>
            <w:pStyle w:val="TOC2"/>
            <w:tabs>
              <w:tab w:val="right" w:leader="dot" w:pos="9350"/>
            </w:tabs>
            <w:spacing w:line="276" w:lineRule="auto"/>
            <w:rPr>
              <w:noProof/>
            </w:rPr>
          </w:pPr>
          <w:hyperlink w:anchor="_Toc234883389" w:history="1">
            <w:r w:rsidRPr="00B11800">
              <w:rPr>
                <w:rStyle w:val="Hyperlink"/>
                <w:noProof/>
              </w:rPr>
              <w:t>Description</w:t>
            </w:r>
            <w:r>
              <w:rPr>
                <w:noProof/>
                <w:webHidden/>
              </w:rPr>
              <w:tab/>
            </w:r>
            <w:r>
              <w:rPr>
                <w:noProof/>
                <w:webHidden/>
              </w:rPr>
              <w:fldChar w:fldCharType="begin"/>
            </w:r>
            <w:r>
              <w:rPr>
                <w:noProof/>
                <w:webHidden/>
              </w:rPr>
              <w:instrText xml:space="preserve"> PAGEREF _Toc234883389 \h </w:instrText>
            </w:r>
            <w:r>
              <w:rPr>
                <w:noProof/>
                <w:webHidden/>
              </w:rPr>
            </w:r>
            <w:r>
              <w:rPr>
                <w:noProof/>
                <w:webHidden/>
              </w:rPr>
              <w:fldChar w:fldCharType="separate"/>
            </w:r>
            <w:r>
              <w:rPr>
                <w:noProof/>
                <w:webHidden/>
              </w:rPr>
              <w:t>16</w:t>
            </w:r>
            <w:r>
              <w:rPr>
                <w:noProof/>
                <w:webHidden/>
              </w:rPr>
              <w:fldChar w:fldCharType="end"/>
            </w:r>
          </w:hyperlink>
        </w:p>
        <w:p w14:paraId="74A78A66" w14:textId="6C5A070D" w:rsidR="00367423" w:rsidRDefault="00367423" w:rsidP="00367423">
          <w:pPr>
            <w:pStyle w:val="TOC2"/>
            <w:tabs>
              <w:tab w:val="right" w:leader="dot" w:pos="9350"/>
            </w:tabs>
            <w:spacing w:line="276" w:lineRule="auto"/>
            <w:rPr>
              <w:noProof/>
            </w:rPr>
          </w:pPr>
          <w:hyperlink w:anchor="_Toc234883390" w:history="1">
            <w:r w:rsidRPr="00B11800">
              <w:rPr>
                <w:rStyle w:val="Hyperlink"/>
                <w:noProof/>
              </w:rPr>
              <w:t>Feelings</w:t>
            </w:r>
            <w:r>
              <w:rPr>
                <w:noProof/>
                <w:webHidden/>
              </w:rPr>
              <w:tab/>
            </w:r>
            <w:r>
              <w:rPr>
                <w:noProof/>
                <w:webHidden/>
              </w:rPr>
              <w:fldChar w:fldCharType="begin"/>
            </w:r>
            <w:r>
              <w:rPr>
                <w:noProof/>
                <w:webHidden/>
              </w:rPr>
              <w:instrText xml:space="preserve"> PAGEREF _Toc234883390 \h </w:instrText>
            </w:r>
            <w:r>
              <w:rPr>
                <w:noProof/>
                <w:webHidden/>
              </w:rPr>
            </w:r>
            <w:r>
              <w:rPr>
                <w:noProof/>
                <w:webHidden/>
              </w:rPr>
              <w:fldChar w:fldCharType="separate"/>
            </w:r>
            <w:r>
              <w:rPr>
                <w:noProof/>
                <w:webHidden/>
              </w:rPr>
              <w:t>17</w:t>
            </w:r>
            <w:r>
              <w:rPr>
                <w:noProof/>
                <w:webHidden/>
              </w:rPr>
              <w:fldChar w:fldCharType="end"/>
            </w:r>
          </w:hyperlink>
        </w:p>
        <w:p w14:paraId="5A756A35" w14:textId="6AE0595B" w:rsidR="00367423" w:rsidRDefault="00367423" w:rsidP="00367423">
          <w:pPr>
            <w:pStyle w:val="TOC2"/>
            <w:tabs>
              <w:tab w:val="right" w:leader="dot" w:pos="9350"/>
            </w:tabs>
            <w:spacing w:line="276" w:lineRule="auto"/>
            <w:rPr>
              <w:noProof/>
            </w:rPr>
          </w:pPr>
          <w:hyperlink w:anchor="_Toc234883391" w:history="1">
            <w:r w:rsidRPr="00B11800">
              <w:rPr>
                <w:rStyle w:val="Hyperlink"/>
                <w:noProof/>
              </w:rPr>
              <w:t>Evaluation</w:t>
            </w:r>
            <w:r>
              <w:rPr>
                <w:noProof/>
                <w:webHidden/>
              </w:rPr>
              <w:tab/>
            </w:r>
            <w:r>
              <w:rPr>
                <w:noProof/>
                <w:webHidden/>
              </w:rPr>
              <w:fldChar w:fldCharType="begin"/>
            </w:r>
            <w:r>
              <w:rPr>
                <w:noProof/>
                <w:webHidden/>
              </w:rPr>
              <w:instrText xml:space="preserve"> PAGEREF _Toc234883391 \h </w:instrText>
            </w:r>
            <w:r>
              <w:rPr>
                <w:noProof/>
                <w:webHidden/>
              </w:rPr>
            </w:r>
            <w:r>
              <w:rPr>
                <w:noProof/>
                <w:webHidden/>
              </w:rPr>
              <w:fldChar w:fldCharType="separate"/>
            </w:r>
            <w:r>
              <w:rPr>
                <w:noProof/>
                <w:webHidden/>
              </w:rPr>
              <w:t>17</w:t>
            </w:r>
            <w:r>
              <w:rPr>
                <w:noProof/>
                <w:webHidden/>
              </w:rPr>
              <w:fldChar w:fldCharType="end"/>
            </w:r>
          </w:hyperlink>
        </w:p>
        <w:p w14:paraId="65785688" w14:textId="594725E1" w:rsidR="00367423" w:rsidRDefault="00367423" w:rsidP="00367423">
          <w:pPr>
            <w:pStyle w:val="TOC2"/>
            <w:tabs>
              <w:tab w:val="right" w:leader="dot" w:pos="9350"/>
            </w:tabs>
            <w:spacing w:line="276" w:lineRule="auto"/>
            <w:rPr>
              <w:noProof/>
            </w:rPr>
          </w:pPr>
          <w:hyperlink w:anchor="_Toc234883392" w:history="1">
            <w:r w:rsidRPr="00B11800">
              <w:rPr>
                <w:rStyle w:val="Hyperlink"/>
                <w:noProof/>
              </w:rPr>
              <w:t>Analysis</w:t>
            </w:r>
            <w:r>
              <w:rPr>
                <w:noProof/>
                <w:webHidden/>
              </w:rPr>
              <w:tab/>
            </w:r>
            <w:r>
              <w:rPr>
                <w:noProof/>
                <w:webHidden/>
              </w:rPr>
              <w:fldChar w:fldCharType="begin"/>
            </w:r>
            <w:r>
              <w:rPr>
                <w:noProof/>
                <w:webHidden/>
              </w:rPr>
              <w:instrText xml:space="preserve"> PAGEREF _Toc234883392 \h </w:instrText>
            </w:r>
            <w:r>
              <w:rPr>
                <w:noProof/>
                <w:webHidden/>
              </w:rPr>
            </w:r>
            <w:r>
              <w:rPr>
                <w:noProof/>
                <w:webHidden/>
              </w:rPr>
              <w:fldChar w:fldCharType="separate"/>
            </w:r>
            <w:r>
              <w:rPr>
                <w:noProof/>
                <w:webHidden/>
              </w:rPr>
              <w:t>17</w:t>
            </w:r>
            <w:r>
              <w:rPr>
                <w:noProof/>
                <w:webHidden/>
              </w:rPr>
              <w:fldChar w:fldCharType="end"/>
            </w:r>
          </w:hyperlink>
        </w:p>
        <w:p w14:paraId="549C9318" w14:textId="1F2554EA" w:rsidR="00367423" w:rsidRDefault="00367423" w:rsidP="00367423">
          <w:pPr>
            <w:pStyle w:val="TOC2"/>
            <w:tabs>
              <w:tab w:val="right" w:leader="dot" w:pos="9350"/>
            </w:tabs>
            <w:spacing w:line="276" w:lineRule="auto"/>
            <w:rPr>
              <w:noProof/>
            </w:rPr>
          </w:pPr>
          <w:hyperlink w:anchor="_Toc234883393" w:history="1">
            <w:r w:rsidRPr="00B11800">
              <w:rPr>
                <w:rStyle w:val="Hyperlink"/>
                <w:noProof/>
              </w:rPr>
              <w:t>Conclusion</w:t>
            </w:r>
            <w:r>
              <w:rPr>
                <w:noProof/>
                <w:webHidden/>
              </w:rPr>
              <w:tab/>
            </w:r>
            <w:r>
              <w:rPr>
                <w:noProof/>
                <w:webHidden/>
              </w:rPr>
              <w:fldChar w:fldCharType="begin"/>
            </w:r>
            <w:r>
              <w:rPr>
                <w:noProof/>
                <w:webHidden/>
              </w:rPr>
              <w:instrText xml:space="preserve"> PAGEREF _Toc234883393 \h </w:instrText>
            </w:r>
            <w:r>
              <w:rPr>
                <w:noProof/>
                <w:webHidden/>
              </w:rPr>
            </w:r>
            <w:r>
              <w:rPr>
                <w:noProof/>
                <w:webHidden/>
              </w:rPr>
              <w:fldChar w:fldCharType="separate"/>
            </w:r>
            <w:r>
              <w:rPr>
                <w:noProof/>
                <w:webHidden/>
              </w:rPr>
              <w:t>18</w:t>
            </w:r>
            <w:r>
              <w:rPr>
                <w:noProof/>
                <w:webHidden/>
              </w:rPr>
              <w:fldChar w:fldCharType="end"/>
            </w:r>
          </w:hyperlink>
        </w:p>
        <w:p w14:paraId="15C3EAF2" w14:textId="4334DF96" w:rsidR="00367423" w:rsidRDefault="00367423" w:rsidP="00367423">
          <w:pPr>
            <w:pStyle w:val="TOC2"/>
            <w:tabs>
              <w:tab w:val="right" w:leader="dot" w:pos="9350"/>
            </w:tabs>
            <w:spacing w:line="276" w:lineRule="auto"/>
            <w:rPr>
              <w:noProof/>
            </w:rPr>
          </w:pPr>
          <w:hyperlink w:anchor="_Toc234883394" w:history="1">
            <w:r w:rsidRPr="00B11800">
              <w:rPr>
                <w:rStyle w:val="Hyperlink"/>
                <w:noProof/>
              </w:rPr>
              <w:t>Action Plan</w:t>
            </w:r>
            <w:r>
              <w:rPr>
                <w:noProof/>
                <w:webHidden/>
              </w:rPr>
              <w:tab/>
            </w:r>
            <w:r>
              <w:rPr>
                <w:noProof/>
                <w:webHidden/>
              </w:rPr>
              <w:fldChar w:fldCharType="begin"/>
            </w:r>
            <w:r>
              <w:rPr>
                <w:noProof/>
                <w:webHidden/>
              </w:rPr>
              <w:instrText xml:space="preserve"> PAGEREF _Toc234883394 \h </w:instrText>
            </w:r>
            <w:r>
              <w:rPr>
                <w:noProof/>
                <w:webHidden/>
              </w:rPr>
            </w:r>
            <w:r>
              <w:rPr>
                <w:noProof/>
                <w:webHidden/>
              </w:rPr>
              <w:fldChar w:fldCharType="separate"/>
            </w:r>
            <w:r>
              <w:rPr>
                <w:noProof/>
                <w:webHidden/>
              </w:rPr>
              <w:t>18</w:t>
            </w:r>
            <w:r>
              <w:rPr>
                <w:noProof/>
                <w:webHidden/>
              </w:rPr>
              <w:fldChar w:fldCharType="end"/>
            </w:r>
          </w:hyperlink>
        </w:p>
        <w:p w14:paraId="1818F69F" w14:textId="65FA0D9D" w:rsidR="00367423" w:rsidRDefault="00367423" w:rsidP="00367423">
          <w:pPr>
            <w:pStyle w:val="TOC1"/>
            <w:tabs>
              <w:tab w:val="right" w:leader="dot" w:pos="9350"/>
            </w:tabs>
            <w:spacing w:line="276" w:lineRule="auto"/>
            <w:rPr>
              <w:noProof/>
            </w:rPr>
          </w:pPr>
          <w:hyperlink w:anchor="_Toc234883395" w:history="1">
            <w:r w:rsidRPr="00B11800">
              <w:rPr>
                <w:rStyle w:val="Hyperlink"/>
                <w:noProof/>
              </w:rPr>
              <w:t>References</w:t>
            </w:r>
            <w:r>
              <w:rPr>
                <w:noProof/>
                <w:webHidden/>
              </w:rPr>
              <w:tab/>
            </w:r>
            <w:r>
              <w:rPr>
                <w:noProof/>
                <w:webHidden/>
              </w:rPr>
              <w:fldChar w:fldCharType="begin"/>
            </w:r>
            <w:r>
              <w:rPr>
                <w:noProof/>
                <w:webHidden/>
              </w:rPr>
              <w:instrText xml:space="preserve"> PAGEREF _Toc234883395 \h </w:instrText>
            </w:r>
            <w:r>
              <w:rPr>
                <w:noProof/>
                <w:webHidden/>
              </w:rPr>
            </w:r>
            <w:r>
              <w:rPr>
                <w:noProof/>
                <w:webHidden/>
              </w:rPr>
              <w:fldChar w:fldCharType="separate"/>
            </w:r>
            <w:r>
              <w:rPr>
                <w:noProof/>
                <w:webHidden/>
              </w:rPr>
              <w:t>20</w:t>
            </w:r>
            <w:r>
              <w:rPr>
                <w:noProof/>
                <w:webHidden/>
              </w:rPr>
              <w:fldChar w:fldCharType="end"/>
            </w:r>
          </w:hyperlink>
        </w:p>
        <w:p w14:paraId="73D64F99" w14:textId="533CC4E5" w:rsidR="00746BD9" w:rsidRDefault="00746BD9" w:rsidP="00367423">
          <w:pPr>
            <w:spacing w:line="276" w:lineRule="auto"/>
          </w:pPr>
          <w:r>
            <w:rPr>
              <w:b/>
              <w:bCs/>
              <w:noProof/>
            </w:rPr>
            <w:fldChar w:fldCharType="end"/>
          </w:r>
        </w:p>
      </w:sdtContent>
    </w:sdt>
    <w:p w14:paraId="687316F9" w14:textId="224534E3" w:rsidR="00746BD9" w:rsidRDefault="00746BD9"/>
    <w:p w14:paraId="540AA78E" w14:textId="37CACA2E" w:rsidR="00746BD9" w:rsidRDefault="00746BD9"/>
    <w:p w14:paraId="68F608E4" w14:textId="41C00BD6" w:rsidR="00746BD9" w:rsidRDefault="00746BD9"/>
    <w:p w14:paraId="7F92F7FD" w14:textId="4440B0A7" w:rsidR="00746BD9" w:rsidRDefault="00746BD9"/>
    <w:p w14:paraId="01C4BB18" w14:textId="77777777" w:rsidR="00746BD9" w:rsidRDefault="00746BD9" w:rsidP="00746BD9">
      <w:pPr>
        <w:pStyle w:val="Heading1"/>
        <w:sectPr w:rsidR="00746BD9" w:rsidSect="00746BD9">
          <w:footerReference w:type="default" r:id="rId9"/>
          <w:pgSz w:w="12240" w:h="15840"/>
          <w:pgMar w:top="1440" w:right="1440" w:bottom="1440" w:left="1440" w:header="720" w:footer="720" w:gutter="0"/>
          <w:pgNumType w:fmt="lowerRoman" w:start="1"/>
          <w:cols w:space="720"/>
          <w:titlePg/>
          <w:docGrid w:linePitch="360"/>
        </w:sectPr>
      </w:pPr>
    </w:p>
    <w:p w14:paraId="366B0F89" w14:textId="5426D212" w:rsidR="00746BD9" w:rsidRPr="002805FE" w:rsidRDefault="00746BD9" w:rsidP="00746BD9">
      <w:pPr>
        <w:pStyle w:val="Heading1"/>
        <w:rPr>
          <w:rFonts w:ascii="Arial" w:hAnsi="Arial" w:cs="Arial"/>
        </w:rPr>
      </w:pPr>
      <w:bookmarkStart w:id="0" w:name="_Toc234883372"/>
      <w:r w:rsidRPr="002805FE">
        <w:rPr>
          <w:rFonts w:ascii="Arial" w:hAnsi="Arial" w:cs="Arial"/>
        </w:rPr>
        <w:lastRenderedPageBreak/>
        <w:t>Introduction</w:t>
      </w:r>
      <w:bookmarkEnd w:id="0"/>
    </w:p>
    <w:p w14:paraId="7055E849" w14:textId="74322F50" w:rsidR="00746BD9" w:rsidRPr="002805FE" w:rsidRDefault="009A1AE7" w:rsidP="00746BD9">
      <w:pPr>
        <w:rPr>
          <w:rFonts w:ascii="Arial" w:hAnsi="Arial" w:cs="Arial"/>
        </w:rPr>
      </w:pPr>
      <w:r w:rsidRPr="002805FE">
        <w:rPr>
          <w:rFonts w:ascii="Arial" w:hAnsi="Arial" w:cs="Arial"/>
        </w:rPr>
        <w:t xml:space="preserve">In the era of </w:t>
      </w:r>
      <w:proofErr w:type="spellStart"/>
      <w:r w:rsidRPr="002805FE">
        <w:rPr>
          <w:rFonts w:ascii="Arial" w:hAnsi="Arial" w:cs="Arial"/>
        </w:rPr>
        <w:t>globalisation</w:t>
      </w:r>
      <w:proofErr w:type="spellEnd"/>
      <w:r w:rsidRPr="002805FE">
        <w:rPr>
          <w:rFonts w:ascii="Arial" w:hAnsi="Arial" w:cs="Arial"/>
        </w:rPr>
        <w:t xml:space="preserve">, multinational enterprises (MNEs) must constantly re-evaluate their location and competence strategy for international competition, weighing the gain of efficiency from </w:t>
      </w:r>
      <w:proofErr w:type="spellStart"/>
      <w:r w:rsidRPr="002805FE">
        <w:rPr>
          <w:rFonts w:ascii="Arial" w:hAnsi="Arial" w:cs="Arial"/>
        </w:rPr>
        <w:t>standardisation</w:t>
      </w:r>
      <w:proofErr w:type="spellEnd"/>
      <w:r w:rsidRPr="002805FE">
        <w:rPr>
          <w:rFonts w:ascii="Arial" w:hAnsi="Arial" w:cs="Arial"/>
        </w:rPr>
        <w:t xml:space="preserve"> against the demands of institutionally diverse host markets (Griffin and Pustay, 2020). This report critically examines Starlink, the satellite internet arm of Space Exploration Technologies Corp. (SpaceX) and their possible entry into South Africa, where they currently have no major footprint (as of 1 June 2026). Starlink has already started commercial operations in over 25 African nations but its plan to enter South Africa remains stalled due to a regulatory controversy over ownership rules</w:t>
      </w:r>
      <w:r w:rsidR="00FB7A85" w:rsidRPr="002805FE">
        <w:rPr>
          <w:rFonts w:ascii="Arial" w:hAnsi="Arial" w:cs="Arial"/>
        </w:rPr>
        <w:t xml:space="preserve"> (Starlink, 2026)</w:t>
      </w:r>
      <w:r w:rsidRPr="002805FE">
        <w:rPr>
          <w:rFonts w:ascii="Arial" w:hAnsi="Arial" w:cs="Arial"/>
        </w:rPr>
        <w:t xml:space="preserve">. Based on the typology of Bartlett and </w:t>
      </w:r>
      <w:proofErr w:type="gramStart"/>
      <w:r w:rsidRPr="002805FE">
        <w:rPr>
          <w:rFonts w:ascii="Arial" w:hAnsi="Arial" w:cs="Arial"/>
        </w:rPr>
        <w:t>Ghoshal ,</w:t>
      </w:r>
      <w:proofErr w:type="gramEnd"/>
      <w:r w:rsidRPr="002805FE">
        <w:rPr>
          <w:rFonts w:ascii="Arial" w:hAnsi="Arial" w:cs="Arial"/>
        </w:rPr>
        <w:t xml:space="preserve"> Porter's Diamond model and </w:t>
      </w:r>
      <w:proofErr w:type="gramStart"/>
      <w:r w:rsidRPr="002805FE">
        <w:rPr>
          <w:rFonts w:ascii="Arial" w:hAnsi="Arial" w:cs="Arial"/>
        </w:rPr>
        <w:t>Hofstede's  cultural</w:t>
      </w:r>
      <w:proofErr w:type="gramEnd"/>
      <w:r w:rsidRPr="002805FE">
        <w:rPr>
          <w:rFonts w:ascii="Arial" w:hAnsi="Arial" w:cs="Arial"/>
        </w:rPr>
        <w:t xml:space="preserve"> dimensions as well as the eclectic paradigm of Dunning, the report considers Starlink's global strategic configuration, assesses the political, economic, legal, cultural and competitive environment in South Africa and recommends an appropriate market entry strategy.</w:t>
      </w:r>
    </w:p>
    <w:p w14:paraId="4DB15D37" w14:textId="2851D37C" w:rsidR="00746BD9" w:rsidRDefault="00746BD9" w:rsidP="00746BD9"/>
    <w:p w14:paraId="340107D6" w14:textId="77777777" w:rsidR="00DA3085" w:rsidRPr="00B20BEA" w:rsidRDefault="00DA3085" w:rsidP="00E654FD">
      <w:pPr>
        <w:pStyle w:val="Heading1"/>
        <w:rPr>
          <w:rFonts w:ascii="Arial" w:hAnsi="Arial" w:cs="Arial"/>
        </w:rPr>
      </w:pPr>
      <w:bookmarkStart w:id="1" w:name="_Toc234883373"/>
      <w:r w:rsidRPr="00B20BEA">
        <w:rPr>
          <w:rFonts w:ascii="Arial" w:hAnsi="Arial" w:cs="Arial"/>
        </w:rPr>
        <w:t>Part A</w:t>
      </w:r>
      <w:bookmarkEnd w:id="1"/>
    </w:p>
    <w:p w14:paraId="662B00FB" w14:textId="0ADBF98B" w:rsidR="00746BD9" w:rsidRPr="00B20BEA" w:rsidRDefault="00E654FD" w:rsidP="00E654FD">
      <w:pPr>
        <w:pStyle w:val="Heading1"/>
        <w:rPr>
          <w:rFonts w:ascii="Arial" w:hAnsi="Arial" w:cs="Arial"/>
        </w:rPr>
      </w:pPr>
      <w:bookmarkStart w:id="2" w:name="_Toc234883374"/>
      <w:proofErr w:type="spellStart"/>
      <w:r w:rsidRPr="00B20BEA">
        <w:rPr>
          <w:rFonts w:ascii="Arial" w:hAnsi="Arial" w:cs="Arial"/>
        </w:rPr>
        <w:t>Organisational</w:t>
      </w:r>
      <w:proofErr w:type="spellEnd"/>
      <w:r w:rsidRPr="00B20BEA">
        <w:rPr>
          <w:rFonts w:ascii="Arial" w:hAnsi="Arial" w:cs="Arial"/>
        </w:rPr>
        <w:t xml:space="preserve"> Classification and Global Strategy</w:t>
      </w:r>
      <w:bookmarkEnd w:id="2"/>
    </w:p>
    <w:p w14:paraId="494FA9B6" w14:textId="60E88618" w:rsidR="00E654FD" w:rsidRDefault="00E654FD" w:rsidP="00E654FD">
      <w:pPr>
        <w:pStyle w:val="Heading2"/>
      </w:pPr>
      <w:bookmarkStart w:id="3" w:name="_Toc234883375"/>
      <w:r w:rsidRPr="00B20BEA">
        <w:rPr>
          <w:rFonts w:ascii="Arial" w:hAnsi="Arial" w:cs="Arial"/>
        </w:rPr>
        <w:t xml:space="preserve">Strategic </w:t>
      </w:r>
      <w:proofErr w:type="spellStart"/>
      <w:r w:rsidRPr="00B20BEA">
        <w:rPr>
          <w:rFonts w:ascii="Arial" w:hAnsi="Arial" w:cs="Arial"/>
        </w:rPr>
        <w:t>Categorisation</w:t>
      </w:r>
      <w:bookmarkEnd w:id="3"/>
      <w:proofErr w:type="spellEnd"/>
    </w:p>
    <w:p w14:paraId="4DF14734" w14:textId="49764421" w:rsidR="0019393B" w:rsidRPr="00B20BEA" w:rsidRDefault="0019393B" w:rsidP="0019393B">
      <w:pPr>
        <w:rPr>
          <w:rFonts w:ascii="Arial" w:hAnsi="Arial" w:cs="Arial"/>
        </w:rPr>
      </w:pPr>
      <w:r w:rsidRPr="00B20BEA">
        <w:rPr>
          <w:rFonts w:ascii="Arial" w:hAnsi="Arial" w:cs="Arial"/>
        </w:rPr>
        <w:t>This framework, which was developed by Bartlett and Ghoshal (1989), classifies multinational strategies on two dimensions: pressure for global integration and pressure for local responsiveness, resulting in four strategic archetypes—international, multi-domestic, global and transnational. Starlink's business model falls under the global strategy quadrant (Figure 1). In addition to delivering its customer offering (including hardware, user interface, and tiered pricing) to more than 150 countries with only limited local modification, SpaceX's satellite manufacturing, ground infrastructure control and reusable launch capabilities are centrally managed from its facilities in Texas and Washington (</w:t>
      </w:r>
      <w:proofErr w:type="spellStart"/>
      <w:r w:rsidRPr="00B20BEA">
        <w:rPr>
          <w:rFonts w:ascii="Arial" w:hAnsi="Arial" w:cs="Arial"/>
        </w:rPr>
        <w:t>Mappr</w:t>
      </w:r>
      <w:proofErr w:type="spellEnd"/>
      <w:r w:rsidRPr="00B20BEA">
        <w:rPr>
          <w:rFonts w:ascii="Arial" w:hAnsi="Arial" w:cs="Arial"/>
        </w:rPr>
        <w:t xml:space="preserve">, 2026; </w:t>
      </w:r>
      <w:proofErr w:type="spellStart"/>
      <w:r w:rsidRPr="00B20BEA">
        <w:rPr>
          <w:rFonts w:ascii="Arial" w:hAnsi="Arial" w:cs="Arial"/>
        </w:rPr>
        <w:t>TeleGeography</w:t>
      </w:r>
      <w:proofErr w:type="spellEnd"/>
      <w:r w:rsidRPr="00B20BEA">
        <w:rPr>
          <w:rFonts w:ascii="Arial" w:hAnsi="Arial" w:cs="Arial"/>
        </w:rPr>
        <w:t xml:space="preserve">, 2025). This </w:t>
      </w:r>
      <w:proofErr w:type="spellStart"/>
      <w:r w:rsidRPr="00B20BEA">
        <w:rPr>
          <w:rFonts w:ascii="Arial" w:hAnsi="Arial" w:cs="Arial"/>
        </w:rPr>
        <w:t>centralisation</w:t>
      </w:r>
      <w:proofErr w:type="spellEnd"/>
      <w:r w:rsidRPr="00B20BEA">
        <w:rPr>
          <w:rFonts w:ascii="Arial" w:hAnsi="Arial" w:cs="Arial"/>
        </w:rPr>
        <w:t xml:space="preserve"> brings significant economies of scale and quick technological </w:t>
      </w:r>
      <w:proofErr w:type="gramStart"/>
      <w:r w:rsidRPr="00B20BEA">
        <w:rPr>
          <w:rFonts w:ascii="Arial" w:hAnsi="Arial" w:cs="Arial"/>
        </w:rPr>
        <w:t>diffusion, but</w:t>
      </w:r>
      <w:proofErr w:type="gramEnd"/>
      <w:r w:rsidRPr="00B20BEA">
        <w:rPr>
          <w:rFonts w:ascii="Arial" w:hAnsi="Arial" w:cs="Arial"/>
        </w:rPr>
        <w:t xml:space="preserve"> reduces the ability to respond </w:t>
      </w:r>
      <w:r w:rsidRPr="00B20BEA">
        <w:rPr>
          <w:rFonts w:ascii="Arial" w:hAnsi="Arial" w:cs="Arial"/>
        </w:rPr>
        <w:lastRenderedPageBreak/>
        <w:t xml:space="preserve">to local market conditions, which is in line with Griffin and Pustay's </w:t>
      </w:r>
      <w:proofErr w:type="spellStart"/>
      <w:r w:rsidRPr="00B20BEA">
        <w:rPr>
          <w:rFonts w:ascii="Arial" w:hAnsi="Arial" w:cs="Arial"/>
        </w:rPr>
        <w:t>conceptualisation</w:t>
      </w:r>
      <w:proofErr w:type="spellEnd"/>
      <w:r w:rsidRPr="00B20BEA">
        <w:rPr>
          <w:rFonts w:ascii="Arial" w:hAnsi="Arial" w:cs="Arial"/>
        </w:rPr>
        <w:t xml:space="preserve"> of global strategies focusing on global efficiency rather than local adaptation.</w:t>
      </w:r>
    </w:p>
    <w:p w14:paraId="3C457580" w14:textId="4022A5D2" w:rsidR="0019393B" w:rsidRDefault="007D355E" w:rsidP="007D355E">
      <w:pPr>
        <w:jc w:val="center"/>
      </w:pPr>
      <w:r>
        <w:rPr>
          <w:noProof/>
        </w:rPr>
        <w:drawing>
          <wp:inline distT="0" distB="0" distL="0" distR="0" wp14:anchorId="36EC15EB" wp14:editId="73092022">
            <wp:extent cx="5257800" cy="3433298"/>
            <wp:effectExtent l="0" t="0" r="0" b="0"/>
            <wp:docPr id="1445013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013932" name=""/>
                    <pic:cNvPicPr/>
                  </pic:nvPicPr>
                  <pic:blipFill>
                    <a:blip r:embed="rId10"/>
                    <a:stretch>
                      <a:fillRect/>
                    </a:stretch>
                  </pic:blipFill>
                  <pic:spPr>
                    <a:xfrm>
                      <a:off x="0" y="0"/>
                      <a:ext cx="5267255" cy="3439472"/>
                    </a:xfrm>
                    <a:prstGeom prst="rect">
                      <a:avLst/>
                    </a:prstGeom>
                  </pic:spPr>
                </pic:pic>
              </a:graphicData>
            </a:graphic>
          </wp:inline>
        </w:drawing>
      </w:r>
    </w:p>
    <w:p w14:paraId="1A89C193" w14:textId="35E43EE5" w:rsidR="007D355E" w:rsidRPr="00B20BEA" w:rsidRDefault="007D355E" w:rsidP="007D355E">
      <w:pPr>
        <w:jc w:val="center"/>
        <w:rPr>
          <w:rFonts w:ascii="Arial" w:hAnsi="Arial" w:cs="Arial"/>
        </w:rPr>
      </w:pPr>
      <w:r w:rsidRPr="00B20BEA">
        <w:rPr>
          <w:rFonts w:ascii="Arial" w:hAnsi="Arial" w:cs="Arial"/>
        </w:rPr>
        <w:t>Figure 1: Integration-Responsiveness Grid</w:t>
      </w:r>
      <w:r w:rsidR="00C24A4A" w:rsidRPr="00B20BEA">
        <w:rPr>
          <w:rFonts w:ascii="Arial" w:hAnsi="Arial" w:cs="Arial"/>
        </w:rPr>
        <w:t xml:space="preserve"> </w:t>
      </w:r>
      <w:r w:rsidR="00015EFA" w:rsidRPr="00B20BEA">
        <w:rPr>
          <w:rFonts w:ascii="Arial" w:hAnsi="Arial" w:cs="Arial"/>
        </w:rPr>
        <w:t>(</w:t>
      </w:r>
      <w:proofErr w:type="spellStart"/>
      <w:r w:rsidR="00015EFA" w:rsidRPr="00B20BEA">
        <w:rPr>
          <w:rFonts w:ascii="Arial" w:hAnsi="Arial" w:cs="Arial"/>
        </w:rPr>
        <w:t>Mappr</w:t>
      </w:r>
      <w:proofErr w:type="spellEnd"/>
      <w:r w:rsidR="00015EFA" w:rsidRPr="00B20BEA">
        <w:rPr>
          <w:rFonts w:ascii="Arial" w:hAnsi="Arial" w:cs="Arial"/>
        </w:rPr>
        <w:t>, 2026)</w:t>
      </w:r>
    </w:p>
    <w:p w14:paraId="57533F93" w14:textId="4FB980A6" w:rsidR="00E654FD" w:rsidRPr="00B20BEA" w:rsidRDefault="0019393B" w:rsidP="0019393B">
      <w:pPr>
        <w:rPr>
          <w:rFonts w:ascii="Arial" w:hAnsi="Arial" w:cs="Arial"/>
        </w:rPr>
      </w:pPr>
      <w:r w:rsidRPr="00B20BEA">
        <w:rPr>
          <w:rFonts w:ascii="Arial" w:hAnsi="Arial" w:cs="Arial"/>
        </w:rPr>
        <w:t>Notwithstanding this, Starlink's operations on the continent are increasingly a rather significant shift from its global approach. In Eswatini, price is set in rand; in Zimbabwe and the Central African Republic, connectivity support for schools is provided by the government; and in Zimbabwe, partnerships with incumbent telecommunications providers (</w:t>
      </w:r>
      <w:proofErr w:type="spellStart"/>
      <w:r w:rsidRPr="00B20BEA">
        <w:rPr>
          <w:rFonts w:ascii="Arial" w:hAnsi="Arial" w:cs="Arial"/>
        </w:rPr>
        <w:t>Weetracker</w:t>
      </w:r>
      <w:proofErr w:type="spellEnd"/>
      <w:r w:rsidRPr="00B20BEA">
        <w:rPr>
          <w:rFonts w:ascii="Arial" w:hAnsi="Arial" w:cs="Arial"/>
        </w:rPr>
        <w:t xml:space="preserve">) have been formed as wholesale resellers. The developments suggest that local adaptation has happened on top of a global model that already is very </w:t>
      </w:r>
      <w:proofErr w:type="spellStart"/>
      <w:r w:rsidRPr="00B20BEA">
        <w:rPr>
          <w:rFonts w:ascii="Arial" w:hAnsi="Arial" w:cs="Arial"/>
        </w:rPr>
        <w:t>standardised</w:t>
      </w:r>
      <w:proofErr w:type="spellEnd"/>
      <w:r w:rsidRPr="00B20BEA">
        <w:rPr>
          <w:rFonts w:ascii="Arial" w:hAnsi="Arial" w:cs="Arial"/>
        </w:rPr>
        <w:t xml:space="preserve">. It seems, therefore, that Starlink is slowly drifting towards a transnational strategy in markets as sensitive as Africa, where regulation is very strict, albeit its founder has consistently refused to allow </w:t>
      </w:r>
      <w:proofErr w:type="spellStart"/>
      <w:r w:rsidRPr="00B20BEA">
        <w:rPr>
          <w:rFonts w:ascii="Arial" w:hAnsi="Arial" w:cs="Arial"/>
        </w:rPr>
        <w:t>localisation</w:t>
      </w:r>
      <w:proofErr w:type="spellEnd"/>
      <w:r w:rsidRPr="00B20BEA">
        <w:rPr>
          <w:rFonts w:ascii="Arial" w:hAnsi="Arial" w:cs="Arial"/>
        </w:rPr>
        <w:t xml:space="preserve"> through equity. There seems to be an internal conflict between </w:t>
      </w:r>
      <w:proofErr w:type="gramStart"/>
      <w:r w:rsidRPr="00B20BEA">
        <w:rPr>
          <w:rFonts w:ascii="Arial" w:hAnsi="Arial" w:cs="Arial"/>
        </w:rPr>
        <w:t>a global</w:t>
      </w:r>
      <w:proofErr w:type="gramEnd"/>
      <w:r w:rsidRPr="00B20BEA">
        <w:rPr>
          <w:rFonts w:ascii="Arial" w:hAnsi="Arial" w:cs="Arial"/>
        </w:rPr>
        <w:t xml:space="preserve"> </w:t>
      </w:r>
      <w:proofErr w:type="spellStart"/>
      <w:r w:rsidRPr="00B20BEA">
        <w:rPr>
          <w:rFonts w:ascii="Arial" w:hAnsi="Arial" w:cs="Arial"/>
        </w:rPr>
        <w:t>standardisation</w:t>
      </w:r>
      <w:proofErr w:type="spellEnd"/>
      <w:r w:rsidRPr="00B20BEA">
        <w:rPr>
          <w:rFonts w:ascii="Arial" w:hAnsi="Arial" w:cs="Arial"/>
        </w:rPr>
        <w:t xml:space="preserve"> and country responsiveness, which is evident in the company's approach.</w:t>
      </w:r>
    </w:p>
    <w:p w14:paraId="7170EB9B" w14:textId="32E2FA3C" w:rsidR="00746BD9" w:rsidRPr="00B20BEA" w:rsidRDefault="00F157FE" w:rsidP="00F157FE">
      <w:pPr>
        <w:pStyle w:val="Heading2"/>
        <w:rPr>
          <w:rFonts w:ascii="Arial" w:hAnsi="Arial" w:cs="Arial"/>
        </w:rPr>
      </w:pPr>
      <w:bookmarkStart w:id="4" w:name="_Toc234883376"/>
      <w:r w:rsidRPr="00B20BEA">
        <w:rPr>
          <w:rFonts w:ascii="Arial" w:hAnsi="Arial" w:cs="Arial"/>
        </w:rPr>
        <w:lastRenderedPageBreak/>
        <w:t>Global Configuration and Competitive Advantage</w:t>
      </w:r>
      <w:bookmarkEnd w:id="4"/>
    </w:p>
    <w:p w14:paraId="05A659C2" w14:textId="744B3787" w:rsidR="00833B61" w:rsidRPr="00B20BEA" w:rsidRDefault="00833B61" w:rsidP="00833B61">
      <w:pPr>
        <w:rPr>
          <w:rFonts w:ascii="Arial" w:hAnsi="Arial" w:cs="Arial"/>
        </w:rPr>
      </w:pPr>
      <w:r w:rsidRPr="00B20BEA">
        <w:rPr>
          <w:rFonts w:ascii="Arial" w:hAnsi="Arial" w:cs="Arial"/>
        </w:rPr>
        <w:t xml:space="preserve">International expansion and a vertically integrated business strategy is a unique source of sustainable competitive advantage for Starlink. Unlike OneWeb/Eutelsat and SES, which have delegated their satellite manufacturing to other firms and primarily pursue wholesale, partner-led market access strategies (Tech In Africa, 2026), Starlink has the satellite manufacturing, launch operations (via SpaceX's reusables Falcon 9 rockets), constellation management, and direct retail distribution under its own roof. By controlling the whole value chain, Starlink will lower the costs </w:t>
      </w:r>
      <w:proofErr w:type="gramStart"/>
      <w:r w:rsidRPr="00B20BEA">
        <w:rPr>
          <w:rFonts w:ascii="Arial" w:hAnsi="Arial" w:cs="Arial"/>
        </w:rPr>
        <w:t>to launch</w:t>
      </w:r>
      <w:proofErr w:type="gramEnd"/>
      <w:r w:rsidRPr="00B20BEA">
        <w:rPr>
          <w:rFonts w:ascii="Arial" w:hAnsi="Arial" w:cs="Arial"/>
        </w:rPr>
        <w:t xml:space="preserve">, accelerate the pace of continuous product development (including Direct-to-Cell), and be able to charge less for its services than those that rely on wholesale arrangements. This exemplifies a clear case of owner benefits arising out of </w:t>
      </w:r>
      <w:proofErr w:type="spellStart"/>
      <w:r w:rsidRPr="00B20BEA">
        <w:rPr>
          <w:rFonts w:ascii="Arial" w:hAnsi="Arial" w:cs="Arial"/>
        </w:rPr>
        <w:t>internalisation</w:t>
      </w:r>
      <w:proofErr w:type="spellEnd"/>
      <w:r w:rsidRPr="00B20BEA">
        <w:rPr>
          <w:rFonts w:ascii="Arial" w:hAnsi="Arial" w:cs="Arial"/>
        </w:rPr>
        <w:t xml:space="preserve"> (Dunning and </w:t>
      </w:r>
      <w:proofErr w:type="spellStart"/>
      <w:r w:rsidRPr="00B20BEA">
        <w:rPr>
          <w:rFonts w:ascii="Arial" w:hAnsi="Arial" w:cs="Arial"/>
        </w:rPr>
        <w:t>Lundan</w:t>
      </w:r>
      <w:proofErr w:type="spellEnd"/>
      <w:r w:rsidRPr="00B20BEA">
        <w:rPr>
          <w:rFonts w:ascii="Arial" w:hAnsi="Arial" w:cs="Arial"/>
        </w:rPr>
        <w:t>, 2008). These benefits are even more solid with the global subscriber base of over seven million people as of August 2025 (</w:t>
      </w:r>
      <w:proofErr w:type="spellStart"/>
      <w:r w:rsidRPr="00B20BEA">
        <w:rPr>
          <w:rFonts w:ascii="Arial" w:hAnsi="Arial" w:cs="Arial"/>
        </w:rPr>
        <w:t>TeleGeography</w:t>
      </w:r>
      <w:proofErr w:type="spellEnd"/>
      <w:r w:rsidRPr="00B20BEA">
        <w:rPr>
          <w:rFonts w:ascii="Arial" w:hAnsi="Arial" w:cs="Arial"/>
        </w:rPr>
        <w:t>, 2025), which allows the costs of fixed satellites, research and development to be distributed across an increasing customer base.</w:t>
      </w:r>
    </w:p>
    <w:p w14:paraId="6A39320F" w14:textId="33DE9730" w:rsidR="004B513B" w:rsidRPr="00B20BEA" w:rsidRDefault="00833B61" w:rsidP="00746BD9">
      <w:pPr>
        <w:rPr>
          <w:rFonts w:ascii="Arial" w:hAnsi="Arial" w:cs="Arial"/>
        </w:rPr>
      </w:pPr>
      <w:r w:rsidRPr="00B20BEA">
        <w:rPr>
          <w:rFonts w:ascii="Arial" w:hAnsi="Arial" w:cs="Arial"/>
        </w:rPr>
        <w:t xml:space="preserve">But this strategic layout has its drawbacks. Starlink's reliance on globally accepted governance, especially SpaceX's steadfast opposition to lowering local equity stakes, has led to constant friction in regions where economic change is a priority for regulation. In addition, the fact that founder Elon Musk is well known in the public eye and his South African heritage is a positive and negative intangible asset in the location. They draw media attention and public </w:t>
      </w:r>
      <w:r w:rsidR="00B20BEA" w:rsidRPr="00B20BEA">
        <w:rPr>
          <w:rFonts w:ascii="Arial" w:hAnsi="Arial" w:cs="Arial"/>
        </w:rPr>
        <w:t>goodwill but</w:t>
      </w:r>
      <w:r w:rsidRPr="00B20BEA">
        <w:rPr>
          <w:rFonts w:ascii="Arial" w:hAnsi="Arial" w:cs="Arial"/>
        </w:rPr>
        <w:t xml:space="preserve"> also place political sensitivities that can create a challenge in the regulatory engagement in the South African market. This is an important factor to </w:t>
      </w:r>
      <w:proofErr w:type="gramStart"/>
      <w:r w:rsidRPr="00B20BEA">
        <w:rPr>
          <w:rFonts w:ascii="Arial" w:hAnsi="Arial" w:cs="Arial"/>
        </w:rPr>
        <w:t>take into account</w:t>
      </w:r>
      <w:proofErr w:type="gramEnd"/>
      <w:r w:rsidRPr="00B20BEA">
        <w:rPr>
          <w:rFonts w:ascii="Arial" w:hAnsi="Arial" w:cs="Arial"/>
        </w:rPr>
        <w:t xml:space="preserve">, which is not usually included in the traditional efficiency-based analysis of </w:t>
      </w:r>
      <w:r w:rsidR="00B20BEA" w:rsidRPr="00B20BEA">
        <w:rPr>
          <w:rFonts w:ascii="Arial" w:hAnsi="Arial" w:cs="Arial"/>
        </w:rPr>
        <w:t>global</w:t>
      </w:r>
      <w:r w:rsidRPr="00B20BEA">
        <w:rPr>
          <w:rFonts w:ascii="Arial" w:hAnsi="Arial" w:cs="Arial"/>
        </w:rPr>
        <w:t xml:space="preserve"> configuration</w:t>
      </w:r>
      <w:r w:rsidR="00B20BEA">
        <w:rPr>
          <w:rFonts w:ascii="Arial" w:hAnsi="Arial" w:cs="Arial"/>
        </w:rPr>
        <w:t>.</w:t>
      </w:r>
    </w:p>
    <w:p w14:paraId="35689A36" w14:textId="594B4CE5" w:rsidR="00746BD9" w:rsidRDefault="0095727D" w:rsidP="0095727D">
      <w:pPr>
        <w:pStyle w:val="Heading1"/>
      </w:pPr>
      <w:bookmarkStart w:id="5" w:name="_Toc234883377"/>
      <w:r>
        <w:t>Macro-Environmental Appraisal and Market Attractiveness</w:t>
      </w:r>
      <w:bookmarkEnd w:id="5"/>
    </w:p>
    <w:p w14:paraId="0DD29C91" w14:textId="6C49DDF1" w:rsidR="0095727D" w:rsidRDefault="00063C69" w:rsidP="0095727D">
      <w:r w:rsidRPr="00063C69">
        <w:t>A critical assessment of the most significant political, economic, legal and cultural dimensions for the prospects of Starlink's entry is provided, not an exhaustive descriptive account of all the PESTLE dimensions, and these elements are then synthesized by Dunning's (1988) eclectic paradigm.</w:t>
      </w:r>
    </w:p>
    <w:p w14:paraId="5EEAE2CD" w14:textId="2709D8F8" w:rsidR="00063C69" w:rsidRPr="00811E87" w:rsidRDefault="00063C69" w:rsidP="00063C69">
      <w:pPr>
        <w:pStyle w:val="Heading2"/>
        <w:rPr>
          <w:rFonts w:ascii="Arial" w:hAnsi="Arial" w:cs="Arial"/>
          <w:sz w:val="28"/>
          <w:szCs w:val="28"/>
        </w:rPr>
      </w:pPr>
      <w:bookmarkStart w:id="6" w:name="_Toc234883378"/>
      <w:r w:rsidRPr="00811E87">
        <w:rPr>
          <w:rFonts w:ascii="Arial" w:hAnsi="Arial" w:cs="Arial"/>
          <w:sz w:val="28"/>
          <w:szCs w:val="28"/>
        </w:rPr>
        <w:lastRenderedPageBreak/>
        <w:t>Political Analysis</w:t>
      </w:r>
      <w:bookmarkEnd w:id="6"/>
    </w:p>
    <w:p w14:paraId="0326E970" w14:textId="2588FAAA" w:rsidR="00063C69" w:rsidRPr="00811E87" w:rsidRDefault="00063C69" w:rsidP="00063C69">
      <w:pPr>
        <w:rPr>
          <w:rFonts w:ascii="Arial" w:hAnsi="Arial" w:cs="Arial"/>
        </w:rPr>
      </w:pPr>
      <w:r w:rsidRPr="00811E87">
        <w:rPr>
          <w:rFonts w:ascii="Arial" w:hAnsi="Arial" w:cs="Arial"/>
        </w:rPr>
        <w:t xml:space="preserve">To be able to operate commercially, satellite operators in South Africa must be given the Independent Communications Authority of South Africa (ICASA) Individual Electronic Communications Service (I-ECS) </w:t>
      </w:r>
      <w:proofErr w:type="spellStart"/>
      <w:r w:rsidRPr="00811E87">
        <w:rPr>
          <w:rFonts w:ascii="Arial" w:hAnsi="Arial" w:cs="Arial"/>
        </w:rPr>
        <w:t>licence</w:t>
      </w:r>
      <w:proofErr w:type="spellEnd"/>
      <w:r w:rsidRPr="00811E87">
        <w:rPr>
          <w:rFonts w:ascii="Arial" w:hAnsi="Arial" w:cs="Arial"/>
        </w:rPr>
        <w:t xml:space="preserve">, Individual Electronic Communications Network Service (I-ECNS) </w:t>
      </w:r>
      <w:proofErr w:type="spellStart"/>
      <w:r w:rsidRPr="00811E87">
        <w:rPr>
          <w:rFonts w:ascii="Arial" w:hAnsi="Arial" w:cs="Arial"/>
        </w:rPr>
        <w:t>licence</w:t>
      </w:r>
      <w:proofErr w:type="spellEnd"/>
      <w:r w:rsidRPr="00811E87">
        <w:rPr>
          <w:rFonts w:ascii="Arial" w:hAnsi="Arial" w:cs="Arial"/>
        </w:rPr>
        <w:t xml:space="preserve"> and Radio Frequency Spectrum </w:t>
      </w:r>
      <w:proofErr w:type="spellStart"/>
      <w:r w:rsidRPr="00811E87">
        <w:rPr>
          <w:rFonts w:ascii="Arial" w:hAnsi="Arial" w:cs="Arial"/>
        </w:rPr>
        <w:t>licences</w:t>
      </w:r>
      <w:proofErr w:type="spellEnd"/>
      <w:r w:rsidRPr="00811E87">
        <w:rPr>
          <w:rFonts w:ascii="Arial" w:hAnsi="Arial" w:cs="Arial"/>
        </w:rPr>
        <w:t xml:space="preserve"> (Advanced Television, 2026; ITWeb, 2026b). Importantly, the I-ECNS </w:t>
      </w:r>
      <w:proofErr w:type="spellStart"/>
      <w:r w:rsidRPr="00811E87">
        <w:rPr>
          <w:rFonts w:ascii="Arial" w:hAnsi="Arial" w:cs="Arial"/>
        </w:rPr>
        <w:t>licence</w:t>
      </w:r>
      <w:proofErr w:type="spellEnd"/>
      <w:r w:rsidRPr="00811E87">
        <w:rPr>
          <w:rFonts w:ascii="Arial" w:hAnsi="Arial" w:cs="Arial"/>
        </w:rPr>
        <w:t xml:space="preserve"> is not yet fully complete, even if there is compliance with ownership of the satellite constellations, as neither ICASA nor a ministerial policy directive has been issued for satellite constellations.</w:t>
      </w:r>
    </w:p>
    <w:p w14:paraId="60589335" w14:textId="52562F62" w:rsidR="00063C69" w:rsidRPr="00811E87" w:rsidRDefault="00063C69" w:rsidP="00063C69">
      <w:pPr>
        <w:rPr>
          <w:rFonts w:ascii="Arial" w:hAnsi="Arial" w:cs="Arial"/>
        </w:rPr>
      </w:pPr>
      <w:r w:rsidRPr="00811E87">
        <w:rPr>
          <w:rFonts w:ascii="Arial" w:hAnsi="Arial" w:cs="Arial"/>
        </w:rPr>
        <w:t xml:space="preserve">The main political restriction is the Broad Based Black Economic Empowerment (B-BBEE) policy stipulation for 30% local ownership in the Electronic Communications Act (ECA) by the historically disadvantaged groups. SpaceX's inclination to maintain 100% equity ownership is a serious stumbling block for this. In May 2026 ICASA confirmed that the new Equity Equivalent Investment </w:t>
      </w:r>
      <w:proofErr w:type="spellStart"/>
      <w:r w:rsidRPr="00811E87">
        <w:rPr>
          <w:rFonts w:ascii="Arial" w:hAnsi="Arial" w:cs="Arial"/>
        </w:rPr>
        <w:t>Programme</w:t>
      </w:r>
      <w:proofErr w:type="spellEnd"/>
      <w:r w:rsidRPr="00811E87">
        <w:rPr>
          <w:rFonts w:ascii="Arial" w:hAnsi="Arial" w:cs="Arial"/>
        </w:rPr>
        <w:t xml:space="preserve"> (EEIP) proposed in December 2025 that would see a R2.5 billion local development commitment be substituted for equity transfer, would not be possible without Parliament first amending the ECA (</w:t>
      </w:r>
      <w:proofErr w:type="spellStart"/>
      <w:r w:rsidRPr="00811E87">
        <w:rPr>
          <w:rFonts w:ascii="Arial" w:hAnsi="Arial" w:cs="Arial"/>
        </w:rPr>
        <w:t>FastestFibre</w:t>
      </w:r>
      <w:proofErr w:type="spellEnd"/>
      <w:r w:rsidRPr="00811E87">
        <w:rPr>
          <w:rFonts w:ascii="Arial" w:hAnsi="Arial" w:cs="Arial"/>
        </w:rPr>
        <w:t xml:space="preserve">, 2026). The dispute between the Minister of Communications and ICASA shows that there are differences in the Government of National Unity in South Africa and that the regulatory outcome is still not clear. In part, this impasse was resolved by a notice from ICASA in June 2026, which </w:t>
      </w:r>
      <w:proofErr w:type="gramStart"/>
      <w:r w:rsidRPr="00811E87">
        <w:rPr>
          <w:rFonts w:ascii="Arial" w:hAnsi="Arial" w:cs="Arial"/>
        </w:rPr>
        <w:t>opened up</w:t>
      </w:r>
      <w:proofErr w:type="gramEnd"/>
      <w:r w:rsidRPr="00811E87">
        <w:rPr>
          <w:rFonts w:ascii="Arial" w:hAnsi="Arial" w:cs="Arial"/>
        </w:rPr>
        <w:t xml:space="preserve"> the possibility of new entrants to negotiate the transfer of an existing </w:t>
      </w:r>
      <w:proofErr w:type="spellStart"/>
      <w:r w:rsidRPr="00811E87">
        <w:rPr>
          <w:rFonts w:ascii="Arial" w:hAnsi="Arial" w:cs="Arial"/>
        </w:rPr>
        <w:t>licence</w:t>
      </w:r>
      <w:proofErr w:type="spellEnd"/>
      <w:r w:rsidRPr="00811E87">
        <w:rPr>
          <w:rFonts w:ascii="Arial" w:hAnsi="Arial" w:cs="Arial"/>
        </w:rPr>
        <w:t xml:space="preserve"> from a current licensee (ITWeb, 2026b; TechCentral, 2026), thereby creating a viable (but expensive) option.</w:t>
      </w:r>
    </w:p>
    <w:p w14:paraId="3ED51840" w14:textId="56055489" w:rsidR="00063C69" w:rsidRPr="00811E87" w:rsidRDefault="00063C69" w:rsidP="00063C69">
      <w:pPr>
        <w:rPr>
          <w:rFonts w:ascii="Arial" w:hAnsi="Arial" w:cs="Arial"/>
        </w:rPr>
      </w:pPr>
      <w:r w:rsidRPr="00811E87">
        <w:rPr>
          <w:rFonts w:ascii="Arial" w:hAnsi="Arial" w:cs="Arial"/>
        </w:rPr>
        <w:t>Starlink has taken a non-market approach in terms of its politics, committing to providing free connectivity to 5,000 schools and investing USD 120 million in local infrastructure (</w:t>
      </w:r>
      <w:proofErr w:type="spellStart"/>
      <w:r w:rsidRPr="00811E87">
        <w:rPr>
          <w:rFonts w:ascii="Arial" w:hAnsi="Arial" w:cs="Arial"/>
        </w:rPr>
        <w:t>Weetracker</w:t>
      </w:r>
      <w:proofErr w:type="spellEnd"/>
      <w:r w:rsidRPr="00811E87">
        <w:rPr>
          <w:rFonts w:ascii="Arial" w:hAnsi="Arial" w:cs="Arial"/>
        </w:rPr>
        <w:t xml:space="preserve">, 2025). This strategy aims to reinforce the domestic legitimacy in a market where the political relationship </w:t>
      </w:r>
      <w:proofErr w:type="gramStart"/>
      <w:r w:rsidRPr="00811E87">
        <w:rPr>
          <w:rFonts w:ascii="Arial" w:hAnsi="Arial" w:cs="Arial"/>
        </w:rPr>
        <w:t>shape</w:t>
      </w:r>
      <w:proofErr w:type="gramEnd"/>
      <w:r w:rsidRPr="00811E87">
        <w:rPr>
          <w:rFonts w:ascii="Arial" w:hAnsi="Arial" w:cs="Arial"/>
        </w:rPr>
        <w:t xml:space="preserve"> regulatory </w:t>
      </w:r>
      <w:proofErr w:type="gramStart"/>
      <w:r w:rsidRPr="00811E87">
        <w:rPr>
          <w:rFonts w:ascii="Arial" w:hAnsi="Arial" w:cs="Arial"/>
        </w:rPr>
        <w:t>results, but</w:t>
      </w:r>
      <w:proofErr w:type="gramEnd"/>
      <w:r w:rsidRPr="00811E87">
        <w:rPr>
          <w:rFonts w:ascii="Arial" w:hAnsi="Arial" w:cs="Arial"/>
        </w:rPr>
        <w:t xml:space="preserve"> may come across as a way of going around rather than around the South African empowerment system.</w:t>
      </w:r>
    </w:p>
    <w:p w14:paraId="1BE875F7" w14:textId="791E69E0" w:rsidR="00746BD9" w:rsidRPr="00811E87" w:rsidRDefault="00063C69" w:rsidP="00746BD9">
      <w:pPr>
        <w:rPr>
          <w:rFonts w:ascii="Arial" w:hAnsi="Arial" w:cs="Arial"/>
        </w:rPr>
      </w:pPr>
      <w:r w:rsidRPr="00811E87">
        <w:rPr>
          <w:rFonts w:ascii="Arial" w:hAnsi="Arial" w:cs="Arial"/>
        </w:rPr>
        <w:t xml:space="preserve">The outlook is complicated further by regional precedent. However, in March 2026 Namibia denied Starlink's </w:t>
      </w:r>
      <w:proofErr w:type="spellStart"/>
      <w:r w:rsidRPr="00811E87">
        <w:rPr>
          <w:rFonts w:ascii="Arial" w:hAnsi="Arial" w:cs="Arial"/>
        </w:rPr>
        <w:t>licence</w:t>
      </w:r>
      <w:proofErr w:type="spellEnd"/>
      <w:r w:rsidRPr="00811E87">
        <w:rPr>
          <w:rFonts w:ascii="Arial" w:hAnsi="Arial" w:cs="Arial"/>
        </w:rPr>
        <w:t xml:space="preserve"> and spectrum applications, indicating that the Southern African regulators are not willing to budge on ownership requirements to grant market entry (</w:t>
      </w:r>
      <w:proofErr w:type="spellStart"/>
      <w:r w:rsidRPr="00811E87">
        <w:rPr>
          <w:rFonts w:ascii="Arial" w:hAnsi="Arial" w:cs="Arial"/>
        </w:rPr>
        <w:t>TechCabal</w:t>
      </w:r>
      <w:proofErr w:type="spellEnd"/>
      <w:r w:rsidRPr="00811E87">
        <w:rPr>
          <w:rFonts w:ascii="Arial" w:hAnsi="Arial" w:cs="Arial"/>
        </w:rPr>
        <w:t xml:space="preserve"> Insights, 2026). Domestic incumbents also raise political risk, with </w:t>
      </w:r>
      <w:r w:rsidRPr="00811E87">
        <w:rPr>
          <w:rFonts w:ascii="Arial" w:hAnsi="Arial" w:cs="Arial"/>
        </w:rPr>
        <w:lastRenderedPageBreak/>
        <w:t xml:space="preserve">industry pundits speculating that the incumbents might also try to obtain the same EEIPs, with the potential to stall or undermine reform (Tech </w:t>
      </w:r>
      <w:proofErr w:type="gramStart"/>
      <w:r w:rsidRPr="00811E87">
        <w:rPr>
          <w:rFonts w:ascii="Arial" w:hAnsi="Arial" w:cs="Arial"/>
        </w:rPr>
        <w:t>In</w:t>
      </w:r>
      <w:proofErr w:type="gramEnd"/>
      <w:r w:rsidRPr="00811E87">
        <w:rPr>
          <w:rFonts w:ascii="Arial" w:hAnsi="Arial" w:cs="Arial"/>
        </w:rPr>
        <w:t xml:space="preserve"> Africa, 2026; </w:t>
      </w:r>
      <w:proofErr w:type="spellStart"/>
      <w:r w:rsidRPr="00811E87">
        <w:rPr>
          <w:rFonts w:ascii="Arial" w:hAnsi="Arial" w:cs="Arial"/>
        </w:rPr>
        <w:t>FastestFibre</w:t>
      </w:r>
      <w:proofErr w:type="spellEnd"/>
      <w:r w:rsidRPr="00811E87">
        <w:rPr>
          <w:rFonts w:ascii="Arial" w:hAnsi="Arial" w:cs="Arial"/>
        </w:rPr>
        <w:t>, 2026). Political risk should thus be considered a continuous negotiation between the Minister, ICASA, Parliament and incumbent operators and not a licensing process.</w:t>
      </w:r>
    </w:p>
    <w:p w14:paraId="6BA9F44A" w14:textId="360043B1" w:rsidR="00BA04DA" w:rsidRPr="00811E87" w:rsidRDefault="00BA04DA" w:rsidP="00BA04DA">
      <w:pPr>
        <w:pStyle w:val="Heading2"/>
        <w:rPr>
          <w:rFonts w:ascii="Arial" w:hAnsi="Arial" w:cs="Arial"/>
          <w:sz w:val="28"/>
          <w:szCs w:val="28"/>
        </w:rPr>
      </w:pPr>
      <w:bookmarkStart w:id="7" w:name="_Toc234883379"/>
      <w:r w:rsidRPr="00811E87">
        <w:rPr>
          <w:rFonts w:ascii="Arial" w:hAnsi="Arial" w:cs="Arial"/>
          <w:sz w:val="28"/>
          <w:szCs w:val="28"/>
        </w:rPr>
        <w:t>Economic Analysis</w:t>
      </w:r>
      <w:bookmarkEnd w:id="7"/>
    </w:p>
    <w:p w14:paraId="0FEC797D" w14:textId="15E19FCD" w:rsidR="00BA04DA" w:rsidRPr="00811E87" w:rsidRDefault="00BA04DA" w:rsidP="00BA04DA">
      <w:pPr>
        <w:rPr>
          <w:rFonts w:ascii="Arial" w:hAnsi="Arial" w:cs="Arial"/>
        </w:rPr>
      </w:pPr>
      <w:r w:rsidRPr="00811E87">
        <w:rPr>
          <w:rFonts w:ascii="Arial" w:hAnsi="Arial" w:cs="Arial"/>
        </w:rPr>
        <w:t>The mobile network operator market in South Africa is estimated to be worth USD 11.21 billion by 2026 and is projected to grow to USD 13.07 billion by 2031 (Mordor Intelligence, 2026). Fixed broadband household penetration is 14%, internet penetration is approximately 79–80% and there are significant fixed broadband infrastructure cost barriers, with a heavy reliance on mobile broadband (Fabric Data, 2025). This gap is the main market opportunity for Starlink, as satellite broadband will be able to replace the limited existing fixed-line infrastructure, especially in remote areas.</w:t>
      </w:r>
    </w:p>
    <w:p w14:paraId="1A1B3484" w14:textId="69ADF3D8" w:rsidR="0034715A" w:rsidRDefault="0034715A" w:rsidP="0034715A">
      <w:pPr>
        <w:jc w:val="center"/>
      </w:pPr>
      <w:r>
        <w:rPr>
          <w:noProof/>
        </w:rPr>
        <w:drawing>
          <wp:inline distT="0" distB="0" distL="0" distR="0" wp14:anchorId="51709590" wp14:editId="6015FB62">
            <wp:extent cx="3819098" cy="2796540"/>
            <wp:effectExtent l="0" t="0" r="0" b="3810"/>
            <wp:docPr id="929574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574997" name=""/>
                    <pic:cNvPicPr/>
                  </pic:nvPicPr>
                  <pic:blipFill>
                    <a:blip r:embed="rId11"/>
                    <a:stretch>
                      <a:fillRect/>
                    </a:stretch>
                  </pic:blipFill>
                  <pic:spPr>
                    <a:xfrm>
                      <a:off x="0" y="0"/>
                      <a:ext cx="3821170" cy="2798057"/>
                    </a:xfrm>
                    <a:prstGeom prst="rect">
                      <a:avLst/>
                    </a:prstGeom>
                  </pic:spPr>
                </pic:pic>
              </a:graphicData>
            </a:graphic>
          </wp:inline>
        </w:drawing>
      </w:r>
    </w:p>
    <w:p w14:paraId="7C8F6700" w14:textId="28749F46" w:rsidR="0034715A" w:rsidRPr="00811E87" w:rsidRDefault="0034715A" w:rsidP="0034715A">
      <w:pPr>
        <w:jc w:val="center"/>
        <w:rPr>
          <w:rFonts w:ascii="Arial" w:hAnsi="Arial" w:cs="Arial"/>
        </w:rPr>
      </w:pPr>
      <w:r w:rsidRPr="00811E87">
        <w:rPr>
          <w:rFonts w:ascii="Arial" w:hAnsi="Arial" w:cs="Arial"/>
        </w:rPr>
        <w:t>Figure 2: South Africa Fixed Broadband Market share (Fabric Data, 2025)</w:t>
      </w:r>
    </w:p>
    <w:p w14:paraId="7EE1F6A1" w14:textId="4F15E43C" w:rsidR="00BA04DA" w:rsidRPr="00811E87" w:rsidRDefault="00BA04DA" w:rsidP="00BA04DA">
      <w:pPr>
        <w:rPr>
          <w:rFonts w:ascii="Arial" w:hAnsi="Arial" w:cs="Arial"/>
        </w:rPr>
      </w:pPr>
      <w:r w:rsidRPr="00811E87">
        <w:rPr>
          <w:rFonts w:ascii="Arial" w:hAnsi="Arial" w:cs="Arial"/>
        </w:rPr>
        <w:t>The fixed broadband market is moderately fragmented with Vodacom and Telkom accounting for 27% of the market respectively followed by MTN (18%) and Rain (10%) (Fabric Data, 2025). But the most important factor is affordability, which reduces the potential market for Starlink. Despite structural unemployment of approximately 32% and the high level of income inequality (</w:t>
      </w:r>
      <w:proofErr w:type="spellStart"/>
      <w:r w:rsidRPr="00811E87">
        <w:rPr>
          <w:rFonts w:ascii="Arial" w:hAnsi="Arial" w:cs="Arial"/>
        </w:rPr>
        <w:t>Weetracker</w:t>
      </w:r>
      <w:proofErr w:type="spellEnd"/>
      <w:r w:rsidRPr="00811E87">
        <w:rPr>
          <w:rFonts w:ascii="Arial" w:hAnsi="Arial" w:cs="Arial"/>
        </w:rPr>
        <w:t xml:space="preserve">, 2025), the cost of the hardware </w:t>
      </w:r>
      <w:r w:rsidRPr="00811E87">
        <w:rPr>
          <w:rFonts w:ascii="Arial" w:hAnsi="Arial" w:cs="Arial"/>
        </w:rPr>
        <w:lastRenderedPageBreak/>
        <w:t>component (USD 200 – 700) and the monthly subscription (USD 50) is still too expensive for many households. As a result, it is better to target the affluent urban and peri-urban households, businesses, agriculture and mining operators, and underserved rural communities than the mass residential market as an initial segment for Starlink.</w:t>
      </w:r>
    </w:p>
    <w:p w14:paraId="78210A63" w14:textId="415E05EB" w:rsidR="00BA04DA" w:rsidRPr="00811E87" w:rsidRDefault="00BA04DA" w:rsidP="00BA04DA">
      <w:pPr>
        <w:rPr>
          <w:rFonts w:ascii="Arial" w:hAnsi="Arial" w:cs="Arial"/>
        </w:rPr>
      </w:pPr>
      <w:r w:rsidRPr="00811E87">
        <w:rPr>
          <w:rFonts w:ascii="Arial" w:hAnsi="Arial" w:cs="Arial"/>
        </w:rPr>
        <w:t>The economic attractiveness is diminished by macroeconomic issues such as exchange-rate risk (mostly US dollar pricing), electricity load-shedding which increases network operating costs and currency volatility. These limitations are offset by South Africa being sub-Saharan Africa's most industrially diversified economy, and Google's announcement to open its first international connectivity hub in Africa in the Eastern Cape in 2026, which further underlines South Africa's strategic importance for infrastructure beyond consumer broadband services in Africa, making it a viable regional enterprise and backhaul hub.</w:t>
      </w:r>
    </w:p>
    <w:p w14:paraId="2FFC7D62" w14:textId="2698721A" w:rsidR="00746BD9" w:rsidRPr="00811E87" w:rsidRDefault="00BA04DA" w:rsidP="00BA04DA">
      <w:pPr>
        <w:rPr>
          <w:rFonts w:ascii="Arial" w:hAnsi="Arial" w:cs="Arial"/>
        </w:rPr>
      </w:pPr>
      <w:r w:rsidRPr="00811E87">
        <w:rPr>
          <w:rFonts w:ascii="Arial" w:hAnsi="Arial" w:cs="Arial"/>
        </w:rPr>
        <w:t xml:space="preserve">An approximation of the potential demand is obtained from evidence gathered in other African markets, but this is only a rough guide. Nigeria has had an uptake of around 59,500 subscribers to Starlink in two years since launch, and Kenya's uptake is around 19,500 in the same period (Tech </w:t>
      </w:r>
      <w:proofErr w:type="gramStart"/>
      <w:r w:rsidRPr="00811E87">
        <w:rPr>
          <w:rFonts w:ascii="Arial" w:hAnsi="Arial" w:cs="Arial"/>
        </w:rPr>
        <w:t>In</w:t>
      </w:r>
      <w:proofErr w:type="gramEnd"/>
      <w:r w:rsidRPr="00811E87">
        <w:rPr>
          <w:rFonts w:ascii="Arial" w:hAnsi="Arial" w:cs="Arial"/>
        </w:rPr>
        <w:t xml:space="preserve"> Africa, 2026). Both markets later put an end to new sign-ups in major cities due to capacity issues. Similar or even greater early demand seems possible given the size of South Africa's market, which is more </w:t>
      </w:r>
      <w:proofErr w:type="spellStart"/>
      <w:r w:rsidRPr="00811E87">
        <w:rPr>
          <w:rFonts w:ascii="Arial" w:hAnsi="Arial" w:cs="Arial"/>
        </w:rPr>
        <w:t>urbanised</w:t>
      </w:r>
      <w:proofErr w:type="spellEnd"/>
      <w:r w:rsidRPr="00811E87">
        <w:rPr>
          <w:rFonts w:ascii="Arial" w:hAnsi="Arial" w:cs="Arial"/>
        </w:rPr>
        <w:t xml:space="preserve"> and has higher incomes than in other </w:t>
      </w:r>
      <w:proofErr w:type="spellStart"/>
      <w:proofErr w:type="gramStart"/>
      <w:r w:rsidRPr="00811E87">
        <w:rPr>
          <w:rFonts w:ascii="Arial" w:hAnsi="Arial" w:cs="Arial"/>
        </w:rPr>
        <w:t>regions.Similar</w:t>
      </w:r>
      <w:proofErr w:type="spellEnd"/>
      <w:proofErr w:type="gramEnd"/>
      <w:r w:rsidRPr="00811E87">
        <w:rPr>
          <w:rFonts w:ascii="Arial" w:hAnsi="Arial" w:cs="Arial"/>
        </w:rPr>
        <w:t xml:space="preserve"> or even higher early demand seems possible, particularly for Johannesburg, which has already been identified as a city that will likely experience capacity pressures in the future (Tech </w:t>
      </w:r>
      <w:proofErr w:type="gramStart"/>
      <w:r w:rsidRPr="00811E87">
        <w:rPr>
          <w:rFonts w:ascii="Arial" w:hAnsi="Arial" w:cs="Arial"/>
        </w:rPr>
        <w:t>In</w:t>
      </w:r>
      <w:proofErr w:type="gramEnd"/>
      <w:r w:rsidRPr="00811E87">
        <w:rPr>
          <w:rFonts w:ascii="Arial" w:hAnsi="Arial" w:cs="Arial"/>
        </w:rPr>
        <w:t xml:space="preserve"> Africa, 2026). Additionally, South Africa's mobile virtual network operator market is expected to reach around USD 543 million by 2026, representing a 7.6% annual growth rate (Mordor Intelligence, 2026), which is a testament to the acceptance of alternative connectivity providers, further solidifying Starlink's standing as a disruptive player.</w:t>
      </w:r>
    </w:p>
    <w:p w14:paraId="68BC0C9C" w14:textId="19D7A4B1" w:rsidR="00BB626D" w:rsidRPr="00811E87" w:rsidRDefault="00BB626D" w:rsidP="00571E50">
      <w:pPr>
        <w:pStyle w:val="Heading2"/>
        <w:rPr>
          <w:rFonts w:ascii="Arial" w:hAnsi="Arial" w:cs="Arial"/>
          <w:sz w:val="28"/>
          <w:szCs w:val="28"/>
        </w:rPr>
      </w:pPr>
      <w:bookmarkStart w:id="8" w:name="_Toc234883380"/>
      <w:r w:rsidRPr="00811E87">
        <w:rPr>
          <w:rFonts w:ascii="Arial" w:hAnsi="Arial" w:cs="Arial"/>
          <w:sz w:val="28"/>
          <w:szCs w:val="28"/>
        </w:rPr>
        <w:t>Legal Analysis</w:t>
      </w:r>
      <w:bookmarkEnd w:id="8"/>
    </w:p>
    <w:p w14:paraId="113CA7D3" w14:textId="77777777" w:rsidR="00BB626D" w:rsidRPr="00811E87" w:rsidRDefault="00BB626D" w:rsidP="00BB626D">
      <w:pPr>
        <w:rPr>
          <w:rFonts w:ascii="Arial" w:hAnsi="Arial" w:cs="Arial"/>
        </w:rPr>
      </w:pPr>
      <w:r w:rsidRPr="00811E87">
        <w:rPr>
          <w:rFonts w:ascii="Arial" w:hAnsi="Arial" w:cs="Arial"/>
        </w:rPr>
        <w:t xml:space="preserve">In addition to the licensing framework mentioned above, Starlink's offering is limited by the South African Protection of Personal Information Act (POPIA), which has data-handling requirements that apply to any satellite operator handling South African consumer data, as well as by the existence of active competition-law enforcement of dominant infrastructure deals. If a major national operator like Vodacom or MTN is </w:t>
      </w:r>
      <w:r w:rsidRPr="00811E87">
        <w:rPr>
          <w:rFonts w:ascii="Arial" w:hAnsi="Arial" w:cs="Arial"/>
        </w:rPr>
        <w:lastRenderedPageBreak/>
        <w:t xml:space="preserve">interested in an exclusive and broad-based relationship with Starlink, it is worth noting that South African competition authorities have </w:t>
      </w:r>
      <w:proofErr w:type="gramStart"/>
      <w:r w:rsidRPr="00811E87">
        <w:rPr>
          <w:rFonts w:ascii="Arial" w:hAnsi="Arial" w:cs="Arial"/>
        </w:rPr>
        <w:t>taken action</w:t>
      </w:r>
      <w:proofErr w:type="gramEnd"/>
      <w:r w:rsidRPr="00811E87">
        <w:rPr>
          <w:rFonts w:ascii="Arial" w:hAnsi="Arial" w:cs="Arial"/>
        </w:rPr>
        <w:t xml:space="preserve"> against large </w:t>
      </w:r>
      <w:proofErr w:type="spellStart"/>
      <w:r w:rsidRPr="00811E87">
        <w:rPr>
          <w:rFonts w:ascii="Arial" w:hAnsi="Arial" w:cs="Arial"/>
        </w:rPr>
        <w:t>fibre</w:t>
      </w:r>
      <w:proofErr w:type="spellEnd"/>
      <w:r w:rsidRPr="00811E87">
        <w:rPr>
          <w:rFonts w:ascii="Arial" w:hAnsi="Arial" w:cs="Arial"/>
        </w:rPr>
        <w:t xml:space="preserve"> acquisitions in the past, and there will be significant risks involved (</w:t>
      </w:r>
      <w:proofErr w:type="spellStart"/>
      <w:r w:rsidRPr="00811E87">
        <w:rPr>
          <w:rFonts w:ascii="Arial" w:hAnsi="Arial" w:cs="Arial"/>
        </w:rPr>
        <w:t>BuddeComm</w:t>
      </w:r>
      <w:proofErr w:type="spellEnd"/>
      <w:r w:rsidRPr="00811E87">
        <w:rPr>
          <w:rFonts w:ascii="Arial" w:hAnsi="Arial" w:cs="Arial"/>
        </w:rPr>
        <w:t xml:space="preserve"> cited via Mordor Intelligence, 2026).</w:t>
      </w:r>
    </w:p>
    <w:p w14:paraId="5EFEF363" w14:textId="77777777" w:rsidR="00BB626D" w:rsidRPr="00811E87" w:rsidRDefault="00BB626D" w:rsidP="00BB626D">
      <w:pPr>
        <w:rPr>
          <w:rFonts w:ascii="Arial" w:hAnsi="Arial" w:cs="Arial"/>
        </w:rPr>
      </w:pPr>
      <w:r w:rsidRPr="00811E87">
        <w:rPr>
          <w:rFonts w:ascii="Arial" w:hAnsi="Arial" w:cs="Arial"/>
        </w:rPr>
        <w:t>Another legal challenge is reputational, as ICASA has done a previous investigation into Starlink's ability to be used with unlicensed grey-market roaming kits (</w:t>
      </w:r>
      <w:proofErr w:type="spellStart"/>
      <w:r w:rsidRPr="00811E87">
        <w:rPr>
          <w:rFonts w:ascii="Arial" w:hAnsi="Arial" w:cs="Arial"/>
        </w:rPr>
        <w:t>BuddeComm</w:t>
      </w:r>
      <w:proofErr w:type="spellEnd"/>
      <w:r w:rsidRPr="00811E87">
        <w:rPr>
          <w:rFonts w:ascii="Arial" w:hAnsi="Arial" w:cs="Arial"/>
        </w:rPr>
        <w:t>, cited via Mordor Intelligence, 2026) which could be brought into play against the firm in future licensing decisions if regulators consider continued non-compliant use to be a sign of non-compliant intent and not true market demand.</w:t>
      </w:r>
    </w:p>
    <w:p w14:paraId="75CBFD78" w14:textId="5E29B317" w:rsidR="00BB626D" w:rsidRPr="00811E87" w:rsidRDefault="00BB626D" w:rsidP="00BB626D">
      <w:pPr>
        <w:rPr>
          <w:rFonts w:ascii="Arial" w:hAnsi="Arial" w:cs="Arial"/>
        </w:rPr>
      </w:pPr>
      <w:r w:rsidRPr="00811E87">
        <w:rPr>
          <w:rFonts w:ascii="Arial" w:hAnsi="Arial" w:cs="Arial"/>
        </w:rPr>
        <w:t xml:space="preserve">South Africa's legal system also has an institutional timing risk, which is simple to overlook; this is the separation of powers. In its </w:t>
      </w:r>
      <w:r w:rsidR="00811E87" w:rsidRPr="00811E87">
        <w:rPr>
          <w:rFonts w:ascii="Arial" w:hAnsi="Arial" w:cs="Arial"/>
        </w:rPr>
        <w:t>June</w:t>
      </w:r>
      <w:r w:rsidRPr="00811E87">
        <w:rPr>
          <w:rFonts w:ascii="Arial" w:hAnsi="Arial" w:cs="Arial"/>
        </w:rPr>
        <w:t xml:space="preserve"> </w:t>
      </w:r>
      <w:r w:rsidR="00811E87">
        <w:rPr>
          <w:rFonts w:ascii="Arial" w:hAnsi="Arial" w:cs="Arial"/>
        </w:rPr>
        <w:t>,</w:t>
      </w:r>
      <w:r w:rsidRPr="00811E87">
        <w:rPr>
          <w:rFonts w:ascii="Arial" w:hAnsi="Arial" w:cs="Arial"/>
        </w:rPr>
        <w:t xml:space="preserve">2026 notice ICASA confirmed that most of the spectrum used for satellite services will need Radio Frequency Spectrum licensing, except for the very narrowly defined bands, such as those used for Wi-Fi and Bluetooth (Broadcast Media Africa, 2026). The EEIP route will only be possible if the Electronic Communications Act is changed through primary legislation, which will take more time and require a coalition agreement within the Government of National Unity – not just the will of ICASA or the Minister to do so. The legislative dependency aspect of this is a material extension of the realistic legal timeframe and should be considered a unique circumstance of legal risk, apart from the standard licensing-process risk. </w:t>
      </w:r>
    </w:p>
    <w:p w14:paraId="2916F89C" w14:textId="47F6C4CD" w:rsidR="00BB626D" w:rsidRPr="00811E87" w:rsidRDefault="00BB626D" w:rsidP="00571E50">
      <w:pPr>
        <w:pStyle w:val="Heading2"/>
        <w:rPr>
          <w:rFonts w:ascii="Arial" w:hAnsi="Arial" w:cs="Arial"/>
          <w:sz w:val="28"/>
          <w:szCs w:val="28"/>
        </w:rPr>
      </w:pPr>
      <w:bookmarkStart w:id="9" w:name="_Toc234883381"/>
      <w:r w:rsidRPr="00811E87">
        <w:rPr>
          <w:rFonts w:ascii="Arial" w:hAnsi="Arial" w:cs="Arial"/>
          <w:sz w:val="28"/>
          <w:szCs w:val="28"/>
        </w:rPr>
        <w:t>Cultural Analysis</w:t>
      </w:r>
      <w:bookmarkEnd w:id="9"/>
    </w:p>
    <w:p w14:paraId="64AF051F" w14:textId="2C7C75C5" w:rsidR="0022454C" w:rsidRDefault="00BB626D" w:rsidP="00BB626D">
      <w:pPr>
        <w:rPr>
          <w:rFonts w:ascii="Arial" w:hAnsi="Arial" w:cs="Arial"/>
        </w:rPr>
      </w:pPr>
      <w:r w:rsidRPr="00811E87">
        <w:rPr>
          <w:rFonts w:ascii="Arial" w:hAnsi="Arial" w:cs="Arial"/>
        </w:rPr>
        <w:t xml:space="preserve">Instead of making descriptive cultural observations, Hofstede's (2001) cultural dimensions theory offers a systematic way to </w:t>
      </w:r>
      <w:proofErr w:type="spellStart"/>
      <w:r w:rsidRPr="00811E87">
        <w:rPr>
          <w:rFonts w:ascii="Arial" w:hAnsi="Arial" w:cs="Arial"/>
        </w:rPr>
        <w:t>analyse</w:t>
      </w:r>
      <w:proofErr w:type="spellEnd"/>
      <w:r w:rsidRPr="00811E87">
        <w:rPr>
          <w:rFonts w:ascii="Arial" w:hAnsi="Arial" w:cs="Arial"/>
        </w:rPr>
        <w:t xml:space="preserve"> the psychic distance between Starlink's home culture (the United States) and South Africa, in terms of measurable differences between national values. Table 1 </w:t>
      </w:r>
      <w:proofErr w:type="spellStart"/>
      <w:r w:rsidRPr="00811E87">
        <w:rPr>
          <w:rFonts w:ascii="Arial" w:hAnsi="Arial" w:cs="Arial"/>
        </w:rPr>
        <w:t>summarises</w:t>
      </w:r>
      <w:proofErr w:type="spellEnd"/>
      <w:r w:rsidRPr="00811E87">
        <w:rPr>
          <w:rFonts w:ascii="Arial" w:hAnsi="Arial" w:cs="Arial"/>
        </w:rPr>
        <w:t xml:space="preserve"> the relevant scores.</w:t>
      </w:r>
    </w:p>
    <w:p w14:paraId="32BD007A" w14:textId="321F3AF7" w:rsidR="00811E87" w:rsidRDefault="00811E87" w:rsidP="00BB626D">
      <w:pPr>
        <w:rPr>
          <w:rFonts w:ascii="Arial" w:hAnsi="Arial" w:cs="Arial"/>
        </w:rPr>
      </w:pPr>
    </w:p>
    <w:p w14:paraId="10F1C384" w14:textId="77777777" w:rsidR="00811E87" w:rsidRDefault="00811E87" w:rsidP="00BB626D">
      <w:pPr>
        <w:rPr>
          <w:rFonts w:ascii="Arial" w:hAnsi="Arial" w:cs="Arial"/>
        </w:rPr>
      </w:pPr>
    </w:p>
    <w:p w14:paraId="12D4F687" w14:textId="77777777" w:rsidR="00811E87" w:rsidRDefault="00811E87" w:rsidP="00BB626D">
      <w:pPr>
        <w:rPr>
          <w:rFonts w:ascii="Arial" w:hAnsi="Arial" w:cs="Arial"/>
        </w:rPr>
      </w:pPr>
    </w:p>
    <w:p w14:paraId="690CFBA8" w14:textId="77777777" w:rsidR="00811E87" w:rsidRPr="00811E87" w:rsidRDefault="00811E87" w:rsidP="00BB626D">
      <w:pPr>
        <w:rPr>
          <w:rFonts w:ascii="Arial" w:hAnsi="Arial" w:cs="Arial"/>
        </w:rPr>
      </w:pPr>
    </w:p>
    <w:p w14:paraId="59B780DF" w14:textId="3571E193" w:rsidR="0022454C" w:rsidRPr="00811E87" w:rsidRDefault="0022454C" w:rsidP="0022454C">
      <w:pPr>
        <w:jc w:val="center"/>
        <w:rPr>
          <w:rFonts w:ascii="Arial" w:hAnsi="Arial" w:cs="Arial"/>
        </w:rPr>
      </w:pPr>
      <w:r w:rsidRPr="00811E87">
        <w:rPr>
          <w:rFonts w:ascii="Arial" w:hAnsi="Arial" w:cs="Arial"/>
        </w:rPr>
        <w:lastRenderedPageBreak/>
        <w:t>Table 1: Cultural Dimension Comparison - United States vs South Africa</w:t>
      </w:r>
    </w:p>
    <w:tbl>
      <w:tblPr>
        <w:tblW w:w="9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66"/>
        <w:gridCol w:w="1729"/>
        <w:gridCol w:w="1729"/>
        <w:gridCol w:w="3550"/>
      </w:tblGrid>
      <w:tr w:rsidR="0022454C" w:rsidRPr="0022454C" w14:paraId="4F5ABBE5" w14:textId="77777777" w:rsidTr="0022454C">
        <w:trPr>
          <w:trHeight w:val="424"/>
          <w:tblHeader/>
        </w:trPr>
        <w:tc>
          <w:tcPr>
            <w:tcW w:w="2366" w:type="dxa"/>
            <w:shd w:val="clear" w:color="auto" w:fill="1B2A4A"/>
            <w:tcMar>
              <w:top w:w="80" w:type="dxa"/>
              <w:left w:w="100" w:type="dxa"/>
              <w:bottom w:w="80" w:type="dxa"/>
              <w:right w:w="100" w:type="dxa"/>
            </w:tcMar>
            <w:vAlign w:val="center"/>
          </w:tcPr>
          <w:p w14:paraId="21E3920E" w14:textId="77777777" w:rsidR="0022454C" w:rsidRPr="0022454C" w:rsidRDefault="0022454C" w:rsidP="0022454C">
            <w:pPr>
              <w:spacing w:after="0" w:line="240" w:lineRule="auto"/>
              <w:jc w:val="center"/>
              <w:rPr>
                <w:rFonts w:eastAsia="Calibri" w:cs="Times New Roman"/>
                <w:color w:val="1A1A1A"/>
                <w:sz w:val="20"/>
                <w:szCs w:val="20"/>
              </w:rPr>
            </w:pPr>
            <w:r w:rsidRPr="0022454C">
              <w:rPr>
                <w:rFonts w:eastAsia="Calibri" w:cs="Times New Roman"/>
                <w:b/>
                <w:bCs/>
                <w:color w:val="FFFFFF"/>
                <w:sz w:val="20"/>
                <w:szCs w:val="20"/>
              </w:rPr>
              <w:t>Dimension</w:t>
            </w:r>
          </w:p>
        </w:tc>
        <w:tc>
          <w:tcPr>
            <w:tcW w:w="1729" w:type="dxa"/>
            <w:shd w:val="clear" w:color="auto" w:fill="1B2A4A"/>
            <w:tcMar>
              <w:top w:w="80" w:type="dxa"/>
              <w:left w:w="100" w:type="dxa"/>
              <w:bottom w:w="80" w:type="dxa"/>
              <w:right w:w="100" w:type="dxa"/>
            </w:tcMar>
            <w:vAlign w:val="center"/>
          </w:tcPr>
          <w:p w14:paraId="3266F3EF" w14:textId="77777777" w:rsidR="0022454C" w:rsidRPr="0022454C" w:rsidRDefault="0022454C" w:rsidP="0022454C">
            <w:pPr>
              <w:spacing w:after="0" w:line="240" w:lineRule="auto"/>
              <w:jc w:val="center"/>
              <w:rPr>
                <w:rFonts w:eastAsia="Calibri" w:cs="Times New Roman"/>
                <w:color w:val="1A1A1A"/>
                <w:sz w:val="20"/>
                <w:szCs w:val="20"/>
              </w:rPr>
            </w:pPr>
            <w:r w:rsidRPr="0022454C">
              <w:rPr>
                <w:rFonts w:eastAsia="Calibri" w:cs="Times New Roman"/>
                <w:b/>
                <w:bCs/>
                <w:color w:val="FFFFFF"/>
                <w:sz w:val="20"/>
                <w:szCs w:val="20"/>
              </w:rPr>
              <w:t>United States</w:t>
            </w:r>
          </w:p>
        </w:tc>
        <w:tc>
          <w:tcPr>
            <w:tcW w:w="1729" w:type="dxa"/>
            <w:shd w:val="clear" w:color="auto" w:fill="1B2A4A"/>
            <w:tcMar>
              <w:top w:w="80" w:type="dxa"/>
              <w:left w:w="100" w:type="dxa"/>
              <w:bottom w:w="80" w:type="dxa"/>
              <w:right w:w="100" w:type="dxa"/>
            </w:tcMar>
            <w:vAlign w:val="center"/>
          </w:tcPr>
          <w:p w14:paraId="32A8F14A" w14:textId="77777777" w:rsidR="0022454C" w:rsidRPr="0022454C" w:rsidRDefault="0022454C" w:rsidP="0022454C">
            <w:pPr>
              <w:spacing w:after="0" w:line="240" w:lineRule="auto"/>
              <w:jc w:val="center"/>
              <w:rPr>
                <w:rFonts w:eastAsia="Calibri" w:cs="Times New Roman"/>
                <w:color w:val="1A1A1A"/>
                <w:sz w:val="20"/>
                <w:szCs w:val="20"/>
              </w:rPr>
            </w:pPr>
            <w:r w:rsidRPr="0022454C">
              <w:rPr>
                <w:rFonts w:eastAsia="Calibri" w:cs="Times New Roman"/>
                <w:b/>
                <w:bCs/>
                <w:color w:val="FFFFFF"/>
                <w:sz w:val="20"/>
                <w:szCs w:val="20"/>
              </w:rPr>
              <w:t>South Africa</w:t>
            </w:r>
          </w:p>
        </w:tc>
        <w:tc>
          <w:tcPr>
            <w:tcW w:w="3550" w:type="dxa"/>
            <w:shd w:val="clear" w:color="auto" w:fill="1B2A4A"/>
            <w:tcMar>
              <w:top w:w="80" w:type="dxa"/>
              <w:left w:w="100" w:type="dxa"/>
              <w:bottom w:w="80" w:type="dxa"/>
              <w:right w:w="100" w:type="dxa"/>
            </w:tcMar>
            <w:vAlign w:val="center"/>
          </w:tcPr>
          <w:p w14:paraId="163D7914" w14:textId="77777777" w:rsidR="0022454C" w:rsidRPr="0022454C" w:rsidRDefault="0022454C" w:rsidP="0022454C">
            <w:pPr>
              <w:spacing w:after="0" w:line="240" w:lineRule="auto"/>
              <w:jc w:val="center"/>
              <w:rPr>
                <w:rFonts w:eastAsia="Calibri" w:cs="Times New Roman"/>
                <w:color w:val="1A1A1A"/>
                <w:sz w:val="20"/>
                <w:szCs w:val="20"/>
              </w:rPr>
            </w:pPr>
            <w:r w:rsidRPr="0022454C">
              <w:rPr>
                <w:rFonts w:eastAsia="Calibri" w:cs="Times New Roman"/>
                <w:b/>
                <w:bCs/>
                <w:color w:val="FFFFFF"/>
                <w:sz w:val="20"/>
                <w:szCs w:val="20"/>
              </w:rPr>
              <w:t>Interpretation for Starlink's Entry</w:t>
            </w:r>
          </w:p>
        </w:tc>
      </w:tr>
      <w:tr w:rsidR="0022454C" w:rsidRPr="0022454C" w14:paraId="3C1115BC" w14:textId="77777777" w:rsidTr="0022454C">
        <w:trPr>
          <w:trHeight w:val="675"/>
        </w:trPr>
        <w:tc>
          <w:tcPr>
            <w:tcW w:w="2366" w:type="dxa"/>
            <w:shd w:val="clear" w:color="auto" w:fill="F5F6F8"/>
            <w:tcMar>
              <w:top w:w="80" w:type="dxa"/>
              <w:left w:w="100" w:type="dxa"/>
              <w:bottom w:w="80" w:type="dxa"/>
              <w:right w:w="100" w:type="dxa"/>
            </w:tcMar>
            <w:vAlign w:val="center"/>
          </w:tcPr>
          <w:p w14:paraId="66E732E8" w14:textId="77777777" w:rsidR="0022454C" w:rsidRPr="0022454C" w:rsidRDefault="0022454C" w:rsidP="0022454C">
            <w:pPr>
              <w:spacing w:after="0" w:line="240" w:lineRule="auto"/>
              <w:jc w:val="left"/>
              <w:rPr>
                <w:rFonts w:eastAsia="Calibri" w:cs="Times New Roman"/>
                <w:color w:val="1A1A1A"/>
                <w:sz w:val="20"/>
                <w:szCs w:val="20"/>
              </w:rPr>
            </w:pPr>
            <w:r w:rsidRPr="0022454C">
              <w:rPr>
                <w:rFonts w:eastAsia="Calibri" w:cs="Times New Roman"/>
                <w:color w:val="000000"/>
                <w:sz w:val="20"/>
                <w:szCs w:val="20"/>
              </w:rPr>
              <w:t>Power Distance (PDI)</w:t>
            </w:r>
          </w:p>
        </w:tc>
        <w:tc>
          <w:tcPr>
            <w:tcW w:w="1729" w:type="dxa"/>
            <w:shd w:val="clear" w:color="auto" w:fill="F5F6F8"/>
            <w:tcMar>
              <w:top w:w="80" w:type="dxa"/>
              <w:left w:w="100" w:type="dxa"/>
              <w:bottom w:w="80" w:type="dxa"/>
              <w:right w:w="100" w:type="dxa"/>
            </w:tcMar>
            <w:vAlign w:val="center"/>
          </w:tcPr>
          <w:p w14:paraId="4E98CBA4" w14:textId="77777777" w:rsidR="0022454C" w:rsidRPr="0022454C" w:rsidRDefault="0022454C" w:rsidP="0022454C">
            <w:pPr>
              <w:spacing w:after="0" w:line="240" w:lineRule="auto"/>
              <w:jc w:val="left"/>
              <w:rPr>
                <w:rFonts w:eastAsia="Calibri" w:cs="Times New Roman"/>
                <w:color w:val="1A1A1A"/>
                <w:sz w:val="20"/>
                <w:szCs w:val="20"/>
              </w:rPr>
            </w:pPr>
            <w:r w:rsidRPr="0022454C">
              <w:rPr>
                <w:rFonts w:eastAsia="Calibri" w:cs="Times New Roman"/>
                <w:color w:val="000000"/>
                <w:sz w:val="20"/>
                <w:szCs w:val="20"/>
              </w:rPr>
              <w:t>40</w:t>
            </w:r>
          </w:p>
        </w:tc>
        <w:tc>
          <w:tcPr>
            <w:tcW w:w="1729" w:type="dxa"/>
            <w:shd w:val="clear" w:color="auto" w:fill="F5F6F8"/>
            <w:tcMar>
              <w:top w:w="80" w:type="dxa"/>
              <w:left w:w="100" w:type="dxa"/>
              <w:bottom w:w="80" w:type="dxa"/>
              <w:right w:w="100" w:type="dxa"/>
            </w:tcMar>
            <w:vAlign w:val="center"/>
          </w:tcPr>
          <w:p w14:paraId="56C938DB" w14:textId="77777777" w:rsidR="0022454C" w:rsidRPr="0022454C" w:rsidRDefault="0022454C" w:rsidP="0022454C">
            <w:pPr>
              <w:spacing w:after="0" w:line="240" w:lineRule="auto"/>
              <w:jc w:val="left"/>
              <w:rPr>
                <w:rFonts w:eastAsia="Calibri" w:cs="Times New Roman"/>
                <w:color w:val="1A1A1A"/>
                <w:sz w:val="20"/>
                <w:szCs w:val="20"/>
              </w:rPr>
            </w:pPr>
            <w:r w:rsidRPr="0022454C">
              <w:rPr>
                <w:rFonts w:eastAsia="Calibri" w:cs="Times New Roman"/>
                <w:color w:val="000000"/>
                <w:sz w:val="20"/>
                <w:szCs w:val="20"/>
              </w:rPr>
              <w:t>49</w:t>
            </w:r>
          </w:p>
        </w:tc>
        <w:tc>
          <w:tcPr>
            <w:tcW w:w="3550" w:type="dxa"/>
            <w:shd w:val="clear" w:color="auto" w:fill="F5F6F8"/>
            <w:tcMar>
              <w:top w:w="80" w:type="dxa"/>
              <w:left w:w="100" w:type="dxa"/>
              <w:bottom w:w="80" w:type="dxa"/>
              <w:right w:w="100" w:type="dxa"/>
            </w:tcMar>
            <w:vAlign w:val="center"/>
          </w:tcPr>
          <w:p w14:paraId="00970114" w14:textId="77777777" w:rsidR="0022454C" w:rsidRPr="0022454C" w:rsidRDefault="0022454C" w:rsidP="0022454C">
            <w:pPr>
              <w:spacing w:after="0" w:line="240" w:lineRule="auto"/>
              <w:jc w:val="left"/>
              <w:rPr>
                <w:rFonts w:eastAsia="Calibri" w:cs="Times New Roman"/>
                <w:color w:val="1A1A1A"/>
                <w:sz w:val="20"/>
                <w:szCs w:val="20"/>
              </w:rPr>
            </w:pPr>
            <w:r w:rsidRPr="0022454C">
              <w:rPr>
                <w:rFonts w:eastAsia="Calibri" w:cs="Times New Roman"/>
                <w:color w:val="000000"/>
                <w:sz w:val="20"/>
                <w:szCs w:val="20"/>
              </w:rPr>
              <w:t>SA somewhat more deferential to regulatory/government authority in shaping market outcomes</w:t>
            </w:r>
          </w:p>
        </w:tc>
      </w:tr>
      <w:tr w:rsidR="0022454C" w:rsidRPr="0022454C" w14:paraId="66F8D239" w14:textId="77777777" w:rsidTr="0022454C">
        <w:trPr>
          <w:trHeight w:val="495"/>
        </w:trPr>
        <w:tc>
          <w:tcPr>
            <w:tcW w:w="2366" w:type="dxa"/>
            <w:shd w:val="clear" w:color="auto" w:fill="FFFFFF"/>
            <w:tcMar>
              <w:top w:w="80" w:type="dxa"/>
              <w:left w:w="100" w:type="dxa"/>
              <w:bottom w:w="80" w:type="dxa"/>
              <w:right w:w="100" w:type="dxa"/>
            </w:tcMar>
            <w:vAlign w:val="center"/>
          </w:tcPr>
          <w:p w14:paraId="767BB359" w14:textId="77777777" w:rsidR="0022454C" w:rsidRPr="0022454C" w:rsidRDefault="0022454C" w:rsidP="0022454C">
            <w:pPr>
              <w:spacing w:after="0" w:line="240" w:lineRule="auto"/>
              <w:jc w:val="left"/>
              <w:rPr>
                <w:rFonts w:eastAsia="Calibri" w:cs="Times New Roman"/>
                <w:color w:val="1A1A1A"/>
                <w:sz w:val="20"/>
                <w:szCs w:val="20"/>
              </w:rPr>
            </w:pPr>
            <w:r w:rsidRPr="0022454C">
              <w:rPr>
                <w:rFonts w:eastAsia="Calibri" w:cs="Times New Roman"/>
                <w:color w:val="000000"/>
                <w:sz w:val="20"/>
                <w:szCs w:val="20"/>
              </w:rPr>
              <w:t>Individualism (IDV)</w:t>
            </w:r>
          </w:p>
        </w:tc>
        <w:tc>
          <w:tcPr>
            <w:tcW w:w="1729" w:type="dxa"/>
            <w:shd w:val="clear" w:color="auto" w:fill="FFFFFF"/>
            <w:tcMar>
              <w:top w:w="80" w:type="dxa"/>
              <w:left w:w="100" w:type="dxa"/>
              <w:bottom w:w="80" w:type="dxa"/>
              <w:right w:w="100" w:type="dxa"/>
            </w:tcMar>
            <w:vAlign w:val="center"/>
          </w:tcPr>
          <w:p w14:paraId="029C51C6" w14:textId="77777777" w:rsidR="0022454C" w:rsidRPr="0022454C" w:rsidRDefault="0022454C" w:rsidP="0022454C">
            <w:pPr>
              <w:spacing w:after="0" w:line="240" w:lineRule="auto"/>
              <w:jc w:val="left"/>
              <w:rPr>
                <w:rFonts w:eastAsia="Calibri" w:cs="Times New Roman"/>
                <w:color w:val="1A1A1A"/>
                <w:sz w:val="20"/>
                <w:szCs w:val="20"/>
              </w:rPr>
            </w:pPr>
            <w:r w:rsidRPr="0022454C">
              <w:rPr>
                <w:rFonts w:eastAsia="Calibri" w:cs="Times New Roman"/>
                <w:color w:val="000000"/>
                <w:sz w:val="20"/>
                <w:szCs w:val="20"/>
              </w:rPr>
              <w:t>91</w:t>
            </w:r>
          </w:p>
        </w:tc>
        <w:tc>
          <w:tcPr>
            <w:tcW w:w="1729" w:type="dxa"/>
            <w:shd w:val="clear" w:color="auto" w:fill="FFFFFF"/>
            <w:tcMar>
              <w:top w:w="80" w:type="dxa"/>
              <w:left w:w="100" w:type="dxa"/>
              <w:bottom w:w="80" w:type="dxa"/>
              <w:right w:w="100" w:type="dxa"/>
            </w:tcMar>
            <w:vAlign w:val="center"/>
          </w:tcPr>
          <w:p w14:paraId="41F9D6E5" w14:textId="77777777" w:rsidR="0022454C" w:rsidRPr="0022454C" w:rsidRDefault="0022454C" w:rsidP="0022454C">
            <w:pPr>
              <w:spacing w:after="0" w:line="240" w:lineRule="auto"/>
              <w:jc w:val="left"/>
              <w:rPr>
                <w:rFonts w:eastAsia="Calibri" w:cs="Times New Roman"/>
                <w:color w:val="1A1A1A"/>
                <w:sz w:val="20"/>
                <w:szCs w:val="20"/>
              </w:rPr>
            </w:pPr>
            <w:r w:rsidRPr="0022454C">
              <w:rPr>
                <w:rFonts w:eastAsia="Calibri" w:cs="Times New Roman"/>
                <w:color w:val="000000"/>
                <w:sz w:val="20"/>
                <w:szCs w:val="20"/>
              </w:rPr>
              <w:t>65</w:t>
            </w:r>
          </w:p>
        </w:tc>
        <w:tc>
          <w:tcPr>
            <w:tcW w:w="3550" w:type="dxa"/>
            <w:shd w:val="clear" w:color="auto" w:fill="FFFFFF"/>
            <w:tcMar>
              <w:top w:w="80" w:type="dxa"/>
              <w:left w:w="100" w:type="dxa"/>
              <w:bottom w:w="80" w:type="dxa"/>
              <w:right w:w="100" w:type="dxa"/>
            </w:tcMar>
            <w:vAlign w:val="center"/>
          </w:tcPr>
          <w:p w14:paraId="097B470F" w14:textId="5243D273" w:rsidR="0022454C" w:rsidRPr="0022454C" w:rsidRDefault="0022454C" w:rsidP="0022454C">
            <w:pPr>
              <w:spacing w:after="0" w:line="240" w:lineRule="auto"/>
              <w:jc w:val="left"/>
              <w:rPr>
                <w:rFonts w:eastAsia="Calibri" w:cs="Times New Roman"/>
                <w:color w:val="000000"/>
                <w:sz w:val="20"/>
                <w:szCs w:val="20"/>
              </w:rPr>
            </w:pPr>
            <w:r>
              <w:rPr>
                <w:rFonts w:eastAsia="Calibri" w:cs="Times New Roman"/>
                <w:color w:val="000000"/>
                <w:sz w:val="20"/>
                <w:szCs w:val="20"/>
              </w:rPr>
              <w:t>-</w:t>
            </w:r>
            <w:r w:rsidRPr="0022454C">
              <w:rPr>
                <w:rFonts w:eastAsia="Calibri" w:cs="Times New Roman"/>
                <w:color w:val="000000"/>
                <w:sz w:val="20"/>
                <w:szCs w:val="20"/>
              </w:rPr>
              <w:t xml:space="preserve">SA more attuned to collective redress; </w:t>
            </w:r>
          </w:p>
          <w:p w14:paraId="7D96D044" w14:textId="16DDAFBF" w:rsidR="0022454C" w:rsidRPr="0022454C" w:rsidRDefault="0022454C" w:rsidP="0022454C">
            <w:pPr>
              <w:spacing w:after="0" w:line="240" w:lineRule="auto"/>
              <w:jc w:val="left"/>
              <w:rPr>
                <w:rFonts w:eastAsia="Calibri" w:cs="Times New Roman"/>
                <w:color w:val="000000"/>
                <w:sz w:val="20"/>
                <w:szCs w:val="20"/>
              </w:rPr>
            </w:pPr>
            <w:r>
              <w:rPr>
                <w:rFonts w:eastAsia="Calibri" w:cs="Times New Roman"/>
                <w:color w:val="000000"/>
                <w:sz w:val="20"/>
                <w:szCs w:val="20"/>
              </w:rPr>
              <w:t>-C</w:t>
            </w:r>
            <w:r w:rsidRPr="0022454C">
              <w:rPr>
                <w:rFonts w:eastAsia="Calibri" w:cs="Times New Roman"/>
                <w:color w:val="000000"/>
                <w:sz w:val="20"/>
                <w:szCs w:val="20"/>
              </w:rPr>
              <w:t xml:space="preserve">lashes with SpaceX's individualistic, </w:t>
            </w:r>
          </w:p>
          <w:p w14:paraId="28B5F15A" w14:textId="75BFCB9C" w:rsidR="0022454C" w:rsidRPr="0022454C" w:rsidRDefault="0022454C" w:rsidP="0022454C">
            <w:pPr>
              <w:spacing w:after="0" w:line="240" w:lineRule="auto"/>
              <w:jc w:val="left"/>
              <w:rPr>
                <w:rFonts w:eastAsia="Calibri" w:cs="Times New Roman"/>
                <w:color w:val="1A1A1A"/>
                <w:sz w:val="20"/>
                <w:szCs w:val="20"/>
              </w:rPr>
            </w:pPr>
            <w:r>
              <w:rPr>
                <w:rFonts w:eastAsia="Calibri" w:cs="Times New Roman"/>
                <w:color w:val="000000"/>
                <w:sz w:val="20"/>
                <w:szCs w:val="20"/>
              </w:rPr>
              <w:t>-N</w:t>
            </w:r>
            <w:r w:rsidRPr="0022454C">
              <w:rPr>
                <w:rFonts w:eastAsia="Calibri" w:cs="Times New Roman"/>
                <w:color w:val="000000"/>
                <w:sz w:val="20"/>
                <w:szCs w:val="20"/>
              </w:rPr>
              <w:t>o-dilution equity stance</w:t>
            </w:r>
            <w:r w:rsidR="004B513B">
              <w:rPr>
                <w:rFonts w:eastAsia="Calibri" w:cs="Times New Roman"/>
                <w:color w:val="000000"/>
                <w:sz w:val="20"/>
                <w:szCs w:val="20"/>
              </w:rPr>
              <w:t xml:space="preserve"> </w:t>
            </w:r>
            <w:r w:rsidR="004B513B" w:rsidRPr="004B513B">
              <w:rPr>
                <w:rFonts w:eastAsia="Calibri" w:cs="Times New Roman"/>
                <w:color w:val="000000"/>
                <w:sz w:val="20"/>
                <w:szCs w:val="20"/>
              </w:rPr>
              <w:t>(Fabric Data, 2025)</w:t>
            </w:r>
          </w:p>
        </w:tc>
      </w:tr>
      <w:tr w:rsidR="0022454C" w:rsidRPr="0022454C" w14:paraId="7143AB3A" w14:textId="77777777" w:rsidTr="0022454C">
        <w:trPr>
          <w:trHeight w:val="405"/>
        </w:trPr>
        <w:tc>
          <w:tcPr>
            <w:tcW w:w="2366" w:type="dxa"/>
            <w:shd w:val="clear" w:color="auto" w:fill="F5F6F8"/>
            <w:tcMar>
              <w:top w:w="80" w:type="dxa"/>
              <w:left w:w="100" w:type="dxa"/>
              <w:bottom w:w="80" w:type="dxa"/>
              <w:right w:w="100" w:type="dxa"/>
            </w:tcMar>
            <w:vAlign w:val="center"/>
          </w:tcPr>
          <w:p w14:paraId="72A5CE50" w14:textId="77777777" w:rsidR="0022454C" w:rsidRPr="0022454C" w:rsidRDefault="0022454C" w:rsidP="0022454C">
            <w:pPr>
              <w:spacing w:after="0" w:line="240" w:lineRule="auto"/>
              <w:jc w:val="left"/>
              <w:rPr>
                <w:rFonts w:eastAsia="Calibri" w:cs="Times New Roman"/>
                <w:color w:val="1A1A1A"/>
                <w:sz w:val="20"/>
                <w:szCs w:val="20"/>
              </w:rPr>
            </w:pPr>
            <w:r w:rsidRPr="0022454C">
              <w:rPr>
                <w:rFonts w:eastAsia="Calibri" w:cs="Times New Roman"/>
                <w:color w:val="000000"/>
                <w:sz w:val="20"/>
                <w:szCs w:val="20"/>
              </w:rPr>
              <w:t>Masculinity (MAS)</w:t>
            </w:r>
          </w:p>
        </w:tc>
        <w:tc>
          <w:tcPr>
            <w:tcW w:w="1729" w:type="dxa"/>
            <w:shd w:val="clear" w:color="auto" w:fill="F5F6F8"/>
            <w:tcMar>
              <w:top w:w="80" w:type="dxa"/>
              <w:left w:w="100" w:type="dxa"/>
              <w:bottom w:w="80" w:type="dxa"/>
              <w:right w:w="100" w:type="dxa"/>
            </w:tcMar>
            <w:vAlign w:val="center"/>
          </w:tcPr>
          <w:p w14:paraId="5DE8CBB2" w14:textId="77777777" w:rsidR="0022454C" w:rsidRPr="0022454C" w:rsidRDefault="0022454C" w:rsidP="0022454C">
            <w:pPr>
              <w:spacing w:after="0" w:line="240" w:lineRule="auto"/>
              <w:jc w:val="left"/>
              <w:rPr>
                <w:rFonts w:eastAsia="Calibri" w:cs="Times New Roman"/>
                <w:color w:val="1A1A1A"/>
                <w:sz w:val="20"/>
                <w:szCs w:val="20"/>
              </w:rPr>
            </w:pPr>
            <w:r w:rsidRPr="0022454C">
              <w:rPr>
                <w:rFonts w:eastAsia="Calibri" w:cs="Times New Roman"/>
                <w:color w:val="000000"/>
                <w:sz w:val="20"/>
                <w:szCs w:val="20"/>
              </w:rPr>
              <w:t>62</w:t>
            </w:r>
          </w:p>
        </w:tc>
        <w:tc>
          <w:tcPr>
            <w:tcW w:w="1729" w:type="dxa"/>
            <w:shd w:val="clear" w:color="auto" w:fill="F5F6F8"/>
            <w:tcMar>
              <w:top w:w="80" w:type="dxa"/>
              <w:left w:w="100" w:type="dxa"/>
              <w:bottom w:w="80" w:type="dxa"/>
              <w:right w:w="100" w:type="dxa"/>
            </w:tcMar>
            <w:vAlign w:val="center"/>
          </w:tcPr>
          <w:p w14:paraId="46DB5696" w14:textId="77777777" w:rsidR="0022454C" w:rsidRPr="0022454C" w:rsidRDefault="0022454C" w:rsidP="0022454C">
            <w:pPr>
              <w:spacing w:after="0" w:line="240" w:lineRule="auto"/>
              <w:jc w:val="left"/>
              <w:rPr>
                <w:rFonts w:eastAsia="Calibri" w:cs="Times New Roman"/>
                <w:color w:val="1A1A1A"/>
                <w:sz w:val="20"/>
                <w:szCs w:val="20"/>
              </w:rPr>
            </w:pPr>
            <w:r w:rsidRPr="0022454C">
              <w:rPr>
                <w:rFonts w:eastAsia="Calibri" w:cs="Times New Roman"/>
                <w:color w:val="000000"/>
                <w:sz w:val="20"/>
                <w:szCs w:val="20"/>
              </w:rPr>
              <w:t>63</w:t>
            </w:r>
          </w:p>
        </w:tc>
        <w:tc>
          <w:tcPr>
            <w:tcW w:w="3550" w:type="dxa"/>
            <w:shd w:val="clear" w:color="auto" w:fill="F5F6F8"/>
            <w:tcMar>
              <w:top w:w="80" w:type="dxa"/>
              <w:left w:w="100" w:type="dxa"/>
              <w:bottom w:w="80" w:type="dxa"/>
              <w:right w:w="100" w:type="dxa"/>
            </w:tcMar>
            <w:vAlign w:val="center"/>
          </w:tcPr>
          <w:p w14:paraId="35A3003B" w14:textId="7B93B859" w:rsidR="0022454C" w:rsidRDefault="0022454C" w:rsidP="0022454C">
            <w:pPr>
              <w:spacing w:after="0" w:line="240" w:lineRule="auto"/>
              <w:jc w:val="left"/>
              <w:rPr>
                <w:rFonts w:eastAsia="Calibri" w:cs="Times New Roman"/>
                <w:color w:val="000000"/>
                <w:sz w:val="20"/>
                <w:szCs w:val="20"/>
              </w:rPr>
            </w:pPr>
            <w:r>
              <w:rPr>
                <w:rFonts w:eastAsia="Calibri" w:cs="Times New Roman"/>
                <w:color w:val="000000"/>
                <w:sz w:val="20"/>
                <w:szCs w:val="20"/>
              </w:rPr>
              <w:t>-</w:t>
            </w:r>
            <w:r w:rsidRPr="0022454C">
              <w:rPr>
                <w:rFonts w:eastAsia="Calibri" w:cs="Times New Roman"/>
                <w:color w:val="000000"/>
                <w:sz w:val="20"/>
                <w:szCs w:val="20"/>
              </w:rPr>
              <w:t xml:space="preserve">Broadly similar achievement-oriented, </w:t>
            </w:r>
            <w:r w:rsidR="004B513B" w:rsidRPr="004B513B">
              <w:rPr>
                <w:rFonts w:eastAsia="Calibri" w:cs="Times New Roman"/>
                <w:color w:val="000000"/>
                <w:sz w:val="20"/>
                <w:szCs w:val="20"/>
              </w:rPr>
              <w:t>(ITWeb, 2026b)</w:t>
            </w:r>
            <w:r w:rsidR="004B513B">
              <w:rPr>
                <w:rFonts w:eastAsia="Calibri" w:cs="Times New Roman"/>
                <w:color w:val="000000"/>
                <w:sz w:val="20"/>
                <w:szCs w:val="20"/>
              </w:rPr>
              <w:t xml:space="preserve"> </w:t>
            </w:r>
          </w:p>
          <w:p w14:paraId="67959A0C" w14:textId="49818DC3" w:rsidR="0022454C" w:rsidRPr="0022454C" w:rsidRDefault="0022454C" w:rsidP="0022454C">
            <w:pPr>
              <w:spacing w:after="0" w:line="240" w:lineRule="auto"/>
              <w:jc w:val="left"/>
              <w:rPr>
                <w:rFonts w:eastAsia="Calibri" w:cs="Times New Roman"/>
                <w:color w:val="1A1A1A"/>
                <w:sz w:val="20"/>
                <w:szCs w:val="20"/>
              </w:rPr>
            </w:pPr>
            <w:r>
              <w:rPr>
                <w:rFonts w:eastAsia="Calibri" w:cs="Times New Roman"/>
                <w:color w:val="000000"/>
                <w:sz w:val="20"/>
                <w:szCs w:val="20"/>
              </w:rPr>
              <w:t>-C</w:t>
            </w:r>
            <w:r w:rsidRPr="0022454C">
              <w:rPr>
                <w:rFonts w:eastAsia="Calibri" w:cs="Times New Roman"/>
                <w:color w:val="000000"/>
                <w:sz w:val="20"/>
                <w:szCs w:val="20"/>
              </w:rPr>
              <w:t>ompetitive business orientation</w:t>
            </w:r>
          </w:p>
        </w:tc>
      </w:tr>
      <w:tr w:rsidR="0022454C" w:rsidRPr="0022454C" w14:paraId="17D5B288" w14:textId="77777777" w:rsidTr="0022454C">
        <w:trPr>
          <w:trHeight w:val="639"/>
        </w:trPr>
        <w:tc>
          <w:tcPr>
            <w:tcW w:w="2366" w:type="dxa"/>
            <w:shd w:val="clear" w:color="auto" w:fill="FFFFFF"/>
            <w:tcMar>
              <w:top w:w="80" w:type="dxa"/>
              <w:left w:w="100" w:type="dxa"/>
              <w:bottom w:w="80" w:type="dxa"/>
              <w:right w:w="100" w:type="dxa"/>
            </w:tcMar>
            <w:vAlign w:val="center"/>
          </w:tcPr>
          <w:p w14:paraId="4C0CCD5A" w14:textId="77777777" w:rsidR="0022454C" w:rsidRPr="0022454C" w:rsidRDefault="0022454C" w:rsidP="0022454C">
            <w:pPr>
              <w:spacing w:after="0" w:line="240" w:lineRule="auto"/>
              <w:jc w:val="left"/>
              <w:rPr>
                <w:rFonts w:eastAsia="Calibri" w:cs="Times New Roman"/>
                <w:color w:val="1A1A1A"/>
                <w:sz w:val="20"/>
                <w:szCs w:val="20"/>
              </w:rPr>
            </w:pPr>
            <w:r w:rsidRPr="0022454C">
              <w:rPr>
                <w:rFonts w:eastAsia="Calibri" w:cs="Times New Roman"/>
                <w:color w:val="000000"/>
                <w:sz w:val="20"/>
                <w:szCs w:val="20"/>
              </w:rPr>
              <w:t>Uncertainty Avoidance (UAI)</w:t>
            </w:r>
          </w:p>
        </w:tc>
        <w:tc>
          <w:tcPr>
            <w:tcW w:w="1729" w:type="dxa"/>
            <w:shd w:val="clear" w:color="auto" w:fill="FFFFFF"/>
            <w:tcMar>
              <w:top w:w="80" w:type="dxa"/>
              <w:left w:w="100" w:type="dxa"/>
              <w:bottom w:w="80" w:type="dxa"/>
              <w:right w:w="100" w:type="dxa"/>
            </w:tcMar>
            <w:vAlign w:val="center"/>
          </w:tcPr>
          <w:p w14:paraId="222EC426" w14:textId="77777777" w:rsidR="0022454C" w:rsidRPr="0022454C" w:rsidRDefault="0022454C" w:rsidP="0022454C">
            <w:pPr>
              <w:spacing w:after="0" w:line="240" w:lineRule="auto"/>
              <w:jc w:val="left"/>
              <w:rPr>
                <w:rFonts w:eastAsia="Calibri" w:cs="Times New Roman"/>
                <w:color w:val="1A1A1A"/>
                <w:sz w:val="20"/>
                <w:szCs w:val="20"/>
              </w:rPr>
            </w:pPr>
            <w:r w:rsidRPr="0022454C">
              <w:rPr>
                <w:rFonts w:eastAsia="Calibri" w:cs="Times New Roman"/>
                <w:color w:val="000000"/>
                <w:sz w:val="20"/>
                <w:szCs w:val="20"/>
              </w:rPr>
              <w:t>46</w:t>
            </w:r>
          </w:p>
        </w:tc>
        <w:tc>
          <w:tcPr>
            <w:tcW w:w="1729" w:type="dxa"/>
            <w:shd w:val="clear" w:color="auto" w:fill="FFFFFF"/>
            <w:tcMar>
              <w:top w:w="80" w:type="dxa"/>
              <w:left w:w="100" w:type="dxa"/>
              <w:bottom w:w="80" w:type="dxa"/>
              <w:right w:w="100" w:type="dxa"/>
            </w:tcMar>
            <w:vAlign w:val="center"/>
          </w:tcPr>
          <w:p w14:paraId="7727A019" w14:textId="77777777" w:rsidR="0022454C" w:rsidRPr="0022454C" w:rsidRDefault="0022454C" w:rsidP="0022454C">
            <w:pPr>
              <w:spacing w:after="0" w:line="240" w:lineRule="auto"/>
              <w:jc w:val="left"/>
              <w:rPr>
                <w:rFonts w:eastAsia="Calibri" w:cs="Times New Roman"/>
                <w:color w:val="1A1A1A"/>
                <w:sz w:val="20"/>
                <w:szCs w:val="20"/>
              </w:rPr>
            </w:pPr>
            <w:r w:rsidRPr="0022454C">
              <w:rPr>
                <w:rFonts w:eastAsia="Calibri" w:cs="Times New Roman"/>
                <w:color w:val="000000"/>
                <w:sz w:val="20"/>
                <w:szCs w:val="20"/>
              </w:rPr>
              <w:t>49</w:t>
            </w:r>
          </w:p>
        </w:tc>
        <w:tc>
          <w:tcPr>
            <w:tcW w:w="3550" w:type="dxa"/>
            <w:shd w:val="clear" w:color="auto" w:fill="FFFFFF"/>
            <w:tcMar>
              <w:top w:w="80" w:type="dxa"/>
              <w:left w:w="100" w:type="dxa"/>
              <w:bottom w:w="80" w:type="dxa"/>
              <w:right w:w="100" w:type="dxa"/>
            </w:tcMar>
            <w:vAlign w:val="center"/>
          </w:tcPr>
          <w:p w14:paraId="44C15CD8" w14:textId="49139998" w:rsidR="0022454C" w:rsidRDefault="0022454C" w:rsidP="0022454C">
            <w:pPr>
              <w:spacing w:after="0" w:line="240" w:lineRule="auto"/>
              <w:jc w:val="left"/>
              <w:rPr>
                <w:rFonts w:eastAsia="Calibri" w:cs="Times New Roman"/>
                <w:color w:val="000000"/>
                <w:sz w:val="20"/>
                <w:szCs w:val="20"/>
              </w:rPr>
            </w:pPr>
            <w:r>
              <w:rPr>
                <w:rFonts w:eastAsia="Calibri" w:cs="Times New Roman"/>
                <w:color w:val="000000"/>
                <w:sz w:val="20"/>
                <w:szCs w:val="20"/>
              </w:rPr>
              <w:t>-</w:t>
            </w:r>
            <w:r w:rsidRPr="0022454C">
              <w:rPr>
                <w:rFonts w:eastAsia="Calibri" w:cs="Times New Roman"/>
                <w:color w:val="000000"/>
                <w:sz w:val="20"/>
                <w:szCs w:val="20"/>
              </w:rPr>
              <w:t xml:space="preserve">Both moderate; </w:t>
            </w:r>
          </w:p>
          <w:p w14:paraId="4635C50F" w14:textId="0FF82EDE" w:rsidR="0022454C" w:rsidRPr="0022454C" w:rsidRDefault="0022454C" w:rsidP="0022454C">
            <w:pPr>
              <w:spacing w:after="0" w:line="240" w:lineRule="auto"/>
              <w:jc w:val="left"/>
              <w:rPr>
                <w:rFonts w:eastAsia="Calibri" w:cs="Times New Roman"/>
                <w:color w:val="1A1A1A"/>
                <w:sz w:val="20"/>
                <w:szCs w:val="20"/>
              </w:rPr>
            </w:pPr>
            <w:r>
              <w:rPr>
                <w:rFonts w:eastAsia="Calibri" w:cs="Times New Roman"/>
                <w:color w:val="000000"/>
                <w:sz w:val="20"/>
                <w:szCs w:val="20"/>
              </w:rPr>
              <w:t>-</w:t>
            </w:r>
            <w:r w:rsidRPr="0022454C">
              <w:rPr>
                <w:rFonts w:eastAsia="Calibri" w:cs="Times New Roman"/>
                <w:color w:val="000000"/>
                <w:sz w:val="20"/>
                <w:szCs w:val="20"/>
              </w:rPr>
              <w:t>SA marginally more rule- and process-oriented in institutional dealings</w:t>
            </w:r>
          </w:p>
        </w:tc>
      </w:tr>
    </w:tbl>
    <w:p w14:paraId="1723277B" w14:textId="58FFB161" w:rsidR="00BB626D" w:rsidRDefault="0022454C" w:rsidP="00BB626D">
      <w:r>
        <w:t xml:space="preserve"> </w:t>
      </w:r>
    </w:p>
    <w:p w14:paraId="4E905003" w14:textId="75061C16" w:rsidR="00BB626D" w:rsidRPr="00811E87" w:rsidRDefault="00BB626D" w:rsidP="00BB626D">
      <w:pPr>
        <w:rPr>
          <w:rFonts w:ascii="Arial" w:hAnsi="Arial" w:cs="Arial"/>
        </w:rPr>
      </w:pPr>
      <w:r w:rsidRPr="00811E87">
        <w:rPr>
          <w:rFonts w:ascii="Arial" w:hAnsi="Arial" w:cs="Arial"/>
        </w:rPr>
        <w:t>For this case the individualism dimension is the most important. The high level of individualism in the United States (91) is a business culture that values private ownership, self-determined enterprise and limited collective obligation, which is seen in SpaceX's global policy of maintaining full equity ownership. South Africa's lower, but still relatively individualistic, score (65) is indicative of greater focus on collective welfare, which is in line with the cultural tenets that underpin the B-BBEE system of redressing historical economic marginalization after apartheid (</w:t>
      </w:r>
      <w:proofErr w:type="spellStart"/>
      <w:r w:rsidRPr="00811E87">
        <w:rPr>
          <w:rFonts w:ascii="Arial" w:hAnsi="Arial" w:cs="Arial"/>
        </w:rPr>
        <w:t>Thetsane</w:t>
      </w:r>
      <w:proofErr w:type="spellEnd"/>
      <w:r w:rsidRPr="00811E87">
        <w:rPr>
          <w:rFonts w:ascii="Arial" w:hAnsi="Arial" w:cs="Arial"/>
        </w:rPr>
        <w:t>, 2024 cited in Hofstede). The moderate power distance difference (49 versus 40) also indicates that the society of South Africa is relatively more accepting of government intervention in the outcome of market. As such, policies enacted by ICASA and the Minister are more likely to be seen domestically as a legitimate public policy than as an overreach of government, which a US-based entrant may not anticipate. In contrast, the similarity in masculinity and uncertainty-avoidance scores suggest that there will not be significant cultural conflicts in commercial practices and orientations towards competition. Cultural risk is thus focused mostly on individualism-collectivism and power-distance.</w:t>
      </w:r>
      <w:r w:rsidR="00D57533" w:rsidRPr="00811E87">
        <w:rPr>
          <w:rFonts w:ascii="Arial" w:hAnsi="Arial" w:cs="Arial"/>
        </w:rPr>
        <w:t xml:space="preserve"> </w:t>
      </w:r>
    </w:p>
    <w:p w14:paraId="516436E0" w14:textId="7BA9A456" w:rsidR="00BB626D" w:rsidRPr="00811E87" w:rsidRDefault="00BB626D" w:rsidP="00BB626D">
      <w:pPr>
        <w:rPr>
          <w:rFonts w:ascii="Arial" w:hAnsi="Arial" w:cs="Arial"/>
        </w:rPr>
      </w:pPr>
      <w:r w:rsidRPr="00811E87">
        <w:rPr>
          <w:rFonts w:ascii="Arial" w:hAnsi="Arial" w:cs="Arial"/>
        </w:rPr>
        <w:t xml:space="preserve">The essence of the B-BBEE ownership requirement is these differences. It does not just mean a duty to perform administratively, but a duty that is rooted in culture and </w:t>
      </w:r>
      <w:proofErr w:type="gramStart"/>
      <w:r w:rsidRPr="00811E87">
        <w:rPr>
          <w:rFonts w:ascii="Arial" w:hAnsi="Arial" w:cs="Arial"/>
        </w:rPr>
        <w:t>politics, and</w:t>
      </w:r>
      <w:proofErr w:type="gramEnd"/>
      <w:r w:rsidRPr="00811E87">
        <w:rPr>
          <w:rFonts w:ascii="Arial" w:hAnsi="Arial" w:cs="Arial"/>
        </w:rPr>
        <w:t xml:space="preserve"> involves a collective economic transformation. A global efficiency and </w:t>
      </w:r>
      <w:proofErr w:type="spellStart"/>
      <w:r w:rsidRPr="00811E87">
        <w:rPr>
          <w:rFonts w:ascii="Arial" w:hAnsi="Arial" w:cs="Arial"/>
        </w:rPr>
        <w:t>standardisation</w:t>
      </w:r>
      <w:proofErr w:type="spellEnd"/>
      <w:r w:rsidRPr="00811E87">
        <w:rPr>
          <w:rFonts w:ascii="Arial" w:hAnsi="Arial" w:cs="Arial"/>
        </w:rPr>
        <w:t xml:space="preserve"> </w:t>
      </w:r>
      <w:r w:rsidRPr="00811E87">
        <w:rPr>
          <w:rFonts w:ascii="Arial" w:hAnsi="Arial" w:cs="Arial"/>
        </w:rPr>
        <w:lastRenderedPageBreak/>
        <w:t xml:space="preserve">approach could be seen as ‘foreign investment', especially </w:t>
      </w:r>
      <w:proofErr w:type="gramStart"/>
      <w:r w:rsidRPr="00811E87">
        <w:rPr>
          <w:rFonts w:ascii="Arial" w:hAnsi="Arial" w:cs="Arial"/>
        </w:rPr>
        <w:t>in light of</w:t>
      </w:r>
      <w:proofErr w:type="gramEnd"/>
      <w:r w:rsidRPr="00811E87">
        <w:rPr>
          <w:rFonts w:ascii="Arial" w:hAnsi="Arial" w:cs="Arial"/>
        </w:rPr>
        <w:t xml:space="preserve"> Elon Musk's public remarks on South African affairs, and this is viewed as not being inclusive. This presents a psychic-distance dilemma which cannot be answered by </w:t>
      </w:r>
      <w:proofErr w:type="gramStart"/>
      <w:r w:rsidRPr="00811E87">
        <w:rPr>
          <w:rFonts w:ascii="Arial" w:hAnsi="Arial" w:cs="Arial"/>
        </w:rPr>
        <w:t>a legal</w:t>
      </w:r>
      <w:proofErr w:type="gramEnd"/>
      <w:r w:rsidRPr="00811E87">
        <w:rPr>
          <w:rFonts w:ascii="Arial" w:hAnsi="Arial" w:cs="Arial"/>
        </w:rPr>
        <w:t xml:space="preserve"> or economic analysis. Despite the institutional tensions, the strong acceptance of technology in South Africa, which is the region's most advanced country with a smartphone penetration rate of 95% (Fabric Data, 2025), suggests that there is a high level of cultural compatibility on the demand side as well.</w:t>
      </w:r>
      <w:r w:rsidR="00F45984" w:rsidRPr="00811E87">
        <w:rPr>
          <w:rFonts w:ascii="Arial" w:hAnsi="Arial" w:cs="Arial"/>
        </w:rPr>
        <w:t xml:space="preserve"> </w:t>
      </w:r>
    </w:p>
    <w:p w14:paraId="0A1FF2DA" w14:textId="0DB94523" w:rsidR="00746BD9" w:rsidRPr="00811E87" w:rsidRDefault="00BB626D" w:rsidP="00BB626D">
      <w:pPr>
        <w:rPr>
          <w:rFonts w:ascii="Arial" w:hAnsi="Arial" w:cs="Arial"/>
        </w:rPr>
      </w:pPr>
      <w:r w:rsidRPr="00811E87">
        <w:rPr>
          <w:rFonts w:ascii="Arial" w:hAnsi="Arial" w:cs="Arial"/>
        </w:rPr>
        <w:t xml:space="preserve">Another </w:t>
      </w:r>
      <w:proofErr w:type="spellStart"/>
      <w:r w:rsidRPr="00811E87">
        <w:rPr>
          <w:rFonts w:ascii="Arial" w:hAnsi="Arial" w:cs="Arial"/>
        </w:rPr>
        <w:t>organisational</w:t>
      </w:r>
      <w:proofErr w:type="spellEnd"/>
      <w:r w:rsidRPr="00811E87">
        <w:rPr>
          <w:rFonts w:ascii="Arial" w:hAnsi="Arial" w:cs="Arial"/>
        </w:rPr>
        <w:t xml:space="preserve"> challenge is related to decision making culture. Unlike ICASA's consultative process, which involves public consultation and industry submissions, before changes to the regulations are introduced, SpaceX is taking an engineering-driven approach with a rapid iteration (ITWeb, 2026b). South Africa's regulatory process is slower than other countries and consensus-driven, which can lead to misunderstandings of impatience or entitlement in companies that are used to a more fast-track approach. A successful adaptation will, therefore, be crucial to establishing long-term regulatory trust and to preparing for any possible market entry. </w:t>
      </w:r>
    </w:p>
    <w:p w14:paraId="264D129D" w14:textId="564616C4" w:rsidR="00D61170" w:rsidRPr="00811E87" w:rsidRDefault="00D61170" w:rsidP="00D61170">
      <w:pPr>
        <w:pStyle w:val="Heading2"/>
        <w:rPr>
          <w:rFonts w:ascii="Arial" w:hAnsi="Arial" w:cs="Arial"/>
          <w:sz w:val="28"/>
          <w:szCs w:val="28"/>
        </w:rPr>
      </w:pPr>
      <w:bookmarkStart w:id="10" w:name="_Toc234883382"/>
      <w:r w:rsidRPr="00811E87">
        <w:rPr>
          <w:rFonts w:ascii="Arial" w:hAnsi="Arial" w:cs="Arial"/>
          <w:sz w:val="28"/>
          <w:szCs w:val="28"/>
        </w:rPr>
        <w:t>National Competitive Advantage: Porter's Diamond</w:t>
      </w:r>
      <w:bookmarkEnd w:id="10"/>
    </w:p>
    <w:p w14:paraId="413F29E8" w14:textId="6A0196EF" w:rsidR="00D61170" w:rsidRPr="00811E87" w:rsidRDefault="00D61170" w:rsidP="00D61170">
      <w:pPr>
        <w:rPr>
          <w:rFonts w:ascii="Arial" w:hAnsi="Arial" w:cs="Arial"/>
        </w:rPr>
      </w:pPr>
      <w:r w:rsidRPr="00811E87">
        <w:rPr>
          <w:rFonts w:ascii="Arial" w:hAnsi="Arial" w:cs="Arial"/>
        </w:rPr>
        <w:t>The Diamond model of Porter focuses on four interacting factors: factor conditions, demand conditions, related and supporting industries, and firm strategy, structure and rivalry, which are influenced by government and chance</w:t>
      </w:r>
      <w:r w:rsidR="00FB7A85" w:rsidRPr="00811E87">
        <w:rPr>
          <w:rFonts w:ascii="Arial" w:hAnsi="Arial" w:cs="Arial"/>
        </w:rPr>
        <w:t xml:space="preserve"> (Goyal, 2020)</w:t>
      </w:r>
      <w:r w:rsidRPr="00811E87">
        <w:rPr>
          <w:rFonts w:ascii="Arial" w:hAnsi="Arial" w:cs="Arial"/>
        </w:rPr>
        <w:t xml:space="preserve">. The South African telecommunications and satellite broadband industry is a good example of the structural attractiveness of the market for </w:t>
      </w:r>
      <w:r w:rsidR="00C90CE9" w:rsidRPr="00811E87">
        <w:rPr>
          <w:rFonts w:ascii="Arial" w:hAnsi="Arial" w:cs="Arial"/>
        </w:rPr>
        <w:t>infrastructure-based</w:t>
      </w:r>
      <w:r w:rsidRPr="00811E87">
        <w:rPr>
          <w:rFonts w:ascii="Arial" w:hAnsi="Arial" w:cs="Arial"/>
        </w:rPr>
        <w:t xml:space="preserve"> competition </w:t>
      </w:r>
      <w:proofErr w:type="gramStart"/>
      <w:r w:rsidRPr="00811E87">
        <w:rPr>
          <w:rFonts w:ascii="Arial" w:hAnsi="Arial" w:cs="Arial"/>
        </w:rPr>
        <w:t>in spite of</w:t>
      </w:r>
      <w:proofErr w:type="gramEnd"/>
      <w:r w:rsidRPr="00811E87">
        <w:rPr>
          <w:rFonts w:ascii="Arial" w:hAnsi="Arial" w:cs="Arial"/>
        </w:rPr>
        <w:t xml:space="preserve"> the regulatory constraints.</w:t>
      </w:r>
    </w:p>
    <w:p w14:paraId="7D69680E" w14:textId="54A65C72" w:rsidR="00D61170" w:rsidRPr="00811E87" w:rsidRDefault="00D61170" w:rsidP="00D61170">
      <w:pPr>
        <w:rPr>
          <w:rFonts w:ascii="Arial" w:hAnsi="Arial" w:cs="Arial"/>
        </w:rPr>
      </w:pPr>
      <w:r w:rsidRPr="00811E87">
        <w:rPr>
          <w:rFonts w:ascii="Arial" w:hAnsi="Arial" w:cs="Arial"/>
        </w:rPr>
        <w:t xml:space="preserve">The condition of the factors is mixed but improving. South Africa has a large </w:t>
      </w:r>
      <w:proofErr w:type="spellStart"/>
      <w:r w:rsidRPr="00811E87">
        <w:rPr>
          <w:rFonts w:ascii="Arial" w:hAnsi="Arial" w:cs="Arial"/>
        </w:rPr>
        <w:t>fibre</w:t>
      </w:r>
      <w:proofErr w:type="spellEnd"/>
      <w:r w:rsidRPr="00811E87">
        <w:rPr>
          <w:rFonts w:ascii="Arial" w:hAnsi="Arial" w:cs="Arial"/>
        </w:rPr>
        <w:t xml:space="preserve"> backbone </w:t>
      </w:r>
      <w:proofErr w:type="spellStart"/>
      <w:r w:rsidRPr="00811E87">
        <w:rPr>
          <w:rFonts w:ascii="Arial" w:hAnsi="Arial" w:cs="Arial"/>
        </w:rPr>
        <w:t>backbone</w:t>
      </w:r>
      <w:proofErr w:type="spellEnd"/>
      <w:r w:rsidRPr="00811E87">
        <w:rPr>
          <w:rFonts w:ascii="Arial" w:hAnsi="Arial" w:cs="Arial"/>
        </w:rPr>
        <w:t xml:space="preserve"> that is operated by four major </w:t>
      </w:r>
      <w:proofErr w:type="spellStart"/>
      <w:r w:rsidRPr="00811E87">
        <w:rPr>
          <w:rFonts w:ascii="Arial" w:hAnsi="Arial" w:cs="Arial"/>
        </w:rPr>
        <w:t>fibre</w:t>
      </w:r>
      <w:proofErr w:type="spellEnd"/>
      <w:r w:rsidRPr="00811E87">
        <w:rPr>
          <w:rFonts w:ascii="Arial" w:hAnsi="Arial" w:cs="Arial"/>
        </w:rPr>
        <w:t xml:space="preserve"> network operators and a highly trained telecom engineering industry. Despite these benefits, low penetration of fixed broadband in households (14%) and continuing electricity load-shedding which drives up network operating costs </w:t>
      </w:r>
      <w:r w:rsidR="00C90CE9" w:rsidRPr="00811E87">
        <w:rPr>
          <w:rFonts w:ascii="Arial" w:hAnsi="Arial" w:cs="Arial"/>
        </w:rPr>
        <w:t>are major drawbacks (</w:t>
      </w:r>
      <w:r w:rsidRPr="00811E87">
        <w:rPr>
          <w:rFonts w:ascii="Arial" w:hAnsi="Arial" w:cs="Arial"/>
        </w:rPr>
        <w:t>Fabric Data, 2025</w:t>
      </w:r>
      <w:r w:rsidR="00C90CE9" w:rsidRPr="00811E87">
        <w:rPr>
          <w:rFonts w:ascii="Arial" w:hAnsi="Arial" w:cs="Arial"/>
        </w:rPr>
        <w:t>)</w:t>
      </w:r>
      <w:r w:rsidRPr="00811E87">
        <w:rPr>
          <w:rFonts w:ascii="Arial" w:hAnsi="Arial" w:cs="Arial"/>
        </w:rPr>
        <w:t xml:space="preserve">. The mix of advanced and basic factor limitations </w:t>
      </w:r>
      <w:proofErr w:type="gramStart"/>
      <w:r w:rsidRPr="00811E87">
        <w:rPr>
          <w:rFonts w:ascii="Arial" w:hAnsi="Arial" w:cs="Arial"/>
        </w:rPr>
        <w:t>is a reflection of</w:t>
      </w:r>
      <w:proofErr w:type="gramEnd"/>
      <w:r w:rsidRPr="00811E87">
        <w:rPr>
          <w:rFonts w:ascii="Arial" w:hAnsi="Arial" w:cs="Arial"/>
        </w:rPr>
        <w:t xml:space="preserve"> the complex factor endowment that traditional comparative advantage models tend to ignore.</w:t>
      </w:r>
    </w:p>
    <w:p w14:paraId="0D08BA53" w14:textId="50205F8A" w:rsidR="00D61170" w:rsidRPr="00811E87" w:rsidRDefault="00D61170" w:rsidP="00D61170">
      <w:pPr>
        <w:rPr>
          <w:rFonts w:ascii="Arial" w:hAnsi="Arial" w:cs="Arial"/>
        </w:rPr>
      </w:pPr>
      <w:r w:rsidRPr="00811E87">
        <w:rPr>
          <w:rFonts w:ascii="Arial" w:hAnsi="Arial" w:cs="Arial"/>
        </w:rPr>
        <w:lastRenderedPageBreak/>
        <w:t xml:space="preserve">Demand conditions are a definite competitive advantage. With the penetration of smart phones at 95% and internet at around 79-80%, there is a big and sophisticated and price sensitive consumer market that has been a catalyst for innovation by the local operators such as Vodacom's </w:t>
      </w:r>
      <w:proofErr w:type="spellStart"/>
      <w:r w:rsidRPr="00811E87">
        <w:rPr>
          <w:rFonts w:ascii="Arial" w:hAnsi="Arial" w:cs="Arial"/>
        </w:rPr>
        <w:t>VodaPay</w:t>
      </w:r>
      <w:proofErr w:type="spellEnd"/>
      <w:r w:rsidRPr="00811E87">
        <w:rPr>
          <w:rFonts w:ascii="Arial" w:hAnsi="Arial" w:cs="Arial"/>
        </w:rPr>
        <w:t xml:space="preserve"> ecosystem and MTN's </w:t>
      </w:r>
      <w:proofErr w:type="spellStart"/>
      <w:r w:rsidRPr="00811E87">
        <w:rPr>
          <w:rFonts w:ascii="Arial" w:hAnsi="Arial" w:cs="Arial"/>
        </w:rPr>
        <w:t>MoMo</w:t>
      </w:r>
      <w:proofErr w:type="spellEnd"/>
      <w:r w:rsidRPr="00811E87">
        <w:rPr>
          <w:rFonts w:ascii="Arial" w:hAnsi="Arial" w:cs="Arial"/>
        </w:rPr>
        <w:t xml:space="preserve"> mobile money platform. In Porter's model, the high expectations of domestic consumers drive the companies to offer better quality and better pricing, which makes it easier for a more technologically advanced company like Starlink.</w:t>
      </w:r>
    </w:p>
    <w:p w14:paraId="23B2BB7F" w14:textId="4BD1F13C" w:rsidR="00D61170" w:rsidRPr="00811E87" w:rsidRDefault="00D61170" w:rsidP="00D61170">
      <w:pPr>
        <w:rPr>
          <w:rFonts w:ascii="Arial" w:hAnsi="Arial" w:cs="Arial"/>
        </w:rPr>
      </w:pPr>
      <w:r w:rsidRPr="00811E87">
        <w:rPr>
          <w:rFonts w:ascii="Arial" w:hAnsi="Arial" w:cs="Arial"/>
        </w:rPr>
        <w:t xml:space="preserve">Competitive supporting and related industries. There are opportunities for partnerships via wholesale backhaul or MVNO-like resale arrangements, such as those being done by Starlink across the African continent, due to a well-developed fintech and mobile money industry, a mature </w:t>
      </w:r>
      <w:proofErr w:type="spellStart"/>
      <w:r w:rsidRPr="00811E87">
        <w:rPr>
          <w:rFonts w:ascii="Arial" w:hAnsi="Arial" w:cs="Arial"/>
        </w:rPr>
        <w:t>fibre</w:t>
      </w:r>
      <w:proofErr w:type="spellEnd"/>
      <w:r w:rsidRPr="00811E87">
        <w:rPr>
          <w:rFonts w:ascii="Arial" w:hAnsi="Arial" w:cs="Arial"/>
        </w:rPr>
        <w:t xml:space="preserve"> and tower infrastructure, following Telkom's 2025 tower divestment plan, and the presence of over thirty mobile virtual network operators (Mordor Intelligence, 2026).</w:t>
      </w:r>
    </w:p>
    <w:p w14:paraId="2DB6E4DA" w14:textId="2936F1D6" w:rsidR="00D61170" w:rsidRPr="00811E87" w:rsidRDefault="00D61170" w:rsidP="00D61170">
      <w:pPr>
        <w:rPr>
          <w:rFonts w:ascii="Arial" w:hAnsi="Arial" w:cs="Arial"/>
        </w:rPr>
      </w:pPr>
      <w:r w:rsidRPr="00811E87">
        <w:rPr>
          <w:rFonts w:ascii="Arial" w:hAnsi="Arial" w:cs="Arial"/>
        </w:rPr>
        <w:t xml:space="preserve">Firm strategy, structure and rivalry </w:t>
      </w:r>
      <w:proofErr w:type="gramStart"/>
      <w:r w:rsidRPr="00811E87">
        <w:rPr>
          <w:rFonts w:ascii="Arial" w:hAnsi="Arial" w:cs="Arial"/>
        </w:rPr>
        <w:t>is</w:t>
      </w:r>
      <w:proofErr w:type="gramEnd"/>
      <w:r w:rsidRPr="00811E87">
        <w:rPr>
          <w:rFonts w:ascii="Arial" w:hAnsi="Arial" w:cs="Arial"/>
        </w:rPr>
        <w:t xml:space="preserve"> very competitive. The mobile market is dominated by MTN and Vodacom, with each accounting for approximately 70%, while Telkom, Rain and Cell C compete on price, speed and the quality of their networks, and the 2026 mobile barometer reveals that they are neck in neck when it comes to performance indicators (IOL, 2026</w:t>
      </w:r>
      <w:proofErr w:type="gramStart"/>
      <w:r w:rsidR="00C90CE9" w:rsidRPr="00811E87">
        <w:rPr>
          <w:rFonts w:ascii="Arial" w:hAnsi="Arial" w:cs="Arial"/>
        </w:rPr>
        <w:t xml:space="preserve">) </w:t>
      </w:r>
      <w:r w:rsidRPr="00811E87">
        <w:rPr>
          <w:rFonts w:ascii="Arial" w:hAnsi="Arial" w:cs="Arial"/>
        </w:rPr>
        <w:t>.</w:t>
      </w:r>
      <w:proofErr w:type="gramEnd"/>
      <w:r w:rsidRPr="00811E87">
        <w:rPr>
          <w:rFonts w:ascii="Arial" w:hAnsi="Arial" w:cs="Arial"/>
        </w:rPr>
        <w:t xml:space="preserve"> This competition has given rise to ongoing investment in infrastructure, enhancing competitiveness, but also provided incumbents with strong reasons to contest or delay regulatory offers of entry </w:t>
      </w:r>
      <w:proofErr w:type="gramStart"/>
      <w:r w:rsidRPr="00811E87">
        <w:rPr>
          <w:rFonts w:ascii="Arial" w:hAnsi="Arial" w:cs="Arial"/>
        </w:rPr>
        <w:t>to</w:t>
      </w:r>
      <w:proofErr w:type="gramEnd"/>
      <w:r w:rsidRPr="00811E87">
        <w:rPr>
          <w:rFonts w:ascii="Arial" w:hAnsi="Arial" w:cs="Arial"/>
        </w:rPr>
        <w:t xml:space="preserve"> the competition.</w:t>
      </w:r>
    </w:p>
    <w:p w14:paraId="4ECD4F37" w14:textId="749694A1" w:rsidR="00746BD9" w:rsidRPr="00811E87" w:rsidRDefault="00D61170" w:rsidP="00D61170">
      <w:pPr>
        <w:rPr>
          <w:rFonts w:ascii="Arial" w:hAnsi="Arial" w:cs="Arial"/>
        </w:rPr>
      </w:pPr>
      <w:r w:rsidRPr="00811E87">
        <w:rPr>
          <w:rFonts w:ascii="Arial" w:hAnsi="Arial" w:cs="Arial"/>
        </w:rPr>
        <w:t>The government is the dominant actor in the case of the diamond. South Africa's B-BBEE ownership requirement has a direct impact on market access, while Porter describes government as an indirect influence, meaning that in the absence of the ownership requirement, other competitive factors would still determine who would compete</w:t>
      </w:r>
      <w:r w:rsidR="00FB7A85" w:rsidRPr="00811E87">
        <w:rPr>
          <w:rFonts w:ascii="Arial" w:hAnsi="Arial" w:cs="Arial"/>
        </w:rPr>
        <w:t xml:space="preserve"> (Goyal, 2020)</w:t>
      </w:r>
      <w:r w:rsidRPr="00811E87">
        <w:rPr>
          <w:rFonts w:ascii="Arial" w:hAnsi="Arial" w:cs="Arial"/>
        </w:rPr>
        <w:t>. This indicates that Porter's Diamond, as it is, is not a good framework for highly regulated markets. However, the model shows that South Africa's sophistication of demand, industrial ecosystem and competitiveness are still robust, meaning that the biggest challenge for Starlink is an institutional one rather than a structural one.</w:t>
      </w:r>
    </w:p>
    <w:p w14:paraId="764A1185" w14:textId="58D42915" w:rsidR="00746BD9" w:rsidRPr="00811E87" w:rsidRDefault="00063320" w:rsidP="00063320">
      <w:pPr>
        <w:pStyle w:val="Heading2"/>
        <w:rPr>
          <w:rFonts w:ascii="Arial" w:hAnsi="Arial" w:cs="Arial"/>
          <w:sz w:val="28"/>
          <w:szCs w:val="28"/>
        </w:rPr>
      </w:pPr>
      <w:bookmarkStart w:id="11" w:name="_Toc234883383"/>
      <w:r w:rsidRPr="00811E87">
        <w:rPr>
          <w:rFonts w:ascii="Arial" w:hAnsi="Arial" w:cs="Arial"/>
          <w:sz w:val="28"/>
          <w:szCs w:val="28"/>
        </w:rPr>
        <w:lastRenderedPageBreak/>
        <w:t>Market Entry: Synthesis via Dunning's Eclectic Paradigm (OLI)</w:t>
      </w:r>
      <w:bookmarkEnd w:id="11"/>
    </w:p>
    <w:p w14:paraId="4EF4ED97" w14:textId="5EF0E0B0" w:rsidR="001C0FEF" w:rsidRPr="00811E87" w:rsidRDefault="001C0FEF" w:rsidP="001C0FEF">
      <w:pPr>
        <w:rPr>
          <w:rFonts w:ascii="Arial" w:hAnsi="Arial" w:cs="Arial"/>
        </w:rPr>
      </w:pPr>
      <w:r w:rsidRPr="00811E87">
        <w:rPr>
          <w:rFonts w:ascii="Arial" w:hAnsi="Arial" w:cs="Arial"/>
        </w:rPr>
        <w:t xml:space="preserve">The eclectic paradigm suggests that a firm's choice of foreign production and mode is a function of the interplay of the Ownership-specific, Location-specific and </w:t>
      </w:r>
      <w:proofErr w:type="spellStart"/>
      <w:r w:rsidRPr="00811E87">
        <w:rPr>
          <w:rFonts w:ascii="Arial" w:hAnsi="Arial" w:cs="Arial"/>
        </w:rPr>
        <w:t>Internalisation</w:t>
      </w:r>
      <w:proofErr w:type="spellEnd"/>
      <w:r w:rsidRPr="00811E87">
        <w:rPr>
          <w:rFonts w:ascii="Arial" w:hAnsi="Arial" w:cs="Arial"/>
        </w:rPr>
        <w:t xml:space="preserve">-specific (OLI) </w:t>
      </w:r>
      <w:r w:rsidR="00443DF9" w:rsidRPr="00811E87">
        <w:rPr>
          <w:rFonts w:ascii="Arial" w:hAnsi="Arial" w:cs="Arial"/>
        </w:rPr>
        <w:t>advantages (</w:t>
      </w:r>
      <w:r w:rsidRPr="00811E87">
        <w:rPr>
          <w:rFonts w:ascii="Arial" w:hAnsi="Arial" w:cs="Arial"/>
        </w:rPr>
        <w:t>Dunning, 2001). This synthesis of the above analysis will provide an explanation as to why South Africa cannot just follow the example set by Starlink with its default approach to entering the global market.</w:t>
      </w:r>
    </w:p>
    <w:p w14:paraId="5FA1A302" w14:textId="15ED9192" w:rsidR="001C0FEF" w:rsidRPr="00811E87" w:rsidRDefault="001C0FEF" w:rsidP="001C0FEF">
      <w:pPr>
        <w:rPr>
          <w:rFonts w:ascii="Arial" w:hAnsi="Arial" w:cs="Arial"/>
        </w:rPr>
      </w:pPr>
      <w:r w:rsidRPr="00811E87">
        <w:rPr>
          <w:rFonts w:ascii="Arial" w:hAnsi="Arial" w:cs="Arial"/>
        </w:rPr>
        <w:t xml:space="preserve">There are significant and transferable ownership benefits. Starlink has proprietary low-Earth-orbit constellation technology, integrated reusable launch capability, operational experience in twenty-seven African markets and global brand recognition. The economic and demand-side advantages are positive: a </w:t>
      </w:r>
      <w:r w:rsidR="00811E87" w:rsidRPr="00811E87">
        <w:rPr>
          <w:rFonts w:ascii="Arial" w:hAnsi="Arial" w:cs="Arial"/>
        </w:rPr>
        <w:t>large, underserved</w:t>
      </w:r>
      <w:r w:rsidRPr="00811E87">
        <w:rPr>
          <w:rFonts w:ascii="Arial" w:hAnsi="Arial" w:cs="Arial"/>
        </w:rPr>
        <w:t xml:space="preserve"> connectivity gap, high smartphone penetration, and growing strategic infrastructure, but high legal ownership requirement is a unique institutional constraint, which is not present in most markets where Starlink is already operating. Starlink's fully owned, direct-to-consumer approach would benefit the company because its proprietary technology and ability to capture profits would be preserved, but the benefits of </w:t>
      </w:r>
      <w:proofErr w:type="spellStart"/>
      <w:r w:rsidRPr="00811E87">
        <w:rPr>
          <w:rFonts w:ascii="Arial" w:hAnsi="Arial" w:cs="Arial"/>
        </w:rPr>
        <w:t>internalisation</w:t>
      </w:r>
      <w:proofErr w:type="spellEnd"/>
      <w:r w:rsidRPr="00811E87">
        <w:rPr>
          <w:rFonts w:ascii="Arial" w:hAnsi="Arial" w:cs="Arial"/>
        </w:rPr>
        <w:t xml:space="preserve"> are effectively limited as it could be in violation of South African law or SpaceX's global ownership policy if the company was fully owned.</w:t>
      </w:r>
    </w:p>
    <w:p w14:paraId="58456CEA" w14:textId="483C277B" w:rsidR="00772634" w:rsidRDefault="00772634" w:rsidP="00772634">
      <w:pPr>
        <w:jc w:val="center"/>
      </w:pPr>
      <w:r>
        <w:rPr>
          <w:noProof/>
        </w:rPr>
        <w:drawing>
          <wp:inline distT="0" distB="0" distL="0" distR="0" wp14:anchorId="46C370FA" wp14:editId="5B3A5483">
            <wp:extent cx="4648200" cy="3216495"/>
            <wp:effectExtent l="0" t="0" r="0" b="3175"/>
            <wp:docPr id="1900624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624944" name=""/>
                    <pic:cNvPicPr/>
                  </pic:nvPicPr>
                  <pic:blipFill>
                    <a:blip r:embed="rId12"/>
                    <a:stretch>
                      <a:fillRect/>
                    </a:stretch>
                  </pic:blipFill>
                  <pic:spPr>
                    <a:xfrm>
                      <a:off x="0" y="0"/>
                      <a:ext cx="4652632" cy="3219562"/>
                    </a:xfrm>
                    <a:prstGeom prst="rect">
                      <a:avLst/>
                    </a:prstGeom>
                  </pic:spPr>
                </pic:pic>
              </a:graphicData>
            </a:graphic>
          </wp:inline>
        </w:drawing>
      </w:r>
    </w:p>
    <w:p w14:paraId="24553823" w14:textId="7C6CFF08" w:rsidR="00772634" w:rsidRPr="00811E87" w:rsidRDefault="008E3631" w:rsidP="00772634">
      <w:pPr>
        <w:jc w:val="center"/>
        <w:rPr>
          <w:rFonts w:ascii="Arial" w:hAnsi="Arial" w:cs="Arial"/>
        </w:rPr>
      </w:pPr>
      <w:r w:rsidRPr="00811E87">
        <w:rPr>
          <w:rFonts w:ascii="Arial" w:hAnsi="Arial" w:cs="Arial"/>
        </w:rPr>
        <w:lastRenderedPageBreak/>
        <w:t xml:space="preserve">Figure 3: OLI Paradigm applied in Starlink in SA (Author’s Analysis) </w:t>
      </w:r>
    </w:p>
    <w:p w14:paraId="6B1DD1B9" w14:textId="1ADBFAC9" w:rsidR="001C0FEF" w:rsidRPr="00811E87" w:rsidRDefault="001C0FEF" w:rsidP="001C0FEF">
      <w:pPr>
        <w:rPr>
          <w:rFonts w:ascii="Arial" w:hAnsi="Arial" w:cs="Arial"/>
        </w:rPr>
      </w:pPr>
      <w:r w:rsidRPr="00811E87">
        <w:rPr>
          <w:rFonts w:ascii="Arial" w:hAnsi="Arial" w:cs="Arial"/>
        </w:rPr>
        <w:t xml:space="preserve">The OLI configuration thus enables a constrained </w:t>
      </w:r>
      <w:proofErr w:type="spellStart"/>
      <w:r w:rsidRPr="00811E87">
        <w:rPr>
          <w:rFonts w:ascii="Arial" w:hAnsi="Arial" w:cs="Arial"/>
        </w:rPr>
        <w:t>internalisation</w:t>
      </w:r>
      <w:proofErr w:type="spellEnd"/>
      <w:r w:rsidRPr="00811E87">
        <w:rPr>
          <w:rFonts w:ascii="Arial" w:hAnsi="Arial" w:cs="Arial"/>
        </w:rPr>
        <w:t>, a non-equity entry mode for South Africa, which stands in sharp contrast to the mainly wholly owned expansion pathway in which Starlink has been operating globally, and allows for the analytical basis for the entry-mode evaluation to be outlined in next Section.</w:t>
      </w:r>
    </w:p>
    <w:p w14:paraId="619BC842" w14:textId="028AA3D6" w:rsidR="002E7D9A" w:rsidRPr="00811E87" w:rsidRDefault="001C0FEF" w:rsidP="001C0FEF">
      <w:pPr>
        <w:rPr>
          <w:rFonts w:ascii="Arial" w:hAnsi="Arial" w:cs="Arial"/>
        </w:rPr>
      </w:pPr>
      <w:r w:rsidRPr="00811E87">
        <w:rPr>
          <w:rFonts w:ascii="Arial" w:hAnsi="Arial" w:cs="Arial"/>
        </w:rPr>
        <w:t xml:space="preserve">One of the weaknesses of the </w:t>
      </w:r>
      <w:r w:rsidR="00F24B49" w:rsidRPr="00811E87">
        <w:rPr>
          <w:rFonts w:ascii="Arial" w:hAnsi="Arial" w:cs="Arial"/>
        </w:rPr>
        <w:t>OLI paradigm</w:t>
      </w:r>
      <w:r w:rsidRPr="00811E87">
        <w:rPr>
          <w:rFonts w:ascii="Arial" w:hAnsi="Arial" w:cs="Arial"/>
        </w:rPr>
        <w:t xml:space="preserve"> is that it primarily addresses the impact of traditional economic location determinants, such as </w:t>
      </w:r>
      <w:proofErr w:type="spellStart"/>
      <w:r w:rsidRPr="00811E87">
        <w:rPr>
          <w:rFonts w:ascii="Arial" w:hAnsi="Arial" w:cs="Arial"/>
        </w:rPr>
        <w:t>labour</w:t>
      </w:r>
      <w:proofErr w:type="spellEnd"/>
      <w:r w:rsidRPr="00811E87">
        <w:rPr>
          <w:rFonts w:ascii="Arial" w:hAnsi="Arial" w:cs="Arial"/>
        </w:rPr>
        <w:t xml:space="preserve"> costs, market size and trade barriers, but not a politically conditioned, redistribution-seeking ownership criterion as would be the case in South Africa's post-colonial economic history. It is important not to ignore the fact that B-BBEE is a legitimate negative location factor in national economic policy and treating it as such could be a mistake. </w:t>
      </w:r>
    </w:p>
    <w:p w14:paraId="18C23319" w14:textId="77777777" w:rsidR="0080681E" w:rsidRPr="00811E87" w:rsidRDefault="0080681E" w:rsidP="0080681E">
      <w:pPr>
        <w:pStyle w:val="Heading1"/>
        <w:rPr>
          <w:rFonts w:ascii="Arial" w:hAnsi="Arial" w:cs="Arial"/>
        </w:rPr>
      </w:pPr>
      <w:bookmarkStart w:id="12" w:name="_Toc234883384"/>
      <w:r w:rsidRPr="00811E87">
        <w:rPr>
          <w:rFonts w:ascii="Arial" w:hAnsi="Arial" w:cs="Arial"/>
        </w:rPr>
        <w:t>Entry Mode Strategy and Strategic Synthesis</w:t>
      </w:r>
      <w:bookmarkEnd w:id="12"/>
    </w:p>
    <w:p w14:paraId="1D1EBEF7" w14:textId="4D76F8DA" w:rsidR="005D3EF6" w:rsidRPr="00811E87" w:rsidRDefault="005D3EF6" w:rsidP="005D3EF6">
      <w:pPr>
        <w:pStyle w:val="Heading2"/>
        <w:rPr>
          <w:rFonts w:ascii="Arial" w:hAnsi="Arial" w:cs="Arial"/>
        </w:rPr>
      </w:pPr>
      <w:bookmarkStart w:id="13" w:name="_Toc234883385"/>
      <w:r w:rsidRPr="00811E87">
        <w:rPr>
          <w:rFonts w:ascii="Arial" w:hAnsi="Arial" w:cs="Arial"/>
        </w:rPr>
        <w:t>Historical Pattern Recognition</w:t>
      </w:r>
      <w:bookmarkEnd w:id="13"/>
    </w:p>
    <w:p w14:paraId="3F90BA6F" w14:textId="77777777" w:rsidR="005D3EF6" w:rsidRPr="00811E87" w:rsidRDefault="005D3EF6" w:rsidP="005D3EF6">
      <w:pPr>
        <w:rPr>
          <w:rFonts w:ascii="Arial" w:hAnsi="Arial" w:cs="Arial"/>
        </w:rPr>
      </w:pPr>
      <w:r w:rsidRPr="00811E87">
        <w:rPr>
          <w:rFonts w:ascii="Arial" w:hAnsi="Arial" w:cs="Arial"/>
        </w:rPr>
        <w:t>The key mode of entry for Starlink's global operations is a stand-alone, fully owned direct-to-consumer entity that is implemented in over 150 countries with slight variations supported by SpaceX's vertically integrated infrastructure (</w:t>
      </w:r>
      <w:proofErr w:type="spellStart"/>
      <w:r w:rsidRPr="00811E87">
        <w:rPr>
          <w:rFonts w:ascii="Arial" w:hAnsi="Arial" w:cs="Arial"/>
        </w:rPr>
        <w:t>Mappr</w:t>
      </w:r>
      <w:proofErr w:type="spellEnd"/>
      <w:r w:rsidRPr="00811E87">
        <w:rPr>
          <w:rFonts w:ascii="Arial" w:hAnsi="Arial" w:cs="Arial"/>
        </w:rPr>
        <w:t>, 2026). But, in markets with regulation or incumbent dominance across Africa, a distinct second pattern comes into view – non-equity collaborative arrangements. These include, among others, the July 2023 deal with Africa Mobile Networks for over 1,500 remote Nigerian base stations, the December 2025 agreement to establish a continent-wide Direct-to-Cell service with Airtel Africa in fourteen markets (</w:t>
      </w:r>
      <w:proofErr w:type="spellStart"/>
      <w:r w:rsidRPr="00811E87">
        <w:rPr>
          <w:rFonts w:ascii="Arial" w:hAnsi="Arial" w:cs="Arial"/>
        </w:rPr>
        <w:t>Weetracker</w:t>
      </w:r>
      <w:proofErr w:type="spellEnd"/>
      <w:r w:rsidRPr="00811E87">
        <w:rPr>
          <w:rFonts w:ascii="Arial" w:hAnsi="Arial" w:cs="Arial"/>
        </w:rPr>
        <w:t>, 2025; Space in Africa, 2025), and most relevantly here, Vodacom's November 2025 deal to acquire backhaul services from Starlink and to resell Starlink terminals in markets where regulation allows, including South Africa (</w:t>
      </w:r>
      <w:proofErr w:type="spellStart"/>
      <w:r w:rsidRPr="00811E87">
        <w:rPr>
          <w:rFonts w:ascii="Arial" w:hAnsi="Arial" w:cs="Arial"/>
        </w:rPr>
        <w:t>Weetracker</w:t>
      </w:r>
      <w:proofErr w:type="spellEnd"/>
      <w:r w:rsidRPr="00811E87">
        <w:rPr>
          <w:rFonts w:ascii="Arial" w:hAnsi="Arial" w:cs="Arial"/>
        </w:rPr>
        <w:t xml:space="preserve">, 2025; Space in Africa, 2025). Notably, this has not been exclusive to Starlink: rival OneWeb has taken a partnership-first, wholesale approach in Africa since the beginning, partnering with Paratus Group specifically to enter Southern African markets (such as South Africa, Angola, Namibia, Botswana and Zambia) in November 2025 (Tech </w:t>
      </w:r>
      <w:proofErr w:type="gramStart"/>
      <w:r w:rsidRPr="00811E87">
        <w:rPr>
          <w:rFonts w:ascii="Arial" w:hAnsi="Arial" w:cs="Arial"/>
        </w:rPr>
        <w:t>In</w:t>
      </w:r>
      <w:proofErr w:type="gramEnd"/>
      <w:r w:rsidRPr="00811E87">
        <w:rPr>
          <w:rFonts w:ascii="Arial" w:hAnsi="Arial" w:cs="Arial"/>
        </w:rPr>
        <w:t xml:space="preserve"> Africa, 2026). That </w:t>
      </w:r>
      <w:proofErr w:type="gramStart"/>
      <w:r w:rsidRPr="00811E87">
        <w:rPr>
          <w:rFonts w:ascii="Arial" w:hAnsi="Arial" w:cs="Arial"/>
        </w:rPr>
        <w:t>both of the dominant</w:t>
      </w:r>
      <w:proofErr w:type="gramEnd"/>
      <w:r w:rsidRPr="00811E87">
        <w:rPr>
          <w:rFonts w:ascii="Arial" w:hAnsi="Arial" w:cs="Arial"/>
        </w:rPr>
        <w:t xml:space="preserve"> LEO operators are heading </w:t>
      </w:r>
      <w:r w:rsidRPr="00811E87">
        <w:rPr>
          <w:rFonts w:ascii="Arial" w:hAnsi="Arial" w:cs="Arial"/>
        </w:rPr>
        <w:lastRenderedPageBreak/>
        <w:t>towards a partnership model for Southern Africa entry suggests this is more of a competitive shape than one of these two operators being an exception.</w:t>
      </w:r>
    </w:p>
    <w:p w14:paraId="1B4601DE" w14:textId="2059295E" w:rsidR="00653B50" w:rsidRPr="00811E87" w:rsidRDefault="00653B50" w:rsidP="00653B50">
      <w:pPr>
        <w:jc w:val="center"/>
        <w:rPr>
          <w:rFonts w:ascii="Arial" w:hAnsi="Arial" w:cs="Arial"/>
        </w:rPr>
      </w:pPr>
      <w:r w:rsidRPr="00811E87">
        <w:rPr>
          <w:rFonts w:ascii="Arial" w:hAnsi="Arial" w:cs="Arial"/>
        </w:rPr>
        <w:t>Table 2: Starlink's Historically Observed Entry Modes in Africa</w:t>
      </w:r>
    </w:p>
    <w:tbl>
      <w:tblPr>
        <w:tblW w:w="10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00"/>
        <w:gridCol w:w="3200"/>
        <w:gridCol w:w="1600"/>
        <w:gridCol w:w="2200"/>
      </w:tblGrid>
      <w:tr w:rsidR="00653B50" w:rsidRPr="00653B50" w14:paraId="12B7F62B" w14:textId="77777777" w:rsidTr="008646E4">
        <w:trPr>
          <w:tblHeader/>
        </w:trPr>
        <w:tc>
          <w:tcPr>
            <w:tcW w:w="3200" w:type="dxa"/>
            <w:shd w:val="clear" w:color="auto" w:fill="1B2A4A"/>
            <w:tcMar>
              <w:top w:w="80" w:type="dxa"/>
              <w:left w:w="100" w:type="dxa"/>
              <w:bottom w:w="80" w:type="dxa"/>
              <w:right w:w="100" w:type="dxa"/>
            </w:tcMar>
            <w:vAlign w:val="center"/>
          </w:tcPr>
          <w:p w14:paraId="6544392C" w14:textId="77777777" w:rsidR="00653B50" w:rsidRPr="00653B50" w:rsidRDefault="00653B50" w:rsidP="00653B50">
            <w:pPr>
              <w:spacing w:after="0" w:line="240" w:lineRule="auto"/>
              <w:jc w:val="center"/>
              <w:rPr>
                <w:rFonts w:eastAsia="Calibri" w:cs="Times New Roman"/>
                <w:color w:val="1A1A1A"/>
                <w:sz w:val="22"/>
              </w:rPr>
            </w:pPr>
            <w:r w:rsidRPr="00653B50">
              <w:rPr>
                <w:rFonts w:eastAsia="Calibri" w:cs="Times New Roman"/>
                <w:b/>
                <w:bCs/>
                <w:color w:val="FFFFFF"/>
                <w:sz w:val="19"/>
                <w:szCs w:val="19"/>
              </w:rPr>
              <w:t>Entry Mode</w:t>
            </w:r>
          </w:p>
        </w:tc>
        <w:tc>
          <w:tcPr>
            <w:tcW w:w="3200" w:type="dxa"/>
            <w:shd w:val="clear" w:color="auto" w:fill="1B2A4A"/>
            <w:tcMar>
              <w:top w:w="80" w:type="dxa"/>
              <w:left w:w="100" w:type="dxa"/>
              <w:bottom w:w="80" w:type="dxa"/>
              <w:right w:w="100" w:type="dxa"/>
            </w:tcMar>
            <w:vAlign w:val="center"/>
          </w:tcPr>
          <w:p w14:paraId="055232D1" w14:textId="77777777" w:rsidR="00653B50" w:rsidRPr="00653B50" w:rsidRDefault="00653B50" w:rsidP="00653B50">
            <w:pPr>
              <w:spacing w:after="0" w:line="240" w:lineRule="auto"/>
              <w:jc w:val="center"/>
              <w:rPr>
                <w:rFonts w:eastAsia="Calibri" w:cs="Times New Roman"/>
                <w:color w:val="1A1A1A"/>
                <w:sz w:val="22"/>
              </w:rPr>
            </w:pPr>
            <w:r w:rsidRPr="00653B50">
              <w:rPr>
                <w:rFonts w:eastAsia="Calibri" w:cs="Times New Roman"/>
                <w:b/>
                <w:bCs/>
                <w:color w:val="FFFFFF"/>
                <w:sz w:val="19"/>
                <w:szCs w:val="19"/>
              </w:rPr>
              <w:t>Representative Market(s)</w:t>
            </w:r>
          </w:p>
        </w:tc>
        <w:tc>
          <w:tcPr>
            <w:tcW w:w="1600" w:type="dxa"/>
            <w:shd w:val="clear" w:color="auto" w:fill="1B2A4A"/>
            <w:tcMar>
              <w:top w:w="80" w:type="dxa"/>
              <w:left w:w="100" w:type="dxa"/>
              <w:bottom w:w="80" w:type="dxa"/>
              <w:right w:w="100" w:type="dxa"/>
            </w:tcMar>
            <w:vAlign w:val="center"/>
          </w:tcPr>
          <w:p w14:paraId="3D7429A2" w14:textId="77777777" w:rsidR="00653B50" w:rsidRPr="00653B50" w:rsidRDefault="00653B50" w:rsidP="00653B50">
            <w:pPr>
              <w:spacing w:after="0" w:line="240" w:lineRule="auto"/>
              <w:jc w:val="center"/>
              <w:rPr>
                <w:rFonts w:eastAsia="Calibri" w:cs="Times New Roman"/>
                <w:color w:val="1A1A1A"/>
                <w:sz w:val="22"/>
              </w:rPr>
            </w:pPr>
            <w:r w:rsidRPr="00653B50">
              <w:rPr>
                <w:rFonts w:eastAsia="Calibri" w:cs="Times New Roman"/>
                <w:b/>
                <w:bCs/>
                <w:color w:val="FFFFFF"/>
                <w:sz w:val="19"/>
                <w:szCs w:val="19"/>
              </w:rPr>
              <w:t>Period</w:t>
            </w:r>
          </w:p>
        </w:tc>
        <w:tc>
          <w:tcPr>
            <w:tcW w:w="2200" w:type="dxa"/>
            <w:shd w:val="clear" w:color="auto" w:fill="1B2A4A"/>
            <w:tcMar>
              <w:top w:w="80" w:type="dxa"/>
              <w:left w:w="100" w:type="dxa"/>
              <w:bottom w:w="80" w:type="dxa"/>
              <w:right w:w="100" w:type="dxa"/>
            </w:tcMar>
            <w:vAlign w:val="center"/>
          </w:tcPr>
          <w:p w14:paraId="2C6DFE0D" w14:textId="77777777" w:rsidR="00653B50" w:rsidRPr="00653B50" w:rsidRDefault="00653B50" w:rsidP="00653B50">
            <w:pPr>
              <w:spacing w:after="0" w:line="240" w:lineRule="auto"/>
              <w:jc w:val="center"/>
              <w:rPr>
                <w:rFonts w:eastAsia="Calibri" w:cs="Times New Roman"/>
                <w:color w:val="1A1A1A"/>
                <w:sz w:val="22"/>
              </w:rPr>
            </w:pPr>
            <w:r w:rsidRPr="00653B50">
              <w:rPr>
                <w:rFonts w:eastAsia="Calibri" w:cs="Times New Roman"/>
                <w:b/>
                <w:bCs/>
                <w:color w:val="FFFFFF"/>
                <w:sz w:val="19"/>
                <w:szCs w:val="19"/>
              </w:rPr>
              <w:t>Governance Type</w:t>
            </w:r>
          </w:p>
        </w:tc>
      </w:tr>
      <w:tr w:rsidR="00653B50" w:rsidRPr="00653B50" w14:paraId="5DE1D6C6" w14:textId="77777777" w:rsidTr="008646E4">
        <w:tc>
          <w:tcPr>
            <w:tcW w:w="3200" w:type="dxa"/>
            <w:shd w:val="clear" w:color="auto" w:fill="F5F6F8"/>
            <w:tcMar>
              <w:top w:w="80" w:type="dxa"/>
              <w:left w:w="100" w:type="dxa"/>
              <w:bottom w:w="80" w:type="dxa"/>
              <w:right w:w="100" w:type="dxa"/>
            </w:tcMar>
            <w:vAlign w:val="center"/>
          </w:tcPr>
          <w:p w14:paraId="366B8100" w14:textId="77777777" w:rsidR="00653B50" w:rsidRPr="00653B50" w:rsidRDefault="00653B50" w:rsidP="00653B50">
            <w:pPr>
              <w:spacing w:after="0" w:line="240" w:lineRule="auto"/>
              <w:jc w:val="left"/>
              <w:rPr>
                <w:rFonts w:eastAsia="Calibri" w:cs="Times New Roman"/>
                <w:color w:val="1A1A1A"/>
                <w:sz w:val="22"/>
              </w:rPr>
            </w:pPr>
            <w:proofErr w:type="gramStart"/>
            <w:r w:rsidRPr="00653B50">
              <w:rPr>
                <w:rFonts w:eastAsia="Calibri" w:cs="Times New Roman"/>
                <w:color w:val="000000"/>
                <w:sz w:val="19"/>
                <w:szCs w:val="19"/>
              </w:rPr>
              <w:t>Wholly-owned</w:t>
            </w:r>
            <w:proofErr w:type="gramEnd"/>
            <w:r w:rsidRPr="00653B50">
              <w:rPr>
                <w:rFonts w:eastAsia="Calibri" w:cs="Times New Roman"/>
                <w:color w:val="000000"/>
                <w:sz w:val="19"/>
                <w:szCs w:val="19"/>
              </w:rPr>
              <w:t xml:space="preserve"> direct-to-consumer</w:t>
            </w:r>
          </w:p>
        </w:tc>
        <w:tc>
          <w:tcPr>
            <w:tcW w:w="3200" w:type="dxa"/>
            <w:shd w:val="clear" w:color="auto" w:fill="F5F6F8"/>
            <w:tcMar>
              <w:top w:w="80" w:type="dxa"/>
              <w:left w:w="100" w:type="dxa"/>
              <w:bottom w:w="80" w:type="dxa"/>
              <w:right w:w="100" w:type="dxa"/>
            </w:tcMar>
            <w:vAlign w:val="center"/>
          </w:tcPr>
          <w:p w14:paraId="5540AB60" w14:textId="77777777"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150+ countries (global default)</w:t>
            </w:r>
          </w:p>
        </w:tc>
        <w:tc>
          <w:tcPr>
            <w:tcW w:w="1600" w:type="dxa"/>
            <w:shd w:val="clear" w:color="auto" w:fill="F5F6F8"/>
            <w:tcMar>
              <w:top w:w="80" w:type="dxa"/>
              <w:left w:w="100" w:type="dxa"/>
              <w:bottom w:w="80" w:type="dxa"/>
              <w:right w:w="100" w:type="dxa"/>
            </w:tcMar>
            <w:vAlign w:val="center"/>
          </w:tcPr>
          <w:p w14:paraId="2CFB5B91" w14:textId="77777777"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2021-present</w:t>
            </w:r>
          </w:p>
        </w:tc>
        <w:tc>
          <w:tcPr>
            <w:tcW w:w="2200" w:type="dxa"/>
            <w:shd w:val="clear" w:color="auto" w:fill="F5F6F8"/>
            <w:tcMar>
              <w:top w:w="80" w:type="dxa"/>
              <w:left w:w="100" w:type="dxa"/>
              <w:bottom w:w="80" w:type="dxa"/>
              <w:right w:w="100" w:type="dxa"/>
            </w:tcMar>
            <w:vAlign w:val="center"/>
          </w:tcPr>
          <w:p w14:paraId="41F48D69" w14:textId="77777777"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Full equity / standalone</w:t>
            </w:r>
          </w:p>
        </w:tc>
      </w:tr>
      <w:tr w:rsidR="00653B50" w:rsidRPr="00653B50" w14:paraId="303CD293" w14:textId="77777777" w:rsidTr="008646E4">
        <w:tc>
          <w:tcPr>
            <w:tcW w:w="3200" w:type="dxa"/>
            <w:shd w:val="clear" w:color="auto" w:fill="FFFFFF"/>
            <w:tcMar>
              <w:top w:w="80" w:type="dxa"/>
              <w:left w:w="100" w:type="dxa"/>
              <w:bottom w:w="80" w:type="dxa"/>
              <w:right w:w="100" w:type="dxa"/>
            </w:tcMar>
            <w:vAlign w:val="center"/>
          </w:tcPr>
          <w:p w14:paraId="3BF95DC5" w14:textId="77777777"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Wholesale backhaul partnership</w:t>
            </w:r>
          </w:p>
        </w:tc>
        <w:tc>
          <w:tcPr>
            <w:tcW w:w="3200" w:type="dxa"/>
            <w:shd w:val="clear" w:color="auto" w:fill="FFFFFF"/>
            <w:tcMar>
              <w:top w:w="80" w:type="dxa"/>
              <w:left w:w="100" w:type="dxa"/>
              <w:bottom w:w="80" w:type="dxa"/>
              <w:right w:w="100" w:type="dxa"/>
            </w:tcMar>
            <w:vAlign w:val="center"/>
          </w:tcPr>
          <w:p w14:paraId="688F215C" w14:textId="77777777"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Nigeria (Africa Mobile Networks)</w:t>
            </w:r>
          </w:p>
        </w:tc>
        <w:tc>
          <w:tcPr>
            <w:tcW w:w="1600" w:type="dxa"/>
            <w:shd w:val="clear" w:color="auto" w:fill="FFFFFF"/>
            <w:tcMar>
              <w:top w:w="80" w:type="dxa"/>
              <w:left w:w="100" w:type="dxa"/>
              <w:bottom w:w="80" w:type="dxa"/>
              <w:right w:w="100" w:type="dxa"/>
            </w:tcMar>
            <w:vAlign w:val="center"/>
          </w:tcPr>
          <w:p w14:paraId="55FFBB9C" w14:textId="77777777"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2023-present</w:t>
            </w:r>
          </w:p>
        </w:tc>
        <w:tc>
          <w:tcPr>
            <w:tcW w:w="2200" w:type="dxa"/>
            <w:shd w:val="clear" w:color="auto" w:fill="FFFFFF"/>
            <w:tcMar>
              <w:top w:w="80" w:type="dxa"/>
              <w:left w:w="100" w:type="dxa"/>
              <w:bottom w:w="80" w:type="dxa"/>
              <w:right w:w="100" w:type="dxa"/>
            </w:tcMar>
            <w:vAlign w:val="center"/>
          </w:tcPr>
          <w:p w14:paraId="4ECD2CCF" w14:textId="77777777"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Non-equity contractual</w:t>
            </w:r>
          </w:p>
        </w:tc>
      </w:tr>
      <w:tr w:rsidR="00653B50" w:rsidRPr="00653B50" w14:paraId="2C368CD6" w14:textId="77777777" w:rsidTr="008646E4">
        <w:tc>
          <w:tcPr>
            <w:tcW w:w="3200" w:type="dxa"/>
            <w:shd w:val="clear" w:color="auto" w:fill="F5F6F8"/>
            <w:tcMar>
              <w:top w:w="80" w:type="dxa"/>
              <w:left w:w="100" w:type="dxa"/>
              <w:bottom w:w="80" w:type="dxa"/>
              <w:right w:w="100" w:type="dxa"/>
            </w:tcMar>
            <w:vAlign w:val="center"/>
          </w:tcPr>
          <w:p w14:paraId="28670EEC" w14:textId="77777777"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Reseller / distribution partnership</w:t>
            </w:r>
          </w:p>
        </w:tc>
        <w:tc>
          <w:tcPr>
            <w:tcW w:w="3200" w:type="dxa"/>
            <w:shd w:val="clear" w:color="auto" w:fill="F5F6F8"/>
            <w:tcMar>
              <w:top w:w="80" w:type="dxa"/>
              <w:left w:w="100" w:type="dxa"/>
              <w:bottom w:w="80" w:type="dxa"/>
              <w:right w:w="100" w:type="dxa"/>
            </w:tcMar>
            <w:vAlign w:val="center"/>
          </w:tcPr>
          <w:p w14:paraId="14B42C15" w14:textId="77777777"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South Africa (Vodacom)</w:t>
            </w:r>
          </w:p>
        </w:tc>
        <w:tc>
          <w:tcPr>
            <w:tcW w:w="1600" w:type="dxa"/>
            <w:shd w:val="clear" w:color="auto" w:fill="F5F6F8"/>
            <w:tcMar>
              <w:top w:w="80" w:type="dxa"/>
              <w:left w:w="100" w:type="dxa"/>
              <w:bottom w:w="80" w:type="dxa"/>
              <w:right w:w="100" w:type="dxa"/>
            </w:tcMar>
            <w:vAlign w:val="center"/>
          </w:tcPr>
          <w:p w14:paraId="5F0BEBE2" w14:textId="77777777"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Nov 2025-present</w:t>
            </w:r>
          </w:p>
        </w:tc>
        <w:tc>
          <w:tcPr>
            <w:tcW w:w="2200" w:type="dxa"/>
            <w:shd w:val="clear" w:color="auto" w:fill="F5F6F8"/>
            <w:tcMar>
              <w:top w:w="80" w:type="dxa"/>
              <w:left w:w="100" w:type="dxa"/>
              <w:bottom w:w="80" w:type="dxa"/>
              <w:right w:w="100" w:type="dxa"/>
            </w:tcMar>
            <w:vAlign w:val="center"/>
          </w:tcPr>
          <w:p w14:paraId="6765172A" w14:textId="23C64555"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Non-equity contractual</w:t>
            </w:r>
            <w:r w:rsidR="0098261C">
              <w:rPr>
                <w:rFonts w:eastAsia="Calibri" w:cs="Times New Roman"/>
                <w:color w:val="000000"/>
                <w:sz w:val="19"/>
                <w:szCs w:val="19"/>
              </w:rPr>
              <w:t xml:space="preserve"> </w:t>
            </w:r>
            <w:r w:rsidR="0098261C" w:rsidRPr="0098261C">
              <w:rPr>
                <w:rFonts w:eastAsia="Calibri" w:cs="Times New Roman"/>
                <w:color w:val="000000"/>
                <w:sz w:val="19"/>
                <w:szCs w:val="19"/>
              </w:rPr>
              <w:t>(</w:t>
            </w:r>
            <w:proofErr w:type="spellStart"/>
            <w:r w:rsidR="0098261C" w:rsidRPr="0098261C">
              <w:rPr>
                <w:rFonts w:eastAsia="Calibri" w:cs="Times New Roman"/>
                <w:color w:val="000000"/>
                <w:sz w:val="19"/>
                <w:szCs w:val="19"/>
              </w:rPr>
              <w:t>Weetracker</w:t>
            </w:r>
            <w:proofErr w:type="spellEnd"/>
            <w:r w:rsidR="0098261C" w:rsidRPr="0098261C">
              <w:rPr>
                <w:rFonts w:eastAsia="Calibri" w:cs="Times New Roman"/>
                <w:color w:val="000000"/>
                <w:sz w:val="19"/>
                <w:szCs w:val="19"/>
              </w:rPr>
              <w:t>, 2025</w:t>
            </w:r>
          </w:p>
        </w:tc>
      </w:tr>
      <w:tr w:rsidR="00653B50" w:rsidRPr="00653B50" w14:paraId="4FC9563E" w14:textId="77777777" w:rsidTr="008646E4">
        <w:tc>
          <w:tcPr>
            <w:tcW w:w="3200" w:type="dxa"/>
            <w:shd w:val="clear" w:color="auto" w:fill="FFFFFF"/>
            <w:tcMar>
              <w:top w:w="80" w:type="dxa"/>
              <w:left w:w="100" w:type="dxa"/>
              <w:bottom w:w="80" w:type="dxa"/>
              <w:right w:w="100" w:type="dxa"/>
            </w:tcMar>
            <w:vAlign w:val="center"/>
          </w:tcPr>
          <w:p w14:paraId="43C5BAC5" w14:textId="77777777"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Direct-to-Cell carrier partnership</w:t>
            </w:r>
          </w:p>
        </w:tc>
        <w:tc>
          <w:tcPr>
            <w:tcW w:w="3200" w:type="dxa"/>
            <w:shd w:val="clear" w:color="auto" w:fill="FFFFFF"/>
            <w:tcMar>
              <w:top w:w="80" w:type="dxa"/>
              <w:left w:w="100" w:type="dxa"/>
              <w:bottom w:w="80" w:type="dxa"/>
              <w:right w:w="100" w:type="dxa"/>
            </w:tcMar>
            <w:vAlign w:val="center"/>
          </w:tcPr>
          <w:p w14:paraId="139AE6EB" w14:textId="77777777"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14 Airtel Africa markets</w:t>
            </w:r>
          </w:p>
        </w:tc>
        <w:tc>
          <w:tcPr>
            <w:tcW w:w="1600" w:type="dxa"/>
            <w:shd w:val="clear" w:color="auto" w:fill="FFFFFF"/>
            <w:tcMar>
              <w:top w:w="80" w:type="dxa"/>
              <w:left w:w="100" w:type="dxa"/>
              <w:bottom w:w="80" w:type="dxa"/>
              <w:right w:w="100" w:type="dxa"/>
            </w:tcMar>
            <w:vAlign w:val="center"/>
          </w:tcPr>
          <w:p w14:paraId="3899868F" w14:textId="77777777"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Dec 2025-present</w:t>
            </w:r>
          </w:p>
        </w:tc>
        <w:tc>
          <w:tcPr>
            <w:tcW w:w="2200" w:type="dxa"/>
            <w:shd w:val="clear" w:color="auto" w:fill="FFFFFF"/>
            <w:tcMar>
              <w:top w:w="80" w:type="dxa"/>
              <w:left w:w="100" w:type="dxa"/>
              <w:bottom w:w="80" w:type="dxa"/>
              <w:right w:w="100" w:type="dxa"/>
            </w:tcMar>
            <w:vAlign w:val="center"/>
          </w:tcPr>
          <w:p w14:paraId="74CBF6D6" w14:textId="027958F0"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Non-equity contractual</w:t>
            </w:r>
            <w:r w:rsidR="0098261C">
              <w:rPr>
                <w:rFonts w:eastAsia="Calibri" w:cs="Times New Roman"/>
                <w:color w:val="000000"/>
                <w:sz w:val="19"/>
                <w:szCs w:val="19"/>
              </w:rPr>
              <w:t xml:space="preserve"> (</w:t>
            </w:r>
            <w:r w:rsidR="0098261C" w:rsidRPr="0098261C">
              <w:rPr>
                <w:rFonts w:eastAsia="Calibri" w:cs="Times New Roman"/>
                <w:color w:val="000000"/>
                <w:sz w:val="19"/>
                <w:szCs w:val="19"/>
              </w:rPr>
              <w:t>Space in Africa, 2025)</w:t>
            </w:r>
          </w:p>
        </w:tc>
      </w:tr>
      <w:tr w:rsidR="00653B50" w:rsidRPr="00653B50" w14:paraId="0D137F12" w14:textId="77777777" w:rsidTr="008646E4">
        <w:tc>
          <w:tcPr>
            <w:tcW w:w="3200" w:type="dxa"/>
            <w:shd w:val="clear" w:color="auto" w:fill="F5F6F8"/>
            <w:tcMar>
              <w:top w:w="80" w:type="dxa"/>
              <w:left w:w="100" w:type="dxa"/>
              <w:bottom w:w="80" w:type="dxa"/>
              <w:right w:w="100" w:type="dxa"/>
            </w:tcMar>
            <w:vAlign w:val="center"/>
          </w:tcPr>
          <w:p w14:paraId="79FE74F1" w14:textId="77777777"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Government-</w:t>
            </w:r>
            <w:proofErr w:type="spellStart"/>
            <w:r w:rsidRPr="00653B50">
              <w:rPr>
                <w:rFonts w:eastAsia="Calibri" w:cs="Times New Roman"/>
                <w:color w:val="000000"/>
                <w:sz w:val="19"/>
                <w:szCs w:val="19"/>
              </w:rPr>
              <w:t>subsidised</w:t>
            </w:r>
            <w:proofErr w:type="spellEnd"/>
            <w:r w:rsidRPr="00653B50">
              <w:rPr>
                <w:rFonts w:eastAsia="Calibri" w:cs="Times New Roman"/>
                <w:color w:val="000000"/>
                <w:sz w:val="19"/>
                <w:szCs w:val="19"/>
              </w:rPr>
              <w:t xml:space="preserve"> deployment</w:t>
            </w:r>
          </w:p>
        </w:tc>
        <w:tc>
          <w:tcPr>
            <w:tcW w:w="3200" w:type="dxa"/>
            <w:shd w:val="clear" w:color="auto" w:fill="F5F6F8"/>
            <w:tcMar>
              <w:top w:w="80" w:type="dxa"/>
              <w:left w:w="100" w:type="dxa"/>
              <w:bottom w:w="80" w:type="dxa"/>
              <w:right w:w="100" w:type="dxa"/>
            </w:tcMar>
            <w:vAlign w:val="center"/>
          </w:tcPr>
          <w:p w14:paraId="31D93B63" w14:textId="77777777"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Zimbabwe, Central African Republic</w:t>
            </w:r>
          </w:p>
        </w:tc>
        <w:tc>
          <w:tcPr>
            <w:tcW w:w="1600" w:type="dxa"/>
            <w:shd w:val="clear" w:color="auto" w:fill="F5F6F8"/>
            <w:tcMar>
              <w:top w:w="80" w:type="dxa"/>
              <w:left w:w="100" w:type="dxa"/>
              <w:bottom w:w="80" w:type="dxa"/>
              <w:right w:w="100" w:type="dxa"/>
            </w:tcMar>
            <w:vAlign w:val="center"/>
          </w:tcPr>
          <w:p w14:paraId="75C805ED" w14:textId="77777777"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2023-2024</w:t>
            </w:r>
          </w:p>
        </w:tc>
        <w:tc>
          <w:tcPr>
            <w:tcW w:w="2200" w:type="dxa"/>
            <w:shd w:val="clear" w:color="auto" w:fill="F5F6F8"/>
            <w:tcMar>
              <w:top w:w="80" w:type="dxa"/>
              <w:left w:w="100" w:type="dxa"/>
              <w:bottom w:w="80" w:type="dxa"/>
              <w:right w:w="100" w:type="dxa"/>
            </w:tcMar>
            <w:vAlign w:val="center"/>
          </w:tcPr>
          <w:p w14:paraId="15984172" w14:textId="77777777"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Public-private, non-equity</w:t>
            </w:r>
          </w:p>
        </w:tc>
      </w:tr>
    </w:tbl>
    <w:p w14:paraId="78C5C3B4" w14:textId="77777777" w:rsidR="00653B50" w:rsidRDefault="00653B50" w:rsidP="005D3EF6"/>
    <w:p w14:paraId="5D86EE88" w14:textId="4C6A74B3" w:rsidR="005D3EF6" w:rsidRPr="00811E87" w:rsidRDefault="005D3EF6" w:rsidP="005D3EF6">
      <w:pPr>
        <w:pStyle w:val="Heading2"/>
        <w:rPr>
          <w:sz w:val="28"/>
          <w:szCs w:val="28"/>
        </w:rPr>
      </w:pPr>
      <w:bookmarkStart w:id="14" w:name="_Toc234883386"/>
      <w:r w:rsidRPr="00811E87">
        <w:rPr>
          <w:sz w:val="28"/>
          <w:szCs w:val="28"/>
        </w:rPr>
        <w:t>Strategic Fit and Justification</w:t>
      </w:r>
      <w:bookmarkEnd w:id="14"/>
    </w:p>
    <w:p w14:paraId="057FF952" w14:textId="2E792B30" w:rsidR="005D3EF6" w:rsidRDefault="005D3EF6" w:rsidP="005D3EF6">
      <w:pPr>
        <w:rPr>
          <w:rFonts w:ascii="Arial" w:hAnsi="Arial" w:cs="Arial"/>
        </w:rPr>
      </w:pPr>
      <w:r w:rsidRPr="00811E87">
        <w:rPr>
          <w:rFonts w:ascii="Arial" w:hAnsi="Arial" w:cs="Arial"/>
        </w:rPr>
        <w:t xml:space="preserve">In South Africa, there are four realistic modes of entry, with varying risk and control attributes. The historically dominant Full Standalone entry mode has the most control and brand </w:t>
      </w:r>
      <w:proofErr w:type="gramStart"/>
      <w:r w:rsidRPr="00811E87">
        <w:rPr>
          <w:rFonts w:ascii="Arial" w:hAnsi="Arial" w:cs="Arial"/>
        </w:rPr>
        <w:t>consistency, but</w:t>
      </w:r>
      <w:proofErr w:type="gramEnd"/>
      <w:r w:rsidRPr="00811E87">
        <w:rPr>
          <w:rFonts w:ascii="Arial" w:hAnsi="Arial" w:cs="Arial"/>
        </w:rPr>
        <w:t xml:space="preserve"> is currently illegal and can't be used in the </w:t>
      </w:r>
      <w:r w:rsidR="00811E87" w:rsidRPr="00811E87">
        <w:rPr>
          <w:rFonts w:ascii="Arial" w:hAnsi="Arial" w:cs="Arial"/>
        </w:rPr>
        <w:t>short term</w:t>
      </w:r>
      <w:r w:rsidRPr="00811E87">
        <w:rPr>
          <w:rFonts w:ascii="Arial" w:hAnsi="Arial" w:cs="Arial"/>
        </w:rPr>
        <w:t xml:space="preserve">. The commercial transfer route clarified by ICASA in June 2026 is a quicker legal </w:t>
      </w:r>
      <w:r w:rsidR="00811E87" w:rsidRPr="00811E87">
        <w:rPr>
          <w:rFonts w:ascii="Arial" w:hAnsi="Arial" w:cs="Arial"/>
        </w:rPr>
        <w:t>process but</w:t>
      </w:r>
      <w:r w:rsidRPr="00811E87">
        <w:rPr>
          <w:rFonts w:ascii="Arial" w:hAnsi="Arial" w:cs="Arial"/>
        </w:rPr>
        <w:t xml:space="preserve"> is said to cost more than R1 million per </w:t>
      </w:r>
      <w:proofErr w:type="spellStart"/>
      <w:r w:rsidRPr="00811E87">
        <w:rPr>
          <w:rFonts w:ascii="Arial" w:hAnsi="Arial" w:cs="Arial"/>
        </w:rPr>
        <w:t>licence</w:t>
      </w:r>
      <w:proofErr w:type="spellEnd"/>
      <w:r w:rsidRPr="00811E87">
        <w:rPr>
          <w:rFonts w:ascii="Arial" w:hAnsi="Arial" w:cs="Arial"/>
        </w:rPr>
        <w:t xml:space="preserve">, is not guaranteed to have </w:t>
      </w:r>
      <w:proofErr w:type="spellStart"/>
      <w:r w:rsidRPr="00811E87">
        <w:rPr>
          <w:rFonts w:ascii="Arial" w:hAnsi="Arial" w:cs="Arial"/>
        </w:rPr>
        <w:t>favourable</w:t>
      </w:r>
      <w:proofErr w:type="spellEnd"/>
      <w:r w:rsidRPr="00811E87">
        <w:rPr>
          <w:rFonts w:ascii="Arial" w:hAnsi="Arial" w:cs="Arial"/>
        </w:rPr>
        <w:t xml:space="preserve"> terms and requires willing sellers. Partnerships with Vodacom are already informally agreed, and would be the quickest legal route to market, with the lowest capital commitment, but would mean that the partner would have significant control over the pricing, branding and customer data. Lastly, the EEIP-based standalone </w:t>
      </w:r>
      <w:proofErr w:type="spellStart"/>
      <w:r w:rsidRPr="00811E87">
        <w:rPr>
          <w:rFonts w:ascii="Arial" w:hAnsi="Arial" w:cs="Arial"/>
        </w:rPr>
        <w:t>licence</w:t>
      </w:r>
      <w:proofErr w:type="spellEnd"/>
      <w:r w:rsidRPr="00811E87">
        <w:rPr>
          <w:rFonts w:ascii="Arial" w:hAnsi="Arial" w:cs="Arial"/>
        </w:rPr>
        <w:t xml:space="preserve"> (whereby Starlink's already-committed R2.5-billion investment in local development gives it full equity control, as in its global model) will still only be possible after a long time, assuming Parliament will approve a change to the ECA.</w:t>
      </w:r>
    </w:p>
    <w:p w14:paraId="29CEC669" w14:textId="77777777" w:rsidR="00811E87" w:rsidRDefault="00811E87" w:rsidP="005D3EF6">
      <w:pPr>
        <w:rPr>
          <w:rFonts w:ascii="Arial" w:hAnsi="Arial" w:cs="Arial"/>
        </w:rPr>
      </w:pPr>
    </w:p>
    <w:p w14:paraId="656E6C6B" w14:textId="77777777" w:rsidR="00811E87" w:rsidRDefault="00811E87" w:rsidP="005D3EF6">
      <w:pPr>
        <w:rPr>
          <w:rFonts w:ascii="Arial" w:hAnsi="Arial" w:cs="Arial"/>
        </w:rPr>
      </w:pPr>
    </w:p>
    <w:p w14:paraId="7FDF8CE6" w14:textId="77777777" w:rsidR="00811E87" w:rsidRDefault="00811E87" w:rsidP="005D3EF6">
      <w:pPr>
        <w:rPr>
          <w:rFonts w:ascii="Arial" w:hAnsi="Arial" w:cs="Arial"/>
        </w:rPr>
      </w:pPr>
    </w:p>
    <w:p w14:paraId="6E2671DF" w14:textId="77777777" w:rsidR="00811E87" w:rsidRPr="00811E87" w:rsidRDefault="00811E87" w:rsidP="005D3EF6">
      <w:pPr>
        <w:rPr>
          <w:rFonts w:ascii="Arial" w:hAnsi="Arial" w:cs="Arial"/>
        </w:rPr>
      </w:pPr>
    </w:p>
    <w:p w14:paraId="299A79B1" w14:textId="7E1953CF" w:rsidR="00653B50" w:rsidRPr="00811E87" w:rsidRDefault="00653B50" w:rsidP="00653B50">
      <w:pPr>
        <w:jc w:val="center"/>
        <w:rPr>
          <w:rFonts w:ascii="Arial" w:hAnsi="Arial" w:cs="Arial"/>
        </w:rPr>
      </w:pPr>
      <w:r w:rsidRPr="00811E87">
        <w:rPr>
          <w:rFonts w:ascii="Arial" w:hAnsi="Arial" w:cs="Arial"/>
        </w:rPr>
        <w:lastRenderedPageBreak/>
        <w:t>Table 3: Comparative Risk Assessment of Entry-Mode Options</w:t>
      </w:r>
    </w:p>
    <w:tbl>
      <w:tblPr>
        <w:tblW w:w="10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1850"/>
        <w:gridCol w:w="1850"/>
        <w:gridCol w:w="1950"/>
        <w:gridCol w:w="1950"/>
      </w:tblGrid>
      <w:tr w:rsidR="00653B50" w:rsidRPr="00653B50" w14:paraId="5167CB39" w14:textId="77777777" w:rsidTr="008646E4">
        <w:trPr>
          <w:tblHeader/>
        </w:trPr>
        <w:tc>
          <w:tcPr>
            <w:tcW w:w="2600" w:type="dxa"/>
            <w:shd w:val="clear" w:color="auto" w:fill="1B2A4A"/>
            <w:tcMar>
              <w:top w:w="80" w:type="dxa"/>
              <w:left w:w="100" w:type="dxa"/>
              <w:bottom w:w="80" w:type="dxa"/>
              <w:right w:w="100" w:type="dxa"/>
            </w:tcMar>
            <w:vAlign w:val="center"/>
          </w:tcPr>
          <w:p w14:paraId="69A400C1" w14:textId="77777777" w:rsidR="00653B50" w:rsidRPr="00653B50" w:rsidRDefault="00653B50" w:rsidP="00653B50">
            <w:pPr>
              <w:spacing w:after="0" w:line="240" w:lineRule="auto"/>
              <w:jc w:val="center"/>
              <w:rPr>
                <w:rFonts w:eastAsia="Calibri" w:cs="Times New Roman"/>
                <w:color w:val="1A1A1A"/>
                <w:sz w:val="22"/>
              </w:rPr>
            </w:pPr>
            <w:r w:rsidRPr="00653B50">
              <w:rPr>
                <w:rFonts w:eastAsia="Calibri" w:cs="Times New Roman"/>
                <w:b/>
                <w:bCs/>
                <w:color w:val="FFFFFF"/>
                <w:sz w:val="19"/>
                <w:szCs w:val="19"/>
              </w:rPr>
              <w:t>Criterion</w:t>
            </w:r>
          </w:p>
        </w:tc>
        <w:tc>
          <w:tcPr>
            <w:tcW w:w="1850" w:type="dxa"/>
            <w:shd w:val="clear" w:color="auto" w:fill="1B2A4A"/>
            <w:tcMar>
              <w:top w:w="80" w:type="dxa"/>
              <w:left w:w="100" w:type="dxa"/>
              <w:bottom w:w="80" w:type="dxa"/>
              <w:right w:w="100" w:type="dxa"/>
            </w:tcMar>
            <w:vAlign w:val="center"/>
          </w:tcPr>
          <w:p w14:paraId="53BDEE30" w14:textId="77777777" w:rsidR="00653B50" w:rsidRPr="00653B50" w:rsidRDefault="00653B50" w:rsidP="00653B50">
            <w:pPr>
              <w:spacing w:after="0" w:line="240" w:lineRule="auto"/>
              <w:jc w:val="center"/>
              <w:rPr>
                <w:rFonts w:eastAsia="Calibri" w:cs="Times New Roman"/>
                <w:color w:val="1A1A1A"/>
                <w:sz w:val="22"/>
              </w:rPr>
            </w:pPr>
            <w:r w:rsidRPr="00653B50">
              <w:rPr>
                <w:rFonts w:eastAsia="Calibri" w:cs="Times New Roman"/>
                <w:b/>
                <w:bCs/>
                <w:color w:val="FFFFFF"/>
                <w:sz w:val="19"/>
                <w:szCs w:val="19"/>
              </w:rPr>
              <w:t>Standalone (blocked)</w:t>
            </w:r>
          </w:p>
        </w:tc>
        <w:tc>
          <w:tcPr>
            <w:tcW w:w="1850" w:type="dxa"/>
            <w:shd w:val="clear" w:color="auto" w:fill="1B2A4A"/>
            <w:tcMar>
              <w:top w:w="80" w:type="dxa"/>
              <w:left w:w="100" w:type="dxa"/>
              <w:bottom w:w="80" w:type="dxa"/>
              <w:right w:w="100" w:type="dxa"/>
            </w:tcMar>
            <w:vAlign w:val="center"/>
          </w:tcPr>
          <w:p w14:paraId="38679954" w14:textId="77777777" w:rsidR="00653B50" w:rsidRPr="00653B50" w:rsidRDefault="00653B50" w:rsidP="00653B50">
            <w:pPr>
              <w:spacing w:after="0" w:line="240" w:lineRule="auto"/>
              <w:jc w:val="center"/>
              <w:rPr>
                <w:rFonts w:eastAsia="Calibri" w:cs="Times New Roman"/>
                <w:color w:val="1A1A1A"/>
                <w:sz w:val="22"/>
              </w:rPr>
            </w:pPr>
            <w:proofErr w:type="spellStart"/>
            <w:r w:rsidRPr="00653B50">
              <w:rPr>
                <w:rFonts w:eastAsia="Calibri" w:cs="Times New Roman"/>
                <w:b/>
                <w:bCs/>
                <w:color w:val="FFFFFF"/>
                <w:sz w:val="19"/>
                <w:szCs w:val="19"/>
              </w:rPr>
              <w:t>Licence</w:t>
            </w:r>
            <w:proofErr w:type="spellEnd"/>
            <w:r w:rsidRPr="00653B50">
              <w:rPr>
                <w:rFonts w:eastAsia="Calibri" w:cs="Times New Roman"/>
                <w:b/>
                <w:bCs/>
                <w:color w:val="FFFFFF"/>
                <w:sz w:val="19"/>
                <w:szCs w:val="19"/>
              </w:rPr>
              <w:t xml:space="preserve"> transfer</w:t>
            </w:r>
          </w:p>
        </w:tc>
        <w:tc>
          <w:tcPr>
            <w:tcW w:w="1950" w:type="dxa"/>
            <w:shd w:val="clear" w:color="auto" w:fill="1B2A4A"/>
            <w:tcMar>
              <w:top w:w="80" w:type="dxa"/>
              <w:left w:w="100" w:type="dxa"/>
              <w:bottom w:w="80" w:type="dxa"/>
              <w:right w:w="100" w:type="dxa"/>
            </w:tcMar>
            <w:vAlign w:val="center"/>
          </w:tcPr>
          <w:p w14:paraId="797208F3" w14:textId="77777777" w:rsidR="00653B50" w:rsidRPr="00653B50" w:rsidRDefault="00653B50" w:rsidP="00653B50">
            <w:pPr>
              <w:spacing w:after="0" w:line="240" w:lineRule="auto"/>
              <w:jc w:val="center"/>
              <w:rPr>
                <w:rFonts w:eastAsia="Calibri" w:cs="Times New Roman"/>
                <w:color w:val="1A1A1A"/>
                <w:sz w:val="22"/>
              </w:rPr>
            </w:pPr>
            <w:r w:rsidRPr="00653B50">
              <w:rPr>
                <w:rFonts w:eastAsia="Calibri" w:cs="Times New Roman"/>
                <w:b/>
                <w:bCs/>
                <w:color w:val="FFFFFF"/>
                <w:sz w:val="19"/>
                <w:szCs w:val="19"/>
              </w:rPr>
              <w:t>Vodacom partnership</w:t>
            </w:r>
          </w:p>
        </w:tc>
        <w:tc>
          <w:tcPr>
            <w:tcW w:w="1950" w:type="dxa"/>
            <w:shd w:val="clear" w:color="auto" w:fill="1B2A4A"/>
            <w:tcMar>
              <w:top w:w="80" w:type="dxa"/>
              <w:left w:w="100" w:type="dxa"/>
              <w:bottom w:w="80" w:type="dxa"/>
              <w:right w:w="100" w:type="dxa"/>
            </w:tcMar>
            <w:vAlign w:val="center"/>
          </w:tcPr>
          <w:p w14:paraId="26CE3F86" w14:textId="77777777" w:rsidR="00653B50" w:rsidRPr="00653B50" w:rsidRDefault="00653B50" w:rsidP="00653B50">
            <w:pPr>
              <w:spacing w:after="0" w:line="240" w:lineRule="auto"/>
              <w:jc w:val="center"/>
              <w:rPr>
                <w:rFonts w:eastAsia="Calibri" w:cs="Times New Roman"/>
                <w:color w:val="1A1A1A"/>
                <w:sz w:val="22"/>
              </w:rPr>
            </w:pPr>
            <w:r w:rsidRPr="00653B50">
              <w:rPr>
                <w:rFonts w:eastAsia="Calibri" w:cs="Times New Roman"/>
                <w:b/>
                <w:bCs/>
                <w:color w:val="FFFFFF"/>
                <w:sz w:val="19"/>
                <w:szCs w:val="19"/>
              </w:rPr>
              <w:t>EEIP standalone</w:t>
            </w:r>
          </w:p>
        </w:tc>
      </w:tr>
      <w:tr w:rsidR="00653B50" w:rsidRPr="00653B50" w14:paraId="6C7C8142" w14:textId="77777777" w:rsidTr="008646E4">
        <w:tc>
          <w:tcPr>
            <w:tcW w:w="2600" w:type="dxa"/>
            <w:shd w:val="clear" w:color="auto" w:fill="F5F6F8"/>
            <w:tcMar>
              <w:top w:w="80" w:type="dxa"/>
              <w:left w:w="100" w:type="dxa"/>
              <w:bottom w:w="80" w:type="dxa"/>
              <w:right w:w="100" w:type="dxa"/>
            </w:tcMar>
            <w:vAlign w:val="center"/>
          </w:tcPr>
          <w:p w14:paraId="15EC37DB" w14:textId="77777777"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Political risk</w:t>
            </w:r>
          </w:p>
        </w:tc>
        <w:tc>
          <w:tcPr>
            <w:tcW w:w="1850" w:type="dxa"/>
            <w:shd w:val="clear" w:color="auto" w:fill="F5F6F8"/>
            <w:tcMar>
              <w:top w:w="80" w:type="dxa"/>
              <w:left w:w="100" w:type="dxa"/>
              <w:bottom w:w="80" w:type="dxa"/>
              <w:right w:w="100" w:type="dxa"/>
            </w:tcMar>
            <w:vAlign w:val="center"/>
          </w:tcPr>
          <w:p w14:paraId="2227807C" w14:textId="77777777"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High (illegal)</w:t>
            </w:r>
          </w:p>
        </w:tc>
        <w:tc>
          <w:tcPr>
            <w:tcW w:w="1850" w:type="dxa"/>
            <w:shd w:val="clear" w:color="auto" w:fill="F5F6F8"/>
            <w:tcMar>
              <w:top w:w="80" w:type="dxa"/>
              <w:left w:w="100" w:type="dxa"/>
              <w:bottom w:w="80" w:type="dxa"/>
              <w:right w:w="100" w:type="dxa"/>
            </w:tcMar>
            <w:vAlign w:val="center"/>
          </w:tcPr>
          <w:p w14:paraId="6078EA2A" w14:textId="77777777"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Medium</w:t>
            </w:r>
          </w:p>
        </w:tc>
        <w:tc>
          <w:tcPr>
            <w:tcW w:w="1950" w:type="dxa"/>
            <w:shd w:val="clear" w:color="auto" w:fill="F5F6F8"/>
            <w:tcMar>
              <w:top w:w="80" w:type="dxa"/>
              <w:left w:w="100" w:type="dxa"/>
              <w:bottom w:w="80" w:type="dxa"/>
              <w:right w:w="100" w:type="dxa"/>
            </w:tcMar>
            <w:vAlign w:val="center"/>
          </w:tcPr>
          <w:p w14:paraId="19BC3449" w14:textId="77777777"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Low</w:t>
            </w:r>
          </w:p>
        </w:tc>
        <w:tc>
          <w:tcPr>
            <w:tcW w:w="1950" w:type="dxa"/>
            <w:shd w:val="clear" w:color="auto" w:fill="F5F6F8"/>
            <w:tcMar>
              <w:top w:w="80" w:type="dxa"/>
              <w:left w:w="100" w:type="dxa"/>
              <w:bottom w:w="80" w:type="dxa"/>
              <w:right w:w="100" w:type="dxa"/>
            </w:tcMar>
            <w:vAlign w:val="center"/>
          </w:tcPr>
          <w:p w14:paraId="642EA4FE" w14:textId="77777777"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High (reform-dependent)</w:t>
            </w:r>
          </w:p>
        </w:tc>
      </w:tr>
      <w:tr w:rsidR="00653B50" w:rsidRPr="00653B50" w14:paraId="4037BFC5" w14:textId="77777777" w:rsidTr="008646E4">
        <w:tc>
          <w:tcPr>
            <w:tcW w:w="2600" w:type="dxa"/>
            <w:shd w:val="clear" w:color="auto" w:fill="FFFFFF"/>
            <w:tcMar>
              <w:top w:w="80" w:type="dxa"/>
              <w:left w:w="100" w:type="dxa"/>
              <w:bottom w:w="80" w:type="dxa"/>
              <w:right w:w="100" w:type="dxa"/>
            </w:tcMar>
            <w:vAlign w:val="center"/>
          </w:tcPr>
          <w:p w14:paraId="7F77AAC6" w14:textId="77777777"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Financial commitment</w:t>
            </w:r>
          </w:p>
        </w:tc>
        <w:tc>
          <w:tcPr>
            <w:tcW w:w="1850" w:type="dxa"/>
            <w:shd w:val="clear" w:color="auto" w:fill="FFFFFF"/>
            <w:tcMar>
              <w:top w:w="80" w:type="dxa"/>
              <w:left w:w="100" w:type="dxa"/>
              <w:bottom w:w="80" w:type="dxa"/>
              <w:right w:w="100" w:type="dxa"/>
            </w:tcMar>
            <w:vAlign w:val="center"/>
          </w:tcPr>
          <w:p w14:paraId="2CDF5A0D" w14:textId="77777777"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High</w:t>
            </w:r>
          </w:p>
        </w:tc>
        <w:tc>
          <w:tcPr>
            <w:tcW w:w="1850" w:type="dxa"/>
            <w:shd w:val="clear" w:color="auto" w:fill="FFFFFF"/>
            <w:tcMar>
              <w:top w:w="80" w:type="dxa"/>
              <w:left w:w="100" w:type="dxa"/>
              <w:bottom w:w="80" w:type="dxa"/>
              <w:right w:w="100" w:type="dxa"/>
            </w:tcMar>
            <w:vAlign w:val="center"/>
          </w:tcPr>
          <w:p w14:paraId="0F8E82C3" w14:textId="77777777"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High (&gt;R1m+)</w:t>
            </w:r>
          </w:p>
        </w:tc>
        <w:tc>
          <w:tcPr>
            <w:tcW w:w="1950" w:type="dxa"/>
            <w:shd w:val="clear" w:color="auto" w:fill="FFFFFF"/>
            <w:tcMar>
              <w:top w:w="80" w:type="dxa"/>
              <w:left w:w="100" w:type="dxa"/>
              <w:bottom w:w="80" w:type="dxa"/>
              <w:right w:w="100" w:type="dxa"/>
            </w:tcMar>
            <w:vAlign w:val="center"/>
          </w:tcPr>
          <w:p w14:paraId="693B24BD" w14:textId="77777777"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Low</w:t>
            </w:r>
          </w:p>
        </w:tc>
        <w:tc>
          <w:tcPr>
            <w:tcW w:w="1950" w:type="dxa"/>
            <w:shd w:val="clear" w:color="auto" w:fill="FFFFFF"/>
            <w:tcMar>
              <w:top w:w="80" w:type="dxa"/>
              <w:left w:w="100" w:type="dxa"/>
              <w:bottom w:w="80" w:type="dxa"/>
              <w:right w:w="100" w:type="dxa"/>
            </w:tcMar>
            <w:vAlign w:val="center"/>
          </w:tcPr>
          <w:p w14:paraId="1CFD65D1" w14:textId="77777777"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Very high (R2.5bn)</w:t>
            </w:r>
          </w:p>
        </w:tc>
      </w:tr>
      <w:tr w:rsidR="00653B50" w:rsidRPr="00653B50" w14:paraId="261C5B9D" w14:textId="77777777" w:rsidTr="008646E4">
        <w:tc>
          <w:tcPr>
            <w:tcW w:w="2600" w:type="dxa"/>
            <w:shd w:val="clear" w:color="auto" w:fill="F5F6F8"/>
            <w:tcMar>
              <w:top w:w="80" w:type="dxa"/>
              <w:left w:w="100" w:type="dxa"/>
              <w:bottom w:w="80" w:type="dxa"/>
              <w:right w:w="100" w:type="dxa"/>
            </w:tcMar>
            <w:vAlign w:val="center"/>
          </w:tcPr>
          <w:p w14:paraId="35C4AEED" w14:textId="77777777"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Operational risk</w:t>
            </w:r>
          </w:p>
        </w:tc>
        <w:tc>
          <w:tcPr>
            <w:tcW w:w="1850" w:type="dxa"/>
            <w:shd w:val="clear" w:color="auto" w:fill="F5F6F8"/>
            <w:tcMar>
              <w:top w:w="80" w:type="dxa"/>
              <w:left w:w="100" w:type="dxa"/>
              <w:bottom w:w="80" w:type="dxa"/>
              <w:right w:w="100" w:type="dxa"/>
            </w:tcMar>
            <w:vAlign w:val="center"/>
          </w:tcPr>
          <w:p w14:paraId="55778314" w14:textId="77777777"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N/A</w:t>
            </w:r>
          </w:p>
        </w:tc>
        <w:tc>
          <w:tcPr>
            <w:tcW w:w="1850" w:type="dxa"/>
            <w:shd w:val="clear" w:color="auto" w:fill="F5F6F8"/>
            <w:tcMar>
              <w:top w:w="80" w:type="dxa"/>
              <w:left w:w="100" w:type="dxa"/>
              <w:bottom w:w="80" w:type="dxa"/>
              <w:right w:w="100" w:type="dxa"/>
            </w:tcMar>
            <w:vAlign w:val="center"/>
          </w:tcPr>
          <w:p w14:paraId="64EC6CF5" w14:textId="77777777"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Medium</w:t>
            </w:r>
          </w:p>
        </w:tc>
        <w:tc>
          <w:tcPr>
            <w:tcW w:w="1950" w:type="dxa"/>
            <w:shd w:val="clear" w:color="auto" w:fill="F5F6F8"/>
            <w:tcMar>
              <w:top w:w="80" w:type="dxa"/>
              <w:left w:w="100" w:type="dxa"/>
              <w:bottom w:w="80" w:type="dxa"/>
              <w:right w:w="100" w:type="dxa"/>
            </w:tcMar>
            <w:vAlign w:val="center"/>
          </w:tcPr>
          <w:p w14:paraId="5D1CD2E9" w14:textId="77777777"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Medium (capacity-sharing)</w:t>
            </w:r>
          </w:p>
        </w:tc>
        <w:tc>
          <w:tcPr>
            <w:tcW w:w="1950" w:type="dxa"/>
            <w:shd w:val="clear" w:color="auto" w:fill="F5F6F8"/>
            <w:tcMar>
              <w:top w:w="80" w:type="dxa"/>
              <w:left w:w="100" w:type="dxa"/>
              <w:bottom w:w="80" w:type="dxa"/>
              <w:right w:w="100" w:type="dxa"/>
            </w:tcMar>
            <w:vAlign w:val="center"/>
          </w:tcPr>
          <w:p w14:paraId="35D421AB" w14:textId="77777777"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Low (phased)</w:t>
            </w:r>
          </w:p>
        </w:tc>
      </w:tr>
      <w:tr w:rsidR="00653B50" w:rsidRPr="00653B50" w14:paraId="5E7A8DE4" w14:textId="77777777" w:rsidTr="008646E4">
        <w:tc>
          <w:tcPr>
            <w:tcW w:w="2600" w:type="dxa"/>
            <w:shd w:val="clear" w:color="auto" w:fill="FFFFFF"/>
            <w:tcMar>
              <w:top w:w="80" w:type="dxa"/>
              <w:left w:w="100" w:type="dxa"/>
              <w:bottom w:w="80" w:type="dxa"/>
              <w:right w:w="100" w:type="dxa"/>
            </w:tcMar>
            <w:vAlign w:val="center"/>
          </w:tcPr>
          <w:p w14:paraId="28F35C3F" w14:textId="77777777"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Control / brand consistency</w:t>
            </w:r>
          </w:p>
        </w:tc>
        <w:tc>
          <w:tcPr>
            <w:tcW w:w="1850" w:type="dxa"/>
            <w:shd w:val="clear" w:color="auto" w:fill="FFFFFF"/>
            <w:tcMar>
              <w:top w:w="80" w:type="dxa"/>
              <w:left w:w="100" w:type="dxa"/>
              <w:bottom w:w="80" w:type="dxa"/>
              <w:right w:w="100" w:type="dxa"/>
            </w:tcMar>
            <w:vAlign w:val="center"/>
          </w:tcPr>
          <w:p w14:paraId="1B2697EF" w14:textId="26768504"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Full</w:t>
            </w:r>
            <w:r w:rsidR="0098261C">
              <w:rPr>
                <w:rFonts w:eastAsia="Calibri" w:cs="Times New Roman"/>
                <w:color w:val="000000"/>
                <w:sz w:val="19"/>
                <w:szCs w:val="19"/>
              </w:rPr>
              <w:t xml:space="preserve"> </w:t>
            </w:r>
            <w:r w:rsidR="0098261C" w:rsidRPr="0098261C">
              <w:rPr>
                <w:rFonts w:eastAsia="Calibri" w:cs="Times New Roman"/>
                <w:color w:val="000000"/>
                <w:sz w:val="19"/>
                <w:szCs w:val="19"/>
              </w:rPr>
              <w:t>(</w:t>
            </w:r>
            <w:proofErr w:type="spellStart"/>
            <w:r w:rsidR="0098261C" w:rsidRPr="0098261C">
              <w:rPr>
                <w:rFonts w:eastAsia="Calibri" w:cs="Times New Roman"/>
                <w:color w:val="000000"/>
                <w:sz w:val="19"/>
                <w:szCs w:val="19"/>
              </w:rPr>
              <w:t>TechCabal</w:t>
            </w:r>
            <w:proofErr w:type="spellEnd"/>
            <w:r w:rsidR="0098261C" w:rsidRPr="0098261C">
              <w:rPr>
                <w:rFonts w:eastAsia="Calibri" w:cs="Times New Roman"/>
                <w:color w:val="000000"/>
                <w:sz w:val="19"/>
                <w:szCs w:val="19"/>
              </w:rPr>
              <w:t xml:space="preserve"> Insights, 2026)</w:t>
            </w:r>
          </w:p>
        </w:tc>
        <w:tc>
          <w:tcPr>
            <w:tcW w:w="1850" w:type="dxa"/>
            <w:shd w:val="clear" w:color="auto" w:fill="FFFFFF"/>
            <w:tcMar>
              <w:top w:w="80" w:type="dxa"/>
              <w:left w:w="100" w:type="dxa"/>
              <w:bottom w:w="80" w:type="dxa"/>
              <w:right w:w="100" w:type="dxa"/>
            </w:tcMar>
            <w:vAlign w:val="center"/>
          </w:tcPr>
          <w:p w14:paraId="329F6465" w14:textId="77777777"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High</w:t>
            </w:r>
          </w:p>
        </w:tc>
        <w:tc>
          <w:tcPr>
            <w:tcW w:w="1950" w:type="dxa"/>
            <w:shd w:val="clear" w:color="auto" w:fill="FFFFFF"/>
            <w:tcMar>
              <w:top w:w="80" w:type="dxa"/>
              <w:left w:w="100" w:type="dxa"/>
              <w:bottom w:w="80" w:type="dxa"/>
              <w:right w:w="100" w:type="dxa"/>
            </w:tcMar>
            <w:vAlign w:val="center"/>
          </w:tcPr>
          <w:p w14:paraId="27DB55DA" w14:textId="4DCC6DBC"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Low</w:t>
            </w:r>
            <w:r w:rsidR="0098261C">
              <w:rPr>
                <w:rFonts w:eastAsia="Calibri" w:cs="Times New Roman"/>
                <w:color w:val="000000"/>
                <w:sz w:val="19"/>
                <w:szCs w:val="19"/>
              </w:rPr>
              <w:t xml:space="preserve">   </w:t>
            </w:r>
          </w:p>
        </w:tc>
        <w:tc>
          <w:tcPr>
            <w:tcW w:w="1950" w:type="dxa"/>
            <w:shd w:val="clear" w:color="auto" w:fill="FFFFFF"/>
            <w:tcMar>
              <w:top w:w="80" w:type="dxa"/>
              <w:left w:w="100" w:type="dxa"/>
              <w:bottom w:w="80" w:type="dxa"/>
              <w:right w:w="100" w:type="dxa"/>
            </w:tcMar>
            <w:vAlign w:val="center"/>
          </w:tcPr>
          <w:p w14:paraId="247959E6" w14:textId="460EB112"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Full (eventual)</w:t>
            </w:r>
            <w:r w:rsidR="0098261C">
              <w:rPr>
                <w:rFonts w:eastAsia="Calibri" w:cs="Times New Roman"/>
                <w:color w:val="000000"/>
                <w:sz w:val="19"/>
                <w:szCs w:val="19"/>
              </w:rPr>
              <w:t xml:space="preserve"> </w:t>
            </w:r>
          </w:p>
        </w:tc>
      </w:tr>
      <w:tr w:rsidR="00653B50" w:rsidRPr="00653B50" w14:paraId="43F6E59A" w14:textId="77777777" w:rsidTr="008646E4">
        <w:tc>
          <w:tcPr>
            <w:tcW w:w="2600" w:type="dxa"/>
            <w:shd w:val="clear" w:color="auto" w:fill="F5F6F8"/>
            <w:tcMar>
              <w:top w:w="80" w:type="dxa"/>
              <w:left w:w="100" w:type="dxa"/>
              <w:bottom w:w="80" w:type="dxa"/>
              <w:right w:w="100" w:type="dxa"/>
            </w:tcMar>
            <w:vAlign w:val="center"/>
          </w:tcPr>
          <w:p w14:paraId="1EA24CA8" w14:textId="77777777"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Speed to legal market entry</w:t>
            </w:r>
          </w:p>
        </w:tc>
        <w:tc>
          <w:tcPr>
            <w:tcW w:w="1850" w:type="dxa"/>
            <w:shd w:val="clear" w:color="auto" w:fill="F5F6F8"/>
            <w:tcMar>
              <w:top w:w="80" w:type="dxa"/>
              <w:left w:w="100" w:type="dxa"/>
              <w:bottom w:w="80" w:type="dxa"/>
              <w:right w:w="100" w:type="dxa"/>
            </w:tcMar>
            <w:vAlign w:val="center"/>
          </w:tcPr>
          <w:p w14:paraId="536380ED" w14:textId="77777777"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Not available</w:t>
            </w:r>
          </w:p>
        </w:tc>
        <w:tc>
          <w:tcPr>
            <w:tcW w:w="1850" w:type="dxa"/>
            <w:shd w:val="clear" w:color="auto" w:fill="F5F6F8"/>
            <w:tcMar>
              <w:top w:w="80" w:type="dxa"/>
              <w:left w:w="100" w:type="dxa"/>
              <w:bottom w:w="80" w:type="dxa"/>
              <w:right w:w="100" w:type="dxa"/>
            </w:tcMar>
            <w:vAlign w:val="center"/>
          </w:tcPr>
          <w:p w14:paraId="2B55F145" w14:textId="77777777"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Months</w:t>
            </w:r>
          </w:p>
        </w:tc>
        <w:tc>
          <w:tcPr>
            <w:tcW w:w="1950" w:type="dxa"/>
            <w:shd w:val="clear" w:color="auto" w:fill="F5F6F8"/>
            <w:tcMar>
              <w:top w:w="80" w:type="dxa"/>
              <w:left w:w="100" w:type="dxa"/>
              <w:bottom w:w="80" w:type="dxa"/>
              <w:right w:w="100" w:type="dxa"/>
            </w:tcMar>
            <w:vAlign w:val="center"/>
          </w:tcPr>
          <w:p w14:paraId="1B15B07F" w14:textId="132C1A5D"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Immediate</w:t>
            </w:r>
            <w:r w:rsidR="0098261C">
              <w:rPr>
                <w:rFonts w:eastAsia="Calibri" w:cs="Times New Roman"/>
                <w:color w:val="000000"/>
                <w:sz w:val="19"/>
                <w:szCs w:val="19"/>
              </w:rPr>
              <w:t xml:space="preserve"> </w:t>
            </w:r>
            <w:r w:rsidR="0098261C" w:rsidRPr="0098261C">
              <w:rPr>
                <w:rFonts w:eastAsia="Calibri" w:cs="Times New Roman"/>
                <w:color w:val="000000"/>
                <w:sz w:val="19"/>
                <w:szCs w:val="19"/>
              </w:rPr>
              <w:t>(</w:t>
            </w:r>
            <w:proofErr w:type="spellStart"/>
            <w:r w:rsidR="0098261C" w:rsidRPr="0098261C">
              <w:rPr>
                <w:rFonts w:eastAsia="Calibri" w:cs="Times New Roman"/>
                <w:color w:val="000000"/>
                <w:sz w:val="19"/>
                <w:szCs w:val="19"/>
              </w:rPr>
              <w:t>TechCabal</w:t>
            </w:r>
            <w:proofErr w:type="spellEnd"/>
            <w:r w:rsidR="0098261C" w:rsidRPr="0098261C">
              <w:rPr>
                <w:rFonts w:eastAsia="Calibri" w:cs="Times New Roman"/>
                <w:color w:val="000000"/>
                <w:sz w:val="19"/>
                <w:szCs w:val="19"/>
              </w:rPr>
              <w:t xml:space="preserve"> Insights, 2026)</w:t>
            </w:r>
          </w:p>
        </w:tc>
        <w:tc>
          <w:tcPr>
            <w:tcW w:w="1950" w:type="dxa"/>
            <w:shd w:val="clear" w:color="auto" w:fill="F5F6F8"/>
            <w:tcMar>
              <w:top w:w="80" w:type="dxa"/>
              <w:left w:w="100" w:type="dxa"/>
              <w:bottom w:w="80" w:type="dxa"/>
              <w:right w:w="100" w:type="dxa"/>
            </w:tcMar>
            <w:vAlign w:val="center"/>
          </w:tcPr>
          <w:p w14:paraId="2A20B61B" w14:textId="77777777" w:rsidR="00653B50" w:rsidRPr="00653B50" w:rsidRDefault="00653B50" w:rsidP="00653B50">
            <w:pPr>
              <w:spacing w:after="0" w:line="240" w:lineRule="auto"/>
              <w:jc w:val="left"/>
              <w:rPr>
                <w:rFonts w:eastAsia="Calibri" w:cs="Times New Roman"/>
                <w:color w:val="1A1A1A"/>
                <w:sz w:val="22"/>
              </w:rPr>
            </w:pPr>
            <w:r w:rsidRPr="00653B50">
              <w:rPr>
                <w:rFonts w:eastAsia="Calibri" w:cs="Times New Roman"/>
                <w:color w:val="000000"/>
                <w:sz w:val="19"/>
                <w:szCs w:val="19"/>
              </w:rPr>
              <w:t>12-24+ months</w:t>
            </w:r>
          </w:p>
        </w:tc>
      </w:tr>
    </w:tbl>
    <w:p w14:paraId="00C03AFF" w14:textId="77777777" w:rsidR="00653B50" w:rsidRDefault="00653B50" w:rsidP="005D3EF6"/>
    <w:p w14:paraId="198C5F89" w14:textId="64CC0FC6" w:rsidR="005D3EF6" w:rsidRPr="00811E87" w:rsidRDefault="005D3EF6" w:rsidP="005D3EF6">
      <w:pPr>
        <w:rPr>
          <w:rFonts w:ascii="Arial" w:hAnsi="Arial" w:cs="Arial"/>
        </w:rPr>
      </w:pPr>
      <w:r w:rsidRPr="00811E87">
        <w:rPr>
          <w:rFonts w:ascii="Arial" w:hAnsi="Arial" w:cs="Arial"/>
        </w:rPr>
        <w:t xml:space="preserve">Most importantly, the Vodacom partnership helps Starlink achieve a first-mover advantage in the region, while also satisfying the legal obligation of the country to grant a </w:t>
      </w:r>
      <w:proofErr w:type="spellStart"/>
      <w:proofErr w:type="gramStart"/>
      <w:r w:rsidRPr="00811E87">
        <w:rPr>
          <w:rFonts w:ascii="Arial" w:hAnsi="Arial" w:cs="Arial"/>
        </w:rPr>
        <w:t>licence.The</w:t>
      </w:r>
      <w:proofErr w:type="spellEnd"/>
      <w:proofErr w:type="gramEnd"/>
      <w:r w:rsidRPr="00811E87">
        <w:rPr>
          <w:rFonts w:ascii="Arial" w:hAnsi="Arial" w:cs="Arial"/>
        </w:rPr>
        <w:t xml:space="preserve"> Vodacom partnership is a win-win for Starlink, in that it achieves first-mover advantage in the region while also meeting the legal requirement of the country to issue a </w:t>
      </w:r>
      <w:proofErr w:type="spellStart"/>
      <w:r w:rsidRPr="00811E87">
        <w:rPr>
          <w:rFonts w:ascii="Arial" w:hAnsi="Arial" w:cs="Arial"/>
        </w:rPr>
        <w:t>licence</w:t>
      </w:r>
      <w:proofErr w:type="spellEnd"/>
      <w:r w:rsidRPr="00811E87">
        <w:rPr>
          <w:rFonts w:ascii="Arial" w:hAnsi="Arial" w:cs="Arial"/>
        </w:rPr>
        <w:t xml:space="preserve"> (</w:t>
      </w:r>
      <w:proofErr w:type="spellStart"/>
      <w:r w:rsidRPr="00811E87">
        <w:rPr>
          <w:rFonts w:ascii="Arial" w:hAnsi="Arial" w:cs="Arial"/>
        </w:rPr>
        <w:t>TechCabal</w:t>
      </w:r>
      <w:proofErr w:type="spellEnd"/>
      <w:r w:rsidRPr="00811E87">
        <w:rPr>
          <w:rFonts w:ascii="Arial" w:hAnsi="Arial" w:cs="Arial"/>
        </w:rPr>
        <w:t xml:space="preserve"> Insights, 2026). But having just one incumbent partner can lead to strategic drift over time from the global brand control model of </w:t>
      </w:r>
      <w:r w:rsidR="00811E87" w:rsidRPr="00811E87">
        <w:rPr>
          <w:rFonts w:ascii="Arial" w:hAnsi="Arial" w:cs="Arial"/>
        </w:rPr>
        <w:t>Starlink and</w:t>
      </w:r>
      <w:r w:rsidRPr="00811E87">
        <w:rPr>
          <w:rFonts w:ascii="Arial" w:hAnsi="Arial" w:cs="Arial"/>
        </w:rPr>
        <w:t xml:space="preserve"> cause the firm to be subject to competition law challenges like the one that thwarted Vodacom's </w:t>
      </w:r>
      <w:proofErr w:type="spellStart"/>
      <w:r w:rsidRPr="00811E87">
        <w:rPr>
          <w:rFonts w:ascii="Arial" w:hAnsi="Arial" w:cs="Arial"/>
        </w:rPr>
        <w:t>Maziv</w:t>
      </w:r>
      <w:proofErr w:type="spellEnd"/>
      <w:r w:rsidRPr="00811E87">
        <w:rPr>
          <w:rFonts w:ascii="Arial" w:hAnsi="Arial" w:cs="Arial"/>
        </w:rPr>
        <w:t xml:space="preserve"> acquisition.</w:t>
      </w:r>
    </w:p>
    <w:p w14:paraId="773B74EA" w14:textId="3541E3AA" w:rsidR="005D3EF6" w:rsidRPr="00811E87" w:rsidRDefault="005D3EF6" w:rsidP="005D3EF6">
      <w:pPr>
        <w:rPr>
          <w:rFonts w:ascii="Arial" w:hAnsi="Arial" w:cs="Arial"/>
        </w:rPr>
      </w:pPr>
      <w:r w:rsidRPr="00811E87">
        <w:rPr>
          <w:rFonts w:ascii="Arial" w:hAnsi="Arial" w:cs="Arial"/>
        </w:rPr>
        <w:t xml:space="preserve">This pressure to </w:t>
      </w:r>
      <w:proofErr w:type="spellStart"/>
      <w:proofErr w:type="gramStart"/>
      <w:r w:rsidR="00811E87" w:rsidRPr="00811E87">
        <w:rPr>
          <w:rFonts w:ascii="Arial" w:hAnsi="Arial" w:cs="Arial"/>
        </w:rPr>
        <w:t>trade off</w:t>
      </w:r>
      <w:proofErr w:type="spellEnd"/>
      <w:proofErr w:type="gramEnd"/>
      <w:r w:rsidRPr="00811E87">
        <w:rPr>
          <w:rFonts w:ascii="Arial" w:hAnsi="Arial" w:cs="Arial"/>
        </w:rPr>
        <w:t xml:space="preserve"> is even greater in the face of growing competition. Amazon's Project Kuiper has already obtained a seven-year landing </w:t>
      </w:r>
      <w:proofErr w:type="spellStart"/>
      <w:r w:rsidRPr="00811E87">
        <w:rPr>
          <w:rFonts w:ascii="Arial" w:hAnsi="Arial" w:cs="Arial"/>
        </w:rPr>
        <w:t>licence</w:t>
      </w:r>
      <w:proofErr w:type="spellEnd"/>
      <w:r w:rsidRPr="00811E87">
        <w:rPr>
          <w:rFonts w:ascii="Arial" w:hAnsi="Arial" w:cs="Arial"/>
        </w:rPr>
        <w:t xml:space="preserve"> in </w:t>
      </w:r>
      <w:r w:rsidR="00811E87" w:rsidRPr="00811E87">
        <w:rPr>
          <w:rFonts w:ascii="Arial" w:hAnsi="Arial" w:cs="Arial"/>
        </w:rPr>
        <w:t>Nigeria and</w:t>
      </w:r>
      <w:r w:rsidRPr="00811E87">
        <w:rPr>
          <w:rFonts w:ascii="Arial" w:hAnsi="Arial" w:cs="Arial"/>
        </w:rPr>
        <w:t xml:space="preserve"> is in the process of applying for an operating </w:t>
      </w:r>
      <w:proofErr w:type="spellStart"/>
      <w:r w:rsidRPr="00811E87">
        <w:rPr>
          <w:rFonts w:ascii="Arial" w:hAnsi="Arial" w:cs="Arial"/>
        </w:rPr>
        <w:t>licence</w:t>
      </w:r>
      <w:proofErr w:type="spellEnd"/>
      <w:r w:rsidRPr="00811E87">
        <w:rPr>
          <w:rFonts w:ascii="Arial" w:hAnsi="Arial" w:cs="Arial"/>
        </w:rPr>
        <w:t xml:space="preserve"> in Kenya with the intention of launching more than 3,200 satellites by 2028 (</w:t>
      </w:r>
      <w:proofErr w:type="spellStart"/>
      <w:r w:rsidRPr="00811E87">
        <w:rPr>
          <w:rFonts w:ascii="Arial" w:hAnsi="Arial" w:cs="Arial"/>
        </w:rPr>
        <w:t>TechCabal</w:t>
      </w:r>
      <w:proofErr w:type="spellEnd"/>
      <w:r w:rsidRPr="00811E87">
        <w:rPr>
          <w:rFonts w:ascii="Arial" w:hAnsi="Arial" w:cs="Arial"/>
        </w:rPr>
        <w:t xml:space="preserve"> Insights, 2026), and OneWeb's Paratus partnership is specifically looking to the same Southern African footprint that includes South Africa. The opportunity cost of postponing market entry, however, is not insignificant as competitors can build partnership relationships, familiarity with the regulations and brand visibility in South Africa before the market can be entered via the preferred standalone path of Starlink. This competitive situation further justifies the arguments for early (although not perfect) non-equity entry rather than waiting for the right regulatory environment</w:t>
      </w:r>
      <w:r w:rsidR="00811E87">
        <w:rPr>
          <w:rFonts w:ascii="Arial" w:hAnsi="Arial" w:cs="Arial"/>
        </w:rPr>
        <w:t>.</w:t>
      </w:r>
    </w:p>
    <w:p w14:paraId="796F0F98" w14:textId="38FDAF50" w:rsidR="005D3EF6" w:rsidRPr="00811E87" w:rsidRDefault="005D3EF6" w:rsidP="005D3EF6">
      <w:pPr>
        <w:pStyle w:val="Heading1"/>
        <w:rPr>
          <w:rFonts w:ascii="Arial" w:hAnsi="Arial" w:cs="Arial"/>
        </w:rPr>
      </w:pPr>
      <w:bookmarkStart w:id="15" w:name="_Toc234883387"/>
      <w:r w:rsidRPr="00811E87">
        <w:rPr>
          <w:rFonts w:ascii="Arial" w:hAnsi="Arial" w:cs="Arial"/>
        </w:rPr>
        <w:lastRenderedPageBreak/>
        <w:t>Conclusion and Recommendations</w:t>
      </w:r>
      <w:bookmarkEnd w:id="15"/>
    </w:p>
    <w:p w14:paraId="14DDC923" w14:textId="4F64A21D" w:rsidR="00746BD9" w:rsidRPr="00811E87" w:rsidRDefault="005D3EF6" w:rsidP="005D3EF6">
      <w:pPr>
        <w:rPr>
          <w:rFonts w:ascii="Arial" w:hAnsi="Arial" w:cs="Arial"/>
        </w:rPr>
      </w:pPr>
      <w:r w:rsidRPr="00811E87">
        <w:rPr>
          <w:rFonts w:ascii="Arial" w:hAnsi="Arial" w:cs="Arial"/>
        </w:rPr>
        <w:t xml:space="preserve">This report suggests a hybrid approach to entry, with a phased strategy. In the short term, Starlink must now </w:t>
      </w:r>
      <w:proofErr w:type="spellStart"/>
      <w:r w:rsidRPr="00811E87">
        <w:rPr>
          <w:rFonts w:ascii="Arial" w:hAnsi="Arial" w:cs="Arial"/>
        </w:rPr>
        <w:t>formalise</w:t>
      </w:r>
      <w:proofErr w:type="spellEnd"/>
      <w:r w:rsidRPr="00811E87">
        <w:rPr>
          <w:rFonts w:ascii="Arial" w:hAnsi="Arial" w:cs="Arial"/>
        </w:rPr>
        <w:t xml:space="preserve"> and expand its non-equity wholesale and reseller partnership with Vodacom, which will allow it to enter the market legally, make money, learn from its operations and build political </w:t>
      </w:r>
      <w:proofErr w:type="spellStart"/>
      <w:r w:rsidRPr="00811E87">
        <w:rPr>
          <w:rFonts w:ascii="Arial" w:hAnsi="Arial" w:cs="Arial"/>
        </w:rPr>
        <w:t>favour</w:t>
      </w:r>
      <w:proofErr w:type="spellEnd"/>
      <w:r w:rsidRPr="00811E87">
        <w:rPr>
          <w:rFonts w:ascii="Arial" w:hAnsi="Arial" w:cs="Arial"/>
        </w:rPr>
        <w:t xml:space="preserve">. At the same time, Starlink should push ahead with EEIP standalone licensing, and see its existing investment commitment of R2.5bn as a </w:t>
      </w:r>
      <w:proofErr w:type="gramStart"/>
      <w:r w:rsidRPr="00811E87">
        <w:rPr>
          <w:rFonts w:ascii="Arial" w:hAnsi="Arial" w:cs="Arial"/>
        </w:rPr>
        <w:t>stepping stone</w:t>
      </w:r>
      <w:proofErr w:type="gramEnd"/>
      <w:r w:rsidRPr="00811E87">
        <w:rPr>
          <w:rFonts w:ascii="Arial" w:hAnsi="Arial" w:cs="Arial"/>
        </w:rPr>
        <w:t xml:space="preserve"> towards direct I-ECNS/I-ECS licensing. If the ECA amendment passes, Starlink will be able to move towards its global-standard, wholly owned model, which it has lost </w:t>
      </w:r>
      <w:proofErr w:type="gramStart"/>
      <w:r w:rsidRPr="00811E87">
        <w:rPr>
          <w:rFonts w:ascii="Arial" w:hAnsi="Arial" w:cs="Arial"/>
        </w:rPr>
        <w:t>control of</w:t>
      </w:r>
      <w:proofErr w:type="gramEnd"/>
      <w:r w:rsidRPr="00811E87">
        <w:rPr>
          <w:rFonts w:ascii="Arial" w:hAnsi="Arial" w:cs="Arial"/>
        </w:rPr>
        <w:t xml:space="preserve"> due to the institutional obstacle. The hybrid path is the most promising compromise of the global integration logic of Starlink with the institutional constraint of bindingness in </w:t>
      </w:r>
      <w:proofErr w:type="gramStart"/>
      <w:r w:rsidRPr="00811E87">
        <w:rPr>
          <w:rFonts w:ascii="Arial" w:hAnsi="Arial" w:cs="Arial"/>
        </w:rPr>
        <w:t>South Africa, and</w:t>
      </w:r>
      <w:proofErr w:type="gramEnd"/>
      <w:r w:rsidRPr="00811E87">
        <w:rPr>
          <w:rFonts w:ascii="Arial" w:hAnsi="Arial" w:cs="Arial"/>
        </w:rPr>
        <w:t xml:space="preserve"> is in line with Dunning's (1988) prediction that the advantages of </w:t>
      </w:r>
      <w:proofErr w:type="spellStart"/>
      <w:r w:rsidRPr="00811E87">
        <w:rPr>
          <w:rFonts w:ascii="Arial" w:hAnsi="Arial" w:cs="Arial"/>
        </w:rPr>
        <w:t>internalisation</w:t>
      </w:r>
      <w:proofErr w:type="spellEnd"/>
      <w:r w:rsidRPr="00811E87">
        <w:rPr>
          <w:rFonts w:ascii="Arial" w:hAnsi="Arial" w:cs="Arial"/>
        </w:rPr>
        <w:t xml:space="preserve"> will be </w:t>
      </w:r>
      <w:proofErr w:type="spellStart"/>
      <w:r w:rsidRPr="00811E87">
        <w:rPr>
          <w:rFonts w:ascii="Arial" w:hAnsi="Arial" w:cs="Arial"/>
        </w:rPr>
        <w:t>outshipped</w:t>
      </w:r>
      <w:proofErr w:type="spellEnd"/>
      <w:r w:rsidRPr="00811E87">
        <w:rPr>
          <w:rFonts w:ascii="Arial" w:hAnsi="Arial" w:cs="Arial"/>
        </w:rPr>
        <w:t xml:space="preserve"> by non-equity modes when location specific legal barriers prevent full ownership. </w:t>
      </w:r>
    </w:p>
    <w:p w14:paraId="30B98839" w14:textId="58ABD084" w:rsidR="00746BD9" w:rsidRDefault="00746BD9" w:rsidP="00746BD9"/>
    <w:p w14:paraId="526B41AD" w14:textId="77C36EFF" w:rsidR="00746BD9" w:rsidRDefault="00746BD9" w:rsidP="00746BD9"/>
    <w:p w14:paraId="1F863515" w14:textId="7AAF37A0" w:rsidR="00746BD9" w:rsidRDefault="00746BD9" w:rsidP="00746BD9"/>
    <w:p w14:paraId="2EF5DC87" w14:textId="2919F3FF" w:rsidR="00746BD9" w:rsidRDefault="00746BD9" w:rsidP="00746BD9"/>
    <w:p w14:paraId="63B24604" w14:textId="4934F320" w:rsidR="00746BD9" w:rsidRDefault="00746BD9" w:rsidP="00746BD9"/>
    <w:p w14:paraId="0F5FED24" w14:textId="6E1941BC" w:rsidR="00746BD9" w:rsidRDefault="00746BD9" w:rsidP="00746BD9"/>
    <w:p w14:paraId="59FBCA52" w14:textId="2B8DA3E7" w:rsidR="00746BD9" w:rsidRDefault="00746BD9" w:rsidP="00746BD9"/>
    <w:p w14:paraId="73D58EE9" w14:textId="62D8711C" w:rsidR="00746BD9" w:rsidRDefault="00746BD9" w:rsidP="00746BD9"/>
    <w:p w14:paraId="247831BD" w14:textId="3218EF16" w:rsidR="00746BD9" w:rsidRDefault="00746BD9" w:rsidP="00746BD9"/>
    <w:p w14:paraId="0198E727" w14:textId="61E87392" w:rsidR="00746BD9" w:rsidRDefault="00746BD9" w:rsidP="00746BD9"/>
    <w:p w14:paraId="2DA68EEB" w14:textId="69C59B5F" w:rsidR="00746BD9" w:rsidRDefault="00746BD9" w:rsidP="00746BD9"/>
    <w:p w14:paraId="5CE668B9" w14:textId="0E4C598D" w:rsidR="00746BD9" w:rsidRDefault="00746BD9" w:rsidP="00746BD9"/>
    <w:p w14:paraId="2B12D701" w14:textId="0CCF12E4" w:rsidR="00746BD9" w:rsidRDefault="00746BD9" w:rsidP="00746BD9"/>
    <w:p w14:paraId="7D17E52E" w14:textId="3DC173D2" w:rsidR="006261ED" w:rsidRPr="00811E87" w:rsidRDefault="006261ED" w:rsidP="006261ED">
      <w:pPr>
        <w:pStyle w:val="Heading1"/>
        <w:rPr>
          <w:rFonts w:ascii="Arial" w:hAnsi="Arial" w:cs="Arial"/>
        </w:rPr>
      </w:pPr>
      <w:bookmarkStart w:id="16" w:name="_Toc234883388"/>
      <w:r w:rsidRPr="00811E87">
        <w:rPr>
          <w:rFonts w:ascii="Arial" w:hAnsi="Arial" w:cs="Arial"/>
        </w:rPr>
        <w:lastRenderedPageBreak/>
        <w:t>Part B</w:t>
      </w:r>
      <w:bookmarkEnd w:id="16"/>
    </w:p>
    <w:p w14:paraId="01F285E9" w14:textId="0EFDFDC8" w:rsidR="00E25D57" w:rsidRPr="00811E87" w:rsidRDefault="00E25D57" w:rsidP="00E25D57">
      <w:pPr>
        <w:rPr>
          <w:rFonts w:ascii="Arial" w:hAnsi="Arial" w:cs="Arial"/>
        </w:rPr>
      </w:pPr>
      <w:r w:rsidRPr="00811E87">
        <w:rPr>
          <w:rFonts w:ascii="Arial" w:hAnsi="Arial" w:cs="Arial"/>
        </w:rPr>
        <w:t>Using Gibbs' Reflective Cycle, this reflective account critically evaluates Starlink's research, analysis and development process when planning to enter South Africa as an international business. Through reflection, I will be able to reflect on all the evidence I collected, the theories I used to support my analysis and how the whole research process helped me to better understand international business strategy and market entry decision making.</w:t>
      </w:r>
    </w:p>
    <w:p w14:paraId="01ABE5EA" w14:textId="05DA5F2B" w:rsidR="00826EF1" w:rsidRDefault="00826EF1" w:rsidP="00826EF1">
      <w:pPr>
        <w:jc w:val="center"/>
      </w:pPr>
      <w:r>
        <w:rPr>
          <w:noProof/>
        </w:rPr>
        <w:drawing>
          <wp:inline distT="0" distB="0" distL="0" distR="0" wp14:anchorId="24D601CE" wp14:editId="4304A705">
            <wp:extent cx="3901389" cy="3299460"/>
            <wp:effectExtent l="0" t="0" r="4445" b="0"/>
            <wp:docPr id="1425809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08159" cy="3305185"/>
                    </a:xfrm>
                    <a:prstGeom prst="rect">
                      <a:avLst/>
                    </a:prstGeom>
                    <a:noFill/>
                  </pic:spPr>
                </pic:pic>
              </a:graphicData>
            </a:graphic>
          </wp:inline>
        </w:drawing>
      </w:r>
    </w:p>
    <w:p w14:paraId="195762DF" w14:textId="6B169B4D" w:rsidR="00826EF1" w:rsidRPr="00811E87" w:rsidRDefault="00826EF1" w:rsidP="00FB7A85">
      <w:pPr>
        <w:jc w:val="center"/>
        <w:rPr>
          <w:rFonts w:ascii="Arial" w:hAnsi="Arial" w:cs="Arial"/>
        </w:rPr>
      </w:pPr>
      <w:r w:rsidRPr="00811E87">
        <w:rPr>
          <w:rFonts w:ascii="Arial" w:hAnsi="Arial" w:cs="Arial"/>
        </w:rPr>
        <w:t>Figure 5: Gibbs Reflective Cycle</w:t>
      </w:r>
      <w:r w:rsidR="00804C9D" w:rsidRPr="00811E87">
        <w:rPr>
          <w:rFonts w:ascii="Arial" w:hAnsi="Arial" w:cs="Arial"/>
        </w:rPr>
        <w:t xml:space="preserve"> </w:t>
      </w:r>
      <w:r w:rsidR="00FB7A85" w:rsidRPr="00811E87">
        <w:rPr>
          <w:rFonts w:ascii="Arial" w:hAnsi="Arial" w:cs="Arial"/>
        </w:rPr>
        <w:t xml:space="preserve">(Bassot, 2024) </w:t>
      </w:r>
    </w:p>
    <w:p w14:paraId="593CC327" w14:textId="0B62ABA4" w:rsidR="00E25D57" w:rsidRPr="00811E87" w:rsidRDefault="00E25D57" w:rsidP="00E25D57">
      <w:pPr>
        <w:pStyle w:val="Heading2"/>
        <w:rPr>
          <w:rFonts w:ascii="Arial" w:hAnsi="Arial" w:cs="Arial"/>
          <w:sz w:val="28"/>
          <w:szCs w:val="28"/>
        </w:rPr>
      </w:pPr>
      <w:bookmarkStart w:id="17" w:name="_Toc234883389"/>
      <w:r w:rsidRPr="00811E87">
        <w:rPr>
          <w:rFonts w:ascii="Arial" w:hAnsi="Arial" w:cs="Arial"/>
          <w:sz w:val="28"/>
          <w:szCs w:val="28"/>
        </w:rPr>
        <w:t>Description</w:t>
      </w:r>
      <w:bookmarkEnd w:id="17"/>
    </w:p>
    <w:p w14:paraId="24037FF7" w14:textId="2FF377AB" w:rsidR="00E25D57" w:rsidRPr="00811E87" w:rsidRDefault="00E25D57" w:rsidP="00E25D57">
      <w:pPr>
        <w:rPr>
          <w:rFonts w:ascii="Arial" w:hAnsi="Arial" w:cs="Arial"/>
        </w:rPr>
      </w:pPr>
      <w:r w:rsidRPr="00811E87">
        <w:rPr>
          <w:rFonts w:ascii="Arial" w:hAnsi="Arial" w:cs="Arial"/>
        </w:rPr>
        <w:t xml:space="preserve">I chose to pick Starlink's proposed expansion into South Africa as it was a current regulatory concern, and not a historical case. This case was different to many international business cases in which the outcome of the market entry is predetermined, as the final decision had not been made. My research was not only limited to the module textbook, but also comprised primary regulatory announcements from ICASA, government policy documents, industry reports and market intelligence sources. To begin with, I set up a factual baseline to ensure that, as </w:t>
      </w:r>
      <w:proofErr w:type="gramStart"/>
      <w:r w:rsidRPr="00811E87">
        <w:rPr>
          <w:rFonts w:ascii="Arial" w:hAnsi="Arial" w:cs="Arial"/>
        </w:rPr>
        <w:t>at</w:t>
      </w:r>
      <w:proofErr w:type="gramEnd"/>
      <w:r w:rsidRPr="00811E87">
        <w:rPr>
          <w:rFonts w:ascii="Arial" w:hAnsi="Arial" w:cs="Arial"/>
        </w:rPr>
        <w:t xml:space="preserve"> 01 June 2026, Starlink did not hold the necessary </w:t>
      </w:r>
      <w:proofErr w:type="spellStart"/>
      <w:r w:rsidRPr="00811E87">
        <w:rPr>
          <w:rFonts w:ascii="Arial" w:hAnsi="Arial" w:cs="Arial"/>
        </w:rPr>
        <w:t>licences</w:t>
      </w:r>
      <w:proofErr w:type="spellEnd"/>
      <w:r w:rsidRPr="00811E87">
        <w:rPr>
          <w:rFonts w:ascii="Arial" w:hAnsi="Arial" w:cs="Arial"/>
        </w:rPr>
        <w:t xml:space="preserve"> to commercially operate in South Africa. After verifying this </w:t>
      </w:r>
      <w:r w:rsidRPr="00811E87">
        <w:rPr>
          <w:rFonts w:ascii="Arial" w:hAnsi="Arial" w:cs="Arial"/>
        </w:rPr>
        <w:lastRenderedPageBreak/>
        <w:t xml:space="preserve">position, I took the help of three models: Bartlett and Ghoshal's integration-responsiveness model, Porter's Diamond model and Dunning's eclectic paradigm, to </w:t>
      </w:r>
      <w:proofErr w:type="spellStart"/>
      <w:r w:rsidRPr="00811E87">
        <w:rPr>
          <w:rFonts w:ascii="Arial" w:hAnsi="Arial" w:cs="Arial"/>
        </w:rPr>
        <w:t>analyse</w:t>
      </w:r>
      <w:proofErr w:type="spellEnd"/>
      <w:r w:rsidRPr="00811E87">
        <w:rPr>
          <w:rFonts w:ascii="Arial" w:hAnsi="Arial" w:cs="Arial"/>
        </w:rPr>
        <w:t xml:space="preserve"> the political, economic, legal and cultural environment, before identifying the best market entry strategy.</w:t>
      </w:r>
    </w:p>
    <w:p w14:paraId="7D005032" w14:textId="77B5F1D9" w:rsidR="00E25D57" w:rsidRPr="00811E87" w:rsidRDefault="00E25D57" w:rsidP="00E25D57">
      <w:pPr>
        <w:pStyle w:val="Heading2"/>
        <w:rPr>
          <w:rFonts w:ascii="Arial" w:hAnsi="Arial" w:cs="Arial"/>
          <w:sz w:val="28"/>
          <w:szCs w:val="28"/>
        </w:rPr>
      </w:pPr>
      <w:bookmarkStart w:id="18" w:name="_Toc234883390"/>
      <w:r w:rsidRPr="00811E87">
        <w:rPr>
          <w:rFonts w:ascii="Arial" w:hAnsi="Arial" w:cs="Arial"/>
          <w:sz w:val="28"/>
          <w:szCs w:val="28"/>
        </w:rPr>
        <w:t>Feelings</w:t>
      </w:r>
      <w:bookmarkEnd w:id="18"/>
    </w:p>
    <w:p w14:paraId="0992E04D" w14:textId="0156BDA4" w:rsidR="00E25D57" w:rsidRPr="00811E87" w:rsidRDefault="00E25D57" w:rsidP="00E25D57">
      <w:pPr>
        <w:rPr>
          <w:rFonts w:ascii="Arial" w:hAnsi="Arial" w:cs="Arial"/>
          <w:szCs w:val="24"/>
        </w:rPr>
      </w:pPr>
      <w:r w:rsidRPr="00811E87">
        <w:rPr>
          <w:rFonts w:ascii="Arial" w:hAnsi="Arial" w:cs="Arial"/>
          <w:szCs w:val="24"/>
        </w:rPr>
        <w:t xml:space="preserve">The information was often subject to </w:t>
      </w:r>
      <w:proofErr w:type="gramStart"/>
      <w:r w:rsidRPr="00811E87">
        <w:rPr>
          <w:rFonts w:ascii="Arial" w:hAnsi="Arial" w:cs="Arial"/>
          <w:szCs w:val="24"/>
        </w:rPr>
        <w:t>change</w:t>
      </w:r>
      <w:proofErr w:type="gramEnd"/>
      <w:r w:rsidRPr="00811E87">
        <w:rPr>
          <w:rFonts w:ascii="Arial" w:hAnsi="Arial" w:cs="Arial"/>
          <w:szCs w:val="24"/>
        </w:rPr>
        <w:t xml:space="preserve"> and I was not sure of its reliability at the start of the research process. There were </w:t>
      </w:r>
      <w:proofErr w:type="gramStart"/>
      <w:r w:rsidRPr="00811E87">
        <w:rPr>
          <w:rFonts w:ascii="Arial" w:hAnsi="Arial" w:cs="Arial"/>
          <w:szCs w:val="24"/>
        </w:rPr>
        <w:t>a number of</w:t>
      </w:r>
      <w:proofErr w:type="gramEnd"/>
      <w:r w:rsidRPr="00811E87">
        <w:rPr>
          <w:rFonts w:ascii="Arial" w:hAnsi="Arial" w:cs="Arial"/>
          <w:szCs w:val="24"/>
        </w:rPr>
        <w:t xml:space="preserve"> key policy advancements that came in the past few weeks, and it is hard to separate the actual from the speculated. This uncertainty was </w:t>
      </w:r>
      <w:proofErr w:type="spellStart"/>
      <w:r w:rsidRPr="00811E87">
        <w:rPr>
          <w:rFonts w:ascii="Arial" w:hAnsi="Arial" w:cs="Arial"/>
          <w:szCs w:val="24"/>
        </w:rPr>
        <w:t>minimised</w:t>
      </w:r>
      <w:proofErr w:type="spellEnd"/>
      <w:r w:rsidRPr="00811E87">
        <w:rPr>
          <w:rFonts w:ascii="Arial" w:hAnsi="Arial" w:cs="Arial"/>
          <w:szCs w:val="24"/>
        </w:rPr>
        <w:t xml:space="preserve"> by comparing information from </w:t>
      </w:r>
      <w:proofErr w:type="gramStart"/>
      <w:r w:rsidRPr="00811E87">
        <w:rPr>
          <w:rFonts w:ascii="Arial" w:hAnsi="Arial" w:cs="Arial"/>
          <w:szCs w:val="24"/>
        </w:rPr>
        <w:t>a number of</w:t>
      </w:r>
      <w:proofErr w:type="gramEnd"/>
      <w:r w:rsidRPr="00811E87">
        <w:rPr>
          <w:rFonts w:ascii="Arial" w:hAnsi="Arial" w:cs="Arial"/>
          <w:szCs w:val="24"/>
        </w:rPr>
        <w:t xml:space="preserve"> independent sources before adding it to the report. For instance, the proposed Equity Equivalent Investment </w:t>
      </w:r>
      <w:proofErr w:type="spellStart"/>
      <w:r w:rsidRPr="00811E87">
        <w:rPr>
          <w:rFonts w:ascii="Arial" w:hAnsi="Arial" w:cs="Arial"/>
          <w:szCs w:val="24"/>
        </w:rPr>
        <w:t>Programme</w:t>
      </w:r>
      <w:proofErr w:type="spellEnd"/>
      <w:r w:rsidRPr="00811E87">
        <w:rPr>
          <w:rFonts w:ascii="Arial" w:hAnsi="Arial" w:cs="Arial"/>
          <w:szCs w:val="24"/>
        </w:rPr>
        <w:t xml:space="preserve"> (EEIP) announced in December 2025 and ICASA's rejection of EEIP implementation in May 2026, were reported in regulatory notices and in reputable industry publications, which gave me confidence in the accuracy of the analysis. I also found the assignment interesting as the results were not clear. Rather than explaining an event in hindsight, I needed to appraise competing evidence and to make a recommendation in the face of uncertainty – a skill that is very similar to the decisions that are made by multinationals when they expand into foreign markets.</w:t>
      </w:r>
    </w:p>
    <w:p w14:paraId="1E338765" w14:textId="614840B1" w:rsidR="00E25D57" w:rsidRPr="00811E87" w:rsidRDefault="00E25D57" w:rsidP="00E25D57">
      <w:pPr>
        <w:pStyle w:val="Heading2"/>
        <w:rPr>
          <w:rFonts w:ascii="Arial" w:hAnsi="Arial" w:cs="Arial"/>
          <w:sz w:val="28"/>
          <w:szCs w:val="28"/>
        </w:rPr>
      </w:pPr>
      <w:bookmarkStart w:id="19" w:name="_Toc234883391"/>
      <w:r w:rsidRPr="00811E87">
        <w:rPr>
          <w:rFonts w:ascii="Arial" w:hAnsi="Arial" w:cs="Arial"/>
          <w:sz w:val="28"/>
          <w:szCs w:val="28"/>
        </w:rPr>
        <w:t>Evaluation</w:t>
      </w:r>
      <w:bookmarkEnd w:id="19"/>
    </w:p>
    <w:p w14:paraId="106D1C49" w14:textId="284B0695" w:rsidR="00E25D57" w:rsidRPr="00811E87" w:rsidRDefault="00E25D57" w:rsidP="00E25D57">
      <w:pPr>
        <w:rPr>
          <w:rFonts w:ascii="Arial" w:hAnsi="Arial" w:cs="Arial"/>
        </w:rPr>
      </w:pPr>
      <w:r w:rsidRPr="00811E87">
        <w:rPr>
          <w:rFonts w:ascii="Arial" w:hAnsi="Arial" w:cs="Arial"/>
        </w:rPr>
        <w:t>The overall research approach was effective, as it resulted in a credible and up-to-date evidence-</w:t>
      </w:r>
      <w:proofErr w:type="gramStart"/>
      <w:r w:rsidRPr="00811E87">
        <w:rPr>
          <w:rFonts w:ascii="Arial" w:hAnsi="Arial" w:cs="Arial"/>
        </w:rPr>
        <w:t>base</w:t>
      </w:r>
      <w:proofErr w:type="gramEnd"/>
      <w:r w:rsidRPr="00811E87">
        <w:rPr>
          <w:rFonts w:ascii="Arial" w:hAnsi="Arial" w:cs="Arial"/>
        </w:rPr>
        <w:t xml:space="preserve"> even though there was a lack of peer reviewed academic work around this specific case. The use of several theoretical lenses also helped to give the report </w:t>
      </w:r>
      <w:proofErr w:type="gramStart"/>
      <w:r w:rsidRPr="00811E87">
        <w:rPr>
          <w:rFonts w:ascii="Arial" w:hAnsi="Arial" w:cs="Arial"/>
        </w:rPr>
        <w:t>a greater</w:t>
      </w:r>
      <w:proofErr w:type="gramEnd"/>
      <w:r w:rsidRPr="00811E87">
        <w:rPr>
          <w:rFonts w:ascii="Arial" w:hAnsi="Arial" w:cs="Arial"/>
        </w:rPr>
        <w:t xml:space="preserve"> depth, as it shifted the discussion from description to critical evaluation. Bartlett and Ghoshal's framework outlined Starlink's focus on global </w:t>
      </w:r>
      <w:proofErr w:type="spellStart"/>
      <w:r w:rsidRPr="00811E87">
        <w:rPr>
          <w:rFonts w:ascii="Arial" w:hAnsi="Arial" w:cs="Arial"/>
        </w:rPr>
        <w:t>standardisation</w:t>
      </w:r>
      <w:proofErr w:type="spellEnd"/>
      <w:r w:rsidRPr="00811E87">
        <w:rPr>
          <w:rFonts w:ascii="Arial" w:hAnsi="Arial" w:cs="Arial"/>
        </w:rPr>
        <w:t xml:space="preserve">; Porter's Diamond illustrated strengths and weaknesses of the South African telecommunications environment; Hofstede's model illustrated how the values of the culture affected the regulatory expectations; and Dunning's eclectic paradigm combined the above into one coherent explanation for the market-entry strategy. The complementary approaches made it possible to analyze the case from </w:t>
      </w:r>
      <w:proofErr w:type="gramStart"/>
      <w:r w:rsidRPr="00811E87">
        <w:rPr>
          <w:rFonts w:ascii="Arial" w:hAnsi="Arial" w:cs="Arial"/>
        </w:rPr>
        <w:t>a number of</w:t>
      </w:r>
      <w:proofErr w:type="gramEnd"/>
      <w:r w:rsidRPr="00811E87">
        <w:rPr>
          <w:rFonts w:ascii="Arial" w:hAnsi="Arial" w:cs="Arial"/>
        </w:rPr>
        <w:t xml:space="preserve"> angles, but </w:t>
      </w:r>
      <w:proofErr w:type="gramStart"/>
      <w:r w:rsidRPr="00811E87">
        <w:rPr>
          <w:rFonts w:ascii="Arial" w:hAnsi="Arial" w:cs="Arial"/>
        </w:rPr>
        <w:t>not a single one</w:t>
      </w:r>
      <w:proofErr w:type="gramEnd"/>
      <w:r w:rsidRPr="00811E87">
        <w:rPr>
          <w:rFonts w:ascii="Arial" w:hAnsi="Arial" w:cs="Arial"/>
        </w:rPr>
        <w:t xml:space="preserve"> based on a theoretical explanation.</w:t>
      </w:r>
    </w:p>
    <w:p w14:paraId="501AEFBA" w14:textId="3B481B58" w:rsidR="00E25D57" w:rsidRPr="00811E87" w:rsidRDefault="00E25D57" w:rsidP="00E25D57">
      <w:pPr>
        <w:pStyle w:val="Heading2"/>
        <w:rPr>
          <w:rFonts w:ascii="Arial" w:hAnsi="Arial" w:cs="Arial"/>
          <w:sz w:val="28"/>
          <w:szCs w:val="28"/>
        </w:rPr>
      </w:pPr>
      <w:bookmarkStart w:id="20" w:name="_Toc234883392"/>
      <w:r w:rsidRPr="00811E87">
        <w:rPr>
          <w:rFonts w:ascii="Arial" w:hAnsi="Arial" w:cs="Arial"/>
          <w:sz w:val="28"/>
          <w:szCs w:val="28"/>
        </w:rPr>
        <w:lastRenderedPageBreak/>
        <w:t>Analysis</w:t>
      </w:r>
      <w:bookmarkEnd w:id="20"/>
    </w:p>
    <w:p w14:paraId="1BBD17EA" w14:textId="42330B5F" w:rsidR="00E25D57" w:rsidRPr="00811E87" w:rsidRDefault="00E25D57" w:rsidP="00E25D57">
      <w:pPr>
        <w:rPr>
          <w:rFonts w:ascii="Arial" w:hAnsi="Arial" w:cs="Arial"/>
        </w:rPr>
      </w:pPr>
      <w:r w:rsidRPr="00811E87">
        <w:rPr>
          <w:rFonts w:ascii="Arial" w:hAnsi="Arial" w:cs="Arial"/>
        </w:rPr>
        <w:t xml:space="preserve">There were also challenges discovered in the process of research. Due to the private nature of SpaceX, detail at the country level was not available, so the economic analysis was even more superficial and secondary market estimates relied upon more. Otherwise, the </w:t>
      </w:r>
      <w:proofErr w:type="gramStart"/>
      <w:r w:rsidRPr="00811E87">
        <w:rPr>
          <w:rFonts w:ascii="Arial" w:hAnsi="Arial" w:cs="Arial"/>
        </w:rPr>
        <w:t>amount</w:t>
      </w:r>
      <w:proofErr w:type="gramEnd"/>
      <w:r w:rsidRPr="00811E87">
        <w:rPr>
          <w:rFonts w:ascii="Arial" w:hAnsi="Arial" w:cs="Arial"/>
        </w:rPr>
        <w:t xml:space="preserve"> of regulatory changes required meant that discernment needed to be applied when deciding whether the change in the regulatory landscape reflected a shift in the strategic assessment or simply reiterated policy views. </w:t>
      </w:r>
      <w:proofErr w:type="gramStart"/>
      <w:r w:rsidRPr="00811E87">
        <w:rPr>
          <w:rFonts w:ascii="Arial" w:hAnsi="Arial" w:cs="Arial"/>
        </w:rPr>
        <w:t>In particular, ICASA's</w:t>
      </w:r>
      <w:proofErr w:type="gramEnd"/>
      <w:r w:rsidRPr="00811E87">
        <w:rPr>
          <w:rFonts w:ascii="Arial" w:hAnsi="Arial" w:cs="Arial"/>
        </w:rPr>
        <w:t xml:space="preserve"> May 2026 decision had a significant impact on the analysis as it clarified the legal scope of </w:t>
      </w:r>
      <w:proofErr w:type="gramStart"/>
      <w:r w:rsidRPr="00811E87">
        <w:rPr>
          <w:rFonts w:ascii="Arial" w:hAnsi="Arial" w:cs="Arial"/>
        </w:rPr>
        <w:t>EEIP</w:t>
      </w:r>
      <w:proofErr w:type="gramEnd"/>
      <w:r w:rsidRPr="00811E87">
        <w:rPr>
          <w:rFonts w:ascii="Arial" w:hAnsi="Arial" w:cs="Arial"/>
        </w:rPr>
        <w:t xml:space="preserve"> and later announcements largely validated previously set regulatory positions. This experience underscored the need to consider the value of evidence, not just newer evidence, when doing analysis.</w:t>
      </w:r>
    </w:p>
    <w:p w14:paraId="2105DB8D" w14:textId="5609A1C4" w:rsidR="00E25D57" w:rsidRPr="00811E87" w:rsidRDefault="00E25D57" w:rsidP="00E25D57">
      <w:pPr>
        <w:pStyle w:val="Heading2"/>
        <w:rPr>
          <w:rFonts w:ascii="Arial" w:hAnsi="Arial" w:cs="Arial"/>
          <w:sz w:val="28"/>
          <w:szCs w:val="28"/>
        </w:rPr>
      </w:pPr>
      <w:bookmarkStart w:id="21" w:name="_Toc234883393"/>
      <w:r w:rsidRPr="00811E87">
        <w:rPr>
          <w:rFonts w:ascii="Arial" w:hAnsi="Arial" w:cs="Arial"/>
          <w:sz w:val="28"/>
          <w:szCs w:val="28"/>
        </w:rPr>
        <w:t>Conclusion</w:t>
      </w:r>
      <w:bookmarkEnd w:id="21"/>
    </w:p>
    <w:p w14:paraId="24DD9169" w14:textId="43F82776" w:rsidR="00E25D57" w:rsidRPr="00811E87" w:rsidRDefault="00E25D57" w:rsidP="00E25D57">
      <w:pPr>
        <w:rPr>
          <w:rFonts w:ascii="Arial" w:hAnsi="Arial" w:cs="Arial"/>
        </w:rPr>
      </w:pPr>
      <w:r w:rsidRPr="00811E87">
        <w:rPr>
          <w:rFonts w:ascii="Arial" w:hAnsi="Arial" w:cs="Arial"/>
        </w:rPr>
        <w:t xml:space="preserve">The theoretical component of the module was an integral part of my understanding of the evidence in this report. I would have likely written about Starlink's international operations without coming to terms with the strategic dilemma between institutional pressures on the international markets and a </w:t>
      </w:r>
      <w:proofErr w:type="spellStart"/>
      <w:r w:rsidRPr="00811E87">
        <w:rPr>
          <w:rFonts w:ascii="Arial" w:hAnsi="Arial" w:cs="Arial"/>
        </w:rPr>
        <w:t>standardised</w:t>
      </w:r>
      <w:proofErr w:type="spellEnd"/>
      <w:r w:rsidRPr="00811E87">
        <w:rPr>
          <w:rFonts w:ascii="Arial" w:hAnsi="Arial" w:cs="Arial"/>
        </w:rPr>
        <w:t xml:space="preserve"> business model for the world. Likewise, Dunning's eclectic paradigm offered a framework for understanding how a legal ownership dimension might be able to transcend otherwise </w:t>
      </w:r>
      <w:proofErr w:type="spellStart"/>
      <w:r w:rsidRPr="00811E87">
        <w:rPr>
          <w:rFonts w:ascii="Arial" w:hAnsi="Arial" w:cs="Arial"/>
        </w:rPr>
        <w:t>favourable</w:t>
      </w:r>
      <w:proofErr w:type="spellEnd"/>
      <w:r w:rsidRPr="00811E87">
        <w:rPr>
          <w:rFonts w:ascii="Arial" w:hAnsi="Arial" w:cs="Arial"/>
        </w:rPr>
        <w:t xml:space="preserve"> economic conditions and change the firm's preferred way of market entry. The theory of the cultural dimensions of Hofstede also allowed me to widen my perspective as it was evident that South Africa's Broad Based Black Economic Empowerment (B-BBEE) policy was not just a regulatory </w:t>
      </w:r>
      <w:proofErr w:type="gramStart"/>
      <w:r w:rsidRPr="00811E87">
        <w:rPr>
          <w:rFonts w:ascii="Arial" w:hAnsi="Arial" w:cs="Arial"/>
        </w:rPr>
        <w:t>requirement, but</w:t>
      </w:r>
      <w:proofErr w:type="gramEnd"/>
      <w:r w:rsidRPr="00811E87">
        <w:rPr>
          <w:rFonts w:ascii="Arial" w:hAnsi="Arial" w:cs="Arial"/>
        </w:rPr>
        <w:t xml:space="preserve"> was also a reflection of the broader social and historical values. It enabled me to take an economic and legal perspective </w:t>
      </w:r>
      <w:proofErr w:type="gramStart"/>
      <w:r w:rsidRPr="00811E87">
        <w:rPr>
          <w:rFonts w:ascii="Arial" w:hAnsi="Arial" w:cs="Arial"/>
        </w:rPr>
        <w:t>to</w:t>
      </w:r>
      <w:proofErr w:type="gramEnd"/>
      <w:r w:rsidRPr="00811E87">
        <w:rPr>
          <w:rFonts w:ascii="Arial" w:hAnsi="Arial" w:cs="Arial"/>
        </w:rPr>
        <w:t xml:space="preserve"> international business decisions but to also pay attention to the institutions and culture within which </w:t>
      </w:r>
      <w:proofErr w:type="spellStart"/>
      <w:r w:rsidRPr="00811E87">
        <w:rPr>
          <w:rFonts w:ascii="Arial" w:hAnsi="Arial" w:cs="Arial"/>
        </w:rPr>
        <w:t>organisations</w:t>
      </w:r>
      <w:proofErr w:type="spellEnd"/>
      <w:r w:rsidRPr="00811E87">
        <w:rPr>
          <w:rFonts w:ascii="Arial" w:hAnsi="Arial" w:cs="Arial"/>
        </w:rPr>
        <w:t xml:space="preserve"> operate. </w:t>
      </w:r>
    </w:p>
    <w:p w14:paraId="66ED5845" w14:textId="05A5C80C" w:rsidR="00E25D57" w:rsidRPr="00811E87" w:rsidRDefault="00E25D57" w:rsidP="00E25D57">
      <w:pPr>
        <w:pStyle w:val="Heading2"/>
        <w:rPr>
          <w:rFonts w:ascii="Arial" w:hAnsi="Arial" w:cs="Arial"/>
          <w:sz w:val="28"/>
          <w:szCs w:val="28"/>
        </w:rPr>
      </w:pPr>
      <w:bookmarkStart w:id="22" w:name="_Toc234883394"/>
      <w:r w:rsidRPr="00811E87">
        <w:rPr>
          <w:rFonts w:ascii="Arial" w:hAnsi="Arial" w:cs="Arial"/>
          <w:sz w:val="28"/>
          <w:szCs w:val="28"/>
        </w:rPr>
        <w:t>Action Plan</w:t>
      </w:r>
      <w:bookmarkEnd w:id="22"/>
      <w:r w:rsidRPr="00811E87">
        <w:rPr>
          <w:rFonts w:ascii="Arial" w:hAnsi="Arial" w:cs="Arial"/>
          <w:sz w:val="28"/>
          <w:szCs w:val="28"/>
        </w:rPr>
        <w:t xml:space="preserve"> </w:t>
      </w:r>
    </w:p>
    <w:p w14:paraId="18F97C55" w14:textId="0ABCBCDB" w:rsidR="00E25D57" w:rsidRPr="00811E87" w:rsidRDefault="00E25D57" w:rsidP="00E25D57">
      <w:pPr>
        <w:rPr>
          <w:rFonts w:ascii="Arial" w:hAnsi="Arial" w:cs="Arial"/>
        </w:rPr>
      </w:pPr>
      <w:r w:rsidRPr="00811E87">
        <w:rPr>
          <w:rFonts w:ascii="Arial" w:hAnsi="Arial" w:cs="Arial"/>
        </w:rPr>
        <w:t xml:space="preserve">Looking back at the finished report, I see that there are </w:t>
      </w:r>
      <w:proofErr w:type="gramStart"/>
      <w:r w:rsidRPr="00811E87">
        <w:rPr>
          <w:rFonts w:ascii="Arial" w:hAnsi="Arial" w:cs="Arial"/>
        </w:rPr>
        <w:t>a number of</w:t>
      </w:r>
      <w:proofErr w:type="gramEnd"/>
      <w:r w:rsidRPr="00811E87">
        <w:rPr>
          <w:rFonts w:ascii="Arial" w:hAnsi="Arial" w:cs="Arial"/>
        </w:rPr>
        <w:t xml:space="preserve"> ways in which my research process could have been enhanced. The final analysis was based on a wide array of evidence, but I might have looked at academic databases earlier for literature on the satellite broadband or international infrastructure investment and global value chains, </w:t>
      </w:r>
      <w:r w:rsidRPr="00811E87">
        <w:rPr>
          <w:rFonts w:ascii="Arial" w:hAnsi="Arial" w:cs="Arial"/>
        </w:rPr>
        <w:lastRenderedPageBreak/>
        <w:t>instead of relying on industry literature as a primary source during the initial research phase. Having a case log of evidence from the start would also have saved time in comparing sources and verifying information as the case developed. Furthermore, I found that Bartlett and Ghoshal's model mapped closely with Dunning's OLI model only when I was finishing the writing process. The links between the theoretical underpinnings and the findings of the environmental analysis and entry-mode recommendation were not made more explicit at the beginning of the report, which would have enhanced the continuity of the report and the logical flow of the report's argument from global strategy to environmental analysis and entry-mode recommendation.</w:t>
      </w:r>
    </w:p>
    <w:p w14:paraId="2B8E76AF" w14:textId="63F029EF" w:rsidR="006261ED" w:rsidRPr="00811E87" w:rsidRDefault="00E25D57" w:rsidP="00E25D57">
      <w:pPr>
        <w:rPr>
          <w:rFonts w:ascii="Arial" w:hAnsi="Arial" w:cs="Arial"/>
        </w:rPr>
      </w:pPr>
      <w:r w:rsidRPr="00811E87">
        <w:rPr>
          <w:rFonts w:ascii="Arial" w:hAnsi="Arial" w:cs="Arial"/>
        </w:rPr>
        <w:t xml:space="preserve">This reflection thus has pointed out </w:t>
      </w:r>
      <w:proofErr w:type="gramStart"/>
      <w:r w:rsidRPr="00811E87">
        <w:rPr>
          <w:rFonts w:ascii="Arial" w:hAnsi="Arial" w:cs="Arial"/>
        </w:rPr>
        <w:t>a number of</w:t>
      </w:r>
      <w:proofErr w:type="gramEnd"/>
      <w:r w:rsidRPr="00811E87">
        <w:rPr>
          <w:rFonts w:ascii="Arial" w:hAnsi="Arial" w:cs="Arial"/>
        </w:rPr>
        <w:t xml:space="preserve"> actions that I plan to implement in my future research projects in an ever-changing international business context. I will create an evidence log from the beginning of the research process and will seek to find primary government and regulatory sources before secondary </w:t>
      </w:r>
      <w:r w:rsidR="00811E87" w:rsidRPr="00811E87">
        <w:rPr>
          <w:rFonts w:ascii="Arial" w:hAnsi="Arial" w:cs="Arial"/>
        </w:rPr>
        <w:t>commentary and</w:t>
      </w:r>
      <w:r w:rsidRPr="00811E87">
        <w:rPr>
          <w:rFonts w:ascii="Arial" w:hAnsi="Arial" w:cs="Arial"/>
        </w:rPr>
        <w:t xml:space="preserve"> will embed academic literature earlier rather than as a distinct part of the writing process, with priority given to applying theory to the research material. I also intend to build better connections between the theories as I create them, as the analysis will be consistent throughout the report. The use of these improvements should increase the efficiency of my research process, as well as the depth, coherence and critical quality of future international business analyses.</w:t>
      </w:r>
    </w:p>
    <w:p w14:paraId="7F1459EA" w14:textId="4ACA62D7" w:rsidR="00746BD9" w:rsidRPr="00811E87" w:rsidRDefault="00746BD9" w:rsidP="00746BD9">
      <w:pPr>
        <w:rPr>
          <w:rFonts w:ascii="Arial" w:hAnsi="Arial" w:cs="Arial"/>
        </w:rPr>
      </w:pPr>
    </w:p>
    <w:p w14:paraId="513E9D42" w14:textId="6A23CDEE" w:rsidR="00746BD9" w:rsidRDefault="00746BD9" w:rsidP="00746BD9"/>
    <w:p w14:paraId="7AA0254F" w14:textId="6CC43F95" w:rsidR="00746BD9" w:rsidRDefault="00746BD9" w:rsidP="00746BD9"/>
    <w:p w14:paraId="3FC828F2" w14:textId="7CD7A274" w:rsidR="00746BD9" w:rsidRDefault="00746BD9" w:rsidP="00746BD9"/>
    <w:p w14:paraId="1C7EA85F" w14:textId="77777777" w:rsidR="00737BD8" w:rsidRDefault="00737BD8" w:rsidP="00746BD9"/>
    <w:p w14:paraId="30A6EBC7" w14:textId="77777777" w:rsidR="00737BD8" w:rsidRDefault="00737BD8" w:rsidP="00746BD9"/>
    <w:p w14:paraId="0F636EA9" w14:textId="77777777" w:rsidR="00737BD8" w:rsidRDefault="00737BD8" w:rsidP="00746BD9"/>
    <w:bookmarkStart w:id="23" w:name="_Toc234883395" w:displacedByCustomXml="next"/>
    <w:sdt>
      <w:sdtPr>
        <w:rPr>
          <w:rFonts w:eastAsiaTheme="minorHAnsi" w:cstheme="minorBidi"/>
          <w:b w:val="0"/>
          <w:color w:val="auto"/>
          <w:sz w:val="24"/>
          <w:szCs w:val="22"/>
        </w:rPr>
        <w:id w:val="1460452788"/>
        <w:docPartObj>
          <w:docPartGallery w:val="Bibliographies"/>
          <w:docPartUnique/>
        </w:docPartObj>
      </w:sdtPr>
      <w:sdtEndPr/>
      <w:sdtContent>
        <w:p w14:paraId="7DA7EFE4" w14:textId="6EEA3F2C" w:rsidR="00746BD9" w:rsidRDefault="00746BD9">
          <w:pPr>
            <w:pStyle w:val="Heading1"/>
          </w:pPr>
          <w:r>
            <w:t>References</w:t>
          </w:r>
          <w:bookmarkEnd w:id="23"/>
        </w:p>
        <w:sdt>
          <w:sdtPr>
            <w:id w:val="-573587230"/>
            <w:bibliography/>
          </w:sdtPr>
          <w:sdtEndPr/>
          <w:sdtContent>
            <w:p w14:paraId="1BE5236E" w14:textId="723A478E" w:rsidR="00737BD8" w:rsidRPr="00737BD8" w:rsidRDefault="00737BD8" w:rsidP="00737BD8">
              <w:r w:rsidRPr="00737BD8">
                <w:t xml:space="preserve">Advanced Television (2026) 'ICASA sets out demands for Starlink in South Africa', 30 June. Available at: </w:t>
              </w:r>
              <w:hyperlink r:id="rId14" w:history="1">
                <w:r w:rsidRPr="00737BD8">
                  <w:rPr>
                    <w:rStyle w:val="Hyperlink"/>
                  </w:rPr>
                  <w:t>https://www.advanced-television.com/2026/06/30/icasa-sets-out-demands-for-starlink-in-south-africa/</w:t>
                </w:r>
              </w:hyperlink>
              <w:r w:rsidRPr="00737BD8">
                <w:t xml:space="preserve"> </w:t>
              </w:r>
            </w:p>
            <w:p w14:paraId="408CF0B4" w14:textId="77777777" w:rsidR="00737BD8" w:rsidRPr="00737BD8" w:rsidRDefault="00737BD8" w:rsidP="00737BD8">
              <w:r w:rsidRPr="00737BD8">
                <w:t xml:space="preserve">Bartlett, C.A. and Ghoshal, S. (1989) </w:t>
              </w:r>
              <w:r w:rsidRPr="00737BD8">
                <w:rPr>
                  <w:i/>
                  <w:iCs/>
                </w:rPr>
                <w:t>Managing across borders: the transnational solution</w:t>
              </w:r>
              <w:r w:rsidRPr="00737BD8">
                <w:t>. Boston, MA: Harvard Business School Press.</w:t>
              </w:r>
            </w:p>
            <w:p w14:paraId="79FAF6A3" w14:textId="77777777" w:rsidR="00737BD8" w:rsidRPr="00737BD8" w:rsidRDefault="00737BD8" w:rsidP="00737BD8">
              <w:r w:rsidRPr="00737BD8">
                <w:t xml:space="preserve">Bassot, B. (2024) </w:t>
              </w:r>
              <w:r w:rsidRPr="00737BD8">
                <w:rPr>
                  <w:i/>
                  <w:iCs/>
                </w:rPr>
                <w:t>The reflective journal</w:t>
              </w:r>
              <w:r w:rsidRPr="00737BD8">
                <w:t xml:space="preserve">. 4th </w:t>
              </w:r>
              <w:proofErr w:type="spellStart"/>
              <w:r w:rsidRPr="00737BD8">
                <w:t>edn</w:t>
              </w:r>
              <w:proofErr w:type="spellEnd"/>
              <w:r w:rsidRPr="00737BD8">
                <w:t>. London: Palgrave Macmillan.</w:t>
              </w:r>
            </w:p>
            <w:p w14:paraId="2BD4D5D5" w14:textId="4C4358B6" w:rsidR="00737BD8" w:rsidRPr="00737BD8" w:rsidRDefault="00737BD8" w:rsidP="00737BD8">
              <w:r w:rsidRPr="00737BD8">
                <w:t xml:space="preserve">Broadcast Media Africa (2026) 'ICASA outlines licensing requirements for satellite internet providers in South Africa', 30 June. Available at: </w:t>
              </w:r>
              <w:hyperlink r:id="rId15" w:history="1">
                <w:r w:rsidRPr="00737BD8">
                  <w:rPr>
                    <w:rStyle w:val="Hyperlink"/>
                  </w:rPr>
                  <w:t>https://news.broadcastmediaafrica.com/2026/06/30/icasa-outlines-licensing-requirements-for-satellite-internet-providers-in-south-africa/</w:t>
                </w:r>
              </w:hyperlink>
              <w:r w:rsidRPr="00737BD8">
                <w:t xml:space="preserve"> </w:t>
              </w:r>
            </w:p>
            <w:p w14:paraId="1F1C27B8" w14:textId="40D80168" w:rsidR="00737BD8" w:rsidRPr="00737BD8" w:rsidRDefault="00737BD8" w:rsidP="00737BD8">
              <w:proofErr w:type="spellStart"/>
              <w:r w:rsidRPr="00737BD8">
                <w:t>BuddeComm</w:t>
              </w:r>
              <w:proofErr w:type="spellEnd"/>
              <w:r w:rsidRPr="00737BD8">
                <w:t xml:space="preserve"> (2026) </w:t>
              </w:r>
              <w:r w:rsidRPr="00737BD8">
                <w:rPr>
                  <w:i/>
                  <w:iCs/>
                </w:rPr>
                <w:t>South Africa - telecoms, mobile and broadband - statistics and analyses</w:t>
              </w:r>
              <w:r w:rsidRPr="00737BD8">
                <w:t xml:space="preserve">. Available at: </w:t>
              </w:r>
              <w:hyperlink r:id="rId16" w:history="1">
                <w:r w:rsidRPr="00737BD8">
                  <w:rPr>
                    <w:rStyle w:val="Hyperlink"/>
                  </w:rPr>
                  <w:t>https://www.budde.com.au/Research/South-Africa-Telecoms-Mobile-and-Broadband-Statistics-and-Analyses</w:t>
                </w:r>
              </w:hyperlink>
              <w:r w:rsidRPr="00737BD8">
                <w:t xml:space="preserve"> </w:t>
              </w:r>
            </w:p>
            <w:p w14:paraId="162C816F" w14:textId="77777777" w:rsidR="00737BD8" w:rsidRPr="00737BD8" w:rsidRDefault="00737BD8" w:rsidP="00737BD8">
              <w:r w:rsidRPr="00737BD8">
                <w:t xml:space="preserve">Dunning, J.H. (1988) 'The eclectic paradigm of international production: a restatement and some possible extensions', </w:t>
              </w:r>
              <w:r w:rsidRPr="00737BD8">
                <w:rPr>
                  <w:i/>
                  <w:iCs/>
                </w:rPr>
                <w:t>Journal of International Business Studies</w:t>
              </w:r>
              <w:r w:rsidRPr="00737BD8">
                <w:t>, 19(1), pp. 1–31.</w:t>
              </w:r>
            </w:p>
            <w:p w14:paraId="446E2CA8" w14:textId="77777777" w:rsidR="00737BD8" w:rsidRPr="00737BD8" w:rsidRDefault="00737BD8" w:rsidP="00737BD8">
              <w:r w:rsidRPr="00737BD8">
                <w:t xml:space="preserve">Dunning, J.H. and </w:t>
              </w:r>
              <w:proofErr w:type="spellStart"/>
              <w:r w:rsidRPr="00737BD8">
                <w:t>Lundan</w:t>
              </w:r>
              <w:proofErr w:type="spellEnd"/>
              <w:r w:rsidRPr="00737BD8">
                <w:t xml:space="preserve">, S.M. (2008) </w:t>
              </w:r>
              <w:r w:rsidRPr="00737BD8">
                <w:rPr>
                  <w:i/>
                  <w:iCs/>
                </w:rPr>
                <w:t>Multinational enterprises and the global economy</w:t>
              </w:r>
              <w:r w:rsidRPr="00737BD8">
                <w:t xml:space="preserve">. 2nd </w:t>
              </w:r>
              <w:proofErr w:type="spellStart"/>
              <w:r w:rsidRPr="00737BD8">
                <w:t>edn</w:t>
              </w:r>
              <w:proofErr w:type="spellEnd"/>
              <w:r w:rsidRPr="00737BD8">
                <w:t>. Cheltenham: Edward Elgar.</w:t>
              </w:r>
            </w:p>
            <w:p w14:paraId="51B3FEC0" w14:textId="4EAF2465" w:rsidR="00737BD8" w:rsidRPr="00737BD8" w:rsidRDefault="00737BD8" w:rsidP="00737BD8">
              <w:r w:rsidRPr="00737BD8">
                <w:t xml:space="preserve">Fabric Data (2025) </w:t>
              </w:r>
              <w:r w:rsidRPr="00737BD8">
                <w:rPr>
                  <w:i/>
                  <w:iCs/>
                </w:rPr>
                <w:t xml:space="preserve">Fixed internet penetration </w:t>
              </w:r>
              <w:proofErr w:type="gramStart"/>
              <w:r w:rsidRPr="00737BD8">
                <w:rPr>
                  <w:i/>
                  <w:iCs/>
                </w:rPr>
                <w:t>lags behind</w:t>
              </w:r>
              <w:proofErr w:type="gramEnd"/>
              <w:r w:rsidRPr="00737BD8">
                <w:rPr>
                  <w:i/>
                  <w:iCs/>
                </w:rPr>
                <w:t xml:space="preserve"> in South Africa</w:t>
              </w:r>
              <w:r w:rsidRPr="00737BD8">
                <w:t xml:space="preserve">. Available at: </w:t>
              </w:r>
              <w:hyperlink r:id="rId17" w:history="1">
                <w:r w:rsidRPr="00737BD8">
                  <w:rPr>
                    <w:rStyle w:val="Hyperlink"/>
                  </w:rPr>
                  <w:t>https://www.fabricdata.com/south-africa-gets-connected</w:t>
                </w:r>
              </w:hyperlink>
              <w:r w:rsidRPr="00737BD8">
                <w:t xml:space="preserve"> </w:t>
              </w:r>
            </w:p>
            <w:p w14:paraId="0140DDCD" w14:textId="30140E35" w:rsidR="00737BD8" w:rsidRPr="00737BD8" w:rsidRDefault="00737BD8" w:rsidP="00737BD8">
              <w:proofErr w:type="spellStart"/>
              <w:r w:rsidRPr="00737BD8">
                <w:t>FastestFibre</w:t>
              </w:r>
              <w:proofErr w:type="spellEnd"/>
              <w:r w:rsidRPr="00737BD8">
                <w:t xml:space="preserve"> (2026) 'Is Starlink legal in South Africa? The 2026 status, explained', 4 June. Available at: </w:t>
              </w:r>
              <w:hyperlink r:id="rId18" w:history="1">
                <w:r w:rsidRPr="00737BD8">
                  <w:rPr>
                    <w:rStyle w:val="Hyperlink"/>
                  </w:rPr>
                  <w:t>https://fastestfibre.co.za/insights/is-starlink-legal-in-south-africa/</w:t>
                </w:r>
              </w:hyperlink>
              <w:r w:rsidRPr="00737BD8">
                <w:t xml:space="preserve"> </w:t>
              </w:r>
            </w:p>
            <w:p w14:paraId="3089B0FA" w14:textId="0C71E717" w:rsidR="00737BD8" w:rsidRPr="00737BD8" w:rsidRDefault="00737BD8" w:rsidP="00737BD8">
              <w:r w:rsidRPr="00737BD8">
                <w:t xml:space="preserve">Goyal, A. (2020) 'A critical analysis of Porter's 5 forces model of competitive advantage', </w:t>
              </w:r>
              <w:r w:rsidRPr="00737BD8">
                <w:rPr>
                  <w:i/>
                  <w:iCs/>
                </w:rPr>
                <w:t>Journal of Emerging Technologies and Innovative Research</w:t>
              </w:r>
              <w:r w:rsidRPr="00737BD8">
                <w:t xml:space="preserve">. Available at: </w:t>
              </w:r>
              <w:hyperlink r:id="rId19" w:history="1">
                <w:r w:rsidRPr="00737BD8">
                  <w:rPr>
                    <w:rStyle w:val="Hyperlink"/>
                  </w:rPr>
                  <w:t>https://www.researchgate.net/publication/348550277_A_Critical_Analysis_of_Porter</w:t>
                </w:r>
              </w:hyperlink>
              <w:r w:rsidRPr="00737BD8">
                <w:t xml:space="preserve"> </w:t>
              </w:r>
            </w:p>
            <w:p w14:paraId="2D5746CE" w14:textId="77777777" w:rsidR="00737BD8" w:rsidRPr="00737BD8" w:rsidRDefault="00737BD8" w:rsidP="00737BD8">
              <w:r w:rsidRPr="00737BD8">
                <w:t xml:space="preserve">Griffin, R.W. and Pustay, M.W. (2020) </w:t>
              </w:r>
              <w:r w:rsidRPr="00737BD8">
                <w:rPr>
                  <w:i/>
                  <w:iCs/>
                </w:rPr>
                <w:t>International business: a managerial perspective</w:t>
              </w:r>
              <w:r w:rsidRPr="00737BD8">
                <w:t xml:space="preserve">. 9th </w:t>
              </w:r>
              <w:proofErr w:type="spellStart"/>
              <w:r w:rsidRPr="00737BD8">
                <w:t>edn</w:t>
              </w:r>
              <w:proofErr w:type="spellEnd"/>
              <w:r w:rsidRPr="00737BD8">
                <w:t xml:space="preserve">, Global </w:t>
              </w:r>
              <w:proofErr w:type="spellStart"/>
              <w:r w:rsidRPr="00737BD8">
                <w:t>edn</w:t>
              </w:r>
              <w:proofErr w:type="spellEnd"/>
              <w:r w:rsidRPr="00737BD8">
                <w:t>. Harlow: Pearson.</w:t>
              </w:r>
            </w:p>
            <w:p w14:paraId="084425F8" w14:textId="77777777" w:rsidR="00737BD8" w:rsidRPr="00737BD8" w:rsidRDefault="00737BD8" w:rsidP="00737BD8">
              <w:r w:rsidRPr="00737BD8">
                <w:lastRenderedPageBreak/>
                <w:t xml:space="preserve">Hofstede, G. (2001) </w:t>
              </w:r>
              <w:r w:rsidRPr="00737BD8">
                <w:rPr>
                  <w:i/>
                  <w:iCs/>
                </w:rPr>
                <w:t>Culture's consequences: comparing values, behaviors, institutions and organizations across nations</w:t>
              </w:r>
              <w:r w:rsidRPr="00737BD8">
                <w:t xml:space="preserve">. 2nd </w:t>
              </w:r>
              <w:proofErr w:type="spellStart"/>
              <w:r w:rsidRPr="00737BD8">
                <w:t>edn</w:t>
              </w:r>
              <w:proofErr w:type="spellEnd"/>
              <w:r w:rsidRPr="00737BD8">
                <w:t>. Thousand Oaks, CA: Sage.</w:t>
              </w:r>
            </w:p>
            <w:p w14:paraId="39713DC0" w14:textId="08BB1D0C" w:rsidR="00737BD8" w:rsidRPr="00737BD8" w:rsidRDefault="00737BD8" w:rsidP="00737BD8">
              <w:r w:rsidRPr="00737BD8">
                <w:t xml:space="preserve">ITWeb (2026a) </w:t>
              </w:r>
              <w:r w:rsidRPr="00737BD8">
                <w:rPr>
                  <w:i/>
                  <w:iCs/>
                </w:rPr>
                <w:t xml:space="preserve">No Starlink </w:t>
              </w:r>
              <w:proofErr w:type="spellStart"/>
              <w:r w:rsidRPr="00737BD8">
                <w:rPr>
                  <w:i/>
                  <w:iCs/>
                </w:rPr>
                <w:t>licence</w:t>
              </w:r>
              <w:proofErr w:type="spellEnd"/>
              <w:r w:rsidRPr="00737BD8">
                <w:rPr>
                  <w:i/>
                  <w:iCs/>
                </w:rPr>
                <w:t xml:space="preserve"> application in SA yet</w:t>
              </w:r>
              <w:r w:rsidRPr="00737BD8">
                <w:t xml:space="preserve">. Available at: </w:t>
              </w:r>
              <w:hyperlink r:id="rId20" w:history="1">
                <w:r w:rsidRPr="00737BD8">
                  <w:rPr>
                    <w:rStyle w:val="Hyperlink"/>
                  </w:rPr>
                  <w:t>https://www.itweb.co.za/article/no-starlink-licence-application-in-sa-yet/5yONPvErdlP7XWrb</w:t>
                </w:r>
              </w:hyperlink>
              <w:r w:rsidRPr="00737BD8">
                <w:t xml:space="preserve"> </w:t>
              </w:r>
            </w:p>
            <w:p w14:paraId="485AB5BF" w14:textId="0D5617F9" w:rsidR="00737BD8" w:rsidRPr="00737BD8" w:rsidRDefault="00737BD8" w:rsidP="00737BD8">
              <w:r w:rsidRPr="00737BD8">
                <w:t xml:space="preserve">ITWeb (2026b) 'ICASA notice sheds light on Starlink's path into SA', 30 June. Available at: </w:t>
              </w:r>
              <w:hyperlink r:id="rId21" w:history="1">
                <w:r w:rsidRPr="00737BD8">
                  <w:rPr>
                    <w:rStyle w:val="Hyperlink"/>
                  </w:rPr>
                  <w:t>https://www.itweb.co.za/article/icasa-notice-sheds-light-on-starlinks-path-into-sa/JBwEr7n3zr2M6Db2</w:t>
                </w:r>
              </w:hyperlink>
              <w:r w:rsidRPr="00737BD8">
                <w:t xml:space="preserve"> </w:t>
              </w:r>
            </w:p>
            <w:p w14:paraId="5AFB2B04" w14:textId="3AE2714A" w:rsidR="00737BD8" w:rsidRPr="00737BD8" w:rsidRDefault="00737BD8" w:rsidP="00737BD8">
              <w:proofErr w:type="spellStart"/>
              <w:r w:rsidRPr="00737BD8">
                <w:t>Mappr</w:t>
              </w:r>
              <w:proofErr w:type="spellEnd"/>
              <w:r w:rsidRPr="00737BD8">
                <w:t xml:space="preserve"> (2026) </w:t>
              </w:r>
              <w:r w:rsidRPr="00737BD8">
                <w:rPr>
                  <w:i/>
                  <w:iCs/>
                </w:rPr>
                <w:t>Mapped: where Starlink is available around the world (May 2026)</w:t>
              </w:r>
              <w:r w:rsidRPr="00737BD8">
                <w:t xml:space="preserve">. Available at: </w:t>
              </w:r>
              <w:hyperlink r:id="rId22" w:history="1">
                <w:r w:rsidRPr="00737BD8">
                  <w:rPr>
                    <w:rStyle w:val="Hyperlink"/>
                  </w:rPr>
                  <w:t>https://www.mappr.co/starlink-availability-by-country/</w:t>
                </w:r>
              </w:hyperlink>
              <w:r w:rsidRPr="00737BD8">
                <w:t xml:space="preserve"> </w:t>
              </w:r>
            </w:p>
            <w:p w14:paraId="70AE0EFE" w14:textId="1C2108D0" w:rsidR="00737BD8" w:rsidRPr="00737BD8" w:rsidRDefault="00737BD8" w:rsidP="00737BD8">
              <w:r w:rsidRPr="00737BD8">
                <w:t xml:space="preserve">Mordor Intelligence (2026) </w:t>
              </w:r>
              <w:r w:rsidRPr="00737BD8">
                <w:rPr>
                  <w:i/>
                  <w:iCs/>
                </w:rPr>
                <w:t>South Africa telecom MNO market size and forecast report 2031</w:t>
              </w:r>
              <w:r w:rsidRPr="00737BD8">
                <w:t xml:space="preserve">. Available at: </w:t>
              </w:r>
              <w:hyperlink r:id="rId23" w:history="1">
                <w:r w:rsidRPr="00737BD8">
                  <w:rPr>
                    <w:rStyle w:val="Hyperlink"/>
                  </w:rPr>
                  <w:t>https://www.mordorintelligence.com/industry-reports/south-africa-telecom-market</w:t>
                </w:r>
              </w:hyperlink>
              <w:r w:rsidRPr="00737BD8">
                <w:t xml:space="preserve"> </w:t>
              </w:r>
            </w:p>
            <w:p w14:paraId="60821E9B" w14:textId="3A5BE0BD" w:rsidR="00737BD8" w:rsidRPr="00737BD8" w:rsidRDefault="00737BD8" w:rsidP="00737BD8">
              <w:r w:rsidRPr="00737BD8">
                <w:t xml:space="preserve">Space in Africa (2025) 'Cameroon edges closer to official Starlink launch as satellite internet sweeps Africa', 13 December. Available at: </w:t>
              </w:r>
              <w:hyperlink r:id="rId24" w:history="1">
                <w:r w:rsidRPr="00737BD8">
                  <w:rPr>
                    <w:rStyle w:val="Hyperlink"/>
                  </w:rPr>
                  <w:t>https://spaceinafrica.com/2025/12/13/cameroon-edges-closer-to-official-starlink-launch-as-satellite-internet-sweeps-africa/</w:t>
                </w:r>
              </w:hyperlink>
              <w:r w:rsidRPr="00737BD8">
                <w:t xml:space="preserve"> </w:t>
              </w:r>
            </w:p>
            <w:p w14:paraId="7ADD15B8" w14:textId="71C98FF1" w:rsidR="00737BD8" w:rsidRPr="00737BD8" w:rsidRDefault="00737BD8" w:rsidP="00737BD8">
              <w:r w:rsidRPr="00737BD8">
                <w:t xml:space="preserve">Starlink (2026) </w:t>
              </w:r>
              <w:r w:rsidRPr="00737BD8">
                <w:rPr>
                  <w:i/>
                  <w:iCs/>
                </w:rPr>
                <w:t>Fast, affordable internet</w:t>
              </w:r>
              <w:r w:rsidRPr="00737BD8">
                <w:t xml:space="preserve">. Available at: </w:t>
              </w:r>
              <w:hyperlink r:id="rId25" w:history="1">
                <w:r w:rsidRPr="00737BD8">
                  <w:rPr>
                    <w:rStyle w:val="Hyperlink"/>
                  </w:rPr>
                  <w:t>https://starlink.com/us</w:t>
                </w:r>
              </w:hyperlink>
              <w:r w:rsidRPr="00737BD8">
                <w:t xml:space="preserve"> </w:t>
              </w:r>
            </w:p>
            <w:p w14:paraId="0E9725E3" w14:textId="5CA41639" w:rsidR="00737BD8" w:rsidRPr="00737BD8" w:rsidRDefault="00737BD8" w:rsidP="00737BD8">
              <w:proofErr w:type="spellStart"/>
              <w:r w:rsidRPr="00737BD8">
                <w:t>TechCabal</w:t>
              </w:r>
              <w:proofErr w:type="spellEnd"/>
              <w:r w:rsidRPr="00737BD8">
                <w:t xml:space="preserve"> Insights (2026) </w:t>
              </w:r>
              <w:r w:rsidRPr="00737BD8">
                <w:rPr>
                  <w:i/>
                  <w:iCs/>
                </w:rPr>
                <w:t>Who owns Africa's sky?</w:t>
              </w:r>
              <w:r w:rsidRPr="00737BD8">
                <w:t xml:space="preserve"> Available at: </w:t>
              </w:r>
              <w:hyperlink r:id="rId26" w:history="1">
                <w:r w:rsidRPr="00737BD8">
                  <w:rPr>
                    <w:rStyle w:val="Hyperlink"/>
                  </w:rPr>
                  <w:t>https://insights.techcabal.com/who-owns-africas-sky/</w:t>
                </w:r>
              </w:hyperlink>
              <w:r w:rsidRPr="00737BD8">
                <w:t xml:space="preserve"> </w:t>
              </w:r>
            </w:p>
            <w:p w14:paraId="57953A9F" w14:textId="1DF56459" w:rsidR="00737BD8" w:rsidRPr="00737BD8" w:rsidRDefault="00737BD8" w:rsidP="00737BD8">
              <w:r w:rsidRPr="00737BD8">
                <w:t xml:space="preserve">TechCentral (2026) </w:t>
              </w:r>
              <w:r w:rsidRPr="00737BD8">
                <w:rPr>
                  <w:i/>
                  <w:iCs/>
                </w:rPr>
                <w:t>ICASA's blunt message to Starlink and other satellite operators</w:t>
              </w:r>
              <w:r w:rsidRPr="00737BD8">
                <w:t xml:space="preserve">. Available at: </w:t>
              </w:r>
              <w:hyperlink r:id="rId27" w:history="1">
                <w:r w:rsidRPr="00737BD8">
                  <w:rPr>
                    <w:rStyle w:val="Hyperlink"/>
                  </w:rPr>
                  <w:t>https://techcentral.co.za/icasas-blunt-message-to-starlink-and-other-satellite-operators/283138/</w:t>
                </w:r>
              </w:hyperlink>
              <w:r w:rsidRPr="00737BD8">
                <w:t xml:space="preserve"> </w:t>
              </w:r>
            </w:p>
            <w:p w14:paraId="12F6D8B4" w14:textId="6A17636D" w:rsidR="00737BD8" w:rsidRPr="00737BD8" w:rsidRDefault="00737BD8" w:rsidP="00737BD8">
              <w:r w:rsidRPr="00737BD8">
                <w:t xml:space="preserve">Tech in Africa (2026) 'Starlink vs OneWeb vs SES in Africa: who will dominate satellite internet in 2026?', 30 January. Available at: </w:t>
              </w:r>
              <w:hyperlink r:id="rId28" w:history="1">
                <w:r w:rsidRPr="00737BD8">
                  <w:rPr>
                    <w:rStyle w:val="Hyperlink"/>
                  </w:rPr>
                  <w:t>https://www.techinafrica.com/starlink-vs-oneweb-vs-ses-africa-dominate-satellite-internet-2026/</w:t>
                </w:r>
              </w:hyperlink>
              <w:r w:rsidRPr="00737BD8">
                <w:t xml:space="preserve"> </w:t>
              </w:r>
            </w:p>
            <w:p w14:paraId="22E43D4C" w14:textId="39810D34" w:rsidR="00737BD8" w:rsidRPr="00737BD8" w:rsidRDefault="00737BD8" w:rsidP="00737BD8">
              <w:proofErr w:type="spellStart"/>
              <w:r w:rsidRPr="00737BD8">
                <w:t>TeleGeography</w:t>
              </w:r>
              <w:proofErr w:type="spellEnd"/>
              <w:r w:rsidRPr="00737BD8">
                <w:t xml:space="preserve"> (2025) 'Starlink expanding in Africa', 14 October. Available at: </w:t>
              </w:r>
              <w:hyperlink r:id="rId29" w:history="1">
                <w:r w:rsidRPr="00737BD8">
                  <w:rPr>
                    <w:rStyle w:val="Hyperlink"/>
                  </w:rPr>
                  <w:t>https://resources.telegeography.com/starlink-expanding-in-africa</w:t>
                </w:r>
              </w:hyperlink>
              <w:r w:rsidRPr="00737BD8">
                <w:t xml:space="preserve"> </w:t>
              </w:r>
            </w:p>
            <w:p w14:paraId="29104029" w14:textId="77777777" w:rsidR="00737BD8" w:rsidRPr="00737BD8" w:rsidRDefault="00737BD8" w:rsidP="00737BD8">
              <w:proofErr w:type="spellStart"/>
              <w:r w:rsidRPr="00737BD8">
                <w:t>Thetsane</w:t>
              </w:r>
              <w:proofErr w:type="spellEnd"/>
              <w:r w:rsidRPr="00737BD8">
                <w:t xml:space="preserve">, R.M. (2024) 'An application of Hofstede's cultural dimensions and golden circle in entrepreneurship education', </w:t>
              </w:r>
              <w:r w:rsidRPr="00737BD8">
                <w:rPr>
                  <w:i/>
                  <w:iCs/>
                </w:rPr>
                <w:t>Southern African Journal of Entrepreneurship and Small Business Management</w:t>
              </w:r>
              <w:r w:rsidRPr="00737BD8">
                <w:t>, 16(1).</w:t>
              </w:r>
            </w:p>
            <w:p w14:paraId="634C8456" w14:textId="1EA5465F" w:rsidR="00746BD9" w:rsidRDefault="00737BD8">
              <w:proofErr w:type="spellStart"/>
              <w:r w:rsidRPr="00737BD8">
                <w:lastRenderedPageBreak/>
                <w:t>Weetracker</w:t>
              </w:r>
              <w:proofErr w:type="spellEnd"/>
              <w:r w:rsidRPr="00737BD8">
                <w:t xml:space="preserve"> (2025) 'Starlink goes from rival to ally with Africa's top telcos in surprise shift', 19 December. Available at: </w:t>
              </w:r>
              <w:hyperlink r:id="rId30" w:history="1">
                <w:r w:rsidRPr="00737BD8">
                  <w:rPr>
                    <w:rStyle w:val="Hyperlink"/>
                  </w:rPr>
                  <w:t>https://weetracker.com/2025/12/17/starlink-partners-african-telcos/</w:t>
                </w:r>
              </w:hyperlink>
              <w:r w:rsidRPr="00737BD8">
                <w:t xml:space="preserve"> </w:t>
              </w:r>
              <w:r>
                <w:t xml:space="preserve"> </w:t>
              </w:r>
            </w:p>
            <w:p w14:paraId="378632B7" w14:textId="77777777" w:rsidR="00746BD9" w:rsidRDefault="00746BD9"/>
            <w:p w14:paraId="2EAAF7E3" w14:textId="097DBB46" w:rsidR="00746BD9" w:rsidRDefault="00EA55DE"/>
          </w:sdtContent>
        </w:sdt>
      </w:sdtContent>
    </w:sdt>
    <w:p w14:paraId="58DD3743" w14:textId="399DF7AE" w:rsidR="00746BD9" w:rsidRDefault="00746BD9" w:rsidP="00746BD9"/>
    <w:p w14:paraId="7C33AF17" w14:textId="77777777" w:rsidR="00746BD9" w:rsidRPr="00746BD9" w:rsidRDefault="00746BD9" w:rsidP="00746BD9"/>
    <w:sectPr w:rsidR="00746BD9" w:rsidRPr="00746BD9" w:rsidSect="00746BD9">
      <w:footerReference w:type="default" r:id="rId31"/>
      <w:footerReference w:type="first" r:id="rId32"/>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05269D" w14:textId="77777777" w:rsidR="00EA55DE" w:rsidRDefault="00EA55DE" w:rsidP="00746BD9">
      <w:pPr>
        <w:spacing w:after="0" w:line="240" w:lineRule="auto"/>
      </w:pPr>
      <w:r>
        <w:separator/>
      </w:r>
    </w:p>
  </w:endnote>
  <w:endnote w:type="continuationSeparator" w:id="0">
    <w:p w14:paraId="7E53E957" w14:textId="77777777" w:rsidR="00EA55DE" w:rsidRDefault="00EA55DE" w:rsidP="00746B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2761951"/>
      <w:docPartObj>
        <w:docPartGallery w:val="Page Numbers (Bottom of Page)"/>
        <w:docPartUnique/>
      </w:docPartObj>
    </w:sdtPr>
    <w:sdtEndPr>
      <w:rPr>
        <w:noProof/>
      </w:rPr>
    </w:sdtEndPr>
    <w:sdtContent>
      <w:p w14:paraId="0946CA53" w14:textId="6E971586" w:rsidR="00746BD9" w:rsidRDefault="00746BD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96A30B" w14:textId="77777777" w:rsidR="00746BD9" w:rsidRDefault="00746B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9312499"/>
      <w:docPartObj>
        <w:docPartGallery w:val="Page Numbers (Bottom of Page)"/>
        <w:docPartUnique/>
      </w:docPartObj>
    </w:sdtPr>
    <w:sdtEndPr>
      <w:rPr>
        <w:noProof/>
      </w:rPr>
    </w:sdtEndPr>
    <w:sdtContent>
      <w:p w14:paraId="096B62F1" w14:textId="77777777" w:rsidR="00746BD9" w:rsidRDefault="00746BD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BF7D02" w14:textId="77777777" w:rsidR="00746BD9" w:rsidRDefault="00746BD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3D123" w14:textId="77777777" w:rsidR="00746BD9" w:rsidRDefault="00746B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5BDFC" w14:textId="77777777" w:rsidR="00EA55DE" w:rsidRDefault="00EA55DE" w:rsidP="00746BD9">
      <w:pPr>
        <w:spacing w:after="0" w:line="240" w:lineRule="auto"/>
      </w:pPr>
      <w:r>
        <w:separator/>
      </w:r>
    </w:p>
  </w:footnote>
  <w:footnote w:type="continuationSeparator" w:id="0">
    <w:p w14:paraId="38C85F44" w14:textId="77777777" w:rsidR="00EA55DE" w:rsidRDefault="00EA55DE" w:rsidP="00746B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FD7210"/>
    <w:multiLevelType w:val="hybridMultilevel"/>
    <w:tmpl w:val="5CD00F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4898990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87D"/>
    <w:rsid w:val="00015EFA"/>
    <w:rsid w:val="00063320"/>
    <w:rsid w:val="00063C69"/>
    <w:rsid w:val="0019393B"/>
    <w:rsid w:val="001A1CDE"/>
    <w:rsid w:val="001C0FEF"/>
    <w:rsid w:val="0022454C"/>
    <w:rsid w:val="00265936"/>
    <w:rsid w:val="00272CF1"/>
    <w:rsid w:val="002805FE"/>
    <w:rsid w:val="002E7D9A"/>
    <w:rsid w:val="0034687D"/>
    <w:rsid w:val="0034715A"/>
    <w:rsid w:val="00357A0D"/>
    <w:rsid w:val="00367423"/>
    <w:rsid w:val="0040533C"/>
    <w:rsid w:val="00443DF9"/>
    <w:rsid w:val="004B513B"/>
    <w:rsid w:val="00571E50"/>
    <w:rsid w:val="005A3892"/>
    <w:rsid w:val="005C1807"/>
    <w:rsid w:val="005D3EF6"/>
    <w:rsid w:val="006261ED"/>
    <w:rsid w:val="00633128"/>
    <w:rsid w:val="00653B50"/>
    <w:rsid w:val="00680D48"/>
    <w:rsid w:val="00737BD8"/>
    <w:rsid w:val="00746BD9"/>
    <w:rsid w:val="00772634"/>
    <w:rsid w:val="007D355E"/>
    <w:rsid w:val="00804C9D"/>
    <w:rsid w:val="0080681E"/>
    <w:rsid w:val="00811E87"/>
    <w:rsid w:val="00826EF1"/>
    <w:rsid w:val="00833B61"/>
    <w:rsid w:val="008D5443"/>
    <w:rsid w:val="008E3631"/>
    <w:rsid w:val="00944711"/>
    <w:rsid w:val="0095727D"/>
    <w:rsid w:val="0098261C"/>
    <w:rsid w:val="009901D6"/>
    <w:rsid w:val="009977E3"/>
    <w:rsid w:val="009A1AE7"/>
    <w:rsid w:val="00A166F3"/>
    <w:rsid w:val="00A223A9"/>
    <w:rsid w:val="00A97A3A"/>
    <w:rsid w:val="00AA2BA6"/>
    <w:rsid w:val="00AD1755"/>
    <w:rsid w:val="00B20BEA"/>
    <w:rsid w:val="00BA04DA"/>
    <w:rsid w:val="00BB626D"/>
    <w:rsid w:val="00C24A4A"/>
    <w:rsid w:val="00C90CE9"/>
    <w:rsid w:val="00D12B08"/>
    <w:rsid w:val="00D57533"/>
    <w:rsid w:val="00D61170"/>
    <w:rsid w:val="00DA3085"/>
    <w:rsid w:val="00E25D57"/>
    <w:rsid w:val="00E654FD"/>
    <w:rsid w:val="00E832B8"/>
    <w:rsid w:val="00EA55DE"/>
    <w:rsid w:val="00F079AA"/>
    <w:rsid w:val="00F157FE"/>
    <w:rsid w:val="00F24B49"/>
    <w:rsid w:val="00F45984"/>
    <w:rsid w:val="00FB7A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AF501"/>
  <w15:chartTrackingRefBased/>
  <w15:docId w15:val="{1D753AAA-5FA0-4242-B08E-F327FEF24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89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A3892"/>
    <w:pPr>
      <w:keepNext/>
      <w:keepLines/>
      <w:spacing w:before="240" w:after="0"/>
      <w:jc w:val="left"/>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5A3892"/>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3892"/>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5A3892"/>
    <w:rPr>
      <w:rFonts w:ascii="Times New Roman" w:eastAsiaTheme="majorEastAsia" w:hAnsi="Times New Roman" w:cstheme="majorBidi"/>
      <w:b/>
      <w:color w:val="000000" w:themeColor="text1"/>
      <w:sz w:val="26"/>
      <w:szCs w:val="26"/>
    </w:rPr>
  </w:style>
  <w:style w:type="paragraph" w:styleId="Title">
    <w:name w:val="Title"/>
    <w:basedOn w:val="Normal"/>
    <w:next w:val="Normal"/>
    <w:link w:val="TitleChar"/>
    <w:uiPriority w:val="10"/>
    <w:qFormat/>
    <w:rsid w:val="005A3892"/>
    <w:pPr>
      <w:spacing w:after="0" w:line="240" w:lineRule="auto"/>
      <w:contextualSpacing/>
    </w:pPr>
    <w:rPr>
      <w:rFonts w:eastAsiaTheme="majorEastAsia" w:cstheme="majorBidi"/>
      <w:spacing w:val="-10"/>
      <w:kern w:val="28"/>
      <w:sz w:val="48"/>
      <w:szCs w:val="56"/>
    </w:rPr>
  </w:style>
  <w:style w:type="character" w:customStyle="1" w:styleId="TitleChar">
    <w:name w:val="Title Char"/>
    <w:basedOn w:val="DefaultParagraphFont"/>
    <w:link w:val="Title"/>
    <w:uiPriority w:val="10"/>
    <w:rsid w:val="005A3892"/>
    <w:rPr>
      <w:rFonts w:ascii="Times New Roman" w:eastAsiaTheme="majorEastAsia" w:hAnsi="Times New Roman" w:cstheme="majorBidi"/>
      <w:spacing w:val="-10"/>
      <w:kern w:val="28"/>
      <w:sz w:val="48"/>
      <w:szCs w:val="56"/>
    </w:rPr>
  </w:style>
  <w:style w:type="paragraph" w:styleId="Subtitle">
    <w:name w:val="Subtitle"/>
    <w:basedOn w:val="Normal"/>
    <w:next w:val="Normal"/>
    <w:link w:val="SubtitleChar"/>
    <w:uiPriority w:val="11"/>
    <w:qFormat/>
    <w:rsid w:val="005A3892"/>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5A3892"/>
    <w:rPr>
      <w:rFonts w:ascii="Times New Roman" w:eastAsiaTheme="minorEastAsia" w:hAnsi="Times New Roman"/>
      <w:color w:val="000000" w:themeColor="text1"/>
      <w:spacing w:val="15"/>
      <w:sz w:val="24"/>
    </w:rPr>
  </w:style>
  <w:style w:type="paragraph" w:styleId="TOCHeading">
    <w:name w:val="TOC Heading"/>
    <w:basedOn w:val="Heading1"/>
    <w:next w:val="Normal"/>
    <w:uiPriority w:val="39"/>
    <w:unhideWhenUsed/>
    <w:qFormat/>
    <w:rsid w:val="00746BD9"/>
    <w:pPr>
      <w:spacing w:line="259" w:lineRule="auto"/>
      <w:outlineLvl w:val="9"/>
    </w:pPr>
    <w:rPr>
      <w:rFonts w:asciiTheme="majorHAnsi" w:hAnsiTheme="majorHAnsi"/>
      <w:b w:val="0"/>
      <w:color w:val="2F5496" w:themeColor="accent1" w:themeShade="BF"/>
    </w:rPr>
  </w:style>
  <w:style w:type="paragraph" w:styleId="Header">
    <w:name w:val="header"/>
    <w:basedOn w:val="Normal"/>
    <w:link w:val="HeaderChar"/>
    <w:uiPriority w:val="99"/>
    <w:unhideWhenUsed/>
    <w:rsid w:val="00746B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6BD9"/>
    <w:rPr>
      <w:rFonts w:ascii="Times New Roman" w:hAnsi="Times New Roman"/>
      <w:sz w:val="24"/>
    </w:rPr>
  </w:style>
  <w:style w:type="paragraph" w:styleId="Footer">
    <w:name w:val="footer"/>
    <w:basedOn w:val="Normal"/>
    <w:link w:val="FooterChar"/>
    <w:uiPriority w:val="99"/>
    <w:unhideWhenUsed/>
    <w:rsid w:val="00746B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6BD9"/>
    <w:rPr>
      <w:rFonts w:ascii="Times New Roman" w:hAnsi="Times New Roman"/>
      <w:sz w:val="24"/>
    </w:rPr>
  </w:style>
  <w:style w:type="paragraph" w:styleId="ListParagraph">
    <w:name w:val="List Paragraph"/>
    <w:basedOn w:val="Normal"/>
    <w:uiPriority w:val="34"/>
    <w:qFormat/>
    <w:rsid w:val="00944711"/>
    <w:pPr>
      <w:spacing w:after="200"/>
      <w:ind w:left="720"/>
      <w:contextualSpacing/>
    </w:pPr>
    <w:rPr>
      <w:rFonts w:ascii="Arial" w:hAnsi="Arial"/>
    </w:rPr>
  </w:style>
  <w:style w:type="character" w:styleId="Hyperlink">
    <w:name w:val="Hyperlink"/>
    <w:basedOn w:val="DefaultParagraphFont"/>
    <w:uiPriority w:val="99"/>
    <w:unhideWhenUsed/>
    <w:rsid w:val="00737BD8"/>
    <w:rPr>
      <w:color w:val="0563C1" w:themeColor="hyperlink"/>
      <w:u w:val="single"/>
    </w:rPr>
  </w:style>
  <w:style w:type="character" w:styleId="UnresolvedMention">
    <w:name w:val="Unresolved Mention"/>
    <w:basedOn w:val="DefaultParagraphFont"/>
    <w:uiPriority w:val="99"/>
    <w:semiHidden/>
    <w:unhideWhenUsed/>
    <w:rsid w:val="00737BD8"/>
    <w:rPr>
      <w:color w:val="605E5C"/>
      <w:shd w:val="clear" w:color="auto" w:fill="E1DFDD"/>
    </w:rPr>
  </w:style>
  <w:style w:type="paragraph" w:styleId="TOC1">
    <w:name w:val="toc 1"/>
    <w:basedOn w:val="Normal"/>
    <w:next w:val="Normal"/>
    <w:autoRedefine/>
    <w:uiPriority w:val="39"/>
    <w:unhideWhenUsed/>
    <w:rsid w:val="00367423"/>
    <w:pPr>
      <w:spacing w:after="100"/>
    </w:pPr>
  </w:style>
  <w:style w:type="paragraph" w:styleId="TOC2">
    <w:name w:val="toc 2"/>
    <w:basedOn w:val="Normal"/>
    <w:next w:val="Normal"/>
    <w:autoRedefine/>
    <w:uiPriority w:val="39"/>
    <w:unhideWhenUsed/>
    <w:rsid w:val="0036742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fastestfibre.co.za/insights/is-starlink-legal-in-south-africa/" TargetMode="External"/><Relationship Id="rId26" Type="http://schemas.openxmlformats.org/officeDocument/2006/relationships/hyperlink" Target="https://insights.techcabal.com/who-owns-africas-sky/" TargetMode="External"/><Relationship Id="rId3" Type="http://schemas.openxmlformats.org/officeDocument/2006/relationships/styles" Target="styles.xml"/><Relationship Id="rId21" Type="http://schemas.openxmlformats.org/officeDocument/2006/relationships/hyperlink" Target="https://www.itweb.co.za/article/icasa-notice-sheds-light-on-starlinks-path-into-sa/JBwEr7n3zr2M6Db2"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fabricdata.com/south-africa-gets-connected" TargetMode="External"/><Relationship Id="rId25" Type="http://schemas.openxmlformats.org/officeDocument/2006/relationships/hyperlink" Target="https://starlink.com/u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udde.com.au/Research/South-Africa-Telecoms-Mobile-and-Broadband-Statistics-and-Analyses" TargetMode="External"/><Relationship Id="rId20" Type="http://schemas.openxmlformats.org/officeDocument/2006/relationships/hyperlink" Target="https://www.itweb.co.za/article/no-starlink-licence-application-in-sa-yet/5yONPvErdlP7XWrb" TargetMode="External"/><Relationship Id="rId29" Type="http://schemas.openxmlformats.org/officeDocument/2006/relationships/hyperlink" Target="https://resources.telegeography.com/starlink-expanding-in-afric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spaceinafrica.com/2025/12/13/cameroon-edges-closer-to-official-starlink-launch-as-satellite-internet-sweeps-africa/"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news.broadcastmediaafrica.com/2026/06/30/icasa-outlines-licensing-requirements-for-satellite-internet-providers-in-south-africa/" TargetMode="External"/><Relationship Id="rId23" Type="http://schemas.openxmlformats.org/officeDocument/2006/relationships/hyperlink" Target="https://www.mordorintelligence.com/industry-reports/south-africa-telecom-market" TargetMode="External"/><Relationship Id="rId28" Type="http://schemas.openxmlformats.org/officeDocument/2006/relationships/hyperlink" Target="https://www.techinafrica.com/starlink-vs-oneweb-vs-ses-africa-dominate-satellite-internet-2026/" TargetMode="External"/><Relationship Id="rId10" Type="http://schemas.openxmlformats.org/officeDocument/2006/relationships/image" Target="media/image2.png"/><Relationship Id="rId19" Type="http://schemas.openxmlformats.org/officeDocument/2006/relationships/hyperlink" Target="https://www.researchgate.net/publication/348550277_A_Critical_Analysis_of_Porter"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advanced-television.com/2026/06/30/icasa-sets-out-demands-for-starlink-in-south-africa/" TargetMode="External"/><Relationship Id="rId22" Type="http://schemas.openxmlformats.org/officeDocument/2006/relationships/hyperlink" Target="https://www.mappr.co/starlink-availability-by-country/" TargetMode="External"/><Relationship Id="rId27" Type="http://schemas.openxmlformats.org/officeDocument/2006/relationships/hyperlink" Target="https://techcentral.co.za/icasas-blunt-message-to-starlink-and-other-satellite-operators/283138/" TargetMode="External"/><Relationship Id="rId30" Type="http://schemas.openxmlformats.org/officeDocument/2006/relationships/hyperlink" Target="https://weetracker.com/2025/12/17/starlink-partners-african-telcos/"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D9F507-A729-41A1-9EEA-6AE684547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24</Pages>
  <Words>6660</Words>
  <Characters>37966</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Olimpia Ciolte</cp:lastModifiedBy>
  <cp:revision>9</cp:revision>
  <dcterms:created xsi:type="dcterms:W3CDTF">2026-05-07T18:52:00Z</dcterms:created>
  <dcterms:modified xsi:type="dcterms:W3CDTF">2026-07-16T20:07:00Z</dcterms:modified>
</cp:coreProperties>
</file>