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670CB" w14:textId="77777777" w:rsidR="00C7190C" w:rsidRDefault="00C7190C" w:rsidP="00C7190C">
      <w:pPr>
        <w:jc w:val="center"/>
        <w:rPr>
          <w:b/>
          <w:bCs/>
          <w:u w:val="single"/>
        </w:rPr>
      </w:pPr>
      <w:r w:rsidRPr="00C7190C">
        <w:rPr>
          <w:b/>
          <w:bCs/>
          <w:u w:val="single"/>
        </w:rPr>
        <w:t>The influence of Ancient Egyptian Gods in Ancient Greece. Case Study: The Sanctuary of Egyptian Gods, Attica.</w:t>
      </w:r>
    </w:p>
    <w:p w14:paraId="6CEB3578" w14:textId="6771DF56" w:rsidR="00E23314" w:rsidRPr="0079299E" w:rsidRDefault="00C7190C" w:rsidP="00C7190C">
      <w:r>
        <w:t xml:space="preserve">The presence of ancient Egyptian gods in </w:t>
      </w:r>
      <w:r w:rsidR="00F3263C">
        <w:t xml:space="preserve">the </w:t>
      </w:r>
      <w:r>
        <w:t>ancient Gree</w:t>
      </w:r>
      <w:r w:rsidR="00F3263C">
        <w:t>k world</w:t>
      </w:r>
      <w:r>
        <w:t xml:space="preserve"> can be argued to have existed back to</w:t>
      </w:r>
      <w:r w:rsidR="000072E7">
        <w:t xml:space="preserve"> the 9</w:t>
      </w:r>
      <w:r w:rsidR="000072E7" w:rsidRPr="000072E7">
        <w:rPr>
          <w:vertAlign w:val="superscript"/>
        </w:rPr>
        <w:t>th</w:t>
      </w:r>
      <w:r w:rsidR="000072E7">
        <w:t xml:space="preserve"> century </w:t>
      </w:r>
      <w:r w:rsidR="00B50F6A">
        <w:t>BC</w:t>
      </w:r>
      <w:r w:rsidR="00B50F6A">
        <w:rPr>
          <w:rStyle w:val="FootnoteReference"/>
        </w:rPr>
        <w:footnoteReference w:id="1"/>
      </w:r>
      <w:r>
        <w:t xml:space="preserve">. </w:t>
      </w:r>
      <w:r w:rsidR="0023283D">
        <w:t xml:space="preserve">Greek historian, </w:t>
      </w:r>
      <w:r>
        <w:t>Herodotus</w:t>
      </w:r>
      <w:r w:rsidR="0023283D">
        <w:t>,</w:t>
      </w:r>
      <w:r>
        <w:t xml:space="preserve"> equates the Egyptian gods with Greek gods, ‘Dionysus with Osiris, </w:t>
      </w:r>
      <w:r w:rsidRPr="0079299E">
        <w:t>Apollo with Horus, Artemis with Bubastis, Demeter with Isis’</w:t>
      </w:r>
      <w:r w:rsidRPr="0079299E">
        <w:rPr>
          <w:rStyle w:val="FootnoteReference"/>
        </w:rPr>
        <w:footnoteReference w:id="2"/>
      </w:r>
      <w:r w:rsidRPr="0079299E">
        <w:t xml:space="preserve">. </w:t>
      </w:r>
      <w:r w:rsidR="008764A2" w:rsidRPr="0079299E">
        <w:t>It was common for Greeks historians to explore Egyptian religion and culture</w:t>
      </w:r>
      <w:r w:rsidR="00FE2713" w:rsidRPr="0079299E">
        <w:t xml:space="preserve"> and to bring back aspects into Greece</w:t>
      </w:r>
      <w:r w:rsidR="00FE2713" w:rsidRPr="0079299E">
        <w:rPr>
          <w:rStyle w:val="FootnoteReference"/>
        </w:rPr>
        <w:footnoteReference w:id="3"/>
      </w:r>
      <w:r w:rsidR="00FE2713" w:rsidRPr="0079299E">
        <w:t xml:space="preserve">. </w:t>
      </w:r>
      <w:r w:rsidR="002A57C1" w:rsidRPr="0079299E">
        <w:t>This e</w:t>
      </w:r>
      <w:r w:rsidR="00F6433B" w:rsidRPr="0079299E">
        <w:t>xplores</w:t>
      </w:r>
      <w:r w:rsidRPr="0079299E">
        <w:t xml:space="preserve"> the sanctuary of Egyptian Gods which is located at Marathon in the north east region of Attica</w:t>
      </w:r>
      <w:r w:rsidRPr="0079299E">
        <w:rPr>
          <w:rStyle w:val="FootnoteReference"/>
        </w:rPr>
        <w:footnoteReference w:id="4"/>
      </w:r>
      <w:r w:rsidRPr="0079299E">
        <w:t xml:space="preserve">. </w:t>
      </w:r>
      <w:r w:rsidR="00E23314" w:rsidRPr="0079299E">
        <w:t>The essay will explore the location, structure, the statues, lamps, and inscriptions discovered at the sanctuary, to provide evidence that some aspects of ancient Greek gods and worship</w:t>
      </w:r>
      <w:r w:rsidR="00C6675C" w:rsidRPr="0079299E">
        <w:t>ping locations</w:t>
      </w:r>
      <w:r w:rsidR="00E23314" w:rsidRPr="0079299E">
        <w:t xml:space="preserve"> w</w:t>
      </w:r>
      <w:r w:rsidR="00C6675C" w:rsidRPr="0079299E">
        <w:t>ere</w:t>
      </w:r>
      <w:r w:rsidR="00E23314" w:rsidRPr="0079299E">
        <w:t xml:space="preserve"> influence</w:t>
      </w:r>
      <w:r w:rsidR="00C6675C" w:rsidRPr="0079299E">
        <w:t>d</w:t>
      </w:r>
      <w:r w:rsidR="00E23314" w:rsidRPr="0079299E">
        <w:t xml:space="preserve"> by </w:t>
      </w:r>
      <w:r w:rsidR="00C6675C" w:rsidRPr="0079299E">
        <w:t xml:space="preserve">the </w:t>
      </w:r>
      <w:r w:rsidR="00E23314" w:rsidRPr="0079299E">
        <w:t>ancient Egypt</w:t>
      </w:r>
      <w:r w:rsidR="00C6675C" w:rsidRPr="0079299E">
        <w:t>ians</w:t>
      </w:r>
      <w:r w:rsidR="00E23314" w:rsidRPr="0079299E">
        <w:t>.</w:t>
      </w:r>
    </w:p>
    <w:p w14:paraId="60A442F5" w14:textId="2CBB433F" w:rsidR="0048571C" w:rsidRPr="0079299E" w:rsidRDefault="00C7190C" w:rsidP="00C7190C">
      <w:r w:rsidRPr="0079299E">
        <w:t>The sanctuary was built in the 2</w:t>
      </w:r>
      <w:r w:rsidRPr="0079299E">
        <w:rPr>
          <w:vertAlign w:val="superscript"/>
        </w:rPr>
        <w:t>nd</w:t>
      </w:r>
      <w:r w:rsidRPr="0079299E">
        <w:t xml:space="preserve"> century </w:t>
      </w:r>
      <w:r w:rsidR="00626222" w:rsidRPr="0079299E">
        <w:t xml:space="preserve">by </w:t>
      </w:r>
      <w:r w:rsidR="006632CB" w:rsidRPr="0079299E">
        <w:t>Athenian</w:t>
      </w:r>
      <w:r w:rsidR="00DB5729" w:rsidRPr="0079299E">
        <w:t xml:space="preserve"> nobleman</w:t>
      </w:r>
      <w:r w:rsidR="00626222" w:rsidRPr="0079299E">
        <w:t>, Herodes Atticus</w:t>
      </w:r>
      <w:r w:rsidR="00626222" w:rsidRPr="0079299E">
        <w:rPr>
          <w:rStyle w:val="FootnoteReference"/>
        </w:rPr>
        <w:footnoteReference w:id="5"/>
      </w:r>
      <w:r w:rsidR="00626222" w:rsidRPr="0079299E">
        <w:t>, this was a time of flourishment for construction in Attica and Athens</w:t>
      </w:r>
      <w:r w:rsidR="00626222" w:rsidRPr="0079299E">
        <w:rPr>
          <w:rStyle w:val="FootnoteReference"/>
        </w:rPr>
        <w:footnoteReference w:id="6"/>
      </w:r>
      <w:r w:rsidR="00626222" w:rsidRPr="0079299E">
        <w:t>.</w:t>
      </w:r>
      <w:r w:rsidR="001F6523" w:rsidRPr="0079299E">
        <w:t xml:space="preserve"> Atticus</w:t>
      </w:r>
      <w:r w:rsidR="001C322A" w:rsidRPr="0079299E">
        <w:t xml:space="preserve"> </w:t>
      </w:r>
      <w:r w:rsidR="003720A1" w:rsidRPr="0079299E">
        <w:t xml:space="preserve">studied </w:t>
      </w:r>
      <w:r w:rsidR="001D138C" w:rsidRPr="0079299E">
        <w:t>philosophy</w:t>
      </w:r>
      <w:r w:rsidR="003720A1" w:rsidRPr="0079299E">
        <w:t xml:space="preserve"> and rhetoric in Athens</w:t>
      </w:r>
      <w:r w:rsidR="008E5F01" w:rsidRPr="0079299E">
        <w:rPr>
          <w:rStyle w:val="FootnoteReference"/>
        </w:rPr>
        <w:footnoteReference w:id="7"/>
      </w:r>
      <w:r w:rsidR="008E5F01" w:rsidRPr="0079299E">
        <w:t xml:space="preserve">, </w:t>
      </w:r>
      <w:r w:rsidR="001D138C" w:rsidRPr="0079299E">
        <w:t xml:space="preserve">he </w:t>
      </w:r>
      <w:r w:rsidR="001C322A" w:rsidRPr="0079299E">
        <w:t xml:space="preserve">had a strong interest in the philosophical ideas of the </w:t>
      </w:r>
      <w:r w:rsidR="0075700B" w:rsidRPr="0079299E">
        <w:t>M</w:t>
      </w:r>
      <w:r w:rsidR="001C322A" w:rsidRPr="0079299E">
        <w:t xml:space="preserve">iddle </w:t>
      </w:r>
      <w:r w:rsidR="00F9296A" w:rsidRPr="0079299E">
        <w:t>Platonism</w:t>
      </w:r>
      <w:r w:rsidR="001C322A" w:rsidRPr="0079299E">
        <w:t xml:space="preserve">, which has been argued to have influenced his </w:t>
      </w:r>
      <w:r w:rsidR="004B12AD" w:rsidRPr="0079299E">
        <w:t>design</w:t>
      </w:r>
      <w:r w:rsidR="002264A2" w:rsidRPr="0079299E">
        <w:t>s</w:t>
      </w:r>
      <w:r w:rsidR="00F9296A" w:rsidRPr="0079299E">
        <w:rPr>
          <w:rStyle w:val="FootnoteReference"/>
        </w:rPr>
        <w:footnoteReference w:id="8"/>
      </w:r>
      <w:r w:rsidR="00F9296A" w:rsidRPr="0079299E">
        <w:t xml:space="preserve">. </w:t>
      </w:r>
      <w:r w:rsidR="00A53215" w:rsidRPr="0079299E">
        <w:t xml:space="preserve">The </w:t>
      </w:r>
      <w:r w:rsidR="0075700B" w:rsidRPr="0079299E">
        <w:t>Middle Platonists</w:t>
      </w:r>
      <w:r w:rsidR="005A48F3" w:rsidRPr="0079299E">
        <w:t xml:space="preserve"> were curious abou</w:t>
      </w:r>
      <w:r w:rsidR="00956593" w:rsidRPr="0079299E">
        <w:t>t Egyptian cults; using Isis, Osiris and Sarapis a</w:t>
      </w:r>
      <w:r w:rsidR="00FC2A8E" w:rsidRPr="0079299E">
        <w:t>s studies to explore the theology of an ideal platonic god</w:t>
      </w:r>
      <w:r w:rsidR="00FC2A8E" w:rsidRPr="0079299E">
        <w:rPr>
          <w:rStyle w:val="FootnoteReference"/>
        </w:rPr>
        <w:footnoteReference w:id="9"/>
      </w:r>
      <w:r w:rsidR="00FC2A8E" w:rsidRPr="0079299E">
        <w:t>.</w:t>
      </w:r>
      <w:r w:rsidR="00E90E25" w:rsidRPr="0079299E">
        <w:t xml:space="preserve"> </w:t>
      </w:r>
      <w:r w:rsidR="003224D4" w:rsidRPr="0079299E">
        <w:t>Atticus</w:t>
      </w:r>
      <w:r w:rsidR="00B4316C" w:rsidRPr="0079299E">
        <w:t xml:space="preserve"> had an active role both in the erection of religious places and in the participation on cultic </w:t>
      </w:r>
      <w:r w:rsidR="001D777F" w:rsidRPr="0079299E">
        <w:t>festivities</w:t>
      </w:r>
      <w:r w:rsidR="00B4316C" w:rsidRPr="0079299E">
        <w:rPr>
          <w:rStyle w:val="FootnoteReference"/>
        </w:rPr>
        <w:footnoteReference w:id="10"/>
      </w:r>
      <w:r w:rsidR="00E90E25" w:rsidRPr="0079299E">
        <w:t xml:space="preserve">, due to </w:t>
      </w:r>
      <w:r w:rsidR="003224D4" w:rsidRPr="0079299E">
        <w:t xml:space="preserve">this and his philosophical ideas, it would not be surprising if Atticus himself was a worshipper of Isis and this </w:t>
      </w:r>
      <w:r w:rsidR="002A57C1" w:rsidRPr="0079299E">
        <w:t xml:space="preserve">could be </w:t>
      </w:r>
      <w:r w:rsidR="003224D4" w:rsidRPr="0079299E">
        <w:t>why he constructed the sanctuary</w:t>
      </w:r>
      <w:r w:rsidR="002A57C1" w:rsidRPr="0079299E">
        <w:t xml:space="preserve"> the way he did</w:t>
      </w:r>
      <w:r w:rsidR="003224D4" w:rsidRPr="0079299E">
        <w:t xml:space="preserve">. </w:t>
      </w:r>
    </w:p>
    <w:p w14:paraId="74A6AD4E" w14:textId="6107A32A" w:rsidR="00C35788" w:rsidRPr="0079299E" w:rsidRDefault="009C4E78" w:rsidP="00C7190C">
      <w:pPr>
        <w:rPr>
          <w:u w:val="single"/>
        </w:rPr>
      </w:pPr>
      <w:r w:rsidRPr="0079299E">
        <w:t>The sit</w:t>
      </w:r>
      <w:r w:rsidR="00BA264D" w:rsidRPr="0079299E">
        <w:t xml:space="preserve">e was originally excavated by </w:t>
      </w:r>
      <w:r w:rsidR="000B158B" w:rsidRPr="0079299E">
        <w:t>18</w:t>
      </w:r>
      <w:r w:rsidR="000B158B" w:rsidRPr="0079299E">
        <w:rPr>
          <w:vertAlign w:val="superscript"/>
        </w:rPr>
        <w:t>th</w:t>
      </w:r>
      <w:r w:rsidR="000B158B" w:rsidRPr="0079299E">
        <w:t xml:space="preserve"> </w:t>
      </w:r>
      <w:r w:rsidR="00BA264D" w:rsidRPr="0079299E">
        <w:t>century traveller Henri Fauvel</w:t>
      </w:r>
      <w:r w:rsidR="00052A21" w:rsidRPr="0079299E">
        <w:t>, in 1788 to 1789 he excavated busts of Herodus Atticus, Marcus Aurelis and Lucius Verus</w:t>
      </w:r>
      <w:r w:rsidR="00052A21" w:rsidRPr="0079299E">
        <w:rPr>
          <w:rStyle w:val="FootnoteReference"/>
        </w:rPr>
        <w:footnoteReference w:id="11"/>
      </w:r>
      <w:r w:rsidR="00052A21" w:rsidRPr="0079299E">
        <w:t>.</w:t>
      </w:r>
      <w:r w:rsidR="00693617" w:rsidRPr="0079299E">
        <w:t xml:space="preserve"> </w:t>
      </w:r>
      <w:r w:rsidR="00233AA3" w:rsidRPr="0079299E">
        <w:t xml:space="preserve">According to Fauvel’s notes of the excavation, he mentioned </w:t>
      </w:r>
      <w:r w:rsidR="00636BE9" w:rsidRPr="0079299E">
        <w:t>‘he identified four sandy mounds as the tombs of those killed during the Battle of Marathon</w:t>
      </w:r>
      <w:r w:rsidR="00BE4972" w:rsidRPr="0079299E">
        <w:t>’</w:t>
      </w:r>
      <w:r w:rsidR="00BE4972" w:rsidRPr="0079299E">
        <w:rPr>
          <w:rStyle w:val="FootnoteReference"/>
        </w:rPr>
        <w:footnoteReference w:id="12"/>
      </w:r>
      <w:r w:rsidR="0025494F" w:rsidRPr="0079299E">
        <w:t>, the mounds revealed four pylons of the sanctuary</w:t>
      </w:r>
      <w:r w:rsidR="004B0B48" w:rsidRPr="0079299E">
        <w:rPr>
          <w:rStyle w:val="FootnoteReference"/>
        </w:rPr>
        <w:footnoteReference w:id="13"/>
      </w:r>
      <w:r w:rsidR="00FD7D07" w:rsidRPr="0079299E">
        <w:t xml:space="preserve">. Next </w:t>
      </w:r>
      <w:r w:rsidR="004F28D0" w:rsidRPr="0079299E">
        <w:t xml:space="preserve">major excavation work was not till 2001, </w:t>
      </w:r>
      <w:r w:rsidR="007E47B2" w:rsidRPr="0079299E">
        <w:t>excavator Iphigenia Dekoulakou</w:t>
      </w:r>
      <w:r w:rsidR="00DC4131" w:rsidRPr="0079299E">
        <w:rPr>
          <w:rStyle w:val="FootnoteReference"/>
        </w:rPr>
        <w:footnoteReference w:id="14"/>
      </w:r>
      <w:r w:rsidR="008A10C0" w:rsidRPr="0079299E">
        <w:t>;</w:t>
      </w:r>
      <w:r w:rsidR="003847DA" w:rsidRPr="0079299E">
        <w:t xml:space="preserve"> began the first systematic excavation work at the sanctuary.</w:t>
      </w:r>
      <w:r w:rsidR="0090611F" w:rsidRPr="0079299E">
        <w:t xml:space="preserve"> </w:t>
      </w:r>
      <w:r w:rsidR="003C1505" w:rsidRPr="0079299E">
        <w:t>Dekoulakou</w:t>
      </w:r>
      <w:r w:rsidR="004E1699" w:rsidRPr="0079299E">
        <w:t xml:space="preserve"> discovered and named that site as </w:t>
      </w:r>
      <w:r w:rsidR="00636AF8" w:rsidRPr="0079299E">
        <w:t>T</w:t>
      </w:r>
      <w:r w:rsidR="004E1699" w:rsidRPr="0079299E">
        <w:t>he Sanctuary of the Egyptian Gods</w:t>
      </w:r>
      <w:r w:rsidR="00B42E2F" w:rsidRPr="0079299E">
        <w:rPr>
          <w:rStyle w:val="FootnoteReference"/>
        </w:rPr>
        <w:footnoteReference w:id="15"/>
      </w:r>
      <w:r w:rsidR="004E1699" w:rsidRPr="0079299E">
        <w:t>.</w:t>
      </w:r>
      <w:r w:rsidR="004212C5" w:rsidRPr="0079299E">
        <w:t xml:space="preserve"> She also discovered </w:t>
      </w:r>
      <w:r w:rsidR="00451FB9" w:rsidRPr="0079299E">
        <w:t>‘</w:t>
      </w:r>
      <w:r w:rsidR="004212C5" w:rsidRPr="0079299E">
        <w:t>thirteen statues</w:t>
      </w:r>
      <w:r w:rsidR="00451FB9" w:rsidRPr="0079299E">
        <w:t>, seventy lamps, fragments of Egyptianizing architectural sculpture and a few inscriptions’</w:t>
      </w:r>
      <w:r w:rsidR="00451FB9" w:rsidRPr="0079299E">
        <w:rPr>
          <w:rStyle w:val="FootnoteReference"/>
        </w:rPr>
        <w:footnoteReference w:id="16"/>
      </w:r>
      <w:r w:rsidR="00EB58CF" w:rsidRPr="0079299E">
        <w:t xml:space="preserve">. </w:t>
      </w:r>
    </w:p>
    <w:p w14:paraId="49DD337E" w14:textId="3DEAC0EE" w:rsidR="00481AE0" w:rsidRDefault="00087C65" w:rsidP="001F29FA">
      <w:pPr>
        <w:tabs>
          <w:tab w:val="left" w:pos="3960"/>
        </w:tabs>
      </w:pPr>
      <w:r w:rsidRPr="0079299E">
        <w:t>The sanctuary is located between two marshes, Marsh of Schinias and Marsh of Brexiza also known as Mikro Elos</w:t>
      </w:r>
      <w:r w:rsidRPr="0079299E">
        <w:rPr>
          <w:rStyle w:val="FootnoteReference"/>
        </w:rPr>
        <w:footnoteReference w:id="17"/>
      </w:r>
      <w:r w:rsidRPr="0079299E">
        <w:t>. This was not unusual for the Greeks, ‘devotees either built sanctuaries near marshy</w:t>
      </w:r>
      <w:r>
        <w:t xml:space="preserve"> areas or created artificial water features to recreate the atmosphere of the Nile Valley’</w:t>
      </w:r>
      <w:r>
        <w:rPr>
          <w:rStyle w:val="FootnoteReference"/>
        </w:rPr>
        <w:footnoteReference w:id="18"/>
      </w:r>
      <w:r>
        <w:t xml:space="preserve">, which can </w:t>
      </w:r>
      <w:r>
        <w:lastRenderedPageBreak/>
        <w:t xml:space="preserve">also be seen in Atticus’s villa in Eva-Loukou </w:t>
      </w:r>
      <w:r w:rsidR="00032981">
        <w:t>as</w:t>
      </w:r>
      <w:r>
        <w:t xml:space="preserve"> will be </w:t>
      </w:r>
      <w:r w:rsidRPr="0079299E">
        <w:t xml:space="preserve">discussed </w:t>
      </w:r>
      <w:r w:rsidR="0062218B" w:rsidRPr="0079299E">
        <w:t>later</w:t>
      </w:r>
      <w:r w:rsidRPr="0079299E">
        <w:t>. The four entrances into the sanctuary face the four cardinal points</w:t>
      </w:r>
      <w:r w:rsidRPr="0079299E">
        <w:rPr>
          <w:rStyle w:val="FootnoteReference"/>
        </w:rPr>
        <w:footnoteReference w:id="19"/>
      </w:r>
      <w:r w:rsidR="00677325" w:rsidRPr="0079299E">
        <w:t xml:space="preserve">. </w:t>
      </w:r>
      <w:r w:rsidRPr="0079299E">
        <w:t>Located forty meters</w:t>
      </w:r>
      <w:r w:rsidRPr="0079299E">
        <w:rPr>
          <w:rStyle w:val="FootnoteReference"/>
        </w:rPr>
        <w:footnoteReference w:id="20"/>
      </w:r>
      <w:r w:rsidRPr="0079299E">
        <w:t xml:space="preserve"> south of the sanctuary </w:t>
      </w:r>
      <w:r w:rsidR="00C06CB0" w:rsidRPr="0079299E">
        <w:t>are</w:t>
      </w:r>
      <w:r w:rsidRPr="0079299E">
        <w:t xml:space="preserve"> </w:t>
      </w:r>
      <w:r w:rsidR="00B35437" w:rsidRPr="0079299E">
        <w:t>R</w:t>
      </w:r>
      <w:r w:rsidRPr="0079299E">
        <w:t>oman baths</w:t>
      </w:r>
      <w:r w:rsidRPr="0079299E">
        <w:rPr>
          <w:rStyle w:val="FootnoteReference"/>
        </w:rPr>
        <w:footnoteReference w:id="21"/>
      </w:r>
      <w:r w:rsidRPr="0079299E">
        <w:t>. It has been suggested that the baths were used long</w:t>
      </w:r>
      <w:r w:rsidR="00BD45EF" w:rsidRPr="0079299E">
        <w:t>er</w:t>
      </w:r>
      <w:r w:rsidRPr="0079299E">
        <w:t xml:space="preserve"> than the sanctuary</w:t>
      </w:r>
      <w:r w:rsidRPr="0079299E">
        <w:rPr>
          <w:rStyle w:val="FootnoteReference"/>
        </w:rPr>
        <w:footnoteReference w:id="22"/>
      </w:r>
      <w:r w:rsidRPr="0079299E">
        <w:t>. On entering the sanctuary</w:t>
      </w:r>
      <w:r w:rsidR="005F6B8D" w:rsidRPr="0079299E">
        <w:t>, there</w:t>
      </w:r>
      <w:r w:rsidRPr="0079299E">
        <w:t xml:space="preserve"> were pylons on each cardinal point which led ‘the devotee towards a central stepped pyramid, promoting movement towards a central point’</w:t>
      </w:r>
      <w:r w:rsidRPr="0079299E">
        <w:rPr>
          <w:rStyle w:val="FootnoteReference"/>
        </w:rPr>
        <w:footnoteReference w:id="23"/>
      </w:r>
      <w:r w:rsidRPr="0079299E">
        <w:t>. The sanctuary was built on a socle which had many steps, resulting in looking like a pyramid</w:t>
      </w:r>
      <w:r w:rsidRPr="0079299E">
        <w:rPr>
          <w:rStyle w:val="FootnoteReference"/>
        </w:rPr>
        <w:footnoteReference w:id="24"/>
      </w:r>
      <w:r w:rsidRPr="0079299E">
        <w:t xml:space="preserve">. </w:t>
      </w:r>
      <w:r w:rsidR="00B4244E" w:rsidRPr="0079299E">
        <w:t>T</w:t>
      </w:r>
      <w:r w:rsidR="009E7DCC" w:rsidRPr="0079299E">
        <w:t>he construction to be in a</w:t>
      </w:r>
      <w:r w:rsidR="009E7DCC">
        <w:t xml:space="preserve"> </w:t>
      </w:r>
      <w:r w:rsidR="002625DA">
        <w:t>pyramidal form</w:t>
      </w:r>
      <w:r w:rsidR="009E7DCC">
        <w:t xml:space="preserve"> was deliberate.</w:t>
      </w:r>
      <w:r>
        <w:t xml:space="preserve"> The steps leading up to the temple suggest that this was the central place of the sanctuary</w:t>
      </w:r>
      <w:r>
        <w:rPr>
          <w:rStyle w:val="FootnoteReference"/>
        </w:rPr>
        <w:footnoteReference w:id="25"/>
      </w:r>
      <w:r>
        <w:t xml:space="preserve">. Along the pathway towards the central point of the sanctuary, were statues of </w:t>
      </w:r>
      <w:r w:rsidR="00864011">
        <w:t xml:space="preserve">the </w:t>
      </w:r>
      <w:r>
        <w:t>Egyptian god, Horus, in his falcon</w:t>
      </w:r>
      <w:r w:rsidR="00973A4C">
        <w:t xml:space="preserve"> image</w:t>
      </w:r>
      <w:r>
        <w:t xml:space="preserve"> wearing the Egyptian double crown</w:t>
      </w:r>
      <w:r>
        <w:rPr>
          <w:rStyle w:val="FootnoteReference"/>
        </w:rPr>
        <w:footnoteReference w:id="26"/>
      </w:r>
      <w:r>
        <w:t>. The sanctuary was constructed with marble from the quarry of Penteli and locally sourced rough stones</w:t>
      </w:r>
      <w:r>
        <w:rPr>
          <w:rStyle w:val="FootnoteReference"/>
        </w:rPr>
        <w:footnoteReference w:id="27"/>
      </w:r>
      <w:r>
        <w:t xml:space="preserve">. </w:t>
      </w:r>
    </w:p>
    <w:p w14:paraId="0638DC60" w14:textId="0F70CAA9" w:rsidR="00EA4AC2" w:rsidRDefault="00EA4AC2" w:rsidP="001F29FA">
      <w:pPr>
        <w:tabs>
          <w:tab w:val="left" w:pos="3960"/>
        </w:tabs>
      </w:pPr>
      <w:r>
        <w:rPr>
          <w:noProof/>
        </w:rPr>
        <w:drawing>
          <wp:inline distT="0" distB="0" distL="0" distR="0" wp14:anchorId="3C62DE82" wp14:editId="487ABFAA">
            <wp:extent cx="5731510" cy="3448050"/>
            <wp:effectExtent l="0" t="0" r="2540" b="0"/>
            <wp:docPr id="5" name="Picture 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rotWithShape="1">
                    <a:blip r:embed="rId10">
                      <a:extLst>
                        <a:ext uri="{28A0092B-C50C-407E-A947-70E740481C1C}">
                          <a14:useLocalDpi xmlns:a14="http://schemas.microsoft.com/office/drawing/2010/main" val="0"/>
                        </a:ext>
                      </a:extLst>
                    </a:blip>
                    <a:srcRect b="16023"/>
                    <a:stretch/>
                  </pic:blipFill>
                  <pic:spPr bwMode="auto">
                    <a:xfrm>
                      <a:off x="0" y="0"/>
                      <a:ext cx="5731510" cy="3448050"/>
                    </a:xfrm>
                    <a:prstGeom prst="rect">
                      <a:avLst/>
                    </a:prstGeom>
                    <a:ln>
                      <a:noFill/>
                    </a:ln>
                    <a:extLst>
                      <a:ext uri="{53640926-AAD7-44D8-BBD7-CCE9431645EC}">
                        <a14:shadowObscured xmlns:a14="http://schemas.microsoft.com/office/drawing/2010/main"/>
                      </a:ext>
                    </a:extLst>
                  </pic:spPr>
                </pic:pic>
              </a:graphicData>
            </a:graphic>
          </wp:inline>
        </w:drawing>
      </w:r>
    </w:p>
    <w:p w14:paraId="28205060" w14:textId="01DCFC68" w:rsidR="00BF6DFB" w:rsidRPr="00D55C7E" w:rsidRDefault="00BF6DFB" w:rsidP="00D55C7E">
      <w:pPr>
        <w:tabs>
          <w:tab w:val="left" w:pos="3960"/>
        </w:tabs>
        <w:ind w:left="720"/>
        <w:rPr>
          <w:sz w:val="20"/>
          <w:szCs w:val="20"/>
        </w:rPr>
      </w:pPr>
      <w:r w:rsidRPr="00D55C7E">
        <w:rPr>
          <w:sz w:val="20"/>
          <w:szCs w:val="20"/>
        </w:rPr>
        <w:t>Figure 1</w:t>
      </w:r>
      <w:r w:rsidR="00525CE1" w:rsidRPr="00D55C7E">
        <w:rPr>
          <w:sz w:val="20"/>
          <w:szCs w:val="20"/>
        </w:rPr>
        <w:t xml:space="preserve">: </w:t>
      </w:r>
      <w:r w:rsidR="007C051C">
        <w:rPr>
          <w:sz w:val="20"/>
          <w:szCs w:val="20"/>
        </w:rPr>
        <w:t xml:space="preserve">Plan of the Sanctuary of the Egyptian Gods at Marathon: feature 1, the “Terrace” of the pyramidal structure; feature 2, the Cryptoporticus; feature 3, the Central Features. Room A contained a water feature and sculptures, including a bust of Polydeukion. Room B contained 70 lamps with confronting busts of Isis and Sarapis, a </w:t>
      </w:r>
      <w:r w:rsidR="00E042FA">
        <w:rPr>
          <w:sz w:val="20"/>
          <w:szCs w:val="20"/>
        </w:rPr>
        <w:t>sphinx statue</w:t>
      </w:r>
      <w:r w:rsidR="007C051C">
        <w:rPr>
          <w:sz w:val="20"/>
          <w:szCs w:val="20"/>
        </w:rPr>
        <w:t>, and a life-sized statue of Isis</w:t>
      </w:r>
      <w:r w:rsidR="00E042FA">
        <w:rPr>
          <w:sz w:val="20"/>
          <w:szCs w:val="20"/>
        </w:rPr>
        <w:t xml:space="preserve"> (modified from Dekoulakou 2011a, pl.5)</w:t>
      </w:r>
      <w:r w:rsidR="00525CE1" w:rsidRPr="00D55C7E">
        <w:rPr>
          <w:rStyle w:val="FootnoteReference"/>
          <w:sz w:val="20"/>
          <w:szCs w:val="20"/>
        </w:rPr>
        <w:footnoteReference w:id="28"/>
      </w:r>
      <w:r w:rsidR="00525CE1" w:rsidRPr="00D55C7E">
        <w:rPr>
          <w:sz w:val="20"/>
          <w:szCs w:val="20"/>
        </w:rPr>
        <w:t xml:space="preserve">. </w:t>
      </w:r>
    </w:p>
    <w:p w14:paraId="21328D14" w14:textId="77777777" w:rsidR="009E7DCC" w:rsidRDefault="009E7DCC" w:rsidP="00D1404B"/>
    <w:p w14:paraId="15BF9893" w14:textId="71DC082D" w:rsidR="00613EC8" w:rsidRDefault="00636BBD" w:rsidP="00D1404B">
      <w:r w:rsidRPr="00C539B1">
        <w:rPr>
          <w:highlight w:val="yellow"/>
        </w:rPr>
        <w:lastRenderedPageBreak/>
        <w:t>E</w:t>
      </w:r>
      <w:r w:rsidR="00D1404B" w:rsidRPr="00C539B1">
        <w:rPr>
          <w:highlight w:val="yellow"/>
        </w:rPr>
        <w:t>ach entrance</w:t>
      </w:r>
      <w:r w:rsidR="006F190E" w:rsidRPr="00C539B1">
        <w:rPr>
          <w:highlight w:val="yellow"/>
        </w:rPr>
        <w:t xml:space="preserve"> </w:t>
      </w:r>
      <w:r w:rsidR="00410416" w:rsidRPr="00C539B1">
        <w:rPr>
          <w:highlight w:val="yellow"/>
        </w:rPr>
        <w:t xml:space="preserve">into the </w:t>
      </w:r>
      <w:r w:rsidR="002F31C6" w:rsidRPr="00C539B1">
        <w:rPr>
          <w:highlight w:val="yellow"/>
        </w:rPr>
        <w:t>sanctuary had</w:t>
      </w:r>
      <w:r w:rsidR="00D1404B" w:rsidRPr="00C539B1">
        <w:rPr>
          <w:highlight w:val="yellow"/>
        </w:rPr>
        <w:t xml:space="preserve"> four statues in the doorways, two on the inside and two on the outside</w:t>
      </w:r>
      <w:r w:rsidR="00D1404B" w:rsidRPr="00C539B1">
        <w:rPr>
          <w:rStyle w:val="FootnoteReference"/>
          <w:highlight w:val="yellow"/>
        </w:rPr>
        <w:footnoteReference w:id="29"/>
      </w:r>
      <w:r w:rsidR="00D1404B" w:rsidRPr="00C539B1">
        <w:rPr>
          <w:highlight w:val="yellow"/>
        </w:rPr>
        <w:t>, ‘one male and one female at each part’</w:t>
      </w:r>
      <w:r w:rsidR="00D1404B" w:rsidRPr="00C539B1">
        <w:rPr>
          <w:rStyle w:val="FootnoteReference"/>
          <w:highlight w:val="yellow"/>
        </w:rPr>
        <w:footnoteReference w:id="30"/>
      </w:r>
      <w:r w:rsidR="00D1404B" w:rsidRPr="00C539B1">
        <w:rPr>
          <w:highlight w:val="yellow"/>
        </w:rPr>
        <w:t>.</w:t>
      </w:r>
      <w:r w:rsidR="009D7F87" w:rsidRPr="00C539B1">
        <w:rPr>
          <w:highlight w:val="yellow"/>
        </w:rPr>
        <w:t xml:space="preserve"> All the statues are made of Pentelic marble</w:t>
      </w:r>
      <w:r w:rsidR="002F31C6" w:rsidRPr="00C539B1">
        <w:rPr>
          <w:rStyle w:val="FootnoteReference"/>
          <w:highlight w:val="yellow"/>
        </w:rPr>
        <w:footnoteReference w:id="31"/>
      </w:r>
      <w:r w:rsidR="00067CD7" w:rsidRPr="00C539B1">
        <w:rPr>
          <w:highlight w:val="yellow"/>
        </w:rPr>
        <w:t xml:space="preserve"> and are</w:t>
      </w:r>
      <w:r w:rsidR="002657E9" w:rsidRPr="00C539B1">
        <w:rPr>
          <w:highlight w:val="yellow"/>
        </w:rPr>
        <w:t xml:space="preserve"> larger than life</w:t>
      </w:r>
      <w:r w:rsidR="00054AF8" w:rsidRPr="00C539B1">
        <w:rPr>
          <w:highlight w:val="yellow"/>
        </w:rPr>
        <w:t>-</w:t>
      </w:r>
      <w:r w:rsidR="002657E9" w:rsidRPr="00C539B1">
        <w:rPr>
          <w:highlight w:val="yellow"/>
        </w:rPr>
        <w:t>size</w:t>
      </w:r>
      <w:r w:rsidR="002657E9" w:rsidRPr="00C539B1">
        <w:rPr>
          <w:rStyle w:val="FootnoteReference"/>
          <w:highlight w:val="yellow"/>
        </w:rPr>
        <w:footnoteReference w:id="32"/>
      </w:r>
      <w:r w:rsidR="002F31C6" w:rsidRPr="00C539B1">
        <w:rPr>
          <w:highlight w:val="yellow"/>
        </w:rPr>
        <w:t>.</w:t>
      </w:r>
      <w:r w:rsidR="00D1404B" w:rsidRPr="00C539B1">
        <w:rPr>
          <w:highlight w:val="yellow"/>
        </w:rPr>
        <w:t xml:space="preserve"> </w:t>
      </w:r>
      <w:r w:rsidR="003B0F93" w:rsidRPr="00C539B1">
        <w:rPr>
          <w:highlight w:val="yellow"/>
        </w:rPr>
        <w:t>The statues have elements</w:t>
      </w:r>
      <w:r w:rsidR="00D7167B" w:rsidRPr="00C539B1">
        <w:rPr>
          <w:highlight w:val="yellow"/>
        </w:rPr>
        <w:t xml:space="preserve"> such as the pose</w:t>
      </w:r>
      <w:r w:rsidR="003B0F93" w:rsidRPr="00C539B1">
        <w:rPr>
          <w:highlight w:val="yellow"/>
        </w:rPr>
        <w:t xml:space="preserve"> from the Late Archaic Period</w:t>
      </w:r>
      <w:r w:rsidR="0001335F" w:rsidRPr="00C539B1">
        <w:rPr>
          <w:highlight w:val="yellow"/>
        </w:rPr>
        <w:t xml:space="preserve">, however also some </w:t>
      </w:r>
      <w:r w:rsidR="00473C5A" w:rsidRPr="00C539B1">
        <w:rPr>
          <w:highlight w:val="yellow"/>
        </w:rPr>
        <w:t xml:space="preserve">characteristics </w:t>
      </w:r>
      <w:r w:rsidR="00315256" w:rsidRPr="00C539B1">
        <w:rPr>
          <w:highlight w:val="yellow"/>
        </w:rPr>
        <w:t xml:space="preserve">such as </w:t>
      </w:r>
      <w:r w:rsidR="0033544D" w:rsidRPr="00C539B1">
        <w:rPr>
          <w:highlight w:val="yellow"/>
        </w:rPr>
        <w:t xml:space="preserve">the </w:t>
      </w:r>
      <w:r w:rsidR="00315256" w:rsidRPr="00C539B1">
        <w:rPr>
          <w:highlight w:val="yellow"/>
        </w:rPr>
        <w:t xml:space="preserve">hairstyle </w:t>
      </w:r>
      <w:r w:rsidR="00473C5A" w:rsidRPr="00C539B1">
        <w:rPr>
          <w:highlight w:val="yellow"/>
        </w:rPr>
        <w:t>from the early Antonine Period</w:t>
      </w:r>
      <w:r w:rsidR="00315256" w:rsidRPr="00C539B1">
        <w:rPr>
          <w:rStyle w:val="FootnoteReference"/>
          <w:highlight w:val="yellow"/>
        </w:rPr>
        <w:footnoteReference w:id="33"/>
      </w:r>
      <w:r w:rsidR="00473C5A" w:rsidRPr="00C539B1">
        <w:rPr>
          <w:highlight w:val="yellow"/>
        </w:rPr>
        <w:t>.</w:t>
      </w:r>
      <w:r w:rsidR="00D74F25">
        <w:t xml:space="preserve"> </w:t>
      </w:r>
    </w:p>
    <w:p w14:paraId="288E671C" w14:textId="47687D57" w:rsidR="00D1404B" w:rsidRDefault="00D1404B" w:rsidP="00D1404B">
      <w:r>
        <w:t>Four female statues have been discovered, three were from inside sections of the north, south and west entrances, the fourth was from one of the rooms inside the sanctuary but its original location is un</w:t>
      </w:r>
      <w:r w:rsidR="00C6394E">
        <w:t>known</w:t>
      </w:r>
      <w:r>
        <w:rPr>
          <w:rStyle w:val="FootnoteReference"/>
        </w:rPr>
        <w:footnoteReference w:id="34"/>
      </w:r>
      <w:r>
        <w:t>. The statues represent the female goddess Isis</w:t>
      </w:r>
      <w:r>
        <w:rPr>
          <w:rStyle w:val="FootnoteReference"/>
        </w:rPr>
        <w:footnoteReference w:id="35"/>
      </w:r>
      <w:r>
        <w:t xml:space="preserve">. </w:t>
      </w:r>
      <w:r w:rsidR="0077695A">
        <w:t>‘The sanctuary portrays the Egyptian gods in a globalized manner that loosens Isis’ ties with Egypt and reimagines her as part of a Greek pantheon without minimizing her otherness’</w:t>
      </w:r>
      <w:r w:rsidR="0077695A">
        <w:rPr>
          <w:rStyle w:val="FootnoteReference"/>
        </w:rPr>
        <w:footnoteReference w:id="36"/>
      </w:r>
      <w:r w:rsidR="009B57DB">
        <w:t xml:space="preserve"> the </w:t>
      </w:r>
      <w:r w:rsidR="008945EB">
        <w:t>style and design of the statues do depict the Egyptian goddess</w:t>
      </w:r>
      <w:r w:rsidR="00711B2D">
        <w:t xml:space="preserve"> with Egyptian iconography</w:t>
      </w:r>
      <w:r w:rsidR="008945EB">
        <w:t xml:space="preserve"> but </w:t>
      </w:r>
      <w:r w:rsidR="00711B2D">
        <w:t>a</w:t>
      </w:r>
      <w:r w:rsidR="00102478">
        <w:t>lso consist of some Greek iconography</w:t>
      </w:r>
      <w:r w:rsidR="0077695A">
        <w:t xml:space="preserve">. </w:t>
      </w:r>
      <w:r w:rsidR="00102478" w:rsidRPr="00C539B1">
        <w:rPr>
          <w:highlight w:val="green"/>
        </w:rPr>
        <w:t xml:space="preserve">This will be evident in the following </w:t>
      </w:r>
      <w:r w:rsidR="00C32571" w:rsidRPr="00C539B1">
        <w:rPr>
          <w:highlight w:val="green"/>
        </w:rPr>
        <w:t xml:space="preserve">female </w:t>
      </w:r>
      <w:r w:rsidR="00102478" w:rsidRPr="00C539B1">
        <w:rPr>
          <w:highlight w:val="green"/>
        </w:rPr>
        <w:t>statues</w:t>
      </w:r>
      <w:r w:rsidR="00C32571" w:rsidRPr="00C539B1">
        <w:rPr>
          <w:highlight w:val="green"/>
        </w:rPr>
        <w:t>, regarding headdress</w:t>
      </w:r>
      <w:r w:rsidR="00B15B44" w:rsidRPr="00C539B1">
        <w:rPr>
          <w:highlight w:val="green"/>
        </w:rPr>
        <w:t>es and the objects the goddesses hold</w:t>
      </w:r>
      <w:r w:rsidR="00102478" w:rsidRPr="00C539B1">
        <w:rPr>
          <w:highlight w:val="green"/>
        </w:rPr>
        <w:t>.</w:t>
      </w:r>
    </w:p>
    <w:p w14:paraId="272F1854" w14:textId="36F3C1A0" w:rsidR="00102478" w:rsidRDefault="00D1404B" w:rsidP="00102478">
      <w:r>
        <w:t>In Egyptian religion the goddess Isis plays a crucial role in kingship alongside her brother, Osiris, who is also her hus</w:t>
      </w:r>
      <w:r w:rsidRPr="0079299E">
        <w:t>band</w:t>
      </w:r>
      <w:r w:rsidR="00CF78A9" w:rsidRPr="0079299E">
        <w:rPr>
          <w:rStyle w:val="FootnoteReference"/>
        </w:rPr>
        <w:footnoteReference w:id="37"/>
      </w:r>
      <w:r w:rsidRPr="0079299E">
        <w:t xml:space="preserve">. She is associated with the living and the dead, due </w:t>
      </w:r>
      <w:r w:rsidR="004215AC" w:rsidRPr="0079299E">
        <w:t xml:space="preserve">to </w:t>
      </w:r>
      <w:r w:rsidRPr="0079299E">
        <w:t>the Osiris myth.</w:t>
      </w:r>
      <w:r w:rsidR="00102478" w:rsidRPr="0079299E">
        <w:t xml:space="preserve"> </w:t>
      </w:r>
      <w:r w:rsidR="00632594" w:rsidRPr="0079299E">
        <w:t>Osiris was the god of the dead, he watched ‘over the court that determined the fate of kings when they died’</w:t>
      </w:r>
      <w:r w:rsidR="00632594" w:rsidRPr="0079299E">
        <w:rPr>
          <w:rStyle w:val="FootnoteReference"/>
        </w:rPr>
        <w:footnoteReference w:id="38"/>
      </w:r>
      <w:r w:rsidR="00632594" w:rsidRPr="0079299E">
        <w:t xml:space="preserve">. </w:t>
      </w:r>
      <w:r w:rsidR="00363899" w:rsidRPr="0079299E">
        <w:t>Osiris’s brother Seth envied Osiris, during battle Seth killed Osiris and scattered his body parts across Egypt</w:t>
      </w:r>
      <w:r w:rsidR="00363899" w:rsidRPr="0079299E">
        <w:rPr>
          <w:rStyle w:val="FootnoteReference"/>
        </w:rPr>
        <w:footnoteReference w:id="39"/>
      </w:r>
      <w:r w:rsidR="00363899" w:rsidRPr="0079299E">
        <w:t xml:space="preserve">. </w:t>
      </w:r>
      <w:r w:rsidRPr="0079299E">
        <w:t xml:space="preserve">Isis and </w:t>
      </w:r>
      <w:r w:rsidR="00AF1F7E" w:rsidRPr="0079299E">
        <w:t xml:space="preserve">her </w:t>
      </w:r>
      <w:r w:rsidRPr="0079299E">
        <w:t>sister</w:t>
      </w:r>
      <w:r w:rsidR="00AF1F7E" w:rsidRPr="0079299E">
        <w:t>,</w:t>
      </w:r>
      <w:r w:rsidRPr="0079299E">
        <w:t xml:space="preserve"> Nephthys went looking for Osiris’s body parts</w:t>
      </w:r>
      <w:r w:rsidR="00B96BAF" w:rsidRPr="0079299E">
        <w:t xml:space="preserve"> and </w:t>
      </w:r>
      <w:r w:rsidRPr="0079299E">
        <w:t>once found, Isis mummified Osiris</w:t>
      </w:r>
      <w:r w:rsidRPr="0079299E">
        <w:rPr>
          <w:rStyle w:val="FootnoteReference"/>
        </w:rPr>
        <w:footnoteReference w:id="40"/>
      </w:r>
      <w:r w:rsidRPr="0079299E">
        <w:t>. Once fully mummified, Isis impregnated herself with Osiris’s phallus and had a son named Horus</w:t>
      </w:r>
      <w:r w:rsidRPr="0079299E">
        <w:rPr>
          <w:rStyle w:val="FootnoteReference"/>
        </w:rPr>
        <w:footnoteReference w:id="41"/>
      </w:r>
      <w:r w:rsidRPr="0079299E">
        <w:t xml:space="preserve">. </w:t>
      </w:r>
      <w:r w:rsidR="00814C9E" w:rsidRPr="0079299E">
        <w:t>Isis’s</w:t>
      </w:r>
      <w:r w:rsidRPr="0079299E">
        <w:t xml:space="preserve"> common depiction is as an anthropomorphic goddess wearing a throne as her crown</w:t>
      </w:r>
      <w:r w:rsidRPr="0079299E">
        <w:rPr>
          <w:rStyle w:val="FootnoteReference"/>
        </w:rPr>
        <w:footnoteReference w:id="42"/>
      </w:r>
      <w:r w:rsidRPr="0079299E">
        <w:t>, sometimes she can be seen wearing</w:t>
      </w:r>
      <w:r>
        <w:t xml:space="preserve"> cow horns</w:t>
      </w:r>
      <w:r w:rsidR="00707618">
        <w:t xml:space="preserve"> with a</w:t>
      </w:r>
      <w:r>
        <w:t xml:space="preserve"> sun disc crown</w:t>
      </w:r>
      <w:r>
        <w:rPr>
          <w:rStyle w:val="FootnoteReference"/>
        </w:rPr>
        <w:footnoteReference w:id="43"/>
      </w:r>
      <w:r>
        <w:t>. This is due to Isis being able to become any other goddess, so when she is wearing the cow horns, she is sometimes confused with goddess Hathor</w:t>
      </w:r>
      <w:r>
        <w:rPr>
          <w:rStyle w:val="FootnoteReference"/>
        </w:rPr>
        <w:footnoteReference w:id="44"/>
      </w:r>
      <w:r>
        <w:t xml:space="preserve">. </w:t>
      </w:r>
      <w:r w:rsidR="00D94CDC">
        <w:t xml:space="preserve">This can be seen in the statues from the sanctuary, Isis being </w:t>
      </w:r>
      <w:r w:rsidR="003F5A4C">
        <w:t>the same goddess depicted differently to gain different powers</w:t>
      </w:r>
      <w:r w:rsidR="003F5A4C">
        <w:rPr>
          <w:rStyle w:val="FootnoteReference"/>
        </w:rPr>
        <w:footnoteReference w:id="45"/>
      </w:r>
      <w:r w:rsidR="003F5A4C">
        <w:t>.</w:t>
      </w:r>
      <w:r w:rsidR="00814C9E">
        <w:t xml:space="preserve"> </w:t>
      </w:r>
      <w:r w:rsidR="00102478">
        <w:t>The myth of Osiris has been linked to the annual flood of the river Nile, due to the ‘cycle of destruction, death and rebirth’</w:t>
      </w:r>
      <w:r w:rsidR="00102478">
        <w:rPr>
          <w:rStyle w:val="FootnoteReference"/>
        </w:rPr>
        <w:footnoteReference w:id="46"/>
      </w:r>
      <w:r w:rsidR="00102478">
        <w:t>.</w:t>
      </w:r>
    </w:p>
    <w:p w14:paraId="4AE07FC3" w14:textId="4A50B195" w:rsidR="00D1404B" w:rsidRDefault="004C44F8" w:rsidP="00D1404B">
      <w:r>
        <w:t>The three female statues from the entrance into the sanctuary,</w:t>
      </w:r>
      <w:r w:rsidR="00A12CB7">
        <w:t xml:space="preserve"> have similar characteristics such as the material, style of statue and design</w:t>
      </w:r>
      <w:r w:rsidR="00713EEF">
        <w:t>, and the coiffure</w:t>
      </w:r>
      <w:r w:rsidR="00D1404B">
        <w:rPr>
          <w:rStyle w:val="FootnoteReference"/>
        </w:rPr>
        <w:footnoteReference w:id="47"/>
      </w:r>
      <w:r w:rsidR="00D1404B">
        <w:t>,</w:t>
      </w:r>
      <w:r w:rsidR="008E7084">
        <w:t xml:space="preserve"> there are some differences such as the headdresses and the objects </w:t>
      </w:r>
      <w:r w:rsidR="002F5DDB">
        <w:t>the statues hold</w:t>
      </w:r>
      <w:r w:rsidR="00D1404B">
        <w:rPr>
          <w:rStyle w:val="FootnoteReference"/>
        </w:rPr>
        <w:footnoteReference w:id="48"/>
      </w:r>
      <w:r w:rsidR="00D1404B">
        <w:t>. The three statues from the entrances stand in the same pose, left leg forward and arms down</w:t>
      </w:r>
      <w:r w:rsidR="00D1404B">
        <w:rPr>
          <w:rStyle w:val="FootnoteReference"/>
        </w:rPr>
        <w:footnoteReference w:id="49"/>
      </w:r>
      <w:r w:rsidR="00D1404B">
        <w:t xml:space="preserve">, wearing a long chiton, long curly </w:t>
      </w:r>
      <w:r w:rsidR="00724473">
        <w:t>hair,</w:t>
      </w:r>
      <w:r w:rsidR="00D1404B">
        <w:t xml:space="preserve"> and the same </w:t>
      </w:r>
      <w:r w:rsidR="00D1404B">
        <w:lastRenderedPageBreak/>
        <w:t>face</w:t>
      </w:r>
      <w:r w:rsidR="00D1404B">
        <w:rPr>
          <w:rStyle w:val="FootnoteReference"/>
        </w:rPr>
        <w:footnoteReference w:id="50"/>
      </w:r>
      <w:r w:rsidR="00D1404B">
        <w:t>.</w:t>
      </w:r>
      <w:r w:rsidR="006A30BF">
        <w:t xml:space="preserve"> The headdresses that can be seen on two of the female statues</w:t>
      </w:r>
      <w:r w:rsidR="00724473">
        <w:t xml:space="preserve"> show an adaptation of Egyptian headdresses</w:t>
      </w:r>
      <w:r w:rsidR="00724473">
        <w:rPr>
          <w:rStyle w:val="FootnoteReference"/>
        </w:rPr>
        <w:footnoteReference w:id="51"/>
      </w:r>
      <w:r w:rsidR="00724473">
        <w:t xml:space="preserve">. </w:t>
      </w:r>
    </w:p>
    <w:p w14:paraId="21923562" w14:textId="71F55836" w:rsidR="00D1404B" w:rsidRDefault="00D1404B" w:rsidP="00D1404B">
      <w:r>
        <w:rPr>
          <w:noProof/>
        </w:rPr>
        <w:drawing>
          <wp:inline distT="0" distB="0" distL="0" distR="0" wp14:anchorId="45DFEEE4" wp14:editId="3ADC8203">
            <wp:extent cx="2391109" cy="4629796"/>
            <wp:effectExtent l="0" t="0" r="9525" b="0"/>
            <wp:docPr id="1" name="Picture 1" descr="A stone statu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2391109" cy="4629796"/>
                    </a:xfrm>
                    <a:prstGeom prst="rect">
                      <a:avLst/>
                    </a:prstGeom>
                  </pic:spPr>
                </pic:pic>
              </a:graphicData>
            </a:graphic>
          </wp:inline>
        </w:drawing>
      </w:r>
    </w:p>
    <w:p w14:paraId="6C45F704" w14:textId="635ADC5D" w:rsidR="00D55C7E" w:rsidRDefault="00D55C7E" w:rsidP="0001774C">
      <w:pPr>
        <w:ind w:left="720"/>
        <w:rPr>
          <w:sz w:val="20"/>
          <w:szCs w:val="20"/>
        </w:rPr>
      </w:pPr>
      <w:r w:rsidRPr="0001774C">
        <w:rPr>
          <w:sz w:val="20"/>
          <w:szCs w:val="20"/>
        </w:rPr>
        <w:t>Figure 2: Statue of Isis</w:t>
      </w:r>
      <w:r w:rsidR="0001774C" w:rsidRPr="0001774C">
        <w:rPr>
          <w:sz w:val="20"/>
          <w:szCs w:val="20"/>
        </w:rPr>
        <w:t xml:space="preserve"> from the south pylon at Sanctuary of Egyptian Gods</w:t>
      </w:r>
      <w:r w:rsidR="002C7D8D">
        <w:rPr>
          <w:rStyle w:val="FootnoteReference"/>
          <w:sz w:val="20"/>
          <w:szCs w:val="20"/>
        </w:rPr>
        <w:footnoteReference w:id="52"/>
      </w:r>
    </w:p>
    <w:p w14:paraId="5ACF8993" w14:textId="77777777" w:rsidR="0001774C" w:rsidRPr="0001774C" w:rsidRDefault="0001774C" w:rsidP="0001774C">
      <w:pPr>
        <w:ind w:left="720"/>
        <w:rPr>
          <w:sz w:val="20"/>
          <w:szCs w:val="20"/>
        </w:rPr>
      </w:pPr>
    </w:p>
    <w:p w14:paraId="0116A667" w14:textId="2CF6EB55" w:rsidR="00D1404B" w:rsidRDefault="00D1404B" w:rsidP="00D1404B">
      <w:r>
        <w:t xml:space="preserve">The statue from the south entrance, wears a headdress that consists of horns, a sun disc, feathers and a uraeus. This type of headdress was a common iconography for Isis in Egypt. The headdress </w:t>
      </w:r>
      <w:r w:rsidR="00C37156">
        <w:t>worn</w:t>
      </w:r>
      <w:r>
        <w:t xml:space="preserve"> by the statue has been adapted to fit the</w:t>
      </w:r>
      <w:r w:rsidR="00C37156">
        <w:t xml:space="preserve"> Greek culture</w:t>
      </w:r>
      <w:r>
        <w:t>. ‘In her right hand she holds ears of wheat’</w:t>
      </w:r>
      <w:r>
        <w:rPr>
          <w:rStyle w:val="FootnoteReference"/>
        </w:rPr>
        <w:footnoteReference w:id="53"/>
      </w:r>
      <w:r>
        <w:t>, which has been suggested to mean the goddess was a protector of agriculture</w:t>
      </w:r>
      <w:r>
        <w:rPr>
          <w:rStyle w:val="FootnoteReference"/>
        </w:rPr>
        <w:footnoteReference w:id="54"/>
      </w:r>
      <w:r>
        <w:t>.</w:t>
      </w:r>
      <w:r w:rsidR="005C0904">
        <w:t xml:space="preserve"> </w:t>
      </w:r>
      <w:r w:rsidR="009C0870">
        <w:t xml:space="preserve">The symbolism of </w:t>
      </w:r>
      <w:r w:rsidR="007E7B51">
        <w:t xml:space="preserve">holding the ears of wheat is commonly associated with the </w:t>
      </w:r>
      <w:r w:rsidR="00174C91">
        <w:t>Greco-Egyptian</w:t>
      </w:r>
      <w:r w:rsidR="007E7B51">
        <w:t xml:space="preserve"> goddess </w:t>
      </w:r>
      <w:r w:rsidR="00174C91">
        <w:t>Isis-</w:t>
      </w:r>
      <w:r w:rsidR="007E7B51">
        <w:t>Demeter</w:t>
      </w:r>
      <w:r w:rsidR="00190C1D">
        <w:rPr>
          <w:rStyle w:val="FootnoteReference"/>
        </w:rPr>
        <w:footnoteReference w:id="55"/>
      </w:r>
      <w:r w:rsidR="00190C1D">
        <w:t xml:space="preserve">. In Egypt, Isis </w:t>
      </w:r>
      <w:r w:rsidR="001D2241">
        <w:t xml:space="preserve">is linked </w:t>
      </w:r>
      <w:r w:rsidR="00F35DEE">
        <w:t xml:space="preserve">to </w:t>
      </w:r>
      <w:r w:rsidR="005C0904">
        <w:t>the Osiris Myth and its</w:t>
      </w:r>
      <w:r w:rsidR="00F35DEE">
        <w:t xml:space="preserve"> connection </w:t>
      </w:r>
      <w:r w:rsidR="005C0904">
        <w:t xml:space="preserve">to the </w:t>
      </w:r>
      <w:r w:rsidR="00F35DEE">
        <w:t xml:space="preserve">annual flood, it could be argued Isis </w:t>
      </w:r>
      <w:r w:rsidR="00045F74">
        <w:t xml:space="preserve">is involved in agriculture. </w:t>
      </w:r>
    </w:p>
    <w:p w14:paraId="5CFA80ED" w14:textId="66DDBB72" w:rsidR="00D1404B" w:rsidRDefault="00D1404B" w:rsidP="00D1404B">
      <w:r>
        <w:rPr>
          <w:noProof/>
        </w:rPr>
        <w:lastRenderedPageBreak/>
        <w:drawing>
          <wp:inline distT="0" distB="0" distL="0" distR="0" wp14:anchorId="3874771F" wp14:editId="670AA56B">
            <wp:extent cx="1790950" cy="4258269"/>
            <wp:effectExtent l="0" t="0" r="0" b="9525"/>
            <wp:docPr id="2" name="Picture 2" descr="A picture containing building, standing, ol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1.PNG"/>
                    <pic:cNvPicPr/>
                  </pic:nvPicPr>
                  <pic:blipFill>
                    <a:blip r:embed="rId12">
                      <a:extLst>
                        <a:ext uri="{28A0092B-C50C-407E-A947-70E740481C1C}">
                          <a14:useLocalDpi xmlns:a14="http://schemas.microsoft.com/office/drawing/2010/main" val="0"/>
                        </a:ext>
                      </a:extLst>
                    </a:blip>
                    <a:stretch>
                      <a:fillRect/>
                    </a:stretch>
                  </pic:blipFill>
                  <pic:spPr>
                    <a:xfrm>
                      <a:off x="0" y="0"/>
                      <a:ext cx="1790950" cy="4258269"/>
                    </a:xfrm>
                    <a:prstGeom prst="rect">
                      <a:avLst/>
                    </a:prstGeom>
                  </pic:spPr>
                </pic:pic>
              </a:graphicData>
            </a:graphic>
          </wp:inline>
        </w:drawing>
      </w:r>
    </w:p>
    <w:p w14:paraId="63B0E89C" w14:textId="743FC3D8" w:rsidR="0001774C" w:rsidRDefault="0001774C" w:rsidP="0001774C">
      <w:pPr>
        <w:ind w:left="720"/>
      </w:pPr>
      <w:r w:rsidRPr="0001774C">
        <w:rPr>
          <w:sz w:val="20"/>
          <w:szCs w:val="20"/>
        </w:rPr>
        <w:t>Figure 3: Statue of Isis from the west pylon at Sanctuary of Egyptian Gods</w:t>
      </w:r>
      <w:r w:rsidR="0082414F">
        <w:rPr>
          <w:rStyle w:val="FootnoteReference"/>
          <w:sz w:val="20"/>
          <w:szCs w:val="20"/>
        </w:rPr>
        <w:footnoteReference w:id="56"/>
      </w:r>
    </w:p>
    <w:p w14:paraId="636CE598" w14:textId="77777777" w:rsidR="0001774C" w:rsidRDefault="0001774C" w:rsidP="00D1404B"/>
    <w:p w14:paraId="1130F731" w14:textId="4CABEB1F" w:rsidR="00D1404B" w:rsidRDefault="00D1404B" w:rsidP="00D1404B">
      <w:r>
        <w:t>The statue from the west entrance wears a different headdress, the cylinder shape headdress is known as a kalathos</w:t>
      </w:r>
      <w:r>
        <w:rPr>
          <w:rStyle w:val="FootnoteReference"/>
        </w:rPr>
        <w:footnoteReference w:id="57"/>
      </w:r>
      <w:r>
        <w:t>. The headdress still has a uraeus at the front. This statue holds ‘three dog roses in each hand’</w:t>
      </w:r>
      <w:r>
        <w:rPr>
          <w:rStyle w:val="FootnoteReference"/>
        </w:rPr>
        <w:footnoteReference w:id="58"/>
      </w:r>
      <w:r>
        <w:t>.</w:t>
      </w:r>
      <w:r w:rsidR="005A69F7">
        <w:t xml:space="preserve"> </w:t>
      </w:r>
      <w:r w:rsidR="006B0724">
        <w:t>In Egypt, flowers were used as offerings for gods</w:t>
      </w:r>
      <w:r w:rsidR="003828BB">
        <w:t xml:space="preserve">, but dog roses were not off </w:t>
      </w:r>
      <w:r w:rsidR="00995E01">
        <w:t>an</w:t>
      </w:r>
      <w:r w:rsidR="003828BB">
        <w:t xml:space="preserve"> </w:t>
      </w:r>
      <w:r w:rsidR="00995E01">
        <w:t>importance</w:t>
      </w:r>
      <w:r w:rsidR="00E2255F">
        <w:rPr>
          <w:rStyle w:val="FootnoteReference"/>
        </w:rPr>
        <w:footnoteReference w:id="59"/>
      </w:r>
      <w:r w:rsidR="003828BB">
        <w:t>, whereas in Greece</w:t>
      </w:r>
      <w:r w:rsidR="00E2255F">
        <w:t xml:space="preserve">, dog roses </w:t>
      </w:r>
      <w:r w:rsidR="003F5A03">
        <w:t>were</w:t>
      </w:r>
      <w:r w:rsidR="00E2255F">
        <w:t xml:space="preserve"> </w:t>
      </w:r>
      <w:r w:rsidR="00381458">
        <w:t xml:space="preserve">typically associated with the Greek goddess, Aphrodite, suggesting this Isis’s role is </w:t>
      </w:r>
      <w:r w:rsidR="00E147FB">
        <w:t>regarding sexuality</w:t>
      </w:r>
      <w:r w:rsidR="00E147FB">
        <w:rPr>
          <w:rStyle w:val="FootnoteReference"/>
        </w:rPr>
        <w:footnoteReference w:id="60"/>
      </w:r>
      <w:r w:rsidR="00E147FB">
        <w:t>.</w:t>
      </w:r>
      <w:r w:rsidR="00174C91">
        <w:t xml:space="preserve"> Depicting the Greco-Egyptian</w:t>
      </w:r>
      <w:r w:rsidR="003761A4">
        <w:t xml:space="preserve"> Isis-Aphrodite</w:t>
      </w:r>
      <w:r w:rsidR="003761A4">
        <w:rPr>
          <w:rStyle w:val="FootnoteReference"/>
        </w:rPr>
        <w:footnoteReference w:id="61"/>
      </w:r>
      <w:r w:rsidR="003761A4">
        <w:t>.</w:t>
      </w:r>
    </w:p>
    <w:p w14:paraId="1E87D1BE" w14:textId="2916FD48" w:rsidR="00D1404B" w:rsidRDefault="00D1404B" w:rsidP="00D1404B">
      <w:r>
        <w:rPr>
          <w:noProof/>
        </w:rPr>
        <w:lastRenderedPageBreak/>
        <w:drawing>
          <wp:inline distT="0" distB="0" distL="0" distR="0" wp14:anchorId="1E78ECD0" wp14:editId="2021B378">
            <wp:extent cx="1876687" cy="3105583"/>
            <wp:effectExtent l="0" t="0" r="9525" b="0"/>
            <wp:docPr id="3" name="Picture 3" descr="A picture containing indoor, photo, sitting,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13">
                      <a:extLst>
                        <a:ext uri="{28A0092B-C50C-407E-A947-70E740481C1C}">
                          <a14:useLocalDpi xmlns:a14="http://schemas.microsoft.com/office/drawing/2010/main" val="0"/>
                        </a:ext>
                      </a:extLst>
                    </a:blip>
                    <a:stretch>
                      <a:fillRect/>
                    </a:stretch>
                  </pic:blipFill>
                  <pic:spPr>
                    <a:xfrm>
                      <a:off x="0" y="0"/>
                      <a:ext cx="1876687" cy="3105583"/>
                    </a:xfrm>
                    <a:prstGeom prst="rect">
                      <a:avLst/>
                    </a:prstGeom>
                  </pic:spPr>
                </pic:pic>
              </a:graphicData>
            </a:graphic>
          </wp:inline>
        </w:drawing>
      </w:r>
    </w:p>
    <w:p w14:paraId="723E7669" w14:textId="5715A4BB" w:rsidR="0001774C" w:rsidRPr="0001774C" w:rsidRDefault="0001774C" w:rsidP="0001774C">
      <w:pPr>
        <w:ind w:left="720"/>
        <w:rPr>
          <w:sz w:val="20"/>
          <w:szCs w:val="20"/>
        </w:rPr>
      </w:pPr>
      <w:r w:rsidRPr="0001774C">
        <w:rPr>
          <w:sz w:val="20"/>
          <w:szCs w:val="20"/>
        </w:rPr>
        <w:t>Figure 4: Statue of Isis from the north pylon at Sanctuary of Egyptian Gods</w:t>
      </w:r>
      <w:r w:rsidR="00FE6458">
        <w:rPr>
          <w:rStyle w:val="FootnoteReference"/>
          <w:sz w:val="20"/>
          <w:szCs w:val="20"/>
        </w:rPr>
        <w:footnoteReference w:id="62"/>
      </w:r>
    </w:p>
    <w:p w14:paraId="71FF8281" w14:textId="77777777" w:rsidR="0001774C" w:rsidRDefault="0001774C" w:rsidP="00D1404B"/>
    <w:p w14:paraId="5B862FAD" w14:textId="1B299ECF" w:rsidR="00D1404B" w:rsidRDefault="00D1404B" w:rsidP="00D1404B">
      <w:r>
        <w:t>The statue from the north entrance is missing the torso and head</w:t>
      </w:r>
      <w:r>
        <w:rPr>
          <w:rStyle w:val="FootnoteReference"/>
        </w:rPr>
        <w:footnoteReference w:id="63"/>
      </w:r>
      <w:r>
        <w:t>, meaning we cannot be sure this statue is of Isis but is most likely to be</w:t>
      </w:r>
      <w:r w:rsidR="00B170F9">
        <w:t>,</w:t>
      </w:r>
      <w:r>
        <w:t xml:space="preserve"> due to the other female statues from the sanctuary. In her hands she holds </w:t>
      </w:r>
      <w:r w:rsidR="008B565E">
        <w:t>‘a papyrus or a cloth’</w:t>
      </w:r>
      <w:r>
        <w:rPr>
          <w:rStyle w:val="FootnoteReference"/>
        </w:rPr>
        <w:footnoteReference w:id="64"/>
      </w:r>
      <w:r w:rsidR="004239C9">
        <w:t xml:space="preserve"> , suggesting this Isis statue may have been depicting an Egyptian Isis.</w:t>
      </w:r>
    </w:p>
    <w:p w14:paraId="724D9FDD" w14:textId="3D6CB7D4" w:rsidR="009715A1" w:rsidRDefault="00BD2E86" w:rsidP="00C7190C">
      <w:r w:rsidRPr="002E7020">
        <w:rPr>
          <w:noProof/>
        </w:rPr>
        <w:lastRenderedPageBreak/>
        <w:drawing>
          <wp:inline distT="0" distB="0" distL="0" distR="0" wp14:anchorId="0AEE72BF" wp14:editId="2AB2BFAE">
            <wp:extent cx="1867161" cy="4896533"/>
            <wp:effectExtent l="0" t="0" r="0" b="0"/>
            <wp:docPr id="4" name="Picture 4" descr="A person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3.PNG"/>
                    <pic:cNvPicPr/>
                  </pic:nvPicPr>
                  <pic:blipFill>
                    <a:blip r:embed="rId14">
                      <a:extLst>
                        <a:ext uri="{28A0092B-C50C-407E-A947-70E740481C1C}">
                          <a14:useLocalDpi xmlns:a14="http://schemas.microsoft.com/office/drawing/2010/main" val="0"/>
                        </a:ext>
                      </a:extLst>
                    </a:blip>
                    <a:stretch>
                      <a:fillRect/>
                    </a:stretch>
                  </pic:blipFill>
                  <pic:spPr>
                    <a:xfrm>
                      <a:off x="0" y="0"/>
                      <a:ext cx="1867161" cy="4896533"/>
                    </a:xfrm>
                    <a:prstGeom prst="rect">
                      <a:avLst/>
                    </a:prstGeom>
                  </pic:spPr>
                </pic:pic>
              </a:graphicData>
            </a:graphic>
          </wp:inline>
        </w:drawing>
      </w:r>
      <w:r w:rsidR="009715A1" w:rsidRPr="002E7020">
        <w:t xml:space="preserve"> </w:t>
      </w:r>
    </w:p>
    <w:p w14:paraId="1E201152" w14:textId="443EA293" w:rsidR="0001774C" w:rsidRDefault="0001774C" w:rsidP="00B03E74">
      <w:pPr>
        <w:ind w:left="720"/>
      </w:pPr>
      <w:r w:rsidRPr="00B03E74">
        <w:rPr>
          <w:sz w:val="20"/>
          <w:szCs w:val="20"/>
        </w:rPr>
        <w:t xml:space="preserve">Figure 5: Statue of Isis from </w:t>
      </w:r>
      <w:r w:rsidR="00B03E74" w:rsidRPr="00B03E74">
        <w:rPr>
          <w:sz w:val="20"/>
          <w:szCs w:val="20"/>
        </w:rPr>
        <w:t>one of the south rooms</w:t>
      </w:r>
      <w:r w:rsidRPr="00B03E74">
        <w:rPr>
          <w:sz w:val="20"/>
          <w:szCs w:val="20"/>
        </w:rPr>
        <w:t xml:space="preserve"> at Sanctuary of Egyptian Gods</w:t>
      </w:r>
      <w:r w:rsidR="00FE6458">
        <w:rPr>
          <w:rStyle w:val="FootnoteReference"/>
          <w:sz w:val="20"/>
          <w:szCs w:val="20"/>
        </w:rPr>
        <w:footnoteReference w:id="65"/>
      </w:r>
    </w:p>
    <w:p w14:paraId="0ED50B52" w14:textId="77777777" w:rsidR="0001774C" w:rsidRPr="002E7020" w:rsidRDefault="0001774C" w:rsidP="00C7190C"/>
    <w:p w14:paraId="39C2422D" w14:textId="238D6319" w:rsidR="00BD2E86" w:rsidRDefault="002E7020" w:rsidP="00C7190C">
      <w:r>
        <w:t>The statue found in a room was found with</w:t>
      </w:r>
      <w:r w:rsidR="00A55708">
        <w:t xml:space="preserve"> a marble sphinx</w:t>
      </w:r>
      <w:r w:rsidR="00324DE9">
        <w:t xml:space="preserve"> wearing the Egyptian headdress</w:t>
      </w:r>
      <w:r w:rsidR="00CD1E43">
        <w:rPr>
          <w:rStyle w:val="FootnoteReference"/>
        </w:rPr>
        <w:footnoteReference w:id="66"/>
      </w:r>
      <w:r w:rsidR="00A55708">
        <w:t xml:space="preserve"> and many large ritual lamps</w:t>
      </w:r>
      <w:r w:rsidR="00A55708">
        <w:rPr>
          <w:rStyle w:val="FootnoteReference"/>
        </w:rPr>
        <w:footnoteReference w:id="67"/>
      </w:r>
      <w:r w:rsidR="001B60CF">
        <w:t>, ‘the way in which the artefacts were deposited in the room shows that both the statue of Isis and the statue of the sphinx were removed from their original place’</w:t>
      </w:r>
      <w:r w:rsidR="001B60CF">
        <w:rPr>
          <w:rStyle w:val="FootnoteReference"/>
        </w:rPr>
        <w:footnoteReference w:id="68"/>
      </w:r>
      <w:r w:rsidR="00A55708">
        <w:t>.</w:t>
      </w:r>
      <w:r w:rsidR="00F178FD">
        <w:t xml:space="preserve"> This statue is </w:t>
      </w:r>
      <w:r w:rsidR="00DD6ABB">
        <w:t>similar</w:t>
      </w:r>
      <w:r w:rsidR="00F178FD">
        <w:t xml:space="preserve"> to the other three </w:t>
      </w:r>
      <w:r w:rsidR="007C6B47">
        <w:t xml:space="preserve">female statues </w:t>
      </w:r>
      <w:r w:rsidR="00F178FD">
        <w:t>regarding po</w:t>
      </w:r>
      <w:r w:rsidR="002A260D">
        <w:t>se</w:t>
      </w:r>
      <w:r w:rsidR="00BB2690">
        <w:t xml:space="preserve"> and </w:t>
      </w:r>
      <w:r w:rsidR="00BF4E24">
        <w:t>material;</w:t>
      </w:r>
      <w:r w:rsidR="00BB2690">
        <w:t xml:space="preserve"> however</w:t>
      </w:r>
      <w:r w:rsidR="00FA7C55">
        <w:t>,</w:t>
      </w:r>
      <w:r w:rsidR="00BB2690">
        <w:t xml:space="preserve"> the chiton </w:t>
      </w:r>
      <w:r w:rsidR="0075147D">
        <w:t>is slightly different</w:t>
      </w:r>
      <w:r w:rsidR="0075147D">
        <w:rPr>
          <w:rStyle w:val="FootnoteReference"/>
        </w:rPr>
        <w:footnoteReference w:id="69"/>
      </w:r>
      <w:r w:rsidR="0075147D">
        <w:t>.</w:t>
      </w:r>
      <w:r w:rsidR="000F25FF">
        <w:t xml:space="preserve"> She wears a headdress with a uraeus on it</w:t>
      </w:r>
      <w:r w:rsidR="005C7CD0">
        <w:t xml:space="preserve">, </w:t>
      </w:r>
      <w:r w:rsidR="0063207E">
        <w:t>‘her left hand holds</w:t>
      </w:r>
      <w:r w:rsidR="005C7CD0">
        <w:t xml:space="preserve"> the end of himation and she lifts it up as high as her chest, holding it far from her body</w:t>
      </w:r>
      <w:r w:rsidR="008042CC">
        <w:t xml:space="preserve">’, and </w:t>
      </w:r>
      <w:r w:rsidR="0063207E">
        <w:t>in her right ha</w:t>
      </w:r>
      <w:r w:rsidR="008E170B">
        <w:t>nd she holds a folded ribbon</w:t>
      </w:r>
      <w:r w:rsidR="008042CC">
        <w:rPr>
          <w:rStyle w:val="FootnoteReference"/>
        </w:rPr>
        <w:footnoteReference w:id="70"/>
      </w:r>
      <w:r w:rsidR="009F0315">
        <w:t xml:space="preserve">, some scholars have suggested this is an adapted </w:t>
      </w:r>
      <w:r w:rsidR="000D23A5">
        <w:t>version of the New Kingdom Egyptian crook</w:t>
      </w:r>
      <w:r w:rsidR="000D23A5">
        <w:rPr>
          <w:rStyle w:val="FootnoteReference"/>
        </w:rPr>
        <w:footnoteReference w:id="71"/>
      </w:r>
      <w:r w:rsidR="008E170B">
        <w:t xml:space="preserve">. </w:t>
      </w:r>
    </w:p>
    <w:p w14:paraId="4F498C40" w14:textId="55F06691" w:rsidR="0037558D" w:rsidRDefault="007E14CF" w:rsidP="00C7190C">
      <w:r>
        <w:lastRenderedPageBreak/>
        <w:t xml:space="preserve">There are five male statues </w:t>
      </w:r>
      <w:r w:rsidR="00BF4E24">
        <w:t>that have</w:t>
      </w:r>
      <w:r w:rsidR="00132EE5">
        <w:t xml:space="preserve"> been discovered</w:t>
      </w:r>
      <w:r w:rsidR="00E362BB">
        <w:rPr>
          <w:rStyle w:val="FootnoteReference"/>
        </w:rPr>
        <w:footnoteReference w:id="72"/>
      </w:r>
      <w:r w:rsidR="009019AD">
        <w:t xml:space="preserve">, four </w:t>
      </w:r>
      <w:r w:rsidR="00F90557">
        <w:t>depict the same male whereas the fifth is much larger</w:t>
      </w:r>
      <w:r w:rsidR="00F90557">
        <w:rPr>
          <w:rStyle w:val="FootnoteReference"/>
        </w:rPr>
        <w:footnoteReference w:id="73"/>
      </w:r>
      <w:r w:rsidR="00E362BB">
        <w:t>.</w:t>
      </w:r>
      <w:r w:rsidR="001938AA">
        <w:t xml:space="preserve"> The male statues are very different </w:t>
      </w:r>
      <w:r w:rsidR="008C0124">
        <w:t>to the female statues because, all the male statues are depicted the same</w:t>
      </w:r>
      <w:r w:rsidR="00CC7C21">
        <w:t>, whereas</w:t>
      </w:r>
      <w:r w:rsidR="008C0124">
        <w:t xml:space="preserve"> </w:t>
      </w:r>
      <w:r w:rsidR="00D736E5">
        <w:t>each female statue was Isis but with different ornaments in their hands and wear</w:t>
      </w:r>
      <w:r w:rsidR="00BF4E24">
        <w:t>ing</w:t>
      </w:r>
      <w:r w:rsidR="00D736E5">
        <w:t xml:space="preserve"> different headwear. </w:t>
      </w:r>
      <w:r w:rsidR="00D319C3">
        <w:t xml:space="preserve">The male statues also appear to </w:t>
      </w:r>
      <w:r w:rsidR="00C31EB5">
        <w:t xml:space="preserve">be more Egyptian in </w:t>
      </w:r>
      <w:r w:rsidR="00736C4A">
        <w:t>style</w:t>
      </w:r>
      <w:r w:rsidR="00FF5EA0">
        <w:rPr>
          <w:rStyle w:val="FootnoteReference"/>
        </w:rPr>
        <w:footnoteReference w:id="74"/>
      </w:r>
      <w:r w:rsidR="00736C4A">
        <w:t>,</w:t>
      </w:r>
      <w:r w:rsidR="00C31EB5">
        <w:t xml:space="preserve"> wearing the Egyptian royal kilt of the pharaohs</w:t>
      </w:r>
      <w:r w:rsidR="00925EF1">
        <w:t>,</w:t>
      </w:r>
      <w:r w:rsidR="0012782A">
        <w:t xml:space="preserve"> the Egyptian wig with the uraeus on the forehead</w:t>
      </w:r>
      <w:r w:rsidR="00736C4A">
        <w:rPr>
          <w:rStyle w:val="FootnoteReference"/>
        </w:rPr>
        <w:footnoteReference w:id="75"/>
      </w:r>
      <w:r w:rsidR="00925EF1">
        <w:t xml:space="preserve"> and </w:t>
      </w:r>
      <w:r w:rsidR="001869AF">
        <w:t>‘</w:t>
      </w:r>
      <w:r w:rsidR="00925EF1">
        <w:t>holding small ro</w:t>
      </w:r>
      <w:r w:rsidR="001869AF">
        <w:t xml:space="preserve">ds, a common feature of Egyptian </w:t>
      </w:r>
      <w:r w:rsidR="00D557CC">
        <w:t>statues</w:t>
      </w:r>
      <w:r w:rsidR="001869AF">
        <w:t>’</w:t>
      </w:r>
      <w:r w:rsidR="001869AF">
        <w:rPr>
          <w:rStyle w:val="FootnoteReference"/>
        </w:rPr>
        <w:footnoteReference w:id="76"/>
      </w:r>
      <w:r w:rsidR="006F7AD1">
        <w:t xml:space="preserve">. </w:t>
      </w:r>
      <w:r w:rsidR="0093112F">
        <w:t>The male figures are of</w:t>
      </w:r>
      <w:r w:rsidR="00E705AE">
        <w:t xml:space="preserve"> the Egyptian god, Osiris</w:t>
      </w:r>
      <w:r w:rsidR="009B5602">
        <w:rPr>
          <w:rStyle w:val="FootnoteReference"/>
        </w:rPr>
        <w:footnoteReference w:id="77"/>
      </w:r>
      <w:r w:rsidR="00105635">
        <w:t>, the iconography diverges from the</w:t>
      </w:r>
      <w:r w:rsidR="00196E27">
        <w:t xml:space="preserve"> Greco-Egyptian god, Sarapis</w:t>
      </w:r>
      <w:r w:rsidR="00B93769">
        <w:rPr>
          <w:rStyle w:val="FootnoteReference"/>
        </w:rPr>
        <w:footnoteReference w:id="78"/>
      </w:r>
      <w:r w:rsidR="00307D96">
        <w:t xml:space="preserve">. </w:t>
      </w:r>
    </w:p>
    <w:p w14:paraId="3F86680E" w14:textId="5D489FFA" w:rsidR="00BE3863" w:rsidRDefault="00133ACA" w:rsidP="00C7190C">
      <w:r>
        <w:t xml:space="preserve">In one of the rooms in </w:t>
      </w:r>
      <w:r w:rsidR="008A7B60">
        <w:t xml:space="preserve">the south-west side </w:t>
      </w:r>
      <w:r>
        <w:t>the sanctuary</w:t>
      </w:r>
      <w:r w:rsidR="00953420">
        <w:t xml:space="preserve"> contained</w:t>
      </w:r>
      <w:r w:rsidR="00D251C0">
        <w:t xml:space="preserve"> ‘fragments of many unpainted terracotta lamps</w:t>
      </w:r>
      <w:r w:rsidR="008A7B60">
        <w:t>’</w:t>
      </w:r>
      <w:r w:rsidR="006B3B66">
        <w:rPr>
          <w:rStyle w:val="FootnoteReference"/>
        </w:rPr>
        <w:footnoteReference w:id="79"/>
      </w:r>
      <w:r w:rsidR="00581271">
        <w:t xml:space="preserve"> believed to be </w:t>
      </w:r>
      <w:r w:rsidR="00BB2E8B">
        <w:t>seventy in total</w:t>
      </w:r>
      <w:r w:rsidR="00BB2E8B">
        <w:rPr>
          <w:rStyle w:val="FootnoteReference"/>
        </w:rPr>
        <w:footnoteReference w:id="80"/>
      </w:r>
      <w:r w:rsidR="006B3B66">
        <w:t>.</w:t>
      </w:r>
      <w:r w:rsidR="00B947DC">
        <w:t xml:space="preserve"> </w:t>
      </w:r>
      <w:r w:rsidR="00741FF5">
        <w:t>Fotiadi describes the lamps as</w:t>
      </w:r>
      <w:r w:rsidR="00D27725">
        <w:t xml:space="preserve"> of</w:t>
      </w:r>
      <w:r w:rsidR="00741FF5">
        <w:t xml:space="preserve"> ‘exceptionally large</w:t>
      </w:r>
      <w:r w:rsidR="00CE2902">
        <w:t xml:space="preserve"> dimensions’, length of 0.42m and height 0.12</w:t>
      </w:r>
      <w:r w:rsidR="00636E10">
        <w:t>m</w:t>
      </w:r>
      <w:r w:rsidR="00636E10">
        <w:rPr>
          <w:rStyle w:val="FootnoteReference"/>
        </w:rPr>
        <w:footnoteReference w:id="81"/>
      </w:r>
      <w:r w:rsidR="00636E10">
        <w:t>.</w:t>
      </w:r>
      <w:r w:rsidR="006A72B7">
        <w:t xml:space="preserve"> </w:t>
      </w:r>
      <w:r w:rsidR="003843F4">
        <w:t>E</w:t>
      </w:r>
      <w:r w:rsidR="008901C0">
        <w:t>xcavation work on the lamps show that they have been used due to ‘traces of lampblack’ on the nozzle</w:t>
      </w:r>
      <w:r w:rsidR="00C4575A">
        <w:t>s</w:t>
      </w:r>
      <w:r w:rsidR="00C4575A">
        <w:rPr>
          <w:rStyle w:val="FootnoteReference"/>
        </w:rPr>
        <w:footnoteReference w:id="82"/>
      </w:r>
      <w:r w:rsidR="003843F4">
        <w:t xml:space="preserve">. </w:t>
      </w:r>
      <w:r w:rsidR="00B9337D">
        <w:t xml:space="preserve">The theory regarding the lamps are they would have been too heavy </w:t>
      </w:r>
      <w:r w:rsidR="004F0419">
        <w:t>to</w:t>
      </w:r>
      <w:r w:rsidR="00B9337D">
        <w:t xml:space="preserve"> move especially </w:t>
      </w:r>
      <w:r w:rsidR="00E009E4">
        <w:t>once filled with oil</w:t>
      </w:r>
      <w:r w:rsidR="00E009E4">
        <w:rPr>
          <w:rStyle w:val="FootnoteReference"/>
        </w:rPr>
        <w:footnoteReference w:id="83"/>
      </w:r>
      <w:r w:rsidR="00E009E4">
        <w:t xml:space="preserve">. </w:t>
      </w:r>
      <w:r w:rsidR="004F0419">
        <w:t xml:space="preserve">The amount of oil the lamps could hold suggests that the lamps could have </w:t>
      </w:r>
      <w:r w:rsidR="00DA45F6">
        <w:t>been alight for long hours</w:t>
      </w:r>
      <w:r w:rsidR="008273E8">
        <w:t>, leading to the conclusion they would have been used during the night</w:t>
      </w:r>
      <w:r w:rsidR="00DA45F6">
        <w:rPr>
          <w:rStyle w:val="FootnoteReference"/>
        </w:rPr>
        <w:footnoteReference w:id="84"/>
      </w:r>
      <w:r w:rsidR="008273E8">
        <w:t xml:space="preserve">. </w:t>
      </w:r>
      <w:r w:rsidR="0083059F">
        <w:t xml:space="preserve">One </w:t>
      </w:r>
      <w:r w:rsidR="00492F66">
        <w:t xml:space="preserve">use of the lamps could be due to ‘a </w:t>
      </w:r>
      <w:r w:rsidR="005B719E">
        <w:t>festivity</w:t>
      </w:r>
      <w:r w:rsidR="00492F66">
        <w:t xml:space="preserve"> that took place in ancient Egypt at night where Isis searched for the dead body of her counterpart, Osiris, and involved the use of </w:t>
      </w:r>
      <w:r w:rsidR="005B719E">
        <w:t>ritual</w:t>
      </w:r>
      <w:r w:rsidR="00492F66">
        <w:t xml:space="preserve"> lamps enforces this theory’</w:t>
      </w:r>
      <w:r w:rsidR="000945D7">
        <w:t>, as mentioned by Herodotus</w:t>
      </w:r>
      <w:r w:rsidR="005B719E">
        <w:rPr>
          <w:rStyle w:val="FootnoteReference"/>
        </w:rPr>
        <w:footnoteReference w:id="85"/>
      </w:r>
      <w:r w:rsidR="00D73F53">
        <w:t xml:space="preserve">. </w:t>
      </w:r>
    </w:p>
    <w:p w14:paraId="77D1A312" w14:textId="73435279" w:rsidR="00BA04BF" w:rsidRDefault="00933DBA" w:rsidP="00C7190C">
      <w:r>
        <w:t xml:space="preserve">The style of lamps dates them </w:t>
      </w:r>
      <w:r w:rsidR="00261B09">
        <w:t xml:space="preserve">to the second century because they are of Corinthian </w:t>
      </w:r>
      <w:r w:rsidR="00261B09" w:rsidRPr="00261B09">
        <w:t xml:space="preserve">style </w:t>
      </w:r>
      <w:r w:rsidR="00261B09" w:rsidRPr="00261B09">
        <w:rPr>
          <w:rStyle w:val="FootnoteReference"/>
        </w:rPr>
        <w:footnoteReference w:id="86"/>
      </w:r>
      <w:r w:rsidR="00261B09">
        <w:t>.</w:t>
      </w:r>
      <w:r w:rsidR="0091166E">
        <w:t xml:space="preserve"> Seventeen of the</w:t>
      </w:r>
      <w:r w:rsidR="00517C79">
        <w:t xml:space="preserve"> seventy lamps consist of the</w:t>
      </w:r>
      <w:r w:rsidR="005D5DB2">
        <w:t xml:space="preserve"> decoration </w:t>
      </w:r>
      <w:r w:rsidR="00242F39">
        <w:t>of</w:t>
      </w:r>
      <w:r w:rsidR="005D5DB2">
        <w:t xml:space="preserve"> busts of Sarapis and Isis facing </w:t>
      </w:r>
      <w:r w:rsidR="005D5DB2" w:rsidRPr="00933DBA">
        <w:t>each other</w:t>
      </w:r>
      <w:r w:rsidRPr="00933DBA">
        <w:rPr>
          <w:rStyle w:val="FootnoteReference"/>
        </w:rPr>
        <w:footnoteReference w:id="87"/>
      </w:r>
      <w:r w:rsidRPr="00933DBA">
        <w:t>.</w:t>
      </w:r>
      <w:r w:rsidR="00B00333">
        <w:t xml:space="preserve"> </w:t>
      </w:r>
      <w:r w:rsidR="00876498">
        <w:t xml:space="preserve">Isis </w:t>
      </w:r>
      <w:r w:rsidR="00416B34">
        <w:t>is depicted differently to the female statues found at the sanctuary; w</w:t>
      </w:r>
      <w:r w:rsidR="000C1650">
        <w:t xml:space="preserve">earing a chiton </w:t>
      </w:r>
      <w:r w:rsidR="000C1650" w:rsidRPr="0079299E">
        <w:t>with the left shoulder on show, himation tied to the chest in the traditional Egyptian Isis knot</w:t>
      </w:r>
      <w:r w:rsidR="00947797" w:rsidRPr="0079299E">
        <w:rPr>
          <w:rStyle w:val="FootnoteReference"/>
        </w:rPr>
        <w:footnoteReference w:id="88"/>
      </w:r>
      <w:r w:rsidR="00947797" w:rsidRPr="0079299E">
        <w:t xml:space="preserve"> known as</w:t>
      </w:r>
      <w:r w:rsidR="00DA3355" w:rsidRPr="0079299E">
        <w:t xml:space="preserve"> tyet</w:t>
      </w:r>
      <w:r w:rsidR="00DA3355" w:rsidRPr="0079299E">
        <w:rPr>
          <w:rStyle w:val="FootnoteReference"/>
        </w:rPr>
        <w:footnoteReference w:id="89"/>
      </w:r>
      <w:r w:rsidR="002C27C4" w:rsidRPr="0079299E">
        <w:t>, her headdress had three ears of wheat</w:t>
      </w:r>
      <w:r w:rsidR="007B5149" w:rsidRPr="0079299E">
        <w:rPr>
          <w:rStyle w:val="FootnoteReference"/>
        </w:rPr>
        <w:footnoteReference w:id="90"/>
      </w:r>
      <w:r w:rsidR="007B5149" w:rsidRPr="0079299E">
        <w:t>.</w:t>
      </w:r>
      <w:r w:rsidR="00DD6E6F" w:rsidRPr="0079299E">
        <w:t xml:space="preserve"> </w:t>
      </w:r>
      <w:r w:rsidR="00A340B2" w:rsidRPr="0079299E">
        <w:t>Sarapis is dep</w:t>
      </w:r>
      <w:r w:rsidR="00C01E84" w:rsidRPr="0079299E">
        <w:t xml:space="preserve">icted differently to the male statues located at the entrances; ‘curls on his forehead in the </w:t>
      </w:r>
      <w:r w:rsidR="00507136" w:rsidRPr="0079299E">
        <w:t>‘canonical image’ … and a kalathos on his head, decorated with leaves of ivy</w:t>
      </w:r>
      <w:r w:rsidR="008965A6" w:rsidRPr="0079299E">
        <w:t>’</w:t>
      </w:r>
      <w:r w:rsidR="008965A6" w:rsidRPr="0079299E">
        <w:rPr>
          <w:rStyle w:val="FootnoteReference"/>
        </w:rPr>
        <w:footnoteReference w:id="91"/>
      </w:r>
      <w:r w:rsidR="00DD6E6F" w:rsidRPr="0079299E">
        <w:t xml:space="preserve">. </w:t>
      </w:r>
      <w:r w:rsidR="00407F54" w:rsidRPr="0079299E">
        <w:t>This type of décor is not seen elsewhere, suggests that perhaps they were made specially for the sanctuary only</w:t>
      </w:r>
      <w:r w:rsidR="00407F54">
        <w:rPr>
          <w:rStyle w:val="FootnoteReference"/>
        </w:rPr>
        <w:footnoteReference w:id="92"/>
      </w:r>
      <w:r w:rsidR="00407F54">
        <w:t>.</w:t>
      </w:r>
    </w:p>
    <w:p w14:paraId="78BFDFA5" w14:textId="6564D170" w:rsidR="009478C3" w:rsidRDefault="00093983" w:rsidP="00C7190C">
      <w:r>
        <w:t>The inscriptions found at the sanctuary</w:t>
      </w:r>
      <w:r w:rsidR="00055E2F">
        <w:t xml:space="preserve"> provide minimal information. For example, </w:t>
      </w:r>
      <w:r w:rsidR="0045546C">
        <w:t xml:space="preserve">inscription </w:t>
      </w:r>
      <w:r w:rsidR="008A5EB2">
        <w:t xml:space="preserve">Agonistic dedication of a </w:t>
      </w:r>
      <w:proofErr w:type="spellStart"/>
      <w:r w:rsidR="008A5EB2">
        <w:t>xystarches</w:t>
      </w:r>
      <w:proofErr w:type="spellEnd"/>
      <w:r w:rsidR="00CA1E57">
        <w:t xml:space="preserve">, </w:t>
      </w:r>
      <w:r w:rsidR="000B573C">
        <w:t>has</w:t>
      </w:r>
      <w:r w:rsidR="00CA1E57">
        <w:t xml:space="preserve"> minimal writing on the stone</w:t>
      </w:r>
      <w:r w:rsidR="00314310">
        <w:t>,</w:t>
      </w:r>
      <w:r w:rsidR="005A1F38">
        <w:t xml:space="preserve"> </w:t>
      </w:r>
      <w:r w:rsidR="0036555A">
        <w:t>‘</w:t>
      </w:r>
      <w:r w:rsidR="0036555A" w:rsidRPr="0036555A">
        <w:rPr>
          <w:i/>
          <w:iCs/>
        </w:rPr>
        <w:t xml:space="preserve">… TARXES … of </w:t>
      </w:r>
      <w:proofErr w:type="spellStart"/>
      <w:r w:rsidR="0036555A" w:rsidRPr="0036555A">
        <w:rPr>
          <w:i/>
          <w:iCs/>
        </w:rPr>
        <w:t>Serap</w:t>
      </w:r>
      <w:proofErr w:type="spellEnd"/>
      <w:r w:rsidR="0036555A" w:rsidRPr="0036555A">
        <w:rPr>
          <w:i/>
          <w:iCs/>
        </w:rPr>
        <w:t>…</w:t>
      </w:r>
      <w:r w:rsidR="0036555A">
        <w:rPr>
          <w:i/>
          <w:iCs/>
        </w:rPr>
        <w:t xml:space="preserve"> </w:t>
      </w:r>
      <w:r w:rsidR="0036555A" w:rsidRPr="0036555A">
        <w:rPr>
          <w:i/>
          <w:iCs/>
        </w:rPr>
        <w:t xml:space="preserve">In </w:t>
      </w:r>
      <w:proofErr w:type="spellStart"/>
      <w:r w:rsidR="0036555A" w:rsidRPr="0036555A">
        <w:rPr>
          <w:i/>
          <w:iCs/>
        </w:rPr>
        <w:lastRenderedPageBreak/>
        <w:t>Alexandr</w:t>
      </w:r>
      <w:proofErr w:type="spellEnd"/>
      <w:r w:rsidR="0036555A" w:rsidRPr="0036555A">
        <w:rPr>
          <w:i/>
          <w:iCs/>
        </w:rPr>
        <w:t>…</w:t>
      </w:r>
      <w:r w:rsidR="0036555A">
        <w:rPr>
          <w:i/>
          <w:iCs/>
        </w:rPr>
        <w:t>’</w:t>
      </w:r>
      <w:r w:rsidR="00124107">
        <w:rPr>
          <w:rStyle w:val="FootnoteReference"/>
          <w:i/>
          <w:iCs/>
        </w:rPr>
        <w:footnoteReference w:id="93"/>
      </w:r>
      <w:r w:rsidR="000B573C">
        <w:t>. With minimal writing being translated</w:t>
      </w:r>
      <w:r w:rsidR="0007239C">
        <w:t>, the inscription does not provide much information, however</w:t>
      </w:r>
      <w:r w:rsidR="00314310">
        <w:t xml:space="preserve"> we do know the inscription is connected to the Greco-Egyptian god Sarapis</w:t>
      </w:r>
      <w:r w:rsidR="00253DDF">
        <w:t xml:space="preserve"> due to his name being on the stone. </w:t>
      </w:r>
    </w:p>
    <w:p w14:paraId="18E49FF4" w14:textId="6777A09D" w:rsidR="00BA04BF" w:rsidRDefault="00BA04BF" w:rsidP="00C7190C">
      <w:r>
        <w:t>The Sanctuary of Egyptian Gods was not the only Egyptian cult complex in Marathon that Atticus designed</w:t>
      </w:r>
      <w:r w:rsidR="0087073A">
        <w:t>, his villa in Eva-Loukou, also consisted of Egyptian style artefacts</w:t>
      </w:r>
      <w:r w:rsidR="0087073A">
        <w:rPr>
          <w:rStyle w:val="FootnoteReference"/>
        </w:rPr>
        <w:footnoteReference w:id="94"/>
      </w:r>
      <w:r w:rsidR="0087073A">
        <w:t xml:space="preserve">. </w:t>
      </w:r>
      <w:r w:rsidR="00F638DA">
        <w:t>At</w:t>
      </w:r>
      <w:r w:rsidR="00127256">
        <w:t xml:space="preserve"> Eva-Loukou, there were </w:t>
      </w:r>
      <w:r w:rsidR="0046760F">
        <w:t>fragment</w:t>
      </w:r>
      <w:r w:rsidR="00855F65">
        <w:t>s of statues of the goddess Isis and</w:t>
      </w:r>
      <w:r w:rsidR="00637AEB">
        <w:t xml:space="preserve"> an Egyptianizing statue head of the god Osiris</w:t>
      </w:r>
      <w:r w:rsidR="00637AEB">
        <w:rPr>
          <w:rStyle w:val="FootnoteReference"/>
        </w:rPr>
        <w:footnoteReference w:id="95"/>
      </w:r>
      <w:r w:rsidR="00637AEB">
        <w:t>.</w:t>
      </w:r>
      <w:r w:rsidR="00EE71DD">
        <w:t xml:space="preserve"> Despite both site having statues that depict the same god and goddess, </w:t>
      </w:r>
      <w:r w:rsidR="00CB2687">
        <w:t xml:space="preserve">the statues from Eva-Loukou </w:t>
      </w:r>
      <w:r w:rsidR="00846A95">
        <w:t xml:space="preserve">were not in the archaic design like the statues from </w:t>
      </w:r>
      <w:proofErr w:type="spellStart"/>
      <w:r w:rsidR="00846A95">
        <w:t>Brexzia</w:t>
      </w:r>
      <w:proofErr w:type="spellEnd"/>
      <w:r w:rsidR="00846A95">
        <w:t>, but more classical</w:t>
      </w:r>
      <w:r w:rsidR="00846A95">
        <w:rPr>
          <w:rStyle w:val="FootnoteReference"/>
        </w:rPr>
        <w:footnoteReference w:id="96"/>
      </w:r>
      <w:r w:rsidR="00846A95">
        <w:t>.</w:t>
      </w:r>
      <w:r w:rsidR="004C57E2">
        <w:t xml:space="preserve"> </w:t>
      </w:r>
      <w:r w:rsidR="00C65822">
        <w:t>Also,</w:t>
      </w:r>
      <w:r w:rsidR="00D60963">
        <w:t xml:space="preserve"> at Eva-Loukou</w:t>
      </w:r>
      <w:r w:rsidR="00AC50D1">
        <w:t>, there was evidence of a hydraulic system to produce water at the site</w:t>
      </w:r>
      <w:r w:rsidR="00C65822">
        <w:rPr>
          <w:rStyle w:val="FootnoteReference"/>
        </w:rPr>
        <w:footnoteReference w:id="97"/>
      </w:r>
      <w:r w:rsidR="00C65822">
        <w:t xml:space="preserve">. </w:t>
      </w:r>
      <w:r w:rsidR="004C57E2">
        <w:t>As mentioned previously it was not uncommon</w:t>
      </w:r>
      <w:r w:rsidR="00A5044C">
        <w:t xml:space="preserve"> for Greek’s to construct near </w:t>
      </w:r>
      <w:r w:rsidR="008A2067">
        <w:t>marshes or to create artificial water</w:t>
      </w:r>
      <w:r w:rsidR="00CF263B">
        <w:t xml:space="preserve"> features in order in represent the</w:t>
      </w:r>
      <w:r w:rsidR="00D60963">
        <w:t xml:space="preserve"> Nile Valley environment. </w:t>
      </w:r>
    </w:p>
    <w:p w14:paraId="73599015" w14:textId="51168E0D" w:rsidR="005B10EC" w:rsidRDefault="005B10EC" w:rsidP="00C7190C">
      <w:r>
        <w:t xml:space="preserve">In conclusion, The Sanctuary of Egyptian Gods </w:t>
      </w:r>
      <w:r w:rsidR="00ED4342">
        <w:t xml:space="preserve">provides evidence of Egyptian influences on the Greek culture. </w:t>
      </w:r>
      <w:r w:rsidR="00240647">
        <w:t xml:space="preserve">The location of the sanctuary being between two marshes provided the environment of the Nile Valley, which appeared to be desired by the Greeks. </w:t>
      </w:r>
      <w:r w:rsidR="005B2683">
        <w:t>The central construction of the sanctuary was in the form of a pyramid</w:t>
      </w:r>
      <w:r w:rsidR="00FC6AB4">
        <w:t xml:space="preserve">, while it may have been unintentional it still provides an aspect of Egyptian culture in Greece. </w:t>
      </w:r>
      <w:r w:rsidR="00E83F1D">
        <w:t xml:space="preserve">The sanctuary consisted of many statues of Egyptians god; Isis, </w:t>
      </w:r>
      <w:r w:rsidR="00F7053E">
        <w:t>Osiris,</w:t>
      </w:r>
      <w:r w:rsidR="00E83F1D">
        <w:t xml:space="preserve"> and Horus</w:t>
      </w:r>
      <w:r w:rsidR="00625254">
        <w:t>, all depicted with aspects of Egyptian iconography</w:t>
      </w:r>
      <w:r w:rsidR="00875A64">
        <w:t xml:space="preserve">. The use of the lamps </w:t>
      </w:r>
      <w:proofErr w:type="gramStart"/>
      <w:r w:rsidR="00613DFA">
        <w:t>are</w:t>
      </w:r>
      <w:proofErr w:type="gramEnd"/>
      <w:r w:rsidR="00613DFA">
        <w:t xml:space="preserve"> </w:t>
      </w:r>
      <w:r w:rsidR="00875A64">
        <w:t>even suggested to have been used to celebrate the</w:t>
      </w:r>
      <w:r w:rsidR="00252669">
        <w:t xml:space="preserve"> search for Osiris’s body.</w:t>
      </w:r>
      <w:r w:rsidR="00B802EF">
        <w:t xml:space="preserve"> At the sanctuary not only </w:t>
      </w:r>
      <w:r w:rsidR="00613DFA">
        <w:t>are</w:t>
      </w:r>
      <w:r w:rsidR="00B802EF">
        <w:t xml:space="preserve"> aspects of art influenced by the Egyptians but also </w:t>
      </w:r>
      <w:r w:rsidR="0046074A">
        <w:t>celebrations</w:t>
      </w:r>
      <w:r w:rsidR="00F7053E">
        <w:t xml:space="preserve"> that were conducted at the sanctuary. </w:t>
      </w:r>
    </w:p>
    <w:p w14:paraId="61E4F294" w14:textId="4A3CA4B4" w:rsidR="009C46F4" w:rsidRDefault="009C46F4" w:rsidP="00C7190C"/>
    <w:p w14:paraId="13877D09" w14:textId="19D882C3" w:rsidR="009C46F4" w:rsidRDefault="009C46F4" w:rsidP="00C7190C"/>
    <w:p w14:paraId="221D233F" w14:textId="52DDE866" w:rsidR="009C46F4" w:rsidRDefault="009C46F4" w:rsidP="00C7190C"/>
    <w:p w14:paraId="262979F5" w14:textId="20386ADF" w:rsidR="009C46F4" w:rsidRDefault="009C46F4" w:rsidP="00C7190C"/>
    <w:p w14:paraId="2F68AFB3" w14:textId="5E2932D4" w:rsidR="009C46F4" w:rsidRDefault="009C46F4" w:rsidP="00C7190C"/>
    <w:p w14:paraId="6D8FCFD2" w14:textId="41249F34" w:rsidR="009C46F4" w:rsidRDefault="009C46F4" w:rsidP="00C7190C"/>
    <w:p w14:paraId="34FC67BB" w14:textId="5224429B" w:rsidR="009C46F4" w:rsidRDefault="009C46F4" w:rsidP="00C7190C"/>
    <w:p w14:paraId="541C0DB2" w14:textId="53465A40" w:rsidR="009C46F4" w:rsidRDefault="009C46F4" w:rsidP="00C7190C"/>
    <w:p w14:paraId="275C25CC" w14:textId="5411D716" w:rsidR="0079299E" w:rsidRDefault="0079299E" w:rsidP="00C7190C"/>
    <w:p w14:paraId="4B754361" w14:textId="77777777" w:rsidR="0079299E" w:rsidRDefault="0079299E" w:rsidP="00C7190C"/>
    <w:p w14:paraId="54E81982" w14:textId="672764BE" w:rsidR="009C46F4" w:rsidRDefault="009C46F4" w:rsidP="00C7190C"/>
    <w:p w14:paraId="6D50C907" w14:textId="4F3D02FC" w:rsidR="009C46F4" w:rsidRDefault="009C46F4" w:rsidP="00C7190C"/>
    <w:p w14:paraId="72A857AF" w14:textId="77777777" w:rsidR="009C46F4" w:rsidRDefault="009C46F4" w:rsidP="00C7190C"/>
    <w:p w14:paraId="4B0BEFA6" w14:textId="77777777" w:rsidR="009C46F4" w:rsidRPr="00C068EE" w:rsidRDefault="009C46F4" w:rsidP="009C46F4">
      <w:pPr>
        <w:jc w:val="center"/>
        <w:rPr>
          <w:u w:val="single"/>
        </w:rPr>
      </w:pPr>
      <w:r w:rsidRPr="00C068EE">
        <w:rPr>
          <w:sz w:val="28"/>
          <w:szCs w:val="28"/>
          <w:u w:val="single"/>
        </w:rPr>
        <w:lastRenderedPageBreak/>
        <w:t>Bibliography</w:t>
      </w:r>
    </w:p>
    <w:p w14:paraId="23F593D0" w14:textId="77777777" w:rsidR="009C46F4" w:rsidRPr="003E1ECC" w:rsidRDefault="009C46F4" w:rsidP="009C46F4">
      <w:pPr>
        <w:rPr>
          <w:sz w:val="23"/>
          <w:szCs w:val="23"/>
        </w:rPr>
      </w:pPr>
      <w:r>
        <w:t xml:space="preserve">Allan, W. (2004) ‘Religious Syncretism: The New Gods of Greek Tragedy’, </w:t>
      </w:r>
      <w:r w:rsidRPr="003D25C9">
        <w:rPr>
          <w:i/>
          <w:iCs/>
        </w:rPr>
        <w:t>Harvard Studies in Classical Philology</w:t>
      </w:r>
      <w:r>
        <w:t xml:space="preserve">, 102, pp. 113 – 155. Available at: </w:t>
      </w:r>
      <w:hyperlink r:id="rId15" w:history="1">
        <w:r w:rsidRPr="00BA04AB">
          <w:rPr>
            <w:rStyle w:val="Hyperlink"/>
            <w:sz w:val="23"/>
            <w:szCs w:val="23"/>
          </w:rPr>
          <w:t>https://www.jstor.org/stable/4150035</w:t>
        </w:r>
      </w:hyperlink>
      <w:r>
        <w:rPr>
          <w:sz w:val="23"/>
          <w:szCs w:val="23"/>
        </w:rPr>
        <w:t xml:space="preserve"> [Accessed 30/03/2020]</w:t>
      </w:r>
    </w:p>
    <w:p w14:paraId="1F346A9B" w14:textId="77777777" w:rsidR="009C46F4" w:rsidRDefault="009C46F4" w:rsidP="009C46F4">
      <w:r>
        <w:t xml:space="preserve"> Benaki Museum. (2016) </w:t>
      </w:r>
      <w:r w:rsidRPr="003E1ECC">
        <w:rPr>
          <w:i/>
          <w:iCs/>
        </w:rPr>
        <w:t>Sarapis and Isis with Bacchic symbols on a lamp from the sanctuary of the Egyptian Gods at Marathon</w:t>
      </w:r>
      <w:r>
        <w:t xml:space="preserve">. Available at: </w:t>
      </w:r>
      <w:hyperlink r:id="rId16" w:history="1">
        <w:r w:rsidRPr="00BA04AB">
          <w:rPr>
            <w:rStyle w:val="Hyperlink"/>
          </w:rPr>
          <w:t>https://www.benaki.org/index.php?option=com_publications&amp;view=study&amp;id=317&amp;Itemid=584&amp;lang=en</w:t>
        </w:r>
      </w:hyperlink>
      <w:r>
        <w:t xml:space="preserve"> [Accessed 30/03/2020] </w:t>
      </w:r>
    </w:p>
    <w:p w14:paraId="38EA8032" w14:textId="77777777" w:rsidR="009C46F4" w:rsidRDefault="009C46F4" w:rsidP="009C46F4">
      <w:r>
        <w:t xml:space="preserve">Canadian Museum of History (n.d.) </w:t>
      </w:r>
      <w:r w:rsidRPr="003E1ECC">
        <w:rPr>
          <w:i/>
          <w:iCs/>
        </w:rPr>
        <w:t>Osiris</w:t>
      </w:r>
      <w:r>
        <w:t xml:space="preserve">. Available at: </w:t>
      </w:r>
      <w:hyperlink r:id="rId17" w:history="1">
        <w:r w:rsidRPr="00BA04AB">
          <w:rPr>
            <w:rStyle w:val="Hyperlink"/>
          </w:rPr>
          <w:t>https://www.historymuseum.ca/cmc/exhibitions/civil/egypt/egcrgo1e.html</w:t>
        </w:r>
      </w:hyperlink>
      <w:r>
        <w:t xml:space="preserve"> [Accessed 30/03/2020]</w:t>
      </w:r>
    </w:p>
    <w:p w14:paraId="1744C75F" w14:textId="77777777" w:rsidR="009C46F4" w:rsidRDefault="009C46F4" w:rsidP="009C46F4">
      <w:proofErr w:type="spellStart"/>
      <w:r>
        <w:t>Chaniotis</w:t>
      </w:r>
      <w:proofErr w:type="spellEnd"/>
      <w:r>
        <w:t xml:space="preserve">, A., </w:t>
      </w:r>
      <w:proofErr w:type="spellStart"/>
      <w:r>
        <w:t>Corsten</w:t>
      </w:r>
      <w:proofErr w:type="spellEnd"/>
      <w:r>
        <w:t xml:space="preserve">, T., </w:t>
      </w:r>
      <w:proofErr w:type="spellStart"/>
      <w:r>
        <w:t>Papazarkadas</w:t>
      </w:r>
      <w:proofErr w:type="spellEnd"/>
      <w:r>
        <w:t xml:space="preserve">, N. and </w:t>
      </w:r>
      <w:proofErr w:type="spellStart"/>
      <w:r>
        <w:t>Tybout</w:t>
      </w:r>
      <w:proofErr w:type="spellEnd"/>
      <w:r>
        <w:t xml:space="preserve">, R. A. (2009) SEG 59 – 198. Marathon. Agonistic dedication of a </w:t>
      </w:r>
      <w:proofErr w:type="spellStart"/>
      <w:r>
        <w:t>xystarches</w:t>
      </w:r>
      <w:proofErr w:type="spellEnd"/>
      <w:r>
        <w:t xml:space="preserve">. Available at: </w:t>
      </w:r>
      <w:hyperlink r:id="rId18" w:history="1">
        <w:r w:rsidRPr="00303A1A">
          <w:rPr>
            <w:rStyle w:val="Hyperlink"/>
          </w:rPr>
          <w:t>https://referenceworks-brillonline-com.ezproxy.uwtsd.ac.uk/entries/supplementum-epigraphicum-graecum/*-a59_198</w:t>
        </w:r>
      </w:hyperlink>
      <w:r>
        <w:t xml:space="preserve"> [Accessed 22/04/2020]</w:t>
      </w:r>
    </w:p>
    <w:p w14:paraId="44A14CBF" w14:textId="77777777" w:rsidR="009C46F4" w:rsidRDefault="009C46F4" w:rsidP="009C46F4">
      <w:r w:rsidRPr="00FB17AA">
        <w:t xml:space="preserve">Fotiadi, </w:t>
      </w:r>
      <w:r>
        <w:t xml:space="preserve">P. (2011) ‘Ritual Terracotta Lamps with Representations of Sarapis and Isis from the Sanctuary of the Egyptian Gods at Marathon: </w:t>
      </w:r>
      <w:proofErr w:type="gramStart"/>
      <w:r>
        <w:t>the</w:t>
      </w:r>
      <w:proofErr w:type="gramEnd"/>
      <w:r>
        <w:t xml:space="preserve"> Variation of “Isis with Three Ears of Wheat”’, </w:t>
      </w:r>
      <w:r w:rsidRPr="003D25C9">
        <w:rPr>
          <w:i/>
          <w:iCs/>
        </w:rPr>
        <w:t xml:space="preserve">Bibliotheca </w:t>
      </w:r>
      <w:proofErr w:type="spellStart"/>
      <w:r w:rsidRPr="003D25C9">
        <w:rPr>
          <w:i/>
          <w:iCs/>
        </w:rPr>
        <w:t>Isiaca</w:t>
      </w:r>
      <w:proofErr w:type="spellEnd"/>
      <w:r>
        <w:t xml:space="preserve">, 2. pp. 65 – 77. Available at: </w:t>
      </w:r>
      <w:hyperlink r:id="rId19" w:history="1">
        <w:r w:rsidRPr="00BA04AB">
          <w:rPr>
            <w:rStyle w:val="Hyperlink"/>
          </w:rPr>
          <w:t>https://www.academia.edu/4939757/Pelly_Fotiadi_Ritual_Terracotta_Lamps_with_Representations_of_Sarapis_and_Isis_from_the_Sanctuary_of_the_Egyptian_Gods_at_Marathon_The_Variation_of_Isis_with_Three_Ears_of_Wheat_</w:t>
        </w:r>
      </w:hyperlink>
      <w:r>
        <w:t xml:space="preserve"> [Accessed 30/03/2020]</w:t>
      </w:r>
    </w:p>
    <w:p w14:paraId="7B0A0EEE" w14:textId="77777777" w:rsidR="009C46F4" w:rsidRDefault="009C46F4" w:rsidP="009C46F4">
      <w:r>
        <w:t xml:space="preserve">Goette, H. R. (2001) </w:t>
      </w:r>
      <w:r w:rsidRPr="003E1ECC">
        <w:rPr>
          <w:i/>
          <w:iCs/>
        </w:rPr>
        <w:t xml:space="preserve">Athens, Attica and the </w:t>
      </w:r>
      <w:proofErr w:type="spellStart"/>
      <w:r w:rsidRPr="003E1ECC">
        <w:rPr>
          <w:i/>
          <w:iCs/>
        </w:rPr>
        <w:t>Megarid</w:t>
      </w:r>
      <w:proofErr w:type="spellEnd"/>
      <w:r w:rsidRPr="003E1ECC">
        <w:rPr>
          <w:i/>
          <w:iCs/>
        </w:rPr>
        <w:t>: An Archaeological Guide</w:t>
      </w:r>
      <w:r>
        <w:t xml:space="preserve">. Routledge: London. Available at: </w:t>
      </w:r>
      <w:hyperlink r:id="rId20" w:anchor="v=onepage&amp;q=sanctuary%20of%20egyptian%20gods%20goette&amp;f=false" w:history="1">
        <w:r w:rsidRPr="00BA04AB">
          <w:rPr>
            <w:rStyle w:val="Hyperlink"/>
          </w:rPr>
          <w:t>https://books.google.co.uk/books?id=pEtlS3jtY7cC&amp;pg=PP7&amp;dq=sanctuary+of+egyptian+gods+goette&amp;source=gbs_toc_r&amp;cad=2#v=onepage&amp;q=sanctuary%20of%20egyptian%20gods%20goette&amp;f=false</w:t>
        </w:r>
      </w:hyperlink>
      <w:r>
        <w:t xml:space="preserve"> [Accessed on 30/03/2020] </w:t>
      </w:r>
    </w:p>
    <w:p w14:paraId="4BEBAE9B" w14:textId="77777777" w:rsidR="009C46F4" w:rsidRPr="007B4EEE" w:rsidRDefault="009C46F4" w:rsidP="009C46F4">
      <w:r>
        <w:t xml:space="preserve">Hart, G. (2005) </w:t>
      </w:r>
      <w:r w:rsidRPr="003E1ECC">
        <w:rPr>
          <w:i/>
          <w:iCs/>
        </w:rPr>
        <w:t>The Routledge Dictionary of Egyptian Gods and Goddesses</w:t>
      </w:r>
      <w:r>
        <w:t>. 2</w:t>
      </w:r>
      <w:r w:rsidRPr="007B4EEE">
        <w:rPr>
          <w:vertAlign w:val="superscript"/>
        </w:rPr>
        <w:t>nd</w:t>
      </w:r>
      <w:r>
        <w:t xml:space="preserve"> </w:t>
      </w:r>
      <w:proofErr w:type="spellStart"/>
      <w:r>
        <w:t>edn</w:t>
      </w:r>
      <w:proofErr w:type="spellEnd"/>
      <w:r>
        <w:t xml:space="preserve">. Routledge: Oxon. Available at: </w:t>
      </w:r>
      <w:hyperlink r:id="rId21" w:anchor="v=onepage&amp;q&amp;f=false" w:history="1">
        <w:r w:rsidRPr="00BA04AB">
          <w:rPr>
            <w:rStyle w:val="Hyperlink"/>
          </w:rPr>
          <w:t>https://books.google.co.uk/books?id=0L83uBijeZwC&amp;pg=PA63&amp;lpg=PA63&amp;dq=hathor+papyrus+marshes&amp;source=bl&amp;ots=psRL5T0gXN&amp;sig=ACfU3U040rlKW2q56GQxqclR8Wv4aj1wHQ&amp;hl=en&amp;sa=X&amp;ved=2ahUKEwizyfrK9PbnAhXSesAKHYKiCgoQ6AEwFXoECAkQAQ#v=onepage&amp;q&amp;f=false</w:t>
        </w:r>
      </w:hyperlink>
      <w:r>
        <w:t xml:space="preserve"> [Accessed 30/03/2020]</w:t>
      </w:r>
    </w:p>
    <w:p w14:paraId="2B964AC0" w14:textId="77777777" w:rsidR="009C46F4" w:rsidRDefault="009C46F4" w:rsidP="009C46F4">
      <w:r>
        <w:t>Lesko, L. H. and Mastrocinque, A. (2005) ‘</w:t>
      </w:r>
      <w:r w:rsidRPr="007B4EEE">
        <w:rPr>
          <w:i/>
          <w:iCs/>
        </w:rPr>
        <w:t>Osiris</w:t>
      </w:r>
      <w:r>
        <w:t xml:space="preserve">’ in Jones, L. (ed.) </w:t>
      </w:r>
      <w:proofErr w:type="spellStart"/>
      <w:r>
        <w:t>Encyclopedia</w:t>
      </w:r>
      <w:proofErr w:type="spellEnd"/>
      <w:r>
        <w:t xml:space="preserve"> of Religion, 2</w:t>
      </w:r>
      <w:r w:rsidRPr="00B97264">
        <w:rPr>
          <w:vertAlign w:val="superscript"/>
        </w:rPr>
        <w:t>nd</w:t>
      </w:r>
      <w:r>
        <w:t xml:space="preserve"> </w:t>
      </w:r>
      <w:proofErr w:type="spellStart"/>
      <w:r>
        <w:t>edn</w:t>
      </w:r>
      <w:proofErr w:type="spellEnd"/>
      <w:r>
        <w:t xml:space="preserve">. Detroit: Gale </w:t>
      </w:r>
      <w:proofErr w:type="spellStart"/>
      <w:r>
        <w:t>ebooks</w:t>
      </w:r>
      <w:proofErr w:type="spellEnd"/>
      <w:r>
        <w:t xml:space="preserve">. Available at: </w:t>
      </w:r>
      <w:hyperlink r:id="rId22" w:history="1">
        <w:r w:rsidRPr="00BA04AB">
          <w:rPr>
            <w:rStyle w:val="Hyperlink"/>
          </w:rPr>
          <w:t>https://go-gale-com.ezproxy.uwtsd.ac.uk/ps/i.do?p=GVRL&amp;u=walamp&amp;id=GALE|CX3424502350&amp;v=2.1&amp;it=r&amp;sid=exlibris</w:t>
        </w:r>
      </w:hyperlink>
      <w:r>
        <w:t xml:space="preserve"> [Accessed on 21/04/2020]</w:t>
      </w:r>
    </w:p>
    <w:p w14:paraId="3FBE6471" w14:textId="77777777" w:rsidR="009C46F4" w:rsidRDefault="009C46F4" w:rsidP="009C46F4">
      <w:r>
        <w:t xml:space="preserve">Martens, B. A. (2015) ‘Sarapis as Healer in Roman Athens: Reconsidering the Identity of Agora S 1068’ in Miles. M. M (ed.) </w:t>
      </w:r>
      <w:r w:rsidRPr="005F05E8">
        <w:rPr>
          <w:i/>
          <w:iCs/>
        </w:rPr>
        <w:t>Autopsy in Athens Recent Archaeological Research on Athens and Attica</w:t>
      </w:r>
      <w:r>
        <w:t>. Oxford: Oxbow Books.</w:t>
      </w:r>
    </w:p>
    <w:p w14:paraId="062021D7" w14:textId="77777777" w:rsidR="009C46F4" w:rsidRDefault="009C46F4" w:rsidP="009C46F4">
      <w:r>
        <w:t xml:space="preserve">Mazurek, L. A. (2016) </w:t>
      </w:r>
      <w:r w:rsidRPr="004C104F">
        <w:rPr>
          <w:i/>
          <w:iCs/>
        </w:rPr>
        <w:t>Globalizing the Sculptural Landscapes of the Sarapis and Isis Cults in Hellenistic and Roman Greece</w:t>
      </w:r>
      <w:r>
        <w:t xml:space="preserve">. Unpublished PhD thesis. Duke University. Available at: </w:t>
      </w:r>
      <w:hyperlink r:id="rId23" w:history="1">
        <w:r w:rsidRPr="00BA04AB">
          <w:rPr>
            <w:rStyle w:val="Hyperlink"/>
          </w:rPr>
          <w:t>https://pdfs.semanticscholar.org/aba3/6c0ec914f51f6d8849de7cb0f4a0a0e6f62b.pdf</w:t>
        </w:r>
      </w:hyperlink>
      <w:r>
        <w:t xml:space="preserve"> [Accessed 30/03/2020] </w:t>
      </w:r>
    </w:p>
    <w:p w14:paraId="19BEDFF8" w14:textId="77777777" w:rsidR="009C46F4" w:rsidRDefault="009C46F4" w:rsidP="009C46F4">
      <w:pPr>
        <w:pStyle w:val="Default"/>
      </w:pPr>
      <w:r>
        <w:rPr>
          <w:sz w:val="23"/>
          <w:szCs w:val="23"/>
        </w:rPr>
        <w:lastRenderedPageBreak/>
        <w:t xml:space="preserve">Mazurek, L. A. (2018) ‘The Middle Platonic Isis: Text and Image in the Sanctuary of the Egyptian Gods at Herodes Atticus’ Marathon Villa’, </w:t>
      </w:r>
      <w:r w:rsidRPr="003D25C9">
        <w:rPr>
          <w:i/>
          <w:iCs/>
          <w:sz w:val="23"/>
          <w:szCs w:val="23"/>
        </w:rPr>
        <w:t>American Journal of Archaeology</w:t>
      </w:r>
      <w:r>
        <w:rPr>
          <w:sz w:val="23"/>
          <w:szCs w:val="23"/>
        </w:rPr>
        <w:t xml:space="preserve">, 122(4), pp.611 – 644. Available at: </w:t>
      </w:r>
      <w:hyperlink r:id="rId24" w:history="1">
        <w:r w:rsidRPr="00BA04AB">
          <w:rPr>
            <w:rStyle w:val="Hyperlink"/>
            <w:sz w:val="23"/>
            <w:szCs w:val="23"/>
          </w:rPr>
          <w:t>https://www.jstor.org/stable/10.3764/aja.122.4.0611</w:t>
        </w:r>
      </w:hyperlink>
      <w:r>
        <w:rPr>
          <w:sz w:val="23"/>
          <w:szCs w:val="23"/>
        </w:rPr>
        <w:t xml:space="preserve"> [Accessed 30/03/2020]</w:t>
      </w:r>
    </w:p>
    <w:p w14:paraId="4AA2DCAC" w14:textId="77777777" w:rsidR="009C46F4" w:rsidRDefault="009C46F4" w:rsidP="009C46F4">
      <w:r>
        <w:t xml:space="preserve">Poutrino, D. M. (2015) </w:t>
      </w:r>
      <w:r w:rsidRPr="00BA3DAA">
        <w:rPr>
          <w:i/>
          <w:iCs/>
        </w:rPr>
        <w:t>The Statues pf Isis in the Sanctuary of the Egyptian Gods in Marathon Meaning and Context in a Global Roman World</w:t>
      </w:r>
      <w:r>
        <w:t xml:space="preserve">. Unpublished PhD thesis. University of Leiden. Available at: </w:t>
      </w:r>
      <w:hyperlink r:id="rId25" w:history="1">
        <w:r w:rsidRPr="00BA04AB">
          <w:rPr>
            <w:rStyle w:val="Hyperlink"/>
          </w:rPr>
          <w:t>https://www.academia.edu/32637447/The_Statues_of_Isis_in_the_Sanctuary_of_the_Egyptian_Gods_in_Marathon_Meaning_and_Context_in_a_Global_Roman_World</w:t>
        </w:r>
      </w:hyperlink>
      <w:r>
        <w:t xml:space="preserve"> [Accessed 30/03/2020]</w:t>
      </w:r>
    </w:p>
    <w:p w14:paraId="64F8996F" w14:textId="77777777" w:rsidR="009C46F4" w:rsidRDefault="009C46F4" w:rsidP="009C46F4">
      <w:r>
        <w:t xml:space="preserve">Villing, A. (2019) </w:t>
      </w:r>
      <w:r w:rsidRPr="005338C7">
        <w:rPr>
          <w:i/>
          <w:iCs/>
        </w:rPr>
        <w:t>Greek-Egyptian relations in the 7</w:t>
      </w:r>
      <w:r w:rsidRPr="005338C7">
        <w:rPr>
          <w:i/>
          <w:iCs/>
          <w:vertAlign w:val="superscript"/>
        </w:rPr>
        <w:t>th</w:t>
      </w:r>
      <w:r w:rsidRPr="005338C7">
        <w:rPr>
          <w:i/>
          <w:iCs/>
        </w:rPr>
        <w:t xml:space="preserve"> to 6</w:t>
      </w:r>
      <w:r w:rsidRPr="005338C7">
        <w:rPr>
          <w:i/>
          <w:iCs/>
          <w:vertAlign w:val="superscript"/>
        </w:rPr>
        <w:t>th</w:t>
      </w:r>
      <w:r w:rsidRPr="005338C7">
        <w:rPr>
          <w:i/>
          <w:iCs/>
        </w:rPr>
        <w:t xml:space="preserve"> centuries BC</w:t>
      </w:r>
      <w:r>
        <w:t xml:space="preserve">. Available at: </w:t>
      </w:r>
      <w:hyperlink r:id="rId26" w:history="1">
        <w:r w:rsidRPr="00BA04AB">
          <w:rPr>
            <w:rStyle w:val="Hyperlink"/>
          </w:rPr>
          <w:t>https://research.britishmuseum.org/research/online_research_catalogues/ng/naukratis_greeks_in_egypt/introduction/greek–egyptian_relations.aspx</w:t>
        </w:r>
      </w:hyperlink>
      <w:r>
        <w:t xml:space="preserve"> [Accessed 21/04/2020] </w:t>
      </w:r>
    </w:p>
    <w:p w14:paraId="30232732" w14:textId="77777777" w:rsidR="009C46F4" w:rsidRDefault="009C46F4" w:rsidP="009C46F4"/>
    <w:p w14:paraId="4FA363E8" w14:textId="77777777" w:rsidR="009C46F4" w:rsidRPr="00FB17AA" w:rsidRDefault="009C46F4" w:rsidP="009C46F4"/>
    <w:p w14:paraId="1F52EAF1" w14:textId="77777777" w:rsidR="009C46F4" w:rsidRPr="00BE3863" w:rsidRDefault="009C46F4" w:rsidP="00C7190C"/>
    <w:sectPr w:rsidR="009C46F4" w:rsidRPr="00BE38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684E20" w14:textId="77777777" w:rsidR="006610F5" w:rsidRDefault="006610F5" w:rsidP="00C7190C">
      <w:pPr>
        <w:spacing w:after="0" w:line="240" w:lineRule="auto"/>
      </w:pPr>
      <w:r>
        <w:separator/>
      </w:r>
    </w:p>
  </w:endnote>
  <w:endnote w:type="continuationSeparator" w:id="0">
    <w:p w14:paraId="75308508" w14:textId="77777777" w:rsidR="006610F5" w:rsidRDefault="006610F5" w:rsidP="00C71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0B0C3" w14:textId="77777777" w:rsidR="006610F5" w:rsidRDefault="006610F5" w:rsidP="00C7190C">
      <w:pPr>
        <w:spacing w:after="0" w:line="240" w:lineRule="auto"/>
      </w:pPr>
      <w:r>
        <w:separator/>
      </w:r>
    </w:p>
  </w:footnote>
  <w:footnote w:type="continuationSeparator" w:id="0">
    <w:p w14:paraId="741A65DD" w14:textId="77777777" w:rsidR="006610F5" w:rsidRDefault="006610F5" w:rsidP="00C7190C">
      <w:pPr>
        <w:spacing w:after="0" w:line="240" w:lineRule="auto"/>
      </w:pPr>
      <w:r>
        <w:continuationSeparator/>
      </w:r>
    </w:p>
  </w:footnote>
  <w:footnote w:id="1">
    <w:p w14:paraId="065FF312" w14:textId="6ADF465D" w:rsidR="00B50F6A" w:rsidRDefault="00B50F6A">
      <w:pPr>
        <w:pStyle w:val="FootnoteText"/>
      </w:pPr>
      <w:r>
        <w:rPr>
          <w:rStyle w:val="FootnoteReference"/>
        </w:rPr>
        <w:footnoteRef/>
      </w:r>
      <w:r>
        <w:t xml:space="preserve"> Villing, </w:t>
      </w:r>
      <w:r w:rsidR="006F45EE">
        <w:t>2019</w:t>
      </w:r>
    </w:p>
  </w:footnote>
  <w:footnote w:id="2">
    <w:p w14:paraId="5DFE9DFA" w14:textId="70836DBF" w:rsidR="00C7190C" w:rsidRDefault="00C7190C">
      <w:pPr>
        <w:pStyle w:val="FootnoteText"/>
      </w:pPr>
      <w:r>
        <w:rPr>
          <w:rStyle w:val="FootnoteReference"/>
        </w:rPr>
        <w:footnoteRef/>
      </w:r>
      <w:r>
        <w:t xml:space="preserve"> Allan,</w:t>
      </w:r>
      <w:r w:rsidR="002C3879">
        <w:t xml:space="preserve"> 2011</w:t>
      </w:r>
      <w:r w:rsidR="00617125">
        <w:t>;</w:t>
      </w:r>
      <w:r>
        <w:t xml:space="preserve"> 116</w:t>
      </w:r>
    </w:p>
  </w:footnote>
  <w:footnote w:id="3">
    <w:p w14:paraId="5235655A" w14:textId="4A57E5EA" w:rsidR="00FE2713" w:rsidRDefault="00FE2713">
      <w:pPr>
        <w:pStyle w:val="FootnoteText"/>
      </w:pPr>
      <w:r>
        <w:rPr>
          <w:rStyle w:val="FootnoteReference"/>
        </w:rPr>
        <w:footnoteRef/>
      </w:r>
      <w:r>
        <w:t xml:space="preserve"> Poutrino, 2015; 14</w:t>
      </w:r>
    </w:p>
  </w:footnote>
  <w:footnote w:id="4">
    <w:p w14:paraId="0BFF7131" w14:textId="2667EB6D" w:rsidR="00C7190C" w:rsidRDefault="00C7190C">
      <w:pPr>
        <w:pStyle w:val="FootnoteText"/>
      </w:pPr>
      <w:r>
        <w:rPr>
          <w:rStyle w:val="FootnoteReference"/>
        </w:rPr>
        <w:footnoteRef/>
      </w:r>
      <w:r>
        <w:t xml:space="preserve"> </w:t>
      </w:r>
      <w:r w:rsidR="00617125" w:rsidRPr="00617125">
        <w:t xml:space="preserve">Poutrino, 2015; </w:t>
      </w:r>
      <w:r>
        <w:t>5</w:t>
      </w:r>
    </w:p>
  </w:footnote>
  <w:footnote w:id="5">
    <w:p w14:paraId="61A61175" w14:textId="461179CD" w:rsidR="00626222" w:rsidRDefault="00626222">
      <w:pPr>
        <w:pStyle w:val="FootnoteText"/>
      </w:pPr>
      <w:r>
        <w:rPr>
          <w:rStyle w:val="FootnoteReference"/>
        </w:rPr>
        <w:footnoteRef/>
      </w:r>
      <w:r>
        <w:t xml:space="preserve"> </w:t>
      </w:r>
      <w:r w:rsidR="00F9340A" w:rsidRPr="00F9340A">
        <w:t xml:space="preserve">Mazurek, 2016; </w:t>
      </w:r>
      <w:r>
        <w:t>127</w:t>
      </w:r>
    </w:p>
  </w:footnote>
  <w:footnote w:id="6">
    <w:p w14:paraId="3AF8993C" w14:textId="6510F993" w:rsidR="00626222" w:rsidRDefault="00626222">
      <w:pPr>
        <w:pStyle w:val="FootnoteText"/>
      </w:pPr>
      <w:r>
        <w:rPr>
          <w:rStyle w:val="FootnoteReference"/>
        </w:rPr>
        <w:footnoteRef/>
      </w:r>
      <w:r>
        <w:t xml:space="preserve"> </w:t>
      </w:r>
      <w:r w:rsidR="00617125" w:rsidRPr="00617125">
        <w:t xml:space="preserve">Poutrino, 2015; </w:t>
      </w:r>
      <w:r>
        <w:t>6</w:t>
      </w:r>
    </w:p>
  </w:footnote>
  <w:footnote w:id="7">
    <w:p w14:paraId="5B49B305" w14:textId="77777777" w:rsidR="008E5F01" w:rsidRDefault="008E5F01" w:rsidP="008E5F01">
      <w:pPr>
        <w:pStyle w:val="FootnoteText"/>
      </w:pPr>
      <w:r>
        <w:rPr>
          <w:rStyle w:val="FootnoteReference"/>
        </w:rPr>
        <w:footnoteRef/>
      </w:r>
      <w:r>
        <w:t xml:space="preserve"> Poutrino, 2015; 51</w:t>
      </w:r>
    </w:p>
  </w:footnote>
  <w:footnote w:id="8">
    <w:p w14:paraId="577ABD51" w14:textId="034EE393" w:rsidR="00F9296A" w:rsidRDefault="00F9296A" w:rsidP="00F9296A">
      <w:pPr>
        <w:pStyle w:val="FootnoteText"/>
      </w:pPr>
      <w:r>
        <w:rPr>
          <w:rStyle w:val="FootnoteReference"/>
        </w:rPr>
        <w:footnoteRef/>
      </w:r>
      <w:r>
        <w:t xml:space="preserve"> Mazur</w:t>
      </w:r>
      <w:r w:rsidR="00053465">
        <w:t>e</w:t>
      </w:r>
      <w:r>
        <w:t>k</w:t>
      </w:r>
      <w:r w:rsidR="00053465">
        <w:t xml:space="preserve">, </w:t>
      </w:r>
      <w:r>
        <w:t>2018</w:t>
      </w:r>
      <w:r w:rsidR="00053465">
        <w:t>;</w:t>
      </w:r>
      <w:r>
        <w:t xml:space="preserve"> 612</w:t>
      </w:r>
    </w:p>
  </w:footnote>
  <w:footnote w:id="9">
    <w:p w14:paraId="0604C17E" w14:textId="262B4298" w:rsidR="00FC2A8E" w:rsidRDefault="00FC2A8E">
      <w:pPr>
        <w:pStyle w:val="FootnoteText"/>
      </w:pPr>
      <w:r>
        <w:rPr>
          <w:rStyle w:val="FootnoteReference"/>
        </w:rPr>
        <w:footnoteRef/>
      </w:r>
      <w:r>
        <w:t xml:space="preserve"> </w:t>
      </w:r>
      <w:r w:rsidR="00D00BC8">
        <w:t xml:space="preserve">Mazurek, 2016; </w:t>
      </w:r>
      <w:r w:rsidR="00CB7D00">
        <w:t>242</w:t>
      </w:r>
    </w:p>
  </w:footnote>
  <w:footnote w:id="10">
    <w:p w14:paraId="2E1BF9AB" w14:textId="1AD44959" w:rsidR="00B4316C" w:rsidRDefault="00B4316C">
      <w:pPr>
        <w:pStyle w:val="FootnoteText"/>
      </w:pPr>
      <w:r>
        <w:rPr>
          <w:rStyle w:val="FootnoteReference"/>
        </w:rPr>
        <w:footnoteRef/>
      </w:r>
      <w:r>
        <w:t xml:space="preserve"> Poutrino, </w:t>
      </w:r>
      <w:r w:rsidR="001D777F">
        <w:t>2015; 51</w:t>
      </w:r>
    </w:p>
  </w:footnote>
  <w:footnote w:id="11">
    <w:p w14:paraId="7778AB58" w14:textId="545916C6" w:rsidR="00052A21" w:rsidRDefault="00052A21">
      <w:pPr>
        <w:pStyle w:val="FootnoteText"/>
      </w:pPr>
      <w:r>
        <w:rPr>
          <w:rStyle w:val="FootnoteReference"/>
        </w:rPr>
        <w:footnoteRef/>
      </w:r>
      <w:r>
        <w:t xml:space="preserve"> </w:t>
      </w:r>
      <w:r w:rsidR="00AE0A5A">
        <w:t>Mazurek, 2018; 617</w:t>
      </w:r>
    </w:p>
  </w:footnote>
  <w:footnote w:id="12">
    <w:p w14:paraId="78339EAD" w14:textId="20E6E066" w:rsidR="00BE4972" w:rsidRDefault="00BE4972">
      <w:pPr>
        <w:pStyle w:val="FootnoteText"/>
      </w:pPr>
      <w:r>
        <w:rPr>
          <w:rStyle w:val="FootnoteReference"/>
        </w:rPr>
        <w:footnoteRef/>
      </w:r>
      <w:r>
        <w:t xml:space="preserve"> </w:t>
      </w:r>
      <w:r w:rsidR="00A069B2">
        <w:t>Poutrino, 2015; 24</w:t>
      </w:r>
    </w:p>
  </w:footnote>
  <w:footnote w:id="13">
    <w:p w14:paraId="570666E0" w14:textId="4B7CA03E" w:rsidR="004B0B48" w:rsidRDefault="004B0B48">
      <w:pPr>
        <w:pStyle w:val="FootnoteText"/>
      </w:pPr>
      <w:r>
        <w:rPr>
          <w:rStyle w:val="FootnoteReference"/>
        </w:rPr>
        <w:footnoteRef/>
      </w:r>
      <w:r>
        <w:t xml:space="preserve"> Poutrino, 2015; 24</w:t>
      </w:r>
    </w:p>
  </w:footnote>
  <w:footnote w:id="14">
    <w:p w14:paraId="5BEA8382" w14:textId="63D29113" w:rsidR="00DC4131" w:rsidRDefault="00DC4131">
      <w:pPr>
        <w:pStyle w:val="FootnoteText"/>
      </w:pPr>
      <w:r>
        <w:rPr>
          <w:rStyle w:val="FootnoteReference"/>
        </w:rPr>
        <w:footnoteRef/>
      </w:r>
      <w:r>
        <w:t xml:space="preserve"> Mazurek, 2018;</w:t>
      </w:r>
      <w:r w:rsidR="00DB0B5B">
        <w:t xml:space="preserve"> 611</w:t>
      </w:r>
    </w:p>
  </w:footnote>
  <w:footnote w:id="15">
    <w:p w14:paraId="16D3A761" w14:textId="71485A40" w:rsidR="00B42E2F" w:rsidRDefault="00B42E2F">
      <w:pPr>
        <w:pStyle w:val="FootnoteText"/>
      </w:pPr>
      <w:r>
        <w:rPr>
          <w:rStyle w:val="FootnoteReference"/>
        </w:rPr>
        <w:footnoteRef/>
      </w:r>
      <w:r>
        <w:t xml:space="preserve"> </w:t>
      </w:r>
      <w:r w:rsidR="00C265A1">
        <w:t>Mazurek, 2018; 617</w:t>
      </w:r>
    </w:p>
  </w:footnote>
  <w:footnote w:id="16">
    <w:p w14:paraId="0E80B0E6" w14:textId="5531B113" w:rsidR="00451FB9" w:rsidRDefault="00451FB9">
      <w:pPr>
        <w:pStyle w:val="FootnoteText"/>
      </w:pPr>
      <w:r>
        <w:rPr>
          <w:rStyle w:val="FootnoteReference"/>
        </w:rPr>
        <w:footnoteRef/>
      </w:r>
      <w:r>
        <w:t xml:space="preserve"> Mazurek, 2018; </w:t>
      </w:r>
      <w:r w:rsidR="007C19F8">
        <w:t>617</w:t>
      </w:r>
    </w:p>
  </w:footnote>
  <w:footnote w:id="17">
    <w:p w14:paraId="0D64A6D2" w14:textId="41BC63CA" w:rsidR="00087C65" w:rsidRDefault="00087C65" w:rsidP="00087C65">
      <w:pPr>
        <w:pStyle w:val="FootnoteText"/>
      </w:pPr>
      <w:r>
        <w:rPr>
          <w:rStyle w:val="FootnoteReference"/>
        </w:rPr>
        <w:footnoteRef/>
      </w:r>
      <w:r>
        <w:t xml:space="preserve"> </w:t>
      </w:r>
      <w:r w:rsidR="00617125" w:rsidRPr="00617125">
        <w:t xml:space="preserve">Poutrino, 2015; </w:t>
      </w:r>
      <w:r>
        <w:t>5</w:t>
      </w:r>
    </w:p>
  </w:footnote>
  <w:footnote w:id="18">
    <w:p w14:paraId="69606C93" w14:textId="4DA05F47" w:rsidR="00087C65" w:rsidRDefault="00087C65" w:rsidP="00087C65">
      <w:pPr>
        <w:pStyle w:val="FootnoteText"/>
      </w:pPr>
      <w:r>
        <w:rPr>
          <w:rStyle w:val="FootnoteReference"/>
        </w:rPr>
        <w:footnoteRef/>
      </w:r>
      <w:r>
        <w:t xml:space="preserve"> Mazur</w:t>
      </w:r>
      <w:r w:rsidR="00053465">
        <w:t>e</w:t>
      </w:r>
      <w:r>
        <w:t xml:space="preserve">k, </w:t>
      </w:r>
      <w:r w:rsidR="00FB6E5A">
        <w:t>2018</w:t>
      </w:r>
      <w:r w:rsidR="00053465">
        <w:t>;</w:t>
      </w:r>
      <w:r w:rsidR="00FB6E5A">
        <w:t xml:space="preserve"> </w:t>
      </w:r>
      <w:r w:rsidR="00182590">
        <w:t>621</w:t>
      </w:r>
    </w:p>
  </w:footnote>
  <w:footnote w:id="19">
    <w:p w14:paraId="33323CA3" w14:textId="7A73581C" w:rsidR="00087C65" w:rsidRDefault="00087C65" w:rsidP="00087C65">
      <w:pPr>
        <w:pStyle w:val="FootnoteText"/>
      </w:pPr>
      <w:r>
        <w:rPr>
          <w:rStyle w:val="FootnoteReference"/>
        </w:rPr>
        <w:footnoteRef/>
      </w:r>
      <w:r>
        <w:t xml:space="preserve"> </w:t>
      </w:r>
      <w:r w:rsidR="00617125" w:rsidRPr="00617125">
        <w:t>Poutrino, 2015;</w:t>
      </w:r>
      <w:r>
        <w:t xml:space="preserve"> 27</w:t>
      </w:r>
    </w:p>
  </w:footnote>
  <w:footnote w:id="20">
    <w:p w14:paraId="294D0F02" w14:textId="4F90A0BD" w:rsidR="00087C65" w:rsidRDefault="00087C65" w:rsidP="00087C65">
      <w:pPr>
        <w:pStyle w:val="FootnoteText"/>
      </w:pPr>
      <w:r>
        <w:rPr>
          <w:rStyle w:val="FootnoteReference"/>
        </w:rPr>
        <w:footnoteRef/>
      </w:r>
      <w:r>
        <w:t xml:space="preserve"> </w:t>
      </w:r>
      <w:r w:rsidR="00617125" w:rsidRPr="00617125">
        <w:t xml:space="preserve">Poutrino, 2015; </w:t>
      </w:r>
      <w:r>
        <w:t>5</w:t>
      </w:r>
    </w:p>
  </w:footnote>
  <w:footnote w:id="21">
    <w:p w14:paraId="0C4598BF" w14:textId="63FDE55C" w:rsidR="00087C65" w:rsidRDefault="00087C65" w:rsidP="00087C65">
      <w:pPr>
        <w:pStyle w:val="FootnoteText"/>
      </w:pPr>
      <w:r>
        <w:rPr>
          <w:rStyle w:val="FootnoteReference"/>
        </w:rPr>
        <w:footnoteRef/>
      </w:r>
      <w:r>
        <w:t xml:space="preserve"> Goette, </w:t>
      </w:r>
      <w:r w:rsidR="005F7EE4">
        <w:t xml:space="preserve">2001; </w:t>
      </w:r>
      <w:r>
        <w:t>91</w:t>
      </w:r>
    </w:p>
  </w:footnote>
  <w:footnote w:id="22">
    <w:p w14:paraId="650182C5" w14:textId="344C76AB" w:rsidR="00087C65" w:rsidRDefault="00087C65" w:rsidP="00087C65">
      <w:pPr>
        <w:pStyle w:val="FootnoteText"/>
      </w:pPr>
      <w:r>
        <w:rPr>
          <w:rStyle w:val="FootnoteReference"/>
        </w:rPr>
        <w:footnoteRef/>
      </w:r>
      <w:r>
        <w:t xml:space="preserve"> </w:t>
      </w:r>
      <w:r w:rsidR="00750FA7" w:rsidRPr="00750FA7">
        <w:t>Poutrino, 2015;</w:t>
      </w:r>
      <w:r>
        <w:t xml:space="preserve"> 5</w:t>
      </w:r>
    </w:p>
  </w:footnote>
  <w:footnote w:id="23">
    <w:p w14:paraId="06029FEE" w14:textId="0ECDCA3A" w:rsidR="00087C65" w:rsidRDefault="00087C65" w:rsidP="00087C65">
      <w:pPr>
        <w:pStyle w:val="FootnoteText"/>
      </w:pPr>
      <w:r>
        <w:rPr>
          <w:rStyle w:val="FootnoteReference"/>
        </w:rPr>
        <w:footnoteRef/>
      </w:r>
      <w:r>
        <w:t xml:space="preserve"> </w:t>
      </w:r>
      <w:r w:rsidR="00750FA7" w:rsidRPr="00750FA7">
        <w:t xml:space="preserve">Poutrino, 2015; </w:t>
      </w:r>
      <w:r>
        <w:t>228</w:t>
      </w:r>
    </w:p>
  </w:footnote>
  <w:footnote w:id="24">
    <w:p w14:paraId="2DBE1134" w14:textId="2C7C641D" w:rsidR="00087C65" w:rsidRDefault="00087C65" w:rsidP="00087C65">
      <w:pPr>
        <w:pStyle w:val="FootnoteText"/>
      </w:pPr>
      <w:r>
        <w:rPr>
          <w:rStyle w:val="FootnoteReference"/>
        </w:rPr>
        <w:footnoteRef/>
      </w:r>
      <w:r>
        <w:t xml:space="preserve"> Goette, </w:t>
      </w:r>
      <w:r w:rsidR="005F7EE4">
        <w:t xml:space="preserve">2001; </w:t>
      </w:r>
      <w:r>
        <w:t>91</w:t>
      </w:r>
    </w:p>
  </w:footnote>
  <w:footnote w:id="25">
    <w:p w14:paraId="6FA6C404" w14:textId="131CD246" w:rsidR="00087C65" w:rsidRDefault="00087C65" w:rsidP="00087C65">
      <w:pPr>
        <w:pStyle w:val="FootnoteText"/>
      </w:pPr>
      <w:r>
        <w:rPr>
          <w:rStyle w:val="FootnoteReference"/>
        </w:rPr>
        <w:footnoteRef/>
      </w:r>
      <w:r>
        <w:t xml:space="preserve"> </w:t>
      </w:r>
      <w:r w:rsidR="00750FA7" w:rsidRPr="00750FA7">
        <w:t xml:space="preserve">Poutrino, 2015; </w:t>
      </w:r>
      <w:r>
        <w:t>27</w:t>
      </w:r>
    </w:p>
  </w:footnote>
  <w:footnote w:id="26">
    <w:p w14:paraId="6BBABC45" w14:textId="1DCFDD7F" w:rsidR="00087C65" w:rsidRDefault="00087C65" w:rsidP="00087C65">
      <w:pPr>
        <w:pStyle w:val="FootnoteText"/>
      </w:pPr>
      <w:r>
        <w:rPr>
          <w:rStyle w:val="FootnoteReference"/>
        </w:rPr>
        <w:footnoteRef/>
      </w:r>
      <w:r>
        <w:t xml:space="preserve"> </w:t>
      </w:r>
      <w:r w:rsidR="00750FA7" w:rsidRPr="00750FA7">
        <w:t>Poutrino, 2015;</w:t>
      </w:r>
      <w:r>
        <w:t xml:space="preserve"> 228</w:t>
      </w:r>
    </w:p>
  </w:footnote>
  <w:footnote w:id="27">
    <w:p w14:paraId="75D595C7" w14:textId="680CF453" w:rsidR="00087C65" w:rsidRDefault="00087C65" w:rsidP="00087C65">
      <w:pPr>
        <w:pStyle w:val="FootnoteText"/>
      </w:pPr>
      <w:r>
        <w:rPr>
          <w:rStyle w:val="FootnoteReference"/>
        </w:rPr>
        <w:footnoteRef/>
      </w:r>
      <w:r>
        <w:t xml:space="preserve"> </w:t>
      </w:r>
      <w:r w:rsidR="00750FA7" w:rsidRPr="00750FA7">
        <w:t xml:space="preserve">Poutrino, 2015; </w:t>
      </w:r>
      <w:r>
        <w:t xml:space="preserve">27 </w:t>
      </w:r>
    </w:p>
  </w:footnote>
  <w:footnote w:id="28">
    <w:p w14:paraId="6EB577A0" w14:textId="6D73EC82" w:rsidR="00525CE1" w:rsidRDefault="00525CE1">
      <w:pPr>
        <w:pStyle w:val="FootnoteText"/>
      </w:pPr>
      <w:r>
        <w:rPr>
          <w:rStyle w:val="FootnoteReference"/>
        </w:rPr>
        <w:footnoteRef/>
      </w:r>
      <w:r>
        <w:t xml:space="preserve"> Mazur</w:t>
      </w:r>
      <w:r w:rsidR="00B32887">
        <w:t>e</w:t>
      </w:r>
      <w:r>
        <w:t>k</w:t>
      </w:r>
      <w:r w:rsidR="00B32887">
        <w:t>,</w:t>
      </w:r>
      <w:r>
        <w:t xml:space="preserve"> 2018</w:t>
      </w:r>
      <w:r w:rsidR="00B32887">
        <w:t>;</w:t>
      </w:r>
      <w:r>
        <w:t xml:space="preserve"> </w:t>
      </w:r>
      <w:r w:rsidR="00D55C7E">
        <w:t>261</w:t>
      </w:r>
    </w:p>
  </w:footnote>
  <w:footnote w:id="29">
    <w:p w14:paraId="2BCE8215" w14:textId="1526AED1" w:rsidR="00D1404B" w:rsidRDefault="00D1404B" w:rsidP="00D1404B">
      <w:pPr>
        <w:pStyle w:val="FootnoteText"/>
      </w:pPr>
      <w:r>
        <w:rPr>
          <w:rStyle w:val="FootnoteReference"/>
        </w:rPr>
        <w:footnoteRef/>
      </w:r>
      <w:r>
        <w:t xml:space="preserve"> </w:t>
      </w:r>
      <w:r w:rsidR="00750FA7" w:rsidRPr="00750FA7">
        <w:t xml:space="preserve">Poutrino, 2015; </w:t>
      </w:r>
      <w:r>
        <w:t>25</w:t>
      </w:r>
    </w:p>
  </w:footnote>
  <w:footnote w:id="30">
    <w:p w14:paraId="2C6134E6" w14:textId="763270F2" w:rsidR="00D1404B" w:rsidRDefault="00D1404B" w:rsidP="00D1404B">
      <w:pPr>
        <w:pStyle w:val="FootnoteText"/>
      </w:pPr>
      <w:r>
        <w:rPr>
          <w:rStyle w:val="FootnoteReference"/>
        </w:rPr>
        <w:footnoteRef/>
      </w:r>
      <w:r>
        <w:t xml:space="preserve"> </w:t>
      </w:r>
      <w:r w:rsidR="00750FA7" w:rsidRPr="00750FA7">
        <w:t xml:space="preserve">Poutrino, 2015; </w:t>
      </w:r>
      <w:r>
        <w:t>28</w:t>
      </w:r>
    </w:p>
  </w:footnote>
  <w:footnote w:id="31">
    <w:p w14:paraId="5C8493F8" w14:textId="7D481114" w:rsidR="002F31C6" w:rsidRDefault="002F31C6">
      <w:pPr>
        <w:pStyle w:val="FootnoteText"/>
      </w:pPr>
      <w:r>
        <w:rPr>
          <w:rStyle w:val="FootnoteReference"/>
        </w:rPr>
        <w:footnoteRef/>
      </w:r>
      <w:r>
        <w:t xml:space="preserve"> </w:t>
      </w:r>
      <w:r w:rsidR="00750FA7" w:rsidRPr="00750FA7">
        <w:t xml:space="preserve">Poutrino, 2015; </w:t>
      </w:r>
      <w:r>
        <w:t xml:space="preserve">29 </w:t>
      </w:r>
    </w:p>
  </w:footnote>
  <w:footnote w:id="32">
    <w:p w14:paraId="1AD3DB1F" w14:textId="42086A23" w:rsidR="002657E9" w:rsidRDefault="002657E9">
      <w:pPr>
        <w:pStyle w:val="FootnoteText"/>
      </w:pPr>
      <w:r>
        <w:rPr>
          <w:rStyle w:val="FootnoteReference"/>
        </w:rPr>
        <w:footnoteRef/>
      </w:r>
      <w:r>
        <w:t xml:space="preserve"> </w:t>
      </w:r>
      <w:r w:rsidR="003E7BB5">
        <w:t>Martens, 2015;</w:t>
      </w:r>
      <w:r>
        <w:t xml:space="preserve"> 59</w:t>
      </w:r>
    </w:p>
  </w:footnote>
  <w:footnote w:id="33">
    <w:p w14:paraId="14E058A2" w14:textId="674209B4" w:rsidR="00315256" w:rsidRDefault="00315256">
      <w:pPr>
        <w:pStyle w:val="FootnoteText"/>
      </w:pPr>
      <w:r>
        <w:rPr>
          <w:rStyle w:val="FootnoteReference"/>
        </w:rPr>
        <w:footnoteRef/>
      </w:r>
      <w:r>
        <w:t xml:space="preserve"> </w:t>
      </w:r>
      <w:r w:rsidR="00750FA7" w:rsidRPr="00750FA7">
        <w:t xml:space="preserve">Poutrino, 2015; </w:t>
      </w:r>
      <w:r>
        <w:t>34</w:t>
      </w:r>
    </w:p>
  </w:footnote>
  <w:footnote w:id="34">
    <w:p w14:paraId="28372A28" w14:textId="5907546C" w:rsidR="00D1404B" w:rsidRDefault="00D1404B" w:rsidP="00D1404B">
      <w:pPr>
        <w:pStyle w:val="FootnoteText"/>
      </w:pPr>
      <w:r>
        <w:rPr>
          <w:rStyle w:val="FootnoteReference"/>
        </w:rPr>
        <w:footnoteRef/>
      </w:r>
      <w:r>
        <w:t xml:space="preserve"> </w:t>
      </w:r>
      <w:r w:rsidR="00750FA7" w:rsidRPr="00750FA7">
        <w:t xml:space="preserve">Poutrino, 2015; </w:t>
      </w:r>
      <w:r>
        <w:t>28</w:t>
      </w:r>
    </w:p>
  </w:footnote>
  <w:footnote w:id="35">
    <w:p w14:paraId="675908C3" w14:textId="55348186" w:rsidR="00D1404B" w:rsidRDefault="00D1404B" w:rsidP="00D1404B">
      <w:pPr>
        <w:pStyle w:val="FootnoteText"/>
      </w:pPr>
      <w:r>
        <w:rPr>
          <w:rStyle w:val="FootnoteReference"/>
        </w:rPr>
        <w:footnoteRef/>
      </w:r>
      <w:r>
        <w:t xml:space="preserve"> </w:t>
      </w:r>
      <w:r w:rsidR="00750FA7" w:rsidRPr="00750FA7">
        <w:t xml:space="preserve">Poutrino, 2015; </w:t>
      </w:r>
      <w:r>
        <w:t>28</w:t>
      </w:r>
    </w:p>
  </w:footnote>
  <w:footnote w:id="36">
    <w:p w14:paraId="6A202103" w14:textId="29372A0A" w:rsidR="0077695A" w:rsidRDefault="0077695A" w:rsidP="0077695A">
      <w:pPr>
        <w:pStyle w:val="FootnoteText"/>
      </w:pPr>
      <w:r>
        <w:rPr>
          <w:rStyle w:val="FootnoteReference"/>
        </w:rPr>
        <w:footnoteRef/>
      </w:r>
      <w:r>
        <w:t xml:space="preserve"> </w:t>
      </w:r>
      <w:r w:rsidR="00F9340A" w:rsidRPr="00F9340A">
        <w:t xml:space="preserve">Mazurek, 2016; </w:t>
      </w:r>
      <w:r>
        <w:t>219</w:t>
      </w:r>
    </w:p>
  </w:footnote>
  <w:footnote w:id="37">
    <w:p w14:paraId="6AA5CFFD" w14:textId="580AB820" w:rsidR="00CF78A9" w:rsidRDefault="00CF78A9">
      <w:pPr>
        <w:pStyle w:val="FootnoteText"/>
      </w:pPr>
      <w:r>
        <w:rPr>
          <w:rStyle w:val="FootnoteReference"/>
        </w:rPr>
        <w:footnoteRef/>
      </w:r>
      <w:r>
        <w:t xml:space="preserve"> </w:t>
      </w:r>
      <w:r w:rsidR="000609EC">
        <w:t>Lesko and Mastrocinque, 2005</w:t>
      </w:r>
    </w:p>
  </w:footnote>
  <w:footnote w:id="38">
    <w:p w14:paraId="150EDF49" w14:textId="77777777" w:rsidR="00632594" w:rsidRDefault="00632594" w:rsidP="00632594">
      <w:pPr>
        <w:pStyle w:val="FootnoteText"/>
      </w:pPr>
      <w:r>
        <w:rPr>
          <w:rStyle w:val="FootnoteReference"/>
        </w:rPr>
        <w:footnoteRef/>
      </w:r>
      <w:r>
        <w:t xml:space="preserve"> History museum </w:t>
      </w:r>
    </w:p>
  </w:footnote>
  <w:footnote w:id="39">
    <w:p w14:paraId="1E0384AC" w14:textId="77777777" w:rsidR="00363899" w:rsidRDefault="00363899" w:rsidP="00363899">
      <w:pPr>
        <w:pStyle w:val="FootnoteText"/>
      </w:pPr>
      <w:r>
        <w:rPr>
          <w:rStyle w:val="FootnoteReference"/>
        </w:rPr>
        <w:footnoteRef/>
      </w:r>
      <w:r>
        <w:t xml:space="preserve"> </w:t>
      </w:r>
      <w:r w:rsidRPr="003D2334">
        <w:t xml:space="preserve">Poutrino, 2015; </w:t>
      </w:r>
      <w:r>
        <w:t>12</w:t>
      </w:r>
    </w:p>
  </w:footnote>
  <w:footnote w:id="40">
    <w:p w14:paraId="5DB1FE93" w14:textId="593FED0E" w:rsidR="00D1404B" w:rsidRDefault="00D1404B" w:rsidP="00D1404B">
      <w:pPr>
        <w:pStyle w:val="FootnoteText"/>
      </w:pPr>
      <w:r>
        <w:rPr>
          <w:rStyle w:val="FootnoteReference"/>
        </w:rPr>
        <w:footnoteRef/>
      </w:r>
      <w:r>
        <w:t xml:space="preserve"> Hart, </w:t>
      </w:r>
      <w:r w:rsidR="00F76379">
        <w:t xml:space="preserve">2005; </w:t>
      </w:r>
      <w:r>
        <w:t>80</w:t>
      </w:r>
    </w:p>
  </w:footnote>
  <w:footnote w:id="41">
    <w:p w14:paraId="10803029" w14:textId="5CBC4E8E" w:rsidR="00D1404B" w:rsidRDefault="00D1404B" w:rsidP="00D1404B">
      <w:pPr>
        <w:pStyle w:val="FootnoteText"/>
      </w:pPr>
      <w:r>
        <w:rPr>
          <w:rStyle w:val="FootnoteReference"/>
        </w:rPr>
        <w:footnoteRef/>
      </w:r>
      <w:r>
        <w:t xml:space="preserve"> Hart, </w:t>
      </w:r>
      <w:r w:rsidR="00F76379">
        <w:t xml:space="preserve">2005; </w:t>
      </w:r>
      <w:r>
        <w:t>120</w:t>
      </w:r>
    </w:p>
  </w:footnote>
  <w:footnote w:id="42">
    <w:p w14:paraId="20C457CF" w14:textId="49550589" w:rsidR="00D1404B" w:rsidRDefault="00D1404B" w:rsidP="00D1404B">
      <w:pPr>
        <w:pStyle w:val="FootnoteText"/>
      </w:pPr>
      <w:r>
        <w:rPr>
          <w:rStyle w:val="FootnoteReference"/>
        </w:rPr>
        <w:footnoteRef/>
      </w:r>
      <w:r>
        <w:t xml:space="preserve"> Hart,</w:t>
      </w:r>
      <w:r w:rsidR="00F76379">
        <w:t xml:space="preserve"> 2005;</w:t>
      </w:r>
      <w:r>
        <w:t xml:space="preserve"> 80</w:t>
      </w:r>
    </w:p>
  </w:footnote>
  <w:footnote w:id="43">
    <w:p w14:paraId="27695B8B" w14:textId="465B1E34" w:rsidR="00D1404B" w:rsidRDefault="00D1404B" w:rsidP="00D1404B">
      <w:pPr>
        <w:pStyle w:val="FootnoteText"/>
      </w:pPr>
      <w:r>
        <w:rPr>
          <w:rStyle w:val="FootnoteReference"/>
        </w:rPr>
        <w:footnoteRef/>
      </w:r>
      <w:r>
        <w:t xml:space="preserve"> Hart, </w:t>
      </w:r>
      <w:r w:rsidR="00F76379">
        <w:t xml:space="preserve">2005; </w:t>
      </w:r>
      <w:r>
        <w:t>80</w:t>
      </w:r>
    </w:p>
  </w:footnote>
  <w:footnote w:id="44">
    <w:p w14:paraId="0FE9B7F2" w14:textId="4F4FBAA8" w:rsidR="00D1404B" w:rsidRDefault="00D1404B" w:rsidP="00D1404B">
      <w:pPr>
        <w:pStyle w:val="FootnoteText"/>
      </w:pPr>
      <w:r>
        <w:rPr>
          <w:rStyle w:val="FootnoteReference"/>
        </w:rPr>
        <w:footnoteRef/>
      </w:r>
      <w:r>
        <w:t xml:space="preserve"> Hart,</w:t>
      </w:r>
      <w:r w:rsidR="00F76379">
        <w:t xml:space="preserve"> 2005;</w:t>
      </w:r>
      <w:r>
        <w:t xml:space="preserve"> 80</w:t>
      </w:r>
    </w:p>
  </w:footnote>
  <w:footnote w:id="45">
    <w:p w14:paraId="088F5371" w14:textId="60C59035" w:rsidR="003F5A4C" w:rsidRDefault="003F5A4C">
      <w:pPr>
        <w:pStyle w:val="FootnoteText"/>
      </w:pPr>
      <w:r>
        <w:rPr>
          <w:rStyle w:val="FootnoteReference"/>
        </w:rPr>
        <w:footnoteRef/>
      </w:r>
      <w:r>
        <w:t xml:space="preserve"> Ma</w:t>
      </w:r>
      <w:r w:rsidR="00FD7AC8">
        <w:t>zur</w:t>
      </w:r>
      <w:r w:rsidR="00B32887">
        <w:t>e</w:t>
      </w:r>
      <w:r w:rsidR="00FD7AC8">
        <w:t>k, 2018, 613</w:t>
      </w:r>
    </w:p>
  </w:footnote>
  <w:footnote w:id="46">
    <w:p w14:paraId="4A806BC8" w14:textId="73A5A6B8" w:rsidR="00102478" w:rsidRDefault="00102478" w:rsidP="00102478">
      <w:pPr>
        <w:pStyle w:val="FootnoteText"/>
      </w:pPr>
      <w:r>
        <w:rPr>
          <w:rStyle w:val="FootnoteReference"/>
        </w:rPr>
        <w:footnoteRef/>
      </w:r>
      <w:r>
        <w:t xml:space="preserve"> </w:t>
      </w:r>
      <w:r w:rsidR="001F54E6">
        <w:t>Canadian Museum of History, n.d.</w:t>
      </w:r>
    </w:p>
  </w:footnote>
  <w:footnote w:id="47">
    <w:p w14:paraId="1442673A" w14:textId="02102147" w:rsidR="00D1404B" w:rsidRDefault="00D1404B" w:rsidP="00D1404B">
      <w:pPr>
        <w:pStyle w:val="FootnoteText"/>
      </w:pPr>
      <w:r>
        <w:rPr>
          <w:rStyle w:val="FootnoteReference"/>
        </w:rPr>
        <w:footnoteRef/>
      </w:r>
      <w:r>
        <w:t xml:space="preserve"> </w:t>
      </w:r>
      <w:r w:rsidR="00750FA7" w:rsidRPr="00750FA7">
        <w:t xml:space="preserve">Poutrino, 2015; </w:t>
      </w:r>
      <w:r>
        <w:t>29</w:t>
      </w:r>
    </w:p>
  </w:footnote>
  <w:footnote w:id="48">
    <w:p w14:paraId="527EEB45" w14:textId="40B43BD8" w:rsidR="00D1404B" w:rsidRDefault="00D1404B" w:rsidP="00D1404B">
      <w:pPr>
        <w:pStyle w:val="FootnoteText"/>
      </w:pPr>
      <w:r>
        <w:rPr>
          <w:rStyle w:val="FootnoteReference"/>
        </w:rPr>
        <w:footnoteRef/>
      </w:r>
      <w:r>
        <w:t xml:space="preserve"> </w:t>
      </w:r>
      <w:r w:rsidR="00750FA7" w:rsidRPr="00750FA7">
        <w:t>Poutrino, 2015;</w:t>
      </w:r>
      <w:r>
        <w:t xml:space="preserve"> 29</w:t>
      </w:r>
    </w:p>
  </w:footnote>
  <w:footnote w:id="49">
    <w:p w14:paraId="6A148FAE" w14:textId="58A33B55" w:rsidR="00D1404B" w:rsidRDefault="00D1404B" w:rsidP="00D1404B">
      <w:pPr>
        <w:pStyle w:val="FootnoteText"/>
      </w:pPr>
      <w:r>
        <w:rPr>
          <w:rStyle w:val="FootnoteReference"/>
        </w:rPr>
        <w:footnoteRef/>
      </w:r>
      <w:r>
        <w:t xml:space="preserve"> </w:t>
      </w:r>
      <w:r w:rsidR="00750FA7" w:rsidRPr="00750FA7">
        <w:t xml:space="preserve">Poutrino, 2015; </w:t>
      </w:r>
      <w:r>
        <w:t>29</w:t>
      </w:r>
    </w:p>
  </w:footnote>
  <w:footnote w:id="50">
    <w:p w14:paraId="31D8E958" w14:textId="340CE29C" w:rsidR="00D1404B" w:rsidRDefault="00D1404B" w:rsidP="00D1404B">
      <w:pPr>
        <w:pStyle w:val="FootnoteText"/>
      </w:pPr>
      <w:r>
        <w:rPr>
          <w:rStyle w:val="FootnoteReference"/>
        </w:rPr>
        <w:footnoteRef/>
      </w:r>
      <w:r>
        <w:t xml:space="preserve"> </w:t>
      </w:r>
      <w:r w:rsidR="00826942" w:rsidRPr="00826942">
        <w:t xml:space="preserve">Poutrino, 2015; </w:t>
      </w:r>
      <w:r>
        <w:t>29</w:t>
      </w:r>
    </w:p>
  </w:footnote>
  <w:footnote w:id="51">
    <w:p w14:paraId="14ED8125" w14:textId="19403E0C" w:rsidR="00724473" w:rsidRDefault="00724473">
      <w:pPr>
        <w:pStyle w:val="FootnoteText"/>
      </w:pPr>
      <w:r>
        <w:rPr>
          <w:rStyle w:val="FootnoteReference"/>
        </w:rPr>
        <w:footnoteRef/>
      </w:r>
      <w:r>
        <w:t xml:space="preserve"> Mazur</w:t>
      </w:r>
      <w:r w:rsidR="00B32887">
        <w:t>e</w:t>
      </w:r>
      <w:r>
        <w:t>k</w:t>
      </w:r>
      <w:r w:rsidR="00B32887">
        <w:t xml:space="preserve">, </w:t>
      </w:r>
      <w:r>
        <w:t>2018</w:t>
      </w:r>
      <w:r w:rsidR="00B32887">
        <w:t>;</w:t>
      </w:r>
      <w:r>
        <w:t xml:space="preserve"> 265</w:t>
      </w:r>
    </w:p>
  </w:footnote>
  <w:footnote w:id="52">
    <w:p w14:paraId="2FC4BC38" w14:textId="077A273B" w:rsidR="002C7D8D" w:rsidRDefault="002C7D8D">
      <w:pPr>
        <w:pStyle w:val="FootnoteText"/>
      </w:pPr>
      <w:r>
        <w:rPr>
          <w:rStyle w:val="FootnoteReference"/>
        </w:rPr>
        <w:footnoteRef/>
      </w:r>
      <w:r>
        <w:t xml:space="preserve"> Poutrino, 2015; </w:t>
      </w:r>
      <w:r w:rsidR="0082414F">
        <w:t>30</w:t>
      </w:r>
    </w:p>
  </w:footnote>
  <w:footnote w:id="53">
    <w:p w14:paraId="697C945B" w14:textId="51AA70A5" w:rsidR="00D1404B" w:rsidRDefault="00D1404B" w:rsidP="00D1404B">
      <w:pPr>
        <w:pStyle w:val="FootnoteText"/>
      </w:pPr>
      <w:r>
        <w:rPr>
          <w:rStyle w:val="FootnoteReference"/>
        </w:rPr>
        <w:footnoteRef/>
      </w:r>
      <w:r w:rsidR="00826942" w:rsidRPr="00826942">
        <w:t xml:space="preserve">Poutrino, 2015; </w:t>
      </w:r>
      <w:r>
        <w:t>30</w:t>
      </w:r>
    </w:p>
  </w:footnote>
  <w:footnote w:id="54">
    <w:p w14:paraId="6B545A85" w14:textId="6D510318" w:rsidR="00D1404B" w:rsidRDefault="00D1404B" w:rsidP="00D1404B">
      <w:pPr>
        <w:pStyle w:val="FootnoteText"/>
      </w:pPr>
      <w:r>
        <w:rPr>
          <w:rStyle w:val="FootnoteReference"/>
        </w:rPr>
        <w:footnoteRef/>
      </w:r>
      <w:r w:rsidR="00826942" w:rsidRPr="00826942">
        <w:t>Poutrino, 2015;</w:t>
      </w:r>
      <w:r>
        <w:t xml:space="preserve"> 30</w:t>
      </w:r>
    </w:p>
  </w:footnote>
  <w:footnote w:id="55">
    <w:p w14:paraId="44FDB05F" w14:textId="2A1F5C3D" w:rsidR="00190C1D" w:rsidRDefault="00190C1D">
      <w:pPr>
        <w:pStyle w:val="FootnoteText"/>
      </w:pPr>
      <w:r>
        <w:rPr>
          <w:rStyle w:val="FootnoteReference"/>
        </w:rPr>
        <w:footnoteRef/>
      </w:r>
      <w:r>
        <w:t xml:space="preserve"> </w:t>
      </w:r>
      <w:r w:rsidR="00763FFF" w:rsidRPr="00763FFF">
        <w:t xml:space="preserve">Mazurek, 2016; </w:t>
      </w:r>
      <w:r>
        <w:t>235</w:t>
      </w:r>
    </w:p>
  </w:footnote>
  <w:footnote w:id="56">
    <w:p w14:paraId="4D492543" w14:textId="7B4EF544" w:rsidR="0082414F" w:rsidRDefault="0082414F">
      <w:pPr>
        <w:pStyle w:val="FootnoteText"/>
      </w:pPr>
      <w:r>
        <w:rPr>
          <w:rStyle w:val="FootnoteReference"/>
        </w:rPr>
        <w:footnoteRef/>
      </w:r>
      <w:r>
        <w:t xml:space="preserve"> Poutrino, 2015; 31</w:t>
      </w:r>
    </w:p>
  </w:footnote>
  <w:footnote w:id="57">
    <w:p w14:paraId="1E219D00" w14:textId="2C8A079C" w:rsidR="00D1404B" w:rsidRDefault="00D1404B" w:rsidP="00D1404B">
      <w:pPr>
        <w:pStyle w:val="FootnoteText"/>
      </w:pPr>
      <w:r>
        <w:rPr>
          <w:rStyle w:val="FootnoteReference"/>
        </w:rPr>
        <w:footnoteRef/>
      </w:r>
      <w:r>
        <w:t xml:space="preserve"> </w:t>
      </w:r>
      <w:r w:rsidR="003D2334" w:rsidRPr="003D2334">
        <w:t>Poutrino, 2015;</w:t>
      </w:r>
      <w:r>
        <w:t xml:space="preserve"> 31</w:t>
      </w:r>
    </w:p>
  </w:footnote>
  <w:footnote w:id="58">
    <w:p w14:paraId="0A90C612" w14:textId="00E19388" w:rsidR="00D1404B" w:rsidRDefault="00D1404B" w:rsidP="00D1404B">
      <w:pPr>
        <w:pStyle w:val="FootnoteText"/>
      </w:pPr>
      <w:r>
        <w:rPr>
          <w:rStyle w:val="FootnoteReference"/>
        </w:rPr>
        <w:footnoteRef/>
      </w:r>
      <w:r>
        <w:t xml:space="preserve"> </w:t>
      </w:r>
      <w:r w:rsidR="003D2334" w:rsidRPr="003D2334">
        <w:t>Poutrino, 2015;</w:t>
      </w:r>
      <w:r>
        <w:t xml:space="preserve"> 31</w:t>
      </w:r>
    </w:p>
  </w:footnote>
  <w:footnote w:id="59">
    <w:p w14:paraId="337EC57E" w14:textId="0A0EA60D" w:rsidR="00E2255F" w:rsidRDefault="00E2255F">
      <w:pPr>
        <w:pStyle w:val="FootnoteText"/>
      </w:pPr>
      <w:r>
        <w:rPr>
          <w:rStyle w:val="FootnoteReference"/>
        </w:rPr>
        <w:footnoteRef/>
      </w:r>
      <w:r>
        <w:t xml:space="preserve"> </w:t>
      </w:r>
      <w:r w:rsidR="003D2334" w:rsidRPr="003D2334">
        <w:t xml:space="preserve">Poutrino, 2015; </w:t>
      </w:r>
      <w:r>
        <w:t>40</w:t>
      </w:r>
    </w:p>
  </w:footnote>
  <w:footnote w:id="60">
    <w:p w14:paraId="2CC14EE3" w14:textId="606D6896" w:rsidR="00E147FB" w:rsidRDefault="00E147FB">
      <w:pPr>
        <w:pStyle w:val="FootnoteText"/>
      </w:pPr>
      <w:r>
        <w:rPr>
          <w:rStyle w:val="FootnoteReference"/>
        </w:rPr>
        <w:footnoteRef/>
      </w:r>
      <w:r>
        <w:t xml:space="preserve"> </w:t>
      </w:r>
      <w:r w:rsidR="003E7BB5">
        <w:t>Martens, 201</w:t>
      </w:r>
      <w:r w:rsidR="001A3F54">
        <w:t>5;</w:t>
      </w:r>
      <w:r>
        <w:t xml:space="preserve"> 59</w:t>
      </w:r>
    </w:p>
  </w:footnote>
  <w:footnote w:id="61">
    <w:p w14:paraId="6DFA712D" w14:textId="139E8CDB" w:rsidR="003761A4" w:rsidRDefault="003761A4">
      <w:pPr>
        <w:pStyle w:val="FootnoteText"/>
      </w:pPr>
      <w:r>
        <w:rPr>
          <w:rStyle w:val="FootnoteReference"/>
        </w:rPr>
        <w:footnoteRef/>
      </w:r>
      <w:r>
        <w:t xml:space="preserve"> Mazur</w:t>
      </w:r>
      <w:r w:rsidR="00B32887">
        <w:t>e</w:t>
      </w:r>
      <w:r>
        <w:t>k</w:t>
      </w:r>
      <w:r w:rsidR="00B32887">
        <w:t>,</w:t>
      </w:r>
      <w:r>
        <w:t xml:space="preserve"> 2018</w:t>
      </w:r>
      <w:r w:rsidR="00B32887">
        <w:t>;</w:t>
      </w:r>
      <w:r>
        <w:t xml:space="preserve"> 625</w:t>
      </w:r>
    </w:p>
  </w:footnote>
  <w:footnote w:id="62">
    <w:p w14:paraId="745D847B" w14:textId="388793D2" w:rsidR="00FE6458" w:rsidRDefault="00FE6458">
      <w:pPr>
        <w:pStyle w:val="FootnoteText"/>
      </w:pPr>
      <w:r>
        <w:rPr>
          <w:rStyle w:val="FootnoteReference"/>
        </w:rPr>
        <w:footnoteRef/>
      </w:r>
      <w:r>
        <w:t xml:space="preserve"> Poutrino, 2015; 32</w:t>
      </w:r>
    </w:p>
  </w:footnote>
  <w:footnote w:id="63">
    <w:p w14:paraId="6F0B5570" w14:textId="1F26E95F" w:rsidR="00D1404B" w:rsidRDefault="00D1404B" w:rsidP="00D1404B">
      <w:pPr>
        <w:pStyle w:val="FootnoteText"/>
      </w:pPr>
      <w:r>
        <w:rPr>
          <w:rStyle w:val="FootnoteReference"/>
        </w:rPr>
        <w:footnoteRef/>
      </w:r>
      <w:r>
        <w:t xml:space="preserve"> </w:t>
      </w:r>
      <w:r w:rsidR="003D2334" w:rsidRPr="003D2334">
        <w:t xml:space="preserve">Poutrino, 2015; </w:t>
      </w:r>
      <w:r>
        <w:t>32</w:t>
      </w:r>
    </w:p>
  </w:footnote>
  <w:footnote w:id="64">
    <w:p w14:paraId="20D98CAC" w14:textId="675A9158" w:rsidR="00D1404B" w:rsidRDefault="00D1404B" w:rsidP="00D1404B">
      <w:pPr>
        <w:pStyle w:val="FootnoteText"/>
      </w:pPr>
      <w:r>
        <w:rPr>
          <w:rStyle w:val="FootnoteReference"/>
        </w:rPr>
        <w:footnoteRef/>
      </w:r>
      <w:r>
        <w:t xml:space="preserve"> </w:t>
      </w:r>
      <w:r w:rsidR="008B565E">
        <w:t>Mazur</w:t>
      </w:r>
      <w:r w:rsidR="00B32887">
        <w:t>e</w:t>
      </w:r>
      <w:r w:rsidR="008B565E">
        <w:t>k</w:t>
      </w:r>
      <w:r w:rsidR="00B32887">
        <w:t>,</w:t>
      </w:r>
      <w:r w:rsidR="008B565E">
        <w:t xml:space="preserve"> 2018</w:t>
      </w:r>
      <w:r w:rsidR="00B32887">
        <w:t>;</w:t>
      </w:r>
      <w:r w:rsidR="008B565E">
        <w:t xml:space="preserve"> </w:t>
      </w:r>
      <w:r w:rsidR="004239C9">
        <w:t>265</w:t>
      </w:r>
    </w:p>
  </w:footnote>
  <w:footnote w:id="65">
    <w:p w14:paraId="31EFBF97" w14:textId="76936F79" w:rsidR="00FE6458" w:rsidRDefault="00FE6458">
      <w:pPr>
        <w:pStyle w:val="FootnoteText"/>
      </w:pPr>
      <w:r>
        <w:rPr>
          <w:rStyle w:val="FootnoteReference"/>
        </w:rPr>
        <w:footnoteRef/>
      </w:r>
      <w:r>
        <w:t xml:space="preserve"> Poutrino, 2015; 33</w:t>
      </w:r>
    </w:p>
  </w:footnote>
  <w:footnote w:id="66">
    <w:p w14:paraId="021F89EE" w14:textId="44A357F7" w:rsidR="00CD1E43" w:rsidRDefault="00CD1E43">
      <w:pPr>
        <w:pStyle w:val="FootnoteText"/>
      </w:pPr>
      <w:r>
        <w:rPr>
          <w:rStyle w:val="FootnoteReference"/>
        </w:rPr>
        <w:footnoteRef/>
      </w:r>
      <w:r>
        <w:t xml:space="preserve"> </w:t>
      </w:r>
      <w:r w:rsidR="00C16190">
        <w:t>Mazurek, 2018; 628</w:t>
      </w:r>
    </w:p>
  </w:footnote>
  <w:footnote w:id="67">
    <w:p w14:paraId="343C2F43" w14:textId="73253604" w:rsidR="00A55708" w:rsidRDefault="00A55708">
      <w:pPr>
        <w:pStyle w:val="FootnoteText"/>
      </w:pPr>
      <w:r>
        <w:rPr>
          <w:rStyle w:val="FootnoteReference"/>
        </w:rPr>
        <w:footnoteRef/>
      </w:r>
      <w:r>
        <w:t xml:space="preserve"> </w:t>
      </w:r>
      <w:r w:rsidR="003D2334" w:rsidRPr="003D2334">
        <w:t>Poutrino, 2015;</w:t>
      </w:r>
      <w:r>
        <w:t xml:space="preserve"> 33</w:t>
      </w:r>
    </w:p>
  </w:footnote>
  <w:footnote w:id="68">
    <w:p w14:paraId="4E548DF1" w14:textId="702670A7" w:rsidR="001B60CF" w:rsidRDefault="001B60CF">
      <w:pPr>
        <w:pStyle w:val="FootnoteText"/>
      </w:pPr>
      <w:r>
        <w:rPr>
          <w:rStyle w:val="FootnoteReference"/>
        </w:rPr>
        <w:footnoteRef/>
      </w:r>
      <w:r>
        <w:t xml:space="preserve"> </w:t>
      </w:r>
      <w:r w:rsidR="003D2334" w:rsidRPr="003D2334">
        <w:t xml:space="preserve">Poutrino, 2015; </w:t>
      </w:r>
      <w:r>
        <w:t>33</w:t>
      </w:r>
    </w:p>
  </w:footnote>
  <w:footnote w:id="69">
    <w:p w14:paraId="5DE60FBF" w14:textId="1F35CF71" w:rsidR="0075147D" w:rsidRDefault="0075147D">
      <w:pPr>
        <w:pStyle w:val="FootnoteText"/>
      </w:pPr>
      <w:r>
        <w:rPr>
          <w:rStyle w:val="FootnoteReference"/>
        </w:rPr>
        <w:footnoteRef/>
      </w:r>
      <w:r>
        <w:t xml:space="preserve"> </w:t>
      </w:r>
      <w:r w:rsidR="003D2334" w:rsidRPr="003D2334">
        <w:t xml:space="preserve">Poutrino, 2015; </w:t>
      </w:r>
      <w:r w:rsidR="00517C94">
        <w:t>33</w:t>
      </w:r>
    </w:p>
  </w:footnote>
  <w:footnote w:id="70">
    <w:p w14:paraId="4A1AA00C" w14:textId="425244E1" w:rsidR="008042CC" w:rsidRDefault="008042CC">
      <w:pPr>
        <w:pStyle w:val="FootnoteText"/>
      </w:pPr>
      <w:r>
        <w:rPr>
          <w:rStyle w:val="FootnoteReference"/>
        </w:rPr>
        <w:footnoteRef/>
      </w:r>
      <w:r>
        <w:t xml:space="preserve"> </w:t>
      </w:r>
      <w:r w:rsidR="003D2334" w:rsidRPr="003D2334">
        <w:t xml:space="preserve">Poutrino, 2015; </w:t>
      </w:r>
      <w:r>
        <w:t>33</w:t>
      </w:r>
    </w:p>
  </w:footnote>
  <w:footnote w:id="71">
    <w:p w14:paraId="573FE534" w14:textId="07DF62B1" w:rsidR="000D23A5" w:rsidRDefault="000D23A5">
      <w:pPr>
        <w:pStyle w:val="FootnoteText"/>
      </w:pPr>
      <w:r>
        <w:rPr>
          <w:rStyle w:val="FootnoteReference"/>
        </w:rPr>
        <w:footnoteRef/>
      </w:r>
      <w:r>
        <w:t xml:space="preserve"> </w:t>
      </w:r>
      <w:r w:rsidR="00763FFF" w:rsidRPr="00763FFF">
        <w:t xml:space="preserve">Mazurek, 2016; </w:t>
      </w:r>
      <w:r>
        <w:t>237</w:t>
      </w:r>
    </w:p>
  </w:footnote>
  <w:footnote w:id="72">
    <w:p w14:paraId="3E644C72" w14:textId="68D257EF" w:rsidR="00E362BB" w:rsidRDefault="00E362BB">
      <w:pPr>
        <w:pStyle w:val="FootnoteText"/>
      </w:pPr>
      <w:r>
        <w:rPr>
          <w:rStyle w:val="FootnoteReference"/>
        </w:rPr>
        <w:footnoteRef/>
      </w:r>
      <w:r>
        <w:t xml:space="preserve"> </w:t>
      </w:r>
      <w:r w:rsidR="003D2334" w:rsidRPr="003D2334">
        <w:t xml:space="preserve">Poutrino, 2015; </w:t>
      </w:r>
      <w:r>
        <w:t>42</w:t>
      </w:r>
    </w:p>
  </w:footnote>
  <w:footnote w:id="73">
    <w:p w14:paraId="4FCACC7E" w14:textId="2D255FB1" w:rsidR="00F90557" w:rsidRDefault="00F90557">
      <w:pPr>
        <w:pStyle w:val="FootnoteText"/>
      </w:pPr>
      <w:r>
        <w:rPr>
          <w:rStyle w:val="FootnoteReference"/>
        </w:rPr>
        <w:footnoteRef/>
      </w:r>
      <w:r>
        <w:t xml:space="preserve"> Mazur</w:t>
      </w:r>
      <w:r w:rsidR="00B32887">
        <w:t>e</w:t>
      </w:r>
      <w:r>
        <w:t>k</w:t>
      </w:r>
      <w:r w:rsidR="00B32887">
        <w:t>,</w:t>
      </w:r>
      <w:r>
        <w:t xml:space="preserve"> 2018</w:t>
      </w:r>
      <w:r w:rsidR="00B32887">
        <w:t>;</w:t>
      </w:r>
      <w:r w:rsidR="00D74934">
        <w:t xml:space="preserve"> 621</w:t>
      </w:r>
    </w:p>
  </w:footnote>
  <w:footnote w:id="74">
    <w:p w14:paraId="1E6C226D" w14:textId="012B561E" w:rsidR="00FF5EA0" w:rsidRDefault="00FF5EA0">
      <w:pPr>
        <w:pStyle w:val="FootnoteText"/>
      </w:pPr>
      <w:r>
        <w:rPr>
          <w:rStyle w:val="FootnoteReference"/>
        </w:rPr>
        <w:footnoteRef/>
      </w:r>
      <w:r>
        <w:t xml:space="preserve"> </w:t>
      </w:r>
      <w:r w:rsidR="003D2334" w:rsidRPr="003D2334">
        <w:t xml:space="preserve">Poutrino, 2015; </w:t>
      </w:r>
      <w:r>
        <w:t>44</w:t>
      </w:r>
    </w:p>
  </w:footnote>
  <w:footnote w:id="75">
    <w:p w14:paraId="22E62064" w14:textId="56ED542B" w:rsidR="00736C4A" w:rsidRDefault="00736C4A">
      <w:pPr>
        <w:pStyle w:val="FootnoteText"/>
      </w:pPr>
      <w:r>
        <w:rPr>
          <w:rStyle w:val="FootnoteReference"/>
        </w:rPr>
        <w:footnoteRef/>
      </w:r>
      <w:r>
        <w:t xml:space="preserve"> </w:t>
      </w:r>
      <w:r w:rsidR="00D74934">
        <w:t>Mazur</w:t>
      </w:r>
      <w:r w:rsidR="00B32887">
        <w:t>e</w:t>
      </w:r>
      <w:r w:rsidR="00D74934">
        <w:t>k</w:t>
      </w:r>
      <w:r w:rsidR="00B32887">
        <w:t>,</w:t>
      </w:r>
      <w:r w:rsidR="00D74934">
        <w:t xml:space="preserve"> 2018</w:t>
      </w:r>
      <w:r w:rsidR="00B32887">
        <w:t>;</w:t>
      </w:r>
      <w:r w:rsidR="00E705AE">
        <w:t xml:space="preserve"> 624</w:t>
      </w:r>
    </w:p>
  </w:footnote>
  <w:footnote w:id="76">
    <w:p w14:paraId="4B8F937D" w14:textId="53C282BA" w:rsidR="001869AF" w:rsidRDefault="001869AF">
      <w:pPr>
        <w:pStyle w:val="FootnoteText"/>
      </w:pPr>
      <w:r>
        <w:rPr>
          <w:rStyle w:val="FootnoteReference"/>
        </w:rPr>
        <w:footnoteRef/>
      </w:r>
      <w:r>
        <w:t xml:space="preserve"> </w:t>
      </w:r>
      <w:r w:rsidR="00763FFF" w:rsidRPr="00763FFF">
        <w:t>Mazurek, 2016;</w:t>
      </w:r>
      <w:r w:rsidR="00D557CC">
        <w:t xml:space="preserve"> 233</w:t>
      </w:r>
    </w:p>
  </w:footnote>
  <w:footnote w:id="77">
    <w:p w14:paraId="1636D072" w14:textId="4A33DB98" w:rsidR="009B5602" w:rsidRDefault="009B5602">
      <w:pPr>
        <w:pStyle w:val="FootnoteText"/>
      </w:pPr>
      <w:r>
        <w:rPr>
          <w:rStyle w:val="FootnoteReference"/>
        </w:rPr>
        <w:footnoteRef/>
      </w:r>
      <w:r>
        <w:t xml:space="preserve"> Mazur</w:t>
      </w:r>
      <w:r w:rsidR="00B32887">
        <w:t>e</w:t>
      </w:r>
      <w:r>
        <w:t>k</w:t>
      </w:r>
      <w:r w:rsidR="00B32887">
        <w:t xml:space="preserve">, </w:t>
      </w:r>
      <w:r>
        <w:t>2018</w:t>
      </w:r>
      <w:r w:rsidR="00B32887">
        <w:t>;</w:t>
      </w:r>
      <w:r>
        <w:t xml:space="preserve"> 624</w:t>
      </w:r>
    </w:p>
  </w:footnote>
  <w:footnote w:id="78">
    <w:p w14:paraId="652E338F" w14:textId="427C2CE9" w:rsidR="00B93769" w:rsidRDefault="00B93769">
      <w:pPr>
        <w:pStyle w:val="FootnoteText"/>
      </w:pPr>
      <w:r>
        <w:rPr>
          <w:rStyle w:val="FootnoteReference"/>
        </w:rPr>
        <w:footnoteRef/>
      </w:r>
      <w:r>
        <w:t xml:space="preserve"> </w:t>
      </w:r>
      <w:r w:rsidR="00196E27">
        <w:t>Mazur</w:t>
      </w:r>
      <w:r w:rsidR="00B32887">
        <w:t>e</w:t>
      </w:r>
      <w:r w:rsidR="00196E27">
        <w:t>k</w:t>
      </w:r>
      <w:r w:rsidR="00B32887">
        <w:t>,</w:t>
      </w:r>
      <w:r w:rsidR="00196E27">
        <w:t xml:space="preserve"> 2018</w:t>
      </w:r>
      <w:r w:rsidR="00B32887">
        <w:t>;</w:t>
      </w:r>
      <w:r w:rsidR="00E06BE6">
        <w:t xml:space="preserve"> 624</w:t>
      </w:r>
      <w:r>
        <w:t xml:space="preserve"> </w:t>
      </w:r>
    </w:p>
  </w:footnote>
  <w:footnote w:id="79">
    <w:p w14:paraId="679A8BFC" w14:textId="4B664318" w:rsidR="006B3B66" w:rsidRDefault="006B3B66">
      <w:pPr>
        <w:pStyle w:val="FootnoteText"/>
      </w:pPr>
      <w:r>
        <w:rPr>
          <w:rStyle w:val="FootnoteReference"/>
        </w:rPr>
        <w:footnoteRef/>
      </w:r>
      <w:r>
        <w:t xml:space="preserve"> </w:t>
      </w:r>
      <w:r w:rsidR="009919FF">
        <w:t>Fotiadi,</w:t>
      </w:r>
      <w:r w:rsidR="00B32887">
        <w:t xml:space="preserve"> 2011;</w:t>
      </w:r>
      <w:r w:rsidR="009919FF">
        <w:t xml:space="preserve"> 65</w:t>
      </w:r>
    </w:p>
  </w:footnote>
  <w:footnote w:id="80">
    <w:p w14:paraId="4EEE5362" w14:textId="1373496B" w:rsidR="00BB2E8B" w:rsidRDefault="00BB2E8B">
      <w:pPr>
        <w:pStyle w:val="FootnoteText"/>
      </w:pPr>
      <w:r>
        <w:rPr>
          <w:rStyle w:val="FootnoteReference"/>
        </w:rPr>
        <w:footnoteRef/>
      </w:r>
      <w:r>
        <w:t xml:space="preserve"> </w:t>
      </w:r>
      <w:r w:rsidR="00763FFF" w:rsidRPr="00763FFF">
        <w:t xml:space="preserve">Mazurek, 2016; </w:t>
      </w:r>
      <w:r>
        <w:t>230</w:t>
      </w:r>
    </w:p>
  </w:footnote>
  <w:footnote w:id="81">
    <w:p w14:paraId="7FE904F6" w14:textId="03F6A5FC" w:rsidR="00636E10" w:rsidRDefault="00636E10">
      <w:pPr>
        <w:pStyle w:val="FootnoteText"/>
      </w:pPr>
      <w:r>
        <w:rPr>
          <w:rStyle w:val="FootnoteReference"/>
        </w:rPr>
        <w:footnoteRef/>
      </w:r>
      <w:r>
        <w:t xml:space="preserve"> Fotiadi,</w:t>
      </w:r>
      <w:r w:rsidR="00B32887">
        <w:t xml:space="preserve"> 2011;</w:t>
      </w:r>
      <w:r>
        <w:t xml:space="preserve"> 65</w:t>
      </w:r>
    </w:p>
  </w:footnote>
  <w:footnote w:id="82">
    <w:p w14:paraId="133D8EDD" w14:textId="2490624A" w:rsidR="00C4575A" w:rsidRDefault="00C4575A">
      <w:pPr>
        <w:pStyle w:val="FootnoteText"/>
      </w:pPr>
      <w:r>
        <w:rPr>
          <w:rStyle w:val="FootnoteReference"/>
        </w:rPr>
        <w:footnoteRef/>
      </w:r>
      <w:r>
        <w:t xml:space="preserve"> </w:t>
      </w:r>
      <w:r w:rsidR="003D2334" w:rsidRPr="003D2334">
        <w:t xml:space="preserve">Poutrino, 2015; </w:t>
      </w:r>
      <w:r w:rsidR="00F010C5">
        <w:t>45</w:t>
      </w:r>
    </w:p>
  </w:footnote>
  <w:footnote w:id="83">
    <w:p w14:paraId="2AC82AC5" w14:textId="3402778E" w:rsidR="00E009E4" w:rsidRDefault="00E009E4">
      <w:pPr>
        <w:pStyle w:val="FootnoteText"/>
      </w:pPr>
      <w:r>
        <w:rPr>
          <w:rStyle w:val="FootnoteReference"/>
        </w:rPr>
        <w:footnoteRef/>
      </w:r>
      <w:r>
        <w:t xml:space="preserve"> </w:t>
      </w:r>
      <w:r w:rsidR="003D2334" w:rsidRPr="003D2334">
        <w:t xml:space="preserve">Poutrino, 2015; </w:t>
      </w:r>
      <w:r w:rsidR="00970989">
        <w:t>45</w:t>
      </w:r>
    </w:p>
  </w:footnote>
  <w:footnote w:id="84">
    <w:p w14:paraId="324F2F9A" w14:textId="2B03846C" w:rsidR="00DA45F6" w:rsidRDefault="00DA45F6">
      <w:pPr>
        <w:pStyle w:val="FootnoteText"/>
      </w:pPr>
      <w:r>
        <w:rPr>
          <w:rStyle w:val="FootnoteReference"/>
        </w:rPr>
        <w:footnoteRef/>
      </w:r>
      <w:r>
        <w:t xml:space="preserve"> </w:t>
      </w:r>
      <w:r w:rsidR="003D2334" w:rsidRPr="003D2334">
        <w:t xml:space="preserve">Poutrino, 2015; </w:t>
      </w:r>
      <w:r w:rsidR="00A06818">
        <w:t>45</w:t>
      </w:r>
    </w:p>
  </w:footnote>
  <w:footnote w:id="85">
    <w:p w14:paraId="082D88FA" w14:textId="2064F7FF" w:rsidR="005B719E" w:rsidRDefault="005B719E">
      <w:pPr>
        <w:pStyle w:val="FootnoteText"/>
      </w:pPr>
      <w:r>
        <w:rPr>
          <w:rStyle w:val="FootnoteReference"/>
        </w:rPr>
        <w:footnoteRef/>
      </w:r>
      <w:r>
        <w:t xml:space="preserve"> </w:t>
      </w:r>
      <w:r w:rsidR="003D2334" w:rsidRPr="003D2334">
        <w:t xml:space="preserve">Poutrino, 2015; </w:t>
      </w:r>
      <w:r>
        <w:t>46</w:t>
      </w:r>
    </w:p>
  </w:footnote>
  <w:footnote w:id="86">
    <w:p w14:paraId="4D992724" w14:textId="7F2A8D05" w:rsidR="00261B09" w:rsidRDefault="00261B09" w:rsidP="00261B09">
      <w:pPr>
        <w:pStyle w:val="FootnoteText"/>
      </w:pPr>
      <w:r>
        <w:rPr>
          <w:rStyle w:val="FootnoteReference"/>
        </w:rPr>
        <w:footnoteRef/>
      </w:r>
      <w:r>
        <w:t xml:space="preserve"> </w:t>
      </w:r>
      <w:r w:rsidR="005859CC">
        <w:t>Benaki Museum, 2016</w:t>
      </w:r>
    </w:p>
  </w:footnote>
  <w:footnote w:id="87">
    <w:p w14:paraId="20C6E09B" w14:textId="56906401" w:rsidR="00933DBA" w:rsidRDefault="00933DBA" w:rsidP="00933DBA">
      <w:pPr>
        <w:pStyle w:val="FootnoteText"/>
      </w:pPr>
      <w:r>
        <w:rPr>
          <w:rStyle w:val="FootnoteReference"/>
        </w:rPr>
        <w:footnoteRef/>
      </w:r>
      <w:r>
        <w:t xml:space="preserve"> </w:t>
      </w:r>
      <w:r w:rsidR="00DD6E6F">
        <w:t>Mazurek, 2018; 628</w:t>
      </w:r>
    </w:p>
  </w:footnote>
  <w:footnote w:id="88">
    <w:p w14:paraId="748193A3" w14:textId="49AD185A" w:rsidR="00947797" w:rsidRDefault="00947797">
      <w:pPr>
        <w:pStyle w:val="FootnoteText"/>
      </w:pPr>
      <w:r>
        <w:rPr>
          <w:rStyle w:val="FootnoteReference"/>
        </w:rPr>
        <w:footnoteRef/>
      </w:r>
      <w:r>
        <w:t xml:space="preserve"> B</w:t>
      </w:r>
      <w:r w:rsidR="005859CC">
        <w:t>e</w:t>
      </w:r>
      <w:r>
        <w:t xml:space="preserve">naki </w:t>
      </w:r>
      <w:r w:rsidR="005859CC">
        <w:t>M</w:t>
      </w:r>
      <w:r>
        <w:t>useum</w:t>
      </w:r>
      <w:r w:rsidR="005859CC">
        <w:t>, 2016</w:t>
      </w:r>
    </w:p>
  </w:footnote>
  <w:footnote w:id="89">
    <w:p w14:paraId="3395DAD3" w14:textId="424991E3" w:rsidR="00DA3355" w:rsidRDefault="00DA3355">
      <w:pPr>
        <w:pStyle w:val="FootnoteText"/>
      </w:pPr>
      <w:r>
        <w:rPr>
          <w:rStyle w:val="FootnoteReference"/>
        </w:rPr>
        <w:footnoteRef/>
      </w:r>
      <w:r>
        <w:t xml:space="preserve"> </w:t>
      </w:r>
      <w:r w:rsidR="003D2334" w:rsidRPr="003D2334">
        <w:t xml:space="preserve">Poutrino, 2015; </w:t>
      </w:r>
      <w:r w:rsidR="002C27C4">
        <w:t>13-14</w:t>
      </w:r>
    </w:p>
  </w:footnote>
  <w:footnote w:id="90">
    <w:p w14:paraId="71BF4F89" w14:textId="6790E3B8" w:rsidR="007B5149" w:rsidRDefault="007B5149">
      <w:pPr>
        <w:pStyle w:val="FootnoteText"/>
      </w:pPr>
      <w:r>
        <w:rPr>
          <w:rStyle w:val="FootnoteReference"/>
        </w:rPr>
        <w:footnoteRef/>
      </w:r>
      <w:r>
        <w:t xml:space="preserve"> </w:t>
      </w:r>
      <w:r w:rsidR="005859CC">
        <w:t>Benaki Museum, 2016</w:t>
      </w:r>
    </w:p>
  </w:footnote>
  <w:footnote w:id="91">
    <w:p w14:paraId="3D84A2A8" w14:textId="23EBC08D" w:rsidR="008965A6" w:rsidRDefault="008965A6">
      <w:pPr>
        <w:pStyle w:val="FootnoteText"/>
      </w:pPr>
      <w:r>
        <w:rPr>
          <w:rStyle w:val="FootnoteReference"/>
        </w:rPr>
        <w:footnoteRef/>
      </w:r>
      <w:r>
        <w:t xml:space="preserve"> </w:t>
      </w:r>
      <w:r w:rsidR="005859CC">
        <w:t>Benaki Museum, 2016</w:t>
      </w:r>
    </w:p>
  </w:footnote>
  <w:footnote w:id="92">
    <w:p w14:paraId="103DA914" w14:textId="1EB6F51C" w:rsidR="00407F54" w:rsidRDefault="00407F54">
      <w:pPr>
        <w:pStyle w:val="FootnoteText"/>
      </w:pPr>
      <w:r>
        <w:rPr>
          <w:rStyle w:val="FootnoteReference"/>
        </w:rPr>
        <w:footnoteRef/>
      </w:r>
      <w:r>
        <w:t xml:space="preserve"> Mazurek, 2018</w:t>
      </w:r>
      <w:r w:rsidR="00C90DB3">
        <w:t>; 628</w:t>
      </w:r>
    </w:p>
  </w:footnote>
  <w:footnote w:id="93">
    <w:p w14:paraId="67C39E83" w14:textId="46992490" w:rsidR="00124107" w:rsidRDefault="00124107">
      <w:pPr>
        <w:pStyle w:val="FootnoteText"/>
      </w:pPr>
      <w:r>
        <w:rPr>
          <w:rStyle w:val="FootnoteReference"/>
        </w:rPr>
        <w:footnoteRef/>
      </w:r>
      <w:r>
        <w:t xml:space="preserve"> </w:t>
      </w:r>
      <w:proofErr w:type="spellStart"/>
      <w:r>
        <w:t>Chaniotis</w:t>
      </w:r>
      <w:proofErr w:type="spellEnd"/>
      <w:r w:rsidR="006970B3">
        <w:t xml:space="preserve">, </w:t>
      </w:r>
      <w:proofErr w:type="spellStart"/>
      <w:r w:rsidR="006970B3">
        <w:t>Corsten</w:t>
      </w:r>
      <w:proofErr w:type="spellEnd"/>
      <w:r w:rsidR="006970B3">
        <w:t xml:space="preserve">, </w:t>
      </w:r>
      <w:proofErr w:type="spellStart"/>
      <w:r w:rsidR="006970B3">
        <w:t>Papazarkadas</w:t>
      </w:r>
      <w:proofErr w:type="spellEnd"/>
      <w:r w:rsidR="006970B3">
        <w:t xml:space="preserve"> and </w:t>
      </w:r>
      <w:proofErr w:type="spellStart"/>
      <w:r w:rsidR="006970B3">
        <w:t>Tybout</w:t>
      </w:r>
      <w:proofErr w:type="spellEnd"/>
      <w:r w:rsidR="006970B3">
        <w:t>, 2009</w:t>
      </w:r>
    </w:p>
  </w:footnote>
  <w:footnote w:id="94">
    <w:p w14:paraId="36FA74FE" w14:textId="067A31C7" w:rsidR="0087073A" w:rsidRDefault="0087073A">
      <w:pPr>
        <w:pStyle w:val="FootnoteText"/>
      </w:pPr>
      <w:r>
        <w:rPr>
          <w:rStyle w:val="FootnoteReference"/>
        </w:rPr>
        <w:footnoteRef/>
      </w:r>
      <w:r>
        <w:t xml:space="preserve"> Poutrino, 2015; </w:t>
      </w:r>
      <w:r w:rsidR="000947F1">
        <w:t>52</w:t>
      </w:r>
    </w:p>
  </w:footnote>
  <w:footnote w:id="95">
    <w:p w14:paraId="5ECD5BEB" w14:textId="1774BD69" w:rsidR="00637AEB" w:rsidRDefault="00637AEB">
      <w:pPr>
        <w:pStyle w:val="FootnoteText"/>
      </w:pPr>
      <w:r>
        <w:rPr>
          <w:rStyle w:val="FootnoteReference"/>
        </w:rPr>
        <w:footnoteRef/>
      </w:r>
      <w:r>
        <w:t xml:space="preserve"> Poutrino, 2015; </w:t>
      </w:r>
      <w:r w:rsidR="00FB4035">
        <w:t>53</w:t>
      </w:r>
    </w:p>
  </w:footnote>
  <w:footnote w:id="96">
    <w:p w14:paraId="7EA85540" w14:textId="53301885" w:rsidR="00846A95" w:rsidRDefault="00846A95">
      <w:pPr>
        <w:pStyle w:val="FootnoteText"/>
      </w:pPr>
      <w:r>
        <w:rPr>
          <w:rStyle w:val="FootnoteReference"/>
        </w:rPr>
        <w:footnoteRef/>
      </w:r>
      <w:r>
        <w:t xml:space="preserve"> Poutrino, 2015; 53</w:t>
      </w:r>
    </w:p>
  </w:footnote>
  <w:footnote w:id="97">
    <w:p w14:paraId="1A503CE3" w14:textId="7F045887" w:rsidR="00C65822" w:rsidRDefault="00C65822">
      <w:pPr>
        <w:pStyle w:val="FootnoteText"/>
      </w:pPr>
      <w:r>
        <w:rPr>
          <w:rStyle w:val="FootnoteReference"/>
        </w:rPr>
        <w:footnoteRef/>
      </w:r>
      <w:r>
        <w:t xml:space="preserve"> Poutrino, 2015; 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1NTa2MDMzMzAwNzdV0lEKTi0uzszPAykwNK0FAIrjOt4tAAAA"/>
  </w:docVars>
  <w:rsids>
    <w:rsidRoot w:val="00C7190C"/>
    <w:rsid w:val="00000D6C"/>
    <w:rsid w:val="00004952"/>
    <w:rsid w:val="000072E7"/>
    <w:rsid w:val="0001335F"/>
    <w:rsid w:val="000134BA"/>
    <w:rsid w:val="0001774C"/>
    <w:rsid w:val="00032981"/>
    <w:rsid w:val="000414B1"/>
    <w:rsid w:val="00041F46"/>
    <w:rsid w:val="00045F74"/>
    <w:rsid w:val="00051478"/>
    <w:rsid w:val="00052A21"/>
    <w:rsid w:val="00053465"/>
    <w:rsid w:val="00054AF8"/>
    <w:rsid w:val="00055E2F"/>
    <w:rsid w:val="000609EC"/>
    <w:rsid w:val="00063A78"/>
    <w:rsid w:val="00067CD7"/>
    <w:rsid w:val="0007239C"/>
    <w:rsid w:val="00085B8A"/>
    <w:rsid w:val="00087C65"/>
    <w:rsid w:val="00093983"/>
    <w:rsid w:val="000945A8"/>
    <w:rsid w:val="000945D7"/>
    <w:rsid w:val="000947F1"/>
    <w:rsid w:val="000955EA"/>
    <w:rsid w:val="000B158B"/>
    <w:rsid w:val="000B573C"/>
    <w:rsid w:val="000C1650"/>
    <w:rsid w:val="000D23A5"/>
    <w:rsid w:val="000E264B"/>
    <w:rsid w:val="000F25FF"/>
    <w:rsid w:val="00102478"/>
    <w:rsid w:val="00105635"/>
    <w:rsid w:val="00124107"/>
    <w:rsid w:val="00127256"/>
    <w:rsid w:val="0012782A"/>
    <w:rsid w:val="00130290"/>
    <w:rsid w:val="00132EE5"/>
    <w:rsid w:val="00133ACA"/>
    <w:rsid w:val="00142CDE"/>
    <w:rsid w:val="00146C4D"/>
    <w:rsid w:val="00156F04"/>
    <w:rsid w:val="00174C91"/>
    <w:rsid w:val="001752F0"/>
    <w:rsid w:val="001801CB"/>
    <w:rsid w:val="00182590"/>
    <w:rsid w:val="001869AF"/>
    <w:rsid w:val="00190C1D"/>
    <w:rsid w:val="001938AA"/>
    <w:rsid w:val="00196E27"/>
    <w:rsid w:val="001A1D23"/>
    <w:rsid w:val="001A3F54"/>
    <w:rsid w:val="001B0B75"/>
    <w:rsid w:val="001B60CF"/>
    <w:rsid w:val="001C153B"/>
    <w:rsid w:val="001C322A"/>
    <w:rsid w:val="001D138C"/>
    <w:rsid w:val="001D2241"/>
    <w:rsid w:val="001D309A"/>
    <w:rsid w:val="001D5A55"/>
    <w:rsid w:val="001D777F"/>
    <w:rsid w:val="001F29FA"/>
    <w:rsid w:val="001F5367"/>
    <w:rsid w:val="001F54E6"/>
    <w:rsid w:val="001F6523"/>
    <w:rsid w:val="002264A2"/>
    <w:rsid w:val="0023283D"/>
    <w:rsid w:val="00233AA3"/>
    <w:rsid w:val="00233BF2"/>
    <w:rsid w:val="00240647"/>
    <w:rsid w:val="00241FF1"/>
    <w:rsid w:val="00242F39"/>
    <w:rsid w:val="00250A45"/>
    <w:rsid w:val="00251257"/>
    <w:rsid w:val="00252669"/>
    <w:rsid w:val="002535B9"/>
    <w:rsid w:val="00253DDF"/>
    <w:rsid w:val="0025494F"/>
    <w:rsid w:val="00261B09"/>
    <w:rsid w:val="002625DA"/>
    <w:rsid w:val="002657E9"/>
    <w:rsid w:val="00276E0B"/>
    <w:rsid w:val="00290ED0"/>
    <w:rsid w:val="002A260D"/>
    <w:rsid w:val="002A57C1"/>
    <w:rsid w:val="002C27C4"/>
    <w:rsid w:val="002C3879"/>
    <w:rsid w:val="002C7D8D"/>
    <w:rsid w:val="002D77BC"/>
    <w:rsid w:val="002E7020"/>
    <w:rsid w:val="002F2E9E"/>
    <w:rsid w:val="002F31C6"/>
    <w:rsid w:val="002F5DDB"/>
    <w:rsid w:val="00301483"/>
    <w:rsid w:val="00303201"/>
    <w:rsid w:val="00307D96"/>
    <w:rsid w:val="00314310"/>
    <w:rsid w:val="00315256"/>
    <w:rsid w:val="003224D4"/>
    <w:rsid w:val="00324DE9"/>
    <w:rsid w:val="00325504"/>
    <w:rsid w:val="0033544D"/>
    <w:rsid w:val="00340086"/>
    <w:rsid w:val="00363899"/>
    <w:rsid w:val="0036555A"/>
    <w:rsid w:val="0036797D"/>
    <w:rsid w:val="00370F72"/>
    <w:rsid w:val="003720A1"/>
    <w:rsid w:val="0037558D"/>
    <w:rsid w:val="003761A4"/>
    <w:rsid w:val="00377F5A"/>
    <w:rsid w:val="00381458"/>
    <w:rsid w:val="003828BB"/>
    <w:rsid w:val="003840FF"/>
    <w:rsid w:val="003843F4"/>
    <w:rsid w:val="003847DA"/>
    <w:rsid w:val="00390BF6"/>
    <w:rsid w:val="00393C69"/>
    <w:rsid w:val="003A7143"/>
    <w:rsid w:val="003B0F93"/>
    <w:rsid w:val="003B2968"/>
    <w:rsid w:val="003C1505"/>
    <w:rsid w:val="003D2334"/>
    <w:rsid w:val="003E1D82"/>
    <w:rsid w:val="003E7BB5"/>
    <w:rsid w:val="003F5A03"/>
    <w:rsid w:val="003F5A4C"/>
    <w:rsid w:val="00407F54"/>
    <w:rsid w:val="00410416"/>
    <w:rsid w:val="00411A62"/>
    <w:rsid w:val="00416B34"/>
    <w:rsid w:val="004212C5"/>
    <w:rsid w:val="004215AC"/>
    <w:rsid w:val="004239C9"/>
    <w:rsid w:val="00427A7D"/>
    <w:rsid w:val="00451FB9"/>
    <w:rsid w:val="00452A41"/>
    <w:rsid w:val="0045458F"/>
    <w:rsid w:val="0045546C"/>
    <w:rsid w:val="0046074A"/>
    <w:rsid w:val="0046760F"/>
    <w:rsid w:val="00473C5A"/>
    <w:rsid w:val="004810B6"/>
    <w:rsid w:val="00481AE0"/>
    <w:rsid w:val="0048571C"/>
    <w:rsid w:val="00492F66"/>
    <w:rsid w:val="004A0003"/>
    <w:rsid w:val="004A0985"/>
    <w:rsid w:val="004B0B48"/>
    <w:rsid w:val="004B12AD"/>
    <w:rsid w:val="004B761F"/>
    <w:rsid w:val="004C1764"/>
    <w:rsid w:val="004C190A"/>
    <w:rsid w:val="004C44F8"/>
    <w:rsid w:val="004C47D1"/>
    <w:rsid w:val="004C57A8"/>
    <w:rsid w:val="004C57E2"/>
    <w:rsid w:val="004E1699"/>
    <w:rsid w:val="004F0419"/>
    <w:rsid w:val="004F0479"/>
    <w:rsid w:val="004F28D0"/>
    <w:rsid w:val="005023EC"/>
    <w:rsid w:val="00502C53"/>
    <w:rsid w:val="00507136"/>
    <w:rsid w:val="00514B8D"/>
    <w:rsid w:val="00517C79"/>
    <w:rsid w:val="00517C94"/>
    <w:rsid w:val="00525CE1"/>
    <w:rsid w:val="00534292"/>
    <w:rsid w:val="00540C02"/>
    <w:rsid w:val="00544C18"/>
    <w:rsid w:val="00581271"/>
    <w:rsid w:val="005859CC"/>
    <w:rsid w:val="005936F6"/>
    <w:rsid w:val="00594E84"/>
    <w:rsid w:val="00595D58"/>
    <w:rsid w:val="00595EC7"/>
    <w:rsid w:val="005A13DE"/>
    <w:rsid w:val="005A1F38"/>
    <w:rsid w:val="005A48F3"/>
    <w:rsid w:val="005A4983"/>
    <w:rsid w:val="005A69F7"/>
    <w:rsid w:val="005B10EC"/>
    <w:rsid w:val="005B2683"/>
    <w:rsid w:val="005B61BE"/>
    <w:rsid w:val="005B719E"/>
    <w:rsid w:val="005C0904"/>
    <w:rsid w:val="005C7CD0"/>
    <w:rsid w:val="005D2803"/>
    <w:rsid w:val="005D3A26"/>
    <w:rsid w:val="005D5DB2"/>
    <w:rsid w:val="005E3999"/>
    <w:rsid w:val="005E6DF2"/>
    <w:rsid w:val="005F3E47"/>
    <w:rsid w:val="005F6B8D"/>
    <w:rsid w:val="005F6BE3"/>
    <w:rsid w:val="005F7EE4"/>
    <w:rsid w:val="00613DFA"/>
    <w:rsid w:val="00613EC8"/>
    <w:rsid w:val="00616366"/>
    <w:rsid w:val="00617125"/>
    <w:rsid w:val="0062218B"/>
    <w:rsid w:val="00625254"/>
    <w:rsid w:val="00625EDB"/>
    <w:rsid w:val="00626222"/>
    <w:rsid w:val="0063207E"/>
    <w:rsid w:val="00632594"/>
    <w:rsid w:val="00636573"/>
    <w:rsid w:val="00636AF8"/>
    <w:rsid w:val="00636BBD"/>
    <w:rsid w:val="00636BE9"/>
    <w:rsid w:val="00636E10"/>
    <w:rsid w:val="00637AEB"/>
    <w:rsid w:val="00652152"/>
    <w:rsid w:val="0065556B"/>
    <w:rsid w:val="00656158"/>
    <w:rsid w:val="006610F5"/>
    <w:rsid w:val="006616B8"/>
    <w:rsid w:val="006632CB"/>
    <w:rsid w:val="00671DC4"/>
    <w:rsid w:val="00676C25"/>
    <w:rsid w:val="00677325"/>
    <w:rsid w:val="0069129E"/>
    <w:rsid w:val="00693617"/>
    <w:rsid w:val="006970B3"/>
    <w:rsid w:val="006A30BF"/>
    <w:rsid w:val="006A38E6"/>
    <w:rsid w:val="006A72B7"/>
    <w:rsid w:val="006B0724"/>
    <w:rsid w:val="006B3B66"/>
    <w:rsid w:val="006B4B1B"/>
    <w:rsid w:val="006C5F47"/>
    <w:rsid w:val="006C74E4"/>
    <w:rsid w:val="006F190E"/>
    <w:rsid w:val="006F3223"/>
    <w:rsid w:val="006F45EE"/>
    <w:rsid w:val="006F7AD1"/>
    <w:rsid w:val="00707618"/>
    <w:rsid w:val="00711B2D"/>
    <w:rsid w:val="00713EEF"/>
    <w:rsid w:val="00721B13"/>
    <w:rsid w:val="00724473"/>
    <w:rsid w:val="00736C4A"/>
    <w:rsid w:val="00741FF5"/>
    <w:rsid w:val="00743CB7"/>
    <w:rsid w:val="00750FA7"/>
    <w:rsid w:val="0075147D"/>
    <w:rsid w:val="00752506"/>
    <w:rsid w:val="0075700B"/>
    <w:rsid w:val="00763FFF"/>
    <w:rsid w:val="0077695A"/>
    <w:rsid w:val="0079299E"/>
    <w:rsid w:val="00795918"/>
    <w:rsid w:val="00796932"/>
    <w:rsid w:val="007B08B4"/>
    <w:rsid w:val="007B5149"/>
    <w:rsid w:val="007C051C"/>
    <w:rsid w:val="007C19F8"/>
    <w:rsid w:val="007C3D7C"/>
    <w:rsid w:val="007C6B47"/>
    <w:rsid w:val="007D1150"/>
    <w:rsid w:val="007E14CF"/>
    <w:rsid w:val="007E47B2"/>
    <w:rsid w:val="007E4C5B"/>
    <w:rsid w:val="007E66A3"/>
    <w:rsid w:val="007E7B51"/>
    <w:rsid w:val="00800CFD"/>
    <w:rsid w:val="00803894"/>
    <w:rsid w:val="008042CC"/>
    <w:rsid w:val="00806F3B"/>
    <w:rsid w:val="00814C9E"/>
    <w:rsid w:val="0082414F"/>
    <w:rsid w:val="00826942"/>
    <w:rsid w:val="008273E8"/>
    <w:rsid w:val="0083059F"/>
    <w:rsid w:val="008404BD"/>
    <w:rsid w:val="00846A95"/>
    <w:rsid w:val="00855F65"/>
    <w:rsid w:val="00864011"/>
    <w:rsid w:val="0087073A"/>
    <w:rsid w:val="008746D9"/>
    <w:rsid w:val="00875A64"/>
    <w:rsid w:val="00876498"/>
    <w:rsid w:val="008764A2"/>
    <w:rsid w:val="008901C0"/>
    <w:rsid w:val="008911A7"/>
    <w:rsid w:val="008945EB"/>
    <w:rsid w:val="00895852"/>
    <w:rsid w:val="0089627C"/>
    <w:rsid w:val="008965A6"/>
    <w:rsid w:val="00896D40"/>
    <w:rsid w:val="008A10C0"/>
    <w:rsid w:val="008A2067"/>
    <w:rsid w:val="008A2FE1"/>
    <w:rsid w:val="008A3304"/>
    <w:rsid w:val="008A5EB2"/>
    <w:rsid w:val="008A7B60"/>
    <w:rsid w:val="008B565E"/>
    <w:rsid w:val="008C0124"/>
    <w:rsid w:val="008D13E6"/>
    <w:rsid w:val="008D1910"/>
    <w:rsid w:val="008E170B"/>
    <w:rsid w:val="008E5F01"/>
    <w:rsid w:val="008E7084"/>
    <w:rsid w:val="009019AD"/>
    <w:rsid w:val="0090611F"/>
    <w:rsid w:val="0091166E"/>
    <w:rsid w:val="00925EF1"/>
    <w:rsid w:val="0093112F"/>
    <w:rsid w:val="00933DBA"/>
    <w:rsid w:val="00934833"/>
    <w:rsid w:val="009454AD"/>
    <w:rsid w:val="00947797"/>
    <w:rsid w:val="009478C3"/>
    <w:rsid w:val="00953420"/>
    <w:rsid w:val="00956593"/>
    <w:rsid w:val="00970989"/>
    <w:rsid w:val="009715A1"/>
    <w:rsid w:val="00973A4C"/>
    <w:rsid w:val="00980227"/>
    <w:rsid w:val="00985153"/>
    <w:rsid w:val="009919FF"/>
    <w:rsid w:val="00995E01"/>
    <w:rsid w:val="009B5602"/>
    <w:rsid w:val="009B57DB"/>
    <w:rsid w:val="009C0870"/>
    <w:rsid w:val="009C3A81"/>
    <w:rsid w:val="009C46F4"/>
    <w:rsid w:val="009C4E78"/>
    <w:rsid w:val="009D4DC7"/>
    <w:rsid w:val="009D7F87"/>
    <w:rsid w:val="009E1B41"/>
    <w:rsid w:val="009E7DCC"/>
    <w:rsid w:val="009F0315"/>
    <w:rsid w:val="009F6E21"/>
    <w:rsid w:val="00A06818"/>
    <w:rsid w:val="00A069B2"/>
    <w:rsid w:val="00A07C10"/>
    <w:rsid w:val="00A07FAF"/>
    <w:rsid w:val="00A12CB7"/>
    <w:rsid w:val="00A14AFD"/>
    <w:rsid w:val="00A340B2"/>
    <w:rsid w:val="00A4678B"/>
    <w:rsid w:val="00A5044C"/>
    <w:rsid w:val="00A5166A"/>
    <w:rsid w:val="00A53215"/>
    <w:rsid w:val="00A53FAF"/>
    <w:rsid w:val="00A55448"/>
    <w:rsid w:val="00A55708"/>
    <w:rsid w:val="00A718D4"/>
    <w:rsid w:val="00A86DB4"/>
    <w:rsid w:val="00A97B23"/>
    <w:rsid w:val="00AC28B2"/>
    <w:rsid w:val="00AC4609"/>
    <w:rsid w:val="00AC50D1"/>
    <w:rsid w:val="00AE0A5A"/>
    <w:rsid w:val="00AE6B0E"/>
    <w:rsid w:val="00AF1F7E"/>
    <w:rsid w:val="00B00333"/>
    <w:rsid w:val="00B03E74"/>
    <w:rsid w:val="00B15B44"/>
    <w:rsid w:val="00B170F9"/>
    <w:rsid w:val="00B32887"/>
    <w:rsid w:val="00B35437"/>
    <w:rsid w:val="00B4244E"/>
    <w:rsid w:val="00B42E2F"/>
    <w:rsid w:val="00B4316C"/>
    <w:rsid w:val="00B45915"/>
    <w:rsid w:val="00B50F6A"/>
    <w:rsid w:val="00B632E3"/>
    <w:rsid w:val="00B802EF"/>
    <w:rsid w:val="00B9337D"/>
    <w:rsid w:val="00B93769"/>
    <w:rsid w:val="00B947DC"/>
    <w:rsid w:val="00B96BAF"/>
    <w:rsid w:val="00BA04BF"/>
    <w:rsid w:val="00BA264D"/>
    <w:rsid w:val="00BB2690"/>
    <w:rsid w:val="00BB2E8B"/>
    <w:rsid w:val="00BB6475"/>
    <w:rsid w:val="00BB6FF8"/>
    <w:rsid w:val="00BC2C0D"/>
    <w:rsid w:val="00BD2E86"/>
    <w:rsid w:val="00BD45EF"/>
    <w:rsid w:val="00BE01B6"/>
    <w:rsid w:val="00BE3863"/>
    <w:rsid w:val="00BE4972"/>
    <w:rsid w:val="00BF12C5"/>
    <w:rsid w:val="00BF4E24"/>
    <w:rsid w:val="00BF5EB5"/>
    <w:rsid w:val="00BF6DFB"/>
    <w:rsid w:val="00C01E84"/>
    <w:rsid w:val="00C06CB0"/>
    <w:rsid w:val="00C15D20"/>
    <w:rsid w:val="00C16190"/>
    <w:rsid w:val="00C16535"/>
    <w:rsid w:val="00C174FE"/>
    <w:rsid w:val="00C265A1"/>
    <w:rsid w:val="00C31EB5"/>
    <w:rsid w:val="00C32571"/>
    <w:rsid w:val="00C35788"/>
    <w:rsid w:val="00C37156"/>
    <w:rsid w:val="00C453AD"/>
    <w:rsid w:val="00C4575A"/>
    <w:rsid w:val="00C520D1"/>
    <w:rsid w:val="00C539B1"/>
    <w:rsid w:val="00C6394E"/>
    <w:rsid w:val="00C65822"/>
    <w:rsid w:val="00C6675C"/>
    <w:rsid w:val="00C7190C"/>
    <w:rsid w:val="00C81F4C"/>
    <w:rsid w:val="00C8323E"/>
    <w:rsid w:val="00C90DB3"/>
    <w:rsid w:val="00CA0E66"/>
    <w:rsid w:val="00CA1E57"/>
    <w:rsid w:val="00CB2687"/>
    <w:rsid w:val="00CB7D00"/>
    <w:rsid w:val="00CC7B4E"/>
    <w:rsid w:val="00CC7C21"/>
    <w:rsid w:val="00CD1E43"/>
    <w:rsid w:val="00CD6AEB"/>
    <w:rsid w:val="00CE07AC"/>
    <w:rsid w:val="00CE2902"/>
    <w:rsid w:val="00CE460D"/>
    <w:rsid w:val="00CF1C12"/>
    <w:rsid w:val="00CF263B"/>
    <w:rsid w:val="00CF3338"/>
    <w:rsid w:val="00CF78A9"/>
    <w:rsid w:val="00D00BC8"/>
    <w:rsid w:val="00D0683D"/>
    <w:rsid w:val="00D1404B"/>
    <w:rsid w:val="00D22484"/>
    <w:rsid w:val="00D251C0"/>
    <w:rsid w:val="00D27725"/>
    <w:rsid w:val="00D27BF1"/>
    <w:rsid w:val="00D319C3"/>
    <w:rsid w:val="00D32557"/>
    <w:rsid w:val="00D3387E"/>
    <w:rsid w:val="00D36FB5"/>
    <w:rsid w:val="00D557CC"/>
    <w:rsid w:val="00D55C7E"/>
    <w:rsid w:val="00D607A9"/>
    <w:rsid w:val="00D60963"/>
    <w:rsid w:val="00D63C92"/>
    <w:rsid w:val="00D6790B"/>
    <w:rsid w:val="00D70D54"/>
    <w:rsid w:val="00D7167B"/>
    <w:rsid w:val="00D736E5"/>
    <w:rsid w:val="00D73F53"/>
    <w:rsid w:val="00D74934"/>
    <w:rsid w:val="00D74F25"/>
    <w:rsid w:val="00D7726F"/>
    <w:rsid w:val="00D84471"/>
    <w:rsid w:val="00D94CDC"/>
    <w:rsid w:val="00DA3355"/>
    <w:rsid w:val="00DA45F6"/>
    <w:rsid w:val="00DB0B5B"/>
    <w:rsid w:val="00DB5729"/>
    <w:rsid w:val="00DC2905"/>
    <w:rsid w:val="00DC4131"/>
    <w:rsid w:val="00DC5809"/>
    <w:rsid w:val="00DD4E44"/>
    <w:rsid w:val="00DD6ABB"/>
    <w:rsid w:val="00DD6E6F"/>
    <w:rsid w:val="00DE62CF"/>
    <w:rsid w:val="00DF404E"/>
    <w:rsid w:val="00E009E4"/>
    <w:rsid w:val="00E042FA"/>
    <w:rsid w:val="00E06BE6"/>
    <w:rsid w:val="00E1181D"/>
    <w:rsid w:val="00E147FB"/>
    <w:rsid w:val="00E1690B"/>
    <w:rsid w:val="00E2255F"/>
    <w:rsid w:val="00E23314"/>
    <w:rsid w:val="00E245D3"/>
    <w:rsid w:val="00E32D87"/>
    <w:rsid w:val="00E362BB"/>
    <w:rsid w:val="00E47BAA"/>
    <w:rsid w:val="00E47BE1"/>
    <w:rsid w:val="00E705AE"/>
    <w:rsid w:val="00E74609"/>
    <w:rsid w:val="00E83F1D"/>
    <w:rsid w:val="00E90E25"/>
    <w:rsid w:val="00E91382"/>
    <w:rsid w:val="00E96D22"/>
    <w:rsid w:val="00EA3A22"/>
    <w:rsid w:val="00EA4AC2"/>
    <w:rsid w:val="00EA4E2F"/>
    <w:rsid w:val="00EB58CF"/>
    <w:rsid w:val="00EC1E65"/>
    <w:rsid w:val="00ED4342"/>
    <w:rsid w:val="00EE62EB"/>
    <w:rsid w:val="00EE696D"/>
    <w:rsid w:val="00EE71DD"/>
    <w:rsid w:val="00EF1E58"/>
    <w:rsid w:val="00EF6CFC"/>
    <w:rsid w:val="00F010C5"/>
    <w:rsid w:val="00F07519"/>
    <w:rsid w:val="00F12EAA"/>
    <w:rsid w:val="00F178FD"/>
    <w:rsid w:val="00F30226"/>
    <w:rsid w:val="00F3263C"/>
    <w:rsid w:val="00F35DEE"/>
    <w:rsid w:val="00F638DA"/>
    <w:rsid w:val="00F6433B"/>
    <w:rsid w:val="00F7053E"/>
    <w:rsid w:val="00F70E32"/>
    <w:rsid w:val="00F76379"/>
    <w:rsid w:val="00F82A34"/>
    <w:rsid w:val="00F90557"/>
    <w:rsid w:val="00F9296A"/>
    <w:rsid w:val="00F9340A"/>
    <w:rsid w:val="00F97C63"/>
    <w:rsid w:val="00FA7C55"/>
    <w:rsid w:val="00FB4035"/>
    <w:rsid w:val="00FB6E5A"/>
    <w:rsid w:val="00FC0A12"/>
    <w:rsid w:val="00FC1471"/>
    <w:rsid w:val="00FC2A8E"/>
    <w:rsid w:val="00FC6AB4"/>
    <w:rsid w:val="00FC6C91"/>
    <w:rsid w:val="00FD03F7"/>
    <w:rsid w:val="00FD1475"/>
    <w:rsid w:val="00FD7AC8"/>
    <w:rsid w:val="00FD7D07"/>
    <w:rsid w:val="00FE2713"/>
    <w:rsid w:val="00FE6458"/>
    <w:rsid w:val="00FF57EA"/>
    <w:rsid w:val="00FF5EA0"/>
    <w:rsid w:val="00FF7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62329"/>
  <w15:chartTrackingRefBased/>
  <w15:docId w15:val="{372CFA3D-5CB8-4305-9FC6-10F271A74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19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190C"/>
    <w:rPr>
      <w:sz w:val="20"/>
      <w:szCs w:val="20"/>
    </w:rPr>
  </w:style>
  <w:style w:type="character" w:styleId="FootnoteReference">
    <w:name w:val="footnote reference"/>
    <w:basedOn w:val="DefaultParagraphFont"/>
    <w:uiPriority w:val="99"/>
    <w:semiHidden/>
    <w:unhideWhenUsed/>
    <w:rsid w:val="00C7190C"/>
    <w:rPr>
      <w:vertAlign w:val="superscript"/>
    </w:rPr>
  </w:style>
  <w:style w:type="paragraph" w:customStyle="1" w:styleId="Default">
    <w:name w:val="Default"/>
    <w:rsid w:val="005F6BE3"/>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7C3D7C"/>
    <w:rPr>
      <w:sz w:val="16"/>
      <w:szCs w:val="16"/>
    </w:rPr>
  </w:style>
  <w:style w:type="paragraph" w:styleId="CommentText">
    <w:name w:val="annotation text"/>
    <w:basedOn w:val="Normal"/>
    <w:link w:val="CommentTextChar"/>
    <w:uiPriority w:val="99"/>
    <w:semiHidden/>
    <w:unhideWhenUsed/>
    <w:rsid w:val="007C3D7C"/>
    <w:pPr>
      <w:spacing w:line="240" w:lineRule="auto"/>
    </w:pPr>
    <w:rPr>
      <w:sz w:val="20"/>
      <w:szCs w:val="20"/>
    </w:rPr>
  </w:style>
  <w:style w:type="character" w:customStyle="1" w:styleId="CommentTextChar">
    <w:name w:val="Comment Text Char"/>
    <w:basedOn w:val="DefaultParagraphFont"/>
    <w:link w:val="CommentText"/>
    <w:uiPriority w:val="99"/>
    <w:semiHidden/>
    <w:rsid w:val="007C3D7C"/>
    <w:rPr>
      <w:sz w:val="20"/>
      <w:szCs w:val="20"/>
    </w:rPr>
  </w:style>
  <w:style w:type="paragraph" w:styleId="CommentSubject">
    <w:name w:val="annotation subject"/>
    <w:basedOn w:val="CommentText"/>
    <w:next w:val="CommentText"/>
    <w:link w:val="CommentSubjectChar"/>
    <w:uiPriority w:val="99"/>
    <w:semiHidden/>
    <w:unhideWhenUsed/>
    <w:rsid w:val="007C3D7C"/>
    <w:rPr>
      <w:b/>
      <w:bCs/>
    </w:rPr>
  </w:style>
  <w:style w:type="character" w:customStyle="1" w:styleId="CommentSubjectChar">
    <w:name w:val="Comment Subject Char"/>
    <w:basedOn w:val="CommentTextChar"/>
    <w:link w:val="CommentSubject"/>
    <w:uiPriority w:val="99"/>
    <w:semiHidden/>
    <w:rsid w:val="007C3D7C"/>
    <w:rPr>
      <w:b/>
      <w:bCs/>
      <w:sz w:val="20"/>
      <w:szCs w:val="20"/>
    </w:rPr>
  </w:style>
  <w:style w:type="paragraph" w:styleId="BalloonText">
    <w:name w:val="Balloon Text"/>
    <w:basedOn w:val="Normal"/>
    <w:link w:val="BalloonTextChar"/>
    <w:uiPriority w:val="99"/>
    <w:semiHidden/>
    <w:unhideWhenUsed/>
    <w:rsid w:val="007C3D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3D7C"/>
    <w:rPr>
      <w:rFonts w:ascii="Segoe UI" w:hAnsi="Segoe UI" w:cs="Segoe UI"/>
      <w:sz w:val="18"/>
      <w:szCs w:val="18"/>
    </w:rPr>
  </w:style>
  <w:style w:type="character" w:styleId="Hyperlink">
    <w:name w:val="Hyperlink"/>
    <w:basedOn w:val="DefaultParagraphFont"/>
    <w:uiPriority w:val="99"/>
    <w:unhideWhenUsed/>
    <w:rsid w:val="009C46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53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referenceworks-brillonline-com.ezproxy.uwtsd.ac.uk/entries/supplementum-epigraphicum-graecum/*-a59_198" TargetMode="External"/><Relationship Id="rId26" Type="http://schemas.openxmlformats.org/officeDocument/2006/relationships/hyperlink" Target="https://research.britishmuseum.org/research/online_research_catalogues/ng/naukratis_greeks_in_egypt/introduction/greek&#8211;egyptian_relations.aspx" TargetMode="External"/><Relationship Id="rId3" Type="http://schemas.openxmlformats.org/officeDocument/2006/relationships/customXml" Target="../customXml/item3.xml"/><Relationship Id="rId21" Type="http://schemas.openxmlformats.org/officeDocument/2006/relationships/hyperlink" Target="https://books.google.co.uk/books?id=0L83uBijeZwC&amp;pg=PA63&amp;lpg=PA63&amp;dq=hathor+papyrus+marshes&amp;source=bl&amp;ots=psRL5T0gXN&amp;sig=ACfU3U040rlKW2q56GQxqclR8Wv4aj1wHQ&amp;hl=en&amp;sa=X&amp;ved=2ahUKEwizyfrK9PbnAhXSesAKHYKiCgoQ6AEwFXoECAkQAQ"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historymuseum.ca/cmc/exhibitions/civil/egypt/egcrgo1e.html" TargetMode="External"/><Relationship Id="rId25" Type="http://schemas.openxmlformats.org/officeDocument/2006/relationships/hyperlink" Target="https://www.academia.edu/32637447/The_Statues_of_Isis_in_the_Sanctuary_of_the_Egyptian_Gods_in_Marathon_Meaning_and_Context_in_a_Global_Roman_World" TargetMode="External"/><Relationship Id="rId2" Type="http://schemas.openxmlformats.org/officeDocument/2006/relationships/customXml" Target="../customXml/item2.xml"/><Relationship Id="rId16" Type="http://schemas.openxmlformats.org/officeDocument/2006/relationships/hyperlink" Target="https://www.benaki.org/index.php?option=com_publications&amp;view=study&amp;id=317&amp;Itemid=584&amp;lang=en" TargetMode="External"/><Relationship Id="rId20" Type="http://schemas.openxmlformats.org/officeDocument/2006/relationships/hyperlink" Target="https://books.google.co.uk/books?id=pEtlS3jtY7cC&amp;pg=PP7&amp;dq=sanctuary+of+egyptian+gods+goette&amp;source=gbs_toc_r&amp;cad=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jstor.org/stable/10.3764/aja.122.4.0611" TargetMode="External"/><Relationship Id="rId5" Type="http://schemas.openxmlformats.org/officeDocument/2006/relationships/styles" Target="styles.xml"/><Relationship Id="rId15" Type="http://schemas.openxmlformats.org/officeDocument/2006/relationships/hyperlink" Target="https://www.jstor.org/stable/4150035" TargetMode="External"/><Relationship Id="rId23" Type="http://schemas.openxmlformats.org/officeDocument/2006/relationships/hyperlink" Target="https://pdfs.semanticscholar.org/aba3/6c0ec914f51f6d8849de7cb0f4a0a0e6f62b.pdf"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academia.edu/4939757/Pelly_Fotiadi_Ritual_Terracotta_Lamps_with_Representations_of_Sarapis_and_Isis_from_the_Sanctuary_of_the_Egyptian_Gods_at_Marathon_The_Variation_of_Isis_with_Three_Ears_of_Wheat_"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go-gale-com.ezproxy.uwtsd.ac.uk/ps/i.do?p=GVRL&amp;u=walamp&amp;id=GALE|CX3424502350&amp;v=2.1&amp;it=r&amp;sid=exlibr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47b4b30291d44e9e9f264687488cac7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f87dfaad1609fa7062fe098e282d9263"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DB8C3-F19B-4A27-8B2C-FBD9F1303053}">
  <ds:schemaRefs>
    <ds:schemaRef ds:uri="http://schemas.openxmlformats.org/package/2006/metadata/core-properties"/>
    <ds:schemaRef ds:uri="ee7a20b1-ddba-4ac9-b1b6-34fd780388d2"/>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aadfcd52-e379-49eb-a412-e28a16640aff"/>
    <ds:schemaRef ds:uri="http://www.w3.org/XML/1998/namespace"/>
    <ds:schemaRef ds:uri="http://purl.org/dc/dcmitype/"/>
  </ds:schemaRefs>
</ds:datastoreItem>
</file>

<file path=customXml/itemProps2.xml><?xml version="1.0" encoding="utf-8"?>
<ds:datastoreItem xmlns:ds="http://schemas.openxmlformats.org/officeDocument/2006/customXml" ds:itemID="{68A715F2-C79E-47D4-A7A0-51B954301391}">
  <ds:schemaRefs>
    <ds:schemaRef ds:uri="http://schemas.microsoft.com/sharepoint/v3/contenttype/forms"/>
  </ds:schemaRefs>
</ds:datastoreItem>
</file>

<file path=customXml/itemProps3.xml><?xml version="1.0" encoding="utf-8"?>
<ds:datastoreItem xmlns:ds="http://schemas.openxmlformats.org/officeDocument/2006/customXml" ds:itemID="{794E7A3F-FC52-486D-8E3E-4154C75C66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097C74-FC4F-43CE-886C-6874E2234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2837</Words>
  <Characters>16175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Pak (1701689)</dc:creator>
  <cp:keywords/>
  <dc:description/>
  <cp:lastModifiedBy>Melisa Pak (1701689)</cp:lastModifiedBy>
  <cp:revision>2</cp:revision>
  <dcterms:created xsi:type="dcterms:W3CDTF">2020-04-28T09:26:00Z</dcterms:created>
  <dcterms:modified xsi:type="dcterms:W3CDTF">2020-04-28T09:26:00Z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