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1B102" w14:textId="77777777" w:rsidR="0063082B" w:rsidRDefault="0063082B" w:rsidP="0063082B">
      <w:pPr>
        <w:spacing w:after="360"/>
        <w:jc w:val="center"/>
      </w:pPr>
      <w:r>
        <w:rPr>
          <w:noProof/>
        </w:rPr>
        <w:drawing>
          <wp:inline distT="0" distB="0" distL="0" distR="0" wp14:anchorId="5E4D7BC4" wp14:editId="5D91EFD5">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747C7AA" w14:textId="77777777" w:rsidR="007F3F44" w:rsidRPr="00E834E7" w:rsidRDefault="007F3F44" w:rsidP="007F3F44">
      <w:pPr>
        <w:jc w:val="center"/>
        <w:rPr>
          <w:rFonts w:cs="Arial"/>
          <w:sz w:val="38"/>
          <w:szCs w:val="38"/>
        </w:rPr>
      </w:pPr>
      <w:bookmarkStart w:id="0" w:name="_Hlk237110438"/>
      <w:bookmarkEnd w:id="0"/>
      <w:r w:rsidRPr="00E834E7">
        <w:rPr>
          <w:rFonts w:cs="Arial"/>
          <w:sz w:val="38"/>
          <w:szCs w:val="38"/>
        </w:rPr>
        <w:t>Master of Business Administration</w:t>
      </w:r>
    </w:p>
    <w:p w14:paraId="77C398C0" w14:textId="77777777" w:rsidR="007F3F44" w:rsidRPr="00E834E7" w:rsidRDefault="007F3F44" w:rsidP="007F3F44">
      <w:pPr>
        <w:jc w:val="center"/>
        <w:rPr>
          <w:rFonts w:cs="Arial"/>
          <w:sz w:val="32"/>
          <w:szCs w:val="32"/>
        </w:rPr>
      </w:pPr>
      <w:r w:rsidRPr="00E834E7">
        <w:rPr>
          <w:rFonts w:cs="Arial"/>
          <w:sz w:val="32"/>
          <w:szCs w:val="32"/>
        </w:rPr>
        <w:t>International Business pathway</w:t>
      </w:r>
    </w:p>
    <w:p w14:paraId="25C7EF58" w14:textId="77777777" w:rsidR="007F3F44" w:rsidRPr="00E834E7" w:rsidRDefault="007F3F44" w:rsidP="007F3F44">
      <w:pPr>
        <w:jc w:val="center"/>
        <w:rPr>
          <w:rFonts w:cs="Arial"/>
          <w:sz w:val="28"/>
        </w:rPr>
      </w:pPr>
      <w:r w:rsidRPr="00E834E7">
        <w:rPr>
          <w:rFonts w:cs="Arial"/>
          <w:noProof/>
          <w:sz w:val="32"/>
          <w:szCs w:val="32"/>
        </w:rPr>
        <w:drawing>
          <wp:inline distT="0" distB="0" distL="0" distR="0" wp14:anchorId="7A6AEA18" wp14:editId="72A38A0F">
            <wp:extent cx="2257425" cy="1339702"/>
            <wp:effectExtent l="0" t="0" r="0" b="0"/>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65460" cy="1344471"/>
                    </a:xfrm>
                    <a:prstGeom prst="rect">
                      <a:avLst/>
                    </a:prstGeom>
                    <a:noFill/>
                    <a:ln>
                      <a:noFill/>
                    </a:ln>
                  </pic:spPr>
                </pic:pic>
              </a:graphicData>
            </a:graphic>
          </wp:inline>
        </w:drawing>
      </w:r>
    </w:p>
    <w:p w14:paraId="0235C489" w14:textId="77777777" w:rsidR="007F3F44" w:rsidRPr="00E834E7" w:rsidRDefault="007F3F44" w:rsidP="007F3F44">
      <w:pPr>
        <w:jc w:val="center"/>
        <w:rPr>
          <w:rFonts w:cs="Arial"/>
          <w:b/>
          <w:bCs/>
          <w:color w:val="EE0000"/>
          <w:sz w:val="48"/>
          <w:szCs w:val="48"/>
        </w:rPr>
      </w:pPr>
      <w:r w:rsidRPr="00E834E7">
        <w:rPr>
          <w:rFonts w:cs="Arial"/>
          <w:b/>
          <w:bCs/>
          <w:color w:val="EE0000"/>
          <w:sz w:val="48"/>
          <w:szCs w:val="48"/>
        </w:rPr>
        <w:t>Contemporary employability skills</w:t>
      </w:r>
    </w:p>
    <w:p w14:paraId="63C16CC5" w14:textId="77777777" w:rsidR="007F3F44" w:rsidRPr="00E834E7" w:rsidRDefault="007F3F44" w:rsidP="007F3F44">
      <w:pPr>
        <w:jc w:val="center"/>
        <w:rPr>
          <w:rFonts w:cs="Arial"/>
          <w:color w:val="EE0000"/>
          <w:sz w:val="28"/>
        </w:rPr>
      </w:pPr>
      <w:r w:rsidRPr="00E834E7">
        <w:rPr>
          <w:rFonts w:cs="Arial"/>
          <w:sz w:val="28"/>
        </w:rPr>
        <w:t xml:space="preserve">Assessment </w:t>
      </w:r>
      <w:r w:rsidRPr="00E834E7">
        <w:rPr>
          <w:rFonts w:cs="Arial"/>
          <w:color w:val="EE0000"/>
          <w:sz w:val="28"/>
        </w:rPr>
        <w:t>1: Individual report</w:t>
      </w:r>
      <w:r w:rsidRPr="00E834E7">
        <w:rPr>
          <w:rFonts w:cs="Arial"/>
          <w:sz w:val="28"/>
        </w:rPr>
        <w:t xml:space="preserve">. Weight: </w:t>
      </w:r>
      <w:r w:rsidRPr="00E834E7">
        <w:rPr>
          <w:rFonts w:cs="Arial"/>
          <w:color w:val="EE0000"/>
          <w:sz w:val="28"/>
        </w:rPr>
        <w:t>100%</w:t>
      </w:r>
    </w:p>
    <w:p w14:paraId="0E76B9D5" w14:textId="77777777" w:rsidR="007F3F44" w:rsidRPr="00E834E7" w:rsidRDefault="007F3F44" w:rsidP="007F3F44">
      <w:pPr>
        <w:jc w:val="center"/>
        <w:rPr>
          <w:rFonts w:cs="Arial"/>
          <w:b/>
          <w:bCs/>
          <w:sz w:val="28"/>
          <w:szCs w:val="24"/>
        </w:rPr>
      </w:pPr>
      <w:r w:rsidRPr="00E834E7">
        <w:rPr>
          <w:rFonts w:cs="Arial"/>
          <w:b/>
          <w:bCs/>
          <w:sz w:val="28"/>
          <w:szCs w:val="24"/>
        </w:rPr>
        <w:t>Module Code: LCMB7026</w:t>
      </w:r>
    </w:p>
    <w:p w14:paraId="7BC3D8F2" w14:textId="77777777" w:rsidR="007F3F44" w:rsidRPr="00E834E7" w:rsidRDefault="007F3F44" w:rsidP="007F3F44">
      <w:pPr>
        <w:jc w:val="center"/>
        <w:rPr>
          <w:rFonts w:cs="Arial"/>
          <w:b/>
          <w:bCs/>
          <w:sz w:val="28"/>
          <w:szCs w:val="24"/>
        </w:rPr>
      </w:pPr>
      <w:r w:rsidRPr="00E834E7">
        <w:rPr>
          <w:rFonts w:cs="Arial"/>
          <w:b/>
          <w:bCs/>
          <w:sz w:val="28"/>
          <w:szCs w:val="24"/>
        </w:rPr>
        <w:t>Module Title: International Marketing: Principles and Practices</w:t>
      </w:r>
    </w:p>
    <w:p w14:paraId="2366C170" w14:textId="77777777" w:rsidR="007F3F44" w:rsidRPr="00E834E7" w:rsidRDefault="007F3F44" w:rsidP="007F3F44">
      <w:pPr>
        <w:jc w:val="center"/>
        <w:rPr>
          <w:rFonts w:eastAsia="Times New Roman" w:cs="Arial"/>
          <w:szCs w:val="24"/>
        </w:rPr>
      </w:pPr>
      <w:r w:rsidRPr="00E834E7">
        <w:rPr>
          <w:rFonts w:cs="Arial"/>
          <w:b/>
          <w:bCs/>
          <w:sz w:val="28"/>
        </w:rPr>
        <w:t>Lecturer name</w:t>
      </w:r>
      <w:r w:rsidRPr="00E834E7">
        <w:rPr>
          <w:rFonts w:cs="Arial"/>
          <w:sz w:val="28"/>
        </w:rPr>
        <w:t>: Dr. Jamiu Odugbesan</w:t>
      </w:r>
    </w:p>
    <w:p w14:paraId="3817B38A" w14:textId="77777777" w:rsidR="007F3F44" w:rsidRPr="00E834E7" w:rsidRDefault="007F3F44" w:rsidP="007F3F44">
      <w:pPr>
        <w:jc w:val="center"/>
        <w:rPr>
          <w:rFonts w:cs="Arial"/>
          <w:b/>
          <w:bCs/>
          <w:sz w:val="28"/>
          <w:szCs w:val="24"/>
        </w:rPr>
      </w:pPr>
    </w:p>
    <w:p w14:paraId="4BACE27B" w14:textId="77777777" w:rsidR="007F3F44" w:rsidRPr="00C565BE" w:rsidRDefault="007F3F44" w:rsidP="007F3F44">
      <w:pPr>
        <w:jc w:val="center"/>
        <w:rPr>
          <w:b/>
          <w:bCs/>
          <w:sz w:val="32"/>
          <w:szCs w:val="30"/>
        </w:rPr>
      </w:pPr>
      <w:r w:rsidRPr="00C565BE">
        <w:rPr>
          <w:b/>
          <w:bCs/>
          <w:sz w:val="32"/>
          <w:szCs w:val="30"/>
        </w:rPr>
        <w:t>Student name</w:t>
      </w:r>
      <w:r>
        <w:rPr>
          <w:b/>
          <w:bCs/>
          <w:sz w:val="32"/>
          <w:szCs w:val="30"/>
        </w:rPr>
        <w:t xml:space="preserve">: </w:t>
      </w:r>
      <w:r w:rsidRPr="007F3F44">
        <w:rPr>
          <w:sz w:val="32"/>
          <w:szCs w:val="30"/>
        </w:rPr>
        <w:t>Abdullah Al Mamun PAVEL</w:t>
      </w:r>
    </w:p>
    <w:p w14:paraId="427963B9" w14:textId="77777777" w:rsidR="007F3F44" w:rsidRPr="00C565BE" w:rsidRDefault="007F3F44" w:rsidP="007F3F44">
      <w:pPr>
        <w:jc w:val="center"/>
        <w:rPr>
          <w:b/>
          <w:bCs/>
          <w:sz w:val="32"/>
          <w:szCs w:val="30"/>
        </w:rPr>
      </w:pPr>
      <w:r w:rsidRPr="00C565BE">
        <w:rPr>
          <w:b/>
          <w:bCs/>
          <w:sz w:val="32"/>
          <w:szCs w:val="30"/>
        </w:rPr>
        <w:t>Student ID</w:t>
      </w:r>
      <w:r>
        <w:rPr>
          <w:b/>
          <w:bCs/>
          <w:sz w:val="32"/>
          <w:szCs w:val="30"/>
        </w:rPr>
        <w:t xml:space="preserve">: </w:t>
      </w:r>
      <w:r w:rsidRPr="007F3F44">
        <w:rPr>
          <w:sz w:val="32"/>
          <w:szCs w:val="30"/>
        </w:rPr>
        <w:t>2528449</w:t>
      </w:r>
    </w:p>
    <w:p w14:paraId="1CD850CC" w14:textId="77777777" w:rsidR="007F3F44" w:rsidRPr="00E834E7" w:rsidRDefault="007F3F44" w:rsidP="007F3F44">
      <w:pPr>
        <w:rPr>
          <w:rFonts w:cs="Arial"/>
          <w:sz w:val="28"/>
        </w:rPr>
      </w:pPr>
    </w:p>
    <w:p w14:paraId="31A0703F" w14:textId="216D1DA2" w:rsidR="007F3F44" w:rsidRPr="007F3F44" w:rsidRDefault="007F3F44" w:rsidP="007F3F44">
      <w:pPr>
        <w:jc w:val="center"/>
        <w:rPr>
          <w:rFonts w:cs="Arial"/>
          <w:sz w:val="28"/>
        </w:rPr>
      </w:pPr>
      <w:r w:rsidRPr="00E834E7">
        <w:rPr>
          <w:rFonts w:cs="Arial"/>
          <w:b/>
          <w:bCs/>
          <w:sz w:val="28"/>
        </w:rPr>
        <w:t>Word count</w:t>
      </w:r>
      <w:r w:rsidRPr="00E834E7">
        <w:rPr>
          <w:rFonts w:cs="Arial"/>
          <w:sz w:val="28"/>
        </w:rPr>
        <w:t xml:space="preserve">: </w:t>
      </w:r>
      <w:r w:rsidRPr="007F3F44">
        <w:rPr>
          <w:sz w:val="32"/>
          <w:szCs w:val="30"/>
        </w:rPr>
        <w:t>53</w:t>
      </w:r>
      <w:r w:rsidR="00DD0A60">
        <w:rPr>
          <w:sz w:val="32"/>
          <w:szCs w:val="30"/>
        </w:rPr>
        <w:t>75</w:t>
      </w:r>
    </w:p>
    <w:p w14:paraId="72FEF524" w14:textId="77777777" w:rsidR="007F3F44" w:rsidRPr="00E834E7" w:rsidRDefault="007F3F44" w:rsidP="007F3F44">
      <w:pPr>
        <w:rPr>
          <w:rFonts w:cs="Arial"/>
          <w:sz w:val="28"/>
        </w:rPr>
      </w:pPr>
    </w:p>
    <w:p w14:paraId="3A0F5CE1" w14:textId="77777777" w:rsidR="007F3F44" w:rsidRPr="00E834E7" w:rsidRDefault="007F3F44" w:rsidP="007F3F44">
      <w:pPr>
        <w:jc w:val="center"/>
        <w:rPr>
          <w:rFonts w:cs="Arial"/>
          <w:sz w:val="28"/>
        </w:rPr>
      </w:pPr>
      <w:r w:rsidRPr="00E834E7">
        <w:rPr>
          <w:rFonts w:cs="Arial"/>
          <w:b/>
          <w:bCs/>
          <w:sz w:val="28"/>
        </w:rPr>
        <w:t>Submission date</w:t>
      </w:r>
      <w:r w:rsidRPr="00E834E7">
        <w:rPr>
          <w:rFonts w:cs="Arial"/>
          <w:sz w:val="28"/>
        </w:rPr>
        <w:t>: 13-08-2026</w:t>
      </w:r>
    </w:p>
    <w:p w14:paraId="514D0C02" w14:textId="77777777" w:rsidR="0063082B" w:rsidRPr="00C565BE" w:rsidRDefault="0063082B" w:rsidP="0063082B">
      <w:pPr>
        <w:jc w:val="center"/>
        <w:rPr>
          <w:b/>
          <w:bCs/>
          <w:sz w:val="32"/>
          <w:szCs w:val="30"/>
        </w:rPr>
      </w:pPr>
    </w:p>
    <w:sdt>
      <w:sdtPr>
        <w:rPr>
          <w:rFonts w:ascii="Arial" w:eastAsiaTheme="minorHAnsi" w:hAnsi="Arial" w:cstheme="minorBidi"/>
          <w:color w:val="auto"/>
          <w:kern w:val="2"/>
          <w:sz w:val="24"/>
          <w:szCs w:val="28"/>
          <w:lang w:eastAsia="en-US" w:bidi="bn-BD"/>
        </w:rPr>
        <w:id w:val="-328447635"/>
        <w:docPartObj>
          <w:docPartGallery w:val="Table of Contents"/>
          <w:docPartUnique/>
        </w:docPartObj>
      </w:sdtPr>
      <w:sdtEndPr>
        <w:rPr>
          <w:b/>
          <w:bCs/>
          <w:noProof/>
        </w:rPr>
      </w:sdtEndPr>
      <w:sdtContent>
        <w:p w14:paraId="25F93857" w14:textId="0CF03539" w:rsidR="00D62B64" w:rsidRPr="00D62B64" w:rsidRDefault="00D62B64" w:rsidP="00D62B64">
          <w:pPr>
            <w:pStyle w:val="TOCHeading"/>
            <w:ind w:left="0"/>
            <w:rPr>
              <w:b/>
              <w:bCs/>
            </w:rPr>
          </w:pPr>
          <w:r w:rsidRPr="00D62B64">
            <w:rPr>
              <w:b/>
              <w:bCs/>
            </w:rPr>
            <w:t>Table of Contents</w:t>
          </w:r>
        </w:p>
        <w:p w14:paraId="2F971A58" w14:textId="5E5935C6" w:rsidR="00D62B64" w:rsidRDefault="00D62B64">
          <w:pPr>
            <w:pStyle w:val="TOC1"/>
            <w:tabs>
              <w:tab w:val="right" w:leader="dot" w:pos="9350"/>
            </w:tabs>
            <w:rPr>
              <w:rFonts w:asciiTheme="minorHAnsi" w:eastAsiaTheme="minorEastAsia" w:hAnsiTheme="minorHAnsi"/>
              <w:noProof/>
              <w:kern w:val="0"/>
              <w:sz w:val="22"/>
              <w:szCs w:val="22"/>
              <w:lang w:val="en-US" w:bidi="ar-SA"/>
              <w14:ligatures w14:val="none"/>
            </w:rPr>
          </w:pPr>
          <w:r>
            <w:fldChar w:fldCharType="begin"/>
          </w:r>
          <w:r>
            <w:instrText xml:space="preserve"> TOC \o "1-3" \h \z \u </w:instrText>
          </w:r>
          <w:r>
            <w:fldChar w:fldCharType="separate"/>
          </w:r>
          <w:hyperlink w:anchor="_Toc237479770" w:history="1">
            <w:r w:rsidRPr="00753DBF">
              <w:rPr>
                <w:rStyle w:val="Hyperlink"/>
                <w:noProof/>
              </w:rPr>
              <w:t>1.0 Section A</w:t>
            </w:r>
            <w:r>
              <w:rPr>
                <w:noProof/>
                <w:webHidden/>
              </w:rPr>
              <w:tab/>
            </w:r>
            <w:r>
              <w:rPr>
                <w:noProof/>
                <w:webHidden/>
              </w:rPr>
              <w:fldChar w:fldCharType="begin"/>
            </w:r>
            <w:r>
              <w:rPr>
                <w:noProof/>
                <w:webHidden/>
              </w:rPr>
              <w:instrText xml:space="preserve"> PAGEREF _Toc237479770 \h </w:instrText>
            </w:r>
            <w:r>
              <w:rPr>
                <w:noProof/>
                <w:webHidden/>
              </w:rPr>
            </w:r>
            <w:r>
              <w:rPr>
                <w:noProof/>
                <w:webHidden/>
              </w:rPr>
              <w:fldChar w:fldCharType="separate"/>
            </w:r>
            <w:r>
              <w:rPr>
                <w:noProof/>
                <w:webHidden/>
              </w:rPr>
              <w:t>6</w:t>
            </w:r>
            <w:r>
              <w:rPr>
                <w:noProof/>
                <w:webHidden/>
              </w:rPr>
              <w:fldChar w:fldCharType="end"/>
            </w:r>
          </w:hyperlink>
        </w:p>
        <w:p w14:paraId="52DA761D" w14:textId="0C3FC503"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771" w:history="1">
            <w:r w:rsidR="00D62B64" w:rsidRPr="00753DBF">
              <w:rPr>
                <w:rStyle w:val="Hyperlink"/>
                <w:noProof/>
              </w:rPr>
              <w:t>1.1 Introduction</w:t>
            </w:r>
            <w:r w:rsidR="00D62B64">
              <w:rPr>
                <w:noProof/>
                <w:webHidden/>
              </w:rPr>
              <w:tab/>
            </w:r>
            <w:r w:rsidR="00D62B64">
              <w:rPr>
                <w:noProof/>
                <w:webHidden/>
              </w:rPr>
              <w:fldChar w:fldCharType="begin"/>
            </w:r>
            <w:r w:rsidR="00D62B64">
              <w:rPr>
                <w:noProof/>
                <w:webHidden/>
              </w:rPr>
              <w:instrText xml:space="preserve"> PAGEREF _Toc237479771 \h </w:instrText>
            </w:r>
            <w:r w:rsidR="00D62B64">
              <w:rPr>
                <w:noProof/>
                <w:webHidden/>
              </w:rPr>
            </w:r>
            <w:r w:rsidR="00D62B64">
              <w:rPr>
                <w:noProof/>
                <w:webHidden/>
              </w:rPr>
              <w:fldChar w:fldCharType="separate"/>
            </w:r>
            <w:r w:rsidR="00D62B64">
              <w:rPr>
                <w:noProof/>
                <w:webHidden/>
              </w:rPr>
              <w:t>6</w:t>
            </w:r>
            <w:r w:rsidR="00D62B64">
              <w:rPr>
                <w:noProof/>
                <w:webHidden/>
              </w:rPr>
              <w:fldChar w:fldCharType="end"/>
            </w:r>
          </w:hyperlink>
        </w:p>
        <w:p w14:paraId="21F20FB4" w14:textId="50923CB9"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772" w:history="1">
            <w:r w:rsidR="00D62B64" w:rsidRPr="00753DBF">
              <w:rPr>
                <w:rStyle w:val="Hyperlink"/>
                <w:noProof/>
              </w:rPr>
              <w:t>1.2 Brand and country overview</w:t>
            </w:r>
            <w:r w:rsidR="00D62B64">
              <w:rPr>
                <w:noProof/>
                <w:webHidden/>
              </w:rPr>
              <w:tab/>
            </w:r>
            <w:r w:rsidR="00D62B64">
              <w:rPr>
                <w:noProof/>
                <w:webHidden/>
              </w:rPr>
              <w:fldChar w:fldCharType="begin"/>
            </w:r>
            <w:r w:rsidR="00D62B64">
              <w:rPr>
                <w:noProof/>
                <w:webHidden/>
              </w:rPr>
              <w:instrText xml:space="preserve"> PAGEREF _Toc237479772 \h </w:instrText>
            </w:r>
            <w:r w:rsidR="00D62B64">
              <w:rPr>
                <w:noProof/>
                <w:webHidden/>
              </w:rPr>
            </w:r>
            <w:r w:rsidR="00D62B64">
              <w:rPr>
                <w:noProof/>
                <w:webHidden/>
              </w:rPr>
              <w:fldChar w:fldCharType="separate"/>
            </w:r>
            <w:r w:rsidR="00D62B64">
              <w:rPr>
                <w:noProof/>
                <w:webHidden/>
              </w:rPr>
              <w:t>7</w:t>
            </w:r>
            <w:r w:rsidR="00D62B64">
              <w:rPr>
                <w:noProof/>
                <w:webHidden/>
              </w:rPr>
              <w:fldChar w:fldCharType="end"/>
            </w:r>
          </w:hyperlink>
        </w:p>
        <w:p w14:paraId="5E5125B6" w14:textId="19C9824F"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773" w:history="1">
            <w:r w:rsidR="00D62B64" w:rsidRPr="00753DBF">
              <w:rPr>
                <w:rStyle w:val="Hyperlink"/>
                <w:noProof/>
              </w:rPr>
              <w:t>2.</w:t>
            </w:r>
            <w:r w:rsidR="00D62B64">
              <w:rPr>
                <w:rStyle w:val="Hyperlink"/>
                <w:noProof/>
              </w:rPr>
              <w:t>0</w:t>
            </w:r>
            <w:r w:rsidR="00D62B64" w:rsidRPr="00753DBF">
              <w:rPr>
                <w:rStyle w:val="Hyperlink"/>
                <w:noProof/>
              </w:rPr>
              <w:t>- Comparative macro and socio-cultural analysis</w:t>
            </w:r>
            <w:r w:rsidR="00D62B64">
              <w:rPr>
                <w:noProof/>
                <w:webHidden/>
              </w:rPr>
              <w:tab/>
            </w:r>
            <w:r w:rsidR="00D62B64">
              <w:rPr>
                <w:noProof/>
                <w:webHidden/>
              </w:rPr>
              <w:fldChar w:fldCharType="begin"/>
            </w:r>
            <w:r w:rsidR="00D62B64">
              <w:rPr>
                <w:noProof/>
                <w:webHidden/>
              </w:rPr>
              <w:instrText xml:space="preserve"> PAGEREF _Toc237479773 \h </w:instrText>
            </w:r>
            <w:r w:rsidR="00D62B64">
              <w:rPr>
                <w:noProof/>
                <w:webHidden/>
              </w:rPr>
            </w:r>
            <w:r w:rsidR="00D62B64">
              <w:rPr>
                <w:noProof/>
                <w:webHidden/>
              </w:rPr>
              <w:fldChar w:fldCharType="separate"/>
            </w:r>
            <w:r w:rsidR="00D62B64">
              <w:rPr>
                <w:noProof/>
                <w:webHidden/>
              </w:rPr>
              <w:t>8</w:t>
            </w:r>
            <w:r w:rsidR="00D62B64">
              <w:rPr>
                <w:noProof/>
                <w:webHidden/>
              </w:rPr>
              <w:fldChar w:fldCharType="end"/>
            </w:r>
          </w:hyperlink>
        </w:p>
        <w:p w14:paraId="4E92A235" w14:textId="6C8ADAA4"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793" w:history="1">
            <w:r w:rsidR="00D62B64" w:rsidRPr="00753DBF">
              <w:rPr>
                <w:rStyle w:val="Hyperlink"/>
                <w:noProof/>
              </w:rPr>
              <w:t>3.0 Comparative segmentation targeting and positioning</w:t>
            </w:r>
            <w:r w:rsidR="00D62B64">
              <w:rPr>
                <w:noProof/>
                <w:webHidden/>
              </w:rPr>
              <w:tab/>
            </w:r>
            <w:r w:rsidR="00D62B64">
              <w:rPr>
                <w:noProof/>
                <w:webHidden/>
              </w:rPr>
              <w:fldChar w:fldCharType="begin"/>
            </w:r>
            <w:r w:rsidR="00D62B64">
              <w:rPr>
                <w:noProof/>
                <w:webHidden/>
              </w:rPr>
              <w:instrText xml:space="preserve"> PAGEREF _Toc237479793 \h </w:instrText>
            </w:r>
            <w:r w:rsidR="00D62B64">
              <w:rPr>
                <w:noProof/>
                <w:webHidden/>
              </w:rPr>
            </w:r>
            <w:r w:rsidR="00D62B64">
              <w:rPr>
                <w:noProof/>
                <w:webHidden/>
              </w:rPr>
              <w:fldChar w:fldCharType="separate"/>
            </w:r>
            <w:r w:rsidR="00D62B64">
              <w:rPr>
                <w:noProof/>
                <w:webHidden/>
              </w:rPr>
              <w:t>14</w:t>
            </w:r>
            <w:r w:rsidR="00D62B64">
              <w:rPr>
                <w:noProof/>
                <w:webHidden/>
              </w:rPr>
              <w:fldChar w:fldCharType="end"/>
            </w:r>
          </w:hyperlink>
        </w:p>
        <w:p w14:paraId="379020C6" w14:textId="61FAC3D1"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797" w:history="1">
            <w:r w:rsidR="00D62B64" w:rsidRPr="00753DBF">
              <w:rPr>
                <w:rStyle w:val="Hyperlink"/>
                <w:noProof/>
              </w:rPr>
              <w:t>4.0 Comparative international marketing mix</w:t>
            </w:r>
            <w:r w:rsidR="00D62B64">
              <w:rPr>
                <w:noProof/>
                <w:webHidden/>
              </w:rPr>
              <w:tab/>
            </w:r>
            <w:r w:rsidR="00D62B64">
              <w:rPr>
                <w:noProof/>
                <w:webHidden/>
              </w:rPr>
              <w:fldChar w:fldCharType="begin"/>
            </w:r>
            <w:r w:rsidR="00D62B64">
              <w:rPr>
                <w:noProof/>
                <w:webHidden/>
              </w:rPr>
              <w:instrText xml:space="preserve"> PAGEREF _Toc237479797 \h </w:instrText>
            </w:r>
            <w:r w:rsidR="00D62B64">
              <w:rPr>
                <w:noProof/>
                <w:webHidden/>
              </w:rPr>
            </w:r>
            <w:r w:rsidR="00D62B64">
              <w:rPr>
                <w:noProof/>
                <w:webHidden/>
              </w:rPr>
              <w:fldChar w:fldCharType="separate"/>
            </w:r>
            <w:r w:rsidR="00D62B64">
              <w:rPr>
                <w:noProof/>
                <w:webHidden/>
              </w:rPr>
              <w:t>16</w:t>
            </w:r>
            <w:r w:rsidR="00D62B64">
              <w:rPr>
                <w:noProof/>
                <w:webHidden/>
              </w:rPr>
              <w:fldChar w:fldCharType="end"/>
            </w:r>
          </w:hyperlink>
        </w:p>
        <w:p w14:paraId="47EE0907" w14:textId="651E3BE4"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05" w:history="1">
            <w:r w:rsidR="00D62B64" w:rsidRPr="00753DBF">
              <w:rPr>
                <w:rStyle w:val="Hyperlink"/>
                <w:noProof/>
              </w:rPr>
              <w:t>5.0 Market entry strategy in India</w:t>
            </w:r>
            <w:r w:rsidR="00D62B64">
              <w:rPr>
                <w:noProof/>
                <w:webHidden/>
              </w:rPr>
              <w:tab/>
            </w:r>
            <w:r w:rsidR="00D62B64">
              <w:rPr>
                <w:noProof/>
                <w:webHidden/>
              </w:rPr>
              <w:fldChar w:fldCharType="begin"/>
            </w:r>
            <w:r w:rsidR="00D62B64">
              <w:rPr>
                <w:noProof/>
                <w:webHidden/>
              </w:rPr>
              <w:instrText xml:space="preserve"> PAGEREF _Toc237479805 \h </w:instrText>
            </w:r>
            <w:r w:rsidR="00D62B64">
              <w:rPr>
                <w:noProof/>
                <w:webHidden/>
              </w:rPr>
            </w:r>
            <w:r w:rsidR="00D62B64">
              <w:rPr>
                <w:noProof/>
                <w:webHidden/>
              </w:rPr>
              <w:fldChar w:fldCharType="separate"/>
            </w:r>
            <w:r w:rsidR="00D62B64">
              <w:rPr>
                <w:noProof/>
                <w:webHidden/>
              </w:rPr>
              <w:t>23</w:t>
            </w:r>
            <w:r w:rsidR="00D62B64">
              <w:rPr>
                <w:noProof/>
                <w:webHidden/>
              </w:rPr>
              <w:fldChar w:fldCharType="end"/>
            </w:r>
          </w:hyperlink>
        </w:p>
        <w:p w14:paraId="11DD2252" w14:textId="08D79F24"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06" w:history="1">
            <w:r w:rsidR="00D62B64" w:rsidRPr="00753DBF">
              <w:rPr>
                <w:rStyle w:val="Hyperlink"/>
                <w:noProof/>
              </w:rPr>
              <w:t>6.0 Ethical evaluation of Cadbury in India</w:t>
            </w:r>
            <w:r w:rsidR="00D62B64">
              <w:rPr>
                <w:noProof/>
                <w:webHidden/>
              </w:rPr>
              <w:tab/>
            </w:r>
            <w:r w:rsidR="00D62B64">
              <w:rPr>
                <w:noProof/>
                <w:webHidden/>
              </w:rPr>
              <w:fldChar w:fldCharType="begin"/>
            </w:r>
            <w:r w:rsidR="00D62B64">
              <w:rPr>
                <w:noProof/>
                <w:webHidden/>
              </w:rPr>
              <w:instrText xml:space="preserve"> PAGEREF _Toc237479806 \h </w:instrText>
            </w:r>
            <w:r w:rsidR="00D62B64">
              <w:rPr>
                <w:noProof/>
                <w:webHidden/>
              </w:rPr>
            </w:r>
            <w:r w:rsidR="00D62B64">
              <w:rPr>
                <w:noProof/>
                <w:webHidden/>
              </w:rPr>
              <w:fldChar w:fldCharType="separate"/>
            </w:r>
            <w:r w:rsidR="00D62B64">
              <w:rPr>
                <w:noProof/>
                <w:webHidden/>
              </w:rPr>
              <w:t>24</w:t>
            </w:r>
            <w:r w:rsidR="00D62B64">
              <w:rPr>
                <w:noProof/>
                <w:webHidden/>
              </w:rPr>
              <w:fldChar w:fldCharType="end"/>
            </w:r>
          </w:hyperlink>
        </w:p>
        <w:p w14:paraId="6B7A4FEB" w14:textId="145AF1AE"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07" w:history="1">
            <w:r w:rsidR="00D62B64" w:rsidRPr="00753DBF">
              <w:rPr>
                <w:rStyle w:val="Hyperlink"/>
                <w:noProof/>
              </w:rPr>
              <w:t>7.0 Recommendations</w:t>
            </w:r>
            <w:r w:rsidR="00D62B64">
              <w:rPr>
                <w:noProof/>
                <w:webHidden/>
              </w:rPr>
              <w:tab/>
            </w:r>
            <w:r w:rsidR="00D62B64">
              <w:rPr>
                <w:noProof/>
                <w:webHidden/>
              </w:rPr>
              <w:fldChar w:fldCharType="begin"/>
            </w:r>
            <w:r w:rsidR="00D62B64">
              <w:rPr>
                <w:noProof/>
                <w:webHidden/>
              </w:rPr>
              <w:instrText xml:space="preserve"> PAGEREF _Toc237479807 \h </w:instrText>
            </w:r>
            <w:r w:rsidR="00D62B64">
              <w:rPr>
                <w:noProof/>
                <w:webHidden/>
              </w:rPr>
            </w:r>
            <w:r w:rsidR="00D62B64">
              <w:rPr>
                <w:noProof/>
                <w:webHidden/>
              </w:rPr>
              <w:fldChar w:fldCharType="separate"/>
            </w:r>
            <w:r w:rsidR="00D62B64">
              <w:rPr>
                <w:noProof/>
                <w:webHidden/>
              </w:rPr>
              <w:t>25</w:t>
            </w:r>
            <w:r w:rsidR="00D62B64">
              <w:rPr>
                <w:noProof/>
                <w:webHidden/>
              </w:rPr>
              <w:fldChar w:fldCharType="end"/>
            </w:r>
          </w:hyperlink>
        </w:p>
        <w:p w14:paraId="793F770C" w14:textId="0ADA467C"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11" w:history="1">
            <w:r w:rsidR="00D62B64" w:rsidRPr="00753DBF">
              <w:rPr>
                <w:rStyle w:val="Hyperlink"/>
                <w:noProof/>
              </w:rPr>
              <w:t>8.0 Conclusion</w:t>
            </w:r>
            <w:r w:rsidR="00D62B64">
              <w:rPr>
                <w:noProof/>
                <w:webHidden/>
              </w:rPr>
              <w:tab/>
            </w:r>
            <w:r w:rsidR="00D62B64">
              <w:rPr>
                <w:noProof/>
                <w:webHidden/>
              </w:rPr>
              <w:fldChar w:fldCharType="begin"/>
            </w:r>
            <w:r w:rsidR="00D62B64">
              <w:rPr>
                <w:noProof/>
                <w:webHidden/>
              </w:rPr>
              <w:instrText xml:space="preserve"> PAGEREF _Toc237479811 \h </w:instrText>
            </w:r>
            <w:r w:rsidR="00D62B64">
              <w:rPr>
                <w:noProof/>
                <w:webHidden/>
              </w:rPr>
            </w:r>
            <w:r w:rsidR="00D62B64">
              <w:rPr>
                <w:noProof/>
                <w:webHidden/>
              </w:rPr>
              <w:fldChar w:fldCharType="separate"/>
            </w:r>
            <w:r w:rsidR="00D62B64">
              <w:rPr>
                <w:noProof/>
                <w:webHidden/>
              </w:rPr>
              <w:t>26</w:t>
            </w:r>
            <w:r w:rsidR="00D62B64">
              <w:rPr>
                <w:noProof/>
                <w:webHidden/>
              </w:rPr>
              <w:fldChar w:fldCharType="end"/>
            </w:r>
          </w:hyperlink>
        </w:p>
        <w:p w14:paraId="12C71221" w14:textId="23989C64"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12" w:history="1">
            <w:r w:rsidR="00D62B64" w:rsidRPr="00753DBF">
              <w:rPr>
                <w:rStyle w:val="Hyperlink"/>
                <w:noProof/>
              </w:rPr>
              <w:t>9.0 Section B</w:t>
            </w:r>
            <w:r w:rsidR="002D3EE1">
              <w:rPr>
                <w:rStyle w:val="Hyperlink"/>
                <w:noProof/>
              </w:rPr>
              <w:t>: Reflectice Account</w:t>
            </w:r>
            <w:r w:rsidR="00D62B64">
              <w:rPr>
                <w:noProof/>
                <w:webHidden/>
              </w:rPr>
              <w:tab/>
            </w:r>
            <w:r w:rsidR="00D62B64">
              <w:rPr>
                <w:noProof/>
                <w:webHidden/>
              </w:rPr>
              <w:fldChar w:fldCharType="begin"/>
            </w:r>
            <w:r w:rsidR="00D62B64">
              <w:rPr>
                <w:noProof/>
                <w:webHidden/>
              </w:rPr>
              <w:instrText xml:space="preserve"> PAGEREF _Toc237479812 \h </w:instrText>
            </w:r>
            <w:r w:rsidR="00D62B64">
              <w:rPr>
                <w:noProof/>
                <w:webHidden/>
              </w:rPr>
            </w:r>
            <w:r w:rsidR="00D62B64">
              <w:rPr>
                <w:noProof/>
                <w:webHidden/>
              </w:rPr>
              <w:fldChar w:fldCharType="separate"/>
            </w:r>
            <w:r w:rsidR="00D62B64">
              <w:rPr>
                <w:noProof/>
                <w:webHidden/>
              </w:rPr>
              <w:t>26</w:t>
            </w:r>
            <w:r w:rsidR="00D62B64">
              <w:rPr>
                <w:noProof/>
                <w:webHidden/>
              </w:rPr>
              <w:fldChar w:fldCharType="end"/>
            </w:r>
          </w:hyperlink>
        </w:p>
        <w:p w14:paraId="3F37BDB3" w14:textId="1B75B092" w:rsidR="00D62B64" w:rsidRDefault="005B75B4">
          <w:pPr>
            <w:pStyle w:val="TOC1"/>
            <w:tabs>
              <w:tab w:val="right" w:leader="dot" w:pos="9350"/>
            </w:tabs>
            <w:rPr>
              <w:rFonts w:asciiTheme="minorHAnsi" w:eastAsiaTheme="minorEastAsia" w:hAnsiTheme="minorHAnsi"/>
              <w:noProof/>
              <w:kern w:val="0"/>
              <w:sz w:val="22"/>
              <w:szCs w:val="22"/>
              <w:lang w:val="en-US" w:bidi="ar-SA"/>
              <w14:ligatures w14:val="none"/>
            </w:rPr>
          </w:pPr>
          <w:hyperlink w:anchor="_Toc237479820" w:history="1">
            <w:r w:rsidR="00D62B64" w:rsidRPr="00753DBF">
              <w:rPr>
                <w:rStyle w:val="Hyperlink"/>
                <w:noProof/>
              </w:rPr>
              <w:t>10. References</w:t>
            </w:r>
            <w:r w:rsidR="00D62B64">
              <w:rPr>
                <w:noProof/>
                <w:webHidden/>
              </w:rPr>
              <w:tab/>
            </w:r>
            <w:r w:rsidR="00D62B64">
              <w:rPr>
                <w:noProof/>
                <w:webHidden/>
              </w:rPr>
              <w:fldChar w:fldCharType="begin"/>
            </w:r>
            <w:r w:rsidR="00D62B64">
              <w:rPr>
                <w:noProof/>
                <w:webHidden/>
              </w:rPr>
              <w:instrText xml:space="preserve"> PAGEREF _Toc237479820 \h </w:instrText>
            </w:r>
            <w:r w:rsidR="00D62B64">
              <w:rPr>
                <w:noProof/>
                <w:webHidden/>
              </w:rPr>
            </w:r>
            <w:r w:rsidR="00D62B64">
              <w:rPr>
                <w:noProof/>
                <w:webHidden/>
              </w:rPr>
              <w:fldChar w:fldCharType="separate"/>
            </w:r>
            <w:r w:rsidR="00D62B64">
              <w:rPr>
                <w:noProof/>
                <w:webHidden/>
              </w:rPr>
              <w:t>30</w:t>
            </w:r>
            <w:r w:rsidR="00D62B64">
              <w:rPr>
                <w:noProof/>
                <w:webHidden/>
              </w:rPr>
              <w:fldChar w:fldCharType="end"/>
            </w:r>
          </w:hyperlink>
        </w:p>
        <w:p w14:paraId="64F32E68" w14:textId="73D6A7CC" w:rsidR="00D62B64" w:rsidRDefault="00D62B64">
          <w:r>
            <w:rPr>
              <w:b/>
              <w:bCs/>
              <w:noProof/>
            </w:rPr>
            <w:fldChar w:fldCharType="end"/>
          </w:r>
        </w:p>
      </w:sdtContent>
    </w:sdt>
    <w:p w14:paraId="6093E192" w14:textId="77777777" w:rsidR="007F3F44" w:rsidRDefault="007F3F44">
      <w:pPr>
        <w:spacing w:after="160" w:line="259" w:lineRule="auto"/>
        <w:jc w:val="left"/>
        <w:rPr>
          <w:b/>
          <w:bCs/>
          <w:sz w:val="32"/>
          <w:szCs w:val="36"/>
        </w:rPr>
      </w:pPr>
      <w:r>
        <w:rPr>
          <w:b/>
          <w:bCs/>
          <w:sz w:val="32"/>
          <w:szCs w:val="36"/>
        </w:rPr>
        <w:br w:type="page"/>
      </w:r>
    </w:p>
    <w:p w14:paraId="5C659C5D" w14:textId="0DC52E74" w:rsidR="0063082B" w:rsidRDefault="0063082B" w:rsidP="0063082B">
      <w:pPr>
        <w:jc w:val="center"/>
        <w:rPr>
          <w:b/>
          <w:bCs/>
          <w:sz w:val="32"/>
          <w:szCs w:val="36"/>
        </w:rPr>
      </w:pPr>
      <w:r w:rsidRPr="0063082B">
        <w:rPr>
          <w:b/>
          <w:bCs/>
          <w:sz w:val="32"/>
          <w:szCs w:val="36"/>
        </w:rPr>
        <w:lastRenderedPageBreak/>
        <w:t>Figures and Tables</w:t>
      </w:r>
    </w:p>
    <w:p w14:paraId="67BB06AA" w14:textId="1BCF550B" w:rsidR="00AD4E8E" w:rsidRDefault="0063082B">
      <w:pPr>
        <w:pStyle w:val="TableofFigures"/>
        <w:tabs>
          <w:tab w:val="right" w:leader="dot" w:pos="9350"/>
        </w:tabs>
        <w:rPr>
          <w:rFonts w:asciiTheme="minorHAnsi" w:eastAsiaTheme="minorEastAsia" w:hAnsiTheme="minorHAnsi"/>
          <w:noProof/>
          <w:szCs w:val="24"/>
          <w:lang w:eastAsia="en-GB" w:bidi="ar-SA"/>
        </w:rPr>
      </w:pPr>
      <w:r>
        <w:fldChar w:fldCharType="begin"/>
      </w:r>
      <w:r>
        <w:instrText xml:space="preserve"> TOC \h \z \c "Figure" </w:instrText>
      </w:r>
      <w:r>
        <w:fldChar w:fldCharType="separate"/>
      </w:r>
      <w:hyperlink w:anchor="_Toc236963111" w:history="1">
        <w:r w:rsidR="00AD4E8E" w:rsidRPr="00535030">
          <w:rPr>
            <w:rStyle w:val="Hyperlink"/>
            <w:noProof/>
          </w:rPr>
          <w:t>Figure 2.1: Cadbury Dairy Milk product presentation. Source: Cadbury UK (2026)</w:t>
        </w:r>
        <w:r w:rsidR="00AD4E8E">
          <w:rPr>
            <w:noProof/>
            <w:webHidden/>
          </w:rPr>
          <w:tab/>
        </w:r>
        <w:r w:rsidR="00AD4E8E">
          <w:rPr>
            <w:noProof/>
            <w:webHidden/>
          </w:rPr>
          <w:fldChar w:fldCharType="begin"/>
        </w:r>
        <w:r w:rsidR="00AD4E8E">
          <w:rPr>
            <w:noProof/>
            <w:webHidden/>
          </w:rPr>
          <w:instrText xml:space="preserve"> PAGEREF _Toc236963111 \h </w:instrText>
        </w:r>
        <w:r w:rsidR="00AD4E8E">
          <w:rPr>
            <w:noProof/>
            <w:webHidden/>
          </w:rPr>
        </w:r>
        <w:r w:rsidR="00AD4E8E">
          <w:rPr>
            <w:noProof/>
            <w:webHidden/>
          </w:rPr>
          <w:fldChar w:fldCharType="separate"/>
        </w:r>
        <w:r w:rsidR="00AD4E8E">
          <w:rPr>
            <w:noProof/>
            <w:webHidden/>
          </w:rPr>
          <w:t>7</w:t>
        </w:r>
        <w:r w:rsidR="00AD4E8E">
          <w:rPr>
            <w:noProof/>
            <w:webHidden/>
          </w:rPr>
          <w:fldChar w:fldCharType="end"/>
        </w:r>
      </w:hyperlink>
    </w:p>
    <w:p w14:paraId="0CFBA27E" w14:textId="665A7FFE"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2" w:history="1">
        <w:r w:rsidR="00AD4E8E" w:rsidRPr="00535030">
          <w:rPr>
            <w:rStyle w:val="Hyperlink"/>
            <w:noProof/>
          </w:rPr>
          <w:t>Figure 3.1: PESTLE factors used to analyse the macro environment. Source: Albrecht, Green and Hoffman (2023)</w:t>
        </w:r>
        <w:r w:rsidR="00AD4E8E">
          <w:rPr>
            <w:noProof/>
            <w:webHidden/>
          </w:rPr>
          <w:tab/>
        </w:r>
        <w:r w:rsidR="00AD4E8E">
          <w:rPr>
            <w:noProof/>
            <w:webHidden/>
          </w:rPr>
          <w:fldChar w:fldCharType="begin"/>
        </w:r>
        <w:r w:rsidR="00AD4E8E">
          <w:rPr>
            <w:noProof/>
            <w:webHidden/>
          </w:rPr>
          <w:instrText xml:space="preserve"> PAGEREF _Toc236963112 \h </w:instrText>
        </w:r>
        <w:r w:rsidR="00AD4E8E">
          <w:rPr>
            <w:noProof/>
            <w:webHidden/>
          </w:rPr>
        </w:r>
        <w:r w:rsidR="00AD4E8E">
          <w:rPr>
            <w:noProof/>
            <w:webHidden/>
          </w:rPr>
          <w:fldChar w:fldCharType="separate"/>
        </w:r>
        <w:r w:rsidR="00AD4E8E">
          <w:rPr>
            <w:noProof/>
            <w:webHidden/>
          </w:rPr>
          <w:t>8</w:t>
        </w:r>
        <w:r w:rsidR="00AD4E8E">
          <w:rPr>
            <w:noProof/>
            <w:webHidden/>
          </w:rPr>
          <w:fldChar w:fldCharType="end"/>
        </w:r>
      </w:hyperlink>
    </w:p>
    <w:p w14:paraId="2C95837B" w14:textId="7D4FF2D6"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3" w:history="1">
        <w:r w:rsidR="00AD4E8E" w:rsidRPr="00535030">
          <w:rPr>
            <w:rStyle w:val="Hyperlink"/>
            <w:noProof/>
          </w:rPr>
          <w:t>Figure 3.2: Official Indian GDP growth estimates for 2025 to 2026. Source: MOSPI (2026)</w:t>
        </w:r>
        <w:r w:rsidR="00AD4E8E">
          <w:rPr>
            <w:noProof/>
            <w:webHidden/>
          </w:rPr>
          <w:tab/>
        </w:r>
        <w:r w:rsidR="00AD4E8E">
          <w:rPr>
            <w:noProof/>
            <w:webHidden/>
          </w:rPr>
          <w:fldChar w:fldCharType="begin"/>
        </w:r>
        <w:r w:rsidR="00AD4E8E">
          <w:rPr>
            <w:noProof/>
            <w:webHidden/>
          </w:rPr>
          <w:instrText xml:space="preserve"> PAGEREF _Toc236963113 \h </w:instrText>
        </w:r>
        <w:r w:rsidR="00AD4E8E">
          <w:rPr>
            <w:noProof/>
            <w:webHidden/>
          </w:rPr>
        </w:r>
        <w:r w:rsidR="00AD4E8E">
          <w:rPr>
            <w:noProof/>
            <w:webHidden/>
          </w:rPr>
          <w:fldChar w:fldCharType="separate"/>
        </w:r>
        <w:r w:rsidR="00AD4E8E">
          <w:rPr>
            <w:noProof/>
            <w:webHidden/>
          </w:rPr>
          <w:t>9</w:t>
        </w:r>
        <w:r w:rsidR="00AD4E8E">
          <w:rPr>
            <w:noProof/>
            <w:webHidden/>
          </w:rPr>
          <w:fldChar w:fldCharType="end"/>
        </w:r>
      </w:hyperlink>
    </w:p>
    <w:p w14:paraId="7EE1D900" w14:textId="21715114"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4" w:history="1">
        <w:r w:rsidR="00AD4E8E" w:rsidRPr="00535030">
          <w:rPr>
            <w:rStyle w:val="Hyperlink"/>
            <w:noProof/>
          </w:rPr>
          <w:t>Figure 3.3: Hofstede cultural dimensions for India and the United Kingdom. Source: The Culture Factor (2026)</w:t>
        </w:r>
        <w:r w:rsidR="00AD4E8E">
          <w:rPr>
            <w:noProof/>
            <w:webHidden/>
          </w:rPr>
          <w:tab/>
        </w:r>
        <w:r w:rsidR="00AD4E8E">
          <w:rPr>
            <w:noProof/>
            <w:webHidden/>
          </w:rPr>
          <w:fldChar w:fldCharType="begin"/>
        </w:r>
        <w:r w:rsidR="00AD4E8E">
          <w:rPr>
            <w:noProof/>
            <w:webHidden/>
          </w:rPr>
          <w:instrText xml:space="preserve"> PAGEREF _Toc236963114 \h </w:instrText>
        </w:r>
        <w:r w:rsidR="00AD4E8E">
          <w:rPr>
            <w:noProof/>
            <w:webHidden/>
          </w:rPr>
        </w:r>
        <w:r w:rsidR="00AD4E8E">
          <w:rPr>
            <w:noProof/>
            <w:webHidden/>
          </w:rPr>
          <w:fldChar w:fldCharType="separate"/>
        </w:r>
        <w:r w:rsidR="00AD4E8E">
          <w:rPr>
            <w:noProof/>
            <w:webHidden/>
          </w:rPr>
          <w:t>11</w:t>
        </w:r>
        <w:r w:rsidR="00AD4E8E">
          <w:rPr>
            <w:noProof/>
            <w:webHidden/>
          </w:rPr>
          <w:fldChar w:fldCharType="end"/>
        </w:r>
      </w:hyperlink>
    </w:p>
    <w:p w14:paraId="394ED49B" w14:textId="20D76DA0"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5" w:history="1">
        <w:r w:rsidR="00AD4E8E" w:rsidRPr="00535030">
          <w:rPr>
            <w:rStyle w:val="Hyperlink"/>
            <w:noProof/>
          </w:rPr>
          <w:t>Figure 4.1: Consumer market segmentation categories. Source: LCMB7026 Week 4 lecture material (2026)</w:t>
        </w:r>
        <w:r w:rsidR="00AD4E8E">
          <w:rPr>
            <w:noProof/>
            <w:webHidden/>
          </w:rPr>
          <w:tab/>
        </w:r>
        <w:r w:rsidR="00AD4E8E">
          <w:rPr>
            <w:noProof/>
            <w:webHidden/>
          </w:rPr>
          <w:fldChar w:fldCharType="begin"/>
        </w:r>
        <w:r w:rsidR="00AD4E8E">
          <w:rPr>
            <w:noProof/>
            <w:webHidden/>
          </w:rPr>
          <w:instrText xml:space="preserve"> PAGEREF _Toc236963115 \h </w:instrText>
        </w:r>
        <w:r w:rsidR="00AD4E8E">
          <w:rPr>
            <w:noProof/>
            <w:webHidden/>
          </w:rPr>
        </w:r>
        <w:r w:rsidR="00AD4E8E">
          <w:rPr>
            <w:noProof/>
            <w:webHidden/>
          </w:rPr>
          <w:fldChar w:fldCharType="separate"/>
        </w:r>
        <w:r w:rsidR="00AD4E8E">
          <w:rPr>
            <w:noProof/>
            <w:webHidden/>
          </w:rPr>
          <w:t>14</w:t>
        </w:r>
        <w:r w:rsidR="00AD4E8E">
          <w:rPr>
            <w:noProof/>
            <w:webHidden/>
          </w:rPr>
          <w:fldChar w:fldCharType="end"/>
        </w:r>
      </w:hyperlink>
    </w:p>
    <w:p w14:paraId="203EFEAD" w14:textId="12C1FC9A"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6" w:history="1">
        <w:r w:rsidR="00AD4E8E" w:rsidRPr="00535030">
          <w:rPr>
            <w:rStyle w:val="Hyperlink"/>
            <w:noProof/>
          </w:rPr>
          <w:t>Figure 4.2: International market segmentation process. Source: LCMB7026 Week 4 lecture material (2026)</w:t>
        </w:r>
        <w:r w:rsidR="00AD4E8E">
          <w:rPr>
            <w:noProof/>
            <w:webHidden/>
          </w:rPr>
          <w:tab/>
        </w:r>
        <w:r w:rsidR="00AD4E8E">
          <w:rPr>
            <w:noProof/>
            <w:webHidden/>
          </w:rPr>
          <w:fldChar w:fldCharType="begin"/>
        </w:r>
        <w:r w:rsidR="00AD4E8E">
          <w:rPr>
            <w:noProof/>
            <w:webHidden/>
          </w:rPr>
          <w:instrText xml:space="preserve"> PAGEREF _Toc236963116 \h </w:instrText>
        </w:r>
        <w:r w:rsidR="00AD4E8E">
          <w:rPr>
            <w:noProof/>
            <w:webHidden/>
          </w:rPr>
        </w:r>
        <w:r w:rsidR="00AD4E8E">
          <w:rPr>
            <w:noProof/>
            <w:webHidden/>
          </w:rPr>
          <w:fldChar w:fldCharType="separate"/>
        </w:r>
        <w:r w:rsidR="00AD4E8E">
          <w:rPr>
            <w:noProof/>
            <w:webHidden/>
          </w:rPr>
          <w:t>15</w:t>
        </w:r>
        <w:r w:rsidR="00AD4E8E">
          <w:rPr>
            <w:noProof/>
            <w:webHidden/>
          </w:rPr>
          <w:fldChar w:fldCharType="end"/>
        </w:r>
      </w:hyperlink>
    </w:p>
    <w:p w14:paraId="2BBCE773" w14:textId="3B3DB0B3"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7" w:history="1">
        <w:r w:rsidR="00AD4E8E" w:rsidRPr="00535030">
          <w:rPr>
            <w:rStyle w:val="Hyperlink"/>
            <w:noProof/>
          </w:rPr>
          <w:t>Figure 4.3: Example perceptual map used to interpret competitive positioning. Source: Albrecht, Green and Hoffman (2023)</w:t>
        </w:r>
        <w:r w:rsidR="00AD4E8E">
          <w:rPr>
            <w:noProof/>
            <w:webHidden/>
          </w:rPr>
          <w:tab/>
        </w:r>
        <w:r w:rsidR="00AD4E8E">
          <w:rPr>
            <w:noProof/>
            <w:webHidden/>
          </w:rPr>
          <w:fldChar w:fldCharType="begin"/>
        </w:r>
        <w:r w:rsidR="00AD4E8E">
          <w:rPr>
            <w:noProof/>
            <w:webHidden/>
          </w:rPr>
          <w:instrText xml:space="preserve"> PAGEREF _Toc236963117 \h </w:instrText>
        </w:r>
        <w:r w:rsidR="00AD4E8E">
          <w:rPr>
            <w:noProof/>
            <w:webHidden/>
          </w:rPr>
        </w:r>
        <w:r w:rsidR="00AD4E8E">
          <w:rPr>
            <w:noProof/>
            <w:webHidden/>
          </w:rPr>
          <w:fldChar w:fldCharType="separate"/>
        </w:r>
        <w:r w:rsidR="00AD4E8E">
          <w:rPr>
            <w:noProof/>
            <w:webHidden/>
          </w:rPr>
          <w:t>15</w:t>
        </w:r>
        <w:r w:rsidR="00AD4E8E">
          <w:rPr>
            <w:noProof/>
            <w:webHidden/>
          </w:rPr>
          <w:fldChar w:fldCharType="end"/>
        </w:r>
      </w:hyperlink>
    </w:p>
    <w:p w14:paraId="0907EDE3" w14:textId="3C2DEEEC"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8" w:history="1">
        <w:r w:rsidR="00AD4E8E" w:rsidRPr="00535030">
          <w:rPr>
            <w:rStyle w:val="Hyperlink"/>
            <w:noProof/>
          </w:rPr>
          <w:t>Figure 5.1: Seven element marketing mix. Source: SmartDraw (2026)</w:t>
        </w:r>
        <w:r w:rsidR="00AD4E8E">
          <w:rPr>
            <w:noProof/>
            <w:webHidden/>
          </w:rPr>
          <w:tab/>
        </w:r>
        <w:r w:rsidR="00AD4E8E">
          <w:rPr>
            <w:noProof/>
            <w:webHidden/>
          </w:rPr>
          <w:fldChar w:fldCharType="begin"/>
        </w:r>
        <w:r w:rsidR="00AD4E8E">
          <w:rPr>
            <w:noProof/>
            <w:webHidden/>
          </w:rPr>
          <w:instrText xml:space="preserve"> PAGEREF _Toc236963118 \h </w:instrText>
        </w:r>
        <w:r w:rsidR="00AD4E8E">
          <w:rPr>
            <w:noProof/>
            <w:webHidden/>
          </w:rPr>
        </w:r>
        <w:r w:rsidR="00AD4E8E">
          <w:rPr>
            <w:noProof/>
            <w:webHidden/>
          </w:rPr>
          <w:fldChar w:fldCharType="separate"/>
        </w:r>
        <w:r w:rsidR="00AD4E8E">
          <w:rPr>
            <w:noProof/>
            <w:webHidden/>
          </w:rPr>
          <w:t>17</w:t>
        </w:r>
        <w:r w:rsidR="00AD4E8E">
          <w:rPr>
            <w:noProof/>
            <w:webHidden/>
          </w:rPr>
          <w:fldChar w:fldCharType="end"/>
        </w:r>
      </w:hyperlink>
    </w:p>
    <w:p w14:paraId="103DDF68" w14:textId="5DDEBA59"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19" w:history="1">
        <w:r w:rsidR="00AD4E8E" w:rsidRPr="00535030">
          <w:rPr>
            <w:rStyle w:val="Hyperlink"/>
            <w:noProof/>
          </w:rPr>
          <w:t>Figure 5.2: Core, packaging and auxiliary product dimensions. Source: LCMB7026 Week 5 lecture material (2026)</w:t>
        </w:r>
        <w:r w:rsidR="00AD4E8E">
          <w:rPr>
            <w:noProof/>
            <w:webHidden/>
          </w:rPr>
          <w:tab/>
        </w:r>
        <w:r w:rsidR="00AD4E8E">
          <w:rPr>
            <w:noProof/>
            <w:webHidden/>
          </w:rPr>
          <w:fldChar w:fldCharType="begin"/>
        </w:r>
        <w:r w:rsidR="00AD4E8E">
          <w:rPr>
            <w:noProof/>
            <w:webHidden/>
          </w:rPr>
          <w:instrText xml:space="preserve"> PAGEREF _Toc236963119 \h </w:instrText>
        </w:r>
        <w:r w:rsidR="00AD4E8E">
          <w:rPr>
            <w:noProof/>
            <w:webHidden/>
          </w:rPr>
        </w:r>
        <w:r w:rsidR="00AD4E8E">
          <w:rPr>
            <w:noProof/>
            <w:webHidden/>
          </w:rPr>
          <w:fldChar w:fldCharType="separate"/>
        </w:r>
        <w:r w:rsidR="00AD4E8E">
          <w:rPr>
            <w:noProof/>
            <w:webHidden/>
          </w:rPr>
          <w:t>18</w:t>
        </w:r>
        <w:r w:rsidR="00AD4E8E">
          <w:rPr>
            <w:noProof/>
            <w:webHidden/>
          </w:rPr>
          <w:fldChar w:fldCharType="end"/>
        </w:r>
      </w:hyperlink>
    </w:p>
    <w:p w14:paraId="30B04644" w14:textId="44DF6A7F"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0" w:history="1">
        <w:r w:rsidR="00AD4E8E" w:rsidRPr="00535030">
          <w:rPr>
            <w:rStyle w:val="Hyperlink"/>
            <w:noProof/>
          </w:rPr>
          <w:t>Figure 5.3: Product and communication adaptation model. Source: LCMB7026 Week 5 lecture material (2026)</w:t>
        </w:r>
        <w:r w:rsidR="00AD4E8E">
          <w:rPr>
            <w:noProof/>
            <w:webHidden/>
          </w:rPr>
          <w:tab/>
        </w:r>
        <w:r w:rsidR="00AD4E8E">
          <w:rPr>
            <w:noProof/>
            <w:webHidden/>
          </w:rPr>
          <w:fldChar w:fldCharType="begin"/>
        </w:r>
        <w:r w:rsidR="00AD4E8E">
          <w:rPr>
            <w:noProof/>
            <w:webHidden/>
          </w:rPr>
          <w:instrText xml:space="preserve"> PAGEREF _Toc236963120 \h </w:instrText>
        </w:r>
        <w:r w:rsidR="00AD4E8E">
          <w:rPr>
            <w:noProof/>
            <w:webHidden/>
          </w:rPr>
        </w:r>
        <w:r w:rsidR="00AD4E8E">
          <w:rPr>
            <w:noProof/>
            <w:webHidden/>
          </w:rPr>
          <w:fldChar w:fldCharType="separate"/>
        </w:r>
        <w:r w:rsidR="00AD4E8E">
          <w:rPr>
            <w:noProof/>
            <w:webHidden/>
          </w:rPr>
          <w:t>18</w:t>
        </w:r>
        <w:r w:rsidR="00AD4E8E">
          <w:rPr>
            <w:noProof/>
            <w:webHidden/>
          </w:rPr>
          <w:fldChar w:fldCharType="end"/>
        </w:r>
      </w:hyperlink>
    </w:p>
    <w:p w14:paraId="75845BFE" w14:textId="4904E015"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1" w:history="1">
        <w:r w:rsidR="00AD4E8E" w:rsidRPr="00535030">
          <w:rPr>
            <w:rStyle w:val="Hyperlink"/>
            <w:noProof/>
          </w:rPr>
          <w:t>Figure 5.4: Cadbury Dairy Milk Silk Dubai Chocolate launch in India. Source: Mondelēz India (2026)</w:t>
        </w:r>
        <w:r w:rsidR="00AD4E8E">
          <w:rPr>
            <w:noProof/>
            <w:webHidden/>
          </w:rPr>
          <w:tab/>
        </w:r>
        <w:r w:rsidR="00AD4E8E">
          <w:rPr>
            <w:noProof/>
            <w:webHidden/>
          </w:rPr>
          <w:fldChar w:fldCharType="begin"/>
        </w:r>
        <w:r w:rsidR="00AD4E8E">
          <w:rPr>
            <w:noProof/>
            <w:webHidden/>
          </w:rPr>
          <w:instrText xml:space="preserve"> PAGEREF _Toc236963121 \h </w:instrText>
        </w:r>
        <w:r w:rsidR="00AD4E8E">
          <w:rPr>
            <w:noProof/>
            <w:webHidden/>
          </w:rPr>
        </w:r>
        <w:r w:rsidR="00AD4E8E">
          <w:rPr>
            <w:noProof/>
            <w:webHidden/>
          </w:rPr>
          <w:fldChar w:fldCharType="separate"/>
        </w:r>
        <w:r w:rsidR="00AD4E8E">
          <w:rPr>
            <w:noProof/>
            <w:webHidden/>
          </w:rPr>
          <w:t>19</w:t>
        </w:r>
        <w:r w:rsidR="00AD4E8E">
          <w:rPr>
            <w:noProof/>
            <w:webHidden/>
          </w:rPr>
          <w:fldChar w:fldCharType="end"/>
        </w:r>
      </w:hyperlink>
    </w:p>
    <w:p w14:paraId="71CA0F70" w14:textId="5E528C62"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2" w:history="1">
        <w:r w:rsidR="00AD4E8E" w:rsidRPr="00535030">
          <w:rPr>
            <w:rStyle w:val="Hyperlink"/>
            <w:noProof/>
          </w:rPr>
          <w:t>Figure 5.5: Direct and indirect international distribution channels. Source: LCMB7026 Week 7 lecture material (2026)</w:t>
        </w:r>
        <w:r w:rsidR="00AD4E8E">
          <w:rPr>
            <w:noProof/>
            <w:webHidden/>
          </w:rPr>
          <w:tab/>
        </w:r>
        <w:r w:rsidR="00AD4E8E">
          <w:rPr>
            <w:noProof/>
            <w:webHidden/>
          </w:rPr>
          <w:fldChar w:fldCharType="begin"/>
        </w:r>
        <w:r w:rsidR="00AD4E8E">
          <w:rPr>
            <w:noProof/>
            <w:webHidden/>
          </w:rPr>
          <w:instrText xml:space="preserve"> PAGEREF _Toc236963122 \h </w:instrText>
        </w:r>
        <w:r w:rsidR="00AD4E8E">
          <w:rPr>
            <w:noProof/>
            <w:webHidden/>
          </w:rPr>
        </w:r>
        <w:r w:rsidR="00AD4E8E">
          <w:rPr>
            <w:noProof/>
            <w:webHidden/>
          </w:rPr>
          <w:fldChar w:fldCharType="separate"/>
        </w:r>
        <w:r w:rsidR="00AD4E8E">
          <w:rPr>
            <w:noProof/>
            <w:webHidden/>
          </w:rPr>
          <w:t>20</w:t>
        </w:r>
        <w:r w:rsidR="00AD4E8E">
          <w:rPr>
            <w:noProof/>
            <w:webHidden/>
          </w:rPr>
          <w:fldChar w:fldCharType="end"/>
        </w:r>
      </w:hyperlink>
    </w:p>
    <w:p w14:paraId="6FBF38BE" w14:textId="03073F08"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3" w:history="1">
        <w:r w:rsidR="00AD4E8E" w:rsidRPr="00535030">
          <w:rPr>
            <w:rStyle w:val="Hyperlink"/>
            <w:noProof/>
          </w:rPr>
          <w:t>Figure 5.6: Cadbury United Kingdom brand communication. Source: Cadbury UK (2026)</w:t>
        </w:r>
        <w:r w:rsidR="00AD4E8E">
          <w:rPr>
            <w:noProof/>
            <w:webHidden/>
          </w:rPr>
          <w:tab/>
        </w:r>
        <w:r w:rsidR="00AD4E8E">
          <w:rPr>
            <w:noProof/>
            <w:webHidden/>
          </w:rPr>
          <w:fldChar w:fldCharType="begin"/>
        </w:r>
        <w:r w:rsidR="00AD4E8E">
          <w:rPr>
            <w:noProof/>
            <w:webHidden/>
          </w:rPr>
          <w:instrText xml:space="preserve"> PAGEREF _Toc236963123 \h </w:instrText>
        </w:r>
        <w:r w:rsidR="00AD4E8E">
          <w:rPr>
            <w:noProof/>
            <w:webHidden/>
          </w:rPr>
        </w:r>
        <w:r w:rsidR="00AD4E8E">
          <w:rPr>
            <w:noProof/>
            <w:webHidden/>
          </w:rPr>
          <w:fldChar w:fldCharType="separate"/>
        </w:r>
        <w:r w:rsidR="00AD4E8E">
          <w:rPr>
            <w:noProof/>
            <w:webHidden/>
          </w:rPr>
          <w:t>21</w:t>
        </w:r>
        <w:r w:rsidR="00AD4E8E">
          <w:rPr>
            <w:noProof/>
            <w:webHidden/>
          </w:rPr>
          <w:fldChar w:fldCharType="end"/>
        </w:r>
      </w:hyperlink>
    </w:p>
    <w:p w14:paraId="15F0B102" w14:textId="39CD4E4B"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4" w:history="1">
        <w:r w:rsidR="00AD4E8E" w:rsidRPr="00535030">
          <w:rPr>
            <w:rStyle w:val="Hyperlink"/>
            <w:noProof/>
          </w:rPr>
          <w:t>Figure 5.7: Marketing mix and promotion mix. Source: LCMB7026 Week 6 lecture material (2026)</w:t>
        </w:r>
        <w:r w:rsidR="00AD4E8E">
          <w:rPr>
            <w:noProof/>
            <w:webHidden/>
          </w:rPr>
          <w:tab/>
        </w:r>
        <w:r w:rsidR="00AD4E8E">
          <w:rPr>
            <w:noProof/>
            <w:webHidden/>
          </w:rPr>
          <w:fldChar w:fldCharType="begin"/>
        </w:r>
        <w:r w:rsidR="00AD4E8E">
          <w:rPr>
            <w:noProof/>
            <w:webHidden/>
          </w:rPr>
          <w:instrText xml:space="preserve"> PAGEREF _Toc236963124 \h </w:instrText>
        </w:r>
        <w:r w:rsidR="00AD4E8E">
          <w:rPr>
            <w:noProof/>
            <w:webHidden/>
          </w:rPr>
        </w:r>
        <w:r w:rsidR="00AD4E8E">
          <w:rPr>
            <w:noProof/>
            <w:webHidden/>
          </w:rPr>
          <w:fldChar w:fldCharType="separate"/>
        </w:r>
        <w:r w:rsidR="00AD4E8E">
          <w:rPr>
            <w:noProof/>
            <w:webHidden/>
          </w:rPr>
          <w:t>22</w:t>
        </w:r>
        <w:r w:rsidR="00AD4E8E">
          <w:rPr>
            <w:noProof/>
            <w:webHidden/>
          </w:rPr>
          <w:fldChar w:fldCharType="end"/>
        </w:r>
      </w:hyperlink>
    </w:p>
    <w:p w14:paraId="4DC3676D" w14:textId="2E6FC63E"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5" w:history="1">
        <w:r w:rsidR="00AD4E8E" w:rsidRPr="00535030">
          <w:rPr>
            <w:rStyle w:val="Hyperlink"/>
            <w:noProof/>
          </w:rPr>
          <w:t>Figure 7.1: Virtue and marketing ethics framework. Source: LCMB7026 Week 10 lecture material (2026)</w:t>
        </w:r>
        <w:r w:rsidR="00AD4E8E">
          <w:rPr>
            <w:noProof/>
            <w:webHidden/>
          </w:rPr>
          <w:tab/>
        </w:r>
        <w:r w:rsidR="00AD4E8E">
          <w:rPr>
            <w:noProof/>
            <w:webHidden/>
          </w:rPr>
          <w:fldChar w:fldCharType="begin"/>
        </w:r>
        <w:r w:rsidR="00AD4E8E">
          <w:rPr>
            <w:noProof/>
            <w:webHidden/>
          </w:rPr>
          <w:instrText xml:space="preserve"> PAGEREF _Toc236963125 \h </w:instrText>
        </w:r>
        <w:r w:rsidR="00AD4E8E">
          <w:rPr>
            <w:noProof/>
            <w:webHidden/>
          </w:rPr>
        </w:r>
        <w:r w:rsidR="00AD4E8E">
          <w:rPr>
            <w:noProof/>
            <w:webHidden/>
          </w:rPr>
          <w:fldChar w:fldCharType="separate"/>
        </w:r>
        <w:r w:rsidR="00AD4E8E">
          <w:rPr>
            <w:noProof/>
            <w:webHidden/>
          </w:rPr>
          <w:t>25</w:t>
        </w:r>
        <w:r w:rsidR="00AD4E8E">
          <w:rPr>
            <w:noProof/>
            <w:webHidden/>
          </w:rPr>
          <w:fldChar w:fldCharType="end"/>
        </w:r>
      </w:hyperlink>
    </w:p>
    <w:p w14:paraId="5C63A84C" w14:textId="6CAB56C7" w:rsidR="00AD4E8E" w:rsidRDefault="005B75B4">
      <w:pPr>
        <w:pStyle w:val="TableofFigures"/>
        <w:tabs>
          <w:tab w:val="right" w:leader="dot" w:pos="9350"/>
        </w:tabs>
        <w:rPr>
          <w:rFonts w:asciiTheme="minorHAnsi" w:eastAsiaTheme="minorEastAsia" w:hAnsiTheme="minorHAnsi"/>
          <w:noProof/>
          <w:szCs w:val="24"/>
          <w:lang w:eastAsia="en-GB" w:bidi="ar-SA"/>
        </w:rPr>
      </w:pPr>
      <w:hyperlink w:anchor="_Toc236963126" w:history="1">
        <w:r w:rsidR="00AD4E8E" w:rsidRPr="00535030">
          <w:rPr>
            <w:rStyle w:val="Hyperlink"/>
            <w:noProof/>
          </w:rPr>
          <w:t>Figure 9.1: Gibbs’ six-stage reflective cycle. Source: University of Edinburgh (2024)</w:t>
        </w:r>
        <w:r w:rsidR="00AD4E8E">
          <w:rPr>
            <w:noProof/>
            <w:webHidden/>
          </w:rPr>
          <w:tab/>
        </w:r>
        <w:r w:rsidR="00AD4E8E">
          <w:rPr>
            <w:noProof/>
            <w:webHidden/>
          </w:rPr>
          <w:fldChar w:fldCharType="begin"/>
        </w:r>
        <w:r w:rsidR="00AD4E8E">
          <w:rPr>
            <w:noProof/>
            <w:webHidden/>
          </w:rPr>
          <w:instrText xml:space="preserve"> PAGEREF _Toc236963126 \h </w:instrText>
        </w:r>
        <w:r w:rsidR="00AD4E8E">
          <w:rPr>
            <w:noProof/>
            <w:webHidden/>
          </w:rPr>
        </w:r>
        <w:r w:rsidR="00AD4E8E">
          <w:rPr>
            <w:noProof/>
            <w:webHidden/>
          </w:rPr>
          <w:fldChar w:fldCharType="separate"/>
        </w:r>
        <w:r w:rsidR="00AD4E8E">
          <w:rPr>
            <w:noProof/>
            <w:webHidden/>
          </w:rPr>
          <w:t>28</w:t>
        </w:r>
        <w:r w:rsidR="00AD4E8E">
          <w:rPr>
            <w:noProof/>
            <w:webHidden/>
          </w:rPr>
          <w:fldChar w:fldCharType="end"/>
        </w:r>
      </w:hyperlink>
    </w:p>
    <w:p w14:paraId="05A03B2E" w14:textId="763C546E" w:rsidR="0063082B" w:rsidRPr="0063082B" w:rsidRDefault="0063082B" w:rsidP="0063082B">
      <w:r>
        <w:fldChar w:fldCharType="end"/>
      </w:r>
    </w:p>
    <w:p w14:paraId="34A48373" w14:textId="5A1FB533" w:rsidR="00764FD0" w:rsidRDefault="00093DB4" w:rsidP="00764FD0">
      <w:pPr>
        <w:pStyle w:val="Heading1"/>
      </w:pPr>
      <w:bookmarkStart w:id="1" w:name="_Toc237479770"/>
      <w:r>
        <w:lastRenderedPageBreak/>
        <w:t xml:space="preserve">1.0 </w:t>
      </w:r>
      <w:r w:rsidR="00764FD0">
        <w:t>Section A</w:t>
      </w:r>
      <w:bookmarkEnd w:id="1"/>
    </w:p>
    <w:p w14:paraId="665DB69B" w14:textId="72B01ABE" w:rsidR="0063082B" w:rsidRDefault="00764FD0" w:rsidP="00764FD0">
      <w:pPr>
        <w:pStyle w:val="Heading1"/>
      </w:pPr>
      <w:bookmarkStart w:id="2" w:name="_Toc237479771"/>
      <w:r>
        <w:t>1.</w:t>
      </w:r>
      <w:r w:rsidR="00445754">
        <w:t>1</w:t>
      </w:r>
      <w:r>
        <w:t xml:space="preserve"> </w:t>
      </w:r>
      <w:r w:rsidR="0063082B">
        <w:t>Introduction</w:t>
      </w:r>
      <w:bookmarkEnd w:id="2"/>
    </w:p>
    <w:p w14:paraId="5DAD90AD" w14:textId="1356338B" w:rsidR="00CF5737" w:rsidRDefault="00CF5737" w:rsidP="0063082B">
      <w:r w:rsidRPr="00CF5737">
        <w:t xml:space="preserve">International marketing is an integrated process of activities by which companies recognize, create, and meet customer needs in various countries and adjust to market characteristics varying from country to country (Manuel, 2022). These variations render international marketing more vital for brands that serve different markets which have different economic, cultural and consumer features. Cadbury is an appropriate international marketing case because it is a British heritage brand marketing in its own traditional UK market and the Indian market, which is so diverse. The UK is known and has a developed retail platform and seasonal buying habits while India is offering potential in economic growth, gifting on special occasions, distribution networks and diversification of cultures and channel complexity, along with affordability challenges. Thus, Cadbury must balance the need for consistency of the branded product with some adaptation to local markets in order to be effective in international marketing. The </w:t>
      </w:r>
      <w:r>
        <w:t>objective</w:t>
      </w:r>
      <w:r w:rsidRPr="00CF5737">
        <w:t xml:space="preserve"> of this report is to critically compare Cadbury's marketing environment in the UK and India using the PESTEL and Hofstede's cultural dimensions, evaluate Cadbury's segmentation, targeting, positioning and seven element marketing mix, assess Cadbury's market entry strategy and ethical practices in India and to give evidence-based recommendations.</w:t>
      </w:r>
    </w:p>
    <w:p w14:paraId="5A42AF17" w14:textId="77777777" w:rsidR="00CF5737" w:rsidRDefault="00CF5737" w:rsidP="0063082B"/>
    <w:p w14:paraId="30B7CCAF" w14:textId="77777777" w:rsidR="0063082B" w:rsidRDefault="0063082B" w:rsidP="0063082B">
      <w:pPr>
        <w:spacing w:after="200" w:line="276" w:lineRule="auto"/>
        <w:jc w:val="left"/>
      </w:pPr>
      <w:r>
        <w:br w:type="page"/>
      </w:r>
    </w:p>
    <w:p w14:paraId="163435EF" w14:textId="30A708AF" w:rsidR="0063082B" w:rsidRDefault="00445754" w:rsidP="00764FD0">
      <w:pPr>
        <w:pStyle w:val="Heading1"/>
      </w:pPr>
      <w:bookmarkStart w:id="3" w:name="_Toc237479772"/>
      <w:r>
        <w:lastRenderedPageBreak/>
        <w:t xml:space="preserve">1.2 </w:t>
      </w:r>
      <w:r w:rsidR="0063082B">
        <w:t>Brand and country overview</w:t>
      </w:r>
      <w:bookmarkEnd w:id="3"/>
    </w:p>
    <w:p w14:paraId="700B7528" w14:textId="58110F65" w:rsidR="001648DA" w:rsidRDefault="001648DA" w:rsidP="001648DA">
      <w:r>
        <w:t>Cadbury is a British confectionery brand, established in 1824 by John Cadbury in Birmingham. Dairy Milk was launched in 1905 and eventually became Cadbury's main chocolate product, according to Cadbury UK (2026). Today, Cadbury is under the ownership of Mondelēz International who offers worldwide sourcing, research, manufacturing and distribution capabilities. These resources are positive as they enhance innovation and international presence while at the same time the centralised, corporate-level orientations can work against Cadbury's unique British identity.</w:t>
      </w:r>
    </w:p>
    <w:p w14:paraId="37D30597" w14:textId="77777777" w:rsidR="0063082B" w:rsidRDefault="0063082B" w:rsidP="0063082B">
      <w:pPr>
        <w:keepNext/>
        <w:keepLines/>
        <w:jc w:val="center"/>
      </w:pPr>
      <w:r>
        <w:rPr>
          <w:noProof/>
        </w:rPr>
        <w:drawing>
          <wp:inline distT="0" distB="0" distL="0" distR="0" wp14:anchorId="42AAB238" wp14:editId="2983E124">
            <wp:extent cx="3152775" cy="1238250"/>
            <wp:effectExtent l="0" t="0" r="9525" b="0"/>
            <wp:docPr id="713194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194794" name=""/>
                    <pic:cNvPicPr/>
                  </pic:nvPicPr>
                  <pic:blipFill>
                    <a:blip r:embed="rId10"/>
                    <a:stretch>
                      <a:fillRect/>
                    </a:stretch>
                  </pic:blipFill>
                  <pic:spPr>
                    <a:xfrm>
                      <a:off x="0" y="0"/>
                      <a:ext cx="3152775" cy="1238250"/>
                    </a:xfrm>
                    <a:prstGeom prst="rect">
                      <a:avLst/>
                    </a:prstGeom>
                  </pic:spPr>
                </pic:pic>
              </a:graphicData>
            </a:graphic>
          </wp:inline>
        </w:drawing>
      </w:r>
    </w:p>
    <w:p w14:paraId="358A3A50" w14:textId="77777777" w:rsidR="0063082B" w:rsidRDefault="0063082B" w:rsidP="0063082B">
      <w:pPr>
        <w:pStyle w:val="Caption"/>
        <w:jc w:val="center"/>
      </w:pPr>
      <w:bookmarkStart w:id="4" w:name="_Toc236963111"/>
      <w:r>
        <w:t xml:space="preserve">Figure </w:t>
      </w:r>
      <w:fldSimple w:instr=" STYLEREF 1 \s ">
        <w:r>
          <w:rPr>
            <w:noProof/>
          </w:rPr>
          <w:t>2</w:t>
        </w:r>
      </w:fldSimple>
      <w:r>
        <w:t>.</w:t>
      </w:r>
      <w:fldSimple w:instr=" SEQ Figure \* ARABIC \s 1 ">
        <w:r>
          <w:rPr>
            <w:noProof/>
          </w:rPr>
          <w:t>1</w:t>
        </w:r>
      </w:fldSimple>
      <w:r>
        <w:t xml:space="preserve">: </w:t>
      </w:r>
      <w:r w:rsidRPr="007D300D">
        <w:t>Cadbury Dairy Milk product presentation. Source: Cadbury UK (2026)</w:t>
      </w:r>
      <w:bookmarkEnd w:id="4"/>
    </w:p>
    <w:p w14:paraId="71CFB96C" w14:textId="66E0100B" w:rsidR="001648DA" w:rsidRDefault="001648DA" w:rsidP="001648DA">
      <w:r>
        <w:t xml:space="preserve">Cadbury's high brand recognition, high shelf presence and Easter &amp; Christmas consumption habits in the UK are all positive factors. Cadbury UK (2026) highlights key points within the portfolio, including Dairy Milk, Caramel, Fruit and Nut and Buttons and gifting formats. This size can assist with the daily consumption and sharing </w:t>
      </w:r>
      <w:r w:rsidR="00222A54">
        <w:t>experiences;</w:t>
      </w:r>
      <w:r>
        <w:t xml:space="preserve"> </w:t>
      </w:r>
      <w:r w:rsidR="00222A54">
        <w:t>however,</w:t>
      </w:r>
      <w:r>
        <w:t xml:space="preserve"> a large extension can cause complexity in a well-established market where competition exists between brands and retailers.</w:t>
      </w:r>
    </w:p>
    <w:p w14:paraId="7D4A6EFF" w14:textId="03C46376" w:rsidR="0063082B" w:rsidRDefault="001648DA" w:rsidP="001648DA">
      <w:r>
        <w:t>India is a mature market that Cadbury has been in since 1948. Mondelēz India (2026) boasts over 70 years of local operations backed up by manufacturing facilities and regional distribution. Localisation is desirable as it favours affordable packing, gifting at festivals and market access. Yet, due to variations in income levels, climatic conditions, language and retail configuration, national executions are not suitable. Cadbury therefore has to capitalize on Mondelēz's global resources while adhering to local relevance and consumer's trust.</w:t>
      </w:r>
    </w:p>
    <w:p w14:paraId="2B911709" w14:textId="77777777" w:rsidR="0063082B" w:rsidRDefault="0063082B" w:rsidP="0063082B">
      <w:pPr>
        <w:spacing w:after="200" w:line="276" w:lineRule="auto"/>
        <w:jc w:val="left"/>
      </w:pPr>
      <w:r>
        <w:br w:type="page"/>
      </w:r>
    </w:p>
    <w:p w14:paraId="782D8B68" w14:textId="1376AF6E" w:rsidR="0063082B" w:rsidRDefault="00445754" w:rsidP="00764FD0">
      <w:pPr>
        <w:pStyle w:val="Heading1"/>
      </w:pPr>
      <w:bookmarkStart w:id="5" w:name="_Toc237479773"/>
      <w:r>
        <w:lastRenderedPageBreak/>
        <w:t xml:space="preserve">2.- </w:t>
      </w:r>
      <w:r w:rsidR="0063082B">
        <w:t xml:space="preserve">Comparative macro and </w:t>
      </w:r>
      <w:r w:rsidR="00D62B64">
        <w:t>socio-cultural</w:t>
      </w:r>
      <w:r w:rsidR="0063082B">
        <w:t xml:space="preserve"> analysis</w:t>
      </w:r>
      <w:bookmarkEnd w:id="5"/>
    </w:p>
    <w:p w14:paraId="064A1E81" w14:textId="539187C6" w:rsidR="0063082B" w:rsidRDefault="00C631CA" w:rsidP="0063082B">
      <w:r w:rsidRPr="00C631CA">
        <w:t>PESTEL is not a checklist, but a screening tool. Albrecht, Green and Hoffman (2023) highlight that macro forces interact and that a favourable one can yield an unfavourable second-order effect. Every such judgement is thus connected with Cadbury's capacity to generate demand, maintain margin and supply chocolate always.</w:t>
      </w:r>
    </w:p>
    <w:p w14:paraId="6480E8F1" w14:textId="77777777" w:rsidR="0063082B" w:rsidRDefault="0063082B" w:rsidP="0063082B">
      <w:pPr>
        <w:keepNext/>
        <w:keepLines/>
        <w:jc w:val="center"/>
      </w:pPr>
      <w:r>
        <w:rPr>
          <w:noProof/>
        </w:rPr>
        <w:drawing>
          <wp:inline distT="0" distB="0" distL="0" distR="0" wp14:anchorId="4360F0E7" wp14:editId="7906AB0D">
            <wp:extent cx="5669280" cy="15461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2_pestle_openstax.png"/>
                    <pic:cNvPicPr/>
                  </pic:nvPicPr>
                  <pic:blipFill>
                    <a:blip r:embed="rId11"/>
                    <a:stretch>
                      <a:fillRect/>
                    </a:stretch>
                  </pic:blipFill>
                  <pic:spPr>
                    <a:xfrm>
                      <a:off x="0" y="0"/>
                      <a:ext cx="5669280" cy="1546167"/>
                    </a:xfrm>
                    <a:prstGeom prst="rect">
                      <a:avLst/>
                    </a:prstGeom>
                  </pic:spPr>
                </pic:pic>
              </a:graphicData>
            </a:graphic>
          </wp:inline>
        </w:drawing>
      </w:r>
    </w:p>
    <w:p w14:paraId="40755A97" w14:textId="77777777" w:rsidR="0063082B" w:rsidRDefault="0063082B" w:rsidP="0063082B">
      <w:pPr>
        <w:pStyle w:val="Caption"/>
        <w:jc w:val="center"/>
      </w:pPr>
      <w:bookmarkStart w:id="6" w:name="_Toc236963112"/>
      <w:r>
        <w:t xml:space="preserve">Figure </w:t>
      </w:r>
      <w:fldSimple w:instr=" STYLEREF 1 \s ">
        <w:r>
          <w:rPr>
            <w:noProof/>
          </w:rPr>
          <w:t>3</w:t>
        </w:r>
      </w:fldSimple>
      <w:r>
        <w:t>.</w:t>
      </w:r>
      <w:fldSimple w:instr=" SEQ Figure \* ARABIC \s 1 ">
        <w:r>
          <w:rPr>
            <w:noProof/>
          </w:rPr>
          <w:t>1</w:t>
        </w:r>
      </w:fldSimple>
      <w:r>
        <w:t xml:space="preserve">: </w:t>
      </w:r>
      <w:r w:rsidRPr="009F45BD">
        <w:t>PESTLE factors used to analyse the macro environment. Source: Albrecht, Green and Hoffman (2023)</w:t>
      </w:r>
      <w:bookmarkEnd w:id="6"/>
    </w:p>
    <w:p w14:paraId="7121220D" w14:textId="37B0F428" w:rsidR="0063082B" w:rsidRDefault="00445754" w:rsidP="0063082B">
      <w:pPr>
        <w:pStyle w:val="Heading2"/>
      </w:pPr>
      <w:bookmarkStart w:id="7" w:name="_Toc236963130"/>
      <w:bookmarkStart w:id="8" w:name="_Toc237479774"/>
      <w:r>
        <w:rPr>
          <w:rFonts w:eastAsia="Arial"/>
        </w:rPr>
        <w:t>2</w:t>
      </w:r>
      <w:r w:rsidR="0063082B">
        <w:rPr>
          <w:rFonts w:eastAsia="Arial"/>
        </w:rPr>
        <w:t>.1 Political factors</w:t>
      </w:r>
      <w:bookmarkEnd w:id="7"/>
      <w:bookmarkEnd w:id="8"/>
    </w:p>
    <w:p w14:paraId="1F244CB4" w14:textId="69B8439A" w:rsidR="0063082B" w:rsidRDefault="0063082B" w:rsidP="0063082B">
      <w:pPr>
        <w:pStyle w:val="Heading3"/>
      </w:pPr>
      <w:bookmarkStart w:id="9" w:name="_Toc236963131"/>
      <w:bookmarkStart w:id="10" w:name="_Toc237479775"/>
      <w:r>
        <w:rPr>
          <w:rFonts w:eastAsia="Arial"/>
        </w:rPr>
        <w:t>United Kingdom</w:t>
      </w:r>
      <w:bookmarkEnd w:id="9"/>
      <w:bookmarkEnd w:id="10"/>
    </w:p>
    <w:p w14:paraId="35BE3855" w14:textId="77777777" w:rsidR="00C631CA" w:rsidRDefault="00C631CA" w:rsidP="00C631CA">
      <w:r>
        <w:t>There is stable government, property rights and established retail institutions in the United Kingdom. This is good for brand investment and contracts in the long term. Not entirely positive as post Brexit administration will bring added time and expense in respect of imported cocoa/sugar/packaging. Even if the demand has not changed, political decisions can affect industry costs and thus make supply resilience a marketing issue, rather than just an operational one (Morris 2021).</w:t>
      </w:r>
    </w:p>
    <w:p w14:paraId="511FAE48" w14:textId="0F5B70AC" w:rsidR="0063082B" w:rsidRDefault="0063082B" w:rsidP="0063082B">
      <w:pPr>
        <w:pStyle w:val="Heading3"/>
      </w:pPr>
      <w:bookmarkStart w:id="11" w:name="_Toc236963132"/>
      <w:bookmarkStart w:id="12" w:name="_Toc237479776"/>
      <w:r>
        <w:rPr>
          <w:rFonts w:eastAsia="Arial"/>
        </w:rPr>
        <w:t>India</w:t>
      </w:r>
      <w:bookmarkEnd w:id="11"/>
      <w:bookmarkEnd w:id="12"/>
    </w:p>
    <w:p w14:paraId="476DF39F" w14:textId="0F8ADD8A" w:rsidR="0063082B" w:rsidRPr="00AD4E8E" w:rsidRDefault="00AD4E8E" w:rsidP="0063082B">
      <w:r w:rsidRPr="00AD4E8E">
        <w:t>The national policy landscape in India is moderately favourable, as domestic manufacturing, formalisation and digital commerce are supported by the national policies in line with Cadbury's local factories and long-term presence. But this benefit is tempered by state-level administration and unevenly applied food, tax and packaging regulations. International innovation can be facilitated by local networks (Lopes et al., 2022), but Cadbury is still in need of state-specific compliance and distribution. The political climate is favorable, but complex as an operational level.</w:t>
      </w:r>
    </w:p>
    <w:p w14:paraId="6027F114" w14:textId="2456D9DF" w:rsidR="0063082B" w:rsidRDefault="00445754" w:rsidP="0063082B">
      <w:pPr>
        <w:pStyle w:val="Heading2"/>
        <w:rPr>
          <w:rFonts w:eastAsia="Arial"/>
        </w:rPr>
      </w:pPr>
      <w:bookmarkStart w:id="13" w:name="_Toc236963133"/>
      <w:bookmarkStart w:id="14" w:name="_Toc237479777"/>
      <w:r>
        <w:rPr>
          <w:rFonts w:eastAsia="Arial"/>
        </w:rPr>
        <w:lastRenderedPageBreak/>
        <w:t>2</w:t>
      </w:r>
      <w:r w:rsidR="0063082B">
        <w:rPr>
          <w:rFonts w:eastAsia="Arial"/>
        </w:rPr>
        <w:t>.2 Economic factors</w:t>
      </w:r>
      <w:bookmarkEnd w:id="13"/>
      <w:bookmarkEnd w:id="14"/>
    </w:p>
    <w:p w14:paraId="77586FB1" w14:textId="21189076" w:rsidR="0063082B" w:rsidRDefault="0063082B" w:rsidP="0063082B">
      <w:pPr>
        <w:pStyle w:val="Heading3"/>
      </w:pPr>
      <w:bookmarkStart w:id="15" w:name="_Toc236963134"/>
      <w:bookmarkStart w:id="16" w:name="_Toc237479778"/>
      <w:r>
        <w:rPr>
          <w:rFonts w:eastAsia="Arial"/>
        </w:rPr>
        <w:t>United Kingdom</w:t>
      </w:r>
      <w:bookmarkEnd w:id="15"/>
      <w:bookmarkEnd w:id="16"/>
    </w:p>
    <w:p w14:paraId="3AEB7AE4" w14:textId="0CAE5E1D" w:rsidR="00300FD7" w:rsidRDefault="00300FD7" w:rsidP="00300FD7">
      <w:r>
        <w:t xml:space="preserve">It is an established </w:t>
      </w:r>
      <w:r w:rsidR="00C1722E">
        <w:t>high-income</w:t>
      </w:r>
      <w:r>
        <w:t xml:space="preserve"> market for chocolate, with dense modern retail in the United Kingdom. This is ideal for top ups and gifting. ONS (2026) reported consumer price inflation of 3.4 per cent in December 2025 and 4.5 per cent food and </w:t>
      </w:r>
      <w:r w:rsidR="00C1722E">
        <w:t>non-alcoholic</w:t>
      </w:r>
      <w:r>
        <w:t xml:space="preserve"> beverage inflation rate. This is not desirable as the households may trade down or wait for promotion. Cadbury benefits from purchasing strength but is up against a mature demand for their product, retailer power and pressure on accessible pricing.</w:t>
      </w:r>
    </w:p>
    <w:p w14:paraId="266D0AC1" w14:textId="4B6BF76E" w:rsidR="0063082B" w:rsidRDefault="0063082B" w:rsidP="0063082B">
      <w:pPr>
        <w:pStyle w:val="Heading3"/>
        <w:rPr>
          <w:rFonts w:eastAsia="Arial"/>
        </w:rPr>
      </w:pPr>
      <w:bookmarkStart w:id="17" w:name="_Toc236963135"/>
      <w:bookmarkStart w:id="18" w:name="_Toc237479779"/>
      <w:r>
        <w:rPr>
          <w:rFonts w:eastAsia="Arial"/>
        </w:rPr>
        <w:t>India</w:t>
      </w:r>
      <w:bookmarkEnd w:id="17"/>
      <w:bookmarkEnd w:id="18"/>
    </w:p>
    <w:p w14:paraId="3A4C4722" w14:textId="77777777" w:rsidR="00D975D9" w:rsidRDefault="00D975D9" w:rsidP="00D975D9">
      <w:pPr>
        <w:keepNext/>
        <w:keepLines/>
        <w:jc w:val="center"/>
      </w:pPr>
      <w:r>
        <w:rPr>
          <w:noProof/>
        </w:rPr>
        <w:drawing>
          <wp:inline distT="0" distB="0" distL="0" distR="0" wp14:anchorId="2A552CA8" wp14:editId="3655CC3B">
            <wp:extent cx="2983260" cy="479735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3_india_gdp.png"/>
                    <pic:cNvPicPr/>
                  </pic:nvPicPr>
                  <pic:blipFill>
                    <a:blip r:embed="rId12"/>
                    <a:stretch>
                      <a:fillRect/>
                    </a:stretch>
                  </pic:blipFill>
                  <pic:spPr>
                    <a:xfrm>
                      <a:off x="0" y="0"/>
                      <a:ext cx="2983927" cy="4798429"/>
                    </a:xfrm>
                    <a:prstGeom prst="rect">
                      <a:avLst/>
                    </a:prstGeom>
                  </pic:spPr>
                </pic:pic>
              </a:graphicData>
            </a:graphic>
          </wp:inline>
        </w:drawing>
      </w:r>
    </w:p>
    <w:p w14:paraId="3033478A" w14:textId="0A614EAF" w:rsidR="00D975D9" w:rsidRPr="00D975D9" w:rsidRDefault="00D975D9" w:rsidP="00D975D9">
      <w:pPr>
        <w:pStyle w:val="Caption"/>
        <w:jc w:val="center"/>
      </w:pPr>
      <w:bookmarkStart w:id="19" w:name="_Toc236963113"/>
      <w:r>
        <w:t xml:space="preserve">Figure </w:t>
      </w:r>
      <w:r w:rsidR="005B75B4">
        <w:fldChar w:fldCharType="begin"/>
      </w:r>
      <w:r w:rsidR="005B75B4">
        <w:instrText xml:space="preserve"> STYLEREF 1 \s </w:instrText>
      </w:r>
      <w:r w:rsidR="005B75B4">
        <w:fldChar w:fldCharType="separate"/>
      </w:r>
      <w:r>
        <w:rPr>
          <w:noProof/>
        </w:rPr>
        <w:t>3</w:t>
      </w:r>
      <w:r w:rsidR="005B75B4">
        <w:rPr>
          <w:noProof/>
        </w:rPr>
        <w:fldChar w:fldCharType="end"/>
      </w:r>
      <w:r>
        <w:t>.</w:t>
      </w:r>
      <w:r w:rsidR="005B75B4">
        <w:fldChar w:fldCharType="begin"/>
      </w:r>
      <w:r w:rsidR="005B75B4">
        <w:instrText xml:space="preserve"> SEQ Figure \* ARABIC \s 1 </w:instrText>
      </w:r>
      <w:r w:rsidR="005B75B4">
        <w:fldChar w:fldCharType="separate"/>
      </w:r>
      <w:r>
        <w:rPr>
          <w:noProof/>
        </w:rPr>
        <w:t>2</w:t>
      </w:r>
      <w:r w:rsidR="005B75B4">
        <w:rPr>
          <w:noProof/>
        </w:rPr>
        <w:fldChar w:fldCharType="end"/>
      </w:r>
      <w:r>
        <w:t xml:space="preserve">: </w:t>
      </w:r>
      <w:r w:rsidRPr="00BD5132">
        <w:t>Official Indian GDP growth estimates for 2025 to 2026. Source: MOSPI (2026)</w:t>
      </w:r>
      <w:bookmarkEnd w:id="19"/>
    </w:p>
    <w:p w14:paraId="4042646E" w14:textId="6AD94180" w:rsidR="0063082B" w:rsidRDefault="00300FD7" w:rsidP="0063082B">
      <w:r w:rsidRPr="00300FD7">
        <w:rPr>
          <w:rFonts w:eastAsia="Arial"/>
        </w:rPr>
        <w:lastRenderedPageBreak/>
        <w:t>The volume opportunity in India is the higher of the two. For 2025-26, real GDP growth of 7.8 per cent is estimated by MOSPI, which is favorable for premiumisation and urban income. Average growth hides affordability. Czeczotko et al. (2022) demonstrate that price and quality/trust influence private-label choice, highlighting how value pressures can heighten switching. Small packs open up wider access and Silk pulls out high WTP and inflation in cocoa and movement in rupee remains unfavourable.</w:t>
      </w:r>
    </w:p>
    <w:p w14:paraId="4E13B364" w14:textId="627D1FC7" w:rsidR="0063082B" w:rsidRDefault="00445754" w:rsidP="0063082B">
      <w:pPr>
        <w:pStyle w:val="Heading2"/>
        <w:rPr>
          <w:rFonts w:eastAsia="Arial"/>
        </w:rPr>
      </w:pPr>
      <w:bookmarkStart w:id="20" w:name="_Toc236963136"/>
      <w:bookmarkStart w:id="21" w:name="_Toc237479780"/>
      <w:r>
        <w:rPr>
          <w:rFonts w:eastAsia="Arial"/>
        </w:rPr>
        <w:t>2</w:t>
      </w:r>
      <w:r w:rsidR="0063082B">
        <w:rPr>
          <w:rFonts w:eastAsia="Arial"/>
        </w:rPr>
        <w:t>.3 Social and cultural factors</w:t>
      </w:r>
      <w:bookmarkEnd w:id="20"/>
      <w:bookmarkEnd w:id="21"/>
    </w:p>
    <w:p w14:paraId="64D5DE97" w14:textId="706CC974" w:rsidR="0063082B" w:rsidRPr="006D6266" w:rsidRDefault="0063082B" w:rsidP="0063082B">
      <w:pPr>
        <w:pStyle w:val="Heading3"/>
      </w:pPr>
      <w:bookmarkStart w:id="22" w:name="_Toc236963137"/>
      <w:bookmarkStart w:id="23" w:name="_Toc237479781"/>
      <w:r>
        <w:rPr>
          <w:rFonts w:eastAsia="Arial"/>
        </w:rPr>
        <w:t>United Kingdom</w:t>
      </w:r>
      <w:bookmarkEnd w:id="22"/>
      <w:bookmarkEnd w:id="23"/>
      <w:r>
        <w:t xml:space="preserve"> </w:t>
      </w:r>
    </w:p>
    <w:p w14:paraId="7BC929D5" w14:textId="1945C0BA" w:rsidR="0063082B" w:rsidRDefault="00300FD7" w:rsidP="0063082B">
      <w:r w:rsidRPr="00300FD7">
        <w:t>British chocolate is found in confections, gifts and holidays. Heritage and purple packaging are good – reduces perceived risk. The health scare of sugar is not a positive hindrance to often eating sugar. However, Paparella et al. (2025) differentiate the benefits of cocoa from the nutritional composition of the finished chocolate. But Cadbury cannot give these additional attributes of high sugar and large portions as reasons for cocoa health associations. It has to be about responsible enjoyment but not water down the emotional selling point.</w:t>
      </w:r>
    </w:p>
    <w:p w14:paraId="6F56CE8E" w14:textId="74C51FEE" w:rsidR="0063082B" w:rsidRDefault="0063082B" w:rsidP="0063082B">
      <w:pPr>
        <w:pStyle w:val="Heading3"/>
      </w:pPr>
      <w:bookmarkStart w:id="24" w:name="_Toc236963138"/>
      <w:bookmarkStart w:id="25" w:name="_Toc237479782"/>
      <w:r>
        <w:rPr>
          <w:rFonts w:eastAsia="Arial"/>
        </w:rPr>
        <w:t>India</w:t>
      </w:r>
      <w:bookmarkEnd w:id="24"/>
      <w:bookmarkEnd w:id="25"/>
    </w:p>
    <w:p w14:paraId="703F194A" w14:textId="2051F627" w:rsidR="0063082B" w:rsidRDefault="00300FD7" w:rsidP="0063082B">
      <w:r w:rsidRPr="00300FD7">
        <w:t xml:space="preserve">In India, sweets are opportunities to express love, happiness and prestige. This is good as chocolate could be used during Diwali, Raksha Bandhan and any personal milestones where mithai is normally consumed. Perceived globalness and localness can combine to intensify the brand response, say Safeer et al. (2022). Cultural heterogeneity is the unfavourable factor. </w:t>
      </w:r>
      <w:r w:rsidR="00AD4E8E" w:rsidRPr="00AD4E8E">
        <w:t>Languages, religions, regional tastes and vegetarian assurance call for adaptation, Cadbury faces the competition from other chocolate brands and already established local sweets.</w:t>
      </w:r>
    </w:p>
    <w:p w14:paraId="3FBA27E4" w14:textId="2A80D2B5" w:rsidR="0063082B" w:rsidRDefault="0063082B" w:rsidP="0063082B">
      <w:pPr>
        <w:pStyle w:val="Heading3"/>
      </w:pPr>
      <w:bookmarkStart w:id="26" w:name="_Toc236963139"/>
      <w:bookmarkStart w:id="27" w:name="_Toc237479783"/>
      <w:r>
        <w:rPr>
          <w:rFonts w:eastAsia="Arial"/>
        </w:rPr>
        <w:t>Cultural comparison through Hofstede</w:t>
      </w:r>
      <w:bookmarkEnd w:id="26"/>
      <w:bookmarkEnd w:id="27"/>
    </w:p>
    <w:p w14:paraId="341C7661" w14:textId="77777777" w:rsidR="001648DA" w:rsidRDefault="001648DA" w:rsidP="001648DA">
      <w:r>
        <w:t xml:space="preserve">According to The Culture Factor (2026), the Power Distance index for India is 77 and the Individualism index is 24 whereas in the United Kingdom they are 35 and 76 respectively. Indian consumers are thus more sensitive to authority; family approval and relationship-oriented gifts, and British consumers are more open to a communication approach that is informal, more personal and based on personal choices. Cadbury </w:t>
      </w:r>
      <w:r>
        <w:lastRenderedPageBreak/>
        <w:t>should maintain one brand identity (emotional) of their brand but revisit the social aspect of their campaigns.</w:t>
      </w:r>
    </w:p>
    <w:p w14:paraId="04931E25" w14:textId="7B4B3806" w:rsidR="0063082B" w:rsidRDefault="001648DA" w:rsidP="001648DA">
      <w:r>
        <w:t>India and Britain have a score of 56 and 66 for achievement orientation, 40 and 35 for uncertainty avoidance and 51 and 60 for longterm orientation. These fairly tight scores vouch for quality, innovation and pragmatic value messages in both markets. There is the biggest gap as far as indulgence is concerned, with India's score of 26 compared with Britain's score of 69. In a simple way, British communication can stress the open enjoyment, whilst Indian indulgence can be related more easily with festivals, relationship and giving.</w:t>
      </w:r>
    </w:p>
    <w:p w14:paraId="1AF82691" w14:textId="77777777" w:rsidR="0063082B" w:rsidRDefault="0063082B" w:rsidP="0063082B">
      <w:pPr>
        <w:keepNext/>
        <w:keepLines/>
        <w:jc w:val="center"/>
      </w:pPr>
      <w:r>
        <w:rPr>
          <w:noProof/>
        </w:rPr>
        <w:drawing>
          <wp:inline distT="0" distB="0" distL="0" distR="0" wp14:anchorId="54679B0D" wp14:editId="25B42A1A">
            <wp:extent cx="5669280" cy="286125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fstede_india_uk_official.png"/>
                    <pic:cNvPicPr/>
                  </pic:nvPicPr>
                  <pic:blipFill>
                    <a:blip r:embed="rId13"/>
                    <a:stretch>
                      <a:fillRect/>
                    </a:stretch>
                  </pic:blipFill>
                  <pic:spPr>
                    <a:xfrm>
                      <a:off x="0" y="0"/>
                      <a:ext cx="5669280" cy="2861256"/>
                    </a:xfrm>
                    <a:prstGeom prst="rect">
                      <a:avLst/>
                    </a:prstGeom>
                  </pic:spPr>
                </pic:pic>
              </a:graphicData>
            </a:graphic>
          </wp:inline>
        </w:drawing>
      </w:r>
    </w:p>
    <w:p w14:paraId="3CEC5A33" w14:textId="77777777" w:rsidR="0063082B" w:rsidRDefault="0063082B" w:rsidP="0063082B">
      <w:pPr>
        <w:pStyle w:val="Caption"/>
        <w:jc w:val="center"/>
      </w:pPr>
      <w:bookmarkStart w:id="28" w:name="_Toc236963114"/>
      <w:r>
        <w:t xml:space="preserve">Figure </w:t>
      </w:r>
      <w:fldSimple w:instr=" STYLEREF 1 \s ">
        <w:r>
          <w:rPr>
            <w:noProof/>
          </w:rPr>
          <w:t>3</w:t>
        </w:r>
      </w:fldSimple>
      <w:r>
        <w:t>.</w:t>
      </w:r>
      <w:fldSimple w:instr=" SEQ Figure \* ARABIC \s 1 ">
        <w:r>
          <w:rPr>
            <w:noProof/>
          </w:rPr>
          <w:t>3</w:t>
        </w:r>
      </w:fldSimple>
      <w:r>
        <w:t xml:space="preserve">: </w:t>
      </w:r>
      <w:r w:rsidRPr="009714F0">
        <w:t>Hofstede cultural dimensions for India and the United Kingdom. Source: The Culture Factor (2026)</w:t>
      </w:r>
      <w:bookmarkEnd w:id="28"/>
    </w:p>
    <w:p w14:paraId="741D70A6" w14:textId="065C2655" w:rsidR="0063082B" w:rsidRDefault="00587CAC" w:rsidP="0063082B">
      <w:r w:rsidRPr="00587CAC">
        <w:t>Rinklin et al. (2022) warns that not all consumers can be predicted by national dimensions. Saying that, the diversity of regions and changes in culture might find urban Indian consumers closer to the globally connected British populations. Cadbury needs to adopt therefore Hofstede as a strategic guide and validate the assumptions with local research and campaign evidence.</w:t>
      </w:r>
    </w:p>
    <w:p w14:paraId="287781AC" w14:textId="24EFD4E1" w:rsidR="0063082B" w:rsidRDefault="00445754" w:rsidP="0063082B">
      <w:pPr>
        <w:pStyle w:val="Heading2"/>
      </w:pPr>
      <w:bookmarkStart w:id="29" w:name="_Toc236963140"/>
      <w:bookmarkStart w:id="30" w:name="_Toc237479784"/>
      <w:r>
        <w:rPr>
          <w:rFonts w:eastAsia="Arial"/>
        </w:rPr>
        <w:t>2</w:t>
      </w:r>
      <w:r w:rsidR="0063082B">
        <w:rPr>
          <w:rFonts w:eastAsia="Arial"/>
        </w:rPr>
        <w:t>.4 Technological factors</w:t>
      </w:r>
      <w:bookmarkEnd w:id="29"/>
      <w:bookmarkEnd w:id="30"/>
    </w:p>
    <w:p w14:paraId="0BB67695" w14:textId="6759750A" w:rsidR="0063082B" w:rsidRDefault="0063082B" w:rsidP="0063082B">
      <w:pPr>
        <w:pStyle w:val="Heading3"/>
      </w:pPr>
      <w:bookmarkStart w:id="31" w:name="_Toc236963141"/>
      <w:bookmarkStart w:id="32" w:name="_Toc237479785"/>
      <w:r>
        <w:rPr>
          <w:rFonts w:eastAsia="Arial"/>
        </w:rPr>
        <w:t>United Kingdom</w:t>
      </w:r>
      <w:bookmarkEnd w:id="31"/>
      <w:bookmarkEnd w:id="32"/>
      <w:r>
        <w:t xml:space="preserve"> </w:t>
      </w:r>
    </w:p>
    <w:p w14:paraId="71EFF676" w14:textId="66678A14" w:rsidR="0063082B" w:rsidRDefault="00300FD7" w:rsidP="0063082B">
      <w:r w:rsidRPr="00300FD7">
        <w:t xml:space="preserve">Internet access, card payments, retailer data and online grocery are all high in the United Kingdom. This is a good time for individual offers or for seeing stocks. Hu et al. </w:t>
      </w:r>
      <w:r w:rsidRPr="00300FD7">
        <w:lastRenderedPageBreak/>
        <w:t>(2022) indicate that the social media can impact on purchase, it can be done through the interaction and the quality of information. The negative connotation is clutter, privacy issues and poor attribution. Cadbury requires permissioned use of data and innovative ideas, not to rely on the idea that "more digital" equals equity.</w:t>
      </w:r>
    </w:p>
    <w:p w14:paraId="1DCEFFE2" w14:textId="72C21699" w:rsidR="0063082B" w:rsidRDefault="0063082B" w:rsidP="0063082B">
      <w:pPr>
        <w:pStyle w:val="Heading3"/>
      </w:pPr>
      <w:bookmarkStart w:id="33" w:name="_Toc236963142"/>
      <w:bookmarkStart w:id="34" w:name="_Toc237479786"/>
      <w:r>
        <w:rPr>
          <w:rFonts w:eastAsia="Arial"/>
        </w:rPr>
        <w:t>India</w:t>
      </w:r>
      <w:bookmarkEnd w:id="33"/>
      <w:bookmarkEnd w:id="34"/>
    </w:p>
    <w:p w14:paraId="293B540D" w14:textId="779FD954" w:rsidR="0063082B" w:rsidRDefault="00300FD7" w:rsidP="0063082B">
      <w:r w:rsidRPr="00300FD7">
        <w:t>Mobile-first ecosystem and instant payments and quick commerce are favourable for India's impulse availability and quick launches. The 2026 Silk Dubai Chocolate launch was a seamless blend of trend spotting online and immediate satisfaction. However, Madlenak et al. (2025) caution that the methods employed online are not uniform across countries and cannot simply be imported from Britain. Outside the main cities, unequal connectivity and digital literacy remain a hindrance, so old-fashioned retail visibility and the distributor capability is important.</w:t>
      </w:r>
    </w:p>
    <w:p w14:paraId="64142D1E" w14:textId="1BED13E9" w:rsidR="0063082B" w:rsidRDefault="00445754" w:rsidP="0063082B">
      <w:pPr>
        <w:pStyle w:val="Heading2"/>
        <w:rPr>
          <w:rFonts w:eastAsia="Arial"/>
        </w:rPr>
      </w:pPr>
      <w:bookmarkStart w:id="35" w:name="_Toc236963143"/>
      <w:bookmarkStart w:id="36" w:name="_Toc237479787"/>
      <w:r>
        <w:rPr>
          <w:rFonts w:eastAsia="Arial"/>
        </w:rPr>
        <w:t>2</w:t>
      </w:r>
      <w:r w:rsidR="0063082B">
        <w:rPr>
          <w:rFonts w:eastAsia="Arial"/>
        </w:rPr>
        <w:t>.5 Environmental factors</w:t>
      </w:r>
      <w:bookmarkEnd w:id="35"/>
      <w:bookmarkEnd w:id="36"/>
    </w:p>
    <w:p w14:paraId="7513D327" w14:textId="2E6820F7" w:rsidR="0063082B" w:rsidRPr="001F0565" w:rsidRDefault="0063082B" w:rsidP="0063082B">
      <w:pPr>
        <w:pStyle w:val="Heading3"/>
      </w:pPr>
      <w:bookmarkStart w:id="37" w:name="_Toc236963144"/>
      <w:bookmarkStart w:id="38" w:name="_Toc237479788"/>
      <w:r>
        <w:rPr>
          <w:rFonts w:eastAsia="Arial"/>
        </w:rPr>
        <w:t>United Kingdom</w:t>
      </w:r>
      <w:bookmarkEnd w:id="37"/>
      <w:bookmarkEnd w:id="38"/>
      <w:r>
        <w:t xml:space="preserve"> </w:t>
      </w:r>
    </w:p>
    <w:p w14:paraId="597F2976" w14:textId="77777777" w:rsidR="00300FD7" w:rsidRDefault="00300FD7" w:rsidP="00300FD7">
      <w:r>
        <w:t>Both markets are under environmental pressure: Cocoa is climate stressed and chocolate depends on energy, transportation and multilayer packaging. Wang and Dong (2024) pinpoint effects as they occur throughout cultivation, processing and packing. Because of UK consumer scrutiny and recycling infrastructure, it creates the right pressure which can speed up the process of innovation. When new materials contribute to cost, or reduces protection of the product, it is not financially desirable. Cadbury cannot engage in symbolic changes, simply moving impacts from one to the other.</w:t>
      </w:r>
    </w:p>
    <w:p w14:paraId="38331E81" w14:textId="131BD73C" w:rsidR="0063082B" w:rsidRDefault="0063082B" w:rsidP="0063082B">
      <w:pPr>
        <w:pStyle w:val="Heading3"/>
      </w:pPr>
      <w:bookmarkStart w:id="39" w:name="_Toc236963145"/>
      <w:bookmarkStart w:id="40" w:name="_Toc237479789"/>
      <w:r>
        <w:rPr>
          <w:rFonts w:eastAsia="Arial"/>
        </w:rPr>
        <w:t>India</w:t>
      </w:r>
      <w:bookmarkEnd w:id="39"/>
      <w:bookmarkEnd w:id="40"/>
    </w:p>
    <w:p w14:paraId="1C2616BA" w14:textId="2CC879FD" w:rsidR="0063082B" w:rsidRDefault="00300FD7" w:rsidP="0063082B">
      <w:r w:rsidRPr="00300FD7">
        <w:t>The context of India is mixed. Local manufacturing is preferable as it cuts down on imports of finished products and enhances response. Heat and geography are unfavourable, chocolate requires resilient formulation and warehousing/last mile handling. Oloyede and Lignou (2021) discover that although the value of paper packaging is acknowledged, it must still safeguard the product. Small packs helps to keep things affordable, but may raise the gram content of materials. A verified reduction and collection claim is more impactful than a plastic free claim.</w:t>
      </w:r>
    </w:p>
    <w:p w14:paraId="7C42AB91" w14:textId="324116CA" w:rsidR="0063082B" w:rsidRDefault="00445754" w:rsidP="0063082B">
      <w:pPr>
        <w:pStyle w:val="Heading2"/>
      </w:pPr>
      <w:bookmarkStart w:id="41" w:name="_Toc236963146"/>
      <w:bookmarkStart w:id="42" w:name="_Toc237479790"/>
      <w:r>
        <w:rPr>
          <w:rFonts w:eastAsia="Arial"/>
        </w:rPr>
        <w:lastRenderedPageBreak/>
        <w:t>2</w:t>
      </w:r>
      <w:r w:rsidR="0063082B">
        <w:rPr>
          <w:rFonts w:eastAsia="Arial"/>
        </w:rPr>
        <w:t>.6 Legal factors</w:t>
      </w:r>
      <w:bookmarkEnd w:id="41"/>
      <w:bookmarkEnd w:id="42"/>
    </w:p>
    <w:p w14:paraId="24BCDD40" w14:textId="289F9F4E" w:rsidR="0063082B" w:rsidRDefault="0063082B" w:rsidP="0063082B">
      <w:pPr>
        <w:pStyle w:val="Heading3"/>
      </w:pPr>
      <w:bookmarkStart w:id="43" w:name="_Toc236963147"/>
      <w:bookmarkStart w:id="44" w:name="_Toc237479791"/>
      <w:r>
        <w:rPr>
          <w:rFonts w:eastAsia="Arial"/>
        </w:rPr>
        <w:t>United Kingdom</w:t>
      </w:r>
      <w:bookmarkEnd w:id="43"/>
      <w:bookmarkEnd w:id="44"/>
    </w:p>
    <w:p w14:paraId="292B4104" w14:textId="77777777" w:rsidR="00300FD7" w:rsidRDefault="00300FD7" w:rsidP="00300FD7">
      <w:r>
        <w:t>The United Kingdom has integrated efficient consumer and labelling and advertising protection. This is good for trust and taking responsibility for competition, but not good for unrestricted promotion. UK Government (2026) agrees 9 pm watershed and paid online ban date for identifiable less healthy food advertising is 5 January 2026, brand advertising could be exempt. It is imperative that Cadbury go back to the basics of brand generosity, retail and experiences instead of compliance as disclaimer.</w:t>
      </w:r>
    </w:p>
    <w:p w14:paraId="7136589C" w14:textId="447946A9" w:rsidR="0063082B" w:rsidRDefault="0063082B" w:rsidP="0063082B">
      <w:pPr>
        <w:pStyle w:val="Heading3"/>
      </w:pPr>
      <w:bookmarkStart w:id="45" w:name="_Toc236963148"/>
      <w:bookmarkStart w:id="46" w:name="_Toc237479792"/>
      <w:r>
        <w:rPr>
          <w:rFonts w:eastAsia="Arial"/>
        </w:rPr>
        <w:t>India</w:t>
      </w:r>
      <w:bookmarkEnd w:id="45"/>
      <w:bookmarkEnd w:id="46"/>
    </w:p>
    <w:p w14:paraId="4CF25E45" w14:textId="2FA7028B" w:rsidR="0063082B" w:rsidRDefault="00300FD7" w:rsidP="0063082B">
      <w:r w:rsidRPr="00300FD7">
        <w:t>India also gains confidence via ingredient, allergen, vegetarian and nutrition rules. FSSAI (2024) has issued a guidance to e-commerce platforms not to classify products as health drinks if there is no legal classification. This is good for clear competition, but not good for ambiguous wellness positioning. The importance of child marketing controls is demonstrated by Al Jawaldeh et al. (2022). Cadbury should implement consistent child protection in packaging, school, influencers, TV and e-commerce.</w:t>
      </w:r>
    </w:p>
    <w:p w14:paraId="091751D0" w14:textId="77777777" w:rsidR="0063082B" w:rsidRDefault="0063082B" w:rsidP="0063082B">
      <w:pPr>
        <w:spacing w:after="200" w:line="276" w:lineRule="auto"/>
        <w:jc w:val="left"/>
      </w:pPr>
      <w:r>
        <w:br w:type="page"/>
      </w:r>
    </w:p>
    <w:p w14:paraId="5EAA5CBF" w14:textId="0F9CE78F" w:rsidR="0063082B" w:rsidRDefault="00445754" w:rsidP="00764FD0">
      <w:pPr>
        <w:pStyle w:val="Heading1"/>
      </w:pPr>
      <w:bookmarkStart w:id="47" w:name="_Toc237479793"/>
      <w:r>
        <w:lastRenderedPageBreak/>
        <w:t xml:space="preserve">3.0 </w:t>
      </w:r>
      <w:r w:rsidR="0063082B">
        <w:t>Comparative segmentation targeting and positioning</w:t>
      </w:r>
      <w:bookmarkEnd w:id="47"/>
    </w:p>
    <w:p w14:paraId="48B4F077" w14:textId="7C55DE8A" w:rsidR="0063082B" w:rsidRDefault="00445754" w:rsidP="0063082B">
      <w:pPr>
        <w:pStyle w:val="Heading2"/>
      </w:pPr>
      <w:bookmarkStart w:id="48" w:name="_Toc236963150"/>
      <w:bookmarkStart w:id="49" w:name="_Toc237479794"/>
      <w:r>
        <w:t>3</w:t>
      </w:r>
      <w:r w:rsidR="0063082B">
        <w:t>.1 Segmentation</w:t>
      </w:r>
      <w:bookmarkEnd w:id="48"/>
      <w:bookmarkEnd w:id="49"/>
    </w:p>
    <w:p w14:paraId="6079E057" w14:textId="0F2B2465" w:rsidR="0063082B" w:rsidRDefault="00300FD7" w:rsidP="0063082B">
      <w:r w:rsidRPr="00300FD7">
        <w:t>Segmentation needs to be done in such a way that the groups identified are measurable, reachable, profitable and responsive. Demographic, psychographic, behavioural and benefit variables are important only if they lead to action argues Myers (2021). For the United Kingdom the relevant segments are families, adult treat seekers, seasonal gift buyers and novelty oriented younger consumers. It's good to see broad penetration, but poor differentiation could result in innovation being reliant on retailer promotion.</w:t>
      </w:r>
    </w:p>
    <w:p w14:paraId="3EA06503" w14:textId="77777777" w:rsidR="0063082B" w:rsidRDefault="0063082B" w:rsidP="0063082B">
      <w:pPr>
        <w:keepNext/>
        <w:keepLines/>
        <w:jc w:val="center"/>
      </w:pPr>
      <w:r>
        <w:rPr>
          <w:noProof/>
        </w:rPr>
        <w:drawing>
          <wp:inline distT="0" distB="0" distL="0" distR="0" wp14:anchorId="0BBFDBE6" wp14:editId="54C437BD">
            <wp:extent cx="1687630" cy="229035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5_market_segments.png"/>
                    <pic:cNvPicPr/>
                  </pic:nvPicPr>
                  <pic:blipFill>
                    <a:blip r:embed="rId14"/>
                    <a:stretch>
                      <a:fillRect/>
                    </a:stretch>
                  </pic:blipFill>
                  <pic:spPr>
                    <a:xfrm>
                      <a:off x="0" y="0"/>
                      <a:ext cx="1687798" cy="2290582"/>
                    </a:xfrm>
                    <a:prstGeom prst="rect">
                      <a:avLst/>
                    </a:prstGeom>
                  </pic:spPr>
                </pic:pic>
              </a:graphicData>
            </a:graphic>
          </wp:inline>
        </w:drawing>
      </w:r>
    </w:p>
    <w:p w14:paraId="2A500426" w14:textId="77777777" w:rsidR="0063082B" w:rsidRDefault="0063082B" w:rsidP="0063082B">
      <w:pPr>
        <w:pStyle w:val="Caption"/>
        <w:jc w:val="center"/>
      </w:pPr>
      <w:bookmarkStart w:id="50" w:name="_Toc236963115"/>
      <w:r>
        <w:t xml:space="preserve">Figure </w:t>
      </w:r>
      <w:fldSimple w:instr=" STYLEREF 1 \s ">
        <w:r>
          <w:rPr>
            <w:noProof/>
          </w:rPr>
          <w:t>4</w:t>
        </w:r>
      </w:fldSimple>
      <w:r>
        <w:t>.</w:t>
      </w:r>
      <w:fldSimple w:instr=" SEQ Figure \* ARABIC \s 1 ">
        <w:r>
          <w:rPr>
            <w:noProof/>
          </w:rPr>
          <w:t>1</w:t>
        </w:r>
      </w:fldSimple>
      <w:r>
        <w:t xml:space="preserve">: </w:t>
      </w:r>
      <w:r w:rsidRPr="0086247B">
        <w:t>Consumer market segmentation categories. Source: LCMB7026 Week 4 lecture material (2026)</w:t>
      </w:r>
      <w:bookmarkEnd w:id="50"/>
    </w:p>
    <w:p w14:paraId="5ABBFA66" w14:textId="03D2AFCB" w:rsidR="0063082B" w:rsidRDefault="00300FD7" w:rsidP="0063082B">
      <w:r w:rsidRPr="00300FD7">
        <w:t>Segmentation by city tier, income, household and festival participation, channel access and price point is needed in India. It ranges from a way for pleasure and relaxation to an upgraded gift. Segmentation can be helpful in cases where there are variations in willingness to pay as demonstrated by Gonen et al. (2024). Cadbury's path from small packs of Dairy Milk to Silk is good; but pack proliferation turns bad when it depletes stock levels and dilutes the master brand.</w:t>
      </w:r>
    </w:p>
    <w:p w14:paraId="7881F7AA" w14:textId="197E9B64" w:rsidR="0063082B" w:rsidRDefault="00445754" w:rsidP="0063082B">
      <w:pPr>
        <w:pStyle w:val="Heading2"/>
      </w:pPr>
      <w:bookmarkStart w:id="51" w:name="_Toc236963151"/>
      <w:bookmarkStart w:id="52" w:name="_Toc237479795"/>
      <w:r>
        <w:t>3</w:t>
      </w:r>
      <w:r w:rsidR="0063082B">
        <w:t>.2 Targeting</w:t>
      </w:r>
      <w:bookmarkEnd w:id="51"/>
      <w:bookmarkEnd w:id="52"/>
    </w:p>
    <w:p w14:paraId="2D072214" w14:textId="30B65B3D" w:rsidR="0063082B" w:rsidRDefault="00300FD7" w:rsidP="0063082B">
      <w:r w:rsidRPr="00300FD7">
        <w:t xml:space="preserve">Cadbury is differentiating both markets but the basis upon which they differentiate is different. New market opportunities for British growth involve within families, the adult treat seeker and the gift buyer. The growth of Indian market relies on city tier, cash </w:t>
      </w:r>
      <w:r w:rsidRPr="00300FD7">
        <w:lastRenderedPageBreak/>
        <w:t>price, distribution channel, involvement in festivals, and the replacement of chocolate over traditional sweets. According to Lim (2022), value is functional, symbolic and experiential. Cadbury thus has an emotional reach in both countries but its economic and social value of the same product is different.</w:t>
      </w:r>
    </w:p>
    <w:p w14:paraId="05B333B5" w14:textId="77777777" w:rsidR="0063082B" w:rsidRDefault="0063082B" w:rsidP="0063082B">
      <w:pPr>
        <w:keepNext/>
        <w:keepLines/>
        <w:jc w:val="center"/>
      </w:pPr>
      <w:r>
        <w:rPr>
          <w:noProof/>
        </w:rPr>
        <w:drawing>
          <wp:inline distT="0" distB="0" distL="0" distR="0" wp14:anchorId="3FBF0CC0" wp14:editId="0D04601C">
            <wp:extent cx="4340680" cy="1104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6_stp_steps.png"/>
                    <pic:cNvPicPr/>
                  </pic:nvPicPr>
                  <pic:blipFill>
                    <a:blip r:embed="rId15"/>
                    <a:stretch>
                      <a:fillRect/>
                    </a:stretch>
                  </pic:blipFill>
                  <pic:spPr>
                    <a:xfrm>
                      <a:off x="0" y="0"/>
                      <a:ext cx="4342698" cy="1105414"/>
                    </a:xfrm>
                    <a:prstGeom prst="rect">
                      <a:avLst/>
                    </a:prstGeom>
                  </pic:spPr>
                </pic:pic>
              </a:graphicData>
            </a:graphic>
          </wp:inline>
        </w:drawing>
      </w:r>
    </w:p>
    <w:p w14:paraId="46D36372" w14:textId="77777777" w:rsidR="0063082B" w:rsidRDefault="0063082B" w:rsidP="0063082B">
      <w:pPr>
        <w:pStyle w:val="Caption"/>
        <w:jc w:val="center"/>
      </w:pPr>
      <w:bookmarkStart w:id="53" w:name="_Toc236963116"/>
      <w:r>
        <w:t xml:space="preserve">Figure </w:t>
      </w:r>
      <w:fldSimple w:instr=" STYLEREF 1 \s ">
        <w:r>
          <w:rPr>
            <w:noProof/>
          </w:rPr>
          <w:t>4</w:t>
        </w:r>
      </w:fldSimple>
      <w:r>
        <w:t>.</w:t>
      </w:r>
      <w:fldSimple w:instr=" SEQ Figure \* ARABIC \s 1 ">
        <w:r>
          <w:rPr>
            <w:noProof/>
          </w:rPr>
          <w:t>2</w:t>
        </w:r>
      </w:fldSimple>
      <w:r>
        <w:t xml:space="preserve">: </w:t>
      </w:r>
      <w:r w:rsidRPr="009C7815">
        <w:t>International market segmentation process. Source: LCMB7026 Week 4 lecture material (2026)</w:t>
      </w:r>
      <w:bookmarkEnd w:id="53"/>
    </w:p>
    <w:p w14:paraId="369AEB33" w14:textId="3652253C" w:rsidR="0063082B" w:rsidRDefault="00445754" w:rsidP="0063082B">
      <w:pPr>
        <w:pStyle w:val="Heading2"/>
      </w:pPr>
      <w:bookmarkStart w:id="54" w:name="_Toc236963152"/>
      <w:bookmarkStart w:id="55" w:name="_Toc237479796"/>
      <w:r>
        <w:t>3</w:t>
      </w:r>
      <w:r w:rsidR="0063082B">
        <w:t>.3 Positioning</w:t>
      </w:r>
      <w:bookmarkEnd w:id="54"/>
      <w:bookmarkEnd w:id="55"/>
    </w:p>
    <w:p w14:paraId="703DD4BF" w14:textId="434C200E" w:rsidR="0063082B" w:rsidRDefault="00300FD7" w:rsidP="0063082B">
      <w:r w:rsidRPr="00300FD7">
        <w:t>Cadbury's own positioning is “trusted, emotionally accessible chocolate.” Benefit positioning in Britain is about "heritage," "known generosity," and "known sharing. In India, it offers love, present and modern easy reaching premiumisation. As demonstrated by Camacho et al. (2022) is the interaction between country of origin on one hand and familiarity and ethnocentrism on the other. British origin a quality cue, if the brand is 'culturally foreign', this is not a good quality cue. Competitive positioning should thus be evaluated against global confectionery in Britain and chocolate brands and the traditional sweets in India.</w:t>
      </w:r>
    </w:p>
    <w:p w14:paraId="0F179FB2" w14:textId="77777777" w:rsidR="0063082B" w:rsidRDefault="0063082B" w:rsidP="0063082B">
      <w:pPr>
        <w:keepNext/>
        <w:keepLines/>
        <w:jc w:val="center"/>
      </w:pPr>
      <w:r>
        <w:rPr>
          <w:noProof/>
        </w:rPr>
        <w:drawing>
          <wp:inline distT="0" distB="0" distL="0" distR="0" wp14:anchorId="32B5ED2B" wp14:editId="08585747">
            <wp:extent cx="2581489" cy="26947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7_perceptual_map.png"/>
                    <pic:cNvPicPr/>
                  </pic:nvPicPr>
                  <pic:blipFill>
                    <a:blip r:embed="rId16"/>
                    <a:stretch>
                      <a:fillRect/>
                    </a:stretch>
                  </pic:blipFill>
                  <pic:spPr>
                    <a:xfrm>
                      <a:off x="0" y="0"/>
                      <a:ext cx="2581545" cy="2694771"/>
                    </a:xfrm>
                    <a:prstGeom prst="rect">
                      <a:avLst/>
                    </a:prstGeom>
                  </pic:spPr>
                </pic:pic>
              </a:graphicData>
            </a:graphic>
          </wp:inline>
        </w:drawing>
      </w:r>
    </w:p>
    <w:p w14:paraId="18563054" w14:textId="77777777" w:rsidR="0063082B" w:rsidRDefault="0063082B" w:rsidP="0063082B">
      <w:pPr>
        <w:pStyle w:val="Caption"/>
        <w:jc w:val="center"/>
      </w:pPr>
      <w:bookmarkStart w:id="56" w:name="_Toc236963117"/>
      <w:r>
        <w:t xml:space="preserve">Figure </w:t>
      </w:r>
      <w:fldSimple w:instr=" STYLEREF 1 \s ">
        <w:r>
          <w:rPr>
            <w:noProof/>
          </w:rPr>
          <w:t>4</w:t>
        </w:r>
      </w:fldSimple>
      <w:r>
        <w:t>.</w:t>
      </w:r>
      <w:fldSimple w:instr=" SEQ Figure \* ARABIC \s 1 ">
        <w:r>
          <w:rPr>
            <w:noProof/>
          </w:rPr>
          <w:t>3</w:t>
        </w:r>
      </w:fldSimple>
      <w:r>
        <w:t xml:space="preserve">: </w:t>
      </w:r>
      <w:r w:rsidRPr="00485EB8">
        <w:t>Example perceptual map used to interpret competitive positioning. Source: Albrecht, Green and Hoffman (2023)</w:t>
      </w:r>
      <w:bookmarkEnd w:id="56"/>
    </w:p>
    <w:p w14:paraId="3D88D6FD" w14:textId="1D920384" w:rsidR="0063082B" w:rsidRDefault="00300FD7" w:rsidP="0063082B">
      <w:r w:rsidRPr="00300FD7">
        <w:lastRenderedPageBreak/>
        <w:t>The Segment attractiveness should be evaluated with the parameters of Measurability, Accessibility, Profitability and Actionability. For British retailers, measurement is favourable, but can be undermined by the impact of promotional leakage. While India has the scale, varying access is available for quick commerce users in metros and cash buyers in the rural areas. Kothari et al. (2025) conclude that digital advertising has the power to gain a person's attention and establish trust. Cadbury should take media data in addition to data on retailer availability and repeat purchase evidence.</w:t>
      </w:r>
    </w:p>
    <w:p w14:paraId="06732EFE" w14:textId="399BB512" w:rsidR="0063082B" w:rsidRDefault="00445754" w:rsidP="00764FD0">
      <w:pPr>
        <w:pStyle w:val="Heading1"/>
      </w:pPr>
      <w:bookmarkStart w:id="57" w:name="_Toc237479797"/>
      <w:r>
        <w:t xml:space="preserve">4.0 </w:t>
      </w:r>
      <w:r w:rsidR="0063082B">
        <w:t>Comparative international marketing mix</w:t>
      </w:r>
      <w:bookmarkEnd w:id="57"/>
    </w:p>
    <w:p w14:paraId="0BDE8C09" w14:textId="4B4E8383" w:rsidR="0063082B" w:rsidRDefault="00300FD7" w:rsidP="0063082B">
      <w:r w:rsidRPr="00300FD7">
        <w:t xml:space="preserve">The </w:t>
      </w:r>
      <w:r w:rsidR="00C1722E" w:rsidRPr="00300FD7">
        <w:t>seven-element</w:t>
      </w:r>
      <w:r w:rsidRPr="00300FD7">
        <w:t xml:space="preserve"> marketing mix illustrates the way that country context turns into market action. Albrecht, Green and Hoffman (2023) says that elements should be centred on the target market. Cadbury's good pieces complement one another, and if there is any mix-up in product, price, channel or communication, it diminishes the brand promise.</w:t>
      </w:r>
    </w:p>
    <w:p w14:paraId="73AEECDD" w14:textId="77777777" w:rsidR="0063082B" w:rsidRDefault="0063082B" w:rsidP="0063082B">
      <w:pPr>
        <w:keepNext/>
        <w:keepLines/>
        <w:jc w:val="center"/>
      </w:pPr>
      <w:r>
        <w:rPr>
          <w:noProof/>
        </w:rPr>
        <w:drawing>
          <wp:inline distT="0" distB="0" distL="0" distR="0" wp14:anchorId="4018EB4D" wp14:editId="1707BEC5">
            <wp:extent cx="3857212" cy="3857212"/>
            <wp:effectExtent l="0" t="0" r="0" b="0"/>
            <wp:docPr id="2060252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52176" name=""/>
                    <pic:cNvPicPr/>
                  </pic:nvPicPr>
                  <pic:blipFill>
                    <a:blip r:embed="rId17"/>
                    <a:stretch>
                      <a:fillRect/>
                    </a:stretch>
                  </pic:blipFill>
                  <pic:spPr>
                    <a:xfrm>
                      <a:off x="0" y="0"/>
                      <a:ext cx="3857757" cy="3857757"/>
                    </a:xfrm>
                    <a:prstGeom prst="rect">
                      <a:avLst/>
                    </a:prstGeom>
                  </pic:spPr>
                </pic:pic>
              </a:graphicData>
            </a:graphic>
          </wp:inline>
        </w:drawing>
      </w:r>
    </w:p>
    <w:p w14:paraId="18C1D1F3" w14:textId="77777777" w:rsidR="0063082B" w:rsidRDefault="0063082B" w:rsidP="0063082B">
      <w:pPr>
        <w:pStyle w:val="Caption"/>
        <w:jc w:val="center"/>
      </w:pPr>
      <w:bookmarkStart w:id="58" w:name="_Toc236963118"/>
      <w:r>
        <w:t xml:space="preserve">Figure </w:t>
      </w:r>
      <w:fldSimple w:instr=" STYLEREF 1 \s ">
        <w:r>
          <w:rPr>
            <w:noProof/>
          </w:rPr>
          <w:t>5</w:t>
        </w:r>
      </w:fldSimple>
      <w:r>
        <w:t>.</w:t>
      </w:r>
      <w:fldSimple w:instr=" SEQ Figure \* ARABIC \s 1 ">
        <w:r>
          <w:rPr>
            <w:noProof/>
          </w:rPr>
          <w:t>1</w:t>
        </w:r>
      </w:fldSimple>
      <w:r>
        <w:t xml:space="preserve">: </w:t>
      </w:r>
      <w:r w:rsidRPr="00FA7505">
        <w:t>Seven element marketing mix. Source: SmartDraw (2026)</w:t>
      </w:r>
      <w:bookmarkEnd w:id="58"/>
    </w:p>
    <w:p w14:paraId="5EA00DE6" w14:textId="78320201" w:rsidR="0063082B" w:rsidRDefault="00445754" w:rsidP="0063082B">
      <w:pPr>
        <w:pStyle w:val="Heading2"/>
      </w:pPr>
      <w:bookmarkStart w:id="59" w:name="_Toc236963154"/>
      <w:bookmarkStart w:id="60" w:name="_Toc237479798"/>
      <w:r>
        <w:rPr>
          <w:rFonts w:eastAsia="Arial"/>
        </w:rPr>
        <w:lastRenderedPageBreak/>
        <w:t>4</w:t>
      </w:r>
      <w:r w:rsidR="0063082B">
        <w:rPr>
          <w:rFonts w:eastAsia="Arial"/>
        </w:rPr>
        <w:t>.1 Product</w:t>
      </w:r>
      <w:bookmarkEnd w:id="59"/>
      <w:bookmarkEnd w:id="60"/>
    </w:p>
    <w:p w14:paraId="3D421A5B" w14:textId="2C57FBA4" w:rsidR="0063082B" w:rsidRDefault="00300FD7" w:rsidP="0063082B">
      <w:r w:rsidRPr="00300FD7">
        <w:t>Cadbury standardises Dairy Milk, purple identity and core sensory cues. This is good because assets build up recognition over time. India embraces a strategy of smaller packs, festival gifts, Silk flavours and local appeal. Packaging colour fit has a positive impact on processing fluency and purchase intention as reported by Su and Wang (2024), who suggest that packaging can be purple yet local imagery can be maintained. Extension overload is bad, which can spread out quality or fragment channels.</w:t>
      </w:r>
    </w:p>
    <w:p w14:paraId="2BF9DAD2" w14:textId="77777777" w:rsidR="0063082B" w:rsidRDefault="0063082B" w:rsidP="0063082B">
      <w:pPr>
        <w:keepNext/>
        <w:keepLines/>
        <w:jc w:val="center"/>
      </w:pPr>
      <w:r>
        <w:rPr>
          <w:noProof/>
        </w:rPr>
        <w:drawing>
          <wp:inline distT="0" distB="0" distL="0" distR="0" wp14:anchorId="1F2E3E38" wp14:editId="4C15BC17">
            <wp:extent cx="4480560" cy="233550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9_product_dimensions.png"/>
                    <pic:cNvPicPr/>
                  </pic:nvPicPr>
                  <pic:blipFill>
                    <a:blip r:embed="rId18"/>
                    <a:stretch>
                      <a:fillRect/>
                    </a:stretch>
                  </pic:blipFill>
                  <pic:spPr>
                    <a:xfrm>
                      <a:off x="0" y="0"/>
                      <a:ext cx="4480560" cy="2335504"/>
                    </a:xfrm>
                    <a:prstGeom prst="rect">
                      <a:avLst/>
                    </a:prstGeom>
                  </pic:spPr>
                </pic:pic>
              </a:graphicData>
            </a:graphic>
          </wp:inline>
        </w:drawing>
      </w:r>
    </w:p>
    <w:p w14:paraId="2B4C61E3" w14:textId="77777777" w:rsidR="0063082B" w:rsidRDefault="0063082B" w:rsidP="0063082B">
      <w:pPr>
        <w:pStyle w:val="Caption"/>
        <w:jc w:val="center"/>
      </w:pPr>
      <w:bookmarkStart w:id="61" w:name="_Toc236963119"/>
      <w:r>
        <w:t xml:space="preserve">Figure </w:t>
      </w:r>
      <w:fldSimple w:instr=" STYLEREF 1 \s ">
        <w:r>
          <w:rPr>
            <w:noProof/>
          </w:rPr>
          <w:t>5</w:t>
        </w:r>
      </w:fldSimple>
      <w:r>
        <w:t>.</w:t>
      </w:r>
      <w:fldSimple w:instr=" SEQ Figure \* ARABIC \s 1 ">
        <w:r>
          <w:rPr>
            <w:noProof/>
          </w:rPr>
          <w:t>2</w:t>
        </w:r>
      </w:fldSimple>
      <w:r>
        <w:t xml:space="preserve">: </w:t>
      </w:r>
      <w:r w:rsidRPr="000714F6">
        <w:t>Core, packaging and auxiliary product dimensions. Source: LCMB7026 Week 5 lecture material (2026)</w:t>
      </w:r>
      <w:bookmarkEnd w:id="61"/>
    </w:p>
    <w:p w14:paraId="2C5412C3" w14:textId="1A79CF4D" w:rsidR="0063082B" w:rsidRDefault="00300FD7" w:rsidP="0063082B">
      <w:r w:rsidRPr="00300FD7">
        <w:t xml:space="preserve">Quality includes the chocolate, packaging and assurance. Britain has cooler logistical uses and has already developed its recycling communication. India requires heat resistant, vegetarian marks, long </w:t>
      </w:r>
      <w:r w:rsidR="00C1722E" w:rsidRPr="00300FD7">
        <w:t>shelf-life</w:t>
      </w:r>
      <w:r w:rsidRPr="00300FD7">
        <w:t xml:space="preserve"> local information and packaging channels. Kuang et al. (2024) demonstrate that transparency fosters trust, while also providing light and heat protection for chocolate. Where barrier performance would be compromised, Cadbury should seek informational transparency, and not literal windows.</w:t>
      </w:r>
    </w:p>
    <w:p w14:paraId="30609FC1" w14:textId="77777777" w:rsidR="0063082B" w:rsidRDefault="0063082B" w:rsidP="0063082B">
      <w:pPr>
        <w:keepNext/>
        <w:keepLines/>
        <w:jc w:val="center"/>
      </w:pPr>
      <w:r>
        <w:rPr>
          <w:noProof/>
        </w:rPr>
        <w:drawing>
          <wp:inline distT="0" distB="0" distL="0" distR="0" wp14:anchorId="78DD9EB6" wp14:editId="691E9C95">
            <wp:extent cx="5303520" cy="151529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0_adaptation_model.png"/>
                    <pic:cNvPicPr/>
                  </pic:nvPicPr>
                  <pic:blipFill>
                    <a:blip r:embed="rId19"/>
                    <a:stretch>
                      <a:fillRect/>
                    </a:stretch>
                  </pic:blipFill>
                  <pic:spPr>
                    <a:xfrm>
                      <a:off x="0" y="0"/>
                      <a:ext cx="5303520" cy="1515291"/>
                    </a:xfrm>
                    <a:prstGeom prst="rect">
                      <a:avLst/>
                    </a:prstGeom>
                  </pic:spPr>
                </pic:pic>
              </a:graphicData>
            </a:graphic>
          </wp:inline>
        </w:drawing>
      </w:r>
    </w:p>
    <w:p w14:paraId="05DD6B96" w14:textId="77777777" w:rsidR="0063082B" w:rsidRDefault="0063082B" w:rsidP="0063082B">
      <w:pPr>
        <w:pStyle w:val="Caption"/>
        <w:jc w:val="center"/>
      </w:pPr>
      <w:bookmarkStart w:id="62" w:name="_Toc236963120"/>
      <w:r>
        <w:t xml:space="preserve">Figure </w:t>
      </w:r>
      <w:fldSimple w:instr=" STYLEREF 1 \s ">
        <w:r>
          <w:rPr>
            <w:noProof/>
          </w:rPr>
          <w:t>5</w:t>
        </w:r>
      </w:fldSimple>
      <w:r>
        <w:t>.</w:t>
      </w:r>
      <w:fldSimple w:instr=" SEQ Figure \* ARABIC \s 1 ">
        <w:r>
          <w:rPr>
            <w:noProof/>
          </w:rPr>
          <w:t>3</w:t>
        </w:r>
      </w:fldSimple>
      <w:r>
        <w:t xml:space="preserve">: </w:t>
      </w:r>
      <w:r w:rsidRPr="00E75BAD">
        <w:t>Product and communication adaptation model. Source: LCMB7026 Week 5 lecture material (2026)</w:t>
      </w:r>
      <w:bookmarkEnd w:id="62"/>
    </w:p>
    <w:p w14:paraId="1A74FD03" w14:textId="28E53B88" w:rsidR="0063082B" w:rsidRDefault="00300FD7" w:rsidP="0063082B">
      <w:r w:rsidRPr="00300FD7">
        <w:lastRenderedPageBreak/>
        <w:t>Cadby et al., (2021) claim that more and more, chocolate quality is as much about ethics and provenance as it is about taste. It is good for Cadbury when they are making a sourcing commitment that builds trust, but it can be bad when making claims in mass market communication for which consumers have no way of checking the truth. Nutrition and cultural fit should therefore be evaluated with cocoa evidence, packaging impact and supply feasibility in product development gates.</w:t>
      </w:r>
    </w:p>
    <w:p w14:paraId="151B1351" w14:textId="77777777" w:rsidR="0063082B" w:rsidRDefault="0063082B" w:rsidP="0063082B">
      <w:pPr>
        <w:keepNext/>
        <w:keepLines/>
        <w:jc w:val="center"/>
      </w:pPr>
      <w:r>
        <w:rPr>
          <w:noProof/>
        </w:rPr>
        <w:drawing>
          <wp:inline distT="0" distB="0" distL="0" distR="0" wp14:anchorId="5669F2B1" wp14:editId="39906617">
            <wp:extent cx="5303520" cy="327041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1_india_silk.png"/>
                    <pic:cNvPicPr/>
                  </pic:nvPicPr>
                  <pic:blipFill>
                    <a:blip r:embed="rId20"/>
                    <a:stretch>
                      <a:fillRect/>
                    </a:stretch>
                  </pic:blipFill>
                  <pic:spPr>
                    <a:xfrm>
                      <a:off x="0" y="0"/>
                      <a:ext cx="5303520" cy="3270413"/>
                    </a:xfrm>
                    <a:prstGeom prst="rect">
                      <a:avLst/>
                    </a:prstGeom>
                  </pic:spPr>
                </pic:pic>
              </a:graphicData>
            </a:graphic>
          </wp:inline>
        </w:drawing>
      </w:r>
    </w:p>
    <w:p w14:paraId="4AC0B8E2" w14:textId="77777777" w:rsidR="0063082B" w:rsidRDefault="0063082B" w:rsidP="0063082B">
      <w:pPr>
        <w:pStyle w:val="Caption"/>
        <w:jc w:val="center"/>
      </w:pPr>
      <w:bookmarkStart w:id="63" w:name="_Toc236963121"/>
      <w:r>
        <w:t xml:space="preserve">Figure </w:t>
      </w:r>
      <w:fldSimple w:instr=" STYLEREF 1 \s ">
        <w:r>
          <w:rPr>
            <w:noProof/>
          </w:rPr>
          <w:t>5</w:t>
        </w:r>
      </w:fldSimple>
      <w:r>
        <w:t>.</w:t>
      </w:r>
      <w:fldSimple w:instr=" SEQ Figure \* ARABIC \s 1 ">
        <w:r>
          <w:rPr>
            <w:noProof/>
          </w:rPr>
          <w:t>4</w:t>
        </w:r>
      </w:fldSimple>
      <w:r>
        <w:t xml:space="preserve">: </w:t>
      </w:r>
      <w:r w:rsidRPr="005F26CA">
        <w:t>Cadbury Dairy Milk Silk Dubai Chocolate launch in India. Source: Mondelēz India (2026)</w:t>
      </w:r>
      <w:bookmarkEnd w:id="63"/>
    </w:p>
    <w:p w14:paraId="5E818141" w14:textId="298D6065" w:rsidR="0063082B" w:rsidRDefault="00445754" w:rsidP="0063082B">
      <w:pPr>
        <w:pStyle w:val="Heading2"/>
      </w:pPr>
      <w:bookmarkStart w:id="64" w:name="_Toc236963155"/>
      <w:bookmarkStart w:id="65" w:name="_Toc237479799"/>
      <w:r>
        <w:rPr>
          <w:rFonts w:eastAsia="Arial"/>
        </w:rPr>
        <w:t>4</w:t>
      </w:r>
      <w:r w:rsidR="0063082B">
        <w:rPr>
          <w:rFonts w:eastAsia="Arial"/>
        </w:rPr>
        <w:t>.2 Price</w:t>
      </w:r>
      <w:bookmarkEnd w:id="64"/>
      <w:bookmarkEnd w:id="65"/>
    </w:p>
    <w:p w14:paraId="48C70A0F" w14:textId="77777777" w:rsidR="00300FD7" w:rsidRDefault="00300FD7" w:rsidP="00300FD7">
      <w:r>
        <w:t>British pricing is primarily promotion and value driven in promotion intensive grocery. Deals are good when trial and stocking, but not so good when buyers become adept at waiting. The ladder that is used in India is clearer. Low unit price packs drive penetration, mainstream bars drive regular buying, Silk drives premium unit margins. According to Gonen et al. (2024), Segmentation does have an impact on pricing but need to remain user-friendly. Cadbury must argue the case for stability in value and not let downsizing fool consumers.</w:t>
      </w:r>
    </w:p>
    <w:p w14:paraId="16D9C123" w14:textId="77777777" w:rsidR="00300FD7" w:rsidRDefault="00300FD7" w:rsidP="00300FD7">
      <w:r>
        <w:t xml:space="preserve">Volatility of cocoa is different for both countries. Olarte Libreros, Rojas Mora and Guerrero Sierra (2025) demonstrate that shocks spread within cocoa value chains. British up-ramping can cause own label switching to speed up. A marginal increase is a </w:t>
      </w:r>
      <w:r>
        <w:lastRenderedPageBreak/>
        <w:t>significant cash value in India. Packing efficiency is opposed by small packs, which are favourable for access. The sensory as well as gifting benefits of a new product must be superior quality innovation, not just novelty.</w:t>
      </w:r>
    </w:p>
    <w:p w14:paraId="505EEB90" w14:textId="3AD30D78" w:rsidR="0063082B" w:rsidRDefault="00300FD7" w:rsidP="00300FD7">
      <w:r>
        <w:t>Price communication also impacts on fairness. Because consumers can compare value it is favourable when they have a cash price and a visible weight. Unexplained shrinkflation is bad, as it is a hidden reduction of pack size. Cadbury ought to adopt architecture better safeguarding entry enforceability, more prominently displaying weights and minimising the variation of packs which are nearly identical but just harder to spot.</w:t>
      </w:r>
    </w:p>
    <w:p w14:paraId="647FE520" w14:textId="39805701" w:rsidR="0063082B" w:rsidRDefault="00445754" w:rsidP="0063082B">
      <w:pPr>
        <w:pStyle w:val="Heading2"/>
      </w:pPr>
      <w:bookmarkStart w:id="66" w:name="_Toc236963156"/>
      <w:bookmarkStart w:id="67" w:name="_Toc237479800"/>
      <w:r>
        <w:rPr>
          <w:rFonts w:eastAsia="Arial"/>
        </w:rPr>
        <w:t>4</w:t>
      </w:r>
      <w:r w:rsidR="0063082B">
        <w:rPr>
          <w:rFonts w:eastAsia="Arial"/>
        </w:rPr>
        <w:t>.3 Place</w:t>
      </w:r>
      <w:bookmarkEnd w:id="66"/>
      <w:bookmarkEnd w:id="67"/>
    </w:p>
    <w:p w14:paraId="1985F975" w14:textId="5FFC35D9" w:rsidR="0063082B" w:rsidRDefault="00300FD7" w:rsidP="0063082B">
      <w:r w:rsidRPr="00300FD7">
        <w:t>Britain's intensive distribution infrastructure through supermarket, convenience store, forecourt, discounters and online grocery. Widespread availability is good for visible seasonal and habit. Large retail power is bad for margin as big chain retailers dominate promotion and shelf space. There is a need for intensive reach in India, however with the distinction of general trade to modern retail, wholesale and quick commerce, there is more variation in the execution.</w:t>
      </w:r>
    </w:p>
    <w:p w14:paraId="43BFC882" w14:textId="77777777" w:rsidR="0063082B" w:rsidRDefault="0063082B" w:rsidP="0063082B">
      <w:pPr>
        <w:keepNext/>
        <w:keepLines/>
        <w:jc w:val="center"/>
      </w:pPr>
      <w:r>
        <w:rPr>
          <w:noProof/>
        </w:rPr>
        <w:drawing>
          <wp:inline distT="0" distB="0" distL="0" distR="0" wp14:anchorId="73A94882" wp14:editId="404FA05B">
            <wp:extent cx="5303520" cy="181862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4_distribution_channels.png"/>
                    <pic:cNvPicPr/>
                  </pic:nvPicPr>
                  <pic:blipFill>
                    <a:blip r:embed="rId21"/>
                    <a:stretch>
                      <a:fillRect/>
                    </a:stretch>
                  </pic:blipFill>
                  <pic:spPr>
                    <a:xfrm>
                      <a:off x="0" y="0"/>
                      <a:ext cx="5303520" cy="1818622"/>
                    </a:xfrm>
                    <a:prstGeom prst="rect">
                      <a:avLst/>
                    </a:prstGeom>
                  </pic:spPr>
                </pic:pic>
              </a:graphicData>
            </a:graphic>
          </wp:inline>
        </w:drawing>
      </w:r>
    </w:p>
    <w:p w14:paraId="2F7BF640" w14:textId="77777777" w:rsidR="0063082B" w:rsidRDefault="0063082B" w:rsidP="00300FD7">
      <w:pPr>
        <w:pStyle w:val="Caption"/>
        <w:jc w:val="center"/>
      </w:pPr>
      <w:bookmarkStart w:id="68" w:name="_Toc236963122"/>
      <w:r>
        <w:t xml:space="preserve">Figure </w:t>
      </w:r>
      <w:fldSimple w:instr=" STYLEREF 1 \s ">
        <w:r>
          <w:rPr>
            <w:noProof/>
          </w:rPr>
          <w:t>5</w:t>
        </w:r>
      </w:fldSimple>
      <w:r>
        <w:t>.</w:t>
      </w:r>
      <w:fldSimple w:instr=" SEQ Figure \* ARABIC \s 1 ">
        <w:r>
          <w:rPr>
            <w:noProof/>
          </w:rPr>
          <w:t>5</w:t>
        </w:r>
      </w:fldSimple>
      <w:r>
        <w:t xml:space="preserve">: </w:t>
      </w:r>
      <w:r w:rsidRPr="00791B5B">
        <w:t>Direct and indirect international distribution channels. Source: LCMB7026 Week 7 lecture material (2026)</w:t>
      </w:r>
      <w:bookmarkEnd w:id="68"/>
    </w:p>
    <w:p w14:paraId="1F7F350A" w14:textId="77777777" w:rsidR="00300FD7" w:rsidRDefault="00300FD7" w:rsidP="00300FD7">
      <w:r>
        <w:t>Channel designs must be different based on the product's level. Selected modern retail and quick commerce are important for Premium Silk, near universal availability is important for Dairy Milk. As demonstrated by Norton et al. (2022), sustainability perceptions are dependent on protection and waste. Heat protection and delivery condition are thus marketing issues in India, rather than just logistics issues.</w:t>
      </w:r>
    </w:p>
    <w:p w14:paraId="19AB282C" w14:textId="6E2286EA" w:rsidR="0063082B" w:rsidRDefault="00300FD7" w:rsidP="00300FD7">
      <w:r>
        <w:lastRenderedPageBreak/>
        <w:t>Control vs Reach is the main comparison. British chains offer data and execution control, and require commercial concessions. Indian general trade provides unparalleled access with limited visibility of stock rotation, temperature and display. Cadbury should employ distributor capability measures, retailer training and digital ordering to increase availability but not all outlets or regions should be treated the same.</w:t>
      </w:r>
    </w:p>
    <w:p w14:paraId="5630F27B" w14:textId="2B00D4BF" w:rsidR="0063082B" w:rsidRDefault="00445754" w:rsidP="0063082B">
      <w:pPr>
        <w:pStyle w:val="Heading2"/>
      </w:pPr>
      <w:bookmarkStart w:id="69" w:name="_Toc236963157"/>
      <w:bookmarkStart w:id="70" w:name="_Toc237479801"/>
      <w:r>
        <w:rPr>
          <w:rFonts w:eastAsia="Arial"/>
        </w:rPr>
        <w:t>4</w:t>
      </w:r>
      <w:r w:rsidR="0063082B">
        <w:rPr>
          <w:rFonts w:eastAsia="Arial"/>
        </w:rPr>
        <w:t>.4 Promotion</w:t>
      </w:r>
      <w:bookmarkEnd w:id="69"/>
      <w:bookmarkEnd w:id="70"/>
    </w:p>
    <w:p w14:paraId="2ED33200" w14:textId="7C3FB3DB" w:rsidR="0063082B" w:rsidRDefault="00144D4E" w:rsidP="0063082B">
      <w:r w:rsidRPr="00144D4E">
        <w:t>British promotion involves emotional storytelling, heritage, seasons, promotion with outdoor media, retail activation and digital content. Brand Memory is positive. Regulation and sugar concern are unfavourable for product led persuasion. The food cues extend beyond just photos, as demonstrated by Maksi et al., (2024), making influencers, games, and platform content all within the scope of responsibility. Cadbury should focus on adult audiences, generosity of brand, context of occasions and entertainment versus buy product.</w:t>
      </w:r>
    </w:p>
    <w:p w14:paraId="7731F141" w14:textId="77777777" w:rsidR="0063082B" w:rsidRDefault="0063082B" w:rsidP="0063082B">
      <w:pPr>
        <w:keepNext/>
        <w:keepLines/>
        <w:jc w:val="center"/>
      </w:pPr>
      <w:r>
        <w:rPr>
          <w:noProof/>
        </w:rPr>
        <w:drawing>
          <wp:inline distT="0" distB="0" distL="0" distR="0" wp14:anchorId="49C7AA16" wp14:editId="0BD4DE78">
            <wp:extent cx="5303520" cy="29832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2_cadbury_ad.png"/>
                    <pic:cNvPicPr/>
                  </pic:nvPicPr>
                  <pic:blipFill>
                    <a:blip r:embed="rId22"/>
                    <a:stretch>
                      <a:fillRect/>
                    </a:stretch>
                  </pic:blipFill>
                  <pic:spPr>
                    <a:xfrm>
                      <a:off x="0" y="0"/>
                      <a:ext cx="5303520" cy="2983230"/>
                    </a:xfrm>
                    <a:prstGeom prst="rect">
                      <a:avLst/>
                    </a:prstGeom>
                  </pic:spPr>
                </pic:pic>
              </a:graphicData>
            </a:graphic>
          </wp:inline>
        </w:drawing>
      </w:r>
    </w:p>
    <w:p w14:paraId="520140D9" w14:textId="77777777" w:rsidR="0063082B" w:rsidRDefault="0063082B" w:rsidP="0063082B">
      <w:pPr>
        <w:pStyle w:val="Caption"/>
        <w:jc w:val="center"/>
      </w:pPr>
      <w:bookmarkStart w:id="71" w:name="_Toc236963123"/>
      <w:r>
        <w:t xml:space="preserve">Figure </w:t>
      </w:r>
      <w:fldSimple w:instr=" STYLEREF 1 \s ">
        <w:r>
          <w:rPr>
            <w:noProof/>
          </w:rPr>
          <w:t>5</w:t>
        </w:r>
      </w:fldSimple>
      <w:r>
        <w:t>.</w:t>
      </w:r>
      <w:fldSimple w:instr=" SEQ Figure \* ARABIC \s 1 ">
        <w:r>
          <w:rPr>
            <w:noProof/>
          </w:rPr>
          <w:t>6</w:t>
        </w:r>
      </w:fldSimple>
      <w:r>
        <w:t xml:space="preserve">: </w:t>
      </w:r>
      <w:r w:rsidRPr="00E54A55">
        <w:t>Cadbury United Kingdom brand communication. Source: Cadbury UK (2026)</w:t>
      </w:r>
      <w:bookmarkEnd w:id="71"/>
    </w:p>
    <w:p w14:paraId="1521B6F3" w14:textId="69E96E4C" w:rsidR="0063082B" w:rsidRDefault="00144D4E" w:rsidP="0063082B">
      <w:r w:rsidRPr="00144D4E">
        <w:t xml:space="preserve">The idea of Indian promotion changes with family, festivals, gratitude, friendship and gifting. This is good as it makes chocolate an outreach product. According to Migkos et al. (2025), the influencer's credibility and the fit of the content influence the response. When disclosure and audience selection are strict, local creators can support reach. The negative risk factors in this case are sentimental formula, cultural appropriation, </w:t>
      </w:r>
      <w:r w:rsidRPr="00144D4E">
        <w:lastRenderedPageBreak/>
        <w:t>child directed influence. Efforts are needed to assess regional language work and to include households in the tests.</w:t>
      </w:r>
    </w:p>
    <w:p w14:paraId="49745441" w14:textId="77777777" w:rsidR="0063082B" w:rsidRDefault="0063082B" w:rsidP="0063082B">
      <w:pPr>
        <w:keepNext/>
        <w:keepLines/>
        <w:jc w:val="center"/>
      </w:pPr>
      <w:r>
        <w:rPr>
          <w:noProof/>
        </w:rPr>
        <w:drawing>
          <wp:inline distT="0" distB="0" distL="0" distR="0" wp14:anchorId="00675838" wp14:editId="17B01FC8">
            <wp:extent cx="4937760" cy="20731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3_promotion_mix.png"/>
                    <pic:cNvPicPr/>
                  </pic:nvPicPr>
                  <pic:blipFill>
                    <a:blip r:embed="rId23"/>
                    <a:stretch>
                      <a:fillRect/>
                    </a:stretch>
                  </pic:blipFill>
                  <pic:spPr>
                    <a:xfrm>
                      <a:off x="0" y="0"/>
                      <a:ext cx="4937760" cy="2073190"/>
                    </a:xfrm>
                    <a:prstGeom prst="rect">
                      <a:avLst/>
                    </a:prstGeom>
                  </pic:spPr>
                </pic:pic>
              </a:graphicData>
            </a:graphic>
          </wp:inline>
        </w:drawing>
      </w:r>
    </w:p>
    <w:p w14:paraId="0ED12280" w14:textId="77777777" w:rsidR="0063082B" w:rsidRDefault="0063082B" w:rsidP="0063082B">
      <w:pPr>
        <w:pStyle w:val="Caption"/>
        <w:jc w:val="center"/>
      </w:pPr>
      <w:bookmarkStart w:id="72" w:name="_Toc236963124"/>
      <w:r>
        <w:t xml:space="preserve">Figure </w:t>
      </w:r>
      <w:fldSimple w:instr=" STYLEREF 1 \s ">
        <w:r>
          <w:rPr>
            <w:noProof/>
          </w:rPr>
          <w:t>5</w:t>
        </w:r>
      </w:fldSimple>
      <w:r>
        <w:t>.</w:t>
      </w:r>
      <w:fldSimple w:instr=" SEQ Figure \* ARABIC \s 1 ">
        <w:r>
          <w:rPr>
            <w:noProof/>
          </w:rPr>
          <w:t>7</w:t>
        </w:r>
      </w:fldSimple>
      <w:r>
        <w:t xml:space="preserve">: </w:t>
      </w:r>
      <w:r w:rsidRPr="00ED6BE7">
        <w:t>Marketing mix and promotion mix. Source: LCMB7026 Week 6 lecture material (2026)</w:t>
      </w:r>
      <w:bookmarkEnd w:id="72"/>
    </w:p>
    <w:p w14:paraId="082536A9" w14:textId="791A0A27" w:rsidR="0063082B" w:rsidRDefault="00144D4E" w:rsidP="0063082B">
      <w:r w:rsidRPr="00144D4E">
        <w:t>Message adaptation should not be translation of words but emotional meaning. British humour or understatement can have different relational connotations in India. On the other hand, the same gift story may be used in the communication of the festival every time. Cadbury should then build a creative platform that can be shared and then have local stories, languages and media express it within safe boundaries around audience.</w:t>
      </w:r>
    </w:p>
    <w:p w14:paraId="16AEA0AD" w14:textId="2B10A539" w:rsidR="0063082B" w:rsidRDefault="00445754" w:rsidP="0063082B">
      <w:pPr>
        <w:pStyle w:val="Heading2"/>
      </w:pPr>
      <w:bookmarkStart w:id="73" w:name="_Toc236963158"/>
      <w:bookmarkStart w:id="74" w:name="_Toc237479802"/>
      <w:r>
        <w:rPr>
          <w:rFonts w:eastAsia="Arial"/>
        </w:rPr>
        <w:t>4</w:t>
      </w:r>
      <w:r w:rsidR="0063082B">
        <w:rPr>
          <w:rFonts w:eastAsia="Arial"/>
        </w:rPr>
        <w:t>.5 People</w:t>
      </w:r>
      <w:bookmarkEnd w:id="73"/>
      <w:bookmarkEnd w:id="74"/>
    </w:p>
    <w:p w14:paraId="694FB10E" w14:textId="77777777" w:rsidR="00144D4E" w:rsidRDefault="00144D4E" w:rsidP="00144D4E">
      <w:r>
        <w:t>Customers involve employees, distributors, retailers and service teams. British goods have uniform retailing standards. Local cultural and channel knowledge is important for India. Raza et al. (2021) demonstrate that cultural distinctiveness impacts digital perceptions and hence service. The bad risk is disparate training on a vast network of distributors. Cadbury needs to measure out the outlet execution, the ethical selling, the complaint handling and inclusion in addition to volume.</w:t>
      </w:r>
    </w:p>
    <w:p w14:paraId="52A67916" w14:textId="3148562E" w:rsidR="0063082B" w:rsidRDefault="00144D4E" w:rsidP="00144D4E">
      <w:r>
        <w:t>An effective people measure isn't simply completion of training, it's an effective consumer outcome. In India this involves about rotating inventory, protecting the items from heat and describing the superior variants correctly. In Britain it incorporates complaint resolution and uniformity of retail partners. Volume-only incentives are not desirable since they can induce overstocking or improper positioning.</w:t>
      </w:r>
    </w:p>
    <w:p w14:paraId="57802099" w14:textId="4EBF45CA" w:rsidR="0063082B" w:rsidRDefault="00445754" w:rsidP="0063082B">
      <w:pPr>
        <w:pStyle w:val="Heading2"/>
      </w:pPr>
      <w:bookmarkStart w:id="75" w:name="_Toc236963159"/>
      <w:bookmarkStart w:id="76" w:name="_Toc237479803"/>
      <w:r>
        <w:rPr>
          <w:rFonts w:eastAsia="Arial"/>
        </w:rPr>
        <w:lastRenderedPageBreak/>
        <w:t>4</w:t>
      </w:r>
      <w:r w:rsidR="0063082B">
        <w:rPr>
          <w:rFonts w:eastAsia="Arial"/>
        </w:rPr>
        <w:t>.6 Process</w:t>
      </w:r>
      <w:bookmarkEnd w:id="75"/>
      <w:bookmarkEnd w:id="76"/>
    </w:p>
    <w:p w14:paraId="4FEC89A1" w14:textId="77777777" w:rsidR="00144D4E" w:rsidRDefault="00144D4E" w:rsidP="00144D4E">
      <w:r>
        <w:t>Process includes forecasting, quality, ordering, delivery, complaints/campaign approval. Britain has the advantage of established data and feedback loops that are short. India enjoys the advantage of local production, while also being more geographically and temperature diverse. International learning is cumulative, in the view of Gao (2022). Combining retailer data with local experiments is favourable. When influencer content, festival packs or ingredients circumvent legal, nutritional or cultural review, speed turns bad.</w:t>
      </w:r>
    </w:p>
    <w:p w14:paraId="7651B8B1" w14:textId="4068CA44" w:rsidR="0063082B" w:rsidRDefault="00144D4E" w:rsidP="00144D4E">
      <w:r>
        <w:t>Standardisation is good for food safety, traceability and brand approval; flexibility is good for speed and cultural relevance. Decision rights is the most important design decision. Cadbury should specify what changes can be made in India and what changes need to be taken to the Global rule and make sure they don't repeat the slow approval process with post launch evidence.</w:t>
      </w:r>
    </w:p>
    <w:p w14:paraId="38274960" w14:textId="63D6FF21" w:rsidR="0063082B" w:rsidRDefault="00445754" w:rsidP="0063082B">
      <w:pPr>
        <w:pStyle w:val="Heading2"/>
      </w:pPr>
      <w:bookmarkStart w:id="77" w:name="_Toc236963160"/>
      <w:bookmarkStart w:id="78" w:name="_Toc237479804"/>
      <w:r>
        <w:rPr>
          <w:rFonts w:eastAsia="Arial"/>
        </w:rPr>
        <w:t>4</w:t>
      </w:r>
      <w:r w:rsidR="0063082B">
        <w:rPr>
          <w:rFonts w:eastAsia="Arial"/>
        </w:rPr>
        <w:t>.7 Physical evidence</w:t>
      </w:r>
      <w:bookmarkEnd w:id="77"/>
      <w:bookmarkEnd w:id="78"/>
    </w:p>
    <w:p w14:paraId="024AB56A" w14:textId="77777777" w:rsidR="00144D4E" w:rsidRDefault="00144D4E" w:rsidP="00144D4E">
      <w:r>
        <w:t>Physical evidence refers to wrappers, shelf blocks, gift boxes, delivery condition and websites. The continuity of purple and the script logo, and the status Indian Silk and festival boxes, are all favourable. Liang et al. (2025) demonstrate the influence of graphic shape on perceived healthiness and purchase intention. When it suggests health, abundance or sustainability there is no evidence, then presentation turns into the unfavorable.</w:t>
      </w:r>
    </w:p>
    <w:p w14:paraId="071E563D" w14:textId="382832A5" w:rsidR="00144D4E" w:rsidRDefault="00144D4E" w:rsidP="00144D4E">
      <w:r>
        <w:t xml:space="preserve">Cadbury adopts contingency approach. Pack, flavour, price, occasion, media, channel and service are adapted; identity, core quality and emotional accessibility are standardised. In support of </w:t>
      </w:r>
      <w:r w:rsidR="00C1722E">
        <w:t>cross-country</w:t>
      </w:r>
      <w:r>
        <w:t xml:space="preserve"> adaptation of online behaviour, Madlenak et al. (2025). That's all scale - but without turning India into a little Britain, local flexibility needs clear governance of both fixed and flexible assets.</w:t>
      </w:r>
    </w:p>
    <w:p w14:paraId="6D4FECD4" w14:textId="31DF1484" w:rsidR="0063082B" w:rsidRDefault="00144D4E" w:rsidP="00144D4E">
      <w:r>
        <w:t>Digital evidence needs to be identical to received product. In fast retail, having wrong images or missing data or even having a melted high-quality bar makes the whole promise sour. Cadbury should also police delivery quality as well as shelf presentation.</w:t>
      </w:r>
    </w:p>
    <w:p w14:paraId="2E3D6F29" w14:textId="77777777" w:rsidR="0063082B" w:rsidRDefault="0063082B" w:rsidP="0063082B">
      <w:pPr>
        <w:spacing w:after="200" w:line="276" w:lineRule="auto"/>
        <w:jc w:val="left"/>
      </w:pPr>
      <w:r>
        <w:br w:type="page"/>
      </w:r>
    </w:p>
    <w:p w14:paraId="05DE5256" w14:textId="50C5907D" w:rsidR="0063082B" w:rsidRDefault="00445754" w:rsidP="00764FD0">
      <w:pPr>
        <w:pStyle w:val="Heading1"/>
      </w:pPr>
      <w:bookmarkStart w:id="79" w:name="_Toc237479805"/>
      <w:r>
        <w:lastRenderedPageBreak/>
        <w:t xml:space="preserve">5.0 </w:t>
      </w:r>
      <w:r w:rsidR="0063082B">
        <w:t>Market entry strategy in India</w:t>
      </w:r>
      <w:bookmarkEnd w:id="79"/>
    </w:p>
    <w:p w14:paraId="0692E1DD" w14:textId="77777777" w:rsidR="00AD4E8E" w:rsidRDefault="00AD4E8E" w:rsidP="00AD4E8E">
      <w:r>
        <w:t>Cadbury came to India in 1948 and later established local manufacturing and distribution. The course of action outlined in this report is best characterized as a high-control equity-based entry model that has deep local embeddedness – and not one of exporting or licensing. Entry mode should match control and uncertainty and resource requirements according to Brouthers et al. (2022). With this model Cadbury is able to maintain quality of products, adjust pack sizes and flavours, react to heat and distribution, and control brand positioning. But it also demands significant investment and makes the company directly responsible for operational, ethical and reputational mistakes.</w:t>
      </w:r>
    </w:p>
    <w:p w14:paraId="4BEFA10B" w14:textId="77777777" w:rsidR="00AD4E8E" w:rsidRDefault="00AD4E8E" w:rsidP="00AD4E8E">
      <w:r>
        <w:t>Another characteristic of Cadbury's development is the local knowledge and commitment of resources that grew with time, which is characteristic of the Uppsala model. Gao (2022) points out that strategic acceleration can be used in conjunction with experiential learning. The strategic importance of lower-control options diminished as India emerged as a key market, and as manufacturing, distribution and consumer knowledge built up, the advantage of lower controls diminished.</w:t>
      </w:r>
    </w:p>
    <w:p w14:paraId="6BB635E4" w14:textId="1AD7F8F7" w:rsidR="0063082B" w:rsidRDefault="00AD4E8E" w:rsidP="00AD4E8E">
      <w:r>
        <w:t xml:space="preserve">Financial exposure to duty, lead time and heat risk due to exporting finished products would affect CADbury's affordability and responsiveness. Less investment would be required, but less control over quality or adaptations would be obtained, if licensing were enforced. Risk could be shared in a joint venture, but Cadbury's proven local abilities minimise the requirement for shared ownership. Thus, the high control local model is most appropriate as long as local managers also have decision-making power and performance is measured by short term profit and </w:t>
      </w:r>
      <w:r w:rsidR="00C1722E">
        <w:t>long-term</w:t>
      </w:r>
      <w:r>
        <w:t xml:space="preserve"> market development.</w:t>
      </w:r>
    </w:p>
    <w:p w14:paraId="483E6822" w14:textId="77777777" w:rsidR="0063082B" w:rsidRDefault="0063082B" w:rsidP="0063082B">
      <w:pPr>
        <w:spacing w:after="200" w:line="276" w:lineRule="auto"/>
        <w:jc w:val="left"/>
      </w:pPr>
      <w:r>
        <w:br w:type="page"/>
      </w:r>
    </w:p>
    <w:p w14:paraId="1D2DC761" w14:textId="109E9651" w:rsidR="0063082B" w:rsidRDefault="00445754" w:rsidP="00764FD0">
      <w:pPr>
        <w:pStyle w:val="Heading1"/>
      </w:pPr>
      <w:bookmarkStart w:id="80" w:name="_Toc237479806"/>
      <w:r>
        <w:lastRenderedPageBreak/>
        <w:t xml:space="preserve">6.0 </w:t>
      </w:r>
      <w:r w:rsidR="0063082B">
        <w:t>Ethical evaluation of Cadbury in India</w:t>
      </w:r>
      <w:bookmarkEnd w:id="80"/>
    </w:p>
    <w:p w14:paraId="5FCC3498" w14:textId="77777777" w:rsidR="00144D4E" w:rsidRDefault="00144D4E" w:rsidP="00144D4E">
      <w:r>
        <w:t>Cadbury is providing ‘meaningful pleasure' and ‘selling energy, fat and sugar'. Cultural relativism sees good Indian gift-giving customs; ethical absolutism sees truthful information and child protection as a requirement, irrespective of custom; the justice approach asks who gets benefits and burdens. Amevinya et al. (2022) document unhealthy food advertising around schools. Factors including child appealing characters and school proximity are unfavourable due to limited commercial understanding, whereas the broad availability supports choice.</w:t>
      </w:r>
    </w:p>
    <w:p w14:paraId="3129B71B" w14:textId="380A850F" w:rsidR="0063082B" w:rsidRDefault="00144D4E" w:rsidP="00144D4E">
      <w:r>
        <w:t>Small packages allow for easily controlled portions and make for great value, which is good. They can also reduce the frequency of purchase and raise the per-gram packaging. Farzand et al. (2025) links obesogenic environments to ubiquitous food marketing. Cadbury should do age gating, do not directly target young children, be honest about the size of portions, and not use incentives that target children's vulnerability offered by retailers.</w:t>
      </w:r>
    </w:p>
    <w:p w14:paraId="28624A3F" w14:textId="77777777" w:rsidR="0063082B" w:rsidRDefault="0063082B" w:rsidP="0063082B">
      <w:pPr>
        <w:keepNext/>
        <w:keepLines/>
        <w:jc w:val="center"/>
      </w:pPr>
      <w:r>
        <w:rPr>
          <w:noProof/>
        </w:rPr>
        <w:drawing>
          <wp:inline distT="0" distB="0" distL="0" distR="0" wp14:anchorId="5AC0016A" wp14:editId="13032BD7">
            <wp:extent cx="5303520" cy="393233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6_ethics_framework.png"/>
                    <pic:cNvPicPr/>
                  </pic:nvPicPr>
                  <pic:blipFill>
                    <a:blip r:embed="rId24"/>
                    <a:stretch>
                      <a:fillRect/>
                    </a:stretch>
                  </pic:blipFill>
                  <pic:spPr>
                    <a:xfrm>
                      <a:off x="0" y="0"/>
                      <a:ext cx="5303520" cy="3932337"/>
                    </a:xfrm>
                    <a:prstGeom prst="rect">
                      <a:avLst/>
                    </a:prstGeom>
                  </pic:spPr>
                </pic:pic>
              </a:graphicData>
            </a:graphic>
          </wp:inline>
        </w:drawing>
      </w:r>
    </w:p>
    <w:p w14:paraId="5DC72708" w14:textId="77777777" w:rsidR="0063082B" w:rsidRDefault="0063082B" w:rsidP="0063082B">
      <w:pPr>
        <w:pStyle w:val="Caption"/>
        <w:jc w:val="center"/>
      </w:pPr>
      <w:bookmarkStart w:id="81" w:name="_Toc236963125"/>
      <w:r>
        <w:t xml:space="preserve">Figure </w:t>
      </w:r>
      <w:fldSimple w:instr=" STYLEREF 1 \s ">
        <w:r>
          <w:rPr>
            <w:noProof/>
          </w:rPr>
          <w:t>7</w:t>
        </w:r>
      </w:fldSimple>
      <w:r>
        <w:t>.</w:t>
      </w:r>
      <w:fldSimple w:instr=" SEQ Figure \* ARABIC \s 1 ">
        <w:r>
          <w:rPr>
            <w:noProof/>
          </w:rPr>
          <w:t>1</w:t>
        </w:r>
      </w:fldSimple>
      <w:r>
        <w:t xml:space="preserve">: </w:t>
      </w:r>
      <w:r w:rsidRPr="00F64001">
        <w:t>Virtue and marketing ethics framework. Source: LCMB7026 Week 10 lecture material (2026)</w:t>
      </w:r>
      <w:bookmarkEnd w:id="81"/>
    </w:p>
    <w:p w14:paraId="02E93A75" w14:textId="77777777" w:rsidR="00144D4E" w:rsidRDefault="00144D4E" w:rsidP="00144D4E">
      <w:r>
        <w:lastRenderedPageBreak/>
        <w:t>Ethics is not just for the consumer, it's about cocoa sourcing and packaging. Vinci et al. (2024) point out social impacts throughout cocoa supply chains. When claims are supported with traceability, farmer outlooks and assurance, they are favourable, but when claims are made without supporting evidence, they are greenwashing. Cadbury should report packaging recovery, cocoa coverage and grievance outcomes in India, not on promises made globally.</w:t>
      </w:r>
    </w:p>
    <w:p w14:paraId="471A8D39" w14:textId="48745120" w:rsidR="0063082B" w:rsidRDefault="00144D4E" w:rsidP="00144D4E">
      <w:r>
        <w:t>Festival campaigns for a wider inclusion, but those that commercialise religious meaning or depict only the wealthy city family are not favourable. Regional diversity and consultation is necessary for ethical adaptation. Whether communication contributes to informed choice or just to good feelings is not the standard.</w:t>
      </w:r>
    </w:p>
    <w:p w14:paraId="3F6EB882" w14:textId="53F82C47" w:rsidR="0063082B" w:rsidRDefault="00445754" w:rsidP="00764FD0">
      <w:pPr>
        <w:pStyle w:val="Heading1"/>
      </w:pPr>
      <w:bookmarkStart w:id="82" w:name="_Toc237479807"/>
      <w:r>
        <w:t xml:space="preserve">7.0 </w:t>
      </w:r>
      <w:r w:rsidR="0063082B">
        <w:t>Recommendations</w:t>
      </w:r>
      <w:bookmarkEnd w:id="82"/>
    </w:p>
    <w:p w14:paraId="15A91850" w14:textId="69D42A8C" w:rsidR="0063082B" w:rsidRDefault="00445754" w:rsidP="0063082B">
      <w:pPr>
        <w:pStyle w:val="Heading2"/>
      </w:pPr>
      <w:bookmarkStart w:id="83" w:name="_Toc236963164"/>
      <w:bookmarkStart w:id="84" w:name="_Toc237479808"/>
      <w:r>
        <w:t>7</w:t>
      </w:r>
      <w:r w:rsidR="0063082B">
        <w:t>.1 Global governance</w:t>
      </w:r>
      <w:bookmarkEnd w:id="83"/>
      <w:bookmarkEnd w:id="84"/>
    </w:p>
    <w:p w14:paraId="0DA3B01F" w14:textId="77777777" w:rsidR="00144D4E" w:rsidRDefault="00144D4E" w:rsidP="00144D4E">
      <w:r>
        <w:t>Cadbury needs to establish a core/flx structure on a global scale. Purple identity, quality and cocoa commitments should be part of the core. Local flex should include: pack, flavour, language, festival, media and channel. Safeer et al., (2022) advocate the fusion of globalness and localness. Each adaptation must pass the value, feasibility and ethical risk tests for consumers.</w:t>
      </w:r>
    </w:p>
    <w:p w14:paraId="606CE882" w14:textId="0F7D404D" w:rsidR="0063082B" w:rsidRDefault="00445754" w:rsidP="0063082B">
      <w:pPr>
        <w:pStyle w:val="Heading2"/>
      </w:pPr>
      <w:bookmarkStart w:id="85" w:name="_Toc236963165"/>
      <w:bookmarkStart w:id="86" w:name="_Toc237479809"/>
      <w:r>
        <w:t>7</w:t>
      </w:r>
      <w:r w:rsidR="0063082B">
        <w:t>.2 India portfolio and distribution</w:t>
      </w:r>
      <w:bookmarkEnd w:id="85"/>
      <w:bookmarkEnd w:id="86"/>
    </w:p>
    <w:p w14:paraId="15C0800B" w14:textId="2737C9AB" w:rsidR="00144D4E" w:rsidRDefault="00144D4E" w:rsidP="00144D4E">
      <w:r>
        <w:t xml:space="preserve">India should have a </w:t>
      </w:r>
      <w:r w:rsidR="00C1722E">
        <w:t>two-speed</w:t>
      </w:r>
      <w:r>
        <w:t xml:space="preserve"> portfolio. Cadbury should insulate Dairy Milk cash price band and ensure Silk innovation is limited and delivered consistently. Müller Pérez et al. (2025) demonstrate that trust and perceived benefit are determinants of </w:t>
      </w:r>
      <w:r w:rsidR="00C1722E">
        <w:t>health-related</w:t>
      </w:r>
      <w:r>
        <w:t xml:space="preserve"> choice. The challenge of portioning and balancing the affordability with indulgence can be eased by smaller premium portions and clearer guidance.</w:t>
      </w:r>
    </w:p>
    <w:p w14:paraId="772AE75D" w14:textId="6FF2DB08" w:rsidR="0063082B" w:rsidRDefault="00445754" w:rsidP="0063082B">
      <w:pPr>
        <w:pStyle w:val="Heading2"/>
      </w:pPr>
      <w:bookmarkStart w:id="87" w:name="_Toc236963166"/>
      <w:bookmarkStart w:id="88" w:name="_Toc237479810"/>
      <w:r>
        <w:t>7</w:t>
      </w:r>
      <w:r w:rsidR="0063082B">
        <w:t>.3 United Kingdom communication and responsible growth</w:t>
      </w:r>
      <w:bookmarkEnd w:id="87"/>
      <w:bookmarkEnd w:id="88"/>
    </w:p>
    <w:p w14:paraId="43FAC4A9" w14:textId="35A2E987" w:rsidR="0063082B" w:rsidRDefault="00144D4E" w:rsidP="0063082B">
      <w:r w:rsidRPr="00144D4E">
        <w:t xml:space="preserve">Britain requires a brand communication that meets the 2026 regulations all the time, without sacrificing memory or seasonal relevance and adult gifting. An appropriate growth should be evaluated in both countries. Child Protection is needed in influencers, schools, retail and digital commerce, verified packaging and cocoa outcomes. According to Wandosell et al. (2021), the importance of credibility is fundamental when it comes to </w:t>
      </w:r>
      <w:r w:rsidRPr="00144D4E">
        <w:lastRenderedPageBreak/>
        <w:t>green packaging. Cadbury should provide an annual dashboard detailing media controls, packaging intensity, complaints and product condition, farmer outcome.</w:t>
      </w:r>
    </w:p>
    <w:p w14:paraId="3928D232" w14:textId="112D02B8" w:rsidR="001839BB" w:rsidRDefault="00445754" w:rsidP="001839BB">
      <w:pPr>
        <w:pStyle w:val="Heading1"/>
      </w:pPr>
      <w:bookmarkStart w:id="89" w:name="_Toc237479811"/>
      <w:r>
        <w:t xml:space="preserve">8.0 </w:t>
      </w:r>
      <w:r w:rsidR="001839BB">
        <w:t>Conclusion</w:t>
      </w:r>
      <w:bookmarkEnd w:id="89"/>
    </w:p>
    <w:p w14:paraId="6E148F1E" w14:textId="77777777" w:rsidR="001839BB" w:rsidRPr="00AD4E8E" w:rsidRDefault="001839BB" w:rsidP="001839BB">
      <w:r w:rsidRPr="00AD4E8E">
        <w:t>The ability to have a strong brand core and execute it in line with local environments is Cadbury's strength in international terms. The UK is a well-developed market with seasonality, purchasing power and heritage but hindered by advertising restrictions, health concerns and inflation. India provides better growth, festival gifting and mobile commerce prospects, but affordability, diversity of climate, language and channel proves to be a hurdle. Hence, Cadbury should have a uniform identity, quality, and moral responsibility and should make adjustments to the product, package size, price, communication and distribution. Its high control local equity model is more appropriate in India as compared to exporting or licensing, as it facilitates manufacturing, quality control, cost-effectiveness, and market adaptability. Future growth needs to be achieved through a combination of disciplined localisation and a number of verifiable controls, including child protection, cocoa sourcing, packaging, product condition and distributor performance.</w:t>
      </w:r>
    </w:p>
    <w:p w14:paraId="19F292FD" w14:textId="122ACF41" w:rsidR="00C1722E" w:rsidRDefault="00445754" w:rsidP="00764FD0">
      <w:pPr>
        <w:pStyle w:val="Heading1"/>
      </w:pPr>
      <w:bookmarkStart w:id="90" w:name="_Toc237479812"/>
      <w:r>
        <w:t xml:space="preserve">9.0 </w:t>
      </w:r>
      <w:r w:rsidR="00C1722E">
        <w:t>Section B</w:t>
      </w:r>
      <w:bookmarkEnd w:id="90"/>
      <w:r w:rsidR="00042119">
        <w:t>: Reflective Account</w:t>
      </w:r>
    </w:p>
    <w:p w14:paraId="17213803" w14:textId="31DC40C8" w:rsidR="0063082B" w:rsidRDefault="00144D4E" w:rsidP="0063082B">
      <w:r w:rsidRPr="00144D4E">
        <w:t xml:space="preserve">Third (2022) has adapted Gibbs reflective cycle into six connected steps that progress from experience to action planning. I didn't just narrate what I have done, but I used the model to show the process of my research and preparation of a comparative Cadbury report. </w:t>
      </w:r>
    </w:p>
    <w:p w14:paraId="706E7E7D" w14:textId="77777777" w:rsidR="0063082B" w:rsidRDefault="0063082B" w:rsidP="0063082B">
      <w:pPr>
        <w:keepNext/>
        <w:keepLines/>
        <w:jc w:val="center"/>
      </w:pPr>
      <w:r>
        <w:rPr>
          <w:noProof/>
        </w:rPr>
        <w:drawing>
          <wp:inline distT="0" distB="0" distL="0" distR="0" wp14:anchorId="7BB5851C" wp14:editId="05CE2C5D">
            <wp:extent cx="3291840" cy="1885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cycle_edinburgh.jpg"/>
                    <pic:cNvPicPr/>
                  </pic:nvPicPr>
                  <pic:blipFill>
                    <a:blip r:embed="rId25"/>
                    <a:stretch>
                      <a:fillRect/>
                    </a:stretch>
                  </pic:blipFill>
                  <pic:spPr>
                    <a:xfrm>
                      <a:off x="0" y="0"/>
                      <a:ext cx="3291840" cy="1885950"/>
                    </a:xfrm>
                    <a:prstGeom prst="rect">
                      <a:avLst/>
                    </a:prstGeom>
                  </pic:spPr>
                </pic:pic>
              </a:graphicData>
            </a:graphic>
          </wp:inline>
        </w:drawing>
      </w:r>
    </w:p>
    <w:p w14:paraId="59F7727A" w14:textId="77777777" w:rsidR="0063082B" w:rsidRDefault="0063082B" w:rsidP="0063082B">
      <w:pPr>
        <w:pStyle w:val="Caption"/>
        <w:jc w:val="center"/>
      </w:pPr>
      <w:bookmarkStart w:id="91" w:name="_Toc236963126"/>
      <w:r>
        <w:t xml:space="preserve">Figure </w:t>
      </w:r>
      <w:fldSimple w:instr=" STYLEREF 1 \s ">
        <w:r>
          <w:rPr>
            <w:noProof/>
          </w:rPr>
          <w:t>9</w:t>
        </w:r>
      </w:fldSimple>
      <w:r>
        <w:t>.</w:t>
      </w:r>
      <w:fldSimple w:instr=" SEQ Figure \* ARABIC \s 1 ">
        <w:r>
          <w:rPr>
            <w:noProof/>
          </w:rPr>
          <w:t>1</w:t>
        </w:r>
      </w:fldSimple>
      <w:r>
        <w:t xml:space="preserve">: </w:t>
      </w:r>
      <w:r w:rsidRPr="001211F0">
        <w:t>Gibbs’ six-stage reflective cycle. Source: University of Edinburgh (2024)</w:t>
      </w:r>
      <w:bookmarkEnd w:id="91"/>
    </w:p>
    <w:p w14:paraId="04EF8FE9" w14:textId="60908F61" w:rsidR="0063082B" w:rsidRDefault="00445754" w:rsidP="0063082B">
      <w:pPr>
        <w:pStyle w:val="Heading2"/>
      </w:pPr>
      <w:bookmarkStart w:id="92" w:name="_Toc236963168"/>
      <w:bookmarkStart w:id="93" w:name="_Toc237479814"/>
      <w:r>
        <w:rPr>
          <w:rFonts w:eastAsia="Arial"/>
        </w:rPr>
        <w:lastRenderedPageBreak/>
        <w:t>9</w:t>
      </w:r>
      <w:r w:rsidR="0063082B">
        <w:rPr>
          <w:rFonts w:eastAsia="Arial"/>
        </w:rPr>
        <w:t>.1 Description</w:t>
      </w:r>
      <w:bookmarkEnd w:id="92"/>
      <w:bookmarkEnd w:id="93"/>
    </w:p>
    <w:p w14:paraId="5815CC00" w14:textId="77777777" w:rsidR="00144D4E" w:rsidRDefault="00144D4E" w:rsidP="00144D4E">
      <w:r>
        <w:t>I transformed the short and lecture series into a research matrix framework for both countries, Cadbury, theory and entry and ethics. I looked at recent open journals, books, official statistics, company publications and regulations, and then structured the evidence around the decision questions. Lectures led to PESTEL, Hofstede, STP, standardisation and adaptation as well as Marketing mix and ethics. It was hard to keep this comparison with you, so that you can keep it direct. In the initial drafts, there were separate discussions on countries, so I have rewritten each discussion to relate the favourable condition with unfavourable countercondition and strategic implication for Cadbury.</w:t>
      </w:r>
    </w:p>
    <w:p w14:paraId="79BB8C98" w14:textId="12A0CCA2" w:rsidR="0063082B" w:rsidRDefault="0063082B" w:rsidP="0063082B">
      <w:pPr>
        <w:pStyle w:val="Heading2"/>
      </w:pPr>
      <w:bookmarkStart w:id="94" w:name="_Toc236963169"/>
      <w:bookmarkStart w:id="95" w:name="_Toc237479815"/>
      <w:r>
        <w:rPr>
          <w:rFonts w:eastAsia="Arial"/>
        </w:rPr>
        <w:t>9.2 Feelings</w:t>
      </w:r>
      <w:bookmarkEnd w:id="94"/>
      <w:bookmarkEnd w:id="95"/>
    </w:p>
    <w:p w14:paraId="7B07C2FE" w14:textId="01B053C8" w:rsidR="00144D4E" w:rsidRDefault="00144D4E" w:rsidP="00144D4E">
      <w:r>
        <w:t xml:space="preserve">When I first </w:t>
      </w:r>
      <w:r w:rsidR="001839BB">
        <w:t>started,</w:t>
      </w:r>
      <w:r>
        <w:t xml:space="preserve"> I felt comfortable because Cadbury was known and there was a lot of information. At the dawn of familiarity came assumptions about British heritage and Indian festival marketing. When authoritative-sounding sites mentioned unsupported claims, or when open articles were written about food instead of chocolate, I got a bit confused. Also book selection was difficult due to the fact that only recent open sources were considered. When I distinguished between factual and analytical questions there was increased confidence. </w:t>
      </w:r>
      <w:r w:rsidR="001839BB">
        <w:t>Official evidence of growth</w:t>
      </w:r>
      <w:r>
        <w:t xml:space="preserve"> and/or regulation was matched with theory and/or judgement to explain the impact on Cadbury's particular pricing, positioning and ethical risk.</w:t>
      </w:r>
    </w:p>
    <w:p w14:paraId="46572B91" w14:textId="5703FA48" w:rsidR="0063082B" w:rsidRDefault="0063082B" w:rsidP="0063082B">
      <w:pPr>
        <w:pStyle w:val="Heading2"/>
      </w:pPr>
      <w:bookmarkStart w:id="96" w:name="_Toc236963170"/>
      <w:bookmarkStart w:id="97" w:name="_Toc237479816"/>
      <w:r>
        <w:rPr>
          <w:rFonts w:eastAsia="Arial"/>
        </w:rPr>
        <w:t>9.3 Evaluation</w:t>
      </w:r>
      <w:bookmarkEnd w:id="96"/>
      <w:bookmarkEnd w:id="97"/>
    </w:p>
    <w:p w14:paraId="108B988E" w14:textId="77777777" w:rsidR="00144D4E" w:rsidRDefault="00144D4E" w:rsidP="00144D4E">
      <w:r>
        <w:t xml:space="preserve">The best was the triangulation. Official and company material provided dates, products, regulation and macroeconomic conditions, and journals provided a discussion of behavior, packaging, digital influence and ethics. Each source was assigned an analytical role as a result of the lectures. The poorest was too early over collection and quantity equating to quality. There were some credible papers which did not change a comparison and secondary websites repeated untraceable claims. Elimination of them enhanced coherence. Cadby et al. (2021) in particular proved helpful as it took the </w:t>
      </w:r>
      <w:r>
        <w:lastRenderedPageBreak/>
        <w:t>chocolate quality analysis beyond taste to the matters of provenance and sustainability, thus fortifying product and ethics analysis hand in hand.</w:t>
      </w:r>
    </w:p>
    <w:p w14:paraId="42064A11" w14:textId="4FF50820" w:rsidR="0063082B" w:rsidRDefault="0063082B" w:rsidP="0063082B">
      <w:pPr>
        <w:pStyle w:val="Heading2"/>
      </w:pPr>
      <w:bookmarkStart w:id="98" w:name="_Toc236963171"/>
      <w:bookmarkStart w:id="99" w:name="_Toc237479817"/>
      <w:r>
        <w:rPr>
          <w:rFonts w:eastAsia="Arial"/>
        </w:rPr>
        <w:t>9.4 Analysis</w:t>
      </w:r>
      <w:bookmarkEnd w:id="98"/>
      <w:bookmarkEnd w:id="99"/>
    </w:p>
    <w:p w14:paraId="0B2E8ED7" w14:textId="1AAACE12" w:rsidR="00144D4E" w:rsidRDefault="00144D4E" w:rsidP="00144D4E">
      <w:r>
        <w:t xml:space="preserve">The biggest take-away is that the labels of favourable and unfavourable are subject to conditions, and not permanent. Small Indian packs are attractive in terms of cost and availability but may require more gram in pack. The UK advertising regulations limit the scope of promotions and can enhance the trust, benefiting brand-led creativity. Norton et al. (2022) further validated </w:t>
      </w:r>
      <w:r w:rsidR="001839BB">
        <w:t>these systems</w:t>
      </w:r>
      <w:r>
        <w:t xml:space="preserve"> thinking since to constitute a sustainable packaging, one cannot neglect the need for simultaneous attention to product protection, consumer acceptance and impact on the environment. So I became aware of qualifying judgments and the must-knows: who is served,and how, for how long, at what expense.</w:t>
      </w:r>
    </w:p>
    <w:p w14:paraId="142A7958" w14:textId="77777777" w:rsidR="00144D4E" w:rsidRDefault="00144D4E" w:rsidP="00144D4E">
      <w:r>
        <w:t>Hofstede required caution. National scores provided a well-balanced picture of hierarchy, individualism and indulgence and might be used to form stereotypes. As seen by Rinklin et al. (2022) Individual and Task effects are also very important, hence I took the dimensions as hypotheses and tested it with gifting, premiumisation, media and channels. I also realised there were seven elements and how they connected each other. With a small pack, the product, product price, retailer economics, reach, product physical evidence and ethics change. When reading Manuel (2022), I shifted my focus from a description of the concept of framework to an explanation of the concept of strategy, as Manuel (2022) described international marketing as an integrated system.</w:t>
      </w:r>
    </w:p>
    <w:p w14:paraId="5C3A0F86" w14:textId="12E540A4" w:rsidR="0063082B" w:rsidRDefault="0063082B" w:rsidP="0063082B">
      <w:pPr>
        <w:pStyle w:val="Heading2"/>
      </w:pPr>
      <w:bookmarkStart w:id="100" w:name="_Toc236963172"/>
      <w:bookmarkStart w:id="101" w:name="_Toc237479818"/>
      <w:r>
        <w:rPr>
          <w:rFonts w:eastAsia="Arial"/>
        </w:rPr>
        <w:t>9.5 Conclusion</w:t>
      </w:r>
      <w:bookmarkEnd w:id="100"/>
      <w:bookmarkEnd w:id="101"/>
    </w:p>
    <w:p w14:paraId="3A72820A" w14:textId="77FD9476" w:rsidR="0063082B" w:rsidRDefault="00144D4E" w:rsidP="0063082B">
      <w:r w:rsidRPr="00144D4E">
        <w:t xml:space="preserve">The two processes cultivated my ability to come from description to the </w:t>
      </w:r>
      <w:r w:rsidR="001839BB" w:rsidRPr="00144D4E">
        <w:t>evidence-based</w:t>
      </w:r>
      <w:r w:rsidRPr="00144D4E">
        <w:t xml:space="preserve"> judgment. I was more discriminating in my sources, more forthright in my comparisons, more ready to show tensions that were not ideally solved. I also learned that recommendation must be credible, given previous findings and implementation limitations. The macro, cultural, marketing mix and ethical analysis were combined to give me the final conclusion that Cadbury should have a stable global meaning but to adapt execution which was not my initial choice of favouring localisation.</w:t>
      </w:r>
    </w:p>
    <w:p w14:paraId="55F384DC" w14:textId="07E9706D" w:rsidR="0063082B" w:rsidRDefault="0063082B" w:rsidP="0063082B">
      <w:pPr>
        <w:pStyle w:val="Heading2"/>
        <w:rPr>
          <w:rFonts w:eastAsia="Arial"/>
        </w:rPr>
      </w:pPr>
      <w:bookmarkStart w:id="102" w:name="_Toc236963173"/>
      <w:bookmarkStart w:id="103" w:name="_Toc237479819"/>
      <w:r>
        <w:rPr>
          <w:rFonts w:eastAsia="Arial"/>
        </w:rPr>
        <w:lastRenderedPageBreak/>
        <w:t>9.6 Action plan</w:t>
      </w:r>
      <w:bookmarkEnd w:id="102"/>
      <w:bookmarkEnd w:id="103"/>
    </w:p>
    <w:tbl>
      <w:tblPr>
        <w:tblStyle w:val="TableGrid"/>
        <w:tblW w:w="0" w:type="auto"/>
        <w:jc w:val="center"/>
        <w:tblLook w:val="04A0" w:firstRow="1" w:lastRow="0" w:firstColumn="1" w:lastColumn="0" w:noHBand="0" w:noVBand="1"/>
      </w:tblPr>
      <w:tblGrid>
        <w:gridCol w:w="2277"/>
        <w:gridCol w:w="4008"/>
        <w:gridCol w:w="3291"/>
      </w:tblGrid>
      <w:tr w:rsidR="0063082B" w:rsidRPr="00AE7A84" w14:paraId="43A71645" w14:textId="77777777" w:rsidTr="00EC226D">
        <w:trPr>
          <w:jc w:val="center"/>
        </w:trPr>
        <w:tc>
          <w:tcPr>
            <w:tcW w:w="0" w:type="auto"/>
            <w:hideMark/>
          </w:tcPr>
          <w:p w14:paraId="7A3CD3D8" w14:textId="77777777" w:rsidR="0063082B" w:rsidRPr="00AE7A84" w:rsidRDefault="0063082B" w:rsidP="00EC226D">
            <w:pPr>
              <w:jc w:val="center"/>
              <w:rPr>
                <w:b/>
                <w:bCs/>
              </w:rPr>
            </w:pPr>
            <w:r w:rsidRPr="00AE7A84">
              <w:rPr>
                <w:b/>
                <w:bCs/>
              </w:rPr>
              <w:t>Development area</w:t>
            </w:r>
          </w:p>
        </w:tc>
        <w:tc>
          <w:tcPr>
            <w:tcW w:w="0" w:type="auto"/>
            <w:hideMark/>
          </w:tcPr>
          <w:p w14:paraId="0A980334" w14:textId="77777777" w:rsidR="0063082B" w:rsidRPr="00AE7A84" w:rsidRDefault="0063082B" w:rsidP="00EC226D">
            <w:pPr>
              <w:jc w:val="center"/>
              <w:rPr>
                <w:b/>
                <w:bCs/>
              </w:rPr>
            </w:pPr>
            <w:r w:rsidRPr="00AE7A84">
              <w:rPr>
                <w:b/>
                <w:bCs/>
              </w:rPr>
              <w:t>Planned action</w:t>
            </w:r>
          </w:p>
        </w:tc>
        <w:tc>
          <w:tcPr>
            <w:tcW w:w="0" w:type="auto"/>
            <w:hideMark/>
          </w:tcPr>
          <w:p w14:paraId="04BF8D94" w14:textId="77777777" w:rsidR="0063082B" w:rsidRPr="00AE7A84" w:rsidRDefault="0063082B" w:rsidP="00EC226D">
            <w:pPr>
              <w:jc w:val="center"/>
              <w:rPr>
                <w:b/>
                <w:bCs/>
              </w:rPr>
            </w:pPr>
            <w:r w:rsidRPr="00AE7A84">
              <w:rPr>
                <w:b/>
                <w:bCs/>
              </w:rPr>
              <w:t>Expected outcome</w:t>
            </w:r>
          </w:p>
        </w:tc>
      </w:tr>
      <w:tr w:rsidR="0063082B" w:rsidRPr="000E7C1F" w14:paraId="6EC316C1" w14:textId="77777777" w:rsidTr="00EC226D">
        <w:trPr>
          <w:jc w:val="center"/>
        </w:trPr>
        <w:tc>
          <w:tcPr>
            <w:tcW w:w="0" w:type="auto"/>
            <w:hideMark/>
          </w:tcPr>
          <w:p w14:paraId="7C0E350C" w14:textId="77777777" w:rsidR="0063082B" w:rsidRPr="000E7C1F" w:rsidRDefault="0063082B" w:rsidP="00EC226D">
            <w:r w:rsidRPr="000E7C1F">
              <w:t>Research planning</w:t>
            </w:r>
          </w:p>
        </w:tc>
        <w:tc>
          <w:tcPr>
            <w:tcW w:w="0" w:type="auto"/>
            <w:hideMark/>
          </w:tcPr>
          <w:p w14:paraId="48160159" w14:textId="77777777" w:rsidR="0063082B" w:rsidRPr="000E7C1F" w:rsidRDefault="0063082B" w:rsidP="00EC226D">
            <w:r w:rsidRPr="000E7C1F">
              <w:t>Define decision questions before searching</w:t>
            </w:r>
          </w:p>
        </w:tc>
        <w:tc>
          <w:tcPr>
            <w:tcW w:w="0" w:type="auto"/>
            <w:hideMark/>
          </w:tcPr>
          <w:p w14:paraId="0F3E9411" w14:textId="77777777" w:rsidR="0063082B" w:rsidRPr="000E7C1F" w:rsidRDefault="0063082B" w:rsidP="00EC226D">
            <w:r w:rsidRPr="000E7C1F">
              <w:t>More focused and relevant research</w:t>
            </w:r>
          </w:p>
        </w:tc>
      </w:tr>
      <w:tr w:rsidR="0063082B" w:rsidRPr="000E7C1F" w14:paraId="7CDF6C05" w14:textId="77777777" w:rsidTr="00EC226D">
        <w:trPr>
          <w:jc w:val="center"/>
        </w:trPr>
        <w:tc>
          <w:tcPr>
            <w:tcW w:w="0" w:type="auto"/>
            <w:hideMark/>
          </w:tcPr>
          <w:p w14:paraId="4D4CEE5C" w14:textId="77777777" w:rsidR="0063082B" w:rsidRPr="000E7C1F" w:rsidRDefault="0063082B" w:rsidP="00EC226D">
            <w:r w:rsidRPr="000E7C1F">
              <w:t>Source evaluation</w:t>
            </w:r>
          </w:p>
        </w:tc>
        <w:tc>
          <w:tcPr>
            <w:tcW w:w="0" w:type="auto"/>
            <w:hideMark/>
          </w:tcPr>
          <w:p w14:paraId="1B613031" w14:textId="77777777" w:rsidR="0063082B" w:rsidRPr="000E7C1F" w:rsidRDefault="0063082B" w:rsidP="00EC226D">
            <w:r w:rsidRPr="000E7C1F">
              <w:t>Record each source’s claim, method and limitation</w:t>
            </w:r>
          </w:p>
        </w:tc>
        <w:tc>
          <w:tcPr>
            <w:tcW w:w="0" w:type="auto"/>
            <w:hideMark/>
          </w:tcPr>
          <w:p w14:paraId="7A82896F" w14:textId="77777777" w:rsidR="0063082B" w:rsidRPr="000E7C1F" w:rsidRDefault="0063082B" w:rsidP="00EC226D">
            <w:r w:rsidRPr="000E7C1F">
              <w:t>Stronger evidence quality</w:t>
            </w:r>
          </w:p>
        </w:tc>
      </w:tr>
      <w:tr w:rsidR="0063082B" w:rsidRPr="000E7C1F" w14:paraId="51045925" w14:textId="77777777" w:rsidTr="00EC226D">
        <w:trPr>
          <w:jc w:val="center"/>
        </w:trPr>
        <w:tc>
          <w:tcPr>
            <w:tcW w:w="0" w:type="auto"/>
            <w:hideMark/>
          </w:tcPr>
          <w:p w14:paraId="223FF008" w14:textId="77777777" w:rsidR="0063082B" w:rsidRPr="000E7C1F" w:rsidRDefault="0063082B" w:rsidP="00EC226D">
            <w:r w:rsidRPr="000E7C1F">
              <w:t>Comparative writing</w:t>
            </w:r>
          </w:p>
        </w:tc>
        <w:tc>
          <w:tcPr>
            <w:tcW w:w="0" w:type="auto"/>
            <w:hideMark/>
          </w:tcPr>
          <w:p w14:paraId="09E83242" w14:textId="77777777" w:rsidR="0063082B" w:rsidRPr="000E7C1F" w:rsidRDefault="0063082B" w:rsidP="00EC226D">
            <w:r w:rsidRPr="000E7C1F">
              <w:t>Draft comparative topic sentences before country evidence</w:t>
            </w:r>
          </w:p>
        </w:tc>
        <w:tc>
          <w:tcPr>
            <w:tcW w:w="0" w:type="auto"/>
            <w:hideMark/>
          </w:tcPr>
          <w:p w14:paraId="2BDCCF2A" w14:textId="77777777" w:rsidR="0063082B" w:rsidRPr="000E7C1F" w:rsidRDefault="0063082B" w:rsidP="00EC226D">
            <w:r w:rsidRPr="000E7C1F">
              <w:t>Clearer comparison and analysis</w:t>
            </w:r>
          </w:p>
        </w:tc>
      </w:tr>
      <w:tr w:rsidR="0063082B" w:rsidRPr="000E7C1F" w14:paraId="48BE1146" w14:textId="77777777" w:rsidTr="00EC226D">
        <w:trPr>
          <w:jc w:val="center"/>
        </w:trPr>
        <w:tc>
          <w:tcPr>
            <w:tcW w:w="0" w:type="auto"/>
            <w:hideMark/>
          </w:tcPr>
          <w:p w14:paraId="2EDCC6F2" w14:textId="77777777" w:rsidR="0063082B" w:rsidRPr="000E7C1F" w:rsidRDefault="0063082B" w:rsidP="00EC226D">
            <w:r w:rsidRPr="000E7C1F">
              <w:t>Quality control</w:t>
            </w:r>
          </w:p>
        </w:tc>
        <w:tc>
          <w:tcPr>
            <w:tcW w:w="0" w:type="auto"/>
            <w:hideMark/>
          </w:tcPr>
          <w:p w14:paraId="66C8F7F8" w14:textId="77777777" w:rsidR="0063082B" w:rsidRPr="000E7C1F" w:rsidRDefault="0063082B" w:rsidP="00EC226D">
            <w:r w:rsidRPr="000E7C1F">
              <w:t>Check statistics, captions, links, references and metadata separately</w:t>
            </w:r>
          </w:p>
        </w:tc>
        <w:tc>
          <w:tcPr>
            <w:tcW w:w="0" w:type="auto"/>
            <w:hideMark/>
          </w:tcPr>
          <w:p w14:paraId="46DDDEED" w14:textId="77777777" w:rsidR="0063082B" w:rsidRPr="000E7C1F" w:rsidRDefault="0063082B" w:rsidP="00EC226D">
            <w:r w:rsidRPr="000E7C1F">
              <w:t>Greater accuracy and consistency</w:t>
            </w:r>
          </w:p>
        </w:tc>
      </w:tr>
      <w:tr w:rsidR="0063082B" w:rsidRPr="000E7C1F" w14:paraId="08E0D552" w14:textId="77777777" w:rsidTr="00EC226D">
        <w:trPr>
          <w:jc w:val="center"/>
        </w:trPr>
        <w:tc>
          <w:tcPr>
            <w:tcW w:w="0" w:type="auto"/>
            <w:hideMark/>
          </w:tcPr>
          <w:p w14:paraId="3EA988D7" w14:textId="77777777" w:rsidR="0063082B" w:rsidRPr="000E7C1F" w:rsidRDefault="0063082B" w:rsidP="00EC226D">
            <w:r w:rsidRPr="000E7C1F">
              <w:t>Word management</w:t>
            </w:r>
          </w:p>
        </w:tc>
        <w:tc>
          <w:tcPr>
            <w:tcW w:w="0" w:type="auto"/>
            <w:hideMark/>
          </w:tcPr>
          <w:p w14:paraId="08F374DA" w14:textId="77777777" w:rsidR="0063082B" w:rsidRPr="000E7C1F" w:rsidRDefault="0063082B" w:rsidP="00EC226D">
            <w:r w:rsidRPr="000E7C1F">
              <w:t>Review word allocation at an early stage</w:t>
            </w:r>
          </w:p>
        </w:tc>
        <w:tc>
          <w:tcPr>
            <w:tcW w:w="0" w:type="auto"/>
            <w:hideMark/>
          </w:tcPr>
          <w:p w14:paraId="7ED69360" w14:textId="77777777" w:rsidR="0063082B" w:rsidRPr="000E7C1F" w:rsidRDefault="0063082B" w:rsidP="00EC226D">
            <w:r w:rsidRPr="000E7C1F">
              <w:t>Better balance between analysis and reflection</w:t>
            </w:r>
          </w:p>
        </w:tc>
      </w:tr>
      <w:tr w:rsidR="0063082B" w:rsidRPr="000E7C1F" w14:paraId="6331D694" w14:textId="77777777" w:rsidTr="00EC226D">
        <w:trPr>
          <w:jc w:val="center"/>
        </w:trPr>
        <w:tc>
          <w:tcPr>
            <w:tcW w:w="0" w:type="auto"/>
            <w:hideMark/>
          </w:tcPr>
          <w:p w14:paraId="34645F9D" w14:textId="77777777" w:rsidR="0063082B" w:rsidRPr="000E7C1F" w:rsidRDefault="0063082B" w:rsidP="00EC226D">
            <w:r w:rsidRPr="000E7C1F">
              <w:t>Recommendation testing</w:t>
            </w:r>
          </w:p>
        </w:tc>
        <w:tc>
          <w:tcPr>
            <w:tcW w:w="0" w:type="auto"/>
            <w:hideMark/>
          </w:tcPr>
          <w:p w14:paraId="09B4E60D" w14:textId="77777777" w:rsidR="0063082B" w:rsidRPr="000E7C1F" w:rsidRDefault="0063082B" w:rsidP="00EC226D">
            <w:r w:rsidRPr="000E7C1F">
              <w:t>Assess feasibility, stakeholder impact, timing and risks</w:t>
            </w:r>
          </w:p>
        </w:tc>
        <w:tc>
          <w:tcPr>
            <w:tcW w:w="0" w:type="auto"/>
            <w:hideMark/>
          </w:tcPr>
          <w:p w14:paraId="7BEA364B" w14:textId="77777777" w:rsidR="0063082B" w:rsidRPr="000E7C1F" w:rsidRDefault="0063082B" w:rsidP="0019538D">
            <w:pPr>
              <w:keepNext/>
            </w:pPr>
            <w:r w:rsidRPr="000E7C1F">
              <w:t>More practical and credible recommendations</w:t>
            </w:r>
          </w:p>
        </w:tc>
      </w:tr>
    </w:tbl>
    <w:p w14:paraId="01A97B62" w14:textId="51A1A5BA" w:rsidR="0019538D" w:rsidRDefault="0019538D" w:rsidP="0019538D">
      <w:pPr>
        <w:pStyle w:val="Caption"/>
        <w:jc w:val="center"/>
      </w:pPr>
      <w:bookmarkStart w:id="104" w:name="_Toc236082238"/>
      <w:r>
        <w:t xml:space="preserve">Table </w:t>
      </w:r>
      <w:fldSimple w:instr=" STYLEREF 1 \s ">
        <w:r>
          <w:rPr>
            <w:noProof/>
          </w:rPr>
          <w:t>9</w:t>
        </w:r>
      </w:fldSimple>
      <w:r>
        <w:t>.</w:t>
      </w:r>
      <w:fldSimple w:instr=" SEQ Table \* ARABIC \s 1 ">
        <w:r>
          <w:rPr>
            <w:noProof/>
          </w:rPr>
          <w:t>1</w:t>
        </w:r>
      </w:fldSimple>
      <w:r>
        <w:t xml:space="preserve">: </w:t>
      </w:r>
      <w:r w:rsidRPr="00EB009F">
        <w:t>Action plan</w:t>
      </w:r>
      <w:bookmarkEnd w:id="104"/>
    </w:p>
    <w:p w14:paraId="56214FC9" w14:textId="77777777" w:rsidR="0063082B" w:rsidRDefault="0063082B" w:rsidP="0063082B"/>
    <w:p w14:paraId="56FEB081" w14:textId="77777777" w:rsidR="0063082B" w:rsidRDefault="0063082B" w:rsidP="0063082B">
      <w:r>
        <w:rPr>
          <w:rFonts w:eastAsia="Arial"/>
        </w:rPr>
        <w:br w:type="page"/>
      </w:r>
    </w:p>
    <w:p w14:paraId="66F6E044" w14:textId="1B5B7EA5" w:rsidR="008E41C8" w:rsidRDefault="00445754" w:rsidP="00764FD0">
      <w:pPr>
        <w:pStyle w:val="Heading1"/>
      </w:pPr>
      <w:bookmarkStart w:id="105" w:name="_Toc237479820"/>
      <w:r>
        <w:lastRenderedPageBreak/>
        <w:t xml:space="preserve">10. </w:t>
      </w:r>
      <w:r w:rsidR="0063082B">
        <w:t>References</w:t>
      </w:r>
      <w:bookmarkEnd w:id="105"/>
    </w:p>
    <w:p w14:paraId="1A5D19D8" w14:textId="77777777" w:rsidR="003A78F9" w:rsidRPr="003A78F9" w:rsidRDefault="003A78F9" w:rsidP="003A78F9">
      <w:pPr>
        <w:ind w:left="720" w:hanging="720"/>
      </w:pPr>
      <w:r w:rsidRPr="003A78F9">
        <w:t xml:space="preserve">Albrecht, M.G., Green, M. and Hoffman, L. (2023) Principles of Marketing. Houston, TX: OpenStax. Available at: </w:t>
      </w:r>
      <w:hyperlink r:id="rId26" w:history="1">
        <w:r w:rsidRPr="003A78F9">
          <w:rPr>
            <w:rStyle w:val="Hyperlink"/>
          </w:rPr>
          <w:t>https://openstax.org/books/principles-marketing/pages/1-unit-introduction</w:t>
        </w:r>
      </w:hyperlink>
      <w:r w:rsidRPr="003A78F9">
        <w:t xml:space="preserve">. </w:t>
      </w:r>
    </w:p>
    <w:p w14:paraId="00B52B7B" w14:textId="77777777" w:rsidR="003A78F9" w:rsidRPr="003A78F9" w:rsidRDefault="003A78F9" w:rsidP="003A78F9">
      <w:pPr>
        <w:ind w:left="720" w:hanging="720"/>
      </w:pPr>
      <w:r w:rsidRPr="003A78F9">
        <w:t xml:space="preserve">Al-Jawaldeh, A. and Jabbour, J. (2022) ‘Marketing of food and beverages to children in the Eastern Mediterranean Region: a situational analysis of the regulatory framework’, Frontiers in Nutrition, 9, 868937. Available at: </w:t>
      </w:r>
      <w:hyperlink r:id="rId27" w:history="1">
        <w:r w:rsidRPr="003A78F9">
          <w:rPr>
            <w:rStyle w:val="Hyperlink"/>
          </w:rPr>
          <w:t>https://www.frontiersin.org/journals/nutrition/articles/10.3389/fnut.2022.868937/full</w:t>
        </w:r>
      </w:hyperlink>
      <w:r w:rsidRPr="003A78F9">
        <w:t xml:space="preserve"> .</w:t>
      </w:r>
    </w:p>
    <w:p w14:paraId="4151CBC3" w14:textId="77777777" w:rsidR="003A78F9" w:rsidRPr="003A78F9" w:rsidRDefault="003A78F9" w:rsidP="003A78F9">
      <w:pPr>
        <w:ind w:left="720" w:hanging="720"/>
      </w:pPr>
      <w:r w:rsidRPr="003A78F9">
        <w:t xml:space="preserve">Amevinya, G.S., Vandevijvere, S., Kelly, B., Afagbedzi, S.K., Aryeetey, R., Adjei, A.P., Quarpong, W., Tandoh, A., Nanema, S., Agyemang, C., Zotor, F., Laar, M.E., Mensah, K., Laryea, D., Asiki, G., Holdsworth, M. and Laar, A. (2022) ‘Advertising of unhealthy foods and beverages around primary and junior high schools in Ghana’s most urbanized and populous region’, Frontiers in Public Health, 10, 917456. Available at: </w:t>
      </w:r>
      <w:hyperlink r:id="rId28" w:history="1">
        <w:r w:rsidRPr="003A78F9">
          <w:rPr>
            <w:rStyle w:val="Hyperlink"/>
          </w:rPr>
          <w:t>https://www.frontiersin.org/journals/public-health/articles/10.3389/fpubh.2022.917456/full</w:t>
        </w:r>
      </w:hyperlink>
      <w:r w:rsidRPr="003A78F9">
        <w:t xml:space="preserve">. </w:t>
      </w:r>
    </w:p>
    <w:p w14:paraId="7A02D144" w14:textId="77777777" w:rsidR="003A78F9" w:rsidRPr="003A78F9" w:rsidRDefault="003A78F9" w:rsidP="003A78F9">
      <w:pPr>
        <w:ind w:left="720" w:hanging="720"/>
      </w:pPr>
      <w:r w:rsidRPr="003A78F9">
        <w:t xml:space="preserve">Brouthers, K.D., Chen, L., Li, S. and Shaheer, N. (2022) ‘Charting new courses to enter foreign markets: conceptualization, theoretical framework, and research directions on non-traditional entry modes’, Journal of International Business Studies, 53(9), pp. 2088–2115. Available at: </w:t>
      </w:r>
      <w:hyperlink r:id="rId29" w:history="1">
        <w:r w:rsidRPr="003A78F9">
          <w:rPr>
            <w:rStyle w:val="Hyperlink"/>
          </w:rPr>
          <w:t>https://pmc.ncbi.nlm.nih.gov/articles/PMC9030681/</w:t>
        </w:r>
      </w:hyperlink>
      <w:r w:rsidRPr="003A78F9">
        <w:t>.</w:t>
      </w:r>
    </w:p>
    <w:p w14:paraId="59230E18" w14:textId="77777777" w:rsidR="003A78F9" w:rsidRPr="003A78F9" w:rsidRDefault="003A78F9" w:rsidP="003A78F9">
      <w:pPr>
        <w:ind w:left="720" w:hanging="720"/>
      </w:pPr>
      <w:r w:rsidRPr="003A78F9">
        <w:t xml:space="preserve">Cadbury UK (2026) Cadbury UK. Available at: </w:t>
      </w:r>
      <w:hyperlink r:id="rId30" w:history="1">
        <w:r w:rsidRPr="003A78F9">
          <w:rPr>
            <w:rStyle w:val="Hyperlink"/>
          </w:rPr>
          <w:t>https://www.cadbury.co.uk/</w:t>
        </w:r>
      </w:hyperlink>
      <w:r w:rsidRPr="003A78F9">
        <w:t xml:space="preserve">. </w:t>
      </w:r>
    </w:p>
    <w:p w14:paraId="30E09A3E" w14:textId="77777777" w:rsidR="003A78F9" w:rsidRPr="003A78F9" w:rsidRDefault="003A78F9" w:rsidP="003A78F9">
      <w:pPr>
        <w:ind w:left="720" w:hanging="720"/>
      </w:pPr>
      <w:r w:rsidRPr="003A78F9">
        <w:t xml:space="preserve">Cadby, J., Araki, T. and Villacis, A.H. (2021) ‘Breaking the mold: craft chocolate makers prioritize quality, ethical sourcing and sustainability’, Journal of Agriculture and Food Research, 4, 100122. Available at: </w:t>
      </w:r>
      <w:hyperlink r:id="rId31" w:history="1">
        <w:r w:rsidRPr="003A78F9">
          <w:rPr>
            <w:rStyle w:val="Hyperlink"/>
          </w:rPr>
          <w:t>https://www.sciencedirect.com/science/article/pii/S2666154321000247</w:t>
        </w:r>
      </w:hyperlink>
      <w:r w:rsidRPr="003A78F9">
        <w:t>.</w:t>
      </w:r>
    </w:p>
    <w:p w14:paraId="338A091A" w14:textId="77777777" w:rsidR="003A78F9" w:rsidRPr="003A78F9" w:rsidRDefault="003A78F9" w:rsidP="003A78F9">
      <w:pPr>
        <w:ind w:left="720" w:hanging="720"/>
      </w:pPr>
      <w:r w:rsidRPr="003A78F9">
        <w:t xml:space="preserve">Camacho, L.J., Ramírez-Correa, P.E. and Salazar-Concha, C. (2022) ‘Consumer ethnocentrism and country of origin: effects on online consumer purchase behavior in times of a pandemic’, Sustainability, 14(1), 348. Available at: </w:t>
      </w:r>
      <w:hyperlink r:id="rId32" w:history="1">
        <w:r w:rsidRPr="003A78F9">
          <w:rPr>
            <w:rStyle w:val="Hyperlink"/>
          </w:rPr>
          <w:t>https://www.mdpi.com/2071-1050/14/1/348</w:t>
        </w:r>
      </w:hyperlink>
      <w:r w:rsidRPr="003A78F9">
        <w:t>.</w:t>
      </w:r>
    </w:p>
    <w:p w14:paraId="518BF659" w14:textId="77777777" w:rsidR="003A78F9" w:rsidRPr="003A78F9" w:rsidRDefault="003A78F9" w:rsidP="003A78F9">
      <w:pPr>
        <w:ind w:left="720" w:hanging="720"/>
      </w:pPr>
      <w:r w:rsidRPr="003A78F9">
        <w:lastRenderedPageBreak/>
        <w:t xml:space="preserve">Czeczotko, M., Górska-Warsewicz, H. and Zaremba, R. (2022) ‘Health and non-health determinants of consumer behavior toward private label products: a systematic literature review’, International Journal of Environmental Research and Public Health, 19(3), 1768. Available at: </w:t>
      </w:r>
      <w:hyperlink r:id="rId33" w:history="1">
        <w:r w:rsidRPr="003A78F9">
          <w:rPr>
            <w:rStyle w:val="Hyperlink"/>
          </w:rPr>
          <w:t>https://www.mdpi.com/1660-4601/19/3/1768</w:t>
        </w:r>
      </w:hyperlink>
      <w:r w:rsidRPr="003A78F9">
        <w:t>.</w:t>
      </w:r>
    </w:p>
    <w:p w14:paraId="01768E40" w14:textId="77777777" w:rsidR="003A78F9" w:rsidRPr="003A78F9" w:rsidRDefault="003A78F9" w:rsidP="003A78F9">
      <w:pPr>
        <w:ind w:left="720" w:hanging="720"/>
      </w:pPr>
      <w:r w:rsidRPr="003A78F9">
        <w:t xml:space="preserve">Farzand, A., Rohin, M.A.K., Awan, S.J., Hussain, A., Faizan, M. and Ahmad, A.M.R. (2025) ‘Obesity and food marketing: a narrative review of consumer influence, regulatory gaps, and ethical implications’, Frontiers in Nutrition, 12, 1645166. Available at: </w:t>
      </w:r>
      <w:hyperlink r:id="rId34" w:history="1">
        <w:r w:rsidRPr="003A78F9">
          <w:rPr>
            <w:rStyle w:val="Hyperlink"/>
          </w:rPr>
          <w:t>https://www.frontiersin.org/journals/nutrition/articles/10.3389/fnut.2025.1645166/full</w:t>
        </w:r>
      </w:hyperlink>
      <w:r w:rsidRPr="003A78F9">
        <w:t>.</w:t>
      </w:r>
    </w:p>
    <w:p w14:paraId="3C3BDF87" w14:textId="55F14F87" w:rsidR="003A78F9" w:rsidRPr="003A78F9" w:rsidRDefault="003A78F9" w:rsidP="003A78F9">
      <w:pPr>
        <w:ind w:left="720" w:hanging="720"/>
      </w:pPr>
      <w:r w:rsidRPr="003A78F9">
        <w:t xml:space="preserve">Food Safety and Standards Authority of India (FSSAI) (2024) Advisory on the category “Health Drink” on electronic commerce websites. Available at: </w:t>
      </w:r>
      <w:hyperlink r:id="rId35" w:history="1">
        <w:r w:rsidRPr="003A78F9">
          <w:rPr>
            <w:rStyle w:val="Hyperlink"/>
          </w:rPr>
          <w:t>https://www.fssai.gov.in/upload/advisories/2024/04/660d30f574b44Advisory_Health%20Drink_on%20e-commerce%20website.pdf</w:t>
        </w:r>
      </w:hyperlink>
      <w:r w:rsidRPr="003A78F9">
        <w:t>.</w:t>
      </w:r>
    </w:p>
    <w:p w14:paraId="5FFB1350" w14:textId="2584E422" w:rsidR="003A78F9" w:rsidRPr="003A78F9" w:rsidRDefault="003A78F9" w:rsidP="003A78F9">
      <w:pPr>
        <w:ind w:left="720" w:hanging="720"/>
      </w:pPr>
      <w:r w:rsidRPr="003A78F9">
        <w:t xml:space="preserve">Gao, R., Gao, Q., Zhuang, X. and Sun, K. (2022) ‘Extending Uppsala model with springboard perspective in emerging multinational’s sequential internationalisation: evidence from a construction company’s expansion in Africa’, Journal of Risk and Financial Management, 15(1), 16. Available at: </w:t>
      </w:r>
      <w:hyperlink r:id="rId36" w:history="1">
        <w:r w:rsidRPr="003A78F9">
          <w:rPr>
            <w:rStyle w:val="Hyperlink"/>
          </w:rPr>
          <w:t>https://www.mdpi.com/1911-8074/15/1/16</w:t>
        </w:r>
      </w:hyperlink>
      <w:r w:rsidRPr="003A78F9">
        <w:t>.</w:t>
      </w:r>
    </w:p>
    <w:p w14:paraId="3E20BE20" w14:textId="7630AA04" w:rsidR="003A78F9" w:rsidRPr="003A78F9" w:rsidRDefault="003A78F9" w:rsidP="003A78F9">
      <w:pPr>
        <w:ind w:left="720" w:hanging="720"/>
      </w:pPr>
      <w:r w:rsidRPr="003A78F9">
        <w:t xml:space="preserve">Gonen, L.D., Tavor, T. and Spiegel, U. (2024) ‘Unlocking market potential: strategic consumer segmentation and dynamic pricing for balancing loyalty and deal seeking’, Mathematics, 12(21), 3364. Available at: </w:t>
      </w:r>
      <w:hyperlink r:id="rId37" w:history="1">
        <w:r w:rsidRPr="003A78F9">
          <w:rPr>
            <w:rStyle w:val="Hyperlink"/>
          </w:rPr>
          <w:t>https://www.mdpi.com/2227-7390/12/21/3364</w:t>
        </w:r>
      </w:hyperlink>
      <w:r w:rsidRPr="003A78F9">
        <w:t>.</w:t>
      </w:r>
    </w:p>
    <w:p w14:paraId="092AB835" w14:textId="43F74819" w:rsidR="003A78F9" w:rsidRPr="003A78F9" w:rsidRDefault="003A78F9" w:rsidP="003A78F9">
      <w:pPr>
        <w:ind w:left="720" w:hanging="720"/>
      </w:pPr>
      <w:r w:rsidRPr="003A78F9">
        <w:t xml:space="preserve">Hu, S. and Zhu, Z. (2022) ‘Effects of social media usage on consumers’ purchase intention in social commerce: a cross-cultural empirical analysis’, Frontiers in Psychology, 13, 837752. Available at: </w:t>
      </w:r>
      <w:hyperlink r:id="rId38" w:history="1">
        <w:r w:rsidRPr="003A78F9">
          <w:rPr>
            <w:rStyle w:val="Hyperlink"/>
          </w:rPr>
          <w:t>https://www.frontiersin.org/journals/psychology/articles/10.3389/fpsyg.2022.837752/full</w:t>
        </w:r>
      </w:hyperlink>
      <w:r w:rsidRPr="003A78F9">
        <w:t>.</w:t>
      </w:r>
    </w:p>
    <w:p w14:paraId="46E96FEB" w14:textId="0095CF9C" w:rsidR="003A78F9" w:rsidRPr="003A78F9" w:rsidRDefault="003A78F9" w:rsidP="003A78F9">
      <w:pPr>
        <w:ind w:left="720" w:hanging="720"/>
      </w:pPr>
      <w:r w:rsidRPr="003A78F9">
        <w:t xml:space="preserve">Kothari, H., Choudhary, A., Jain, A., Singh, S., Prasad, K.D.V. and Vani, U.K. (2025) ‘Impact of social media advertising on consumer behavior: role of credibility, perceived authenticity, and sustainability’, Frontiers in Communication, 10, </w:t>
      </w:r>
      <w:r w:rsidRPr="003A78F9">
        <w:lastRenderedPageBreak/>
        <w:t xml:space="preserve">1595796. Available at: </w:t>
      </w:r>
      <w:hyperlink r:id="rId39" w:history="1">
        <w:r w:rsidRPr="003A78F9">
          <w:rPr>
            <w:rStyle w:val="Hyperlink"/>
          </w:rPr>
          <w:t>https://www.frontiersin.org/journals/communication/articles/10.3389/fcomm.2025.1595796/full</w:t>
        </w:r>
      </w:hyperlink>
      <w:r w:rsidRPr="003A78F9">
        <w:t>.</w:t>
      </w:r>
    </w:p>
    <w:p w14:paraId="047759B9" w14:textId="0E4A5610" w:rsidR="003A78F9" w:rsidRPr="003A78F9" w:rsidRDefault="003A78F9" w:rsidP="003A78F9">
      <w:pPr>
        <w:ind w:left="720" w:hanging="720"/>
      </w:pPr>
      <w:r w:rsidRPr="003A78F9">
        <w:t xml:space="preserve">Kuang, T., Yang, D. and Zou, D. (2024) ‘The impact of transparent packaging: how transparent packaging for organic foods affects tourists’ green purchasing behavior’, Frontiers in Nutrition, 11, 1328596. Available at: </w:t>
      </w:r>
      <w:hyperlink r:id="rId40" w:history="1">
        <w:r w:rsidRPr="003A78F9">
          <w:rPr>
            <w:rStyle w:val="Hyperlink"/>
          </w:rPr>
          <w:t>https://www.frontiersin.org/journals/nutrition/articles/10.3389/fnut.2024.1328596/full</w:t>
        </w:r>
      </w:hyperlink>
      <w:r w:rsidRPr="003A78F9">
        <w:t>.</w:t>
      </w:r>
    </w:p>
    <w:p w14:paraId="71B9CF64" w14:textId="77777777" w:rsidR="003A78F9" w:rsidRPr="003A78F9" w:rsidRDefault="003A78F9" w:rsidP="003A78F9">
      <w:pPr>
        <w:ind w:left="720" w:hanging="720"/>
      </w:pPr>
      <w:r w:rsidRPr="003A78F9">
        <w:t>LCMB7026 lecture material (2026) International Marketing: Principles and Practices, Weeks 3, 4, 5, 6, 7 and 10. University of Wales Trinity Saint David. Used only as the source of specified model figures.</w:t>
      </w:r>
    </w:p>
    <w:p w14:paraId="00563095" w14:textId="54D454BE" w:rsidR="003A78F9" w:rsidRPr="003A78F9" w:rsidRDefault="003A78F9" w:rsidP="003A78F9">
      <w:pPr>
        <w:ind w:left="720" w:hanging="720"/>
      </w:pPr>
      <w:r w:rsidRPr="003A78F9">
        <w:t xml:space="preserve">Liang, S., Zhou, Y., Qin, Q., Zhang, X., Li, J., Zhang, T., Li, J. and Zhu, M. (2025) ‘Angular versus circular: the role of shapes on food packaging graphics in purchase intentions, perceived healthiness and self-construal’, Frontiers in Sustainable Food Systems, 9, 1512655. Available at: </w:t>
      </w:r>
      <w:hyperlink r:id="rId41" w:history="1">
        <w:r w:rsidRPr="003A78F9">
          <w:rPr>
            <w:rStyle w:val="Hyperlink"/>
          </w:rPr>
          <w:t>https://www.frontiersin.org/journals/sustainable-food-systems/articles/10.3389/fsufs.2025.1512655/full</w:t>
        </w:r>
      </w:hyperlink>
      <w:r w:rsidRPr="003A78F9">
        <w:t>.</w:t>
      </w:r>
    </w:p>
    <w:p w14:paraId="05928459" w14:textId="70C3D373" w:rsidR="003A78F9" w:rsidRPr="003A78F9" w:rsidRDefault="003A78F9" w:rsidP="003A78F9">
      <w:pPr>
        <w:ind w:left="720" w:hanging="720"/>
      </w:pPr>
      <w:r w:rsidRPr="003A78F9">
        <w:t xml:space="preserve">Lim, W.M. (2022) ‘The evolution and trends of consumer behaviour: insights for marketing’, Journal of Consumer Behaviour, 21(1), pp. 3–18. Available at: </w:t>
      </w:r>
      <w:hyperlink r:id="rId42" w:history="1">
        <w:r w:rsidRPr="003A78F9">
          <w:rPr>
            <w:rStyle w:val="Hyperlink"/>
          </w:rPr>
          <w:t>https://cognitioncommerce.ca/wp-content/uploads/2024/06/j-of-consumer-behaviour-2022-lim-evolution-and-trends-in-consumer.pdf</w:t>
        </w:r>
      </w:hyperlink>
      <w:r w:rsidRPr="003A78F9">
        <w:t>.</w:t>
      </w:r>
    </w:p>
    <w:p w14:paraId="60EBF0FF" w14:textId="2393E3CE" w:rsidR="003A78F9" w:rsidRPr="003A78F9" w:rsidRDefault="003A78F9" w:rsidP="003A78F9">
      <w:pPr>
        <w:ind w:left="720" w:hanging="720"/>
      </w:pPr>
      <w:r w:rsidRPr="003A78F9">
        <w:t xml:space="preserve">Lopes, J.M., Gomes, S., Oliveira, J. and Oliveira, M. (2022) ‘International open innovation strategies of firms in European peripheral regions’, Journal of Open Innovation: Technology, Market, and Complexity, 8(1), 7. Available at: </w:t>
      </w:r>
      <w:hyperlink r:id="rId43" w:history="1">
        <w:r w:rsidRPr="003A78F9">
          <w:rPr>
            <w:rStyle w:val="Hyperlink"/>
          </w:rPr>
          <w:t>https://www.mdpi.com/2199-8531/8/1/7</w:t>
        </w:r>
      </w:hyperlink>
      <w:r w:rsidRPr="003A78F9">
        <w:t>.</w:t>
      </w:r>
    </w:p>
    <w:p w14:paraId="5689445B" w14:textId="7B972794" w:rsidR="003A78F9" w:rsidRPr="003A78F9" w:rsidRDefault="003A78F9" w:rsidP="003A78F9">
      <w:pPr>
        <w:ind w:left="720" w:hanging="720"/>
      </w:pPr>
      <w:r w:rsidRPr="003A78F9">
        <w:t xml:space="preserve">Madlenak, R., Chinoracky, R., Stalmasekova, N. and Madlenakova, L. (2025) ‘Differences in online consumer behavior: a multi-dimensional comparative study in the context of European digital commerce’, Behavioral Sciences, 15(10), 1384. Available at: </w:t>
      </w:r>
      <w:hyperlink r:id="rId44" w:history="1">
        <w:r w:rsidRPr="003A78F9">
          <w:rPr>
            <w:rStyle w:val="Hyperlink"/>
          </w:rPr>
          <w:t>https://www.mdpi.com/2076-328X/15/10/1384</w:t>
        </w:r>
      </w:hyperlink>
      <w:r w:rsidRPr="003A78F9">
        <w:t>.</w:t>
      </w:r>
    </w:p>
    <w:p w14:paraId="6B104952" w14:textId="70D65F7C" w:rsidR="003A78F9" w:rsidRPr="003A78F9" w:rsidRDefault="003A78F9" w:rsidP="003A78F9">
      <w:pPr>
        <w:ind w:left="720" w:hanging="720"/>
      </w:pPr>
      <w:r w:rsidRPr="003A78F9">
        <w:t xml:space="preserve">Maksi, S.J., Keller, K.L., Dardis, F., Vecchi, M., Freeman, J., Evans, R.K., Boyland, E. and Masterson, T.D. (2024) ‘The food and beverage cues in digital marketing </w:t>
      </w:r>
      <w:r w:rsidRPr="003A78F9">
        <w:lastRenderedPageBreak/>
        <w:t xml:space="preserve">model: special considerations of social media, gaming, and livestreaming environments for food marketing and eating behavior research’, Frontiers in Nutrition, 10, 1325265. Available at: </w:t>
      </w:r>
      <w:hyperlink r:id="rId45" w:history="1">
        <w:r w:rsidRPr="003A78F9">
          <w:rPr>
            <w:rStyle w:val="Hyperlink"/>
          </w:rPr>
          <w:t>https://www.frontiersin.org/journals/nutrition/articles/10.3389/fnut.2023.1325265/full</w:t>
        </w:r>
      </w:hyperlink>
      <w:r w:rsidRPr="003A78F9">
        <w:t>.</w:t>
      </w:r>
    </w:p>
    <w:p w14:paraId="6AD9CF10" w14:textId="6B1A08A9" w:rsidR="003A78F9" w:rsidRPr="003A78F9" w:rsidRDefault="003A78F9" w:rsidP="003A78F9">
      <w:pPr>
        <w:ind w:left="720" w:hanging="720"/>
      </w:pPr>
      <w:r w:rsidRPr="003A78F9">
        <w:t xml:space="preserve">Manuel, J. (2022) Global Marketing in a Digital World. London, Ontario: Fanshawe College Pressbooks. Available at: </w:t>
      </w:r>
      <w:hyperlink r:id="rId46" w:history="1">
        <w:r w:rsidRPr="003A78F9">
          <w:rPr>
            <w:rStyle w:val="Hyperlink"/>
          </w:rPr>
          <w:t>https://ecampusontario.pressbooks.pub/globalmarketing/</w:t>
        </w:r>
      </w:hyperlink>
      <w:r w:rsidRPr="003A78F9">
        <w:t>.</w:t>
      </w:r>
    </w:p>
    <w:p w14:paraId="40E997D1" w14:textId="60CB3BE5" w:rsidR="003A78F9" w:rsidRPr="003A78F9" w:rsidRDefault="003A78F9" w:rsidP="003A78F9">
      <w:pPr>
        <w:ind w:left="720" w:hanging="720"/>
      </w:pPr>
      <w:r w:rsidRPr="003A78F9">
        <w:t xml:space="preserve">Migkos, S.P., Giannakopoulos, N.T. and Sakas, D.P. (2025) ‘Impact of influencer marketing on consumer behavior and online shopping preferences’, Journal of Theoretical and Applied Electronic Commerce Research, 20(2), 111. Available at: </w:t>
      </w:r>
      <w:hyperlink r:id="rId47" w:history="1">
        <w:r w:rsidRPr="003A78F9">
          <w:rPr>
            <w:rStyle w:val="Hyperlink"/>
          </w:rPr>
          <w:t>https://www.mdpi.com/0718-1876/20/2/111</w:t>
        </w:r>
      </w:hyperlink>
      <w:r w:rsidRPr="003A78F9">
        <w:t>.</w:t>
      </w:r>
    </w:p>
    <w:p w14:paraId="5C720245" w14:textId="6FC5ADCF" w:rsidR="003A78F9" w:rsidRPr="003A78F9" w:rsidRDefault="003A78F9" w:rsidP="003A78F9">
      <w:pPr>
        <w:ind w:left="720" w:hanging="720"/>
      </w:pPr>
      <w:r w:rsidRPr="003A78F9">
        <w:t xml:space="preserve">Ministry of Statistics and Programme Implementation (MOSPI) (2026) Provisional estimates of annual gross domestic product for 2025–26. Available at: </w:t>
      </w:r>
      <w:hyperlink r:id="rId48" w:history="1">
        <w:r w:rsidRPr="003A78F9">
          <w:rPr>
            <w:rStyle w:val="Hyperlink"/>
          </w:rPr>
          <w:t>https://www.mospi.gov.in/uploads/latestReleases/latest_release_1780655857536_5ac01869-ca4a-422d-b7a7-57b81da60932_Press_Note_on_GDP_Estimates_for_Q4_2025-26_and_PE_FY_2025-26_F.pdf</w:t>
        </w:r>
      </w:hyperlink>
      <w:r w:rsidRPr="003A78F9">
        <w:t>.</w:t>
      </w:r>
    </w:p>
    <w:p w14:paraId="1CCDE6A3" w14:textId="0DA9D471" w:rsidR="003A78F9" w:rsidRPr="003A78F9" w:rsidRDefault="003A78F9" w:rsidP="003A78F9">
      <w:pPr>
        <w:ind w:left="720" w:hanging="720"/>
      </w:pPr>
      <w:r w:rsidRPr="003A78F9">
        <w:t xml:space="preserve">Mondelēz India (2026) Mondelēz International India. Available at: </w:t>
      </w:r>
      <w:hyperlink r:id="rId49" w:history="1">
        <w:r w:rsidRPr="003A78F9">
          <w:rPr>
            <w:rStyle w:val="Hyperlink"/>
          </w:rPr>
          <w:t>https://www.mondelezinternational.com/India/</w:t>
        </w:r>
      </w:hyperlink>
      <w:r w:rsidRPr="003A78F9">
        <w:t>.</w:t>
      </w:r>
    </w:p>
    <w:p w14:paraId="2215BF54" w14:textId="47479871" w:rsidR="003A78F9" w:rsidRPr="003A78F9" w:rsidRDefault="003A78F9" w:rsidP="003A78F9">
      <w:pPr>
        <w:ind w:left="720" w:hanging="720"/>
      </w:pPr>
      <w:r w:rsidRPr="003A78F9">
        <w:t xml:space="preserve">Morris, J. (2021) Strategic Management 2E. Corvallis, OR: Oregon State University. Available at: </w:t>
      </w:r>
      <w:hyperlink r:id="rId50" w:history="1">
        <w:r w:rsidRPr="003A78F9">
          <w:rPr>
            <w:rStyle w:val="Hyperlink"/>
          </w:rPr>
          <w:t>https://open.oregonstate.education/strategicmanagement2e/</w:t>
        </w:r>
      </w:hyperlink>
      <w:r w:rsidRPr="003A78F9">
        <w:t>.</w:t>
      </w:r>
    </w:p>
    <w:p w14:paraId="3759B143" w14:textId="20AFF308" w:rsidR="003A78F9" w:rsidRPr="003A78F9" w:rsidRDefault="003A78F9" w:rsidP="003A78F9">
      <w:pPr>
        <w:ind w:left="720" w:hanging="720"/>
      </w:pPr>
      <w:r w:rsidRPr="003A78F9">
        <w:t xml:space="preserve">Müller-Pérez, J., Acevedo-Duque, Á., García-Salirrosas, E.E., Escobar-Farfán, M., Esponda-Pérez, J.A., Cachicatari-Vargas, E., Álvarez-Becerra, R. and De Fortoul, S.A. (2025) ‘Factors influencing healthy product consumer behavior: an integrated model of purchase intention’, Frontiers in Public Health, 13, 1576427. Available at: </w:t>
      </w:r>
      <w:hyperlink r:id="rId51" w:history="1">
        <w:r w:rsidRPr="003A78F9">
          <w:rPr>
            <w:rStyle w:val="Hyperlink"/>
          </w:rPr>
          <w:t>https://www.frontiersin.org/journals/public-health/articles/10.3389/fpubh.2025.1576427/full</w:t>
        </w:r>
      </w:hyperlink>
      <w:r w:rsidRPr="003A78F9">
        <w:t>.</w:t>
      </w:r>
    </w:p>
    <w:p w14:paraId="06F23694" w14:textId="190B346E" w:rsidR="003A78F9" w:rsidRPr="003A78F9" w:rsidRDefault="003A78F9" w:rsidP="003A78F9">
      <w:pPr>
        <w:ind w:left="720" w:hanging="720"/>
      </w:pPr>
      <w:r w:rsidRPr="003A78F9">
        <w:t xml:space="preserve">Myers, C. (2021) Introduction to Consumer Behaviour. Victoria, BC: BCcampus. Available at: </w:t>
      </w:r>
      <w:hyperlink r:id="rId52" w:history="1">
        <w:r w:rsidRPr="003A78F9">
          <w:rPr>
            <w:rStyle w:val="Hyperlink"/>
          </w:rPr>
          <w:t>https://opentextbc.ca/introconsumerbehaviour/</w:t>
        </w:r>
      </w:hyperlink>
      <w:r w:rsidRPr="003A78F9">
        <w:t>.</w:t>
      </w:r>
    </w:p>
    <w:p w14:paraId="15247A13" w14:textId="5DE70E1E" w:rsidR="003A78F9" w:rsidRPr="003A78F9" w:rsidRDefault="003A78F9" w:rsidP="003A78F9">
      <w:pPr>
        <w:ind w:left="720" w:hanging="720"/>
      </w:pPr>
      <w:r w:rsidRPr="003A78F9">
        <w:lastRenderedPageBreak/>
        <w:t xml:space="preserve">Norton, V., Waters, C., Oloyede, O.O. and Lignou, S. (2022) ‘Exploring consumers’ understanding and perception of sustainable food packaging in the UK’, Foods, 11(21), 3424. Available at: </w:t>
      </w:r>
      <w:hyperlink r:id="rId53" w:history="1">
        <w:r w:rsidRPr="003A78F9">
          <w:rPr>
            <w:rStyle w:val="Hyperlink"/>
          </w:rPr>
          <w:t>https://www.mdpi.com/2304-8158/11/21/3424</w:t>
        </w:r>
      </w:hyperlink>
      <w:r w:rsidRPr="003A78F9">
        <w:t>.</w:t>
      </w:r>
    </w:p>
    <w:p w14:paraId="336BE81F" w14:textId="04156A8C" w:rsidR="003A78F9" w:rsidRPr="003A78F9" w:rsidRDefault="003A78F9" w:rsidP="003A78F9">
      <w:pPr>
        <w:ind w:left="720" w:hanging="720"/>
      </w:pPr>
      <w:r w:rsidRPr="003A78F9">
        <w:t xml:space="preserve">Office for National Statistics (ONS) (2026) Consumer price inflation, UK: December 2025. Available at: </w:t>
      </w:r>
      <w:hyperlink r:id="rId54" w:history="1">
        <w:r w:rsidRPr="003A78F9">
          <w:rPr>
            <w:rStyle w:val="Hyperlink"/>
          </w:rPr>
          <w:t>https://www.ons.gov.uk/economy/inflationandpriceindices/bulletins/consumerpriceinflation/december2025</w:t>
        </w:r>
      </w:hyperlink>
      <w:r w:rsidRPr="003A78F9">
        <w:t>.</w:t>
      </w:r>
    </w:p>
    <w:p w14:paraId="4DB4B019" w14:textId="44A52193" w:rsidR="003A78F9" w:rsidRPr="003A78F9" w:rsidRDefault="003A78F9" w:rsidP="003A78F9">
      <w:pPr>
        <w:ind w:left="720" w:hanging="720"/>
      </w:pPr>
      <w:r w:rsidRPr="003A78F9">
        <w:t xml:space="preserve">Olarte-Libreros, M.M., Rojas-Mora, J.E. and Guerrero Sierra, H. (2025) ‘International shocks and cocoa production’, Economies, 13(2), 48. Available at: </w:t>
      </w:r>
      <w:hyperlink r:id="rId55" w:history="1">
        <w:r w:rsidRPr="003A78F9">
          <w:rPr>
            <w:rStyle w:val="Hyperlink"/>
          </w:rPr>
          <w:t>https://www.mdpi.com/2227-7099/13/2/48</w:t>
        </w:r>
      </w:hyperlink>
      <w:r w:rsidRPr="003A78F9">
        <w:t>.</w:t>
      </w:r>
    </w:p>
    <w:p w14:paraId="27D489D2" w14:textId="0E05DE65" w:rsidR="003A78F9" w:rsidRPr="003A78F9" w:rsidRDefault="003A78F9" w:rsidP="003A78F9">
      <w:pPr>
        <w:ind w:left="720" w:hanging="720"/>
      </w:pPr>
      <w:r w:rsidRPr="003A78F9">
        <w:t xml:space="preserve">Oloyede, O.O. and Lignou, S. (2021) ‘Sustainable paper based packaging: consumer perceptions and product protection’, Foods, 10(5), 1035. Available at: </w:t>
      </w:r>
      <w:hyperlink r:id="rId56" w:history="1">
        <w:r w:rsidRPr="003A78F9">
          <w:rPr>
            <w:rStyle w:val="Hyperlink"/>
          </w:rPr>
          <w:t>https://www.mdpi.com/2304-8158/10/5/1035</w:t>
        </w:r>
      </w:hyperlink>
      <w:r w:rsidRPr="003A78F9">
        <w:t>.</w:t>
      </w:r>
    </w:p>
    <w:p w14:paraId="1FB815DB" w14:textId="123181F1" w:rsidR="003A78F9" w:rsidRPr="003A78F9" w:rsidRDefault="003A78F9" w:rsidP="003A78F9">
      <w:pPr>
        <w:ind w:left="720" w:hanging="720"/>
      </w:pPr>
      <w:r w:rsidRPr="003A78F9">
        <w:t xml:space="preserve">Paparella, A., Schirone, M. and Chaves López, C. (2025) ‘The health impact of cocoa from cultivation to the formation of biogenic amines: an updated review’, Foods, 14(2), 255. Available at: </w:t>
      </w:r>
      <w:hyperlink r:id="rId57" w:history="1">
        <w:r w:rsidRPr="003A78F9">
          <w:rPr>
            <w:rStyle w:val="Hyperlink"/>
          </w:rPr>
          <w:t>https://www.mdpi.com/2304-8158/14/2/255</w:t>
        </w:r>
      </w:hyperlink>
      <w:r w:rsidRPr="003A78F9">
        <w:t>.</w:t>
      </w:r>
    </w:p>
    <w:p w14:paraId="742B40DB" w14:textId="1052A557" w:rsidR="003A78F9" w:rsidRPr="003A78F9" w:rsidRDefault="003A78F9" w:rsidP="003A78F9">
      <w:pPr>
        <w:ind w:left="720" w:hanging="720"/>
      </w:pPr>
      <w:r w:rsidRPr="003A78F9">
        <w:t xml:space="preserve">Raza, S.H. and Zaman, U. (2021) ‘Effect of cultural distinctiveness and perception of digital advertising appeals on online purchase intention of clothing brands: moderation of gender egalitarianism’, Information, 12(2), 72. Available at: </w:t>
      </w:r>
      <w:hyperlink r:id="rId58" w:history="1">
        <w:r w:rsidRPr="003A78F9">
          <w:rPr>
            <w:rStyle w:val="Hyperlink"/>
          </w:rPr>
          <w:t>https://www.mdpi.com/2078-2489/12/2/72</w:t>
        </w:r>
      </w:hyperlink>
      <w:r w:rsidRPr="003A78F9">
        <w:t>.</w:t>
      </w:r>
    </w:p>
    <w:p w14:paraId="3A640AA5" w14:textId="4D9DA337" w:rsidR="003A78F9" w:rsidRPr="003A78F9" w:rsidRDefault="003A78F9" w:rsidP="003A78F9">
      <w:pPr>
        <w:ind w:left="720" w:hanging="720"/>
      </w:pPr>
      <w:r w:rsidRPr="003A78F9">
        <w:t xml:space="preserve">Rinklin, M., Hubert, M., Koller, M. and Kenning, P. (2022) ‘Visual attention to novel products: cross-cultural insights from physiological data’, Frontiers in Psychology, 13, 840862. Available at: </w:t>
      </w:r>
      <w:hyperlink r:id="rId59" w:history="1">
        <w:r w:rsidRPr="003A78F9">
          <w:rPr>
            <w:rStyle w:val="Hyperlink"/>
          </w:rPr>
          <w:t>https://www.frontiersin.org/journals/psychology/articles/10.3389/fpsyg.2022.840862/full</w:t>
        </w:r>
      </w:hyperlink>
      <w:r w:rsidRPr="003A78F9">
        <w:t>.</w:t>
      </w:r>
    </w:p>
    <w:p w14:paraId="2AF923CD" w14:textId="338B600E" w:rsidR="003A78F9" w:rsidRPr="003A78F9" w:rsidRDefault="003A78F9" w:rsidP="003A78F9">
      <w:pPr>
        <w:ind w:left="720" w:hanging="720"/>
      </w:pPr>
      <w:r w:rsidRPr="003A78F9">
        <w:t xml:space="preserve">Safeer, A.A., Zhou, Y., Abrar, M. and Luo, F. (2022) ‘Consumer perceptions of brand localness and globalness in emerging markets: a cross-cultural context’, Frontiers in Psychology, 13, 919020. Available at: </w:t>
      </w:r>
      <w:hyperlink r:id="rId60" w:history="1">
        <w:r w:rsidRPr="003A78F9">
          <w:rPr>
            <w:rStyle w:val="Hyperlink"/>
          </w:rPr>
          <w:t>https://www.frontiersin.org/journals/psychology/articles/10.3389/fpsyg.2022.919020/full</w:t>
        </w:r>
      </w:hyperlink>
      <w:r w:rsidRPr="003A78F9">
        <w:t>.</w:t>
      </w:r>
    </w:p>
    <w:p w14:paraId="32DF2A5E" w14:textId="04F0C238" w:rsidR="003A78F9" w:rsidRPr="003A78F9" w:rsidRDefault="003A78F9" w:rsidP="003A78F9">
      <w:pPr>
        <w:ind w:left="720" w:hanging="720"/>
      </w:pPr>
      <w:r w:rsidRPr="003A78F9">
        <w:lastRenderedPageBreak/>
        <w:t xml:space="preserve">SmartDraw (2026) 7Ps marketing mix diagram. Available at: </w:t>
      </w:r>
      <w:hyperlink r:id="rId61" w:history="1">
        <w:r w:rsidRPr="003A78F9">
          <w:rPr>
            <w:rStyle w:val="Hyperlink"/>
          </w:rPr>
          <w:t>https://www.smartdraw.com/marketing-mix/examples/7ps-marketing-mix/</w:t>
        </w:r>
      </w:hyperlink>
      <w:r w:rsidRPr="003A78F9">
        <w:t>.</w:t>
      </w:r>
    </w:p>
    <w:p w14:paraId="36692926" w14:textId="23579C9C" w:rsidR="003A78F9" w:rsidRPr="003A78F9" w:rsidRDefault="003A78F9" w:rsidP="003A78F9">
      <w:pPr>
        <w:ind w:left="720" w:hanging="720"/>
      </w:pPr>
      <w:r w:rsidRPr="003A78F9">
        <w:t xml:space="preserve">Su, J. and Wang, S. (2024) ‘Influence of food packaging colour and food type on consumer purchase intention: the mediating role of perceived fluency’, Frontiers in Nutrition, 10, 1344237. Available at: </w:t>
      </w:r>
      <w:hyperlink r:id="rId62" w:history="1">
        <w:r w:rsidRPr="003A78F9">
          <w:rPr>
            <w:rStyle w:val="Hyperlink"/>
          </w:rPr>
          <w:t>https://www.frontiersin.org/journals/nutrition/articles/10.3389/fnut.2023.1344237/full</w:t>
        </w:r>
      </w:hyperlink>
      <w:r w:rsidRPr="003A78F9">
        <w:t>.</w:t>
      </w:r>
    </w:p>
    <w:p w14:paraId="7B5C57D7" w14:textId="731FE456" w:rsidR="003A78F9" w:rsidRPr="003A78F9" w:rsidRDefault="003A78F9" w:rsidP="003A78F9">
      <w:pPr>
        <w:ind w:left="720" w:hanging="720"/>
      </w:pPr>
      <w:r w:rsidRPr="003A78F9">
        <w:t xml:space="preserve">The Culture Factor (2026) Country comparison tool: India and the United Kingdom. Available at: </w:t>
      </w:r>
      <w:hyperlink r:id="rId63" w:history="1">
        <w:r w:rsidRPr="003A78F9">
          <w:rPr>
            <w:rStyle w:val="Hyperlink"/>
          </w:rPr>
          <w:t>https://www.theculturefactor.com/country-comparison-tool?countries=india%2Cunited+kingdom</w:t>
        </w:r>
      </w:hyperlink>
      <w:r w:rsidRPr="003A78F9">
        <w:t>.</w:t>
      </w:r>
    </w:p>
    <w:p w14:paraId="20A2C66C" w14:textId="2987A504" w:rsidR="003A78F9" w:rsidRPr="003A78F9" w:rsidRDefault="003A78F9" w:rsidP="003A78F9">
      <w:pPr>
        <w:ind w:left="720" w:hanging="720"/>
      </w:pPr>
      <w:r w:rsidRPr="003A78F9">
        <w:t xml:space="preserve">Third, S. (2022) Reflective Practice in Early Years Education. London, Ontario: Fanshawe College Pressbooks. Available at: </w:t>
      </w:r>
      <w:hyperlink r:id="rId64" w:history="1">
        <w:r w:rsidRPr="003A78F9">
          <w:rPr>
            <w:rStyle w:val="Hyperlink"/>
          </w:rPr>
          <w:t>https://ecampusontario.pressbooks.pub/reflectivepracticeinearlyyears/</w:t>
        </w:r>
      </w:hyperlink>
      <w:r w:rsidRPr="003A78F9">
        <w:t>.</w:t>
      </w:r>
    </w:p>
    <w:p w14:paraId="1FA2E5B1" w14:textId="53D241F9" w:rsidR="003A78F9" w:rsidRPr="003A78F9" w:rsidRDefault="003A78F9" w:rsidP="003A78F9">
      <w:pPr>
        <w:ind w:left="720" w:hanging="720"/>
      </w:pPr>
      <w:r w:rsidRPr="003A78F9">
        <w:t xml:space="preserve">UK Government (2026) Restricting advertising of less healthy food or drink on television and online. Available at: </w:t>
      </w:r>
      <w:hyperlink r:id="rId65" w:history="1">
        <w:r w:rsidRPr="003A78F9">
          <w:rPr>
            <w:rStyle w:val="Hyperlink"/>
          </w:rPr>
          <w:t>https://www.gov.uk/government/publications/restricting-advertising-of-less-healthy-food-or-drink-on-tv-and-online-products-in-scope/restricting-advertising-of-less-healthy-food-or-drink-on-tv-and-online-products-in-scope</w:t>
        </w:r>
      </w:hyperlink>
      <w:r w:rsidRPr="003A78F9">
        <w:t>.</w:t>
      </w:r>
    </w:p>
    <w:p w14:paraId="438E9B28" w14:textId="77777777" w:rsidR="003A78F9" w:rsidRPr="003A78F9" w:rsidRDefault="003A78F9" w:rsidP="003A78F9">
      <w:pPr>
        <w:ind w:left="720" w:hanging="720"/>
      </w:pPr>
      <w:r w:rsidRPr="003A78F9">
        <w:t xml:space="preserve">University of Edinburgh (2024), Reflection Toolkit, adapted from Gibbs (1988), </w:t>
      </w:r>
      <w:hyperlink r:id="rId66" w:history="1">
        <w:r w:rsidRPr="003A78F9">
          <w:rPr>
            <w:rStyle w:val="Hyperlink"/>
          </w:rPr>
          <w:t>https://reflection.ed.ac.uk/reflectors-toolkit/reflecting-on-experience/gibbs-reflective-cycle</w:t>
        </w:r>
      </w:hyperlink>
      <w:r w:rsidRPr="003A78F9">
        <w:t xml:space="preserve">. </w:t>
      </w:r>
    </w:p>
    <w:p w14:paraId="50E337EE" w14:textId="7B0C38D5" w:rsidR="003A78F9" w:rsidRPr="003A78F9" w:rsidRDefault="003A78F9" w:rsidP="003A78F9">
      <w:pPr>
        <w:ind w:left="720" w:hanging="720"/>
      </w:pPr>
      <w:r w:rsidRPr="003A78F9">
        <w:t xml:space="preserve">Vinci, G., Ruggeri, M., Gobbi, L. and Savastano, M. (2024) ‘Social life cycle assessment of cocoa production: evidence from Ivory Coast and Ghana’, Resources, 13(10), 141. Available at: </w:t>
      </w:r>
      <w:hyperlink r:id="rId67" w:history="1">
        <w:r w:rsidRPr="003A78F9">
          <w:rPr>
            <w:rStyle w:val="Hyperlink"/>
          </w:rPr>
          <w:t>https://www.mdpi.com/2079-9276/13/10/141</w:t>
        </w:r>
      </w:hyperlink>
      <w:r w:rsidRPr="003A78F9">
        <w:t>.</w:t>
      </w:r>
    </w:p>
    <w:p w14:paraId="37E57C9A" w14:textId="1EED4C33" w:rsidR="003A78F9" w:rsidRPr="003A78F9" w:rsidRDefault="003A78F9" w:rsidP="003A78F9">
      <w:pPr>
        <w:ind w:left="720" w:hanging="720"/>
      </w:pPr>
      <w:r w:rsidRPr="003A78F9">
        <w:t xml:space="preserve">Wandosell, G., Parra-Meroño, M.C., Alcayde, A. and Baños, R. (2021) ‘Green packaging from consumer and business perspectives’, Sustainability, 13(3), 1356. Available at: </w:t>
      </w:r>
      <w:hyperlink r:id="rId68" w:history="1">
        <w:r w:rsidRPr="003A78F9">
          <w:rPr>
            <w:rStyle w:val="Hyperlink"/>
          </w:rPr>
          <w:t>https://www.mdpi.com/2071-1050/13/3/1356</w:t>
        </w:r>
      </w:hyperlink>
      <w:r w:rsidRPr="003A78F9">
        <w:t>.</w:t>
      </w:r>
    </w:p>
    <w:p w14:paraId="218D7545" w14:textId="578CF71F" w:rsidR="003A78F9" w:rsidRPr="003A78F9" w:rsidRDefault="003A78F9" w:rsidP="003A78F9">
      <w:pPr>
        <w:ind w:left="720" w:hanging="720"/>
      </w:pPr>
      <w:r w:rsidRPr="003A78F9">
        <w:t xml:space="preserve">Wang, S. and Dong, Y. (2024) ‘Applications of life cycle assessment in the chocolate industry: a state-of-the-art analysis based on systematic review’, Foods, 13(6), 915. Available at: </w:t>
      </w:r>
      <w:hyperlink r:id="rId69" w:history="1">
        <w:r w:rsidRPr="003A78F9">
          <w:rPr>
            <w:rStyle w:val="Hyperlink"/>
          </w:rPr>
          <w:t>https://www.mdpi.com/2304-8158/13/6/915</w:t>
        </w:r>
      </w:hyperlink>
      <w:r w:rsidRPr="003A78F9">
        <w:t>.</w:t>
      </w:r>
    </w:p>
    <w:p w14:paraId="6BCA9EDF" w14:textId="77777777" w:rsidR="00844887" w:rsidRPr="0063082B" w:rsidRDefault="00844887" w:rsidP="0063082B"/>
    <w:sectPr w:rsidR="00844887" w:rsidRPr="0063082B" w:rsidSect="0001199B">
      <w:footerReference w:type="default" r:id="rId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9E94E" w14:textId="77777777" w:rsidR="005B75B4" w:rsidRDefault="005B75B4" w:rsidP="00180D22">
      <w:pPr>
        <w:spacing w:line="240" w:lineRule="auto"/>
      </w:pPr>
      <w:r>
        <w:separator/>
      </w:r>
    </w:p>
  </w:endnote>
  <w:endnote w:type="continuationSeparator" w:id="0">
    <w:p w14:paraId="5FB72BB3" w14:textId="77777777" w:rsidR="005B75B4" w:rsidRDefault="005B75B4" w:rsidP="00180D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 w:name="Liberation Sans">
    <w:altName w:val="Arial"/>
    <w:charset w:val="00"/>
    <w:family w:val="swiss"/>
    <w:pitch w:val="variable"/>
  </w:font>
  <w:font w:name="Noto Sans CJK SC">
    <w:panose1 w:val="00000000000000000000"/>
    <w:charset w:val="00"/>
    <w:family w:val="roman"/>
    <w:notTrueType/>
    <w:pitch w:val="default"/>
  </w:font>
  <w:font w:name="Lohit Devanagari">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050121"/>
      <w:docPartObj>
        <w:docPartGallery w:val="Page Numbers (Bottom of Page)"/>
        <w:docPartUnique/>
      </w:docPartObj>
    </w:sdtPr>
    <w:sdtEndPr>
      <w:rPr>
        <w:color w:val="7F7F7F" w:themeColor="background1" w:themeShade="7F"/>
        <w:spacing w:val="60"/>
      </w:rPr>
    </w:sdtEndPr>
    <w:sdtContent>
      <w:p w14:paraId="215970FF" w14:textId="51ED3F70" w:rsidR="00180D22" w:rsidRDefault="00180D22">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1AB829B" w14:textId="77777777" w:rsidR="00180D22" w:rsidRDefault="00180D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FB162" w14:textId="77777777" w:rsidR="005B75B4" w:rsidRDefault="005B75B4" w:rsidP="00180D22">
      <w:pPr>
        <w:spacing w:line="240" w:lineRule="auto"/>
      </w:pPr>
      <w:r>
        <w:separator/>
      </w:r>
    </w:p>
  </w:footnote>
  <w:footnote w:type="continuationSeparator" w:id="0">
    <w:p w14:paraId="66143103" w14:textId="77777777" w:rsidR="005B75B4" w:rsidRDefault="005B75B4" w:rsidP="00180D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3" w15:restartNumberingAfterBreak="0">
    <w:nsid w:val="01817364"/>
    <w:multiLevelType w:val="hybridMultilevel"/>
    <w:tmpl w:val="072EE01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31135F"/>
    <w:multiLevelType w:val="multilevel"/>
    <w:tmpl w:val="9670DFF6"/>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81243FF"/>
    <w:multiLevelType w:val="multilevel"/>
    <w:tmpl w:val="B3ECE1D0"/>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A07623D"/>
    <w:multiLevelType w:val="hybridMultilevel"/>
    <w:tmpl w:val="BFF81CBC"/>
    <w:lvl w:ilvl="0" w:tplc="B3B6011E">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E41C95"/>
    <w:multiLevelType w:val="hybridMultilevel"/>
    <w:tmpl w:val="1B248BF4"/>
    <w:lvl w:ilvl="0" w:tplc="C0FCF87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9E0731"/>
    <w:multiLevelType w:val="hybridMultilevel"/>
    <w:tmpl w:val="20F0FA56"/>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972E14"/>
    <w:multiLevelType w:val="hybridMultilevel"/>
    <w:tmpl w:val="C8587A4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55558E"/>
    <w:multiLevelType w:val="multilevel"/>
    <w:tmpl w:val="CE8E963E"/>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1" w15:restartNumberingAfterBreak="0">
    <w:nsid w:val="4C546CAE"/>
    <w:multiLevelType w:val="hybridMultilevel"/>
    <w:tmpl w:val="1958C8B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38073B"/>
    <w:multiLevelType w:val="multilevel"/>
    <w:tmpl w:val="18BA162E"/>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3" w15:restartNumberingAfterBreak="0">
    <w:nsid w:val="5C7E0CA3"/>
    <w:multiLevelType w:val="multilevel"/>
    <w:tmpl w:val="FACCEB4A"/>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4" w15:restartNumberingAfterBreak="0">
    <w:nsid w:val="63BA3243"/>
    <w:multiLevelType w:val="hybridMultilevel"/>
    <w:tmpl w:val="9EA832EA"/>
    <w:lvl w:ilvl="0" w:tplc="E03279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2E3B42"/>
    <w:multiLevelType w:val="multilevel"/>
    <w:tmpl w:val="3FAC1BF0"/>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6" w15:restartNumberingAfterBreak="0">
    <w:nsid w:val="6C8907ED"/>
    <w:multiLevelType w:val="multilevel"/>
    <w:tmpl w:val="766ECF1C"/>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7" w15:restartNumberingAfterBreak="0">
    <w:nsid w:val="73986D23"/>
    <w:multiLevelType w:val="hybridMultilevel"/>
    <w:tmpl w:val="6FE2D52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536DE3"/>
    <w:multiLevelType w:val="multilevel"/>
    <w:tmpl w:val="F1504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535D16"/>
    <w:multiLevelType w:val="hybridMultilevel"/>
    <w:tmpl w:val="A7F27EF6"/>
    <w:lvl w:ilvl="0" w:tplc="04090001">
      <w:start w:val="1"/>
      <w:numFmt w:val="bullet"/>
      <w:lvlText w:val=""/>
      <w:lvlJc w:val="left"/>
      <w:pPr>
        <w:ind w:left="720" w:hanging="360"/>
      </w:pPr>
      <w:rPr>
        <w:rFonts w:ascii="Symbol" w:hAnsi="Symbol" w:hint="default"/>
      </w:rPr>
    </w:lvl>
    <w:lvl w:ilvl="1" w:tplc="1D98C550">
      <w:numFmt w:val="bullet"/>
      <w:lvlText w:val="•"/>
      <w:lvlJc w:val="left"/>
      <w:pPr>
        <w:ind w:left="1440" w:hanging="360"/>
      </w:pPr>
      <w:rPr>
        <w:rFonts w:ascii="Arial" w:eastAsia="Arial"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3"/>
  </w:num>
  <w:num w:numId="3">
    <w:abstractNumId w:val="5"/>
  </w:num>
  <w:num w:numId="4">
    <w:abstractNumId w:val="12"/>
  </w:num>
  <w:num w:numId="5">
    <w:abstractNumId w:val="10"/>
  </w:num>
  <w:num w:numId="6">
    <w:abstractNumId w:val="4"/>
  </w:num>
  <w:num w:numId="7">
    <w:abstractNumId w:val="15"/>
  </w:num>
  <w:num w:numId="8">
    <w:abstractNumId w:val="16"/>
  </w:num>
  <w:num w:numId="9">
    <w:abstractNumId w:val="19"/>
  </w:num>
  <w:num w:numId="10">
    <w:abstractNumId w:val="14"/>
  </w:num>
  <w:num w:numId="11">
    <w:abstractNumId w:val="8"/>
  </w:num>
  <w:num w:numId="12">
    <w:abstractNumId w:val="11"/>
  </w:num>
  <w:num w:numId="13">
    <w:abstractNumId w:val="9"/>
  </w:num>
  <w:num w:numId="14">
    <w:abstractNumId w:val="3"/>
  </w:num>
  <w:num w:numId="15">
    <w:abstractNumId w:val="17"/>
  </w:num>
  <w:num w:numId="16">
    <w:abstractNumId w:val="2"/>
  </w:num>
  <w:num w:numId="17">
    <w:abstractNumId w:val="1"/>
  </w:num>
  <w:num w:numId="18">
    <w:abstractNumId w:val="0"/>
  </w:num>
  <w:num w:numId="19">
    <w:abstractNumId w:val="7"/>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13AF"/>
    <w:rsid w:val="0000424C"/>
    <w:rsid w:val="0001199B"/>
    <w:rsid w:val="00014708"/>
    <w:rsid w:val="00015626"/>
    <w:rsid w:val="00036678"/>
    <w:rsid w:val="00042119"/>
    <w:rsid w:val="00045FE0"/>
    <w:rsid w:val="000622A6"/>
    <w:rsid w:val="00093DB4"/>
    <w:rsid w:val="000A1481"/>
    <w:rsid w:val="000A6ABD"/>
    <w:rsid w:val="000A7C8A"/>
    <w:rsid w:val="000E3BEC"/>
    <w:rsid w:val="000F1573"/>
    <w:rsid w:val="00106BBC"/>
    <w:rsid w:val="00117E39"/>
    <w:rsid w:val="00142566"/>
    <w:rsid w:val="00143238"/>
    <w:rsid w:val="00144D4E"/>
    <w:rsid w:val="001462A5"/>
    <w:rsid w:val="001648DA"/>
    <w:rsid w:val="00180D22"/>
    <w:rsid w:val="001839BB"/>
    <w:rsid w:val="001873C4"/>
    <w:rsid w:val="0019538D"/>
    <w:rsid w:val="001A0BBB"/>
    <w:rsid w:val="001E335A"/>
    <w:rsid w:val="002024AB"/>
    <w:rsid w:val="00222A54"/>
    <w:rsid w:val="0024340C"/>
    <w:rsid w:val="00266625"/>
    <w:rsid w:val="0027364E"/>
    <w:rsid w:val="00277F52"/>
    <w:rsid w:val="00294F56"/>
    <w:rsid w:val="002B2FDC"/>
    <w:rsid w:val="002C670E"/>
    <w:rsid w:val="002D3EE1"/>
    <w:rsid w:val="002E239E"/>
    <w:rsid w:val="002F5EA2"/>
    <w:rsid w:val="00300FD7"/>
    <w:rsid w:val="003264CF"/>
    <w:rsid w:val="00326C62"/>
    <w:rsid w:val="0033558D"/>
    <w:rsid w:val="00341A34"/>
    <w:rsid w:val="00343F02"/>
    <w:rsid w:val="00351081"/>
    <w:rsid w:val="00351F5C"/>
    <w:rsid w:val="00380AE3"/>
    <w:rsid w:val="003A78F9"/>
    <w:rsid w:val="003C3FC2"/>
    <w:rsid w:val="00407743"/>
    <w:rsid w:val="00430F4C"/>
    <w:rsid w:val="00431998"/>
    <w:rsid w:val="004379DB"/>
    <w:rsid w:val="00445754"/>
    <w:rsid w:val="004514AE"/>
    <w:rsid w:val="00464958"/>
    <w:rsid w:val="00472800"/>
    <w:rsid w:val="004B6C4F"/>
    <w:rsid w:val="004C2995"/>
    <w:rsid w:val="004C4908"/>
    <w:rsid w:val="004D658C"/>
    <w:rsid w:val="004E4053"/>
    <w:rsid w:val="004E6B41"/>
    <w:rsid w:val="0050461C"/>
    <w:rsid w:val="00504AE9"/>
    <w:rsid w:val="0050729B"/>
    <w:rsid w:val="00513303"/>
    <w:rsid w:val="00515590"/>
    <w:rsid w:val="005561EB"/>
    <w:rsid w:val="00560408"/>
    <w:rsid w:val="00563223"/>
    <w:rsid w:val="00574BD1"/>
    <w:rsid w:val="0058056D"/>
    <w:rsid w:val="00587CAC"/>
    <w:rsid w:val="005B75B4"/>
    <w:rsid w:val="005C1744"/>
    <w:rsid w:val="00611F28"/>
    <w:rsid w:val="00624148"/>
    <w:rsid w:val="006306D2"/>
    <w:rsid w:val="0063082B"/>
    <w:rsid w:val="00682339"/>
    <w:rsid w:val="006A2205"/>
    <w:rsid w:val="006B2167"/>
    <w:rsid w:val="006C31D0"/>
    <w:rsid w:val="00717FE8"/>
    <w:rsid w:val="00764FD0"/>
    <w:rsid w:val="00795689"/>
    <w:rsid w:val="007A22C6"/>
    <w:rsid w:val="007A5871"/>
    <w:rsid w:val="007B0AC6"/>
    <w:rsid w:val="007C726C"/>
    <w:rsid w:val="007D2700"/>
    <w:rsid w:val="007D4B7C"/>
    <w:rsid w:val="007E4A94"/>
    <w:rsid w:val="007F3F44"/>
    <w:rsid w:val="008229C4"/>
    <w:rsid w:val="00840996"/>
    <w:rsid w:val="00844887"/>
    <w:rsid w:val="00862349"/>
    <w:rsid w:val="0086337C"/>
    <w:rsid w:val="008C16AF"/>
    <w:rsid w:val="008E41C8"/>
    <w:rsid w:val="008E4DC3"/>
    <w:rsid w:val="008E7B8E"/>
    <w:rsid w:val="008E7C8A"/>
    <w:rsid w:val="008F13AF"/>
    <w:rsid w:val="008F28F4"/>
    <w:rsid w:val="008F48D5"/>
    <w:rsid w:val="0090633A"/>
    <w:rsid w:val="00912651"/>
    <w:rsid w:val="009606F2"/>
    <w:rsid w:val="00973FB3"/>
    <w:rsid w:val="009814E5"/>
    <w:rsid w:val="009B39BD"/>
    <w:rsid w:val="009C56C8"/>
    <w:rsid w:val="009C7066"/>
    <w:rsid w:val="00A06D9B"/>
    <w:rsid w:val="00A27BFD"/>
    <w:rsid w:val="00A34274"/>
    <w:rsid w:val="00A4715D"/>
    <w:rsid w:val="00A677D3"/>
    <w:rsid w:val="00A73016"/>
    <w:rsid w:val="00A83CEF"/>
    <w:rsid w:val="00AA0242"/>
    <w:rsid w:val="00AB58AA"/>
    <w:rsid w:val="00AC1526"/>
    <w:rsid w:val="00AC434F"/>
    <w:rsid w:val="00AD4E8E"/>
    <w:rsid w:val="00AE3B2D"/>
    <w:rsid w:val="00AE4A90"/>
    <w:rsid w:val="00AF13DB"/>
    <w:rsid w:val="00AF27F3"/>
    <w:rsid w:val="00AF620E"/>
    <w:rsid w:val="00B10907"/>
    <w:rsid w:val="00B24833"/>
    <w:rsid w:val="00B36BD9"/>
    <w:rsid w:val="00B409DF"/>
    <w:rsid w:val="00B64F86"/>
    <w:rsid w:val="00B70536"/>
    <w:rsid w:val="00B76BE3"/>
    <w:rsid w:val="00B81A55"/>
    <w:rsid w:val="00BA0FDF"/>
    <w:rsid w:val="00BA37A6"/>
    <w:rsid w:val="00BC3F00"/>
    <w:rsid w:val="00BE5517"/>
    <w:rsid w:val="00C05228"/>
    <w:rsid w:val="00C07982"/>
    <w:rsid w:val="00C134AE"/>
    <w:rsid w:val="00C1722E"/>
    <w:rsid w:val="00C22B3F"/>
    <w:rsid w:val="00C22C99"/>
    <w:rsid w:val="00C24DC7"/>
    <w:rsid w:val="00C631CA"/>
    <w:rsid w:val="00C77C65"/>
    <w:rsid w:val="00C80BDF"/>
    <w:rsid w:val="00C8771F"/>
    <w:rsid w:val="00CB4641"/>
    <w:rsid w:val="00CF22E5"/>
    <w:rsid w:val="00CF5737"/>
    <w:rsid w:val="00CF5E94"/>
    <w:rsid w:val="00D54003"/>
    <w:rsid w:val="00D55DC7"/>
    <w:rsid w:val="00D60EC1"/>
    <w:rsid w:val="00D62B64"/>
    <w:rsid w:val="00D71E9B"/>
    <w:rsid w:val="00D975D9"/>
    <w:rsid w:val="00DA040E"/>
    <w:rsid w:val="00DC7938"/>
    <w:rsid w:val="00DD0A60"/>
    <w:rsid w:val="00DE0986"/>
    <w:rsid w:val="00DE42B1"/>
    <w:rsid w:val="00E12150"/>
    <w:rsid w:val="00E21AE3"/>
    <w:rsid w:val="00E30FD8"/>
    <w:rsid w:val="00E421F9"/>
    <w:rsid w:val="00E93033"/>
    <w:rsid w:val="00EA3FF1"/>
    <w:rsid w:val="00ED1E16"/>
    <w:rsid w:val="00EE598E"/>
    <w:rsid w:val="00EF799A"/>
    <w:rsid w:val="00F36F0E"/>
    <w:rsid w:val="00F73F19"/>
    <w:rsid w:val="00F83E58"/>
    <w:rsid w:val="00FA6856"/>
    <w:rsid w:val="00FC4806"/>
    <w:rsid w:val="00FC748F"/>
    <w:rsid w:val="00FC75ED"/>
    <w:rsid w:val="00FE570E"/>
    <w:rsid w:val="00FE58A2"/>
    <w:rsid w:val="00FF6FFA"/>
    <w:rsid w:val="00FF703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8C93"/>
  <w15:chartTrackingRefBased/>
  <w15:docId w15:val="{CBE0FCC9-E2AC-4266-A2FE-831FD8739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qFormat="1"/>
    <w:lsdException w:name="List 3" w:semiHidden="1" w:unhideWhenUsed="1" w:qFormat="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qFormat="1"/>
    <w:lsdException w:name="Body Text 3" w:semiHidden="1" w:unhideWhenUsed="1" w:qFormat="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F44"/>
    <w:pPr>
      <w:spacing w:after="0" w:line="360" w:lineRule="auto"/>
      <w:jc w:val="both"/>
    </w:pPr>
    <w:rPr>
      <w:rFonts w:ascii="Arial" w:hAnsi="Arial"/>
      <w:sz w:val="24"/>
    </w:rPr>
  </w:style>
  <w:style w:type="paragraph" w:styleId="Heading1">
    <w:name w:val="heading 1"/>
    <w:basedOn w:val="Normal"/>
    <w:next w:val="Normal"/>
    <w:link w:val="Heading1Char"/>
    <w:autoRedefine/>
    <w:uiPriority w:val="9"/>
    <w:qFormat/>
    <w:rsid w:val="00764FD0"/>
    <w:pPr>
      <w:keepNext/>
      <w:keepLines/>
      <w:ind w:left="720"/>
      <w:jc w:val="center"/>
      <w:outlineLvl w:val="0"/>
    </w:pPr>
    <w:rPr>
      <w:rFonts w:eastAsia="Arial" w:cstheme="majorBidi"/>
      <w:b/>
      <w:sz w:val="32"/>
      <w:szCs w:val="32"/>
      <w:u w:val="single"/>
    </w:rPr>
  </w:style>
  <w:style w:type="paragraph" w:styleId="Heading2">
    <w:name w:val="heading 2"/>
    <w:basedOn w:val="Normal"/>
    <w:next w:val="Normal"/>
    <w:link w:val="Heading2Char"/>
    <w:autoRedefine/>
    <w:uiPriority w:val="9"/>
    <w:unhideWhenUsed/>
    <w:qFormat/>
    <w:rsid w:val="001462A5"/>
    <w:pPr>
      <w:keepNext/>
      <w:keepLines/>
      <w:spacing w:before="120" w:after="120"/>
      <w:jc w:val="left"/>
      <w:outlineLvl w:val="1"/>
    </w:pPr>
    <w:rPr>
      <w:rFonts w:eastAsiaTheme="majorEastAsia" w:cstheme="majorBidi"/>
      <w:b/>
      <w:i/>
      <w:color w:val="0E2841" w:themeColor="text2"/>
      <w:sz w:val="28"/>
      <w:szCs w:val="26"/>
    </w:rPr>
  </w:style>
  <w:style w:type="paragraph" w:styleId="Heading3">
    <w:name w:val="heading 3"/>
    <w:basedOn w:val="Heading2"/>
    <w:next w:val="Normal"/>
    <w:link w:val="Heading3Char"/>
    <w:autoRedefine/>
    <w:uiPriority w:val="9"/>
    <w:unhideWhenUsed/>
    <w:qFormat/>
    <w:rsid w:val="001462A5"/>
    <w:pPr>
      <w:outlineLvl w:val="2"/>
    </w:pPr>
    <w:rPr>
      <w:sz w:val="24"/>
      <w:u w:val="single"/>
    </w:rPr>
  </w:style>
  <w:style w:type="paragraph" w:styleId="Heading4">
    <w:name w:val="heading 4"/>
    <w:basedOn w:val="Normal"/>
    <w:next w:val="Normal"/>
    <w:link w:val="Heading4Char"/>
    <w:uiPriority w:val="9"/>
    <w:unhideWhenUsed/>
    <w:qFormat/>
    <w:rsid w:val="00EA3FF1"/>
    <w:pPr>
      <w:keepNext/>
      <w:keepLines/>
      <w:jc w:val="left"/>
      <w:outlineLvl w:val="3"/>
    </w:pPr>
    <w:rPr>
      <w:rFonts w:eastAsiaTheme="majorEastAsia" w:cstheme="majorBidi"/>
      <w:b/>
      <w:i/>
      <w:iCs/>
      <w:color w:val="0F4761" w:themeColor="accent1" w:themeShade="BF"/>
    </w:rPr>
  </w:style>
  <w:style w:type="paragraph" w:styleId="Heading5">
    <w:name w:val="heading 5"/>
    <w:basedOn w:val="Normal"/>
    <w:next w:val="Normal"/>
    <w:link w:val="Heading5Char"/>
    <w:uiPriority w:val="9"/>
    <w:semiHidden/>
    <w:unhideWhenUsed/>
    <w:qFormat/>
    <w:rsid w:val="008F13A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F13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13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13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13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qFormat/>
    <w:rsid w:val="001462A5"/>
    <w:rPr>
      <w:rFonts w:ascii="Arial" w:eastAsiaTheme="majorEastAsia" w:hAnsi="Arial" w:cstheme="majorBidi"/>
      <w:b/>
      <w:i/>
      <w:color w:val="0E2841" w:themeColor="text2"/>
      <w:sz w:val="28"/>
      <w:szCs w:val="26"/>
      <w14:ligatures w14:val="none"/>
    </w:rPr>
  </w:style>
  <w:style w:type="character" w:customStyle="1" w:styleId="Heading1Char">
    <w:name w:val="Heading 1 Char"/>
    <w:basedOn w:val="DefaultParagraphFont"/>
    <w:link w:val="Heading1"/>
    <w:uiPriority w:val="9"/>
    <w:qFormat/>
    <w:rsid w:val="00764FD0"/>
    <w:rPr>
      <w:rFonts w:ascii="Arial" w:eastAsia="Arial" w:hAnsi="Arial" w:cstheme="majorBidi"/>
      <w:b/>
      <w:sz w:val="32"/>
      <w:szCs w:val="32"/>
      <w:u w:val="single"/>
    </w:rPr>
  </w:style>
  <w:style w:type="paragraph" w:styleId="Title">
    <w:name w:val="Title"/>
    <w:basedOn w:val="Normal"/>
    <w:next w:val="Normal"/>
    <w:link w:val="TitleChar"/>
    <w:autoRedefine/>
    <w:uiPriority w:val="10"/>
    <w:qFormat/>
    <w:rsid w:val="008229C4"/>
    <w:pPr>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qFormat/>
    <w:rsid w:val="008229C4"/>
    <w:rPr>
      <w:rFonts w:ascii="Times New Roman" w:eastAsiaTheme="majorEastAsia" w:hAnsi="Times New Roman" w:cstheme="majorBidi"/>
      <w:b/>
      <w:spacing w:val="-10"/>
      <w:kern w:val="28"/>
      <w:sz w:val="26"/>
      <w:szCs w:val="56"/>
    </w:rPr>
  </w:style>
  <w:style w:type="character" w:customStyle="1" w:styleId="Heading3Char">
    <w:name w:val="Heading 3 Char"/>
    <w:basedOn w:val="DefaultParagraphFont"/>
    <w:link w:val="Heading3"/>
    <w:uiPriority w:val="9"/>
    <w:qFormat/>
    <w:rsid w:val="001462A5"/>
    <w:rPr>
      <w:rFonts w:ascii="Arial" w:eastAsiaTheme="majorEastAsia" w:hAnsi="Arial" w:cstheme="majorBidi"/>
      <w:b/>
      <w:i/>
      <w:color w:val="0E2841" w:themeColor="text2"/>
      <w:sz w:val="24"/>
      <w:szCs w:val="26"/>
      <w:u w:val="single"/>
      <w14:ligatures w14:val="none"/>
    </w:rPr>
  </w:style>
  <w:style w:type="character" w:customStyle="1" w:styleId="Heading4Char">
    <w:name w:val="Heading 4 Char"/>
    <w:basedOn w:val="DefaultParagraphFont"/>
    <w:link w:val="Heading4"/>
    <w:uiPriority w:val="9"/>
    <w:qFormat/>
    <w:rsid w:val="00EA3FF1"/>
    <w:rPr>
      <w:rFonts w:ascii="Arial" w:eastAsiaTheme="majorEastAsia" w:hAnsi="Arial" w:cstheme="majorBidi"/>
      <w:b/>
      <w:i/>
      <w:iCs/>
      <w:color w:val="0F4761" w:themeColor="accent1" w:themeShade="BF"/>
      <w:sz w:val="24"/>
      <w14:ligatures w14:val="none"/>
    </w:rPr>
  </w:style>
  <w:style w:type="character" w:customStyle="1" w:styleId="Heading5Char">
    <w:name w:val="Heading 5 Char"/>
    <w:basedOn w:val="DefaultParagraphFont"/>
    <w:link w:val="Heading5"/>
    <w:uiPriority w:val="9"/>
    <w:semiHidden/>
    <w:qFormat/>
    <w:rsid w:val="008F13AF"/>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qFormat/>
    <w:rsid w:val="008F13AF"/>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qFormat/>
    <w:rsid w:val="008F13AF"/>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qFormat/>
    <w:rsid w:val="008F13AF"/>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qFormat/>
    <w:rsid w:val="008F13AF"/>
    <w:rPr>
      <w:rFonts w:eastAsiaTheme="majorEastAsia" w:cstheme="majorBidi"/>
      <w:color w:val="272727" w:themeColor="text1" w:themeTint="D8"/>
      <w:sz w:val="24"/>
      <w14:ligatures w14:val="none"/>
    </w:rPr>
  </w:style>
  <w:style w:type="paragraph" w:styleId="Subtitle">
    <w:name w:val="Subtitle"/>
    <w:basedOn w:val="Normal"/>
    <w:next w:val="Normal"/>
    <w:link w:val="SubtitleChar"/>
    <w:uiPriority w:val="11"/>
    <w:qFormat/>
    <w:rsid w:val="008F13AF"/>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qFormat/>
    <w:rsid w:val="008F13AF"/>
    <w:rPr>
      <w:rFonts w:eastAsiaTheme="majorEastAsia" w:cstheme="majorBidi"/>
      <w:color w:val="595959" w:themeColor="text1" w:themeTint="A6"/>
      <w:spacing w:val="15"/>
      <w:sz w:val="28"/>
      <w:szCs w:val="35"/>
      <w14:ligatures w14:val="none"/>
    </w:rPr>
  </w:style>
  <w:style w:type="paragraph" w:styleId="Quote">
    <w:name w:val="Quote"/>
    <w:basedOn w:val="Normal"/>
    <w:next w:val="Normal"/>
    <w:link w:val="QuoteChar"/>
    <w:uiPriority w:val="29"/>
    <w:qFormat/>
    <w:rsid w:val="008F13AF"/>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sid w:val="008F13AF"/>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8F13AF"/>
    <w:pPr>
      <w:ind w:left="720"/>
      <w:contextualSpacing/>
    </w:pPr>
  </w:style>
  <w:style w:type="character" w:styleId="IntenseEmphasis">
    <w:name w:val="Intense Emphasis"/>
    <w:basedOn w:val="DefaultParagraphFont"/>
    <w:uiPriority w:val="21"/>
    <w:qFormat/>
    <w:rsid w:val="008F13AF"/>
    <w:rPr>
      <w:i/>
      <w:iCs/>
      <w:color w:val="0F4761" w:themeColor="accent1" w:themeShade="BF"/>
    </w:rPr>
  </w:style>
  <w:style w:type="paragraph" w:styleId="IntenseQuote">
    <w:name w:val="Intense Quote"/>
    <w:basedOn w:val="Normal"/>
    <w:next w:val="Normal"/>
    <w:link w:val="IntenseQuoteChar"/>
    <w:uiPriority w:val="30"/>
    <w:qFormat/>
    <w:rsid w:val="008F1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sid w:val="008F13AF"/>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8F13AF"/>
    <w:rPr>
      <w:b/>
      <w:bCs/>
      <w:smallCaps/>
      <w:color w:val="0F4761" w:themeColor="accent1" w:themeShade="BF"/>
      <w:spacing w:val="5"/>
    </w:rPr>
  </w:style>
  <w:style w:type="paragraph" w:styleId="Header">
    <w:name w:val="header"/>
    <w:basedOn w:val="Normal"/>
    <w:link w:val="HeaderChar"/>
    <w:uiPriority w:val="99"/>
    <w:unhideWhenUsed/>
    <w:rsid w:val="00180D22"/>
    <w:pPr>
      <w:tabs>
        <w:tab w:val="center" w:pos="4513"/>
        <w:tab w:val="right" w:pos="9026"/>
      </w:tabs>
      <w:spacing w:line="240" w:lineRule="auto"/>
    </w:pPr>
  </w:style>
  <w:style w:type="character" w:customStyle="1" w:styleId="HeaderChar">
    <w:name w:val="Header Char"/>
    <w:basedOn w:val="DefaultParagraphFont"/>
    <w:link w:val="Header"/>
    <w:uiPriority w:val="99"/>
    <w:qFormat/>
    <w:rsid w:val="00180D22"/>
    <w:rPr>
      <w:rFonts w:ascii="Arial" w:hAnsi="Arial"/>
      <w:sz w:val="24"/>
      <w14:ligatures w14:val="none"/>
    </w:rPr>
  </w:style>
  <w:style w:type="paragraph" w:styleId="Footer">
    <w:name w:val="footer"/>
    <w:basedOn w:val="Normal"/>
    <w:link w:val="FooterChar"/>
    <w:uiPriority w:val="99"/>
    <w:unhideWhenUsed/>
    <w:rsid w:val="00180D22"/>
    <w:pPr>
      <w:tabs>
        <w:tab w:val="center" w:pos="4513"/>
        <w:tab w:val="right" w:pos="9026"/>
      </w:tabs>
      <w:spacing w:line="240" w:lineRule="auto"/>
    </w:pPr>
  </w:style>
  <w:style w:type="character" w:customStyle="1" w:styleId="FooterChar">
    <w:name w:val="Footer Char"/>
    <w:basedOn w:val="DefaultParagraphFont"/>
    <w:link w:val="Footer"/>
    <w:uiPriority w:val="99"/>
    <w:qFormat/>
    <w:rsid w:val="00180D22"/>
    <w:rPr>
      <w:rFonts w:ascii="Arial" w:hAnsi="Arial"/>
      <w:sz w:val="24"/>
      <w14:ligatures w14:val="none"/>
    </w:rPr>
  </w:style>
  <w:style w:type="character" w:styleId="Hyperlink">
    <w:name w:val="Hyperlink"/>
    <w:basedOn w:val="DefaultParagraphFont"/>
    <w:uiPriority w:val="99"/>
    <w:unhideWhenUsed/>
    <w:rsid w:val="00FC748F"/>
    <w:rPr>
      <w:color w:val="467886" w:themeColor="hyperlink"/>
      <w:u w:val="single"/>
    </w:rPr>
  </w:style>
  <w:style w:type="character" w:styleId="UnresolvedMention">
    <w:name w:val="Unresolved Mention"/>
    <w:basedOn w:val="DefaultParagraphFont"/>
    <w:uiPriority w:val="99"/>
    <w:semiHidden/>
    <w:unhideWhenUsed/>
    <w:rsid w:val="00FC748F"/>
    <w:rPr>
      <w:color w:val="605E5C"/>
      <w:shd w:val="clear" w:color="auto" w:fill="E1DFDD"/>
    </w:rPr>
  </w:style>
  <w:style w:type="character" w:styleId="FollowedHyperlink">
    <w:name w:val="FollowedHyperlink"/>
    <w:basedOn w:val="DefaultParagraphFont"/>
    <w:uiPriority w:val="99"/>
    <w:semiHidden/>
    <w:unhideWhenUsed/>
    <w:rsid w:val="00FC748F"/>
    <w:rPr>
      <w:color w:val="96607D" w:themeColor="followedHyperlink"/>
      <w:u w:val="single"/>
    </w:rPr>
  </w:style>
  <w:style w:type="paragraph" w:styleId="Caption">
    <w:name w:val="caption"/>
    <w:basedOn w:val="Normal"/>
    <w:next w:val="Normal"/>
    <w:uiPriority w:val="35"/>
    <w:unhideWhenUsed/>
    <w:qFormat/>
    <w:rsid w:val="008E7B8E"/>
    <w:pPr>
      <w:spacing w:after="200" w:line="240" w:lineRule="auto"/>
    </w:pPr>
    <w:rPr>
      <w:i/>
      <w:iCs/>
      <w:color w:val="0E2841" w:themeColor="text2"/>
      <w:sz w:val="18"/>
      <w:szCs w:val="22"/>
    </w:rPr>
  </w:style>
  <w:style w:type="paragraph" w:styleId="Revision">
    <w:name w:val="Revision"/>
    <w:hidden/>
    <w:uiPriority w:val="99"/>
    <w:semiHidden/>
    <w:rsid w:val="00DE42B1"/>
    <w:pPr>
      <w:spacing w:after="0" w:line="240" w:lineRule="auto"/>
    </w:pPr>
    <w:rPr>
      <w:rFonts w:ascii="Arial" w:hAnsi="Arial"/>
      <w:sz w:val="24"/>
      <w14:ligatures w14:val="none"/>
    </w:rPr>
  </w:style>
  <w:style w:type="paragraph" w:styleId="TOCHeading">
    <w:name w:val="TOC Heading"/>
    <w:basedOn w:val="Heading1"/>
    <w:next w:val="Normal"/>
    <w:uiPriority w:val="39"/>
    <w:unhideWhenUsed/>
    <w:qFormat/>
    <w:rsid w:val="00E93033"/>
    <w:pPr>
      <w:spacing w:before="240" w:line="259" w:lineRule="auto"/>
      <w:jc w:val="left"/>
      <w:outlineLvl w:val="9"/>
    </w:pPr>
    <w:rPr>
      <w:rFonts w:asciiTheme="majorHAnsi" w:hAnsiTheme="majorHAnsi"/>
      <w:b w:val="0"/>
      <w:color w:val="0F4761" w:themeColor="accent1" w:themeShade="BF"/>
      <w:kern w:val="0"/>
      <w:u w:val="none"/>
      <w:lang w:eastAsia="en-GB" w:bidi="ar-SA"/>
    </w:rPr>
  </w:style>
  <w:style w:type="paragraph" w:styleId="TOC1">
    <w:name w:val="toc 1"/>
    <w:basedOn w:val="Normal"/>
    <w:next w:val="Normal"/>
    <w:autoRedefine/>
    <w:uiPriority w:val="39"/>
    <w:unhideWhenUsed/>
    <w:rsid w:val="00E93033"/>
    <w:pPr>
      <w:spacing w:after="100"/>
    </w:pPr>
  </w:style>
  <w:style w:type="paragraph" w:styleId="TOC2">
    <w:name w:val="toc 2"/>
    <w:basedOn w:val="Normal"/>
    <w:next w:val="Normal"/>
    <w:autoRedefine/>
    <w:uiPriority w:val="39"/>
    <w:unhideWhenUsed/>
    <w:rsid w:val="00E93033"/>
    <w:pPr>
      <w:spacing w:after="100"/>
      <w:ind w:left="240"/>
    </w:pPr>
  </w:style>
  <w:style w:type="paragraph" w:styleId="TOC3">
    <w:name w:val="toc 3"/>
    <w:basedOn w:val="Normal"/>
    <w:next w:val="Normal"/>
    <w:autoRedefine/>
    <w:uiPriority w:val="39"/>
    <w:unhideWhenUsed/>
    <w:rsid w:val="00E93033"/>
    <w:pPr>
      <w:spacing w:after="100"/>
      <w:ind w:left="480"/>
    </w:pPr>
  </w:style>
  <w:style w:type="paragraph" w:styleId="TableofFigures">
    <w:name w:val="table of figures"/>
    <w:basedOn w:val="Normal"/>
    <w:next w:val="Normal"/>
    <w:uiPriority w:val="99"/>
    <w:unhideWhenUsed/>
    <w:rsid w:val="00EF799A"/>
  </w:style>
  <w:style w:type="paragraph" w:styleId="NormalWeb">
    <w:name w:val="Normal (Web)"/>
    <w:basedOn w:val="Normal"/>
    <w:uiPriority w:val="99"/>
    <w:unhideWhenUsed/>
    <w:rsid w:val="00FE570E"/>
    <w:pPr>
      <w:spacing w:before="100" w:beforeAutospacing="1" w:after="100" w:afterAutospacing="1" w:line="240" w:lineRule="auto"/>
      <w:jc w:val="left"/>
    </w:pPr>
    <w:rPr>
      <w:rFonts w:ascii="Times New Roman" w:eastAsia="Times New Roman" w:hAnsi="Times New Roman" w:cs="Times New Roman"/>
      <w:kern w:val="0"/>
      <w:szCs w:val="24"/>
      <w:lang w:val="en-US" w:bidi="ar-SA"/>
    </w:rPr>
  </w:style>
  <w:style w:type="paragraph" w:styleId="TOC4">
    <w:name w:val="toc 4"/>
    <w:basedOn w:val="Normal"/>
    <w:next w:val="Normal"/>
    <w:autoRedefine/>
    <w:uiPriority w:val="39"/>
    <w:unhideWhenUsed/>
    <w:rsid w:val="009606F2"/>
    <w:pPr>
      <w:spacing w:after="100"/>
      <w:ind w:left="720"/>
    </w:pPr>
  </w:style>
  <w:style w:type="table" w:styleId="TableGrid">
    <w:name w:val="Table Grid"/>
    <w:basedOn w:val="TableNormal"/>
    <w:uiPriority w:val="59"/>
    <w:rsid w:val="00D71E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99"/>
    <w:qFormat/>
    <w:rsid w:val="00844887"/>
  </w:style>
  <w:style w:type="character" w:customStyle="1" w:styleId="BodyText2Char">
    <w:name w:val="Body Text 2 Char"/>
    <w:basedOn w:val="DefaultParagraphFont"/>
    <w:link w:val="BodyText2"/>
    <w:uiPriority w:val="99"/>
    <w:qFormat/>
    <w:rsid w:val="00844887"/>
  </w:style>
  <w:style w:type="character" w:customStyle="1" w:styleId="BodyText3Char">
    <w:name w:val="Body Text 3 Char"/>
    <w:basedOn w:val="DefaultParagraphFont"/>
    <w:link w:val="BodyText3"/>
    <w:uiPriority w:val="99"/>
    <w:qFormat/>
    <w:rsid w:val="00844887"/>
    <w:rPr>
      <w:sz w:val="16"/>
      <w:szCs w:val="16"/>
    </w:rPr>
  </w:style>
  <w:style w:type="character" w:customStyle="1" w:styleId="MacroTextChar">
    <w:name w:val="Macro Text Char"/>
    <w:basedOn w:val="DefaultParagraphFont"/>
    <w:link w:val="MacroText"/>
    <w:uiPriority w:val="99"/>
    <w:qFormat/>
    <w:rsid w:val="00844887"/>
    <w:rPr>
      <w:rFonts w:ascii="Courier" w:hAnsi="Courier"/>
      <w:sz w:val="20"/>
      <w:szCs w:val="20"/>
    </w:rPr>
  </w:style>
  <w:style w:type="character" w:styleId="Strong">
    <w:name w:val="Strong"/>
    <w:basedOn w:val="DefaultParagraphFont"/>
    <w:uiPriority w:val="22"/>
    <w:qFormat/>
    <w:rsid w:val="00844887"/>
    <w:rPr>
      <w:b/>
      <w:bCs/>
    </w:rPr>
  </w:style>
  <w:style w:type="character" w:styleId="Emphasis">
    <w:name w:val="Emphasis"/>
    <w:basedOn w:val="DefaultParagraphFont"/>
    <w:uiPriority w:val="20"/>
    <w:qFormat/>
    <w:rsid w:val="00844887"/>
    <w:rPr>
      <w:i/>
      <w:iCs/>
    </w:rPr>
  </w:style>
  <w:style w:type="character" w:styleId="SubtleEmphasis">
    <w:name w:val="Subtle Emphasis"/>
    <w:basedOn w:val="DefaultParagraphFont"/>
    <w:uiPriority w:val="19"/>
    <w:qFormat/>
    <w:rsid w:val="00844887"/>
    <w:rPr>
      <w:i/>
      <w:iCs/>
      <w:color w:val="808080" w:themeColor="text1" w:themeTint="7F"/>
    </w:rPr>
  </w:style>
  <w:style w:type="character" w:styleId="SubtleReference">
    <w:name w:val="Subtle Reference"/>
    <w:basedOn w:val="DefaultParagraphFont"/>
    <w:uiPriority w:val="31"/>
    <w:qFormat/>
    <w:rsid w:val="00844887"/>
    <w:rPr>
      <w:smallCaps/>
      <w:color w:val="E97132" w:themeColor="accent2"/>
      <w:u w:val="single"/>
    </w:rPr>
  </w:style>
  <w:style w:type="character" w:styleId="BookTitle">
    <w:name w:val="Book Title"/>
    <w:basedOn w:val="DefaultParagraphFont"/>
    <w:uiPriority w:val="33"/>
    <w:qFormat/>
    <w:rsid w:val="00844887"/>
    <w:rPr>
      <w:b/>
      <w:bCs/>
      <w:smallCaps/>
      <w:spacing w:val="5"/>
    </w:rPr>
  </w:style>
  <w:style w:type="character" w:customStyle="1" w:styleId="IndexLink">
    <w:name w:val="Index Link"/>
    <w:rsid w:val="00844887"/>
  </w:style>
  <w:style w:type="paragraph" w:customStyle="1" w:styleId="Heading">
    <w:name w:val="Heading"/>
    <w:basedOn w:val="Normal"/>
    <w:next w:val="BodyText"/>
    <w:rsid w:val="00844887"/>
    <w:pPr>
      <w:keepNext/>
      <w:suppressAutoHyphens/>
      <w:spacing w:before="240" w:after="120"/>
    </w:pPr>
    <w:rPr>
      <w:rFonts w:ascii="Liberation Sans" w:eastAsia="Noto Sans CJK SC" w:hAnsi="Liberation Sans" w:cs="Lohit Devanagari"/>
      <w:kern w:val="0"/>
      <w:sz w:val="28"/>
      <w:lang w:val="en-US" w:bidi="ar-SA"/>
    </w:rPr>
  </w:style>
  <w:style w:type="paragraph" w:styleId="BodyText">
    <w:name w:val="Body Text"/>
    <w:basedOn w:val="Normal"/>
    <w:link w:val="BodyTextChar"/>
    <w:uiPriority w:val="99"/>
    <w:unhideWhenUsed/>
    <w:rsid w:val="00844887"/>
    <w:pPr>
      <w:suppressAutoHyphens/>
    </w:pPr>
    <w:rPr>
      <w:rFonts w:asciiTheme="minorHAnsi" w:hAnsiTheme="minorHAnsi"/>
      <w:sz w:val="22"/>
    </w:rPr>
  </w:style>
  <w:style w:type="character" w:customStyle="1" w:styleId="BodyTextChar1">
    <w:name w:val="Body Text Char1"/>
    <w:basedOn w:val="DefaultParagraphFont"/>
    <w:uiPriority w:val="99"/>
    <w:semiHidden/>
    <w:rsid w:val="00844887"/>
    <w:rPr>
      <w:rFonts w:ascii="Arial" w:hAnsi="Arial"/>
      <w:sz w:val="24"/>
      <w14:ligatures w14:val="none"/>
    </w:rPr>
  </w:style>
  <w:style w:type="paragraph" w:styleId="List">
    <w:name w:val="List"/>
    <w:basedOn w:val="Normal"/>
    <w:uiPriority w:val="99"/>
    <w:unhideWhenUsed/>
    <w:rsid w:val="00844887"/>
    <w:pPr>
      <w:suppressAutoHyphens/>
      <w:spacing w:after="120"/>
      <w:ind w:left="360" w:hanging="360"/>
      <w:contextualSpacing/>
    </w:pPr>
    <w:rPr>
      <w:rFonts w:ascii="Times New Roman" w:eastAsia="Arial" w:hAnsi="Times New Roman"/>
      <w:kern w:val="0"/>
      <w:szCs w:val="22"/>
      <w:lang w:val="en-US" w:bidi="ar-SA"/>
    </w:rPr>
  </w:style>
  <w:style w:type="paragraph" w:customStyle="1" w:styleId="Index">
    <w:name w:val="Index"/>
    <w:basedOn w:val="Normal"/>
    <w:rsid w:val="00844887"/>
    <w:pPr>
      <w:suppressLineNumbers/>
      <w:suppressAutoHyphens/>
    </w:pPr>
    <w:rPr>
      <w:rFonts w:ascii="Times New Roman" w:eastAsia="Arial" w:hAnsi="Times New Roman" w:cs="Lohit Devanagari"/>
      <w:kern w:val="0"/>
      <w:szCs w:val="22"/>
      <w:lang w:val="en-US" w:bidi="ar-SA"/>
    </w:rPr>
  </w:style>
  <w:style w:type="paragraph" w:customStyle="1" w:styleId="HeaderandFooter">
    <w:name w:val="Header and Footer"/>
    <w:basedOn w:val="Normal"/>
    <w:rsid w:val="00844887"/>
    <w:pPr>
      <w:suppressAutoHyphens/>
    </w:pPr>
    <w:rPr>
      <w:rFonts w:ascii="Times New Roman" w:eastAsia="Arial" w:hAnsi="Times New Roman"/>
      <w:kern w:val="0"/>
      <w:szCs w:val="22"/>
      <w:lang w:val="en-US" w:bidi="ar-SA"/>
    </w:rPr>
  </w:style>
  <w:style w:type="paragraph" w:styleId="NoSpacing">
    <w:name w:val="No Spacing"/>
    <w:uiPriority w:val="1"/>
    <w:rsid w:val="00844887"/>
    <w:pPr>
      <w:suppressAutoHyphens/>
      <w:spacing w:after="0" w:line="240" w:lineRule="auto"/>
    </w:pPr>
    <w:rPr>
      <w:rFonts w:eastAsiaTheme="minorEastAsia"/>
      <w:kern w:val="0"/>
      <w:szCs w:val="22"/>
      <w:lang w:val="en-US" w:bidi="ar-SA"/>
    </w:rPr>
  </w:style>
  <w:style w:type="paragraph" w:styleId="BodyText2">
    <w:name w:val="Body Text 2"/>
    <w:basedOn w:val="Normal"/>
    <w:link w:val="BodyText2Char"/>
    <w:uiPriority w:val="99"/>
    <w:unhideWhenUsed/>
    <w:qFormat/>
    <w:rsid w:val="00844887"/>
    <w:pPr>
      <w:suppressAutoHyphens/>
      <w:spacing w:after="120" w:line="480" w:lineRule="auto"/>
    </w:pPr>
    <w:rPr>
      <w:rFonts w:asciiTheme="minorHAnsi" w:hAnsiTheme="minorHAnsi"/>
      <w:sz w:val="22"/>
    </w:rPr>
  </w:style>
  <w:style w:type="character" w:customStyle="1" w:styleId="BodyText2Char1">
    <w:name w:val="Body Text 2 Char1"/>
    <w:basedOn w:val="DefaultParagraphFont"/>
    <w:uiPriority w:val="99"/>
    <w:semiHidden/>
    <w:rsid w:val="00844887"/>
    <w:rPr>
      <w:rFonts w:ascii="Arial" w:hAnsi="Arial"/>
      <w:sz w:val="24"/>
      <w14:ligatures w14:val="none"/>
    </w:rPr>
  </w:style>
  <w:style w:type="paragraph" w:styleId="BodyText3">
    <w:name w:val="Body Text 3"/>
    <w:basedOn w:val="Normal"/>
    <w:link w:val="BodyText3Char"/>
    <w:uiPriority w:val="99"/>
    <w:unhideWhenUsed/>
    <w:qFormat/>
    <w:rsid w:val="00844887"/>
    <w:pPr>
      <w:suppressAutoHyphens/>
      <w:spacing w:after="120"/>
    </w:pPr>
    <w:rPr>
      <w:rFonts w:asciiTheme="minorHAnsi" w:hAnsiTheme="minorHAnsi"/>
      <w:sz w:val="16"/>
      <w:szCs w:val="16"/>
    </w:rPr>
  </w:style>
  <w:style w:type="character" w:customStyle="1" w:styleId="BodyText3Char1">
    <w:name w:val="Body Text 3 Char1"/>
    <w:basedOn w:val="DefaultParagraphFont"/>
    <w:uiPriority w:val="99"/>
    <w:semiHidden/>
    <w:rsid w:val="00844887"/>
    <w:rPr>
      <w:rFonts w:ascii="Arial" w:hAnsi="Arial"/>
      <w:sz w:val="16"/>
      <w:szCs w:val="20"/>
      <w14:ligatures w14:val="none"/>
    </w:rPr>
  </w:style>
  <w:style w:type="paragraph" w:styleId="List2">
    <w:name w:val="List 2"/>
    <w:basedOn w:val="Normal"/>
    <w:uiPriority w:val="99"/>
    <w:unhideWhenUsed/>
    <w:qFormat/>
    <w:rsid w:val="00844887"/>
    <w:pPr>
      <w:suppressAutoHyphens/>
      <w:spacing w:after="120"/>
      <w:ind w:left="720" w:hanging="360"/>
      <w:contextualSpacing/>
    </w:pPr>
    <w:rPr>
      <w:rFonts w:ascii="Times New Roman" w:eastAsia="Arial" w:hAnsi="Times New Roman"/>
      <w:kern w:val="0"/>
      <w:szCs w:val="22"/>
      <w:lang w:val="en-US" w:bidi="ar-SA"/>
    </w:rPr>
  </w:style>
  <w:style w:type="paragraph" w:styleId="List3">
    <w:name w:val="List 3"/>
    <w:basedOn w:val="Normal"/>
    <w:uiPriority w:val="99"/>
    <w:unhideWhenUsed/>
    <w:qFormat/>
    <w:rsid w:val="00844887"/>
    <w:pPr>
      <w:suppressAutoHyphens/>
      <w:spacing w:after="120"/>
      <w:ind w:left="1080" w:hanging="360"/>
      <w:contextualSpacing/>
    </w:pPr>
    <w:rPr>
      <w:rFonts w:ascii="Times New Roman" w:eastAsia="Arial" w:hAnsi="Times New Roman"/>
      <w:kern w:val="0"/>
      <w:szCs w:val="22"/>
      <w:lang w:val="en-US" w:bidi="ar-SA"/>
    </w:rPr>
  </w:style>
  <w:style w:type="paragraph" w:styleId="ListBullet">
    <w:name w:val="List Bullet"/>
    <w:basedOn w:val="Normal"/>
    <w:uiPriority w:val="99"/>
    <w:unhideWhenUsed/>
    <w:rsid w:val="00844887"/>
    <w:pPr>
      <w:numPr>
        <w:numId w:val="2"/>
      </w:numPr>
      <w:tabs>
        <w:tab w:val="clear" w:pos="360"/>
      </w:tabs>
      <w:suppressAutoHyphens/>
      <w:spacing w:after="120"/>
      <w:ind w:left="0" w:firstLine="0"/>
      <w:contextualSpacing/>
    </w:pPr>
    <w:rPr>
      <w:rFonts w:ascii="Times New Roman" w:eastAsia="Arial" w:hAnsi="Times New Roman"/>
      <w:kern w:val="0"/>
      <w:szCs w:val="22"/>
      <w:lang w:val="en-US" w:bidi="ar-SA"/>
    </w:rPr>
  </w:style>
  <w:style w:type="paragraph" w:styleId="ListBullet2">
    <w:name w:val="List Bullet 2"/>
    <w:basedOn w:val="Normal"/>
    <w:uiPriority w:val="99"/>
    <w:unhideWhenUsed/>
    <w:rsid w:val="00844887"/>
    <w:pPr>
      <w:numPr>
        <w:numId w:val="3"/>
      </w:numPr>
      <w:tabs>
        <w:tab w:val="clear" w:pos="720"/>
      </w:tabs>
      <w:suppressAutoHyphens/>
      <w:spacing w:after="120"/>
      <w:ind w:left="0" w:firstLine="0"/>
      <w:contextualSpacing/>
    </w:pPr>
    <w:rPr>
      <w:rFonts w:ascii="Times New Roman" w:eastAsia="Arial" w:hAnsi="Times New Roman"/>
      <w:kern w:val="0"/>
      <w:szCs w:val="22"/>
      <w:lang w:val="en-US" w:bidi="ar-SA"/>
    </w:rPr>
  </w:style>
  <w:style w:type="paragraph" w:styleId="ListBullet3">
    <w:name w:val="List Bullet 3"/>
    <w:basedOn w:val="Normal"/>
    <w:uiPriority w:val="99"/>
    <w:unhideWhenUsed/>
    <w:rsid w:val="00844887"/>
    <w:pPr>
      <w:numPr>
        <w:numId w:val="4"/>
      </w:numPr>
      <w:tabs>
        <w:tab w:val="clear" w:pos="1080"/>
      </w:tabs>
      <w:suppressAutoHyphens/>
      <w:spacing w:after="120"/>
      <w:ind w:left="0" w:firstLine="0"/>
      <w:contextualSpacing/>
    </w:pPr>
    <w:rPr>
      <w:rFonts w:ascii="Times New Roman" w:eastAsia="Arial" w:hAnsi="Times New Roman"/>
      <w:kern w:val="0"/>
      <w:szCs w:val="22"/>
      <w:lang w:val="en-US" w:bidi="ar-SA"/>
    </w:rPr>
  </w:style>
  <w:style w:type="paragraph" w:styleId="ListNumber">
    <w:name w:val="List Number"/>
    <w:basedOn w:val="Normal"/>
    <w:uiPriority w:val="99"/>
    <w:unhideWhenUsed/>
    <w:rsid w:val="00844887"/>
    <w:pPr>
      <w:numPr>
        <w:numId w:val="5"/>
      </w:numPr>
      <w:tabs>
        <w:tab w:val="clear" w:pos="360"/>
      </w:tabs>
      <w:suppressAutoHyphens/>
      <w:spacing w:after="120"/>
      <w:ind w:left="0" w:firstLine="0"/>
      <w:contextualSpacing/>
    </w:pPr>
    <w:rPr>
      <w:rFonts w:ascii="Times New Roman" w:eastAsia="Arial" w:hAnsi="Times New Roman"/>
      <w:kern w:val="0"/>
      <w:szCs w:val="22"/>
      <w:lang w:val="en-US" w:bidi="ar-SA"/>
    </w:rPr>
  </w:style>
  <w:style w:type="paragraph" w:styleId="ListNumber2">
    <w:name w:val="List Number 2"/>
    <w:basedOn w:val="Normal"/>
    <w:uiPriority w:val="99"/>
    <w:unhideWhenUsed/>
    <w:rsid w:val="00844887"/>
    <w:pPr>
      <w:numPr>
        <w:numId w:val="6"/>
      </w:numPr>
      <w:tabs>
        <w:tab w:val="clear" w:pos="720"/>
      </w:tabs>
      <w:suppressAutoHyphens/>
      <w:spacing w:after="120"/>
      <w:ind w:left="0" w:firstLine="0"/>
      <w:contextualSpacing/>
    </w:pPr>
    <w:rPr>
      <w:rFonts w:ascii="Times New Roman" w:eastAsia="Arial" w:hAnsi="Times New Roman"/>
      <w:kern w:val="0"/>
      <w:szCs w:val="22"/>
      <w:lang w:val="en-US" w:bidi="ar-SA"/>
    </w:rPr>
  </w:style>
  <w:style w:type="paragraph" w:styleId="ListNumber3">
    <w:name w:val="List Number 3"/>
    <w:basedOn w:val="Normal"/>
    <w:uiPriority w:val="99"/>
    <w:unhideWhenUsed/>
    <w:rsid w:val="00844887"/>
    <w:pPr>
      <w:numPr>
        <w:numId w:val="7"/>
      </w:numPr>
      <w:tabs>
        <w:tab w:val="clear" w:pos="1080"/>
      </w:tabs>
      <w:suppressAutoHyphens/>
      <w:spacing w:after="120"/>
      <w:ind w:left="0" w:firstLine="0"/>
      <w:contextualSpacing/>
    </w:pPr>
    <w:rPr>
      <w:rFonts w:ascii="Times New Roman" w:eastAsia="Arial" w:hAnsi="Times New Roman"/>
      <w:kern w:val="0"/>
      <w:szCs w:val="22"/>
      <w:lang w:val="en-US" w:bidi="ar-SA"/>
    </w:rPr>
  </w:style>
  <w:style w:type="paragraph" w:styleId="ListContinue">
    <w:name w:val="List Continue"/>
    <w:basedOn w:val="Normal"/>
    <w:uiPriority w:val="99"/>
    <w:unhideWhenUsed/>
    <w:rsid w:val="00844887"/>
    <w:pPr>
      <w:suppressAutoHyphens/>
      <w:spacing w:after="120"/>
      <w:ind w:left="360"/>
      <w:contextualSpacing/>
    </w:pPr>
    <w:rPr>
      <w:rFonts w:ascii="Times New Roman" w:eastAsia="Arial" w:hAnsi="Times New Roman"/>
      <w:kern w:val="0"/>
      <w:szCs w:val="22"/>
      <w:lang w:val="en-US" w:bidi="ar-SA"/>
    </w:rPr>
  </w:style>
  <w:style w:type="paragraph" w:styleId="ListContinue2">
    <w:name w:val="List Continue 2"/>
    <w:basedOn w:val="Normal"/>
    <w:uiPriority w:val="99"/>
    <w:unhideWhenUsed/>
    <w:rsid w:val="00844887"/>
    <w:pPr>
      <w:suppressAutoHyphens/>
      <w:spacing w:after="120"/>
      <w:ind w:left="720"/>
      <w:contextualSpacing/>
    </w:pPr>
    <w:rPr>
      <w:rFonts w:ascii="Times New Roman" w:eastAsia="Arial" w:hAnsi="Times New Roman"/>
      <w:kern w:val="0"/>
      <w:szCs w:val="22"/>
      <w:lang w:val="en-US" w:bidi="ar-SA"/>
    </w:rPr>
  </w:style>
  <w:style w:type="paragraph" w:styleId="ListContinue3">
    <w:name w:val="List Continue 3"/>
    <w:basedOn w:val="Normal"/>
    <w:uiPriority w:val="99"/>
    <w:unhideWhenUsed/>
    <w:rsid w:val="00844887"/>
    <w:pPr>
      <w:suppressAutoHyphens/>
      <w:spacing w:after="120"/>
      <w:ind w:left="1080"/>
      <w:contextualSpacing/>
    </w:pPr>
    <w:rPr>
      <w:rFonts w:ascii="Times New Roman" w:eastAsia="Arial" w:hAnsi="Times New Roman"/>
      <w:kern w:val="0"/>
      <w:szCs w:val="22"/>
      <w:lang w:val="en-US" w:bidi="ar-SA"/>
    </w:rPr>
  </w:style>
  <w:style w:type="paragraph" w:styleId="MacroText">
    <w:name w:val="macro"/>
    <w:link w:val="MacroTextChar"/>
    <w:uiPriority w:val="99"/>
    <w:unhideWhenUsed/>
    <w:qFormat/>
    <w:rsid w:val="00844887"/>
    <w:pPr>
      <w:tabs>
        <w:tab w:val="left" w:pos="576"/>
        <w:tab w:val="left" w:pos="1152"/>
        <w:tab w:val="left" w:pos="1728"/>
        <w:tab w:val="left" w:pos="2304"/>
        <w:tab w:val="left" w:pos="2880"/>
        <w:tab w:val="left" w:pos="3456"/>
        <w:tab w:val="left" w:pos="4032"/>
      </w:tabs>
      <w:suppressAutoHyphens/>
      <w:spacing w:after="200" w:line="276" w:lineRule="auto"/>
    </w:pPr>
    <w:rPr>
      <w:rFonts w:ascii="Courier" w:hAnsi="Courier"/>
      <w:sz w:val="20"/>
      <w:szCs w:val="20"/>
    </w:rPr>
  </w:style>
  <w:style w:type="character" w:customStyle="1" w:styleId="MacroTextChar1">
    <w:name w:val="Macro Text Char1"/>
    <w:basedOn w:val="DefaultParagraphFont"/>
    <w:uiPriority w:val="99"/>
    <w:semiHidden/>
    <w:rsid w:val="00844887"/>
    <w:rPr>
      <w:rFonts w:ascii="Consolas" w:hAnsi="Consolas"/>
      <w:sz w:val="20"/>
      <w:szCs w:val="25"/>
      <w14:ligatures w14:val="none"/>
    </w:rPr>
  </w:style>
  <w:style w:type="paragraph" w:styleId="Index1">
    <w:name w:val="index 1"/>
    <w:basedOn w:val="Normal"/>
    <w:next w:val="Normal"/>
    <w:autoRedefine/>
    <w:uiPriority w:val="99"/>
    <w:semiHidden/>
    <w:unhideWhenUsed/>
    <w:rsid w:val="00844887"/>
    <w:pPr>
      <w:spacing w:line="240" w:lineRule="auto"/>
      <w:ind w:left="240" w:hanging="240"/>
    </w:pPr>
  </w:style>
  <w:style w:type="paragraph" w:styleId="IndexHeading">
    <w:name w:val="index heading"/>
    <w:basedOn w:val="Heading"/>
    <w:rsid w:val="00844887"/>
  </w:style>
  <w:style w:type="paragraph" w:customStyle="1" w:styleId="Executive">
    <w:name w:val="Executive"/>
    <w:basedOn w:val="BodyText"/>
    <w:rsid w:val="00844887"/>
  </w:style>
  <w:style w:type="paragraph" w:customStyle="1" w:styleId="Subheading">
    <w:name w:val="Subheading"/>
    <w:rsid w:val="00844887"/>
    <w:pPr>
      <w:keepNext/>
      <w:suppressAutoHyphens/>
      <w:spacing w:before="120" w:after="0" w:line="360" w:lineRule="auto"/>
    </w:pPr>
    <w:rPr>
      <w:rFonts w:ascii="Arial" w:eastAsiaTheme="minorEastAsia" w:hAnsi="Arial"/>
      <w:b/>
      <w:color w:val="000000"/>
      <w:kern w:val="0"/>
      <w:sz w:val="24"/>
      <w:szCs w:val="22"/>
      <w:lang w:val="en-US" w:bidi="ar-SA"/>
    </w:rPr>
  </w:style>
  <w:style w:type="paragraph" w:customStyle="1" w:styleId="FigureSource">
    <w:name w:val="Figure Source"/>
    <w:rsid w:val="00844887"/>
    <w:pPr>
      <w:suppressAutoHyphens/>
      <w:spacing w:after="120" w:line="240" w:lineRule="auto"/>
      <w:jc w:val="center"/>
    </w:pPr>
    <w:rPr>
      <w:rFonts w:ascii="Arial" w:eastAsiaTheme="minorEastAsia" w:hAnsi="Arial"/>
      <w:i/>
      <w:kern w:val="0"/>
      <w:sz w:val="20"/>
      <w:szCs w:val="22"/>
      <w:lang w:val="en-US" w:bidi="ar-SA"/>
    </w:rPr>
  </w:style>
  <w:style w:type="paragraph" w:customStyle="1" w:styleId="Reference">
    <w:name w:val="Reference"/>
    <w:rsid w:val="00844887"/>
    <w:pPr>
      <w:suppressAutoHyphens/>
      <w:spacing w:after="0" w:line="360" w:lineRule="auto"/>
      <w:ind w:left="567" w:hanging="567"/>
    </w:pPr>
    <w:rPr>
      <w:rFonts w:ascii="Arial" w:eastAsiaTheme="minorEastAsia" w:hAnsi="Arial"/>
      <w:kern w:val="0"/>
      <w:sz w:val="24"/>
      <w:szCs w:val="22"/>
      <w:lang w:val="en-US" w:bidi="ar-SA"/>
    </w:rPr>
  </w:style>
  <w:style w:type="table" w:styleId="LightShading">
    <w:name w:val="Light Shading"/>
    <w:basedOn w:val="TableNormal"/>
    <w:uiPriority w:val="60"/>
    <w:rsid w:val="00844887"/>
    <w:pPr>
      <w:suppressAutoHyphens/>
      <w:spacing w:after="0" w:line="240" w:lineRule="auto"/>
    </w:pPr>
    <w:rPr>
      <w:rFonts w:eastAsiaTheme="minorEastAsia"/>
      <w:color w:val="000000" w:themeColor="text1" w:themeShade="BF"/>
      <w:kern w:val="0"/>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844887"/>
    <w:pPr>
      <w:suppressAutoHyphens/>
      <w:spacing w:after="0" w:line="240" w:lineRule="auto"/>
    </w:pPr>
    <w:rPr>
      <w:rFonts w:eastAsiaTheme="minorEastAsia"/>
      <w:color w:val="0F4761" w:themeColor="accent1" w:themeShade="BF"/>
      <w:kern w:val="0"/>
      <w:szCs w:val="22"/>
      <w:lang w:val="en-US" w:bidi="ar-SA"/>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844887"/>
    <w:pPr>
      <w:suppressAutoHyphens/>
      <w:spacing w:after="0" w:line="240" w:lineRule="auto"/>
    </w:pPr>
    <w:rPr>
      <w:rFonts w:eastAsiaTheme="minorEastAsia"/>
      <w:color w:val="BF4E14" w:themeColor="accent2" w:themeShade="BF"/>
      <w:kern w:val="0"/>
      <w:szCs w:val="22"/>
      <w:lang w:val="en-US" w:bidi="ar-SA"/>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844887"/>
    <w:pPr>
      <w:suppressAutoHyphens/>
      <w:spacing w:after="0" w:line="240" w:lineRule="auto"/>
    </w:pPr>
    <w:rPr>
      <w:rFonts w:eastAsiaTheme="minorEastAsia"/>
      <w:color w:val="124F1A" w:themeColor="accent3" w:themeShade="BF"/>
      <w:kern w:val="0"/>
      <w:szCs w:val="22"/>
      <w:lang w:val="en-US" w:bidi="ar-SA"/>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844887"/>
    <w:pPr>
      <w:suppressAutoHyphens/>
      <w:spacing w:after="0" w:line="240" w:lineRule="auto"/>
    </w:pPr>
    <w:rPr>
      <w:rFonts w:eastAsiaTheme="minorEastAsia"/>
      <w:color w:val="0B769F" w:themeColor="accent4" w:themeShade="BF"/>
      <w:kern w:val="0"/>
      <w:szCs w:val="22"/>
      <w:lang w:val="en-US" w:bidi="ar-SA"/>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844887"/>
    <w:pPr>
      <w:suppressAutoHyphens/>
      <w:spacing w:after="0" w:line="240" w:lineRule="auto"/>
    </w:pPr>
    <w:rPr>
      <w:rFonts w:eastAsiaTheme="minorEastAsia"/>
      <w:color w:val="77206D" w:themeColor="accent5" w:themeShade="BF"/>
      <w:kern w:val="0"/>
      <w:szCs w:val="22"/>
      <w:lang w:val="en-US" w:bidi="ar-SA"/>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844887"/>
    <w:pPr>
      <w:suppressAutoHyphens/>
      <w:spacing w:after="0" w:line="240" w:lineRule="auto"/>
    </w:pPr>
    <w:rPr>
      <w:rFonts w:eastAsiaTheme="minorEastAsia"/>
      <w:color w:val="3A7C22" w:themeColor="accent6" w:themeShade="BF"/>
      <w:kern w:val="0"/>
      <w:szCs w:val="22"/>
      <w:lang w:val="en-US" w:bidi="ar-SA"/>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844887"/>
    <w:pPr>
      <w:suppressAutoHyphens/>
      <w:spacing w:after="0" w:line="240" w:lineRule="auto"/>
    </w:pPr>
    <w:rPr>
      <w:rFonts w:eastAsiaTheme="minorEastAsia"/>
      <w:kern w:val="0"/>
      <w:szCs w:val="22"/>
      <w:lang w:val="en-US" w:bidi="ar-S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156082" w:themeColor="accent1"/>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97132" w:themeColor="accent2"/>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196B24" w:themeColor="accent3"/>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0F9ED5" w:themeColor="accent4"/>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A02B93" w:themeColor="accent5"/>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4EA72E" w:themeColor="accent6"/>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844887"/>
    <w:pPr>
      <w:suppressAutoHyphens/>
      <w:spacing w:after="0" w:line="240" w:lineRule="auto"/>
    </w:pPr>
    <w:rPr>
      <w:rFonts w:asciiTheme="majorHAnsi" w:eastAsiaTheme="majorEastAsia" w:hAnsiTheme="majorHAnsi" w:cstheme="majorBidi"/>
      <w:color w:val="000000" w:themeColor="text1"/>
      <w:kern w:val="0"/>
      <w:szCs w:val="22"/>
      <w:lang w:val="en-US" w:bidi="ar-SA"/>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844887"/>
    <w:pPr>
      <w:suppressAutoHyphens/>
      <w:spacing w:after="0" w:line="240" w:lineRule="auto"/>
    </w:pPr>
    <w:rPr>
      <w:rFonts w:eastAsiaTheme="minorEastAsia"/>
      <w:kern w:val="0"/>
      <w:szCs w:val="22"/>
      <w:lang w:val="en-US" w:bidi="ar-SA"/>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844887"/>
    <w:pPr>
      <w:suppressAutoHyphens/>
      <w:spacing w:after="0" w:line="240" w:lineRule="auto"/>
    </w:pPr>
    <w:rPr>
      <w:rFonts w:eastAsiaTheme="minorEastAsia"/>
      <w:color w:val="FFFFFF" w:themeColor="background1"/>
      <w:kern w:val="0"/>
      <w:szCs w:val="22"/>
      <w:lang w:val="en-US" w:bidi="ar-SA"/>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rfulShading">
    <w:name w:val="Colorful Shading"/>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156082" w:themeColor="accent1"/>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E97132" w:themeColor="accent2"/>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196B24" w:themeColor="accent3"/>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rfulShading-Accent4">
    <w:name w:val="Colorful Shading Accent 4"/>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F9ED5" w:themeColor="accent4"/>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A02B93" w:themeColor="accent5"/>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4EA72E" w:themeColor="accent6"/>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rfulList-Accent2">
    <w:name w:val="Colorful List Accent 2"/>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rfulList-Accent3">
    <w:name w:val="Colorful List Accent 3"/>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rfulList-Accent4">
    <w:name w:val="Colorful List Accent 4"/>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rfulList-Accent5">
    <w:name w:val="Colorful List Accent 5"/>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rfulList-Accent6">
    <w:name w:val="Colorful List Accent 6"/>
    <w:basedOn w:val="TableNormal"/>
    <w:uiPriority w:val="72"/>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rfulGrid">
    <w:name w:val="Colorful Grid"/>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rfulGrid-Accent2">
    <w:name w:val="Colorful Grid Accent 2"/>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rfulGrid-Accent3">
    <w:name w:val="Colorful Grid Accent 3"/>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rfulGrid-Accent4">
    <w:name w:val="Colorful Grid Accent 4"/>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rfulGrid-Accent5">
    <w:name w:val="Colorful Grid Accent 5"/>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rfulGrid-Accent6">
    <w:name w:val="Colorful Grid Accent 6"/>
    <w:basedOn w:val="TableNormal"/>
    <w:uiPriority w:val="73"/>
    <w:rsid w:val="00844887"/>
    <w:pPr>
      <w:suppressAutoHyphens/>
      <w:spacing w:after="0" w:line="240" w:lineRule="auto"/>
    </w:pPr>
    <w:rPr>
      <w:rFonts w:eastAsiaTheme="minorEastAsia"/>
      <w:color w:val="000000" w:themeColor="text1"/>
      <w:kern w:val="0"/>
      <w:szCs w:val="22"/>
      <w:lang w:val="en-US" w:bidi="ar-SA"/>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customStyle="1" w:styleId="CoverDetail">
    <w:name w:val="Cover Detail"/>
    <w:rsid w:val="0063082B"/>
    <w:pPr>
      <w:spacing w:after="100" w:line="276" w:lineRule="auto"/>
    </w:pPr>
    <w:rPr>
      <w:rFonts w:ascii="Arial" w:eastAsia="Arial" w:hAnsi="Arial"/>
      <w:kern w:val="0"/>
      <w:sz w:val="24"/>
      <w:szCs w:val="22"/>
      <w:lang w:val="en-US" w:bidi="ar-SA"/>
    </w:rPr>
  </w:style>
  <w:style w:type="paragraph" w:customStyle="1" w:styleId="TOCStatic1">
    <w:name w:val="TOC Static 1"/>
    <w:rsid w:val="0063082B"/>
    <w:pPr>
      <w:spacing w:after="0" w:line="216" w:lineRule="auto"/>
    </w:pPr>
    <w:rPr>
      <w:rFonts w:ascii="Arial" w:eastAsia="Arial" w:hAnsi="Arial"/>
      <w:kern w:val="0"/>
      <w:sz w:val="16"/>
      <w:szCs w:val="22"/>
      <w:lang w:val="en-US" w:bidi="ar-SA"/>
    </w:rPr>
  </w:style>
  <w:style w:type="paragraph" w:customStyle="1" w:styleId="TOCStatic2">
    <w:name w:val="TOC Static 2"/>
    <w:rsid w:val="0063082B"/>
    <w:pPr>
      <w:spacing w:after="0" w:line="216" w:lineRule="auto"/>
      <w:ind w:left="346"/>
    </w:pPr>
    <w:rPr>
      <w:rFonts w:ascii="Arial" w:eastAsia="Arial" w:hAnsi="Arial"/>
      <w:kern w:val="0"/>
      <w:sz w:val="16"/>
      <w:szCs w:val="22"/>
      <w:lang w:val="en-US" w:bidi="ar-SA"/>
    </w:rPr>
  </w:style>
  <w:style w:type="table" w:styleId="TableGridLight">
    <w:name w:val="Grid Table Light"/>
    <w:basedOn w:val="TableNormal"/>
    <w:uiPriority w:val="99"/>
    <w:rsid w:val="0063082B"/>
    <w:pPr>
      <w:spacing w:after="0" w:line="240" w:lineRule="auto"/>
    </w:pPr>
    <w:rPr>
      <w:rFonts w:eastAsiaTheme="minorEastAsia"/>
      <w:kern w:val="0"/>
      <w:szCs w:val="22"/>
      <w:lang w:val="en-US" w:bidi="ar-S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penstax.org/books/principles-marketing/pages/1-unit-introduction" TargetMode="External"/><Relationship Id="rId21" Type="http://schemas.openxmlformats.org/officeDocument/2006/relationships/image" Target="media/image14.png"/><Relationship Id="rId42" Type="http://schemas.openxmlformats.org/officeDocument/2006/relationships/hyperlink" Target="https://cognitioncommerce.ca/wp-content/uploads/2024/06/j-of-consumer-behaviour-2022-lim-evolution-and-trends-in-consumer.pdf" TargetMode="External"/><Relationship Id="rId47" Type="http://schemas.openxmlformats.org/officeDocument/2006/relationships/hyperlink" Target="https://www.mdpi.com/0718-1876/20/2/111" TargetMode="External"/><Relationship Id="rId63" Type="http://schemas.openxmlformats.org/officeDocument/2006/relationships/hyperlink" Target="https://www.theculturefactor.com/country-comparison-tool?countries=india%2Cunited+kingdom" TargetMode="External"/><Relationship Id="rId68" Type="http://schemas.openxmlformats.org/officeDocument/2006/relationships/hyperlink" Target="https://www.mdpi.com/2071-1050/13/3/1356"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pmc.ncbi.nlm.nih.gov/articles/PMC9030681/"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mdpi.com/2071-1050/14/1/348" TargetMode="External"/><Relationship Id="rId37" Type="http://schemas.openxmlformats.org/officeDocument/2006/relationships/hyperlink" Target="https://www.mdpi.com/2227-7390/12/21/3364" TargetMode="External"/><Relationship Id="rId40" Type="http://schemas.openxmlformats.org/officeDocument/2006/relationships/hyperlink" Target="https://www.frontiersin.org/journals/nutrition/articles/10.3389/fnut.2024.1328596/full" TargetMode="External"/><Relationship Id="rId45" Type="http://schemas.openxmlformats.org/officeDocument/2006/relationships/hyperlink" Target="https://www.frontiersin.org/journals/nutrition/articles/10.3389/fnut.2023.1325265/full" TargetMode="External"/><Relationship Id="rId53" Type="http://schemas.openxmlformats.org/officeDocument/2006/relationships/hyperlink" Target="https://www.mdpi.com/2304-8158/11/21/3424" TargetMode="External"/><Relationship Id="rId58" Type="http://schemas.openxmlformats.org/officeDocument/2006/relationships/hyperlink" Target="https://www.mdpi.com/2078-2489/12/2/72" TargetMode="External"/><Relationship Id="rId66" Type="http://schemas.openxmlformats.org/officeDocument/2006/relationships/hyperlink" Target="https://reflection.ed.ac.uk/reflectors-toolkit/reflecting-on-experience/gibbs-reflective-cycle" TargetMode="External"/><Relationship Id="rId5" Type="http://schemas.openxmlformats.org/officeDocument/2006/relationships/webSettings" Target="webSettings.xml"/><Relationship Id="rId61" Type="http://schemas.openxmlformats.org/officeDocument/2006/relationships/hyperlink" Target="https://www.smartdraw.com/marketing-mix/examples/7ps-marketing-mix/"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frontiersin.org/journals/nutrition/articles/10.3389/fnut.2022.868937/full" TargetMode="External"/><Relationship Id="rId30" Type="http://schemas.openxmlformats.org/officeDocument/2006/relationships/hyperlink" Target="https://www.cadbury.co.uk/" TargetMode="External"/><Relationship Id="rId35" Type="http://schemas.openxmlformats.org/officeDocument/2006/relationships/hyperlink" Target="https://www.fssai.gov.in/upload/advisories/2024/04/660d30f574b44Advisory_Health%20Drink_on%20e-commerce%20website.pdf" TargetMode="External"/><Relationship Id="rId43" Type="http://schemas.openxmlformats.org/officeDocument/2006/relationships/hyperlink" Target="https://www.mdpi.com/2199-8531/8/1/7" TargetMode="External"/><Relationship Id="rId48" Type="http://schemas.openxmlformats.org/officeDocument/2006/relationships/hyperlink" Target="https://www.mospi.gov.in/uploads/latestReleases/latest_release_1780655857536_5ac01869-ca4a-422d-b7a7-57b81da60932_Press_Note_on_GDP_Estimates_for_Q4_2025-26_and_PE_FY_2025-26_F.pdf" TargetMode="External"/><Relationship Id="rId56" Type="http://schemas.openxmlformats.org/officeDocument/2006/relationships/hyperlink" Target="https://www.mdpi.com/2304-8158/10/5/1035" TargetMode="External"/><Relationship Id="rId64" Type="http://schemas.openxmlformats.org/officeDocument/2006/relationships/hyperlink" Target="https://ecampusontario.pressbooks.pub/reflectivepracticeinearlyyears/" TargetMode="External"/><Relationship Id="rId69" Type="http://schemas.openxmlformats.org/officeDocument/2006/relationships/hyperlink" Target="https://www.mdpi.com/2304-8158/13/6/915" TargetMode="External"/><Relationship Id="rId8" Type="http://schemas.openxmlformats.org/officeDocument/2006/relationships/image" Target="media/image1.png"/><Relationship Id="rId51" Type="http://schemas.openxmlformats.org/officeDocument/2006/relationships/hyperlink" Target="https://www.frontiersin.org/journals/public-health/articles/10.3389/fpubh.2025.1576427/full"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hyperlink" Target="https://www.mdpi.com/1660-4601/19/3/1768" TargetMode="External"/><Relationship Id="rId38" Type="http://schemas.openxmlformats.org/officeDocument/2006/relationships/hyperlink" Target="https://www.frontiersin.org/journals/psychology/articles/10.3389/fpsyg.2022.837752/full" TargetMode="External"/><Relationship Id="rId46" Type="http://schemas.openxmlformats.org/officeDocument/2006/relationships/hyperlink" Target="https://ecampusontario.pressbooks.pub/globalmarketing/" TargetMode="External"/><Relationship Id="rId59" Type="http://schemas.openxmlformats.org/officeDocument/2006/relationships/hyperlink" Target="https://www.frontiersin.org/journals/psychology/articles/10.3389/fpsyg.2022.840862/full" TargetMode="External"/><Relationship Id="rId67" Type="http://schemas.openxmlformats.org/officeDocument/2006/relationships/hyperlink" Target="https://www.mdpi.com/2079-9276/13/10/141" TargetMode="External"/><Relationship Id="rId20" Type="http://schemas.openxmlformats.org/officeDocument/2006/relationships/image" Target="media/image13.png"/><Relationship Id="rId41" Type="http://schemas.openxmlformats.org/officeDocument/2006/relationships/hyperlink" Target="https://www.frontiersin.org/journals/sustainable-food-systems/articles/10.3389/fsufs.2025.1512655/full" TargetMode="External"/><Relationship Id="rId54" Type="http://schemas.openxmlformats.org/officeDocument/2006/relationships/hyperlink" Target="https://www.ons.gov.uk/economy/inflationandpriceindices/bulletins/consumerpriceinflation/december2025" TargetMode="External"/><Relationship Id="rId62" Type="http://schemas.openxmlformats.org/officeDocument/2006/relationships/hyperlink" Target="https://www.frontiersin.org/journals/nutrition/articles/10.3389/fnut.2023.1344237/full"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frontiersin.org/journals/public-health/articles/10.3389/fpubh.2022.917456/full" TargetMode="External"/><Relationship Id="rId36" Type="http://schemas.openxmlformats.org/officeDocument/2006/relationships/hyperlink" Target="https://www.mdpi.com/1911-8074/15/1/16" TargetMode="External"/><Relationship Id="rId49" Type="http://schemas.openxmlformats.org/officeDocument/2006/relationships/hyperlink" Target="https://www.mondelezinternational.com/India/" TargetMode="External"/><Relationship Id="rId57" Type="http://schemas.openxmlformats.org/officeDocument/2006/relationships/hyperlink" Target="https://www.mdpi.com/2304-8158/14/2/255" TargetMode="External"/><Relationship Id="rId10" Type="http://schemas.openxmlformats.org/officeDocument/2006/relationships/image" Target="media/image3.png"/><Relationship Id="rId31" Type="http://schemas.openxmlformats.org/officeDocument/2006/relationships/hyperlink" Target="https://www.sciencedirect.com/science/article/pii/S2666154321000247" TargetMode="External"/><Relationship Id="rId44" Type="http://schemas.openxmlformats.org/officeDocument/2006/relationships/hyperlink" Target="https://www.mdpi.com/2076-328X/15/10/1384" TargetMode="External"/><Relationship Id="rId52" Type="http://schemas.openxmlformats.org/officeDocument/2006/relationships/hyperlink" Target="https://opentextbc.ca/introconsumerbehaviour/" TargetMode="External"/><Relationship Id="rId60" Type="http://schemas.openxmlformats.org/officeDocument/2006/relationships/hyperlink" Target="https://www.frontiersin.org/journals/psychology/articles/10.3389/fpsyg.2022.919020/full" TargetMode="External"/><Relationship Id="rId65" Type="http://schemas.openxmlformats.org/officeDocument/2006/relationships/hyperlink" Target="https://www.gov.uk/government/publications/restricting-advertising-of-less-healthy-food-or-drink-on-tv-and-online-products-in-scope/restricting-advertising-of-less-healthy-food-or-drink-on-tv-and-online-products-in-scope"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frontiersin.org/journals/communication/articles/10.3389/fcomm.2025.1595796/full" TargetMode="External"/><Relationship Id="rId34" Type="http://schemas.openxmlformats.org/officeDocument/2006/relationships/hyperlink" Target="https://www.frontiersin.org/journals/nutrition/articles/10.3389/fnut.2025.1645166/full" TargetMode="External"/><Relationship Id="rId50" Type="http://schemas.openxmlformats.org/officeDocument/2006/relationships/hyperlink" Target="https://open.oregonstate.education/strategicmanagement2e/" TargetMode="External"/><Relationship Id="rId55" Type="http://schemas.openxmlformats.org/officeDocument/2006/relationships/hyperlink" Target="https://www.mdpi.com/2227-7099/13/2/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6E61E-141A-4E5C-B812-86AFC853E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1786</TotalTime>
  <Pages>33</Pages>
  <Words>8575</Words>
  <Characters>48880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46</cp:revision>
  <dcterms:created xsi:type="dcterms:W3CDTF">2026-07-06T07:42:00Z</dcterms:created>
  <dcterms:modified xsi:type="dcterms:W3CDTF">2026-08-12T20:23:00Z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2026-03-12T16:15:25Z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545b7eca-ec8e-4c6b-8551-38bac7675953</vt:lpwstr>
  </property>
  <property fmtid="{D5CDD505-2E9C-101B-9397-08002B2CF9AE}" pid="7" name="MSIP_Label_defa4170-0d19-0005-0004-bc88714345d2_ActionId">
    <vt:lpwstr>7a7c9180-22b6-48f5-b556-c1f75889a952</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