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9164E9" w14:textId="77777777" w:rsidR="00AE5558" w:rsidRPr="00AE5558" w:rsidRDefault="00AE5558" w:rsidP="00AE5558">
      <w:pPr>
        <w:shd w:val="clear" w:color="auto" w:fill="FFFFFF"/>
        <w:spacing w:after="360" w:line="288" w:lineRule="atLeast"/>
        <w:outlineLvl w:val="1"/>
        <w:rPr>
          <w:rFonts w:ascii="proxima-nova" w:eastAsia="Times New Roman" w:hAnsi="proxima-nova" w:cs="Times New Roman"/>
          <w:color w:val="222222"/>
          <w:spacing w:val="7"/>
          <w:sz w:val="32"/>
          <w:szCs w:val="32"/>
        </w:rPr>
      </w:pPr>
      <w:r w:rsidRPr="00AE5558">
        <w:rPr>
          <w:rFonts w:ascii="proxima-nova" w:eastAsia="Times New Roman" w:hAnsi="proxima-nova" w:cs="Times New Roman"/>
          <w:color w:val="222222"/>
          <w:spacing w:val="7"/>
          <w:sz w:val="32"/>
          <w:szCs w:val="32"/>
        </w:rPr>
        <w:t>How to Allocate Costs</w:t>
      </w:r>
    </w:p>
    <w:p w14:paraId="21D921DA" w14:textId="77777777" w:rsidR="00AE5558" w:rsidRPr="00AE5558" w:rsidRDefault="00AE5558" w:rsidP="00AE5558">
      <w:pPr>
        <w:shd w:val="clear" w:color="auto" w:fill="FFFFFF"/>
        <w:spacing w:before="360" w:after="360" w:line="384" w:lineRule="atLeast"/>
        <w:rPr>
          <w:rFonts w:ascii="proxima-nova" w:eastAsia="Times New Roman" w:hAnsi="proxima-nova" w:cs="Times New Roman"/>
          <w:color w:val="151414"/>
          <w:spacing w:val="5"/>
          <w:sz w:val="23"/>
          <w:szCs w:val="23"/>
        </w:rPr>
      </w:pPr>
      <w:r w:rsidRPr="00AE5558">
        <w:rPr>
          <w:rFonts w:ascii="proxima-nova" w:eastAsia="Times New Roman" w:hAnsi="proxima-nova" w:cs="Times New Roman"/>
          <w:color w:val="151414"/>
          <w:spacing w:val="5"/>
          <w:sz w:val="23"/>
          <w:szCs w:val="23"/>
        </w:rPr>
        <w:t xml:space="preserve">Various cost </w:t>
      </w:r>
      <w:hyperlink r:id="rId5" w:history="1">
        <w:r w:rsidRPr="00AE5558">
          <w:rPr>
            <w:rFonts w:ascii="proxima-nova" w:eastAsia="Times New Roman" w:hAnsi="proxima-nova" w:cs="Times New Roman"/>
            <w:color w:val="0D6ECE"/>
            <w:spacing w:val="5"/>
            <w:sz w:val="23"/>
            <w:szCs w:val="23"/>
            <w:u w:val="single"/>
          </w:rPr>
          <w:t>allocation</w:t>
        </w:r>
      </w:hyperlink>
      <w:r w:rsidRPr="00AE5558">
        <w:rPr>
          <w:rFonts w:ascii="proxima-nova" w:eastAsia="Times New Roman" w:hAnsi="proxima-nova" w:cs="Times New Roman"/>
          <w:color w:val="151414"/>
          <w:spacing w:val="5"/>
          <w:sz w:val="23"/>
          <w:szCs w:val="23"/>
        </w:rPr>
        <w:t xml:space="preserve"> methods are used to allocate </w:t>
      </w:r>
      <w:hyperlink r:id="rId6" w:history="1">
        <w:r w:rsidRPr="00AE5558">
          <w:rPr>
            <w:rFonts w:ascii="proxima-nova" w:eastAsia="Times New Roman" w:hAnsi="proxima-nova" w:cs="Times New Roman"/>
            <w:color w:val="0D6ECE"/>
            <w:spacing w:val="5"/>
            <w:sz w:val="23"/>
            <w:szCs w:val="23"/>
            <w:u w:val="single"/>
          </w:rPr>
          <w:t>factory overhead</w:t>
        </w:r>
      </w:hyperlink>
      <w:r w:rsidRPr="00AE5558">
        <w:rPr>
          <w:rFonts w:ascii="proxima-nova" w:eastAsia="Times New Roman" w:hAnsi="proxima-nova" w:cs="Times New Roman"/>
          <w:color w:val="151414"/>
          <w:spacing w:val="5"/>
          <w:sz w:val="23"/>
          <w:szCs w:val="23"/>
        </w:rPr>
        <w:t xml:space="preserve"> costs to units of production. Allocations are performed in order to create </w:t>
      </w:r>
      <w:hyperlink r:id="rId7" w:history="1">
        <w:r w:rsidRPr="00AE5558">
          <w:rPr>
            <w:rFonts w:ascii="proxima-nova" w:eastAsia="Times New Roman" w:hAnsi="proxima-nova" w:cs="Times New Roman"/>
            <w:color w:val="0D6ECE"/>
            <w:spacing w:val="5"/>
            <w:sz w:val="23"/>
            <w:szCs w:val="23"/>
            <w:u w:val="single"/>
          </w:rPr>
          <w:t>financial statements</w:t>
        </w:r>
      </w:hyperlink>
      <w:r w:rsidRPr="00AE5558">
        <w:rPr>
          <w:rFonts w:ascii="proxima-nova" w:eastAsia="Times New Roman" w:hAnsi="proxima-nova" w:cs="Times New Roman"/>
          <w:color w:val="151414"/>
          <w:spacing w:val="5"/>
          <w:sz w:val="23"/>
          <w:szCs w:val="23"/>
        </w:rPr>
        <w:t xml:space="preserve"> that are in compliance with the applicable </w:t>
      </w:r>
      <w:hyperlink r:id="rId8" w:history="1">
        <w:r w:rsidRPr="00AE5558">
          <w:rPr>
            <w:rFonts w:ascii="proxima-nova" w:eastAsia="Times New Roman" w:hAnsi="proxima-nova" w:cs="Times New Roman"/>
            <w:color w:val="0D6ECE"/>
            <w:spacing w:val="5"/>
            <w:sz w:val="23"/>
            <w:szCs w:val="23"/>
            <w:u w:val="single"/>
          </w:rPr>
          <w:t>accounting framework</w:t>
        </w:r>
      </w:hyperlink>
      <w:r w:rsidRPr="00AE5558">
        <w:rPr>
          <w:rFonts w:ascii="proxima-nova" w:eastAsia="Times New Roman" w:hAnsi="proxima-nova" w:cs="Times New Roman"/>
          <w:color w:val="151414"/>
          <w:spacing w:val="5"/>
          <w:sz w:val="23"/>
          <w:szCs w:val="23"/>
        </w:rPr>
        <w:t>. The most common allocation methods are noted in the following bullet points, along with commentary about their advantages and disadvantages:</w:t>
      </w:r>
    </w:p>
    <w:p w14:paraId="21F46E8E" w14:textId="77777777" w:rsidR="00AE5558" w:rsidRPr="00AE5558" w:rsidRDefault="00AE5558" w:rsidP="00AE5558">
      <w:pPr>
        <w:numPr>
          <w:ilvl w:val="0"/>
          <w:numId w:val="1"/>
        </w:numPr>
        <w:shd w:val="clear" w:color="auto" w:fill="FFFFFF"/>
        <w:spacing w:before="120" w:after="120" w:line="384" w:lineRule="atLeast"/>
        <w:rPr>
          <w:rFonts w:ascii="proxima-nova" w:eastAsia="Times New Roman" w:hAnsi="proxima-nova" w:cs="Times New Roman"/>
          <w:color w:val="151414"/>
          <w:spacing w:val="5"/>
          <w:sz w:val="23"/>
          <w:szCs w:val="23"/>
        </w:rPr>
      </w:pPr>
      <w:r w:rsidRPr="00AE5558">
        <w:rPr>
          <w:rFonts w:ascii="proxima-nova" w:eastAsia="Times New Roman" w:hAnsi="proxima-nova" w:cs="Times New Roman"/>
          <w:i/>
          <w:iCs/>
          <w:color w:val="151414"/>
          <w:spacing w:val="5"/>
          <w:sz w:val="23"/>
          <w:szCs w:val="23"/>
        </w:rPr>
        <w:t xml:space="preserve">Direct </w:t>
      </w:r>
      <w:proofErr w:type="spellStart"/>
      <w:r w:rsidRPr="00AE5558">
        <w:rPr>
          <w:rFonts w:ascii="proxima-nova" w:eastAsia="Times New Roman" w:hAnsi="proxima-nova" w:cs="Times New Roman"/>
          <w:i/>
          <w:iCs/>
          <w:color w:val="151414"/>
          <w:spacing w:val="5"/>
          <w:sz w:val="23"/>
          <w:szCs w:val="23"/>
        </w:rPr>
        <w:t>labor</w:t>
      </w:r>
      <w:proofErr w:type="spellEnd"/>
      <w:r w:rsidRPr="00AE5558">
        <w:rPr>
          <w:rFonts w:ascii="proxima-nova" w:eastAsia="Times New Roman" w:hAnsi="proxima-nova" w:cs="Times New Roman"/>
          <w:color w:val="151414"/>
          <w:spacing w:val="5"/>
          <w:sz w:val="23"/>
          <w:szCs w:val="23"/>
        </w:rPr>
        <w:t xml:space="preserve">. Overhead is applied based on the amount of </w:t>
      </w:r>
      <w:hyperlink r:id="rId9" w:history="1">
        <w:r w:rsidRPr="00AE5558">
          <w:rPr>
            <w:rFonts w:ascii="proxima-nova" w:eastAsia="Times New Roman" w:hAnsi="proxima-nova" w:cs="Times New Roman"/>
            <w:color w:val="0D6ECE"/>
            <w:spacing w:val="5"/>
            <w:sz w:val="23"/>
            <w:szCs w:val="23"/>
            <w:u w:val="single"/>
          </w:rPr>
          <w:t xml:space="preserve">direct </w:t>
        </w:r>
        <w:proofErr w:type="spellStart"/>
        <w:r w:rsidRPr="00AE5558">
          <w:rPr>
            <w:rFonts w:ascii="proxima-nova" w:eastAsia="Times New Roman" w:hAnsi="proxima-nova" w:cs="Times New Roman"/>
            <w:color w:val="0D6ECE"/>
            <w:spacing w:val="5"/>
            <w:sz w:val="23"/>
            <w:szCs w:val="23"/>
            <w:u w:val="single"/>
          </w:rPr>
          <w:t>labor</w:t>
        </w:r>
        <w:proofErr w:type="spellEnd"/>
      </w:hyperlink>
      <w:r w:rsidRPr="00AE5558">
        <w:rPr>
          <w:rFonts w:ascii="proxima-nova" w:eastAsia="Times New Roman" w:hAnsi="proxima-nova" w:cs="Times New Roman"/>
          <w:color w:val="151414"/>
          <w:spacing w:val="5"/>
          <w:sz w:val="23"/>
          <w:szCs w:val="23"/>
        </w:rPr>
        <w:t xml:space="preserve"> consumed by a unit of production. This is an easy calculation, for there is usually an industrial engineering standard already in place that documents the amount of direct </w:t>
      </w:r>
      <w:proofErr w:type="spellStart"/>
      <w:r w:rsidRPr="00AE5558">
        <w:rPr>
          <w:rFonts w:ascii="proxima-nova" w:eastAsia="Times New Roman" w:hAnsi="proxima-nova" w:cs="Times New Roman"/>
          <w:color w:val="151414"/>
          <w:spacing w:val="5"/>
          <w:sz w:val="23"/>
          <w:szCs w:val="23"/>
        </w:rPr>
        <w:t>labor</w:t>
      </w:r>
      <w:proofErr w:type="spellEnd"/>
      <w:r w:rsidRPr="00AE5558">
        <w:rPr>
          <w:rFonts w:ascii="proxima-nova" w:eastAsia="Times New Roman" w:hAnsi="proxima-nova" w:cs="Times New Roman"/>
          <w:color w:val="151414"/>
          <w:spacing w:val="5"/>
          <w:sz w:val="23"/>
          <w:szCs w:val="23"/>
        </w:rPr>
        <w:t xml:space="preserve"> associated with a product. However, the amount of direct </w:t>
      </w:r>
      <w:proofErr w:type="spellStart"/>
      <w:r w:rsidRPr="00AE5558">
        <w:rPr>
          <w:rFonts w:ascii="proxima-nova" w:eastAsia="Times New Roman" w:hAnsi="proxima-nova" w:cs="Times New Roman"/>
          <w:color w:val="151414"/>
          <w:spacing w:val="5"/>
          <w:sz w:val="23"/>
          <w:szCs w:val="23"/>
        </w:rPr>
        <w:t>labor</w:t>
      </w:r>
      <w:proofErr w:type="spellEnd"/>
      <w:r w:rsidRPr="00AE5558">
        <w:rPr>
          <w:rFonts w:ascii="proxima-nova" w:eastAsia="Times New Roman" w:hAnsi="proxima-nova" w:cs="Times New Roman"/>
          <w:color w:val="151414"/>
          <w:spacing w:val="5"/>
          <w:sz w:val="23"/>
          <w:szCs w:val="23"/>
        </w:rPr>
        <w:t xml:space="preserve"> consumed may be far smaller than the amount of factory overhead, which can result in large allocations based on small amounts of direct </w:t>
      </w:r>
      <w:proofErr w:type="spellStart"/>
      <w:r w:rsidRPr="00AE5558">
        <w:rPr>
          <w:rFonts w:ascii="proxima-nova" w:eastAsia="Times New Roman" w:hAnsi="proxima-nova" w:cs="Times New Roman"/>
          <w:color w:val="151414"/>
          <w:spacing w:val="5"/>
          <w:sz w:val="23"/>
          <w:szCs w:val="23"/>
        </w:rPr>
        <w:t>labor</w:t>
      </w:r>
      <w:proofErr w:type="spellEnd"/>
      <w:r w:rsidRPr="00AE5558">
        <w:rPr>
          <w:rFonts w:ascii="proxima-nova" w:eastAsia="Times New Roman" w:hAnsi="proxima-nova" w:cs="Times New Roman"/>
          <w:color w:val="151414"/>
          <w:spacing w:val="5"/>
          <w:sz w:val="23"/>
          <w:szCs w:val="23"/>
        </w:rPr>
        <w:t xml:space="preserve"> cost. This can cause large swings in cost allocations if direct </w:t>
      </w:r>
      <w:proofErr w:type="spellStart"/>
      <w:r w:rsidRPr="00AE5558">
        <w:rPr>
          <w:rFonts w:ascii="proxima-nova" w:eastAsia="Times New Roman" w:hAnsi="proxima-nova" w:cs="Times New Roman"/>
          <w:color w:val="151414"/>
          <w:spacing w:val="5"/>
          <w:sz w:val="23"/>
          <w:szCs w:val="23"/>
        </w:rPr>
        <w:t>labor</w:t>
      </w:r>
      <w:proofErr w:type="spellEnd"/>
      <w:r w:rsidRPr="00AE5558">
        <w:rPr>
          <w:rFonts w:ascii="proxima-nova" w:eastAsia="Times New Roman" w:hAnsi="proxima-nova" w:cs="Times New Roman"/>
          <w:color w:val="151414"/>
          <w:spacing w:val="5"/>
          <w:sz w:val="23"/>
          <w:szCs w:val="23"/>
        </w:rPr>
        <w:t xml:space="preserve"> totals change by only a small amount.</w:t>
      </w:r>
    </w:p>
    <w:p w14:paraId="39420691" w14:textId="77777777" w:rsidR="00AE5558" w:rsidRPr="00AE5558" w:rsidRDefault="00AE5558" w:rsidP="00AE5558">
      <w:pPr>
        <w:numPr>
          <w:ilvl w:val="0"/>
          <w:numId w:val="1"/>
        </w:numPr>
        <w:shd w:val="clear" w:color="auto" w:fill="FFFFFF"/>
        <w:spacing w:before="120" w:after="120" w:line="384" w:lineRule="atLeast"/>
        <w:rPr>
          <w:rFonts w:ascii="proxima-nova" w:eastAsia="Times New Roman" w:hAnsi="proxima-nova" w:cs="Times New Roman"/>
          <w:color w:val="151414"/>
          <w:spacing w:val="5"/>
          <w:sz w:val="23"/>
          <w:szCs w:val="23"/>
        </w:rPr>
      </w:pPr>
      <w:r w:rsidRPr="00AE5558">
        <w:rPr>
          <w:rFonts w:ascii="proxima-nova" w:eastAsia="Times New Roman" w:hAnsi="proxima-nova" w:cs="Times New Roman"/>
          <w:i/>
          <w:iCs/>
          <w:color w:val="151414"/>
          <w:spacing w:val="5"/>
          <w:sz w:val="23"/>
          <w:szCs w:val="23"/>
        </w:rPr>
        <w:t>Machine time</w:t>
      </w:r>
      <w:r w:rsidRPr="00AE5558">
        <w:rPr>
          <w:rFonts w:ascii="proxima-nova" w:eastAsia="Times New Roman" w:hAnsi="proxima-nova" w:cs="Times New Roman"/>
          <w:color w:val="151414"/>
          <w:spacing w:val="5"/>
          <w:sz w:val="23"/>
          <w:szCs w:val="23"/>
        </w:rPr>
        <w:t xml:space="preserve">. Another </w:t>
      </w:r>
      <w:proofErr w:type="spellStart"/>
      <w:r w:rsidRPr="00AE5558">
        <w:rPr>
          <w:rFonts w:ascii="proxima-nova" w:eastAsia="Times New Roman" w:hAnsi="proxima-nova" w:cs="Times New Roman"/>
          <w:color w:val="151414"/>
          <w:spacing w:val="5"/>
          <w:sz w:val="23"/>
          <w:szCs w:val="23"/>
        </w:rPr>
        <w:t>favorite</w:t>
      </w:r>
      <w:proofErr w:type="spellEnd"/>
      <w:r w:rsidRPr="00AE5558">
        <w:rPr>
          <w:rFonts w:ascii="proxima-nova" w:eastAsia="Times New Roman" w:hAnsi="proxima-nova" w:cs="Times New Roman"/>
          <w:color w:val="151414"/>
          <w:spacing w:val="5"/>
          <w:sz w:val="23"/>
          <w:szCs w:val="23"/>
        </w:rPr>
        <w:t xml:space="preserve"> is cost allocations based on the amount of machine time used by a product. As was the case for direct </w:t>
      </w:r>
      <w:proofErr w:type="spellStart"/>
      <w:r w:rsidRPr="00AE5558">
        <w:rPr>
          <w:rFonts w:ascii="proxima-nova" w:eastAsia="Times New Roman" w:hAnsi="proxima-nova" w:cs="Times New Roman"/>
          <w:color w:val="151414"/>
          <w:spacing w:val="5"/>
          <w:sz w:val="23"/>
          <w:szCs w:val="23"/>
        </w:rPr>
        <w:t>labor</w:t>
      </w:r>
      <w:proofErr w:type="spellEnd"/>
      <w:r w:rsidRPr="00AE5558">
        <w:rPr>
          <w:rFonts w:ascii="proxima-nova" w:eastAsia="Times New Roman" w:hAnsi="proxima-nova" w:cs="Times New Roman"/>
          <w:color w:val="151414"/>
          <w:spacing w:val="5"/>
          <w:sz w:val="23"/>
          <w:szCs w:val="23"/>
        </w:rPr>
        <w:t>, the reason for this popularity is that the standard amount of machine time used is already available in the form of industrial engineering documentation.</w:t>
      </w:r>
    </w:p>
    <w:p w14:paraId="3502BF5E" w14:textId="77777777" w:rsidR="00AE5558" w:rsidRPr="00AE5558" w:rsidRDefault="00AE5558" w:rsidP="00AE5558">
      <w:pPr>
        <w:numPr>
          <w:ilvl w:val="0"/>
          <w:numId w:val="1"/>
        </w:numPr>
        <w:shd w:val="clear" w:color="auto" w:fill="FFFFFF"/>
        <w:spacing w:before="120" w:after="120" w:line="384" w:lineRule="atLeast"/>
        <w:rPr>
          <w:rFonts w:ascii="proxima-nova" w:eastAsia="Times New Roman" w:hAnsi="proxima-nova" w:cs="Times New Roman"/>
          <w:color w:val="151414"/>
          <w:spacing w:val="5"/>
          <w:sz w:val="23"/>
          <w:szCs w:val="23"/>
        </w:rPr>
      </w:pPr>
      <w:r w:rsidRPr="00AE5558">
        <w:rPr>
          <w:rFonts w:ascii="proxima-nova" w:eastAsia="Times New Roman" w:hAnsi="proxima-nova" w:cs="Times New Roman"/>
          <w:i/>
          <w:iCs/>
          <w:color w:val="151414"/>
          <w:spacing w:val="5"/>
          <w:sz w:val="23"/>
          <w:szCs w:val="23"/>
        </w:rPr>
        <w:t>Square footage</w:t>
      </w:r>
      <w:r w:rsidRPr="00AE5558">
        <w:rPr>
          <w:rFonts w:ascii="proxima-nova" w:eastAsia="Times New Roman" w:hAnsi="proxima-nova" w:cs="Times New Roman"/>
          <w:color w:val="151414"/>
          <w:spacing w:val="5"/>
          <w:sz w:val="23"/>
          <w:szCs w:val="23"/>
        </w:rPr>
        <w:t xml:space="preserve">. It may be useful to separate out those overhead costs related to </w:t>
      </w:r>
      <w:hyperlink r:id="rId10" w:history="1">
        <w:r w:rsidRPr="00AE5558">
          <w:rPr>
            <w:rFonts w:ascii="proxima-nova" w:eastAsia="Times New Roman" w:hAnsi="proxima-nova" w:cs="Times New Roman"/>
            <w:color w:val="0D6ECE"/>
            <w:spacing w:val="5"/>
            <w:sz w:val="23"/>
            <w:szCs w:val="23"/>
            <w:u w:val="single"/>
          </w:rPr>
          <w:t>inventory</w:t>
        </w:r>
      </w:hyperlink>
      <w:r w:rsidRPr="00AE5558">
        <w:rPr>
          <w:rFonts w:ascii="proxima-nova" w:eastAsia="Times New Roman" w:hAnsi="proxima-nova" w:cs="Times New Roman"/>
          <w:color w:val="151414"/>
          <w:spacing w:val="5"/>
          <w:sz w:val="23"/>
          <w:szCs w:val="23"/>
        </w:rPr>
        <w:t xml:space="preserve"> storage, and allocate these costs based on the number of square feet of storage space used by each product. While this is a more accurate way to associate certain overhead costs with products, it can be difficult to track, especially when inventory levels are constantly changing. Another concern is that square footage is only two dimensional. A more accurate approach would be to allocate costs based on cubic feet of storage space consumed.</w:t>
      </w:r>
    </w:p>
    <w:p w14:paraId="4574590F" w14:textId="77777777" w:rsidR="00AE5558" w:rsidRPr="00AE5558" w:rsidRDefault="00AE5558" w:rsidP="00AE5558">
      <w:pPr>
        <w:shd w:val="clear" w:color="auto" w:fill="FFFFFF"/>
        <w:spacing w:before="360" w:after="360" w:line="384" w:lineRule="atLeast"/>
        <w:rPr>
          <w:rFonts w:ascii="proxima-nova" w:eastAsia="Times New Roman" w:hAnsi="proxima-nova" w:cs="Times New Roman"/>
          <w:color w:val="151414"/>
          <w:spacing w:val="5"/>
          <w:sz w:val="23"/>
          <w:szCs w:val="23"/>
        </w:rPr>
      </w:pPr>
      <w:r w:rsidRPr="00AE5558">
        <w:rPr>
          <w:rFonts w:ascii="proxima-nova" w:eastAsia="Times New Roman" w:hAnsi="proxima-nova" w:cs="Times New Roman"/>
          <w:color w:val="151414"/>
          <w:spacing w:val="5"/>
          <w:sz w:val="23"/>
          <w:szCs w:val="23"/>
        </w:rPr>
        <w:t xml:space="preserve">It is also possible that corporate headquarters costs are to be allocated to the </w:t>
      </w:r>
      <w:hyperlink r:id="rId11" w:history="1">
        <w:r w:rsidRPr="00AE5558">
          <w:rPr>
            <w:rFonts w:ascii="proxima-nova" w:eastAsia="Times New Roman" w:hAnsi="proxima-nova" w:cs="Times New Roman"/>
            <w:color w:val="0D6ECE"/>
            <w:spacing w:val="5"/>
            <w:sz w:val="23"/>
            <w:szCs w:val="23"/>
            <w:u w:val="single"/>
          </w:rPr>
          <w:t>subsidiaries</w:t>
        </w:r>
      </w:hyperlink>
      <w:r w:rsidRPr="00AE5558">
        <w:rPr>
          <w:rFonts w:ascii="proxima-nova" w:eastAsia="Times New Roman" w:hAnsi="proxima-nova" w:cs="Times New Roman"/>
          <w:color w:val="151414"/>
          <w:spacing w:val="5"/>
          <w:sz w:val="23"/>
          <w:szCs w:val="23"/>
        </w:rPr>
        <w:t xml:space="preserve"> of a multi-division company. If so, a number of possible allocation methods have been used, including the following:</w:t>
      </w:r>
    </w:p>
    <w:p w14:paraId="1B895B1C" w14:textId="77777777" w:rsidR="00AE5558" w:rsidRPr="00AE5558" w:rsidRDefault="00AE5558" w:rsidP="00AE5558">
      <w:pPr>
        <w:numPr>
          <w:ilvl w:val="0"/>
          <w:numId w:val="2"/>
        </w:numPr>
        <w:shd w:val="clear" w:color="auto" w:fill="FFFFFF"/>
        <w:spacing w:before="120" w:after="120" w:line="384" w:lineRule="atLeast"/>
        <w:rPr>
          <w:rFonts w:ascii="proxima-nova" w:eastAsia="Times New Roman" w:hAnsi="proxima-nova" w:cs="Times New Roman"/>
          <w:color w:val="151414"/>
          <w:spacing w:val="5"/>
          <w:sz w:val="23"/>
          <w:szCs w:val="23"/>
        </w:rPr>
      </w:pPr>
      <w:r w:rsidRPr="00AE5558">
        <w:rPr>
          <w:rFonts w:ascii="proxima-nova" w:eastAsia="Times New Roman" w:hAnsi="proxima-nova" w:cs="Times New Roman"/>
          <w:i/>
          <w:iCs/>
          <w:color w:val="151414"/>
          <w:spacing w:val="5"/>
          <w:sz w:val="23"/>
          <w:szCs w:val="23"/>
        </w:rPr>
        <w:t>Sales</w:t>
      </w:r>
      <w:r w:rsidRPr="00AE5558">
        <w:rPr>
          <w:rFonts w:ascii="proxima-nova" w:eastAsia="Times New Roman" w:hAnsi="proxima-nova" w:cs="Times New Roman"/>
          <w:color w:val="151414"/>
          <w:spacing w:val="5"/>
          <w:sz w:val="23"/>
          <w:szCs w:val="23"/>
        </w:rPr>
        <w:t xml:space="preserve">. Costs are apportioned based on the </w:t>
      </w:r>
      <w:hyperlink r:id="rId12" w:history="1">
        <w:r w:rsidRPr="00AE5558">
          <w:rPr>
            <w:rFonts w:ascii="proxima-nova" w:eastAsia="Times New Roman" w:hAnsi="proxima-nova" w:cs="Times New Roman"/>
            <w:color w:val="0D6ECE"/>
            <w:spacing w:val="5"/>
            <w:sz w:val="23"/>
            <w:szCs w:val="23"/>
            <w:u w:val="single"/>
          </w:rPr>
          <w:t>net sales</w:t>
        </w:r>
      </w:hyperlink>
      <w:r w:rsidRPr="00AE5558">
        <w:rPr>
          <w:rFonts w:ascii="proxima-nova" w:eastAsia="Times New Roman" w:hAnsi="proxima-nova" w:cs="Times New Roman"/>
          <w:color w:val="151414"/>
          <w:spacing w:val="5"/>
          <w:sz w:val="23"/>
          <w:szCs w:val="23"/>
        </w:rPr>
        <w:t xml:space="preserve"> reported by each entity. Since high sales volume does not necessarily equate to high </w:t>
      </w:r>
      <w:hyperlink r:id="rId13" w:history="1">
        <w:r w:rsidRPr="00AE5558">
          <w:rPr>
            <w:rFonts w:ascii="proxima-nova" w:eastAsia="Times New Roman" w:hAnsi="proxima-nova" w:cs="Times New Roman"/>
            <w:color w:val="0D6ECE"/>
            <w:spacing w:val="5"/>
            <w:sz w:val="23"/>
            <w:szCs w:val="23"/>
            <w:u w:val="single"/>
          </w:rPr>
          <w:t>profits</w:t>
        </w:r>
      </w:hyperlink>
      <w:r w:rsidRPr="00AE5558">
        <w:rPr>
          <w:rFonts w:ascii="proxima-nova" w:eastAsia="Times New Roman" w:hAnsi="proxima-nova" w:cs="Times New Roman"/>
          <w:color w:val="151414"/>
          <w:spacing w:val="5"/>
          <w:sz w:val="23"/>
          <w:szCs w:val="23"/>
        </w:rPr>
        <w:t xml:space="preserve">, this </w:t>
      </w:r>
      <w:r w:rsidRPr="00AE5558">
        <w:rPr>
          <w:rFonts w:ascii="proxima-nova" w:eastAsia="Times New Roman" w:hAnsi="proxima-nova" w:cs="Times New Roman"/>
          <w:color w:val="151414"/>
          <w:spacing w:val="5"/>
          <w:sz w:val="23"/>
          <w:szCs w:val="23"/>
        </w:rPr>
        <w:lastRenderedPageBreak/>
        <w:t>approach can result in a low-profit entity being burdened with a substantial corporate allocation.</w:t>
      </w:r>
    </w:p>
    <w:p w14:paraId="7F78FFA9" w14:textId="77777777" w:rsidR="00AE5558" w:rsidRPr="00AE5558" w:rsidRDefault="00AE5558" w:rsidP="00AE5558">
      <w:pPr>
        <w:numPr>
          <w:ilvl w:val="0"/>
          <w:numId w:val="2"/>
        </w:numPr>
        <w:shd w:val="clear" w:color="auto" w:fill="FFFFFF"/>
        <w:spacing w:before="120" w:after="120" w:line="384" w:lineRule="atLeast"/>
        <w:rPr>
          <w:rFonts w:ascii="proxima-nova" w:eastAsia="Times New Roman" w:hAnsi="proxima-nova" w:cs="Times New Roman"/>
          <w:color w:val="151414"/>
          <w:spacing w:val="5"/>
          <w:sz w:val="23"/>
          <w:szCs w:val="23"/>
        </w:rPr>
      </w:pPr>
      <w:r w:rsidRPr="00AE5558">
        <w:rPr>
          <w:rFonts w:ascii="proxima-nova" w:eastAsia="Times New Roman" w:hAnsi="proxima-nova" w:cs="Times New Roman"/>
          <w:i/>
          <w:iCs/>
          <w:color w:val="151414"/>
          <w:spacing w:val="5"/>
          <w:sz w:val="23"/>
          <w:szCs w:val="23"/>
        </w:rPr>
        <w:t>Profits</w:t>
      </w:r>
      <w:r w:rsidRPr="00AE5558">
        <w:rPr>
          <w:rFonts w:ascii="proxima-nova" w:eastAsia="Times New Roman" w:hAnsi="proxima-nova" w:cs="Times New Roman"/>
          <w:color w:val="151414"/>
          <w:spacing w:val="5"/>
          <w:sz w:val="23"/>
          <w:szCs w:val="23"/>
        </w:rPr>
        <w:t xml:space="preserve">. Costs are allocated based on the profits generated by each subsidiary. A problem is that high-profit entities will be charged with the bulk of all corporate expenses, so their inherent </w:t>
      </w:r>
      <w:hyperlink r:id="rId14" w:history="1">
        <w:r w:rsidRPr="00AE5558">
          <w:rPr>
            <w:rFonts w:ascii="proxima-nova" w:eastAsia="Times New Roman" w:hAnsi="proxima-nova" w:cs="Times New Roman"/>
            <w:color w:val="0D6ECE"/>
            <w:spacing w:val="5"/>
            <w:sz w:val="23"/>
            <w:szCs w:val="23"/>
            <w:u w:val="single"/>
          </w:rPr>
          <w:t>profitability</w:t>
        </w:r>
      </w:hyperlink>
      <w:r w:rsidRPr="00AE5558">
        <w:rPr>
          <w:rFonts w:ascii="proxima-nova" w:eastAsia="Times New Roman" w:hAnsi="proxima-nova" w:cs="Times New Roman"/>
          <w:color w:val="151414"/>
          <w:spacing w:val="5"/>
          <w:sz w:val="23"/>
          <w:szCs w:val="23"/>
        </w:rPr>
        <w:t xml:space="preserve"> will not be overly apparent when their results are viewed on a fully-burdened basis.</w:t>
      </w:r>
    </w:p>
    <w:p w14:paraId="5FF4E2F7" w14:textId="77777777" w:rsidR="00AE5558" w:rsidRPr="00AE5558" w:rsidRDefault="00AE5558" w:rsidP="00AE5558">
      <w:pPr>
        <w:numPr>
          <w:ilvl w:val="0"/>
          <w:numId w:val="2"/>
        </w:numPr>
        <w:shd w:val="clear" w:color="auto" w:fill="FFFFFF"/>
        <w:spacing w:before="120" w:after="120" w:line="384" w:lineRule="atLeast"/>
        <w:rPr>
          <w:rFonts w:ascii="proxima-nova" w:eastAsia="Times New Roman" w:hAnsi="proxima-nova" w:cs="Times New Roman"/>
          <w:color w:val="151414"/>
          <w:spacing w:val="5"/>
          <w:sz w:val="23"/>
          <w:szCs w:val="23"/>
        </w:rPr>
      </w:pPr>
      <w:r w:rsidRPr="00AE5558">
        <w:rPr>
          <w:rFonts w:ascii="proxima-nova" w:eastAsia="Times New Roman" w:hAnsi="proxima-nova" w:cs="Times New Roman"/>
          <w:i/>
          <w:iCs/>
          <w:color w:val="151414"/>
          <w:spacing w:val="5"/>
          <w:sz w:val="23"/>
          <w:szCs w:val="23"/>
        </w:rPr>
        <w:t>Headcount</w:t>
      </w:r>
      <w:r w:rsidRPr="00AE5558">
        <w:rPr>
          <w:rFonts w:ascii="proxima-nova" w:eastAsia="Times New Roman" w:hAnsi="proxima-nova" w:cs="Times New Roman"/>
          <w:color w:val="151414"/>
          <w:spacing w:val="5"/>
          <w:sz w:val="23"/>
          <w:szCs w:val="23"/>
        </w:rPr>
        <w:t xml:space="preserve">. This is the most specious basis of allocation, for some entities can generate sales and profits with few staff, while others require massive numbers of </w:t>
      </w:r>
      <w:hyperlink r:id="rId15" w:history="1">
        <w:r w:rsidRPr="00AE5558">
          <w:rPr>
            <w:rFonts w:ascii="proxima-nova" w:eastAsia="Times New Roman" w:hAnsi="proxima-nova" w:cs="Times New Roman"/>
            <w:color w:val="0D6ECE"/>
            <w:spacing w:val="5"/>
            <w:sz w:val="23"/>
            <w:szCs w:val="23"/>
            <w:u w:val="single"/>
          </w:rPr>
          <w:t>employees</w:t>
        </w:r>
      </w:hyperlink>
      <w:r w:rsidRPr="00AE5558">
        <w:rPr>
          <w:rFonts w:ascii="proxima-nova" w:eastAsia="Times New Roman" w:hAnsi="proxima-nova" w:cs="Times New Roman"/>
          <w:color w:val="151414"/>
          <w:spacing w:val="5"/>
          <w:sz w:val="23"/>
          <w:szCs w:val="23"/>
        </w:rPr>
        <w:t>. Also, a large number of low-paid employees might attract a large cost allocation, while another subsidiary with a much smaller number of higher-paid employees would attract a comparatively smaller charge.</w:t>
      </w:r>
    </w:p>
    <w:p w14:paraId="50B3FF36" w14:textId="77777777" w:rsidR="00AE5558" w:rsidRPr="00AE5558" w:rsidRDefault="00AE5558" w:rsidP="00AE5558">
      <w:pPr>
        <w:shd w:val="clear" w:color="auto" w:fill="FFFFFF"/>
        <w:spacing w:before="360" w:after="360" w:line="384" w:lineRule="atLeast"/>
        <w:rPr>
          <w:rFonts w:ascii="proxima-nova" w:eastAsia="Times New Roman" w:hAnsi="proxima-nova" w:cs="Times New Roman"/>
          <w:color w:val="151414"/>
          <w:spacing w:val="5"/>
          <w:sz w:val="23"/>
          <w:szCs w:val="23"/>
        </w:rPr>
      </w:pPr>
      <w:r w:rsidRPr="00AE5558">
        <w:rPr>
          <w:rFonts w:ascii="proxima-nova" w:eastAsia="Times New Roman" w:hAnsi="proxima-nova" w:cs="Times New Roman"/>
          <w:color w:val="151414"/>
          <w:spacing w:val="5"/>
          <w:sz w:val="23"/>
          <w:szCs w:val="23"/>
        </w:rPr>
        <w:t xml:space="preserve">When deciding upon which cost allocation method to use, keep in mind that none of these methods will achieve a close relationship between the allocated costs and the </w:t>
      </w:r>
      <w:hyperlink r:id="rId16" w:history="1">
        <w:r w:rsidRPr="00AE5558">
          <w:rPr>
            <w:rFonts w:ascii="proxima-nova" w:eastAsia="Times New Roman" w:hAnsi="proxima-nova" w:cs="Times New Roman"/>
            <w:color w:val="0D6ECE"/>
            <w:spacing w:val="5"/>
            <w:sz w:val="23"/>
            <w:szCs w:val="23"/>
            <w:u w:val="single"/>
          </w:rPr>
          <w:t>cost objects</w:t>
        </w:r>
      </w:hyperlink>
      <w:r w:rsidRPr="00AE5558">
        <w:rPr>
          <w:rFonts w:ascii="proxima-nova" w:eastAsia="Times New Roman" w:hAnsi="proxima-nova" w:cs="Times New Roman"/>
          <w:color w:val="151414"/>
          <w:spacing w:val="5"/>
          <w:sz w:val="23"/>
          <w:szCs w:val="23"/>
        </w:rPr>
        <w:t xml:space="preserve"> to which they have been applied. Consequently, it is best to use the simplest method available, and not worry about a high level of allocation precision.</w:t>
      </w:r>
    </w:p>
    <w:p w14:paraId="67893F4D" w14:textId="77777777" w:rsidR="00AE5558" w:rsidRDefault="00AE5558"/>
    <w:sectPr w:rsidR="00AE55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proxima-nova">
    <w:altName w:val="Cambria"/>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932E5"/>
    <w:multiLevelType w:val="multilevel"/>
    <w:tmpl w:val="7B7EF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3124E5"/>
    <w:multiLevelType w:val="multilevel"/>
    <w:tmpl w:val="4DCE4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558"/>
    <w:rsid w:val="009B3F3F"/>
    <w:rsid w:val="00AE55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2E271"/>
  <w15:chartTrackingRefBased/>
  <w15:docId w15:val="{22E40123-F23F-4D5D-B251-2A07287E9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countingtools.com/articles/2017/5/7/accounting-framework" TargetMode="External"/><Relationship Id="rId13" Type="http://schemas.openxmlformats.org/officeDocument/2006/relationships/hyperlink" Target="https://www.accountingtools.com/articles/2017/5/14/profi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accountingtools.com/articles/2017/5/10/financial-statements" TargetMode="External"/><Relationship Id="rId12" Type="http://schemas.openxmlformats.org/officeDocument/2006/relationships/hyperlink" Target="https://www.accountingtools.com/articles/2017/5/12/net-sal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accountingtools.com/articles/2017/5/4/cost-object" TargetMode="External"/><Relationship Id="rId1" Type="http://schemas.openxmlformats.org/officeDocument/2006/relationships/numbering" Target="numbering.xml"/><Relationship Id="rId6" Type="http://schemas.openxmlformats.org/officeDocument/2006/relationships/hyperlink" Target="https://www.accountingtools.com/articles/2017/5/9/factory-overhead" TargetMode="External"/><Relationship Id="rId11" Type="http://schemas.openxmlformats.org/officeDocument/2006/relationships/hyperlink" Target="https://www.accountingtools.com/articles/2017/5/16/subsidiary-company" TargetMode="External"/><Relationship Id="rId5" Type="http://schemas.openxmlformats.org/officeDocument/2006/relationships/hyperlink" Target="https://www.accountingtools.com/articles/2017/5/5/allocation" TargetMode="External"/><Relationship Id="rId15" Type="http://schemas.openxmlformats.org/officeDocument/2006/relationships/hyperlink" Target="https://www.accountingtools.com/articles/2017/5/4/definition-of-an-employee" TargetMode="External"/><Relationship Id="rId10" Type="http://schemas.openxmlformats.org/officeDocument/2006/relationships/hyperlink" Target="https://www.accountingtools.com/articles/2017/5/13/inventory" TargetMode="External"/><Relationship Id="rId4" Type="http://schemas.openxmlformats.org/officeDocument/2006/relationships/webSettings" Target="webSettings.xml"/><Relationship Id="rId9" Type="http://schemas.openxmlformats.org/officeDocument/2006/relationships/hyperlink" Target="https://www.accountingtools.com/articles/2017/5/6/direct-labor" TargetMode="External"/><Relationship Id="rId14" Type="http://schemas.openxmlformats.org/officeDocument/2006/relationships/hyperlink" Target="https://www.accountingtools.com/articles/2017/5/14/profit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631</Words>
  <Characters>3599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Pitson</dc:creator>
  <cp:keywords/>
  <dc:description/>
  <cp:lastModifiedBy>Marie Pitson</cp:lastModifiedBy>
  <cp:revision>1</cp:revision>
  <dcterms:created xsi:type="dcterms:W3CDTF">2021-11-22T09:01:00Z</dcterms:created>
  <dcterms:modified xsi:type="dcterms:W3CDTF">2021-11-22T12:41:00Z</dcterms:modified>
</cp:coreProperties>
</file>