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BDEC478"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1932C643" wp14:editId="4BECBF8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80"/>
              <w:szCs w:val="80"/>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3D11FE6E" w14:textId="3FEE9E86" w:rsidR="007D1947" w:rsidRPr="00C846EE" w:rsidRDefault="00CC4614" w:rsidP="00C846EE">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C846EE">
                <w:rPr>
                  <w:rFonts w:asciiTheme="majorHAnsi" w:eastAsiaTheme="majorEastAsia" w:hAnsiTheme="majorHAnsi" w:cstheme="majorBidi"/>
                  <w:caps/>
                  <w:color w:val="5B9BD5" w:themeColor="accent1"/>
                  <w:sz w:val="80"/>
                  <w:szCs w:val="80"/>
                </w:rPr>
                <w:t>Hilton HOT</w:t>
              </w:r>
              <w:r w:rsidR="0046412B">
                <w:rPr>
                  <w:rFonts w:asciiTheme="majorHAnsi" w:eastAsiaTheme="majorEastAsia" w:hAnsiTheme="majorHAnsi" w:cstheme="majorBidi"/>
                  <w:caps/>
                  <w:color w:val="5B9BD5" w:themeColor="accent1"/>
                  <w:sz w:val="80"/>
                  <w:szCs w:val="80"/>
                </w:rPr>
                <w:t>el</w:t>
              </w:r>
            </w:p>
          </w:sdtContent>
        </w:sdt>
        <w:p w14:paraId="765A889E"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60288" behindDoc="0" locked="0" layoutInCell="1" allowOverlap="1" wp14:anchorId="547C4096" wp14:editId="3DC68A3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5-31T00:00:00Z">
                                    <w:dateFormat w:val="MMMM d, yyyy"/>
                                    <w:lid w:val="en-US"/>
                                    <w:storeMappedDataAs w:val="dateTime"/>
                                    <w:calendar w:val="gregorian"/>
                                  </w:date>
                                </w:sdtPr>
                                <w:sdtEndPr/>
                                <w:sdtContent>
                                  <w:p w14:paraId="5DA3BD92" w14:textId="69B061E6" w:rsidR="007D1947" w:rsidRDefault="00C5209E">
                                    <w:pPr>
                                      <w:pStyle w:val="NoSpacing"/>
                                      <w:spacing w:after="40"/>
                                      <w:jc w:val="center"/>
                                      <w:rPr>
                                        <w:caps/>
                                        <w:color w:val="5B9BD5" w:themeColor="accent1"/>
                                        <w:sz w:val="28"/>
                                        <w:szCs w:val="28"/>
                                      </w:rPr>
                                    </w:pPr>
                                    <w:r>
                                      <w:rPr>
                                        <w:caps/>
                                        <w:color w:val="5B9BD5" w:themeColor="accent1"/>
                                        <w:sz w:val="28"/>
                                        <w:szCs w:val="28"/>
                                      </w:rPr>
                                      <w:t>May 31, 2022</w:t>
                                    </w:r>
                                  </w:p>
                                </w:sdtContent>
                              </w:sdt>
                              <w:p w14:paraId="6DAC6D9E" w14:textId="77777777" w:rsidR="007D1947" w:rsidRDefault="009D0E3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AF62F9A" w14:textId="77777777" w:rsidR="007D1947" w:rsidRDefault="009D0E3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47C409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028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5-31T00:00:00Z">
                              <w:dateFormat w:val="MMMM d, yyyy"/>
                              <w:lid w:val="en-US"/>
                              <w:storeMappedDataAs w:val="dateTime"/>
                              <w:calendar w:val="gregorian"/>
                            </w:date>
                          </w:sdtPr>
                          <w:sdtEndPr/>
                          <w:sdtContent>
                            <w:p w14:paraId="5DA3BD92" w14:textId="69B061E6" w:rsidR="007D1947" w:rsidRDefault="00C5209E">
                              <w:pPr>
                                <w:pStyle w:val="NoSpacing"/>
                                <w:spacing w:after="40"/>
                                <w:jc w:val="center"/>
                                <w:rPr>
                                  <w:caps/>
                                  <w:color w:val="5B9BD5" w:themeColor="accent1"/>
                                  <w:sz w:val="28"/>
                                  <w:szCs w:val="28"/>
                                </w:rPr>
                              </w:pPr>
                              <w:r>
                                <w:rPr>
                                  <w:caps/>
                                  <w:color w:val="5B9BD5" w:themeColor="accent1"/>
                                  <w:sz w:val="28"/>
                                  <w:szCs w:val="28"/>
                                </w:rPr>
                                <w:t>May 31, 2022</w:t>
                              </w:r>
                            </w:p>
                          </w:sdtContent>
                        </w:sdt>
                        <w:p w14:paraId="6DAC6D9E" w14:textId="77777777" w:rsidR="007D1947" w:rsidRDefault="009D0E3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AF62F9A" w14:textId="77777777" w:rsidR="007D1947" w:rsidRDefault="009D0E3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04B14404" wp14:editId="1F8AED6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CD23429" w14:textId="77777777" w:rsidR="0046412B" w:rsidRDefault="0046412B">
          <w:pPr>
            <w:pStyle w:val="NoSpacing"/>
            <w:spacing w:before="480"/>
            <w:jc w:val="center"/>
            <w:rPr>
              <w:color w:val="5B9BD5" w:themeColor="accent1"/>
            </w:rPr>
          </w:pPr>
        </w:p>
        <w:p w14:paraId="4A295D2B" w14:textId="710DFCA0" w:rsidR="0010588B" w:rsidRDefault="0010588B" w:rsidP="0010588B">
          <w:pPr>
            <w:pStyle w:val="Heading1"/>
          </w:pPr>
          <w:bookmarkStart w:id="0" w:name="_Toc104879800"/>
          <w:bookmarkStart w:id="1" w:name="_Toc104988599"/>
          <w:bookmarkStart w:id="2" w:name="_Toc104988745"/>
          <w:bookmarkStart w:id="3" w:name="_Toc104989043"/>
          <w:bookmarkStart w:id="4" w:name="_Toc104989309"/>
          <w:bookmarkStart w:id="5" w:name="_Toc104989797"/>
          <w:r>
            <w:t>Student Name: Zsanett Babos</w:t>
          </w:r>
          <w:bookmarkEnd w:id="1"/>
          <w:bookmarkEnd w:id="2"/>
          <w:bookmarkEnd w:id="3"/>
          <w:bookmarkEnd w:id="4"/>
          <w:bookmarkEnd w:id="5"/>
        </w:p>
        <w:p w14:paraId="5ACB613C" w14:textId="2C3F16F9" w:rsidR="0010588B" w:rsidRDefault="0010588B" w:rsidP="00C5209E">
          <w:pPr>
            <w:pStyle w:val="Heading1"/>
          </w:pPr>
          <w:bookmarkStart w:id="6" w:name="_Toc104988600"/>
          <w:bookmarkStart w:id="7" w:name="_Toc104988746"/>
          <w:bookmarkStart w:id="8" w:name="_Toc104989044"/>
          <w:bookmarkStart w:id="9" w:name="_Toc104989310"/>
          <w:bookmarkStart w:id="10" w:name="_Toc104989798"/>
          <w:r>
            <w:t>Student ID number: 2020456</w:t>
          </w:r>
          <w:bookmarkEnd w:id="6"/>
          <w:bookmarkEnd w:id="7"/>
          <w:bookmarkEnd w:id="8"/>
          <w:bookmarkEnd w:id="9"/>
          <w:bookmarkEnd w:id="10"/>
        </w:p>
        <w:p w14:paraId="01588B39" w14:textId="77777777" w:rsidR="0010588B" w:rsidRDefault="0010588B" w:rsidP="00C5209E">
          <w:pPr>
            <w:pStyle w:val="Heading1"/>
          </w:pPr>
        </w:p>
        <w:p w14:paraId="6F2725A9" w14:textId="475E2259" w:rsidR="00C5209E" w:rsidRDefault="001E0165" w:rsidP="00C5209E">
          <w:pPr>
            <w:pStyle w:val="Heading1"/>
          </w:pPr>
          <w:bookmarkStart w:id="11" w:name="_Toc104988601"/>
          <w:bookmarkStart w:id="12" w:name="_Toc104988747"/>
          <w:bookmarkStart w:id="13" w:name="_Toc104989045"/>
          <w:bookmarkStart w:id="14" w:name="_Toc104989311"/>
          <w:bookmarkStart w:id="15" w:name="_Toc104989799"/>
          <w:r>
            <w:t>Module:  Financial Management</w:t>
          </w:r>
          <w:bookmarkStart w:id="16" w:name="_Toc104879801"/>
          <w:bookmarkEnd w:id="0"/>
          <w:bookmarkEnd w:id="11"/>
          <w:bookmarkEnd w:id="12"/>
          <w:bookmarkEnd w:id="13"/>
          <w:bookmarkEnd w:id="14"/>
          <w:bookmarkEnd w:id="15"/>
        </w:p>
        <w:p w14:paraId="34DA05F2" w14:textId="0B612321" w:rsidR="0010588B" w:rsidRDefault="00D7320E" w:rsidP="00C5209E">
          <w:pPr>
            <w:pStyle w:val="Heading1"/>
          </w:pPr>
          <w:bookmarkStart w:id="17" w:name="_Toc104988602"/>
          <w:bookmarkStart w:id="18" w:name="_Toc104988748"/>
          <w:bookmarkStart w:id="19" w:name="_Toc104989046"/>
          <w:bookmarkStart w:id="20" w:name="_Toc104989312"/>
          <w:bookmarkStart w:id="21" w:name="_Toc104989800"/>
          <w:r>
            <w:t>Module cod</w:t>
          </w:r>
          <w:r w:rsidR="00C5209E">
            <w:t xml:space="preserve">e: </w:t>
          </w:r>
          <w:r w:rsidR="0010588B">
            <w:t>BMIH5007</w:t>
          </w:r>
          <w:bookmarkEnd w:id="17"/>
          <w:bookmarkEnd w:id="18"/>
          <w:bookmarkEnd w:id="19"/>
          <w:bookmarkEnd w:id="20"/>
          <w:bookmarkEnd w:id="21"/>
        </w:p>
        <w:p w14:paraId="288D6635" w14:textId="5396C217" w:rsidR="0010588B" w:rsidRDefault="0010588B" w:rsidP="0010588B"/>
        <w:p w14:paraId="59A0C718" w14:textId="0802BC4A" w:rsidR="0010588B" w:rsidRDefault="0010588B" w:rsidP="0010588B"/>
        <w:p w14:paraId="6BFE0AD1" w14:textId="1FA58BD3" w:rsidR="0010588B" w:rsidRPr="0010588B" w:rsidRDefault="0010588B" w:rsidP="0010588B">
          <w:pPr>
            <w:pStyle w:val="Heading1"/>
          </w:pPr>
          <w:bookmarkStart w:id="22" w:name="_Toc104988603"/>
          <w:bookmarkStart w:id="23" w:name="_Toc104988749"/>
          <w:bookmarkStart w:id="24" w:name="_Toc104989047"/>
          <w:bookmarkStart w:id="25" w:name="_Toc104989313"/>
          <w:bookmarkStart w:id="26" w:name="_Toc104989801"/>
          <w:r>
            <w:t xml:space="preserve">Lecturer: Dale </w:t>
          </w:r>
          <w:r w:rsidR="004F0CB9">
            <w:t>Clarke</w:t>
          </w:r>
          <w:bookmarkEnd w:id="22"/>
          <w:bookmarkEnd w:id="23"/>
          <w:bookmarkEnd w:id="24"/>
          <w:bookmarkEnd w:id="25"/>
          <w:bookmarkEnd w:id="26"/>
        </w:p>
        <w:p w14:paraId="762B53E9" w14:textId="77777777" w:rsidR="0010588B" w:rsidRDefault="0010588B" w:rsidP="00C5209E">
          <w:pPr>
            <w:pStyle w:val="Heading1"/>
          </w:pPr>
        </w:p>
        <w:p w14:paraId="08D27162" w14:textId="2B22EEAE" w:rsidR="00D854A5" w:rsidRDefault="007D1947" w:rsidP="00C5209E">
          <w:pPr>
            <w:pStyle w:val="Heading1"/>
          </w:pPr>
          <w:r>
            <w:br w:type="page"/>
          </w:r>
          <w:bookmarkEnd w:id="16"/>
        </w:p>
        <w:p w14:paraId="1765133C" w14:textId="77777777" w:rsidR="00C5209E" w:rsidRDefault="00C5209E"/>
        <w:sdt>
          <w:sdtPr>
            <w:id w:val="181013073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462340C" w14:textId="6671C72A" w:rsidR="00AF2E0D" w:rsidRDefault="00AF2E0D">
              <w:pPr>
                <w:pStyle w:val="TOCHeading"/>
              </w:pPr>
              <w:r>
                <w:t>Contents</w:t>
              </w:r>
            </w:p>
            <w:p w14:paraId="64606CD7" w14:textId="4679FD8D" w:rsidR="005D0232" w:rsidRDefault="00AF2E0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p>
            <w:p w14:paraId="623C52E3" w14:textId="621B0638" w:rsidR="005D0232" w:rsidRDefault="005D0232">
              <w:pPr>
                <w:pStyle w:val="TOC1"/>
                <w:tabs>
                  <w:tab w:val="right" w:leader="dot" w:pos="9016"/>
                </w:tabs>
                <w:rPr>
                  <w:rFonts w:eastAsiaTheme="minorEastAsia"/>
                  <w:noProof/>
                  <w:lang w:eastAsia="en-GB"/>
                </w:rPr>
              </w:pPr>
              <w:hyperlink w:anchor="_Toc104989802" w:history="1">
                <w:r w:rsidRPr="00CF1228">
                  <w:rPr>
                    <w:rStyle w:val="Hyperlink"/>
                    <w:noProof/>
                  </w:rPr>
                  <w:t>Introduction</w:t>
                </w:r>
                <w:r>
                  <w:rPr>
                    <w:noProof/>
                    <w:webHidden/>
                  </w:rPr>
                  <w:tab/>
                </w:r>
                <w:r>
                  <w:rPr>
                    <w:noProof/>
                    <w:webHidden/>
                  </w:rPr>
                  <w:fldChar w:fldCharType="begin"/>
                </w:r>
                <w:r>
                  <w:rPr>
                    <w:noProof/>
                    <w:webHidden/>
                  </w:rPr>
                  <w:instrText xml:space="preserve"> PAGEREF _Toc104989802 \h </w:instrText>
                </w:r>
                <w:r>
                  <w:rPr>
                    <w:noProof/>
                    <w:webHidden/>
                  </w:rPr>
                </w:r>
                <w:r>
                  <w:rPr>
                    <w:noProof/>
                    <w:webHidden/>
                  </w:rPr>
                  <w:fldChar w:fldCharType="separate"/>
                </w:r>
                <w:r w:rsidR="00FE7C86">
                  <w:rPr>
                    <w:noProof/>
                    <w:webHidden/>
                  </w:rPr>
                  <w:t>2</w:t>
                </w:r>
                <w:r>
                  <w:rPr>
                    <w:noProof/>
                    <w:webHidden/>
                  </w:rPr>
                  <w:fldChar w:fldCharType="end"/>
                </w:r>
              </w:hyperlink>
            </w:p>
            <w:p w14:paraId="3F44C60D" w14:textId="0FFAFDD9" w:rsidR="005D0232" w:rsidRDefault="005D0232">
              <w:pPr>
                <w:pStyle w:val="TOC1"/>
                <w:tabs>
                  <w:tab w:val="right" w:leader="dot" w:pos="9016"/>
                </w:tabs>
                <w:rPr>
                  <w:rFonts w:eastAsiaTheme="minorEastAsia"/>
                  <w:noProof/>
                  <w:lang w:eastAsia="en-GB"/>
                </w:rPr>
              </w:pPr>
              <w:hyperlink w:anchor="_Toc104989803" w:history="1">
                <w:r w:rsidRPr="00CF1228">
                  <w:rPr>
                    <w:rStyle w:val="Hyperlink"/>
                    <w:noProof/>
                  </w:rPr>
                  <w:t>Financial Analysis</w:t>
                </w:r>
                <w:r>
                  <w:rPr>
                    <w:noProof/>
                    <w:webHidden/>
                  </w:rPr>
                  <w:tab/>
                </w:r>
                <w:r>
                  <w:rPr>
                    <w:noProof/>
                    <w:webHidden/>
                  </w:rPr>
                  <w:fldChar w:fldCharType="begin"/>
                </w:r>
                <w:r>
                  <w:rPr>
                    <w:noProof/>
                    <w:webHidden/>
                  </w:rPr>
                  <w:instrText xml:space="preserve"> PAGEREF _Toc104989803 \h </w:instrText>
                </w:r>
                <w:r>
                  <w:rPr>
                    <w:noProof/>
                    <w:webHidden/>
                  </w:rPr>
                </w:r>
                <w:r>
                  <w:rPr>
                    <w:noProof/>
                    <w:webHidden/>
                  </w:rPr>
                  <w:fldChar w:fldCharType="separate"/>
                </w:r>
                <w:r w:rsidR="00FE7C86">
                  <w:rPr>
                    <w:noProof/>
                    <w:webHidden/>
                  </w:rPr>
                  <w:t>3</w:t>
                </w:r>
                <w:r>
                  <w:rPr>
                    <w:noProof/>
                    <w:webHidden/>
                  </w:rPr>
                  <w:fldChar w:fldCharType="end"/>
                </w:r>
              </w:hyperlink>
            </w:p>
            <w:p w14:paraId="4C6EB6AA" w14:textId="50643AB1" w:rsidR="005D0232" w:rsidRDefault="005D0232">
              <w:pPr>
                <w:pStyle w:val="TOC2"/>
                <w:tabs>
                  <w:tab w:val="right" w:leader="dot" w:pos="9016"/>
                </w:tabs>
                <w:rPr>
                  <w:rFonts w:eastAsiaTheme="minorEastAsia"/>
                  <w:noProof/>
                  <w:lang w:eastAsia="en-GB"/>
                </w:rPr>
              </w:pPr>
              <w:hyperlink w:anchor="_Toc104989804" w:history="1">
                <w:r w:rsidRPr="00CF1228">
                  <w:rPr>
                    <w:rStyle w:val="Hyperlink"/>
                    <w:noProof/>
                  </w:rPr>
                  <w:t>Liquidity ratios</w:t>
                </w:r>
                <w:r>
                  <w:rPr>
                    <w:noProof/>
                    <w:webHidden/>
                  </w:rPr>
                  <w:tab/>
                </w:r>
                <w:r>
                  <w:rPr>
                    <w:noProof/>
                    <w:webHidden/>
                  </w:rPr>
                  <w:fldChar w:fldCharType="begin"/>
                </w:r>
                <w:r>
                  <w:rPr>
                    <w:noProof/>
                    <w:webHidden/>
                  </w:rPr>
                  <w:instrText xml:space="preserve"> PAGEREF _Toc104989804 \h </w:instrText>
                </w:r>
                <w:r>
                  <w:rPr>
                    <w:noProof/>
                    <w:webHidden/>
                  </w:rPr>
                </w:r>
                <w:r>
                  <w:rPr>
                    <w:noProof/>
                    <w:webHidden/>
                  </w:rPr>
                  <w:fldChar w:fldCharType="separate"/>
                </w:r>
                <w:r w:rsidR="00FE7C86">
                  <w:rPr>
                    <w:noProof/>
                    <w:webHidden/>
                  </w:rPr>
                  <w:t>3</w:t>
                </w:r>
                <w:r>
                  <w:rPr>
                    <w:noProof/>
                    <w:webHidden/>
                  </w:rPr>
                  <w:fldChar w:fldCharType="end"/>
                </w:r>
              </w:hyperlink>
            </w:p>
            <w:p w14:paraId="4E627EB5" w14:textId="373CFD0F" w:rsidR="005D0232" w:rsidRDefault="005D0232">
              <w:pPr>
                <w:pStyle w:val="TOC2"/>
                <w:tabs>
                  <w:tab w:val="right" w:leader="dot" w:pos="9016"/>
                </w:tabs>
                <w:rPr>
                  <w:rFonts w:eastAsiaTheme="minorEastAsia"/>
                  <w:noProof/>
                  <w:lang w:eastAsia="en-GB"/>
                </w:rPr>
              </w:pPr>
              <w:hyperlink w:anchor="_Toc104989805" w:history="1">
                <w:r w:rsidRPr="00CF1228">
                  <w:rPr>
                    <w:rStyle w:val="Hyperlink"/>
                    <w:noProof/>
                  </w:rPr>
                  <w:t>Current ratio</w:t>
                </w:r>
                <w:r>
                  <w:rPr>
                    <w:noProof/>
                    <w:webHidden/>
                  </w:rPr>
                  <w:tab/>
                </w:r>
                <w:r>
                  <w:rPr>
                    <w:noProof/>
                    <w:webHidden/>
                  </w:rPr>
                  <w:fldChar w:fldCharType="begin"/>
                </w:r>
                <w:r>
                  <w:rPr>
                    <w:noProof/>
                    <w:webHidden/>
                  </w:rPr>
                  <w:instrText xml:space="preserve"> PAGEREF _Toc104989805 \h </w:instrText>
                </w:r>
                <w:r>
                  <w:rPr>
                    <w:noProof/>
                    <w:webHidden/>
                  </w:rPr>
                </w:r>
                <w:r>
                  <w:rPr>
                    <w:noProof/>
                    <w:webHidden/>
                  </w:rPr>
                  <w:fldChar w:fldCharType="separate"/>
                </w:r>
                <w:r w:rsidR="00FE7C86">
                  <w:rPr>
                    <w:noProof/>
                    <w:webHidden/>
                  </w:rPr>
                  <w:t>4</w:t>
                </w:r>
                <w:r>
                  <w:rPr>
                    <w:noProof/>
                    <w:webHidden/>
                  </w:rPr>
                  <w:fldChar w:fldCharType="end"/>
                </w:r>
              </w:hyperlink>
            </w:p>
            <w:p w14:paraId="33A3D59F" w14:textId="522A0E44" w:rsidR="005D0232" w:rsidRDefault="005D0232">
              <w:pPr>
                <w:pStyle w:val="TOC2"/>
                <w:tabs>
                  <w:tab w:val="right" w:leader="dot" w:pos="9016"/>
                </w:tabs>
                <w:rPr>
                  <w:rFonts w:eastAsiaTheme="minorEastAsia"/>
                  <w:noProof/>
                  <w:lang w:eastAsia="en-GB"/>
                </w:rPr>
              </w:pPr>
              <w:hyperlink w:anchor="_Toc104989806" w:history="1">
                <w:r w:rsidRPr="00CF1228">
                  <w:rPr>
                    <w:rStyle w:val="Hyperlink"/>
                    <w:noProof/>
                  </w:rPr>
                  <w:t>Quick ratio</w:t>
                </w:r>
                <w:r>
                  <w:rPr>
                    <w:noProof/>
                    <w:webHidden/>
                  </w:rPr>
                  <w:tab/>
                </w:r>
                <w:r>
                  <w:rPr>
                    <w:noProof/>
                    <w:webHidden/>
                  </w:rPr>
                  <w:fldChar w:fldCharType="begin"/>
                </w:r>
                <w:r>
                  <w:rPr>
                    <w:noProof/>
                    <w:webHidden/>
                  </w:rPr>
                  <w:instrText xml:space="preserve"> PAGEREF _Toc104989806 \h </w:instrText>
                </w:r>
                <w:r>
                  <w:rPr>
                    <w:noProof/>
                    <w:webHidden/>
                  </w:rPr>
                </w:r>
                <w:r>
                  <w:rPr>
                    <w:noProof/>
                    <w:webHidden/>
                  </w:rPr>
                  <w:fldChar w:fldCharType="separate"/>
                </w:r>
                <w:r w:rsidR="00FE7C86">
                  <w:rPr>
                    <w:noProof/>
                    <w:webHidden/>
                  </w:rPr>
                  <w:t>4</w:t>
                </w:r>
                <w:r>
                  <w:rPr>
                    <w:noProof/>
                    <w:webHidden/>
                  </w:rPr>
                  <w:fldChar w:fldCharType="end"/>
                </w:r>
              </w:hyperlink>
            </w:p>
            <w:p w14:paraId="2F4715DF" w14:textId="610C3282" w:rsidR="005D0232" w:rsidRDefault="005D0232">
              <w:pPr>
                <w:pStyle w:val="TOC2"/>
                <w:tabs>
                  <w:tab w:val="right" w:leader="dot" w:pos="9016"/>
                </w:tabs>
                <w:rPr>
                  <w:rFonts w:eastAsiaTheme="minorEastAsia"/>
                  <w:noProof/>
                  <w:lang w:eastAsia="en-GB"/>
                </w:rPr>
              </w:pPr>
              <w:hyperlink w:anchor="_Toc104989807" w:history="1">
                <w:r w:rsidRPr="00CF1228">
                  <w:rPr>
                    <w:rStyle w:val="Hyperlink"/>
                    <w:noProof/>
                  </w:rPr>
                  <w:t>Asset management ratios</w:t>
                </w:r>
                <w:r>
                  <w:rPr>
                    <w:noProof/>
                    <w:webHidden/>
                  </w:rPr>
                  <w:tab/>
                </w:r>
                <w:r>
                  <w:rPr>
                    <w:noProof/>
                    <w:webHidden/>
                  </w:rPr>
                  <w:fldChar w:fldCharType="begin"/>
                </w:r>
                <w:r>
                  <w:rPr>
                    <w:noProof/>
                    <w:webHidden/>
                  </w:rPr>
                  <w:instrText xml:space="preserve"> PAGEREF _Toc104989807 \h </w:instrText>
                </w:r>
                <w:r>
                  <w:rPr>
                    <w:noProof/>
                    <w:webHidden/>
                  </w:rPr>
                </w:r>
                <w:r>
                  <w:rPr>
                    <w:noProof/>
                    <w:webHidden/>
                  </w:rPr>
                  <w:fldChar w:fldCharType="separate"/>
                </w:r>
                <w:r w:rsidR="00FE7C86">
                  <w:rPr>
                    <w:noProof/>
                    <w:webHidden/>
                  </w:rPr>
                  <w:t>4</w:t>
                </w:r>
                <w:r>
                  <w:rPr>
                    <w:noProof/>
                    <w:webHidden/>
                  </w:rPr>
                  <w:fldChar w:fldCharType="end"/>
                </w:r>
              </w:hyperlink>
            </w:p>
            <w:p w14:paraId="551ECF12" w14:textId="47B51523" w:rsidR="005D0232" w:rsidRDefault="005D0232">
              <w:pPr>
                <w:pStyle w:val="TOC2"/>
                <w:tabs>
                  <w:tab w:val="right" w:leader="dot" w:pos="9016"/>
                </w:tabs>
                <w:rPr>
                  <w:rFonts w:eastAsiaTheme="minorEastAsia"/>
                  <w:noProof/>
                  <w:lang w:eastAsia="en-GB"/>
                </w:rPr>
              </w:pPr>
              <w:hyperlink w:anchor="_Toc104989808" w:history="1">
                <w:r w:rsidRPr="00CF1228">
                  <w:rPr>
                    <w:rStyle w:val="Hyperlink"/>
                    <w:noProof/>
                  </w:rPr>
                  <w:t>Fixed assets turnover</w:t>
                </w:r>
                <w:r>
                  <w:rPr>
                    <w:noProof/>
                    <w:webHidden/>
                  </w:rPr>
                  <w:tab/>
                </w:r>
                <w:r>
                  <w:rPr>
                    <w:noProof/>
                    <w:webHidden/>
                  </w:rPr>
                  <w:fldChar w:fldCharType="begin"/>
                </w:r>
                <w:r>
                  <w:rPr>
                    <w:noProof/>
                    <w:webHidden/>
                  </w:rPr>
                  <w:instrText xml:space="preserve"> PAGEREF _Toc104989808 \h </w:instrText>
                </w:r>
                <w:r>
                  <w:rPr>
                    <w:noProof/>
                    <w:webHidden/>
                  </w:rPr>
                </w:r>
                <w:r>
                  <w:rPr>
                    <w:noProof/>
                    <w:webHidden/>
                  </w:rPr>
                  <w:fldChar w:fldCharType="separate"/>
                </w:r>
                <w:r w:rsidR="00FE7C86">
                  <w:rPr>
                    <w:noProof/>
                    <w:webHidden/>
                  </w:rPr>
                  <w:t>4</w:t>
                </w:r>
                <w:r>
                  <w:rPr>
                    <w:noProof/>
                    <w:webHidden/>
                  </w:rPr>
                  <w:fldChar w:fldCharType="end"/>
                </w:r>
              </w:hyperlink>
            </w:p>
            <w:p w14:paraId="19FAD52F" w14:textId="471BE378" w:rsidR="005D0232" w:rsidRDefault="005D0232">
              <w:pPr>
                <w:pStyle w:val="TOC2"/>
                <w:tabs>
                  <w:tab w:val="right" w:leader="dot" w:pos="9016"/>
                </w:tabs>
                <w:rPr>
                  <w:rFonts w:eastAsiaTheme="minorEastAsia"/>
                  <w:noProof/>
                  <w:lang w:eastAsia="en-GB"/>
                </w:rPr>
              </w:pPr>
              <w:hyperlink w:anchor="_Toc104989809" w:history="1">
                <w:r w:rsidRPr="00CF1228">
                  <w:rPr>
                    <w:rStyle w:val="Hyperlink"/>
                    <w:noProof/>
                  </w:rPr>
                  <w:t>Total assets turnover</w:t>
                </w:r>
                <w:r>
                  <w:rPr>
                    <w:noProof/>
                    <w:webHidden/>
                  </w:rPr>
                  <w:tab/>
                </w:r>
                <w:r>
                  <w:rPr>
                    <w:noProof/>
                    <w:webHidden/>
                  </w:rPr>
                  <w:fldChar w:fldCharType="begin"/>
                </w:r>
                <w:r>
                  <w:rPr>
                    <w:noProof/>
                    <w:webHidden/>
                  </w:rPr>
                  <w:instrText xml:space="preserve"> PAGEREF _Toc104989809 \h </w:instrText>
                </w:r>
                <w:r>
                  <w:rPr>
                    <w:noProof/>
                    <w:webHidden/>
                  </w:rPr>
                </w:r>
                <w:r>
                  <w:rPr>
                    <w:noProof/>
                    <w:webHidden/>
                  </w:rPr>
                  <w:fldChar w:fldCharType="separate"/>
                </w:r>
                <w:r w:rsidR="00FE7C86">
                  <w:rPr>
                    <w:noProof/>
                    <w:webHidden/>
                  </w:rPr>
                  <w:t>4</w:t>
                </w:r>
                <w:r>
                  <w:rPr>
                    <w:noProof/>
                    <w:webHidden/>
                  </w:rPr>
                  <w:fldChar w:fldCharType="end"/>
                </w:r>
              </w:hyperlink>
            </w:p>
            <w:p w14:paraId="46D13847" w14:textId="4F266A1F" w:rsidR="005D0232" w:rsidRDefault="005D0232">
              <w:pPr>
                <w:pStyle w:val="TOC2"/>
                <w:tabs>
                  <w:tab w:val="right" w:leader="dot" w:pos="9016"/>
                </w:tabs>
                <w:rPr>
                  <w:rFonts w:eastAsiaTheme="minorEastAsia"/>
                  <w:noProof/>
                  <w:lang w:eastAsia="en-GB"/>
                </w:rPr>
              </w:pPr>
              <w:hyperlink w:anchor="_Toc104989810" w:history="1">
                <w:r w:rsidRPr="00CF1228">
                  <w:rPr>
                    <w:rStyle w:val="Hyperlink"/>
                    <w:noProof/>
                  </w:rPr>
                  <w:t>Debt management ratios</w:t>
                </w:r>
                <w:r>
                  <w:rPr>
                    <w:noProof/>
                    <w:webHidden/>
                  </w:rPr>
                  <w:tab/>
                </w:r>
                <w:r>
                  <w:rPr>
                    <w:noProof/>
                    <w:webHidden/>
                  </w:rPr>
                  <w:fldChar w:fldCharType="begin"/>
                </w:r>
                <w:r>
                  <w:rPr>
                    <w:noProof/>
                    <w:webHidden/>
                  </w:rPr>
                  <w:instrText xml:space="preserve"> PAGEREF _Toc104989810 \h </w:instrText>
                </w:r>
                <w:r>
                  <w:rPr>
                    <w:noProof/>
                    <w:webHidden/>
                  </w:rPr>
                </w:r>
                <w:r>
                  <w:rPr>
                    <w:noProof/>
                    <w:webHidden/>
                  </w:rPr>
                  <w:fldChar w:fldCharType="separate"/>
                </w:r>
                <w:r w:rsidR="00FE7C86">
                  <w:rPr>
                    <w:noProof/>
                    <w:webHidden/>
                  </w:rPr>
                  <w:t>5</w:t>
                </w:r>
                <w:r>
                  <w:rPr>
                    <w:noProof/>
                    <w:webHidden/>
                  </w:rPr>
                  <w:fldChar w:fldCharType="end"/>
                </w:r>
              </w:hyperlink>
            </w:p>
            <w:p w14:paraId="6368CB37" w14:textId="1EE528D0" w:rsidR="005D0232" w:rsidRDefault="005D0232">
              <w:pPr>
                <w:pStyle w:val="TOC2"/>
                <w:tabs>
                  <w:tab w:val="right" w:leader="dot" w:pos="9016"/>
                </w:tabs>
                <w:rPr>
                  <w:rFonts w:eastAsiaTheme="minorEastAsia"/>
                  <w:noProof/>
                  <w:lang w:eastAsia="en-GB"/>
                </w:rPr>
              </w:pPr>
              <w:hyperlink w:anchor="_Toc104989811" w:history="1">
                <w:r w:rsidRPr="00CF1228">
                  <w:rPr>
                    <w:rStyle w:val="Hyperlink"/>
                    <w:noProof/>
                  </w:rPr>
                  <w:t>Debt to Total Assets</w:t>
                </w:r>
                <w:r>
                  <w:rPr>
                    <w:noProof/>
                    <w:webHidden/>
                  </w:rPr>
                  <w:tab/>
                </w:r>
                <w:r>
                  <w:rPr>
                    <w:noProof/>
                    <w:webHidden/>
                  </w:rPr>
                  <w:fldChar w:fldCharType="begin"/>
                </w:r>
                <w:r>
                  <w:rPr>
                    <w:noProof/>
                    <w:webHidden/>
                  </w:rPr>
                  <w:instrText xml:space="preserve"> PAGEREF _Toc104989811 \h </w:instrText>
                </w:r>
                <w:r>
                  <w:rPr>
                    <w:noProof/>
                    <w:webHidden/>
                  </w:rPr>
                </w:r>
                <w:r>
                  <w:rPr>
                    <w:noProof/>
                    <w:webHidden/>
                  </w:rPr>
                  <w:fldChar w:fldCharType="separate"/>
                </w:r>
                <w:r w:rsidR="00FE7C86">
                  <w:rPr>
                    <w:noProof/>
                    <w:webHidden/>
                  </w:rPr>
                  <w:t>5</w:t>
                </w:r>
                <w:r>
                  <w:rPr>
                    <w:noProof/>
                    <w:webHidden/>
                  </w:rPr>
                  <w:fldChar w:fldCharType="end"/>
                </w:r>
              </w:hyperlink>
            </w:p>
            <w:p w14:paraId="4648EB80" w14:textId="468F70AA" w:rsidR="005D0232" w:rsidRDefault="005D0232">
              <w:pPr>
                <w:pStyle w:val="TOC2"/>
                <w:tabs>
                  <w:tab w:val="right" w:leader="dot" w:pos="9016"/>
                </w:tabs>
                <w:rPr>
                  <w:rFonts w:eastAsiaTheme="minorEastAsia"/>
                  <w:noProof/>
                  <w:lang w:eastAsia="en-GB"/>
                </w:rPr>
              </w:pPr>
              <w:hyperlink w:anchor="_Toc104989812" w:history="1">
                <w:r w:rsidRPr="00CF1228">
                  <w:rPr>
                    <w:rStyle w:val="Hyperlink"/>
                    <w:noProof/>
                  </w:rPr>
                  <w:t>Times Interest Earned</w:t>
                </w:r>
                <w:r>
                  <w:rPr>
                    <w:noProof/>
                    <w:webHidden/>
                  </w:rPr>
                  <w:tab/>
                </w:r>
                <w:r>
                  <w:rPr>
                    <w:noProof/>
                    <w:webHidden/>
                  </w:rPr>
                  <w:fldChar w:fldCharType="begin"/>
                </w:r>
                <w:r>
                  <w:rPr>
                    <w:noProof/>
                    <w:webHidden/>
                  </w:rPr>
                  <w:instrText xml:space="preserve"> PAGEREF _Toc104989812 \h </w:instrText>
                </w:r>
                <w:r>
                  <w:rPr>
                    <w:noProof/>
                    <w:webHidden/>
                  </w:rPr>
                </w:r>
                <w:r>
                  <w:rPr>
                    <w:noProof/>
                    <w:webHidden/>
                  </w:rPr>
                  <w:fldChar w:fldCharType="separate"/>
                </w:r>
                <w:r w:rsidR="00FE7C86">
                  <w:rPr>
                    <w:noProof/>
                    <w:webHidden/>
                  </w:rPr>
                  <w:t>5</w:t>
                </w:r>
                <w:r>
                  <w:rPr>
                    <w:noProof/>
                    <w:webHidden/>
                  </w:rPr>
                  <w:fldChar w:fldCharType="end"/>
                </w:r>
              </w:hyperlink>
            </w:p>
            <w:p w14:paraId="767F6444" w14:textId="0688410C" w:rsidR="005D0232" w:rsidRDefault="005D0232">
              <w:pPr>
                <w:pStyle w:val="TOC2"/>
                <w:tabs>
                  <w:tab w:val="right" w:leader="dot" w:pos="9016"/>
                </w:tabs>
                <w:rPr>
                  <w:rFonts w:eastAsiaTheme="minorEastAsia"/>
                  <w:noProof/>
                  <w:lang w:eastAsia="en-GB"/>
                </w:rPr>
              </w:pPr>
              <w:hyperlink w:anchor="_Toc104989813" w:history="1">
                <w:r w:rsidRPr="00CF1228">
                  <w:rPr>
                    <w:rStyle w:val="Hyperlink"/>
                    <w:noProof/>
                  </w:rPr>
                  <w:t>Profitability Ratios</w:t>
                </w:r>
                <w:r>
                  <w:rPr>
                    <w:noProof/>
                    <w:webHidden/>
                  </w:rPr>
                  <w:tab/>
                </w:r>
                <w:r>
                  <w:rPr>
                    <w:noProof/>
                    <w:webHidden/>
                  </w:rPr>
                  <w:fldChar w:fldCharType="begin"/>
                </w:r>
                <w:r>
                  <w:rPr>
                    <w:noProof/>
                    <w:webHidden/>
                  </w:rPr>
                  <w:instrText xml:space="preserve"> PAGEREF _Toc104989813 \h </w:instrText>
                </w:r>
                <w:r>
                  <w:rPr>
                    <w:noProof/>
                    <w:webHidden/>
                  </w:rPr>
                </w:r>
                <w:r>
                  <w:rPr>
                    <w:noProof/>
                    <w:webHidden/>
                  </w:rPr>
                  <w:fldChar w:fldCharType="separate"/>
                </w:r>
                <w:r w:rsidR="00FE7C86">
                  <w:rPr>
                    <w:noProof/>
                    <w:webHidden/>
                  </w:rPr>
                  <w:t>5</w:t>
                </w:r>
                <w:r>
                  <w:rPr>
                    <w:noProof/>
                    <w:webHidden/>
                  </w:rPr>
                  <w:fldChar w:fldCharType="end"/>
                </w:r>
              </w:hyperlink>
            </w:p>
            <w:p w14:paraId="10366B95" w14:textId="506536D7" w:rsidR="005D0232" w:rsidRDefault="005D0232">
              <w:pPr>
                <w:pStyle w:val="TOC2"/>
                <w:tabs>
                  <w:tab w:val="right" w:leader="dot" w:pos="9016"/>
                </w:tabs>
                <w:rPr>
                  <w:rFonts w:eastAsiaTheme="minorEastAsia"/>
                  <w:noProof/>
                  <w:lang w:eastAsia="en-GB"/>
                </w:rPr>
              </w:pPr>
              <w:hyperlink w:anchor="_Toc104989814" w:history="1">
                <w:r w:rsidRPr="00CF1228">
                  <w:rPr>
                    <w:rStyle w:val="Hyperlink"/>
                    <w:noProof/>
                  </w:rPr>
                  <w:t>Profit margin</w:t>
                </w:r>
                <w:r>
                  <w:rPr>
                    <w:noProof/>
                    <w:webHidden/>
                  </w:rPr>
                  <w:tab/>
                </w:r>
                <w:r>
                  <w:rPr>
                    <w:noProof/>
                    <w:webHidden/>
                  </w:rPr>
                  <w:fldChar w:fldCharType="begin"/>
                </w:r>
                <w:r>
                  <w:rPr>
                    <w:noProof/>
                    <w:webHidden/>
                  </w:rPr>
                  <w:instrText xml:space="preserve"> PAGEREF _Toc104989814 \h </w:instrText>
                </w:r>
                <w:r>
                  <w:rPr>
                    <w:noProof/>
                    <w:webHidden/>
                  </w:rPr>
                </w:r>
                <w:r>
                  <w:rPr>
                    <w:noProof/>
                    <w:webHidden/>
                  </w:rPr>
                  <w:fldChar w:fldCharType="separate"/>
                </w:r>
                <w:r w:rsidR="00FE7C86">
                  <w:rPr>
                    <w:noProof/>
                    <w:webHidden/>
                  </w:rPr>
                  <w:t>5</w:t>
                </w:r>
                <w:r>
                  <w:rPr>
                    <w:noProof/>
                    <w:webHidden/>
                  </w:rPr>
                  <w:fldChar w:fldCharType="end"/>
                </w:r>
              </w:hyperlink>
            </w:p>
            <w:p w14:paraId="12C9F5BE" w14:textId="50BE824E" w:rsidR="005D0232" w:rsidRDefault="005D0232">
              <w:pPr>
                <w:pStyle w:val="TOC2"/>
                <w:tabs>
                  <w:tab w:val="right" w:leader="dot" w:pos="9016"/>
                </w:tabs>
                <w:rPr>
                  <w:rFonts w:eastAsiaTheme="minorEastAsia"/>
                  <w:noProof/>
                  <w:lang w:eastAsia="en-GB"/>
                </w:rPr>
              </w:pPr>
              <w:hyperlink w:anchor="_Toc104989815" w:history="1">
                <w:r w:rsidRPr="00CF1228">
                  <w:rPr>
                    <w:rStyle w:val="Hyperlink"/>
                    <w:noProof/>
                  </w:rPr>
                  <w:t>Operating Profit Margin</w:t>
                </w:r>
                <w:r>
                  <w:rPr>
                    <w:noProof/>
                    <w:webHidden/>
                  </w:rPr>
                  <w:tab/>
                </w:r>
                <w:r>
                  <w:rPr>
                    <w:noProof/>
                    <w:webHidden/>
                  </w:rPr>
                  <w:fldChar w:fldCharType="begin"/>
                </w:r>
                <w:r>
                  <w:rPr>
                    <w:noProof/>
                    <w:webHidden/>
                  </w:rPr>
                  <w:instrText xml:space="preserve"> PAGEREF _Toc104989815 \h </w:instrText>
                </w:r>
                <w:r>
                  <w:rPr>
                    <w:noProof/>
                    <w:webHidden/>
                  </w:rPr>
                </w:r>
                <w:r>
                  <w:rPr>
                    <w:noProof/>
                    <w:webHidden/>
                  </w:rPr>
                  <w:fldChar w:fldCharType="separate"/>
                </w:r>
                <w:r w:rsidR="00FE7C86">
                  <w:rPr>
                    <w:noProof/>
                    <w:webHidden/>
                  </w:rPr>
                  <w:t>6</w:t>
                </w:r>
                <w:r>
                  <w:rPr>
                    <w:noProof/>
                    <w:webHidden/>
                  </w:rPr>
                  <w:fldChar w:fldCharType="end"/>
                </w:r>
              </w:hyperlink>
            </w:p>
            <w:p w14:paraId="68E53FDB" w14:textId="22217759" w:rsidR="005D0232" w:rsidRDefault="005D0232">
              <w:pPr>
                <w:pStyle w:val="TOC2"/>
                <w:tabs>
                  <w:tab w:val="right" w:leader="dot" w:pos="9016"/>
                </w:tabs>
                <w:rPr>
                  <w:rFonts w:eastAsiaTheme="minorEastAsia"/>
                  <w:noProof/>
                  <w:lang w:eastAsia="en-GB"/>
                </w:rPr>
              </w:pPr>
              <w:hyperlink w:anchor="_Toc104989816" w:history="1">
                <w:r w:rsidRPr="00CF1228">
                  <w:rPr>
                    <w:rStyle w:val="Hyperlink"/>
                    <w:noProof/>
                  </w:rPr>
                  <w:t>Return on Assets (ROA)</w:t>
                </w:r>
                <w:r>
                  <w:rPr>
                    <w:noProof/>
                    <w:webHidden/>
                  </w:rPr>
                  <w:tab/>
                </w:r>
                <w:r>
                  <w:rPr>
                    <w:noProof/>
                    <w:webHidden/>
                  </w:rPr>
                  <w:fldChar w:fldCharType="begin"/>
                </w:r>
                <w:r>
                  <w:rPr>
                    <w:noProof/>
                    <w:webHidden/>
                  </w:rPr>
                  <w:instrText xml:space="preserve"> PAGEREF _Toc104989816 \h </w:instrText>
                </w:r>
                <w:r>
                  <w:rPr>
                    <w:noProof/>
                    <w:webHidden/>
                  </w:rPr>
                </w:r>
                <w:r>
                  <w:rPr>
                    <w:noProof/>
                    <w:webHidden/>
                  </w:rPr>
                  <w:fldChar w:fldCharType="separate"/>
                </w:r>
                <w:r w:rsidR="00FE7C86">
                  <w:rPr>
                    <w:noProof/>
                    <w:webHidden/>
                  </w:rPr>
                  <w:t>6</w:t>
                </w:r>
                <w:r>
                  <w:rPr>
                    <w:noProof/>
                    <w:webHidden/>
                  </w:rPr>
                  <w:fldChar w:fldCharType="end"/>
                </w:r>
              </w:hyperlink>
            </w:p>
            <w:p w14:paraId="3DCF997D" w14:textId="1DBEEC5A" w:rsidR="005D0232" w:rsidRDefault="005D0232">
              <w:pPr>
                <w:pStyle w:val="TOC2"/>
                <w:tabs>
                  <w:tab w:val="right" w:leader="dot" w:pos="9016"/>
                </w:tabs>
                <w:rPr>
                  <w:rFonts w:eastAsiaTheme="minorEastAsia"/>
                  <w:noProof/>
                  <w:lang w:eastAsia="en-GB"/>
                </w:rPr>
              </w:pPr>
              <w:hyperlink w:anchor="_Toc104989817" w:history="1">
                <w:r w:rsidRPr="00CF1228">
                  <w:rPr>
                    <w:rStyle w:val="Hyperlink"/>
                    <w:noProof/>
                  </w:rPr>
                  <w:t>Return on Equity (ROE)</w:t>
                </w:r>
                <w:r>
                  <w:rPr>
                    <w:noProof/>
                    <w:webHidden/>
                  </w:rPr>
                  <w:tab/>
                </w:r>
                <w:r>
                  <w:rPr>
                    <w:noProof/>
                    <w:webHidden/>
                  </w:rPr>
                  <w:fldChar w:fldCharType="begin"/>
                </w:r>
                <w:r>
                  <w:rPr>
                    <w:noProof/>
                    <w:webHidden/>
                  </w:rPr>
                  <w:instrText xml:space="preserve"> PAGEREF _Toc104989817 \h </w:instrText>
                </w:r>
                <w:r>
                  <w:rPr>
                    <w:noProof/>
                    <w:webHidden/>
                  </w:rPr>
                </w:r>
                <w:r>
                  <w:rPr>
                    <w:noProof/>
                    <w:webHidden/>
                  </w:rPr>
                  <w:fldChar w:fldCharType="separate"/>
                </w:r>
                <w:r w:rsidR="00FE7C86">
                  <w:rPr>
                    <w:noProof/>
                    <w:webHidden/>
                  </w:rPr>
                  <w:t>6</w:t>
                </w:r>
                <w:r>
                  <w:rPr>
                    <w:noProof/>
                    <w:webHidden/>
                  </w:rPr>
                  <w:fldChar w:fldCharType="end"/>
                </w:r>
              </w:hyperlink>
            </w:p>
            <w:p w14:paraId="60401D96" w14:textId="3D88FB3D" w:rsidR="005D0232" w:rsidRDefault="005D0232">
              <w:pPr>
                <w:pStyle w:val="TOC1"/>
                <w:tabs>
                  <w:tab w:val="right" w:leader="dot" w:pos="9016"/>
                </w:tabs>
                <w:rPr>
                  <w:rFonts w:eastAsiaTheme="minorEastAsia"/>
                  <w:noProof/>
                  <w:lang w:eastAsia="en-GB"/>
                </w:rPr>
              </w:pPr>
              <w:hyperlink w:anchor="_Toc104989818" w:history="1">
                <w:r w:rsidRPr="00CF1228">
                  <w:rPr>
                    <w:rStyle w:val="Hyperlink"/>
                    <w:noProof/>
                  </w:rPr>
                  <w:t>Importance of ratio analysis</w:t>
                </w:r>
                <w:r>
                  <w:rPr>
                    <w:noProof/>
                    <w:webHidden/>
                  </w:rPr>
                  <w:tab/>
                </w:r>
                <w:r>
                  <w:rPr>
                    <w:noProof/>
                    <w:webHidden/>
                  </w:rPr>
                  <w:fldChar w:fldCharType="begin"/>
                </w:r>
                <w:r>
                  <w:rPr>
                    <w:noProof/>
                    <w:webHidden/>
                  </w:rPr>
                  <w:instrText xml:space="preserve"> PAGEREF _Toc104989818 \h </w:instrText>
                </w:r>
                <w:r>
                  <w:rPr>
                    <w:noProof/>
                    <w:webHidden/>
                  </w:rPr>
                </w:r>
                <w:r>
                  <w:rPr>
                    <w:noProof/>
                    <w:webHidden/>
                  </w:rPr>
                  <w:fldChar w:fldCharType="separate"/>
                </w:r>
                <w:r w:rsidR="00FE7C86">
                  <w:rPr>
                    <w:noProof/>
                    <w:webHidden/>
                  </w:rPr>
                  <w:t>7</w:t>
                </w:r>
                <w:r>
                  <w:rPr>
                    <w:noProof/>
                    <w:webHidden/>
                  </w:rPr>
                  <w:fldChar w:fldCharType="end"/>
                </w:r>
              </w:hyperlink>
            </w:p>
            <w:p w14:paraId="16BBE0C8" w14:textId="6B2FFAF7" w:rsidR="005D0232" w:rsidRDefault="005D0232">
              <w:pPr>
                <w:pStyle w:val="TOC1"/>
                <w:tabs>
                  <w:tab w:val="right" w:leader="dot" w:pos="9016"/>
                </w:tabs>
                <w:rPr>
                  <w:rFonts w:eastAsiaTheme="minorEastAsia"/>
                  <w:noProof/>
                  <w:lang w:eastAsia="en-GB"/>
                </w:rPr>
              </w:pPr>
              <w:hyperlink w:anchor="_Toc104989819" w:history="1">
                <w:r w:rsidRPr="00CF1228">
                  <w:rPr>
                    <w:rStyle w:val="Hyperlink"/>
                    <w:noProof/>
                  </w:rPr>
                  <w:t>Limitations of ratio analysis</w:t>
                </w:r>
                <w:r>
                  <w:rPr>
                    <w:noProof/>
                    <w:webHidden/>
                  </w:rPr>
                  <w:tab/>
                </w:r>
                <w:r>
                  <w:rPr>
                    <w:noProof/>
                    <w:webHidden/>
                  </w:rPr>
                  <w:fldChar w:fldCharType="begin"/>
                </w:r>
                <w:r>
                  <w:rPr>
                    <w:noProof/>
                    <w:webHidden/>
                  </w:rPr>
                  <w:instrText xml:space="preserve"> PAGEREF _Toc104989819 \h </w:instrText>
                </w:r>
                <w:r>
                  <w:rPr>
                    <w:noProof/>
                    <w:webHidden/>
                  </w:rPr>
                </w:r>
                <w:r>
                  <w:rPr>
                    <w:noProof/>
                    <w:webHidden/>
                  </w:rPr>
                  <w:fldChar w:fldCharType="separate"/>
                </w:r>
                <w:r w:rsidR="00FE7C86">
                  <w:rPr>
                    <w:noProof/>
                    <w:webHidden/>
                  </w:rPr>
                  <w:t>8</w:t>
                </w:r>
                <w:r>
                  <w:rPr>
                    <w:noProof/>
                    <w:webHidden/>
                  </w:rPr>
                  <w:fldChar w:fldCharType="end"/>
                </w:r>
              </w:hyperlink>
            </w:p>
            <w:p w14:paraId="40AB119A" w14:textId="004DA321" w:rsidR="005D0232" w:rsidRDefault="005D0232">
              <w:pPr>
                <w:pStyle w:val="TOC1"/>
                <w:tabs>
                  <w:tab w:val="right" w:leader="dot" w:pos="9016"/>
                </w:tabs>
                <w:rPr>
                  <w:rFonts w:eastAsiaTheme="minorEastAsia"/>
                  <w:noProof/>
                  <w:lang w:eastAsia="en-GB"/>
                </w:rPr>
              </w:pPr>
              <w:hyperlink w:anchor="_Toc104989820" w:history="1">
                <w:r w:rsidRPr="00CF1228">
                  <w:rPr>
                    <w:rStyle w:val="Hyperlink"/>
                    <w:noProof/>
                  </w:rPr>
                  <w:t>Conclusion</w:t>
                </w:r>
                <w:r>
                  <w:rPr>
                    <w:noProof/>
                    <w:webHidden/>
                  </w:rPr>
                  <w:tab/>
                </w:r>
                <w:r>
                  <w:rPr>
                    <w:noProof/>
                    <w:webHidden/>
                  </w:rPr>
                  <w:fldChar w:fldCharType="begin"/>
                </w:r>
                <w:r>
                  <w:rPr>
                    <w:noProof/>
                    <w:webHidden/>
                  </w:rPr>
                  <w:instrText xml:space="preserve"> PAGEREF _Toc104989820 \h </w:instrText>
                </w:r>
                <w:r>
                  <w:rPr>
                    <w:noProof/>
                    <w:webHidden/>
                  </w:rPr>
                </w:r>
                <w:r>
                  <w:rPr>
                    <w:noProof/>
                    <w:webHidden/>
                  </w:rPr>
                  <w:fldChar w:fldCharType="separate"/>
                </w:r>
                <w:r w:rsidR="00FE7C86">
                  <w:rPr>
                    <w:noProof/>
                    <w:webHidden/>
                  </w:rPr>
                  <w:t>9</w:t>
                </w:r>
                <w:r>
                  <w:rPr>
                    <w:noProof/>
                    <w:webHidden/>
                  </w:rPr>
                  <w:fldChar w:fldCharType="end"/>
                </w:r>
              </w:hyperlink>
            </w:p>
            <w:p w14:paraId="7DCF1C94" w14:textId="3C8219B0" w:rsidR="005D0232" w:rsidRDefault="005D0232">
              <w:pPr>
                <w:pStyle w:val="TOC1"/>
                <w:tabs>
                  <w:tab w:val="right" w:leader="dot" w:pos="9016"/>
                </w:tabs>
                <w:rPr>
                  <w:rFonts w:eastAsiaTheme="minorEastAsia"/>
                  <w:noProof/>
                  <w:lang w:eastAsia="en-GB"/>
                </w:rPr>
              </w:pPr>
              <w:hyperlink w:anchor="_Toc104989821" w:history="1">
                <w:r w:rsidRPr="00CF1228">
                  <w:rPr>
                    <w:rStyle w:val="Hyperlink"/>
                    <w:noProof/>
                  </w:rPr>
                  <w:t>Bibliography</w:t>
                </w:r>
                <w:r>
                  <w:rPr>
                    <w:noProof/>
                    <w:webHidden/>
                  </w:rPr>
                  <w:tab/>
                </w:r>
                <w:r>
                  <w:rPr>
                    <w:noProof/>
                    <w:webHidden/>
                  </w:rPr>
                  <w:fldChar w:fldCharType="begin"/>
                </w:r>
                <w:r>
                  <w:rPr>
                    <w:noProof/>
                    <w:webHidden/>
                  </w:rPr>
                  <w:instrText xml:space="preserve"> PAGEREF _Toc104989821 \h </w:instrText>
                </w:r>
                <w:r>
                  <w:rPr>
                    <w:noProof/>
                    <w:webHidden/>
                  </w:rPr>
                </w:r>
                <w:r>
                  <w:rPr>
                    <w:noProof/>
                    <w:webHidden/>
                  </w:rPr>
                  <w:fldChar w:fldCharType="separate"/>
                </w:r>
                <w:r w:rsidR="00FE7C86">
                  <w:rPr>
                    <w:noProof/>
                    <w:webHidden/>
                  </w:rPr>
                  <w:t>10</w:t>
                </w:r>
                <w:r>
                  <w:rPr>
                    <w:noProof/>
                    <w:webHidden/>
                  </w:rPr>
                  <w:fldChar w:fldCharType="end"/>
                </w:r>
              </w:hyperlink>
            </w:p>
            <w:p w14:paraId="3673918B" w14:textId="0D885F97" w:rsidR="00AF2E0D" w:rsidRDefault="00AF2E0D">
              <w:r>
                <w:rPr>
                  <w:b/>
                  <w:bCs/>
                  <w:noProof/>
                </w:rPr>
                <w:fldChar w:fldCharType="end"/>
              </w:r>
            </w:p>
          </w:sdtContent>
        </w:sdt>
        <w:p w14:paraId="4B6E43C0" w14:textId="77777777" w:rsidR="007D1947" w:rsidRDefault="007D1947"/>
        <w:p w14:paraId="6029F743" w14:textId="77777777" w:rsidR="007D1947" w:rsidRDefault="007D1947"/>
        <w:p w14:paraId="44FFAF5D" w14:textId="77777777" w:rsidR="007D1947" w:rsidRDefault="007D1947"/>
        <w:p w14:paraId="1FF75D73" w14:textId="77777777" w:rsidR="007D1947" w:rsidRDefault="007D1947"/>
        <w:p w14:paraId="6FC8D65F" w14:textId="77777777" w:rsidR="007D1947" w:rsidRDefault="007D1947"/>
        <w:p w14:paraId="06D4F34D" w14:textId="77777777" w:rsidR="007D1947" w:rsidRDefault="007D1947"/>
        <w:p w14:paraId="32867CF5" w14:textId="77777777" w:rsidR="007D1947" w:rsidRDefault="007D1947"/>
        <w:p w14:paraId="489580B2" w14:textId="77777777" w:rsidR="007D1947" w:rsidRDefault="007D1947"/>
        <w:p w14:paraId="2A770B60" w14:textId="77777777" w:rsidR="007D1947" w:rsidRDefault="007D1947"/>
        <w:p w14:paraId="33FC2C21" w14:textId="77777777" w:rsidR="007D1947" w:rsidRDefault="007D1947" w:rsidP="007D1947">
          <w:pPr>
            <w:pStyle w:val="Heading1"/>
          </w:pPr>
          <w:bookmarkStart w:id="27" w:name="_Toc104989802"/>
          <w:r>
            <w:t>Introduction</w:t>
          </w:r>
          <w:bookmarkEnd w:id="27"/>
        </w:p>
        <w:p w14:paraId="220115C1" w14:textId="77777777" w:rsidR="00252A5A" w:rsidRDefault="00252A5A" w:rsidP="00BE3081">
          <w:pPr>
            <w:spacing w:line="360" w:lineRule="auto"/>
          </w:pPr>
        </w:p>
        <w:p w14:paraId="6648814C" w14:textId="5D5BB379" w:rsidR="004A11F6" w:rsidRDefault="00BE3081" w:rsidP="00BE3081">
          <w:pPr>
            <w:spacing w:line="360" w:lineRule="auto"/>
          </w:pPr>
          <w:r>
            <w:t xml:space="preserve">Hilton </w:t>
          </w:r>
          <w:r w:rsidR="00653ECF">
            <w:t>worldwide Holdings Inc.</w:t>
          </w:r>
          <w:r w:rsidR="00C467A7">
            <w:t xml:space="preserve"> is one of the largest and fastest growing </w:t>
          </w:r>
          <w:r w:rsidR="0022727F">
            <w:t xml:space="preserve">hospitality companies in the world. </w:t>
          </w:r>
          <w:r w:rsidR="00C50410" w:rsidRPr="00C50410">
            <w:t>As a quantitative method of gaining insight into a company’s liquidity, operation and profitability, ratio analysis reveals a lot of information about a firm by examining both the past and current financial statements. With their uses ranging from comparisons, and trend lines to operational efficiency, ratio analysis remains a critical financial tool for both the management and the investors (Easton et al. 2018). For this paper, we examine the ratios for Hilton Worldwide Holdings for the period between 2019 and 2020 to draw appropriate conclusions.</w:t>
          </w:r>
          <w:r w:rsidR="00765C1D" w:rsidRPr="00765C1D">
            <w:t xml:space="preserve"> </w:t>
          </w:r>
          <w:r w:rsidR="00765C1D" w:rsidRPr="00765C1D">
            <w:t>These ratios are focused on exploring a company’s ability to pay its short-term maturing obligations (</w:t>
          </w:r>
          <w:proofErr w:type="spellStart"/>
          <w:r w:rsidR="00765C1D" w:rsidRPr="00765C1D">
            <w:t>Welc</w:t>
          </w:r>
          <w:proofErr w:type="spellEnd"/>
          <w:r w:rsidR="00765C1D" w:rsidRPr="00765C1D">
            <w:t xml:space="preserve">, 2022). It is concerned with determining whether the company </w:t>
          </w:r>
          <w:r w:rsidR="00FE48DF" w:rsidRPr="00765C1D">
            <w:t>can</w:t>
          </w:r>
          <w:r w:rsidR="00765C1D" w:rsidRPr="00765C1D">
            <w:t xml:space="preserve"> use its current assets to cover current liabilities. Whereas the </w:t>
          </w:r>
          <w:r w:rsidR="00FE48DF" w:rsidRPr="00765C1D">
            <w:t>most used</w:t>
          </w:r>
          <w:r w:rsidR="00765C1D" w:rsidRPr="00765C1D">
            <w:t xml:space="preserve"> liquidity ratios are current, quick and cash</w:t>
          </w:r>
          <w:r w:rsidR="00FE48DF">
            <w:t>.</w:t>
          </w:r>
        </w:p>
        <w:p w14:paraId="06953414" w14:textId="77777777" w:rsidR="004A11F6" w:rsidRDefault="004A11F6" w:rsidP="007D1947"/>
        <w:p w14:paraId="24FB9339" w14:textId="77777777" w:rsidR="004A11F6" w:rsidRDefault="004A11F6" w:rsidP="007D1947"/>
        <w:p w14:paraId="624BAEC6" w14:textId="77777777" w:rsidR="004A11F6" w:rsidRDefault="004A11F6" w:rsidP="007D1947"/>
        <w:p w14:paraId="0C7CBD32" w14:textId="77777777" w:rsidR="004A11F6" w:rsidRDefault="004A11F6" w:rsidP="007D1947"/>
        <w:p w14:paraId="2872E3C8" w14:textId="77777777" w:rsidR="004A11F6" w:rsidRDefault="004A11F6" w:rsidP="007D1947"/>
        <w:p w14:paraId="5A994779" w14:textId="77777777" w:rsidR="004A11F6" w:rsidRDefault="004A11F6" w:rsidP="007D1947"/>
        <w:p w14:paraId="4557C24D" w14:textId="77777777" w:rsidR="004A11F6" w:rsidRDefault="004A11F6" w:rsidP="007D1947"/>
        <w:p w14:paraId="52C5D98A" w14:textId="77777777" w:rsidR="004A11F6" w:rsidRDefault="004A11F6" w:rsidP="007D1947"/>
        <w:p w14:paraId="0B376D9C" w14:textId="77777777" w:rsidR="004A11F6" w:rsidRDefault="004A11F6" w:rsidP="007D1947"/>
        <w:p w14:paraId="6874B16B" w14:textId="77777777" w:rsidR="004A11F6" w:rsidRDefault="004A11F6" w:rsidP="007D1947"/>
        <w:p w14:paraId="5FC7351A" w14:textId="77777777" w:rsidR="004A11F6" w:rsidRDefault="004A11F6" w:rsidP="007D1947"/>
        <w:p w14:paraId="784D2179" w14:textId="77777777" w:rsidR="004A11F6" w:rsidRDefault="004A11F6" w:rsidP="007D1947"/>
        <w:p w14:paraId="420A28E6" w14:textId="77777777" w:rsidR="004A11F6" w:rsidRDefault="004A11F6" w:rsidP="007D1947"/>
        <w:p w14:paraId="1ACFE8D5" w14:textId="77777777" w:rsidR="004A11F6" w:rsidRDefault="004A11F6" w:rsidP="007D1947"/>
        <w:p w14:paraId="3523EEB9" w14:textId="77777777" w:rsidR="004A11F6" w:rsidRDefault="004A11F6" w:rsidP="007D1947"/>
        <w:p w14:paraId="52C40875" w14:textId="77777777" w:rsidR="004A11F6" w:rsidRDefault="004A11F6" w:rsidP="007D1947"/>
        <w:p w14:paraId="45853FB4" w14:textId="77777777" w:rsidR="004A11F6" w:rsidRDefault="004A11F6" w:rsidP="007D1947"/>
        <w:p w14:paraId="23E9B602" w14:textId="77777777" w:rsidR="004A11F6" w:rsidRDefault="004A11F6" w:rsidP="007D1947"/>
        <w:p w14:paraId="57F8277E" w14:textId="77777777" w:rsidR="004A11F6" w:rsidRDefault="004A11F6" w:rsidP="007D1947"/>
        <w:p w14:paraId="0CD7F226" w14:textId="46916F7E" w:rsidR="004A11F6" w:rsidRDefault="004A11F6" w:rsidP="00322F4F">
          <w:pPr>
            <w:pStyle w:val="Heading1"/>
          </w:pPr>
          <w:bookmarkStart w:id="28" w:name="_Toc104989803"/>
          <w:r>
            <w:t>Financial Analysis</w:t>
          </w:r>
          <w:bookmarkEnd w:id="28"/>
        </w:p>
        <w:p w14:paraId="53714BC2" w14:textId="77777777" w:rsidR="004A11F6" w:rsidRDefault="004A11F6" w:rsidP="007D1947"/>
        <w:tbl>
          <w:tblPr>
            <w:tblW w:w="9820" w:type="dxa"/>
            <w:tblLook w:val="04A0" w:firstRow="1" w:lastRow="0" w:firstColumn="1" w:lastColumn="0" w:noHBand="0" w:noVBand="1"/>
          </w:tblPr>
          <w:tblGrid>
            <w:gridCol w:w="3200"/>
            <w:gridCol w:w="1956"/>
            <w:gridCol w:w="1956"/>
            <w:gridCol w:w="1248"/>
            <w:gridCol w:w="1460"/>
          </w:tblGrid>
          <w:tr w:rsidR="009C1CE2" w:rsidRPr="009C1CE2" w14:paraId="6C347622" w14:textId="77777777" w:rsidTr="009C1CE2">
            <w:trPr>
              <w:trHeight w:val="288"/>
            </w:trPr>
            <w:tc>
              <w:tcPr>
                <w:tcW w:w="3200" w:type="dxa"/>
                <w:tcBorders>
                  <w:top w:val="nil"/>
                  <w:left w:val="nil"/>
                  <w:bottom w:val="nil"/>
                  <w:right w:val="nil"/>
                </w:tcBorders>
                <w:shd w:val="clear" w:color="auto" w:fill="auto"/>
                <w:noWrap/>
                <w:vAlign w:val="bottom"/>
                <w:hideMark/>
              </w:tcPr>
              <w:p w14:paraId="3C7434E8" w14:textId="77777777" w:rsidR="009C1CE2" w:rsidRPr="009C1CE2" w:rsidRDefault="009C1CE2" w:rsidP="009C1CE2">
                <w:pPr>
                  <w:spacing w:after="0" w:line="240" w:lineRule="auto"/>
                  <w:rPr>
                    <w:rFonts w:ascii="Calibri" w:eastAsia="Times New Roman" w:hAnsi="Calibri" w:cs="Calibri"/>
                    <w:b/>
                    <w:bCs/>
                    <w:color w:val="000000"/>
                    <w:lang w:eastAsia="en-GB"/>
                  </w:rPr>
                </w:pPr>
                <w:r w:rsidRPr="009C1CE2">
                  <w:rPr>
                    <w:rFonts w:ascii="Calibri" w:eastAsia="Times New Roman" w:hAnsi="Calibri" w:cs="Calibri"/>
                    <w:b/>
                    <w:bCs/>
                    <w:color w:val="000000"/>
                    <w:lang w:eastAsia="en-GB"/>
                  </w:rPr>
                  <w:t>Income Statement</w:t>
                </w:r>
              </w:p>
            </w:tc>
            <w:tc>
              <w:tcPr>
                <w:tcW w:w="5160" w:type="dxa"/>
                <w:gridSpan w:val="3"/>
                <w:tcBorders>
                  <w:top w:val="nil"/>
                  <w:left w:val="nil"/>
                  <w:bottom w:val="nil"/>
                  <w:right w:val="nil"/>
                </w:tcBorders>
                <w:shd w:val="clear" w:color="auto" w:fill="auto"/>
                <w:noWrap/>
                <w:vAlign w:val="bottom"/>
                <w:hideMark/>
              </w:tcPr>
              <w:p w14:paraId="511E838B" w14:textId="77777777" w:rsidR="009C1CE2" w:rsidRPr="009C1CE2" w:rsidRDefault="009C1CE2" w:rsidP="009C1CE2">
                <w:pPr>
                  <w:spacing w:after="0" w:line="240" w:lineRule="auto"/>
                  <w:rPr>
                    <w:rFonts w:ascii="Arial" w:eastAsia="Times New Roman" w:hAnsi="Arial" w:cs="Arial"/>
                    <w:b/>
                    <w:bCs/>
                    <w:color w:val="232A31"/>
                    <w:lang w:eastAsia="en-GB"/>
                  </w:rPr>
                </w:pPr>
                <w:r w:rsidRPr="009C1CE2">
                  <w:rPr>
                    <w:rFonts w:ascii="Arial" w:eastAsia="Times New Roman" w:hAnsi="Arial" w:cs="Arial"/>
                    <w:b/>
                    <w:bCs/>
                    <w:color w:val="232A31"/>
                    <w:lang w:eastAsia="en-GB"/>
                  </w:rPr>
                  <w:t>Hilton Worldwide Holdings Inc. (HLT)</w:t>
                </w:r>
              </w:p>
            </w:tc>
            <w:tc>
              <w:tcPr>
                <w:tcW w:w="1460" w:type="dxa"/>
                <w:tcBorders>
                  <w:top w:val="nil"/>
                  <w:left w:val="nil"/>
                  <w:bottom w:val="nil"/>
                  <w:right w:val="nil"/>
                </w:tcBorders>
                <w:shd w:val="clear" w:color="auto" w:fill="auto"/>
                <w:noWrap/>
                <w:vAlign w:val="bottom"/>
                <w:hideMark/>
              </w:tcPr>
              <w:p w14:paraId="1AA94E7B" w14:textId="77777777" w:rsidR="009C1CE2" w:rsidRPr="009C1CE2" w:rsidRDefault="009C1CE2" w:rsidP="009C1CE2">
                <w:pPr>
                  <w:spacing w:after="0" w:line="240" w:lineRule="auto"/>
                  <w:rPr>
                    <w:rFonts w:ascii="Arial" w:eastAsia="Times New Roman" w:hAnsi="Arial" w:cs="Arial"/>
                    <w:b/>
                    <w:bCs/>
                    <w:color w:val="232A31"/>
                    <w:lang w:eastAsia="en-GB"/>
                  </w:rPr>
                </w:pPr>
              </w:p>
            </w:tc>
          </w:tr>
          <w:tr w:rsidR="009C1CE2" w:rsidRPr="009C1CE2" w14:paraId="0351A774" w14:textId="77777777" w:rsidTr="009C1CE2">
            <w:trPr>
              <w:trHeight w:val="288"/>
            </w:trPr>
            <w:tc>
              <w:tcPr>
                <w:tcW w:w="3200" w:type="dxa"/>
                <w:tcBorders>
                  <w:top w:val="nil"/>
                  <w:left w:val="nil"/>
                  <w:bottom w:val="nil"/>
                  <w:right w:val="nil"/>
                </w:tcBorders>
                <w:shd w:val="clear" w:color="auto" w:fill="auto"/>
                <w:noWrap/>
                <w:vAlign w:val="bottom"/>
                <w:hideMark/>
              </w:tcPr>
              <w:p w14:paraId="33A4F20F"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c>
              <w:tcPr>
                <w:tcW w:w="1956" w:type="dxa"/>
                <w:tcBorders>
                  <w:top w:val="nil"/>
                  <w:left w:val="nil"/>
                  <w:bottom w:val="nil"/>
                  <w:right w:val="nil"/>
                </w:tcBorders>
                <w:shd w:val="clear" w:color="auto" w:fill="auto"/>
                <w:noWrap/>
                <w:vAlign w:val="bottom"/>
                <w:hideMark/>
              </w:tcPr>
              <w:p w14:paraId="59E6FF17"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2020</w:t>
                </w:r>
              </w:p>
            </w:tc>
            <w:tc>
              <w:tcPr>
                <w:tcW w:w="1956" w:type="dxa"/>
                <w:tcBorders>
                  <w:top w:val="nil"/>
                  <w:left w:val="nil"/>
                  <w:bottom w:val="nil"/>
                  <w:right w:val="nil"/>
                </w:tcBorders>
                <w:shd w:val="clear" w:color="auto" w:fill="auto"/>
                <w:noWrap/>
                <w:vAlign w:val="bottom"/>
                <w:hideMark/>
              </w:tcPr>
              <w:p w14:paraId="0DD506CD"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2019</w:t>
                </w:r>
              </w:p>
            </w:tc>
            <w:tc>
              <w:tcPr>
                <w:tcW w:w="1248" w:type="dxa"/>
                <w:tcBorders>
                  <w:top w:val="nil"/>
                  <w:left w:val="nil"/>
                  <w:bottom w:val="nil"/>
                  <w:right w:val="nil"/>
                </w:tcBorders>
                <w:shd w:val="clear" w:color="auto" w:fill="auto"/>
                <w:noWrap/>
                <w:vAlign w:val="bottom"/>
                <w:hideMark/>
              </w:tcPr>
              <w:p w14:paraId="40729A19" w14:textId="77777777" w:rsidR="009C1CE2" w:rsidRPr="009C1CE2" w:rsidRDefault="009C1CE2" w:rsidP="009C1CE2">
                <w:pPr>
                  <w:spacing w:after="0" w:line="240" w:lineRule="auto"/>
                  <w:rPr>
                    <w:rFonts w:ascii="Calibri" w:eastAsia="Times New Roman" w:hAnsi="Calibri" w:cs="Calibri"/>
                    <w:color w:val="000000"/>
                    <w:lang w:eastAsia="en-GB"/>
                  </w:rPr>
                </w:pPr>
                <w:r w:rsidRPr="009C1CE2">
                  <w:rPr>
                    <w:rFonts w:ascii="Calibri" w:eastAsia="Times New Roman" w:hAnsi="Calibri" w:cs="Calibri"/>
                    <w:color w:val="000000"/>
                    <w:lang w:eastAsia="en-GB"/>
                  </w:rPr>
                  <w:t>Change</w:t>
                </w:r>
              </w:p>
            </w:tc>
            <w:tc>
              <w:tcPr>
                <w:tcW w:w="1460" w:type="dxa"/>
                <w:tcBorders>
                  <w:top w:val="nil"/>
                  <w:left w:val="nil"/>
                  <w:bottom w:val="nil"/>
                  <w:right w:val="nil"/>
                </w:tcBorders>
                <w:shd w:val="clear" w:color="auto" w:fill="auto"/>
                <w:noWrap/>
                <w:vAlign w:val="bottom"/>
                <w:hideMark/>
              </w:tcPr>
              <w:p w14:paraId="078E90B2" w14:textId="77777777" w:rsidR="009C1CE2" w:rsidRPr="009C1CE2" w:rsidRDefault="009C1CE2" w:rsidP="009C1CE2">
                <w:pPr>
                  <w:spacing w:after="0" w:line="240" w:lineRule="auto"/>
                  <w:rPr>
                    <w:rFonts w:ascii="Calibri" w:eastAsia="Times New Roman" w:hAnsi="Calibri" w:cs="Calibri"/>
                    <w:color w:val="000000"/>
                    <w:lang w:eastAsia="en-GB"/>
                  </w:rPr>
                </w:pPr>
                <w:r w:rsidRPr="009C1CE2">
                  <w:rPr>
                    <w:rFonts w:ascii="Calibri" w:eastAsia="Times New Roman" w:hAnsi="Calibri" w:cs="Calibri"/>
                    <w:color w:val="000000"/>
                    <w:lang w:eastAsia="en-GB"/>
                  </w:rPr>
                  <w:t>% Change</w:t>
                </w:r>
              </w:p>
            </w:tc>
          </w:tr>
          <w:tr w:rsidR="009C1CE2" w:rsidRPr="009C1CE2" w14:paraId="3FBB9818" w14:textId="77777777" w:rsidTr="009C1CE2">
            <w:trPr>
              <w:trHeight w:val="288"/>
            </w:trPr>
            <w:tc>
              <w:tcPr>
                <w:tcW w:w="3200" w:type="dxa"/>
                <w:tcBorders>
                  <w:top w:val="nil"/>
                  <w:left w:val="nil"/>
                  <w:bottom w:val="nil"/>
                  <w:right w:val="nil"/>
                </w:tcBorders>
                <w:shd w:val="clear" w:color="auto" w:fill="auto"/>
                <w:noWrap/>
                <w:vAlign w:val="bottom"/>
                <w:hideMark/>
              </w:tcPr>
              <w:p w14:paraId="6E91B5C0" w14:textId="77777777" w:rsidR="009C1CE2" w:rsidRPr="009C1CE2" w:rsidRDefault="009C1CE2" w:rsidP="009C1CE2">
                <w:pPr>
                  <w:spacing w:after="0" w:line="240" w:lineRule="auto"/>
                  <w:rPr>
                    <w:rFonts w:ascii="Calibri" w:eastAsia="Times New Roman" w:hAnsi="Calibri" w:cs="Calibri"/>
                    <w:color w:val="000000"/>
                    <w:lang w:eastAsia="en-GB"/>
                  </w:rPr>
                </w:pPr>
                <w:r w:rsidRPr="009C1CE2">
                  <w:rPr>
                    <w:rFonts w:ascii="Calibri" w:eastAsia="Times New Roman" w:hAnsi="Calibri" w:cs="Calibri"/>
                    <w:color w:val="000000"/>
                    <w:lang w:eastAsia="en-GB"/>
                  </w:rPr>
                  <w:t>Fiscal Year Ends</w:t>
                </w:r>
              </w:p>
            </w:tc>
            <w:tc>
              <w:tcPr>
                <w:tcW w:w="1956" w:type="dxa"/>
                <w:tcBorders>
                  <w:top w:val="nil"/>
                  <w:left w:val="nil"/>
                  <w:bottom w:val="nil"/>
                  <w:right w:val="nil"/>
                </w:tcBorders>
                <w:shd w:val="clear" w:color="auto" w:fill="auto"/>
                <w:noWrap/>
                <w:vAlign w:val="bottom"/>
                <w:hideMark/>
              </w:tcPr>
              <w:p w14:paraId="66F671D3"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31/12/2021</w:t>
                </w:r>
              </w:p>
            </w:tc>
            <w:tc>
              <w:tcPr>
                <w:tcW w:w="1956" w:type="dxa"/>
                <w:tcBorders>
                  <w:top w:val="nil"/>
                  <w:left w:val="nil"/>
                  <w:bottom w:val="nil"/>
                  <w:right w:val="nil"/>
                </w:tcBorders>
                <w:shd w:val="clear" w:color="auto" w:fill="auto"/>
                <w:noWrap/>
                <w:vAlign w:val="bottom"/>
                <w:hideMark/>
              </w:tcPr>
              <w:p w14:paraId="17798BCA"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31/12/2020</w:t>
                </w:r>
              </w:p>
            </w:tc>
            <w:tc>
              <w:tcPr>
                <w:tcW w:w="1248" w:type="dxa"/>
                <w:tcBorders>
                  <w:top w:val="nil"/>
                  <w:left w:val="nil"/>
                  <w:bottom w:val="nil"/>
                  <w:right w:val="nil"/>
                </w:tcBorders>
                <w:shd w:val="clear" w:color="auto" w:fill="auto"/>
                <w:noWrap/>
                <w:vAlign w:val="bottom"/>
                <w:hideMark/>
              </w:tcPr>
              <w:p w14:paraId="2CF47995" w14:textId="77777777" w:rsidR="009C1CE2" w:rsidRPr="009C1CE2" w:rsidRDefault="009C1CE2" w:rsidP="009C1CE2">
                <w:pPr>
                  <w:spacing w:after="0" w:line="240" w:lineRule="auto"/>
                  <w:jc w:val="right"/>
                  <w:rPr>
                    <w:rFonts w:ascii="Calibri" w:eastAsia="Times New Roman" w:hAnsi="Calibri" w:cs="Calibri"/>
                    <w:color w:val="000000"/>
                    <w:lang w:eastAsia="en-GB"/>
                  </w:rPr>
                </w:pPr>
              </w:p>
            </w:tc>
            <w:tc>
              <w:tcPr>
                <w:tcW w:w="1460" w:type="dxa"/>
                <w:tcBorders>
                  <w:top w:val="nil"/>
                  <w:left w:val="nil"/>
                  <w:bottom w:val="nil"/>
                  <w:right w:val="nil"/>
                </w:tcBorders>
                <w:shd w:val="clear" w:color="auto" w:fill="auto"/>
                <w:noWrap/>
                <w:vAlign w:val="bottom"/>
                <w:hideMark/>
              </w:tcPr>
              <w:p w14:paraId="39E9219F"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r>
          <w:tr w:rsidR="009C1CE2" w:rsidRPr="009C1CE2" w14:paraId="78C06B21" w14:textId="77777777" w:rsidTr="009C1CE2">
            <w:trPr>
              <w:trHeight w:val="288"/>
            </w:trPr>
            <w:tc>
              <w:tcPr>
                <w:tcW w:w="3200" w:type="dxa"/>
                <w:tcBorders>
                  <w:top w:val="nil"/>
                  <w:left w:val="nil"/>
                  <w:bottom w:val="nil"/>
                  <w:right w:val="nil"/>
                </w:tcBorders>
                <w:shd w:val="clear" w:color="auto" w:fill="auto"/>
                <w:noWrap/>
                <w:vAlign w:val="bottom"/>
                <w:hideMark/>
              </w:tcPr>
              <w:p w14:paraId="1AC6A790" w14:textId="77777777" w:rsidR="009C1CE2" w:rsidRPr="009C1CE2" w:rsidRDefault="009C1CE2" w:rsidP="009C1CE2">
                <w:pPr>
                  <w:spacing w:after="0" w:line="240" w:lineRule="auto"/>
                  <w:rPr>
                    <w:rFonts w:ascii="Calibri" w:eastAsia="Times New Roman" w:hAnsi="Calibri" w:cs="Calibri"/>
                    <w:color w:val="000000"/>
                    <w:lang w:eastAsia="en-GB"/>
                  </w:rPr>
                </w:pPr>
                <w:r w:rsidRPr="009C1CE2">
                  <w:rPr>
                    <w:rFonts w:ascii="Calibri" w:eastAsia="Times New Roman" w:hAnsi="Calibri" w:cs="Calibri"/>
                    <w:color w:val="000000"/>
                    <w:lang w:eastAsia="en-GB"/>
                  </w:rPr>
                  <w:t>Sales</w:t>
                </w:r>
              </w:p>
            </w:tc>
            <w:tc>
              <w:tcPr>
                <w:tcW w:w="1956" w:type="dxa"/>
                <w:tcBorders>
                  <w:top w:val="nil"/>
                  <w:left w:val="nil"/>
                  <w:bottom w:val="nil"/>
                  <w:right w:val="nil"/>
                </w:tcBorders>
                <w:shd w:val="clear" w:color="auto" w:fill="auto"/>
                <w:noWrap/>
                <w:vAlign w:val="bottom"/>
                <w:hideMark/>
              </w:tcPr>
              <w:p w14:paraId="521706CB" w14:textId="241A3E8F" w:rsidR="009C1CE2" w:rsidRPr="009C1CE2" w:rsidRDefault="009C1CE2" w:rsidP="00F1584C">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4,307,000</w:t>
                </w:r>
              </w:p>
            </w:tc>
            <w:tc>
              <w:tcPr>
                <w:tcW w:w="1956" w:type="dxa"/>
                <w:tcBorders>
                  <w:top w:val="nil"/>
                  <w:left w:val="nil"/>
                  <w:bottom w:val="nil"/>
                  <w:right w:val="nil"/>
                </w:tcBorders>
                <w:shd w:val="clear" w:color="auto" w:fill="auto"/>
                <w:noWrap/>
                <w:vAlign w:val="bottom"/>
                <w:hideMark/>
              </w:tcPr>
              <w:p w14:paraId="586C7E86"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9,452,000</w:t>
                </w:r>
              </w:p>
            </w:tc>
            <w:tc>
              <w:tcPr>
                <w:tcW w:w="1248" w:type="dxa"/>
                <w:tcBorders>
                  <w:top w:val="nil"/>
                  <w:left w:val="nil"/>
                  <w:bottom w:val="nil"/>
                  <w:right w:val="nil"/>
                </w:tcBorders>
                <w:shd w:val="clear" w:color="auto" w:fill="auto"/>
                <w:noWrap/>
                <w:vAlign w:val="bottom"/>
                <w:hideMark/>
              </w:tcPr>
              <w:p w14:paraId="553EC048" w14:textId="7683893C" w:rsidR="009C1CE2" w:rsidRPr="009C1CE2" w:rsidRDefault="0066677D" w:rsidP="009C1CE2">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-5,145,000</w:t>
                </w:r>
              </w:p>
            </w:tc>
            <w:tc>
              <w:tcPr>
                <w:tcW w:w="1460" w:type="dxa"/>
                <w:tcBorders>
                  <w:top w:val="nil"/>
                  <w:left w:val="nil"/>
                  <w:bottom w:val="nil"/>
                  <w:right w:val="nil"/>
                </w:tcBorders>
                <w:shd w:val="clear" w:color="auto" w:fill="auto"/>
                <w:noWrap/>
                <w:vAlign w:val="bottom"/>
                <w:hideMark/>
              </w:tcPr>
              <w:p w14:paraId="1E79A11A" w14:textId="77777777" w:rsidR="009C1CE2" w:rsidRDefault="009C1CE2" w:rsidP="009C1CE2">
                <w:pPr>
                  <w:spacing w:after="0" w:line="240" w:lineRule="auto"/>
                  <w:rPr>
                    <w:rFonts w:ascii="Times New Roman" w:eastAsia="Times New Roman" w:hAnsi="Times New Roman" w:cs="Times New Roman"/>
                    <w:sz w:val="20"/>
                    <w:szCs w:val="20"/>
                    <w:lang w:eastAsia="en-GB"/>
                  </w:rPr>
                </w:pPr>
              </w:p>
              <w:p w14:paraId="63636FAF" w14:textId="6F84298E" w:rsidR="00A74E94" w:rsidRPr="0036526A" w:rsidRDefault="0036526A" w:rsidP="0036526A">
                <w:pPr>
                  <w:spacing w:after="0" w:line="240" w:lineRule="auto"/>
                  <w:jc w:val="right"/>
                  <w:rPr>
                    <w:rFonts w:eastAsia="Times New Roman" w:cstheme="minorHAnsi"/>
                    <w:sz w:val="20"/>
                    <w:szCs w:val="20"/>
                    <w:lang w:eastAsia="en-GB"/>
                  </w:rPr>
                </w:pPr>
                <w:r w:rsidRPr="0036526A">
                  <w:rPr>
                    <w:rFonts w:eastAsia="Times New Roman" w:cstheme="minorHAnsi"/>
                    <w:sz w:val="20"/>
                    <w:szCs w:val="20"/>
                    <w:lang w:eastAsia="en-GB"/>
                  </w:rPr>
                  <w:t>-54</w:t>
                </w:r>
                <w:r>
                  <w:rPr>
                    <w:rFonts w:eastAsia="Times New Roman" w:cstheme="minorHAnsi"/>
                    <w:sz w:val="20"/>
                    <w:szCs w:val="20"/>
                    <w:lang w:eastAsia="en-GB"/>
                  </w:rPr>
                  <w:t>%</w:t>
                </w:r>
                <w:r w:rsidRPr="0036526A">
                  <w:rPr>
                    <w:rFonts w:eastAsia="Times New Roman" w:cstheme="minorHAnsi"/>
                    <w:sz w:val="20"/>
                    <w:szCs w:val="20"/>
                    <w:lang w:eastAsia="en-GB"/>
                  </w:rPr>
                  <w:t xml:space="preserve"> </w:t>
                </w:r>
              </w:p>
            </w:tc>
          </w:tr>
          <w:tr w:rsidR="009C1CE2" w:rsidRPr="009C1CE2" w14:paraId="47A149B2" w14:textId="77777777" w:rsidTr="009C1CE2">
            <w:trPr>
              <w:trHeight w:val="288"/>
            </w:trPr>
            <w:tc>
              <w:tcPr>
                <w:tcW w:w="3200" w:type="dxa"/>
                <w:tcBorders>
                  <w:top w:val="nil"/>
                  <w:left w:val="nil"/>
                  <w:bottom w:val="nil"/>
                  <w:right w:val="nil"/>
                </w:tcBorders>
                <w:shd w:val="clear" w:color="auto" w:fill="auto"/>
                <w:noWrap/>
                <w:vAlign w:val="bottom"/>
                <w:hideMark/>
              </w:tcPr>
              <w:p w14:paraId="08DADA09" w14:textId="77777777" w:rsidR="009C1CE2" w:rsidRPr="009C1CE2" w:rsidRDefault="009C1CE2" w:rsidP="009C1CE2">
                <w:pPr>
                  <w:spacing w:after="0" w:line="240" w:lineRule="auto"/>
                  <w:rPr>
                    <w:rFonts w:ascii="Calibri" w:eastAsia="Times New Roman" w:hAnsi="Calibri" w:cs="Calibri"/>
                    <w:color w:val="000000"/>
                    <w:lang w:eastAsia="en-GB"/>
                  </w:rPr>
                </w:pPr>
                <w:r w:rsidRPr="009C1CE2">
                  <w:rPr>
                    <w:rFonts w:ascii="Calibri" w:eastAsia="Times New Roman" w:hAnsi="Calibri" w:cs="Calibri"/>
                    <w:color w:val="000000"/>
                    <w:lang w:eastAsia="en-GB"/>
                  </w:rPr>
                  <w:t>Cost of goods sold</w:t>
                </w:r>
              </w:p>
            </w:tc>
            <w:tc>
              <w:tcPr>
                <w:tcW w:w="1956" w:type="dxa"/>
                <w:tcBorders>
                  <w:top w:val="nil"/>
                  <w:left w:val="nil"/>
                  <w:bottom w:val="nil"/>
                  <w:right w:val="nil"/>
                </w:tcBorders>
                <w:shd w:val="clear" w:color="auto" w:fill="auto"/>
                <w:noWrap/>
                <w:vAlign w:val="bottom"/>
                <w:hideMark/>
              </w:tcPr>
              <w:p w14:paraId="4EEB4749"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3,724,000</w:t>
                </w:r>
              </w:p>
            </w:tc>
            <w:tc>
              <w:tcPr>
                <w:tcW w:w="1956" w:type="dxa"/>
                <w:tcBorders>
                  <w:top w:val="nil"/>
                  <w:left w:val="nil"/>
                  <w:bottom w:val="nil"/>
                  <w:right w:val="nil"/>
                </w:tcBorders>
                <w:shd w:val="clear" w:color="auto" w:fill="auto"/>
                <w:noWrap/>
                <w:vAlign w:val="bottom"/>
                <w:hideMark/>
              </w:tcPr>
              <w:p w14:paraId="331AA851"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7,017,000</w:t>
                </w:r>
              </w:p>
            </w:tc>
            <w:tc>
              <w:tcPr>
                <w:tcW w:w="1248" w:type="dxa"/>
                <w:tcBorders>
                  <w:top w:val="nil"/>
                  <w:left w:val="nil"/>
                  <w:bottom w:val="nil"/>
                  <w:right w:val="nil"/>
                </w:tcBorders>
                <w:shd w:val="clear" w:color="auto" w:fill="auto"/>
                <w:noWrap/>
                <w:vAlign w:val="bottom"/>
                <w:hideMark/>
              </w:tcPr>
              <w:p w14:paraId="20B7FB60" w14:textId="3E5D61CE" w:rsidR="009C1CE2" w:rsidRPr="009C1CE2" w:rsidRDefault="0066677D" w:rsidP="009C1CE2">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-3,293,000</w:t>
                </w:r>
              </w:p>
            </w:tc>
            <w:tc>
              <w:tcPr>
                <w:tcW w:w="1460" w:type="dxa"/>
                <w:tcBorders>
                  <w:top w:val="nil"/>
                  <w:left w:val="nil"/>
                  <w:bottom w:val="nil"/>
                  <w:right w:val="nil"/>
                </w:tcBorders>
                <w:shd w:val="clear" w:color="auto" w:fill="auto"/>
                <w:noWrap/>
                <w:vAlign w:val="bottom"/>
                <w:hideMark/>
              </w:tcPr>
              <w:p w14:paraId="4D336472" w14:textId="5875A065" w:rsidR="009C1CE2" w:rsidRPr="0036526A" w:rsidRDefault="0036526A" w:rsidP="0036526A">
                <w:pPr>
                  <w:spacing w:after="0" w:line="240" w:lineRule="auto"/>
                  <w:jc w:val="right"/>
                  <w:rPr>
                    <w:rFonts w:eastAsia="Times New Roman" w:cstheme="minorHAnsi"/>
                    <w:sz w:val="20"/>
                    <w:szCs w:val="20"/>
                    <w:lang w:eastAsia="en-GB"/>
                  </w:rPr>
                </w:pPr>
                <w:r>
                  <w:rPr>
                    <w:rFonts w:eastAsia="Times New Roman" w:cstheme="minorHAnsi"/>
                    <w:sz w:val="20"/>
                    <w:szCs w:val="20"/>
                    <w:lang w:eastAsia="en-GB"/>
                  </w:rPr>
                  <w:t>-47%</w:t>
                </w:r>
              </w:p>
            </w:tc>
          </w:tr>
          <w:tr w:rsidR="009C1CE2" w:rsidRPr="009C1CE2" w14:paraId="46F4F6E0" w14:textId="77777777" w:rsidTr="009C1CE2">
            <w:trPr>
              <w:trHeight w:val="288"/>
            </w:trPr>
            <w:tc>
              <w:tcPr>
                <w:tcW w:w="3200" w:type="dxa"/>
                <w:tcBorders>
                  <w:top w:val="nil"/>
                  <w:left w:val="nil"/>
                  <w:bottom w:val="nil"/>
                  <w:right w:val="nil"/>
                </w:tcBorders>
                <w:shd w:val="clear" w:color="auto" w:fill="auto"/>
                <w:noWrap/>
                <w:vAlign w:val="bottom"/>
                <w:hideMark/>
              </w:tcPr>
              <w:p w14:paraId="11951B2B" w14:textId="77777777" w:rsidR="009C1CE2" w:rsidRPr="009C1CE2" w:rsidRDefault="009C1CE2" w:rsidP="009C1CE2">
                <w:pPr>
                  <w:spacing w:after="0" w:line="240" w:lineRule="auto"/>
                  <w:rPr>
                    <w:rFonts w:ascii="Calibri" w:eastAsia="Times New Roman" w:hAnsi="Calibri" w:cs="Calibri"/>
                    <w:color w:val="000000"/>
                    <w:lang w:eastAsia="en-GB"/>
                  </w:rPr>
                </w:pPr>
                <w:r w:rsidRPr="009C1CE2">
                  <w:rPr>
                    <w:rFonts w:ascii="Calibri" w:eastAsia="Times New Roman" w:hAnsi="Calibri" w:cs="Calibri"/>
                    <w:color w:val="000000"/>
                    <w:lang w:eastAsia="en-GB"/>
                  </w:rPr>
                  <w:t>Gross profit</w:t>
                </w:r>
              </w:p>
            </w:tc>
            <w:tc>
              <w:tcPr>
                <w:tcW w:w="1956" w:type="dxa"/>
                <w:tcBorders>
                  <w:top w:val="nil"/>
                  <w:left w:val="nil"/>
                  <w:bottom w:val="nil"/>
                  <w:right w:val="nil"/>
                </w:tcBorders>
                <w:shd w:val="clear" w:color="auto" w:fill="auto"/>
                <w:noWrap/>
                <w:vAlign w:val="bottom"/>
                <w:hideMark/>
              </w:tcPr>
              <w:p w14:paraId="203FEA82"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583,000</w:t>
                </w:r>
              </w:p>
            </w:tc>
            <w:tc>
              <w:tcPr>
                <w:tcW w:w="1956" w:type="dxa"/>
                <w:tcBorders>
                  <w:top w:val="nil"/>
                  <w:left w:val="nil"/>
                  <w:bottom w:val="nil"/>
                  <w:right w:val="nil"/>
                </w:tcBorders>
                <w:shd w:val="clear" w:color="auto" w:fill="auto"/>
                <w:noWrap/>
                <w:vAlign w:val="bottom"/>
                <w:hideMark/>
              </w:tcPr>
              <w:p w14:paraId="4F14454F"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2,435,000</w:t>
                </w:r>
              </w:p>
            </w:tc>
            <w:tc>
              <w:tcPr>
                <w:tcW w:w="1248" w:type="dxa"/>
                <w:tcBorders>
                  <w:top w:val="nil"/>
                  <w:left w:val="nil"/>
                  <w:bottom w:val="nil"/>
                  <w:right w:val="nil"/>
                </w:tcBorders>
                <w:shd w:val="clear" w:color="auto" w:fill="auto"/>
                <w:noWrap/>
                <w:vAlign w:val="bottom"/>
                <w:hideMark/>
              </w:tcPr>
              <w:p w14:paraId="57B3B77F" w14:textId="3F90B9A6" w:rsidR="009C1CE2" w:rsidRPr="009C1CE2" w:rsidRDefault="0066677D" w:rsidP="009C1CE2">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-1,852,000</w:t>
                </w:r>
              </w:p>
            </w:tc>
            <w:tc>
              <w:tcPr>
                <w:tcW w:w="1460" w:type="dxa"/>
                <w:tcBorders>
                  <w:top w:val="nil"/>
                  <w:left w:val="nil"/>
                  <w:bottom w:val="nil"/>
                  <w:right w:val="nil"/>
                </w:tcBorders>
                <w:shd w:val="clear" w:color="auto" w:fill="auto"/>
                <w:noWrap/>
                <w:vAlign w:val="bottom"/>
                <w:hideMark/>
              </w:tcPr>
              <w:p w14:paraId="24936E23" w14:textId="53B8C91D" w:rsidR="009C1CE2" w:rsidRPr="0036526A" w:rsidRDefault="0036526A" w:rsidP="0036526A">
                <w:pPr>
                  <w:spacing w:after="0" w:line="240" w:lineRule="auto"/>
                  <w:jc w:val="right"/>
                  <w:rPr>
                    <w:rFonts w:eastAsia="Times New Roman" w:cstheme="minorHAnsi"/>
                    <w:sz w:val="20"/>
                    <w:szCs w:val="20"/>
                    <w:lang w:eastAsia="en-GB"/>
                  </w:rPr>
                </w:pPr>
                <w:r w:rsidRPr="0036526A">
                  <w:rPr>
                    <w:rFonts w:eastAsia="Times New Roman" w:cstheme="minorHAnsi"/>
                    <w:sz w:val="20"/>
                    <w:szCs w:val="20"/>
                    <w:lang w:eastAsia="en-GB"/>
                  </w:rPr>
                  <w:t xml:space="preserve">-76% </w:t>
                </w:r>
              </w:p>
            </w:tc>
          </w:tr>
          <w:tr w:rsidR="009C1CE2" w:rsidRPr="009C1CE2" w14:paraId="7FBDA34D" w14:textId="77777777" w:rsidTr="009C1CE2">
            <w:trPr>
              <w:trHeight w:val="288"/>
            </w:trPr>
            <w:tc>
              <w:tcPr>
                <w:tcW w:w="3200" w:type="dxa"/>
                <w:tcBorders>
                  <w:top w:val="nil"/>
                  <w:left w:val="nil"/>
                  <w:bottom w:val="nil"/>
                  <w:right w:val="nil"/>
                </w:tcBorders>
                <w:shd w:val="clear" w:color="auto" w:fill="auto"/>
                <w:noWrap/>
                <w:vAlign w:val="bottom"/>
                <w:hideMark/>
              </w:tcPr>
              <w:p w14:paraId="3EAFD820" w14:textId="77777777" w:rsidR="009C1CE2" w:rsidRPr="009C1CE2" w:rsidRDefault="009C1CE2" w:rsidP="009C1CE2">
                <w:pPr>
                  <w:spacing w:after="0" w:line="240" w:lineRule="auto"/>
                  <w:rPr>
                    <w:rFonts w:ascii="Calibri" w:eastAsia="Times New Roman" w:hAnsi="Calibri" w:cs="Calibri"/>
                    <w:color w:val="000000"/>
                    <w:lang w:eastAsia="en-GB"/>
                  </w:rPr>
                </w:pPr>
                <w:r w:rsidRPr="009C1CE2">
                  <w:rPr>
                    <w:rFonts w:ascii="Calibri" w:eastAsia="Times New Roman" w:hAnsi="Calibri" w:cs="Calibri"/>
                    <w:color w:val="000000"/>
                    <w:lang w:eastAsia="en-GB"/>
                  </w:rPr>
                  <w:t>Operating Expenses</w:t>
                </w:r>
              </w:p>
            </w:tc>
            <w:tc>
              <w:tcPr>
                <w:tcW w:w="1956" w:type="dxa"/>
                <w:tcBorders>
                  <w:top w:val="nil"/>
                  <w:left w:val="nil"/>
                  <w:bottom w:val="nil"/>
                  <w:right w:val="nil"/>
                </w:tcBorders>
                <w:shd w:val="clear" w:color="auto" w:fill="auto"/>
                <w:noWrap/>
                <w:vAlign w:val="bottom"/>
                <w:hideMark/>
              </w:tcPr>
              <w:p w14:paraId="7B031AEA"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702,000</w:t>
                </w:r>
              </w:p>
            </w:tc>
            <w:tc>
              <w:tcPr>
                <w:tcW w:w="1956" w:type="dxa"/>
                <w:tcBorders>
                  <w:top w:val="nil"/>
                  <w:left w:val="nil"/>
                  <w:bottom w:val="nil"/>
                  <w:right w:val="nil"/>
                </w:tcBorders>
                <w:shd w:val="clear" w:color="auto" w:fill="auto"/>
                <w:noWrap/>
                <w:vAlign w:val="bottom"/>
                <w:hideMark/>
              </w:tcPr>
              <w:p w14:paraId="412C744D"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859,000</w:t>
                </w:r>
              </w:p>
            </w:tc>
            <w:tc>
              <w:tcPr>
                <w:tcW w:w="1248" w:type="dxa"/>
                <w:tcBorders>
                  <w:top w:val="nil"/>
                  <w:left w:val="nil"/>
                  <w:bottom w:val="nil"/>
                  <w:right w:val="nil"/>
                </w:tcBorders>
                <w:shd w:val="clear" w:color="auto" w:fill="auto"/>
                <w:noWrap/>
                <w:vAlign w:val="bottom"/>
                <w:hideMark/>
              </w:tcPr>
              <w:p w14:paraId="61767A06" w14:textId="680CE462" w:rsidR="009C1CE2" w:rsidRPr="009C1CE2" w:rsidRDefault="0066677D" w:rsidP="009C1CE2">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-157,000</w:t>
                </w:r>
              </w:p>
            </w:tc>
            <w:tc>
              <w:tcPr>
                <w:tcW w:w="1460" w:type="dxa"/>
                <w:tcBorders>
                  <w:top w:val="nil"/>
                  <w:left w:val="nil"/>
                  <w:bottom w:val="nil"/>
                  <w:right w:val="nil"/>
                </w:tcBorders>
                <w:shd w:val="clear" w:color="auto" w:fill="auto"/>
                <w:noWrap/>
                <w:vAlign w:val="bottom"/>
                <w:hideMark/>
              </w:tcPr>
              <w:p w14:paraId="19342008" w14:textId="30F03710" w:rsidR="009C1CE2" w:rsidRPr="0036526A" w:rsidRDefault="0036526A" w:rsidP="0036526A">
                <w:pPr>
                  <w:spacing w:after="0" w:line="240" w:lineRule="auto"/>
                  <w:jc w:val="right"/>
                  <w:rPr>
                    <w:rFonts w:eastAsia="Times New Roman" w:cstheme="minorHAnsi"/>
                    <w:sz w:val="20"/>
                    <w:szCs w:val="20"/>
                    <w:lang w:eastAsia="en-GB"/>
                  </w:rPr>
                </w:pPr>
                <w:r w:rsidRPr="0036526A">
                  <w:rPr>
                    <w:rFonts w:eastAsia="Times New Roman" w:cstheme="minorHAnsi"/>
                    <w:sz w:val="20"/>
                    <w:szCs w:val="20"/>
                    <w:lang w:eastAsia="en-GB"/>
                  </w:rPr>
                  <w:t>-18%</w:t>
                </w:r>
              </w:p>
            </w:tc>
          </w:tr>
          <w:tr w:rsidR="009C1CE2" w:rsidRPr="009C1CE2" w14:paraId="22704FA7" w14:textId="77777777" w:rsidTr="009C1CE2">
            <w:trPr>
              <w:trHeight w:val="288"/>
            </w:trPr>
            <w:tc>
              <w:tcPr>
                <w:tcW w:w="3200" w:type="dxa"/>
                <w:tcBorders>
                  <w:top w:val="nil"/>
                  <w:left w:val="nil"/>
                  <w:bottom w:val="nil"/>
                  <w:right w:val="nil"/>
                </w:tcBorders>
                <w:shd w:val="clear" w:color="auto" w:fill="auto"/>
                <w:noWrap/>
                <w:vAlign w:val="bottom"/>
                <w:hideMark/>
              </w:tcPr>
              <w:p w14:paraId="292EBD5B" w14:textId="77777777" w:rsidR="009C1CE2" w:rsidRPr="009C1CE2" w:rsidRDefault="009C1CE2" w:rsidP="009C1CE2">
                <w:pPr>
                  <w:spacing w:after="0" w:line="240" w:lineRule="auto"/>
                  <w:rPr>
                    <w:rFonts w:ascii="Calibri" w:eastAsia="Times New Roman" w:hAnsi="Calibri" w:cs="Calibri"/>
                    <w:color w:val="000000"/>
                    <w:lang w:eastAsia="en-GB"/>
                  </w:rPr>
                </w:pPr>
                <w:r w:rsidRPr="009C1CE2">
                  <w:rPr>
                    <w:rFonts w:ascii="Calibri" w:eastAsia="Times New Roman" w:hAnsi="Calibri" w:cs="Calibri"/>
                    <w:color w:val="000000"/>
                    <w:lang w:eastAsia="en-GB"/>
                  </w:rPr>
                  <w:t>Operating income</w:t>
                </w:r>
              </w:p>
            </w:tc>
            <w:tc>
              <w:tcPr>
                <w:tcW w:w="1956" w:type="dxa"/>
                <w:tcBorders>
                  <w:top w:val="nil"/>
                  <w:left w:val="nil"/>
                  <w:bottom w:val="nil"/>
                  <w:right w:val="nil"/>
                </w:tcBorders>
                <w:shd w:val="clear" w:color="auto" w:fill="auto"/>
                <w:noWrap/>
                <w:vAlign w:val="bottom"/>
                <w:hideMark/>
              </w:tcPr>
              <w:p w14:paraId="0123139F"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-119,000</w:t>
                </w:r>
              </w:p>
            </w:tc>
            <w:tc>
              <w:tcPr>
                <w:tcW w:w="1956" w:type="dxa"/>
                <w:tcBorders>
                  <w:top w:val="nil"/>
                  <w:left w:val="nil"/>
                  <w:bottom w:val="nil"/>
                  <w:right w:val="nil"/>
                </w:tcBorders>
                <w:shd w:val="clear" w:color="auto" w:fill="auto"/>
                <w:noWrap/>
                <w:vAlign w:val="bottom"/>
                <w:hideMark/>
              </w:tcPr>
              <w:p w14:paraId="39B459C8"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1,576,000</w:t>
                </w:r>
              </w:p>
            </w:tc>
            <w:tc>
              <w:tcPr>
                <w:tcW w:w="1248" w:type="dxa"/>
                <w:tcBorders>
                  <w:top w:val="nil"/>
                  <w:left w:val="nil"/>
                  <w:bottom w:val="nil"/>
                  <w:right w:val="nil"/>
                </w:tcBorders>
                <w:shd w:val="clear" w:color="auto" w:fill="auto"/>
                <w:noWrap/>
                <w:vAlign w:val="bottom"/>
                <w:hideMark/>
              </w:tcPr>
              <w:p w14:paraId="56E52F23" w14:textId="404F5BD4" w:rsidR="009C1CE2" w:rsidRPr="009C1CE2" w:rsidRDefault="0066677D" w:rsidP="009C1CE2">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-1,695,000</w:t>
                </w:r>
              </w:p>
            </w:tc>
            <w:tc>
              <w:tcPr>
                <w:tcW w:w="1460" w:type="dxa"/>
                <w:tcBorders>
                  <w:top w:val="nil"/>
                  <w:left w:val="nil"/>
                  <w:bottom w:val="nil"/>
                  <w:right w:val="nil"/>
                </w:tcBorders>
                <w:shd w:val="clear" w:color="auto" w:fill="auto"/>
                <w:noWrap/>
                <w:vAlign w:val="bottom"/>
                <w:hideMark/>
              </w:tcPr>
              <w:p w14:paraId="314E4315" w14:textId="08631663" w:rsidR="009C1CE2" w:rsidRPr="00933A18" w:rsidRDefault="00933A18" w:rsidP="00933A18">
                <w:pPr>
                  <w:spacing w:after="0" w:line="240" w:lineRule="auto"/>
                  <w:jc w:val="right"/>
                  <w:rPr>
                    <w:rFonts w:eastAsia="Times New Roman" w:cstheme="minorHAnsi"/>
                    <w:sz w:val="20"/>
                    <w:szCs w:val="20"/>
                    <w:lang w:eastAsia="en-GB"/>
                  </w:rPr>
                </w:pPr>
                <w:r w:rsidRPr="00933A18">
                  <w:rPr>
                    <w:rFonts w:eastAsia="Times New Roman" w:cstheme="minorHAnsi"/>
                    <w:sz w:val="20"/>
                    <w:szCs w:val="20"/>
                    <w:lang w:eastAsia="en-GB"/>
                  </w:rPr>
                  <w:t>-108%</w:t>
                </w:r>
              </w:p>
            </w:tc>
          </w:tr>
          <w:tr w:rsidR="009C1CE2" w:rsidRPr="009C1CE2" w14:paraId="094DF5AC" w14:textId="77777777" w:rsidTr="009C1CE2">
            <w:trPr>
              <w:trHeight w:val="288"/>
            </w:trPr>
            <w:tc>
              <w:tcPr>
                <w:tcW w:w="3200" w:type="dxa"/>
                <w:tcBorders>
                  <w:top w:val="nil"/>
                  <w:left w:val="nil"/>
                  <w:bottom w:val="nil"/>
                  <w:right w:val="nil"/>
                </w:tcBorders>
                <w:shd w:val="clear" w:color="auto" w:fill="auto"/>
                <w:noWrap/>
                <w:vAlign w:val="bottom"/>
                <w:hideMark/>
              </w:tcPr>
              <w:p w14:paraId="49AC7709" w14:textId="77777777" w:rsidR="009C1CE2" w:rsidRPr="009C1CE2" w:rsidRDefault="009C1CE2" w:rsidP="009C1CE2">
                <w:pPr>
                  <w:spacing w:after="0" w:line="240" w:lineRule="auto"/>
                  <w:rPr>
                    <w:rFonts w:ascii="Calibri" w:eastAsia="Times New Roman" w:hAnsi="Calibri" w:cs="Calibri"/>
                    <w:color w:val="000000"/>
                    <w:lang w:eastAsia="en-GB"/>
                  </w:rPr>
                </w:pPr>
                <w:r w:rsidRPr="009C1CE2">
                  <w:rPr>
                    <w:rFonts w:ascii="Calibri" w:eastAsia="Times New Roman" w:hAnsi="Calibri" w:cs="Calibri"/>
                    <w:color w:val="000000"/>
                    <w:lang w:eastAsia="en-GB"/>
                  </w:rPr>
                  <w:t>Interest Expense</w:t>
                </w:r>
              </w:p>
            </w:tc>
            <w:tc>
              <w:tcPr>
                <w:tcW w:w="1956" w:type="dxa"/>
                <w:tcBorders>
                  <w:top w:val="nil"/>
                  <w:left w:val="nil"/>
                  <w:bottom w:val="nil"/>
                  <w:right w:val="nil"/>
                </w:tcBorders>
                <w:shd w:val="clear" w:color="auto" w:fill="auto"/>
                <w:noWrap/>
                <w:vAlign w:val="bottom"/>
                <w:hideMark/>
              </w:tcPr>
              <w:p w14:paraId="785F650A"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429,000</w:t>
                </w:r>
              </w:p>
            </w:tc>
            <w:tc>
              <w:tcPr>
                <w:tcW w:w="1956" w:type="dxa"/>
                <w:tcBorders>
                  <w:top w:val="nil"/>
                  <w:left w:val="nil"/>
                  <w:bottom w:val="nil"/>
                  <w:right w:val="nil"/>
                </w:tcBorders>
                <w:shd w:val="clear" w:color="auto" w:fill="auto"/>
                <w:noWrap/>
                <w:vAlign w:val="bottom"/>
                <w:hideMark/>
              </w:tcPr>
              <w:p w14:paraId="7EB4297D"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414,000</w:t>
                </w:r>
              </w:p>
            </w:tc>
            <w:tc>
              <w:tcPr>
                <w:tcW w:w="1248" w:type="dxa"/>
                <w:tcBorders>
                  <w:top w:val="nil"/>
                  <w:left w:val="nil"/>
                  <w:bottom w:val="nil"/>
                  <w:right w:val="nil"/>
                </w:tcBorders>
                <w:shd w:val="clear" w:color="auto" w:fill="auto"/>
                <w:noWrap/>
                <w:vAlign w:val="bottom"/>
                <w:hideMark/>
              </w:tcPr>
              <w:p w14:paraId="60A8A029" w14:textId="260BAB33" w:rsidR="009C1CE2" w:rsidRPr="009C1CE2" w:rsidRDefault="0066677D" w:rsidP="009C1CE2">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15,000</w:t>
                </w:r>
              </w:p>
            </w:tc>
            <w:tc>
              <w:tcPr>
                <w:tcW w:w="1460" w:type="dxa"/>
                <w:tcBorders>
                  <w:top w:val="nil"/>
                  <w:left w:val="nil"/>
                  <w:bottom w:val="nil"/>
                  <w:right w:val="nil"/>
                </w:tcBorders>
                <w:shd w:val="clear" w:color="auto" w:fill="auto"/>
                <w:noWrap/>
                <w:vAlign w:val="bottom"/>
                <w:hideMark/>
              </w:tcPr>
              <w:p w14:paraId="4015398F" w14:textId="1954D8AE" w:rsidR="009C1CE2" w:rsidRPr="00933A18" w:rsidRDefault="00933A18" w:rsidP="00933A18">
                <w:pPr>
                  <w:spacing w:after="0" w:line="240" w:lineRule="auto"/>
                  <w:jc w:val="right"/>
                  <w:rPr>
                    <w:rFonts w:eastAsia="Times New Roman" w:cstheme="minorHAnsi"/>
                    <w:sz w:val="20"/>
                    <w:szCs w:val="20"/>
                    <w:lang w:eastAsia="en-GB"/>
                  </w:rPr>
                </w:pPr>
                <w:r w:rsidRPr="00933A18">
                  <w:rPr>
                    <w:rFonts w:eastAsia="Times New Roman" w:cstheme="minorHAnsi"/>
                    <w:sz w:val="20"/>
                    <w:szCs w:val="20"/>
                    <w:lang w:eastAsia="en-GB"/>
                  </w:rPr>
                  <w:t>-40%</w:t>
                </w:r>
              </w:p>
            </w:tc>
          </w:tr>
          <w:tr w:rsidR="009C1CE2" w:rsidRPr="009C1CE2" w14:paraId="1213894D" w14:textId="77777777" w:rsidTr="009C1CE2">
            <w:trPr>
              <w:trHeight w:val="288"/>
            </w:trPr>
            <w:tc>
              <w:tcPr>
                <w:tcW w:w="3200" w:type="dxa"/>
                <w:tcBorders>
                  <w:top w:val="nil"/>
                  <w:left w:val="nil"/>
                  <w:bottom w:val="nil"/>
                  <w:right w:val="nil"/>
                </w:tcBorders>
                <w:shd w:val="clear" w:color="auto" w:fill="auto"/>
                <w:noWrap/>
                <w:vAlign w:val="bottom"/>
                <w:hideMark/>
              </w:tcPr>
              <w:p w14:paraId="0ED68F58" w14:textId="77777777" w:rsidR="009C1CE2" w:rsidRPr="009C1CE2" w:rsidRDefault="009C1CE2" w:rsidP="009C1CE2">
                <w:pPr>
                  <w:spacing w:after="0" w:line="240" w:lineRule="auto"/>
                  <w:rPr>
                    <w:rFonts w:ascii="Calibri" w:eastAsia="Times New Roman" w:hAnsi="Calibri" w:cs="Calibri"/>
                    <w:color w:val="000000"/>
                    <w:lang w:eastAsia="en-GB"/>
                  </w:rPr>
                </w:pPr>
                <w:r w:rsidRPr="009C1CE2">
                  <w:rPr>
                    <w:rFonts w:ascii="Calibri" w:eastAsia="Times New Roman" w:hAnsi="Calibri" w:cs="Calibri"/>
                    <w:color w:val="000000"/>
                    <w:lang w:eastAsia="en-GB"/>
                  </w:rPr>
                  <w:t xml:space="preserve">Total Other income/ expenses net </w:t>
                </w:r>
              </w:p>
            </w:tc>
            <w:tc>
              <w:tcPr>
                <w:tcW w:w="1956" w:type="dxa"/>
                <w:tcBorders>
                  <w:top w:val="nil"/>
                  <w:left w:val="nil"/>
                  <w:bottom w:val="nil"/>
                  <w:right w:val="nil"/>
                </w:tcBorders>
                <w:shd w:val="clear" w:color="auto" w:fill="auto"/>
                <w:noWrap/>
                <w:vAlign w:val="bottom"/>
                <w:hideMark/>
              </w:tcPr>
              <w:p w14:paraId="5845DDDC"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-376,000</w:t>
                </w:r>
              </w:p>
            </w:tc>
            <w:tc>
              <w:tcPr>
                <w:tcW w:w="1956" w:type="dxa"/>
                <w:tcBorders>
                  <w:top w:val="nil"/>
                  <w:left w:val="nil"/>
                  <w:bottom w:val="nil"/>
                  <w:right w:val="nil"/>
                </w:tcBorders>
                <w:shd w:val="clear" w:color="auto" w:fill="auto"/>
                <w:noWrap/>
                <w:vAlign w:val="bottom"/>
                <w:hideMark/>
              </w:tcPr>
              <w:p w14:paraId="0B5D3849"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82,000</w:t>
                </w:r>
              </w:p>
            </w:tc>
            <w:tc>
              <w:tcPr>
                <w:tcW w:w="1248" w:type="dxa"/>
                <w:tcBorders>
                  <w:top w:val="nil"/>
                  <w:left w:val="nil"/>
                  <w:bottom w:val="nil"/>
                  <w:right w:val="nil"/>
                </w:tcBorders>
                <w:shd w:val="clear" w:color="auto" w:fill="auto"/>
                <w:noWrap/>
                <w:vAlign w:val="bottom"/>
                <w:hideMark/>
              </w:tcPr>
              <w:p w14:paraId="1245098F" w14:textId="191BC1F4" w:rsidR="009C1CE2" w:rsidRPr="009C1CE2" w:rsidRDefault="0066677D" w:rsidP="009C1CE2">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-458,000</w:t>
                </w:r>
              </w:p>
            </w:tc>
            <w:tc>
              <w:tcPr>
                <w:tcW w:w="1460" w:type="dxa"/>
                <w:tcBorders>
                  <w:top w:val="nil"/>
                  <w:left w:val="nil"/>
                  <w:bottom w:val="nil"/>
                  <w:right w:val="nil"/>
                </w:tcBorders>
                <w:shd w:val="clear" w:color="auto" w:fill="auto"/>
                <w:noWrap/>
                <w:vAlign w:val="bottom"/>
                <w:hideMark/>
              </w:tcPr>
              <w:p w14:paraId="7D8C7FE6" w14:textId="7E725919" w:rsidR="009C1CE2" w:rsidRPr="003530D2" w:rsidRDefault="003530D2" w:rsidP="003530D2">
                <w:pPr>
                  <w:spacing w:after="0" w:line="240" w:lineRule="auto"/>
                  <w:jc w:val="right"/>
                  <w:rPr>
                    <w:rFonts w:eastAsia="Times New Roman" w:cstheme="minorHAnsi"/>
                    <w:sz w:val="20"/>
                    <w:szCs w:val="20"/>
                    <w:lang w:eastAsia="en-GB"/>
                  </w:rPr>
                </w:pPr>
                <w:r w:rsidRPr="003530D2">
                  <w:rPr>
                    <w:rFonts w:eastAsia="Times New Roman" w:cstheme="minorHAnsi"/>
                    <w:sz w:val="20"/>
                    <w:szCs w:val="20"/>
                    <w:lang w:eastAsia="en-GB"/>
                  </w:rPr>
                  <w:t>-55</w:t>
                </w:r>
                <w:r w:rsidR="00FE7C86">
                  <w:rPr>
                    <w:rFonts w:eastAsia="Times New Roman" w:cstheme="minorHAnsi"/>
                    <w:sz w:val="20"/>
                    <w:szCs w:val="20"/>
                    <w:lang w:eastAsia="en-GB"/>
                  </w:rPr>
                  <w:t>9</w:t>
                </w:r>
                <w:r w:rsidRPr="003530D2">
                  <w:rPr>
                    <w:rFonts w:eastAsia="Times New Roman" w:cstheme="minorHAnsi"/>
                    <w:sz w:val="20"/>
                    <w:szCs w:val="20"/>
                    <w:lang w:eastAsia="en-GB"/>
                  </w:rPr>
                  <w:t>%</w:t>
                </w:r>
              </w:p>
            </w:tc>
          </w:tr>
          <w:tr w:rsidR="009C1CE2" w:rsidRPr="009C1CE2" w14:paraId="672E6703" w14:textId="77777777" w:rsidTr="009C1CE2">
            <w:trPr>
              <w:trHeight w:val="288"/>
            </w:trPr>
            <w:tc>
              <w:tcPr>
                <w:tcW w:w="3200" w:type="dxa"/>
                <w:tcBorders>
                  <w:top w:val="nil"/>
                  <w:left w:val="nil"/>
                  <w:bottom w:val="nil"/>
                  <w:right w:val="nil"/>
                </w:tcBorders>
                <w:shd w:val="clear" w:color="auto" w:fill="auto"/>
                <w:noWrap/>
                <w:vAlign w:val="bottom"/>
                <w:hideMark/>
              </w:tcPr>
              <w:p w14:paraId="1287146F" w14:textId="77777777" w:rsidR="009C1CE2" w:rsidRPr="009C1CE2" w:rsidRDefault="009C1CE2" w:rsidP="009C1CE2">
                <w:pPr>
                  <w:spacing w:after="0" w:line="240" w:lineRule="auto"/>
                  <w:rPr>
                    <w:rFonts w:ascii="Calibri" w:eastAsia="Times New Roman" w:hAnsi="Calibri" w:cs="Calibri"/>
                    <w:color w:val="000000"/>
                    <w:lang w:eastAsia="en-GB"/>
                  </w:rPr>
                </w:pPr>
                <w:r w:rsidRPr="009C1CE2">
                  <w:rPr>
                    <w:rFonts w:ascii="Calibri" w:eastAsia="Times New Roman" w:hAnsi="Calibri" w:cs="Calibri"/>
                    <w:color w:val="000000"/>
                    <w:lang w:eastAsia="en-GB"/>
                  </w:rPr>
                  <w:t>Income before taxes</w:t>
                </w:r>
              </w:p>
            </w:tc>
            <w:tc>
              <w:tcPr>
                <w:tcW w:w="1956" w:type="dxa"/>
                <w:tcBorders>
                  <w:top w:val="nil"/>
                  <w:left w:val="nil"/>
                  <w:bottom w:val="nil"/>
                  <w:right w:val="nil"/>
                </w:tcBorders>
                <w:shd w:val="clear" w:color="auto" w:fill="auto"/>
                <w:noWrap/>
                <w:vAlign w:val="bottom"/>
                <w:hideMark/>
              </w:tcPr>
              <w:p w14:paraId="6327A869"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-924,000</w:t>
                </w:r>
              </w:p>
            </w:tc>
            <w:tc>
              <w:tcPr>
                <w:tcW w:w="1956" w:type="dxa"/>
                <w:tcBorders>
                  <w:top w:val="nil"/>
                  <w:left w:val="nil"/>
                  <w:bottom w:val="nil"/>
                  <w:right w:val="nil"/>
                </w:tcBorders>
                <w:shd w:val="clear" w:color="auto" w:fill="auto"/>
                <w:noWrap/>
                <w:vAlign w:val="bottom"/>
                <w:hideMark/>
              </w:tcPr>
              <w:p w14:paraId="0374A5EE"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1,244,000</w:t>
                </w:r>
              </w:p>
            </w:tc>
            <w:tc>
              <w:tcPr>
                <w:tcW w:w="1248" w:type="dxa"/>
                <w:tcBorders>
                  <w:top w:val="nil"/>
                  <w:left w:val="nil"/>
                  <w:bottom w:val="nil"/>
                  <w:right w:val="nil"/>
                </w:tcBorders>
                <w:shd w:val="clear" w:color="auto" w:fill="auto"/>
                <w:noWrap/>
                <w:vAlign w:val="bottom"/>
                <w:hideMark/>
              </w:tcPr>
              <w:p w14:paraId="2D0E5083" w14:textId="5986F47D" w:rsidR="009C1CE2" w:rsidRPr="009C1CE2" w:rsidRDefault="0066677D" w:rsidP="009C1CE2">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-2,168</w:t>
                </w:r>
                <w:r w:rsidR="002E48B8">
                  <w:rPr>
                    <w:rFonts w:ascii="Calibri" w:eastAsia="Times New Roman" w:hAnsi="Calibri" w:cs="Calibri"/>
                    <w:color w:val="000000"/>
                    <w:lang w:eastAsia="en-GB"/>
                  </w:rPr>
                  <w:t>,000</w:t>
                </w:r>
              </w:p>
            </w:tc>
            <w:tc>
              <w:tcPr>
                <w:tcW w:w="1460" w:type="dxa"/>
                <w:tcBorders>
                  <w:top w:val="nil"/>
                  <w:left w:val="nil"/>
                  <w:bottom w:val="nil"/>
                  <w:right w:val="nil"/>
                </w:tcBorders>
                <w:shd w:val="clear" w:color="auto" w:fill="auto"/>
                <w:noWrap/>
                <w:vAlign w:val="bottom"/>
                <w:hideMark/>
              </w:tcPr>
              <w:p w14:paraId="19337C25" w14:textId="224EF1D9" w:rsidR="009C1CE2" w:rsidRPr="003530D2" w:rsidRDefault="003530D2" w:rsidP="003530D2">
                <w:pPr>
                  <w:spacing w:after="0" w:line="240" w:lineRule="auto"/>
                  <w:jc w:val="right"/>
                  <w:rPr>
                    <w:rFonts w:eastAsia="Times New Roman" w:cstheme="minorHAnsi"/>
                    <w:sz w:val="20"/>
                    <w:szCs w:val="20"/>
                    <w:lang w:eastAsia="en-GB"/>
                  </w:rPr>
                </w:pPr>
                <w:r w:rsidRPr="003530D2">
                  <w:rPr>
                    <w:rFonts w:eastAsia="Times New Roman" w:cstheme="minorHAnsi"/>
                    <w:sz w:val="20"/>
                    <w:szCs w:val="20"/>
                    <w:lang w:eastAsia="en-GB"/>
                  </w:rPr>
                  <w:t>-174%</w:t>
                </w:r>
              </w:p>
            </w:tc>
          </w:tr>
          <w:tr w:rsidR="009C1CE2" w:rsidRPr="009C1CE2" w14:paraId="57B3C31D" w14:textId="77777777" w:rsidTr="009C1CE2">
            <w:trPr>
              <w:trHeight w:val="288"/>
            </w:trPr>
            <w:tc>
              <w:tcPr>
                <w:tcW w:w="3200" w:type="dxa"/>
                <w:tcBorders>
                  <w:top w:val="nil"/>
                  <w:left w:val="nil"/>
                  <w:bottom w:val="nil"/>
                  <w:right w:val="nil"/>
                </w:tcBorders>
                <w:shd w:val="clear" w:color="auto" w:fill="auto"/>
                <w:noWrap/>
                <w:vAlign w:val="bottom"/>
                <w:hideMark/>
              </w:tcPr>
              <w:p w14:paraId="7A32DA8B" w14:textId="77777777" w:rsidR="009C1CE2" w:rsidRPr="009C1CE2" w:rsidRDefault="009C1CE2" w:rsidP="009C1CE2">
                <w:pPr>
                  <w:spacing w:after="0" w:line="240" w:lineRule="auto"/>
                  <w:rPr>
                    <w:rFonts w:ascii="Calibri" w:eastAsia="Times New Roman" w:hAnsi="Calibri" w:cs="Calibri"/>
                    <w:color w:val="000000"/>
                    <w:lang w:eastAsia="en-GB"/>
                  </w:rPr>
                </w:pPr>
                <w:r w:rsidRPr="009C1CE2">
                  <w:rPr>
                    <w:rFonts w:ascii="Calibri" w:eastAsia="Times New Roman" w:hAnsi="Calibri" w:cs="Calibri"/>
                    <w:color w:val="000000"/>
                    <w:lang w:eastAsia="en-GB"/>
                  </w:rPr>
                  <w:t>Net income</w:t>
                </w:r>
              </w:p>
            </w:tc>
            <w:tc>
              <w:tcPr>
                <w:tcW w:w="1956" w:type="dxa"/>
                <w:tcBorders>
                  <w:top w:val="nil"/>
                  <w:left w:val="nil"/>
                  <w:bottom w:val="nil"/>
                  <w:right w:val="nil"/>
                </w:tcBorders>
                <w:shd w:val="clear" w:color="auto" w:fill="auto"/>
                <w:noWrap/>
                <w:vAlign w:val="bottom"/>
                <w:hideMark/>
              </w:tcPr>
              <w:p w14:paraId="0BF6FB63"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-715,000</w:t>
                </w:r>
              </w:p>
            </w:tc>
            <w:tc>
              <w:tcPr>
                <w:tcW w:w="1956" w:type="dxa"/>
                <w:tcBorders>
                  <w:top w:val="nil"/>
                  <w:left w:val="nil"/>
                  <w:bottom w:val="nil"/>
                  <w:right w:val="nil"/>
                </w:tcBorders>
                <w:shd w:val="clear" w:color="auto" w:fill="auto"/>
                <w:noWrap/>
                <w:vAlign w:val="bottom"/>
                <w:hideMark/>
              </w:tcPr>
              <w:p w14:paraId="1D16C63B"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881,000</w:t>
                </w:r>
              </w:p>
            </w:tc>
            <w:tc>
              <w:tcPr>
                <w:tcW w:w="1248" w:type="dxa"/>
                <w:tcBorders>
                  <w:top w:val="nil"/>
                  <w:left w:val="nil"/>
                  <w:bottom w:val="nil"/>
                  <w:right w:val="nil"/>
                </w:tcBorders>
                <w:shd w:val="clear" w:color="auto" w:fill="auto"/>
                <w:noWrap/>
                <w:vAlign w:val="bottom"/>
                <w:hideMark/>
              </w:tcPr>
              <w:p w14:paraId="0DBF80EE" w14:textId="6F57398B" w:rsidR="009C1CE2" w:rsidRPr="009C1CE2" w:rsidRDefault="002E48B8" w:rsidP="009C1CE2">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-1,596,000</w:t>
                </w:r>
              </w:p>
            </w:tc>
            <w:tc>
              <w:tcPr>
                <w:tcW w:w="1460" w:type="dxa"/>
                <w:tcBorders>
                  <w:top w:val="nil"/>
                  <w:left w:val="nil"/>
                  <w:bottom w:val="nil"/>
                  <w:right w:val="nil"/>
                </w:tcBorders>
                <w:shd w:val="clear" w:color="auto" w:fill="auto"/>
                <w:noWrap/>
                <w:vAlign w:val="bottom"/>
                <w:hideMark/>
              </w:tcPr>
              <w:p w14:paraId="06C1E67B" w14:textId="230D89EC" w:rsidR="00030760" w:rsidRPr="00030760" w:rsidRDefault="00030760" w:rsidP="00030760">
                <w:pPr>
                  <w:spacing w:after="0" w:line="240" w:lineRule="auto"/>
                  <w:jc w:val="right"/>
                  <w:rPr>
                    <w:rFonts w:eastAsia="Times New Roman" w:cstheme="minorHAnsi"/>
                    <w:sz w:val="20"/>
                    <w:szCs w:val="20"/>
                    <w:lang w:eastAsia="en-GB"/>
                  </w:rPr>
                </w:pPr>
                <w:r w:rsidRPr="00030760">
                  <w:rPr>
                    <w:rFonts w:eastAsia="Times New Roman" w:cstheme="minorHAnsi"/>
                    <w:sz w:val="20"/>
                    <w:szCs w:val="20"/>
                    <w:lang w:eastAsia="en-GB"/>
                  </w:rPr>
                  <w:t>-181%</w:t>
                </w:r>
              </w:p>
            </w:tc>
          </w:tr>
          <w:tr w:rsidR="009C1CE2" w:rsidRPr="009C1CE2" w14:paraId="104F7355" w14:textId="77777777" w:rsidTr="009C1CE2">
            <w:trPr>
              <w:trHeight w:val="288"/>
            </w:trPr>
            <w:tc>
              <w:tcPr>
                <w:tcW w:w="3200" w:type="dxa"/>
                <w:tcBorders>
                  <w:top w:val="nil"/>
                  <w:left w:val="nil"/>
                  <w:bottom w:val="nil"/>
                  <w:right w:val="nil"/>
                </w:tcBorders>
                <w:shd w:val="clear" w:color="auto" w:fill="auto"/>
                <w:noWrap/>
                <w:vAlign w:val="bottom"/>
                <w:hideMark/>
              </w:tcPr>
              <w:p w14:paraId="265125D9"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c>
              <w:tcPr>
                <w:tcW w:w="1956" w:type="dxa"/>
                <w:tcBorders>
                  <w:top w:val="nil"/>
                  <w:left w:val="nil"/>
                  <w:bottom w:val="nil"/>
                  <w:right w:val="nil"/>
                </w:tcBorders>
                <w:shd w:val="clear" w:color="auto" w:fill="auto"/>
                <w:noWrap/>
                <w:vAlign w:val="bottom"/>
                <w:hideMark/>
              </w:tcPr>
              <w:p w14:paraId="1225C868"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c>
              <w:tcPr>
                <w:tcW w:w="1956" w:type="dxa"/>
                <w:tcBorders>
                  <w:top w:val="nil"/>
                  <w:left w:val="nil"/>
                  <w:bottom w:val="nil"/>
                  <w:right w:val="nil"/>
                </w:tcBorders>
                <w:shd w:val="clear" w:color="auto" w:fill="auto"/>
                <w:noWrap/>
                <w:vAlign w:val="bottom"/>
                <w:hideMark/>
              </w:tcPr>
              <w:p w14:paraId="4E85F7B3"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c>
              <w:tcPr>
                <w:tcW w:w="1248" w:type="dxa"/>
                <w:tcBorders>
                  <w:top w:val="nil"/>
                  <w:left w:val="nil"/>
                  <w:bottom w:val="nil"/>
                  <w:right w:val="nil"/>
                </w:tcBorders>
                <w:shd w:val="clear" w:color="auto" w:fill="auto"/>
                <w:noWrap/>
                <w:vAlign w:val="bottom"/>
                <w:hideMark/>
              </w:tcPr>
              <w:p w14:paraId="047C7788"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c>
              <w:tcPr>
                <w:tcW w:w="1460" w:type="dxa"/>
                <w:tcBorders>
                  <w:top w:val="nil"/>
                  <w:left w:val="nil"/>
                  <w:bottom w:val="nil"/>
                  <w:right w:val="nil"/>
                </w:tcBorders>
                <w:shd w:val="clear" w:color="auto" w:fill="auto"/>
                <w:noWrap/>
                <w:vAlign w:val="bottom"/>
                <w:hideMark/>
              </w:tcPr>
              <w:p w14:paraId="3602464B"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r>
          <w:tr w:rsidR="009C1CE2" w:rsidRPr="009C1CE2" w14:paraId="083A4C8E" w14:textId="77777777" w:rsidTr="009C1CE2">
            <w:trPr>
              <w:trHeight w:val="288"/>
            </w:trPr>
            <w:tc>
              <w:tcPr>
                <w:tcW w:w="3200" w:type="dxa"/>
                <w:tcBorders>
                  <w:top w:val="nil"/>
                  <w:left w:val="nil"/>
                  <w:bottom w:val="nil"/>
                  <w:right w:val="nil"/>
                </w:tcBorders>
                <w:shd w:val="clear" w:color="auto" w:fill="auto"/>
                <w:noWrap/>
                <w:vAlign w:val="bottom"/>
                <w:hideMark/>
              </w:tcPr>
              <w:p w14:paraId="53082D50"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c>
              <w:tcPr>
                <w:tcW w:w="1956" w:type="dxa"/>
                <w:tcBorders>
                  <w:top w:val="nil"/>
                  <w:left w:val="nil"/>
                  <w:bottom w:val="nil"/>
                  <w:right w:val="nil"/>
                </w:tcBorders>
                <w:shd w:val="clear" w:color="auto" w:fill="auto"/>
                <w:noWrap/>
                <w:vAlign w:val="bottom"/>
                <w:hideMark/>
              </w:tcPr>
              <w:p w14:paraId="7BBF410F"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c>
              <w:tcPr>
                <w:tcW w:w="1956" w:type="dxa"/>
                <w:tcBorders>
                  <w:top w:val="nil"/>
                  <w:left w:val="nil"/>
                  <w:bottom w:val="nil"/>
                  <w:right w:val="nil"/>
                </w:tcBorders>
                <w:shd w:val="clear" w:color="auto" w:fill="auto"/>
                <w:noWrap/>
                <w:vAlign w:val="bottom"/>
                <w:hideMark/>
              </w:tcPr>
              <w:p w14:paraId="732FC4F9"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c>
              <w:tcPr>
                <w:tcW w:w="1248" w:type="dxa"/>
                <w:tcBorders>
                  <w:top w:val="nil"/>
                  <w:left w:val="nil"/>
                  <w:bottom w:val="nil"/>
                  <w:right w:val="nil"/>
                </w:tcBorders>
                <w:shd w:val="clear" w:color="auto" w:fill="auto"/>
                <w:noWrap/>
                <w:vAlign w:val="bottom"/>
                <w:hideMark/>
              </w:tcPr>
              <w:p w14:paraId="0AA46D49"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c>
              <w:tcPr>
                <w:tcW w:w="1460" w:type="dxa"/>
                <w:tcBorders>
                  <w:top w:val="nil"/>
                  <w:left w:val="nil"/>
                  <w:bottom w:val="nil"/>
                  <w:right w:val="nil"/>
                </w:tcBorders>
                <w:shd w:val="clear" w:color="auto" w:fill="auto"/>
                <w:noWrap/>
                <w:vAlign w:val="bottom"/>
                <w:hideMark/>
              </w:tcPr>
              <w:p w14:paraId="6101417D"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r>
          <w:tr w:rsidR="009C1CE2" w:rsidRPr="009C1CE2" w14:paraId="1F0966B6" w14:textId="77777777" w:rsidTr="009C1CE2">
            <w:trPr>
              <w:trHeight w:val="288"/>
            </w:trPr>
            <w:tc>
              <w:tcPr>
                <w:tcW w:w="3200" w:type="dxa"/>
                <w:tcBorders>
                  <w:top w:val="nil"/>
                  <w:left w:val="nil"/>
                  <w:bottom w:val="nil"/>
                  <w:right w:val="nil"/>
                </w:tcBorders>
                <w:shd w:val="clear" w:color="auto" w:fill="auto"/>
                <w:noWrap/>
                <w:vAlign w:val="bottom"/>
                <w:hideMark/>
              </w:tcPr>
              <w:p w14:paraId="3F978587"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c>
              <w:tcPr>
                <w:tcW w:w="1956" w:type="dxa"/>
                <w:tcBorders>
                  <w:top w:val="nil"/>
                  <w:left w:val="nil"/>
                  <w:bottom w:val="nil"/>
                  <w:right w:val="nil"/>
                </w:tcBorders>
                <w:shd w:val="clear" w:color="auto" w:fill="auto"/>
                <w:noWrap/>
                <w:vAlign w:val="bottom"/>
                <w:hideMark/>
              </w:tcPr>
              <w:p w14:paraId="32EA70BF"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c>
              <w:tcPr>
                <w:tcW w:w="1956" w:type="dxa"/>
                <w:tcBorders>
                  <w:top w:val="nil"/>
                  <w:left w:val="nil"/>
                  <w:bottom w:val="nil"/>
                  <w:right w:val="nil"/>
                </w:tcBorders>
                <w:shd w:val="clear" w:color="auto" w:fill="auto"/>
                <w:noWrap/>
                <w:vAlign w:val="bottom"/>
                <w:hideMark/>
              </w:tcPr>
              <w:p w14:paraId="66F42E05"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c>
              <w:tcPr>
                <w:tcW w:w="1248" w:type="dxa"/>
                <w:tcBorders>
                  <w:top w:val="nil"/>
                  <w:left w:val="nil"/>
                  <w:bottom w:val="nil"/>
                  <w:right w:val="nil"/>
                </w:tcBorders>
                <w:shd w:val="clear" w:color="auto" w:fill="auto"/>
                <w:noWrap/>
                <w:vAlign w:val="bottom"/>
                <w:hideMark/>
              </w:tcPr>
              <w:p w14:paraId="40965F77"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c>
              <w:tcPr>
                <w:tcW w:w="1460" w:type="dxa"/>
                <w:tcBorders>
                  <w:top w:val="nil"/>
                  <w:left w:val="nil"/>
                  <w:bottom w:val="nil"/>
                  <w:right w:val="nil"/>
                </w:tcBorders>
                <w:shd w:val="clear" w:color="auto" w:fill="auto"/>
                <w:noWrap/>
                <w:vAlign w:val="bottom"/>
                <w:hideMark/>
              </w:tcPr>
              <w:p w14:paraId="63D9366A"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r>
        </w:tbl>
        <w:p w14:paraId="46B624AA" w14:textId="77777777" w:rsidR="009C1CE2" w:rsidRDefault="009C1CE2" w:rsidP="007D1947"/>
        <w:p w14:paraId="54A971B6" w14:textId="77777777" w:rsidR="009C1CE2" w:rsidRDefault="009C1CE2" w:rsidP="007D1947"/>
        <w:tbl>
          <w:tblPr>
            <w:tblW w:w="8192" w:type="dxa"/>
            <w:tblLook w:val="04A0" w:firstRow="1" w:lastRow="0" w:firstColumn="1" w:lastColumn="0" w:noHBand="0" w:noVBand="1"/>
          </w:tblPr>
          <w:tblGrid>
            <w:gridCol w:w="2872"/>
            <w:gridCol w:w="1600"/>
            <w:gridCol w:w="1540"/>
            <w:gridCol w:w="1359"/>
            <w:gridCol w:w="883"/>
          </w:tblGrid>
          <w:tr w:rsidR="00DB6A70" w:rsidRPr="00DB6A70" w14:paraId="3AF8CB1D" w14:textId="77777777" w:rsidTr="00A3786B">
            <w:trPr>
              <w:trHeight w:val="288"/>
            </w:trPr>
            <w:tc>
              <w:tcPr>
                <w:tcW w:w="2872" w:type="dxa"/>
                <w:tcBorders>
                  <w:top w:val="nil"/>
                  <w:left w:val="nil"/>
                  <w:bottom w:val="nil"/>
                  <w:right w:val="nil"/>
                </w:tcBorders>
                <w:shd w:val="clear" w:color="auto" w:fill="auto"/>
                <w:noWrap/>
                <w:vAlign w:val="bottom"/>
                <w:hideMark/>
              </w:tcPr>
              <w:p w14:paraId="037C38CD" w14:textId="77777777" w:rsidR="00DB6A70" w:rsidRPr="00DB6A70" w:rsidRDefault="00DB6A70" w:rsidP="00DB6A70">
                <w:pPr>
                  <w:spacing w:after="0" w:line="240" w:lineRule="auto"/>
                  <w:rPr>
                    <w:rFonts w:ascii="Times New Roman" w:eastAsia="Times New Roman" w:hAnsi="Times New Roman" w:cs="Times New Roman"/>
                    <w:sz w:val="24"/>
                    <w:szCs w:val="24"/>
                    <w:lang w:eastAsia="en-GB"/>
                  </w:rPr>
                </w:pPr>
              </w:p>
            </w:tc>
            <w:tc>
              <w:tcPr>
                <w:tcW w:w="1600" w:type="dxa"/>
                <w:tcBorders>
                  <w:top w:val="nil"/>
                  <w:left w:val="nil"/>
                  <w:bottom w:val="nil"/>
                  <w:right w:val="nil"/>
                </w:tcBorders>
                <w:shd w:val="clear" w:color="auto" w:fill="auto"/>
                <w:noWrap/>
                <w:vAlign w:val="bottom"/>
                <w:hideMark/>
              </w:tcPr>
              <w:p w14:paraId="4F9BB03E"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2020</w:t>
                </w:r>
              </w:p>
            </w:tc>
            <w:tc>
              <w:tcPr>
                <w:tcW w:w="1540" w:type="dxa"/>
                <w:tcBorders>
                  <w:top w:val="nil"/>
                  <w:left w:val="nil"/>
                  <w:bottom w:val="nil"/>
                  <w:right w:val="nil"/>
                </w:tcBorders>
                <w:shd w:val="clear" w:color="auto" w:fill="auto"/>
                <w:noWrap/>
                <w:vAlign w:val="bottom"/>
                <w:hideMark/>
              </w:tcPr>
              <w:p w14:paraId="22C514F7"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2019</w:t>
                </w:r>
              </w:p>
            </w:tc>
            <w:tc>
              <w:tcPr>
                <w:tcW w:w="1359" w:type="dxa"/>
                <w:tcBorders>
                  <w:top w:val="nil"/>
                  <w:left w:val="nil"/>
                  <w:bottom w:val="nil"/>
                  <w:right w:val="nil"/>
                </w:tcBorders>
                <w:shd w:val="clear" w:color="auto" w:fill="auto"/>
                <w:noWrap/>
                <w:vAlign w:val="bottom"/>
                <w:hideMark/>
              </w:tcPr>
              <w:p w14:paraId="7DC2046B"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Change</w:t>
                </w:r>
              </w:p>
            </w:tc>
            <w:tc>
              <w:tcPr>
                <w:tcW w:w="821" w:type="dxa"/>
                <w:tcBorders>
                  <w:top w:val="nil"/>
                  <w:left w:val="nil"/>
                  <w:bottom w:val="nil"/>
                  <w:right w:val="nil"/>
                </w:tcBorders>
                <w:shd w:val="clear" w:color="auto" w:fill="auto"/>
                <w:noWrap/>
                <w:vAlign w:val="bottom"/>
                <w:hideMark/>
              </w:tcPr>
              <w:p w14:paraId="17308206"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 Change</w:t>
                </w:r>
              </w:p>
            </w:tc>
          </w:tr>
          <w:tr w:rsidR="00DB6A70" w:rsidRPr="00DB6A70" w14:paraId="12B55C4A" w14:textId="77777777" w:rsidTr="00A3786B">
            <w:trPr>
              <w:trHeight w:val="288"/>
            </w:trPr>
            <w:tc>
              <w:tcPr>
                <w:tcW w:w="2872" w:type="dxa"/>
                <w:tcBorders>
                  <w:top w:val="nil"/>
                  <w:left w:val="nil"/>
                  <w:bottom w:val="nil"/>
                  <w:right w:val="nil"/>
                </w:tcBorders>
                <w:shd w:val="clear" w:color="auto" w:fill="auto"/>
                <w:noWrap/>
                <w:vAlign w:val="bottom"/>
                <w:hideMark/>
              </w:tcPr>
              <w:p w14:paraId="7594F471"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Current Asset</w:t>
                </w:r>
              </w:p>
            </w:tc>
            <w:tc>
              <w:tcPr>
                <w:tcW w:w="1600" w:type="dxa"/>
                <w:tcBorders>
                  <w:top w:val="nil"/>
                  <w:left w:val="nil"/>
                  <w:bottom w:val="nil"/>
                  <w:right w:val="nil"/>
                </w:tcBorders>
                <w:shd w:val="clear" w:color="auto" w:fill="auto"/>
                <w:noWrap/>
                <w:vAlign w:val="bottom"/>
                <w:hideMark/>
              </w:tcPr>
              <w:p w14:paraId="6E729C3E"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4,202,000</w:t>
                </w:r>
              </w:p>
            </w:tc>
            <w:tc>
              <w:tcPr>
                <w:tcW w:w="1540" w:type="dxa"/>
                <w:tcBorders>
                  <w:top w:val="nil"/>
                  <w:left w:val="nil"/>
                  <w:bottom w:val="nil"/>
                  <w:right w:val="nil"/>
                </w:tcBorders>
                <w:shd w:val="clear" w:color="auto" w:fill="auto"/>
                <w:noWrap/>
                <w:vAlign w:val="bottom"/>
                <w:hideMark/>
              </w:tcPr>
              <w:p w14:paraId="3DE0E6D7"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2,093,000</w:t>
                </w:r>
              </w:p>
            </w:tc>
            <w:tc>
              <w:tcPr>
                <w:tcW w:w="1359" w:type="dxa"/>
                <w:tcBorders>
                  <w:top w:val="nil"/>
                  <w:left w:val="nil"/>
                  <w:bottom w:val="nil"/>
                  <w:right w:val="nil"/>
                </w:tcBorders>
                <w:shd w:val="clear" w:color="auto" w:fill="auto"/>
                <w:noWrap/>
                <w:vAlign w:val="bottom"/>
                <w:hideMark/>
              </w:tcPr>
              <w:p w14:paraId="7804AABB" w14:textId="5B702514" w:rsidR="00DB6A70" w:rsidRPr="00DB6A70" w:rsidRDefault="00030760" w:rsidP="00DB6A7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2,109,000</w:t>
                </w:r>
              </w:p>
            </w:tc>
            <w:tc>
              <w:tcPr>
                <w:tcW w:w="821" w:type="dxa"/>
                <w:tcBorders>
                  <w:top w:val="nil"/>
                  <w:left w:val="nil"/>
                  <w:bottom w:val="nil"/>
                  <w:right w:val="nil"/>
                </w:tcBorders>
                <w:shd w:val="clear" w:color="auto" w:fill="auto"/>
                <w:noWrap/>
                <w:vAlign w:val="bottom"/>
                <w:hideMark/>
              </w:tcPr>
              <w:p w14:paraId="6616C5F6" w14:textId="6C887CF7" w:rsidR="00DB6A70" w:rsidRPr="00030760" w:rsidRDefault="00030760" w:rsidP="00030760">
                <w:pPr>
                  <w:spacing w:after="0" w:line="240" w:lineRule="auto"/>
                  <w:jc w:val="right"/>
                  <w:rPr>
                    <w:rFonts w:eastAsia="Times New Roman" w:cstheme="minorHAnsi"/>
                    <w:sz w:val="20"/>
                    <w:szCs w:val="20"/>
                    <w:lang w:eastAsia="en-GB"/>
                  </w:rPr>
                </w:pPr>
                <w:r w:rsidRPr="00030760">
                  <w:rPr>
                    <w:rFonts w:eastAsia="Times New Roman" w:cstheme="minorHAnsi"/>
                    <w:sz w:val="20"/>
                    <w:szCs w:val="20"/>
                    <w:lang w:eastAsia="en-GB"/>
                  </w:rPr>
                  <w:t>101%</w:t>
                </w:r>
              </w:p>
            </w:tc>
          </w:tr>
          <w:tr w:rsidR="00DB6A70" w:rsidRPr="00DB6A70" w14:paraId="63744ED0" w14:textId="77777777" w:rsidTr="00A3786B">
            <w:trPr>
              <w:trHeight w:val="288"/>
            </w:trPr>
            <w:tc>
              <w:tcPr>
                <w:tcW w:w="2872" w:type="dxa"/>
                <w:tcBorders>
                  <w:top w:val="nil"/>
                  <w:left w:val="nil"/>
                  <w:bottom w:val="nil"/>
                  <w:right w:val="nil"/>
                </w:tcBorders>
                <w:shd w:val="clear" w:color="auto" w:fill="auto"/>
                <w:noWrap/>
                <w:vAlign w:val="bottom"/>
                <w:hideMark/>
              </w:tcPr>
              <w:p w14:paraId="52A24844" w14:textId="77777777" w:rsidR="00DB6A70" w:rsidRPr="00DB6A70" w:rsidRDefault="00DB6A70" w:rsidP="00DB6A70">
                <w:pPr>
                  <w:spacing w:after="0" w:line="240" w:lineRule="auto"/>
                  <w:rPr>
                    <w:rFonts w:ascii="Calibri" w:eastAsia="Times New Roman" w:hAnsi="Calibri" w:cs="Calibri"/>
                    <w:color w:val="000000"/>
                    <w:lang w:eastAsia="en-GB"/>
                  </w:rPr>
                </w:pPr>
                <w:proofErr w:type="gramStart"/>
                <w:r w:rsidRPr="00DB6A70">
                  <w:rPr>
                    <w:rFonts w:ascii="Calibri" w:eastAsia="Times New Roman" w:hAnsi="Calibri" w:cs="Calibri"/>
                    <w:color w:val="000000"/>
                    <w:lang w:eastAsia="en-GB"/>
                  </w:rPr>
                  <w:t>Non Current</w:t>
                </w:r>
                <w:proofErr w:type="gramEnd"/>
                <w:r w:rsidRPr="00DB6A70">
                  <w:rPr>
                    <w:rFonts w:ascii="Calibri" w:eastAsia="Times New Roman" w:hAnsi="Calibri" w:cs="Calibri"/>
                    <w:color w:val="000000"/>
                    <w:lang w:eastAsia="en-GB"/>
                  </w:rPr>
                  <w:t xml:space="preserve"> Asset</w:t>
                </w:r>
              </w:p>
            </w:tc>
            <w:tc>
              <w:tcPr>
                <w:tcW w:w="1600" w:type="dxa"/>
                <w:tcBorders>
                  <w:top w:val="nil"/>
                  <w:left w:val="nil"/>
                  <w:bottom w:val="nil"/>
                  <w:right w:val="nil"/>
                </w:tcBorders>
                <w:shd w:val="clear" w:color="auto" w:fill="auto"/>
                <w:noWrap/>
                <w:vAlign w:val="bottom"/>
                <w:hideMark/>
              </w:tcPr>
              <w:p w14:paraId="36BB3A30"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15,810,000</w:t>
                </w:r>
              </w:p>
            </w:tc>
            <w:tc>
              <w:tcPr>
                <w:tcW w:w="1540" w:type="dxa"/>
                <w:tcBorders>
                  <w:top w:val="nil"/>
                  <w:left w:val="nil"/>
                  <w:bottom w:val="nil"/>
                  <w:right w:val="nil"/>
                </w:tcBorders>
                <w:shd w:val="clear" w:color="auto" w:fill="auto"/>
                <w:noWrap/>
                <w:vAlign w:val="bottom"/>
                <w:hideMark/>
              </w:tcPr>
              <w:p w14:paraId="47B402FA"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12,558,000</w:t>
                </w:r>
              </w:p>
            </w:tc>
            <w:tc>
              <w:tcPr>
                <w:tcW w:w="1359" w:type="dxa"/>
                <w:tcBorders>
                  <w:top w:val="nil"/>
                  <w:left w:val="nil"/>
                  <w:bottom w:val="nil"/>
                  <w:right w:val="nil"/>
                </w:tcBorders>
                <w:shd w:val="clear" w:color="auto" w:fill="auto"/>
                <w:noWrap/>
                <w:vAlign w:val="bottom"/>
                <w:hideMark/>
              </w:tcPr>
              <w:p w14:paraId="5FE30BDB" w14:textId="72D29AC5" w:rsidR="00DB6A70" w:rsidRPr="00030760" w:rsidRDefault="00030760" w:rsidP="00030760">
                <w:pPr>
                  <w:spacing w:after="0" w:line="240" w:lineRule="auto"/>
                  <w:jc w:val="right"/>
                  <w:rPr>
                    <w:rFonts w:eastAsia="Times New Roman" w:cstheme="minorHAnsi"/>
                    <w:color w:val="000000"/>
                    <w:lang w:eastAsia="en-GB"/>
                  </w:rPr>
                </w:pPr>
                <w:r>
                  <w:rPr>
                    <w:rFonts w:eastAsia="Times New Roman" w:cstheme="minorHAnsi"/>
                    <w:color w:val="000000"/>
                    <w:lang w:eastAsia="en-GB"/>
                  </w:rPr>
                  <w:t>3,252,000</w:t>
                </w:r>
              </w:p>
            </w:tc>
            <w:tc>
              <w:tcPr>
                <w:tcW w:w="821" w:type="dxa"/>
                <w:tcBorders>
                  <w:top w:val="nil"/>
                  <w:left w:val="nil"/>
                  <w:bottom w:val="nil"/>
                  <w:right w:val="nil"/>
                </w:tcBorders>
                <w:shd w:val="clear" w:color="auto" w:fill="auto"/>
                <w:noWrap/>
                <w:vAlign w:val="bottom"/>
                <w:hideMark/>
              </w:tcPr>
              <w:p w14:paraId="244AC500" w14:textId="0F170360" w:rsidR="00DB6A70" w:rsidRPr="00030760" w:rsidRDefault="00030760" w:rsidP="00030760">
                <w:pPr>
                  <w:spacing w:after="0" w:line="240" w:lineRule="auto"/>
                  <w:jc w:val="right"/>
                  <w:rPr>
                    <w:rFonts w:eastAsia="Times New Roman" w:cstheme="minorHAnsi"/>
                    <w:sz w:val="20"/>
                    <w:szCs w:val="20"/>
                    <w:lang w:eastAsia="en-GB"/>
                  </w:rPr>
                </w:pPr>
                <w:r w:rsidRPr="00030760">
                  <w:rPr>
                    <w:rFonts w:eastAsia="Times New Roman" w:cstheme="minorHAnsi"/>
                    <w:sz w:val="20"/>
                    <w:szCs w:val="20"/>
                    <w:lang w:eastAsia="en-GB"/>
                  </w:rPr>
                  <w:t>26%</w:t>
                </w:r>
              </w:p>
            </w:tc>
          </w:tr>
          <w:tr w:rsidR="00DB6A70" w:rsidRPr="00DB6A70" w14:paraId="40FE895B" w14:textId="77777777" w:rsidTr="00A3786B">
            <w:trPr>
              <w:trHeight w:val="271"/>
            </w:trPr>
            <w:tc>
              <w:tcPr>
                <w:tcW w:w="2872" w:type="dxa"/>
                <w:tcBorders>
                  <w:top w:val="nil"/>
                  <w:left w:val="nil"/>
                  <w:bottom w:val="nil"/>
                  <w:right w:val="nil"/>
                </w:tcBorders>
                <w:shd w:val="clear" w:color="auto" w:fill="auto"/>
                <w:noWrap/>
                <w:vAlign w:val="bottom"/>
                <w:hideMark/>
              </w:tcPr>
              <w:p w14:paraId="00007C26"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Total Asset</w:t>
                </w:r>
              </w:p>
            </w:tc>
            <w:tc>
              <w:tcPr>
                <w:tcW w:w="1600" w:type="dxa"/>
                <w:tcBorders>
                  <w:top w:val="nil"/>
                  <w:left w:val="nil"/>
                  <w:bottom w:val="nil"/>
                  <w:right w:val="nil"/>
                </w:tcBorders>
                <w:shd w:val="clear" w:color="auto" w:fill="auto"/>
                <w:noWrap/>
                <w:vAlign w:val="bottom"/>
                <w:hideMark/>
              </w:tcPr>
              <w:p w14:paraId="2DA77793"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16,755,000</w:t>
                </w:r>
              </w:p>
            </w:tc>
            <w:tc>
              <w:tcPr>
                <w:tcW w:w="1540" w:type="dxa"/>
                <w:tcBorders>
                  <w:top w:val="nil"/>
                  <w:left w:val="nil"/>
                  <w:bottom w:val="nil"/>
                  <w:right w:val="nil"/>
                </w:tcBorders>
                <w:shd w:val="clear" w:color="auto" w:fill="auto"/>
                <w:noWrap/>
                <w:vAlign w:val="bottom"/>
                <w:hideMark/>
              </w:tcPr>
              <w:p w14:paraId="0CA31DF8"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14,957,000</w:t>
                </w:r>
              </w:p>
            </w:tc>
            <w:tc>
              <w:tcPr>
                <w:tcW w:w="1359" w:type="dxa"/>
                <w:tcBorders>
                  <w:top w:val="nil"/>
                  <w:left w:val="nil"/>
                  <w:bottom w:val="nil"/>
                  <w:right w:val="nil"/>
                </w:tcBorders>
                <w:shd w:val="clear" w:color="auto" w:fill="auto"/>
                <w:noWrap/>
                <w:vAlign w:val="bottom"/>
                <w:hideMark/>
              </w:tcPr>
              <w:p w14:paraId="68C17301" w14:textId="3FE0BA35" w:rsidR="00DB6A70" w:rsidRPr="00DB6A70" w:rsidRDefault="00030760" w:rsidP="00DB6A7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1,798,000</w:t>
                </w:r>
              </w:p>
            </w:tc>
            <w:tc>
              <w:tcPr>
                <w:tcW w:w="821" w:type="dxa"/>
                <w:tcBorders>
                  <w:top w:val="nil"/>
                  <w:left w:val="nil"/>
                  <w:bottom w:val="nil"/>
                  <w:right w:val="nil"/>
                </w:tcBorders>
                <w:shd w:val="clear" w:color="auto" w:fill="auto"/>
                <w:noWrap/>
                <w:vAlign w:val="bottom"/>
                <w:hideMark/>
              </w:tcPr>
              <w:p w14:paraId="6065EB3E" w14:textId="376A9F5E" w:rsidR="00DB6A70" w:rsidRPr="005B3ABB" w:rsidRDefault="005B3ABB" w:rsidP="005B3ABB">
                <w:pPr>
                  <w:spacing w:after="0" w:line="240" w:lineRule="auto"/>
                  <w:jc w:val="right"/>
                  <w:rPr>
                    <w:rFonts w:eastAsia="Times New Roman" w:cstheme="minorHAnsi"/>
                    <w:sz w:val="20"/>
                    <w:szCs w:val="20"/>
                    <w:lang w:eastAsia="en-GB"/>
                  </w:rPr>
                </w:pPr>
                <w:r w:rsidRPr="005B3ABB">
                  <w:rPr>
                    <w:rFonts w:eastAsia="Times New Roman" w:cstheme="minorHAnsi"/>
                    <w:sz w:val="20"/>
                    <w:szCs w:val="20"/>
                    <w:lang w:eastAsia="en-GB"/>
                  </w:rPr>
                  <w:t>12%</w:t>
                </w:r>
              </w:p>
            </w:tc>
          </w:tr>
          <w:tr w:rsidR="00DB6A70" w:rsidRPr="00DB6A70" w14:paraId="2482C8F7" w14:textId="77777777" w:rsidTr="00A3786B">
            <w:trPr>
              <w:trHeight w:val="288"/>
            </w:trPr>
            <w:tc>
              <w:tcPr>
                <w:tcW w:w="2872" w:type="dxa"/>
                <w:tcBorders>
                  <w:top w:val="nil"/>
                  <w:left w:val="nil"/>
                  <w:bottom w:val="nil"/>
                  <w:right w:val="nil"/>
                </w:tcBorders>
                <w:shd w:val="clear" w:color="auto" w:fill="auto"/>
                <w:noWrap/>
                <w:vAlign w:val="bottom"/>
                <w:hideMark/>
              </w:tcPr>
              <w:p w14:paraId="7FE84E1B"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Current Liabilities</w:t>
                </w:r>
              </w:p>
            </w:tc>
            <w:tc>
              <w:tcPr>
                <w:tcW w:w="1600" w:type="dxa"/>
                <w:tcBorders>
                  <w:top w:val="nil"/>
                  <w:left w:val="nil"/>
                  <w:bottom w:val="nil"/>
                  <w:right w:val="nil"/>
                </w:tcBorders>
                <w:shd w:val="clear" w:color="auto" w:fill="auto"/>
                <w:noWrap/>
                <w:vAlign w:val="bottom"/>
                <w:hideMark/>
              </w:tcPr>
              <w:p w14:paraId="0E097126"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2,431,000</w:t>
                </w:r>
              </w:p>
            </w:tc>
            <w:tc>
              <w:tcPr>
                <w:tcW w:w="1540" w:type="dxa"/>
                <w:tcBorders>
                  <w:top w:val="nil"/>
                  <w:left w:val="nil"/>
                  <w:bottom w:val="nil"/>
                  <w:right w:val="nil"/>
                </w:tcBorders>
                <w:shd w:val="clear" w:color="auto" w:fill="auto"/>
                <w:noWrap/>
                <w:vAlign w:val="bottom"/>
                <w:hideMark/>
              </w:tcPr>
              <w:p w14:paraId="1B4684B7"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2,871,000</w:t>
                </w:r>
              </w:p>
            </w:tc>
            <w:tc>
              <w:tcPr>
                <w:tcW w:w="1359" w:type="dxa"/>
                <w:tcBorders>
                  <w:top w:val="nil"/>
                  <w:left w:val="nil"/>
                  <w:bottom w:val="nil"/>
                  <w:right w:val="nil"/>
                </w:tcBorders>
                <w:shd w:val="clear" w:color="auto" w:fill="auto"/>
                <w:noWrap/>
                <w:vAlign w:val="bottom"/>
                <w:hideMark/>
              </w:tcPr>
              <w:p w14:paraId="7B5E2603" w14:textId="057238F5" w:rsidR="00DB6A70" w:rsidRPr="00DB6A70" w:rsidRDefault="005B3ABB" w:rsidP="00DB6A7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-440,000</w:t>
                </w:r>
              </w:p>
            </w:tc>
            <w:tc>
              <w:tcPr>
                <w:tcW w:w="821" w:type="dxa"/>
                <w:tcBorders>
                  <w:top w:val="nil"/>
                  <w:left w:val="nil"/>
                  <w:bottom w:val="nil"/>
                  <w:right w:val="nil"/>
                </w:tcBorders>
                <w:shd w:val="clear" w:color="auto" w:fill="auto"/>
                <w:noWrap/>
                <w:vAlign w:val="bottom"/>
                <w:hideMark/>
              </w:tcPr>
              <w:p w14:paraId="65E53082" w14:textId="2D34B382" w:rsidR="00DB6A70" w:rsidRPr="005B3ABB" w:rsidRDefault="005B3ABB" w:rsidP="005B3ABB">
                <w:pPr>
                  <w:spacing w:after="0" w:line="240" w:lineRule="auto"/>
                  <w:jc w:val="right"/>
                  <w:rPr>
                    <w:rFonts w:eastAsia="Times New Roman" w:cstheme="minorHAnsi"/>
                    <w:sz w:val="20"/>
                    <w:szCs w:val="20"/>
                    <w:lang w:eastAsia="en-GB"/>
                  </w:rPr>
                </w:pPr>
                <w:r w:rsidRPr="005B3ABB">
                  <w:rPr>
                    <w:rFonts w:eastAsia="Times New Roman" w:cstheme="minorHAnsi"/>
                    <w:sz w:val="20"/>
                    <w:szCs w:val="20"/>
                    <w:lang w:eastAsia="en-GB"/>
                  </w:rPr>
                  <w:t>-15%</w:t>
                </w:r>
              </w:p>
            </w:tc>
          </w:tr>
          <w:tr w:rsidR="00DB6A70" w:rsidRPr="00DB6A70" w14:paraId="6AC21EEF" w14:textId="77777777" w:rsidTr="00A3786B">
            <w:trPr>
              <w:trHeight w:val="288"/>
            </w:trPr>
            <w:tc>
              <w:tcPr>
                <w:tcW w:w="2872" w:type="dxa"/>
                <w:tcBorders>
                  <w:top w:val="nil"/>
                  <w:left w:val="nil"/>
                  <w:bottom w:val="nil"/>
                  <w:right w:val="nil"/>
                </w:tcBorders>
                <w:shd w:val="clear" w:color="auto" w:fill="auto"/>
                <w:noWrap/>
                <w:vAlign w:val="bottom"/>
                <w:hideMark/>
              </w:tcPr>
              <w:p w14:paraId="4864681F" w14:textId="77777777" w:rsidR="00DB6A70" w:rsidRPr="00DB6A70" w:rsidRDefault="00DB6A70" w:rsidP="00DB6A70">
                <w:pPr>
                  <w:spacing w:after="0" w:line="240" w:lineRule="auto"/>
                  <w:rPr>
                    <w:rFonts w:ascii="Calibri" w:eastAsia="Times New Roman" w:hAnsi="Calibri" w:cs="Calibri"/>
                    <w:color w:val="000000"/>
                    <w:lang w:eastAsia="en-GB"/>
                  </w:rPr>
                </w:pPr>
                <w:proofErr w:type="spellStart"/>
                <w:proofErr w:type="gramStart"/>
                <w:r w:rsidRPr="00DB6A70">
                  <w:rPr>
                    <w:rFonts w:ascii="Calibri" w:eastAsia="Times New Roman" w:hAnsi="Calibri" w:cs="Calibri"/>
                    <w:color w:val="000000"/>
                    <w:lang w:eastAsia="en-GB"/>
                  </w:rPr>
                  <w:lastRenderedPageBreak/>
                  <w:t>Non current</w:t>
                </w:r>
                <w:proofErr w:type="spellEnd"/>
                <w:proofErr w:type="gramEnd"/>
                <w:r w:rsidRPr="00DB6A70">
                  <w:rPr>
                    <w:rFonts w:ascii="Calibri" w:eastAsia="Times New Roman" w:hAnsi="Calibri" w:cs="Calibri"/>
                    <w:color w:val="000000"/>
                    <w:lang w:eastAsia="en-GB"/>
                  </w:rPr>
                  <w:t xml:space="preserve"> Liabilities</w:t>
                </w:r>
              </w:p>
            </w:tc>
            <w:tc>
              <w:tcPr>
                <w:tcW w:w="1600" w:type="dxa"/>
                <w:tcBorders>
                  <w:top w:val="nil"/>
                  <w:left w:val="nil"/>
                  <w:bottom w:val="nil"/>
                  <w:right w:val="nil"/>
                </w:tcBorders>
                <w:shd w:val="clear" w:color="auto" w:fill="auto"/>
                <w:noWrap/>
                <w:vAlign w:val="bottom"/>
                <w:hideMark/>
              </w:tcPr>
              <w:p w14:paraId="4EFB5689"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15,810,000</w:t>
                </w:r>
              </w:p>
            </w:tc>
            <w:tc>
              <w:tcPr>
                <w:tcW w:w="1540" w:type="dxa"/>
                <w:tcBorders>
                  <w:top w:val="nil"/>
                  <w:left w:val="nil"/>
                  <w:bottom w:val="nil"/>
                  <w:right w:val="nil"/>
                </w:tcBorders>
                <w:shd w:val="clear" w:color="auto" w:fill="auto"/>
                <w:noWrap/>
                <w:vAlign w:val="bottom"/>
                <w:hideMark/>
              </w:tcPr>
              <w:p w14:paraId="1B33A77B"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12,558,000</w:t>
                </w:r>
              </w:p>
            </w:tc>
            <w:tc>
              <w:tcPr>
                <w:tcW w:w="1359" w:type="dxa"/>
                <w:tcBorders>
                  <w:top w:val="nil"/>
                  <w:left w:val="nil"/>
                  <w:bottom w:val="nil"/>
                  <w:right w:val="nil"/>
                </w:tcBorders>
                <w:shd w:val="clear" w:color="auto" w:fill="auto"/>
                <w:noWrap/>
                <w:vAlign w:val="bottom"/>
                <w:hideMark/>
              </w:tcPr>
              <w:p w14:paraId="27ACC7C4" w14:textId="666DA80C" w:rsidR="00DB6A70" w:rsidRPr="00DB6A70" w:rsidRDefault="005B3ABB" w:rsidP="00DB6A7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3,325,000</w:t>
                </w:r>
              </w:p>
            </w:tc>
            <w:tc>
              <w:tcPr>
                <w:tcW w:w="821" w:type="dxa"/>
                <w:tcBorders>
                  <w:top w:val="nil"/>
                  <w:left w:val="nil"/>
                  <w:bottom w:val="nil"/>
                  <w:right w:val="nil"/>
                </w:tcBorders>
                <w:shd w:val="clear" w:color="auto" w:fill="auto"/>
                <w:noWrap/>
                <w:vAlign w:val="bottom"/>
                <w:hideMark/>
              </w:tcPr>
              <w:p w14:paraId="2A7878E1" w14:textId="54E5E423" w:rsidR="00DB6A70" w:rsidRPr="005B3ABB" w:rsidRDefault="005B3ABB" w:rsidP="005B3ABB">
                <w:pPr>
                  <w:spacing w:after="0" w:line="240" w:lineRule="auto"/>
                  <w:jc w:val="right"/>
                  <w:rPr>
                    <w:rFonts w:eastAsia="Times New Roman" w:cstheme="minorHAnsi"/>
                    <w:sz w:val="20"/>
                    <w:szCs w:val="20"/>
                    <w:lang w:eastAsia="en-GB"/>
                  </w:rPr>
                </w:pPr>
                <w:r w:rsidRPr="005B3ABB">
                  <w:rPr>
                    <w:rFonts w:eastAsia="Times New Roman" w:cstheme="minorHAnsi"/>
                    <w:sz w:val="20"/>
                    <w:szCs w:val="20"/>
                    <w:lang w:eastAsia="en-GB"/>
                  </w:rPr>
                  <w:t>26%</w:t>
                </w:r>
              </w:p>
            </w:tc>
          </w:tr>
          <w:tr w:rsidR="00DB6A70" w:rsidRPr="00DB6A70" w14:paraId="1EF5A1A4" w14:textId="77777777" w:rsidTr="00A3786B">
            <w:trPr>
              <w:trHeight w:val="288"/>
            </w:trPr>
            <w:tc>
              <w:tcPr>
                <w:tcW w:w="2872" w:type="dxa"/>
                <w:tcBorders>
                  <w:top w:val="nil"/>
                  <w:left w:val="nil"/>
                  <w:bottom w:val="nil"/>
                  <w:right w:val="nil"/>
                </w:tcBorders>
                <w:shd w:val="clear" w:color="auto" w:fill="auto"/>
                <w:noWrap/>
                <w:vAlign w:val="bottom"/>
                <w:hideMark/>
              </w:tcPr>
              <w:p w14:paraId="3429B6CE"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Total Liabilities</w:t>
                </w:r>
              </w:p>
            </w:tc>
            <w:tc>
              <w:tcPr>
                <w:tcW w:w="1600" w:type="dxa"/>
                <w:tcBorders>
                  <w:top w:val="nil"/>
                  <w:left w:val="nil"/>
                  <w:bottom w:val="nil"/>
                  <w:right w:val="nil"/>
                </w:tcBorders>
                <w:shd w:val="clear" w:color="auto" w:fill="auto"/>
                <w:noWrap/>
                <w:vAlign w:val="bottom"/>
                <w:hideMark/>
              </w:tcPr>
              <w:p w14:paraId="3F56B99A"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18,241,000</w:t>
                </w:r>
              </w:p>
            </w:tc>
            <w:tc>
              <w:tcPr>
                <w:tcW w:w="1540" w:type="dxa"/>
                <w:tcBorders>
                  <w:top w:val="nil"/>
                  <w:left w:val="nil"/>
                  <w:bottom w:val="nil"/>
                  <w:right w:val="nil"/>
                </w:tcBorders>
                <w:shd w:val="clear" w:color="auto" w:fill="auto"/>
                <w:noWrap/>
                <w:vAlign w:val="bottom"/>
                <w:hideMark/>
              </w:tcPr>
              <w:p w14:paraId="7D1B2EB2"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15,429,000</w:t>
                </w:r>
              </w:p>
            </w:tc>
            <w:tc>
              <w:tcPr>
                <w:tcW w:w="1359" w:type="dxa"/>
                <w:tcBorders>
                  <w:top w:val="nil"/>
                  <w:left w:val="nil"/>
                  <w:bottom w:val="nil"/>
                  <w:right w:val="nil"/>
                </w:tcBorders>
                <w:shd w:val="clear" w:color="auto" w:fill="auto"/>
                <w:noWrap/>
                <w:vAlign w:val="bottom"/>
                <w:hideMark/>
              </w:tcPr>
              <w:p w14:paraId="16DB5622" w14:textId="34DC2167" w:rsidR="00DB6A70" w:rsidRPr="00DB6A70" w:rsidRDefault="005B3ABB" w:rsidP="00DB6A7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2,812,000</w:t>
                </w:r>
              </w:p>
            </w:tc>
            <w:tc>
              <w:tcPr>
                <w:tcW w:w="821" w:type="dxa"/>
                <w:tcBorders>
                  <w:top w:val="nil"/>
                  <w:left w:val="nil"/>
                  <w:bottom w:val="nil"/>
                  <w:right w:val="nil"/>
                </w:tcBorders>
                <w:shd w:val="clear" w:color="auto" w:fill="auto"/>
                <w:noWrap/>
                <w:vAlign w:val="bottom"/>
                <w:hideMark/>
              </w:tcPr>
              <w:p w14:paraId="77840661" w14:textId="4A7B2D47" w:rsidR="00DB6A70" w:rsidRPr="005B3ABB" w:rsidRDefault="005B3ABB" w:rsidP="005B3ABB">
                <w:pPr>
                  <w:spacing w:after="0" w:line="240" w:lineRule="auto"/>
                  <w:jc w:val="right"/>
                  <w:rPr>
                    <w:rFonts w:eastAsia="Times New Roman" w:cstheme="minorHAnsi"/>
                    <w:sz w:val="20"/>
                    <w:szCs w:val="20"/>
                    <w:lang w:eastAsia="en-GB"/>
                  </w:rPr>
                </w:pPr>
                <w:r w:rsidRPr="005B3ABB">
                  <w:rPr>
                    <w:rFonts w:eastAsia="Times New Roman" w:cstheme="minorHAnsi"/>
                    <w:sz w:val="20"/>
                    <w:szCs w:val="20"/>
                    <w:lang w:eastAsia="en-GB"/>
                  </w:rPr>
                  <w:t>18%</w:t>
                </w:r>
              </w:p>
            </w:tc>
          </w:tr>
          <w:tr w:rsidR="00DB6A70" w:rsidRPr="00DB6A70" w14:paraId="47FC5569" w14:textId="77777777" w:rsidTr="00A3786B">
            <w:trPr>
              <w:trHeight w:val="288"/>
            </w:trPr>
            <w:tc>
              <w:tcPr>
                <w:tcW w:w="2872" w:type="dxa"/>
                <w:tcBorders>
                  <w:top w:val="nil"/>
                  <w:left w:val="nil"/>
                  <w:bottom w:val="nil"/>
                  <w:right w:val="nil"/>
                </w:tcBorders>
                <w:shd w:val="clear" w:color="auto" w:fill="auto"/>
                <w:noWrap/>
                <w:vAlign w:val="bottom"/>
                <w:hideMark/>
              </w:tcPr>
              <w:p w14:paraId="5046C15B"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Common Stock</w:t>
                </w:r>
              </w:p>
            </w:tc>
            <w:tc>
              <w:tcPr>
                <w:tcW w:w="1600" w:type="dxa"/>
                <w:tcBorders>
                  <w:top w:val="nil"/>
                  <w:left w:val="nil"/>
                  <w:bottom w:val="nil"/>
                  <w:right w:val="nil"/>
                </w:tcBorders>
                <w:shd w:val="clear" w:color="auto" w:fill="auto"/>
                <w:noWrap/>
                <w:vAlign w:val="bottom"/>
                <w:hideMark/>
              </w:tcPr>
              <w:p w14:paraId="4574A36A"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3,000</w:t>
                </w:r>
              </w:p>
            </w:tc>
            <w:tc>
              <w:tcPr>
                <w:tcW w:w="1540" w:type="dxa"/>
                <w:tcBorders>
                  <w:top w:val="nil"/>
                  <w:left w:val="nil"/>
                  <w:bottom w:val="nil"/>
                  <w:right w:val="nil"/>
                </w:tcBorders>
                <w:shd w:val="clear" w:color="auto" w:fill="auto"/>
                <w:noWrap/>
                <w:vAlign w:val="bottom"/>
                <w:hideMark/>
              </w:tcPr>
              <w:p w14:paraId="26ADEDCE"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3,000</w:t>
                </w:r>
              </w:p>
            </w:tc>
            <w:tc>
              <w:tcPr>
                <w:tcW w:w="1359" w:type="dxa"/>
                <w:tcBorders>
                  <w:top w:val="nil"/>
                  <w:left w:val="nil"/>
                  <w:bottom w:val="nil"/>
                  <w:right w:val="nil"/>
                </w:tcBorders>
                <w:shd w:val="clear" w:color="auto" w:fill="auto"/>
                <w:noWrap/>
                <w:vAlign w:val="bottom"/>
                <w:hideMark/>
              </w:tcPr>
              <w:p w14:paraId="7988B892" w14:textId="10F91EAE" w:rsidR="00DB6A70" w:rsidRPr="00DB6A70" w:rsidRDefault="005B3ABB" w:rsidP="00DB6A7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w:t>
                </w:r>
              </w:p>
            </w:tc>
            <w:tc>
              <w:tcPr>
                <w:tcW w:w="821" w:type="dxa"/>
                <w:tcBorders>
                  <w:top w:val="nil"/>
                  <w:left w:val="nil"/>
                  <w:bottom w:val="nil"/>
                  <w:right w:val="nil"/>
                </w:tcBorders>
                <w:shd w:val="clear" w:color="auto" w:fill="auto"/>
                <w:noWrap/>
                <w:vAlign w:val="bottom"/>
                <w:hideMark/>
              </w:tcPr>
              <w:p w14:paraId="0D1DB6D9" w14:textId="5DE08542" w:rsidR="00DB6A70" w:rsidRPr="005B3ABB" w:rsidRDefault="005B3ABB" w:rsidP="005B3ABB">
                <w:pPr>
                  <w:spacing w:after="0" w:line="240" w:lineRule="auto"/>
                  <w:jc w:val="right"/>
                  <w:rPr>
                    <w:rFonts w:eastAsia="Times New Roman" w:cstheme="minorHAnsi"/>
                    <w:sz w:val="20"/>
                    <w:szCs w:val="20"/>
                    <w:lang w:eastAsia="en-GB"/>
                  </w:rPr>
                </w:pPr>
                <w:r w:rsidRPr="005B3ABB">
                  <w:rPr>
                    <w:rFonts w:eastAsia="Times New Roman" w:cstheme="minorHAnsi"/>
                    <w:sz w:val="20"/>
                    <w:szCs w:val="20"/>
                    <w:lang w:eastAsia="en-GB"/>
                  </w:rPr>
                  <w:t>0%</w:t>
                </w:r>
              </w:p>
            </w:tc>
          </w:tr>
          <w:tr w:rsidR="00DB6A70" w:rsidRPr="00DB6A70" w14:paraId="3FA9A442" w14:textId="77777777" w:rsidTr="00A3786B">
            <w:trPr>
              <w:trHeight w:val="288"/>
            </w:trPr>
            <w:tc>
              <w:tcPr>
                <w:tcW w:w="2872" w:type="dxa"/>
                <w:tcBorders>
                  <w:top w:val="nil"/>
                  <w:left w:val="nil"/>
                  <w:bottom w:val="nil"/>
                  <w:right w:val="nil"/>
                </w:tcBorders>
                <w:shd w:val="clear" w:color="auto" w:fill="auto"/>
                <w:noWrap/>
                <w:vAlign w:val="bottom"/>
                <w:hideMark/>
              </w:tcPr>
              <w:p w14:paraId="366567ED"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Retained Earnings</w:t>
                </w:r>
              </w:p>
            </w:tc>
            <w:tc>
              <w:tcPr>
                <w:tcW w:w="1600" w:type="dxa"/>
                <w:tcBorders>
                  <w:top w:val="nil"/>
                  <w:left w:val="nil"/>
                  <w:bottom w:val="nil"/>
                  <w:right w:val="nil"/>
                </w:tcBorders>
                <w:shd w:val="clear" w:color="auto" w:fill="auto"/>
                <w:noWrap/>
                <w:vAlign w:val="bottom"/>
                <w:hideMark/>
              </w:tcPr>
              <w:p w14:paraId="6B50AD36"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-6,732,000</w:t>
                </w:r>
              </w:p>
            </w:tc>
            <w:tc>
              <w:tcPr>
                <w:tcW w:w="1540" w:type="dxa"/>
                <w:tcBorders>
                  <w:top w:val="nil"/>
                  <w:left w:val="nil"/>
                  <w:bottom w:val="nil"/>
                  <w:right w:val="nil"/>
                </w:tcBorders>
                <w:shd w:val="clear" w:color="auto" w:fill="auto"/>
                <w:noWrap/>
                <w:vAlign w:val="bottom"/>
                <w:hideMark/>
              </w:tcPr>
              <w:p w14:paraId="1111E0B7"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-5,965,000</w:t>
                </w:r>
              </w:p>
            </w:tc>
            <w:tc>
              <w:tcPr>
                <w:tcW w:w="1359" w:type="dxa"/>
                <w:tcBorders>
                  <w:top w:val="nil"/>
                  <w:left w:val="nil"/>
                  <w:bottom w:val="nil"/>
                  <w:right w:val="nil"/>
                </w:tcBorders>
                <w:shd w:val="clear" w:color="auto" w:fill="auto"/>
                <w:noWrap/>
                <w:vAlign w:val="bottom"/>
                <w:hideMark/>
              </w:tcPr>
              <w:p w14:paraId="75E675C3" w14:textId="2C37042C" w:rsidR="00DB6A70" w:rsidRPr="00DB6A70" w:rsidRDefault="005B3ABB" w:rsidP="00DB6A7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w:t>
                </w:r>
                <w:r w:rsidR="00961F7E">
                  <w:rPr>
                    <w:rFonts w:ascii="Calibri" w:eastAsia="Times New Roman" w:hAnsi="Calibri" w:cs="Calibri"/>
                    <w:color w:val="000000"/>
                    <w:lang w:eastAsia="en-GB"/>
                  </w:rPr>
                  <w:t>767</w:t>
                </w:r>
                <w:r w:rsidR="00972E45">
                  <w:rPr>
                    <w:rFonts w:ascii="Calibri" w:eastAsia="Times New Roman" w:hAnsi="Calibri" w:cs="Calibri"/>
                    <w:color w:val="000000"/>
                    <w:lang w:eastAsia="en-GB"/>
                  </w:rPr>
                  <w:t>,000</w:t>
                </w:r>
              </w:p>
            </w:tc>
            <w:tc>
              <w:tcPr>
                <w:tcW w:w="821" w:type="dxa"/>
                <w:tcBorders>
                  <w:top w:val="nil"/>
                  <w:left w:val="nil"/>
                  <w:bottom w:val="nil"/>
                  <w:right w:val="nil"/>
                </w:tcBorders>
                <w:shd w:val="clear" w:color="auto" w:fill="auto"/>
                <w:noWrap/>
                <w:vAlign w:val="bottom"/>
                <w:hideMark/>
              </w:tcPr>
              <w:p w14:paraId="2540BD44" w14:textId="142F1C52" w:rsidR="00DB6A70" w:rsidRPr="005B3ABB" w:rsidRDefault="00A3786B" w:rsidP="005B3ABB">
                <w:pPr>
                  <w:spacing w:after="0" w:line="240" w:lineRule="auto"/>
                  <w:jc w:val="right"/>
                  <w:rPr>
                    <w:rFonts w:eastAsia="Times New Roman" w:cstheme="minorHAnsi"/>
                    <w:sz w:val="20"/>
                    <w:szCs w:val="20"/>
                    <w:lang w:eastAsia="en-GB"/>
                  </w:rPr>
                </w:pPr>
                <w:r>
                  <w:rPr>
                    <w:rFonts w:eastAsia="Times New Roman" w:cstheme="minorHAnsi"/>
                    <w:sz w:val="20"/>
                    <w:szCs w:val="20"/>
                    <w:lang w:eastAsia="en-GB"/>
                  </w:rPr>
                  <w:t>13%</w:t>
                </w:r>
              </w:p>
            </w:tc>
          </w:tr>
          <w:tr w:rsidR="00EE1C91" w:rsidRPr="00DB6A70" w14:paraId="115CB067" w14:textId="77777777" w:rsidTr="00A3786B">
            <w:trPr>
              <w:trHeight w:val="288"/>
            </w:trPr>
            <w:tc>
              <w:tcPr>
                <w:tcW w:w="2872" w:type="dxa"/>
                <w:tcBorders>
                  <w:top w:val="nil"/>
                  <w:left w:val="nil"/>
                  <w:bottom w:val="nil"/>
                  <w:right w:val="nil"/>
                </w:tcBorders>
                <w:shd w:val="clear" w:color="auto" w:fill="auto"/>
                <w:noWrap/>
                <w:vAlign w:val="bottom"/>
              </w:tcPr>
              <w:p w14:paraId="14EB703B" w14:textId="77777777" w:rsidR="00EE1C91" w:rsidRPr="00DB6A70" w:rsidRDefault="00EE1C91" w:rsidP="00DB6A70">
                <w:pPr>
                  <w:spacing w:after="0" w:line="240" w:lineRule="auto"/>
                  <w:rPr>
                    <w:rFonts w:ascii="Calibri" w:eastAsia="Times New Roman" w:hAnsi="Calibri" w:cs="Calibri"/>
                    <w:color w:val="000000"/>
                    <w:lang w:eastAsia="en-GB"/>
                  </w:rPr>
                </w:pPr>
              </w:p>
            </w:tc>
            <w:tc>
              <w:tcPr>
                <w:tcW w:w="1600" w:type="dxa"/>
                <w:tcBorders>
                  <w:top w:val="nil"/>
                  <w:left w:val="nil"/>
                  <w:bottom w:val="nil"/>
                  <w:right w:val="nil"/>
                </w:tcBorders>
                <w:shd w:val="clear" w:color="auto" w:fill="auto"/>
                <w:noWrap/>
                <w:vAlign w:val="bottom"/>
              </w:tcPr>
              <w:p w14:paraId="273D3118" w14:textId="77777777" w:rsidR="00EE1C91" w:rsidRPr="00DB6A70" w:rsidRDefault="00EE1C91" w:rsidP="00DB6A70">
                <w:pPr>
                  <w:spacing w:after="0" w:line="240" w:lineRule="auto"/>
                  <w:jc w:val="right"/>
                  <w:rPr>
                    <w:rFonts w:ascii="Calibri" w:eastAsia="Times New Roman" w:hAnsi="Calibri" w:cs="Calibri"/>
                    <w:color w:val="000000"/>
                    <w:lang w:eastAsia="en-GB"/>
                  </w:rPr>
                </w:pPr>
              </w:p>
            </w:tc>
            <w:tc>
              <w:tcPr>
                <w:tcW w:w="1540" w:type="dxa"/>
                <w:tcBorders>
                  <w:top w:val="nil"/>
                  <w:left w:val="nil"/>
                  <w:bottom w:val="nil"/>
                  <w:right w:val="nil"/>
                </w:tcBorders>
                <w:shd w:val="clear" w:color="auto" w:fill="auto"/>
                <w:noWrap/>
                <w:vAlign w:val="bottom"/>
              </w:tcPr>
              <w:p w14:paraId="71913F41" w14:textId="77777777" w:rsidR="00EE1C91" w:rsidRPr="00DB6A70" w:rsidRDefault="00EE1C91" w:rsidP="00DB6A70">
                <w:pPr>
                  <w:spacing w:after="0" w:line="240" w:lineRule="auto"/>
                  <w:jc w:val="right"/>
                  <w:rPr>
                    <w:rFonts w:ascii="Calibri" w:eastAsia="Times New Roman" w:hAnsi="Calibri" w:cs="Calibri"/>
                    <w:color w:val="000000"/>
                    <w:lang w:eastAsia="en-GB"/>
                  </w:rPr>
                </w:pPr>
              </w:p>
            </w:tc>
            <w:tc>
              <w:tcPr>
                <w:tcW w:w="1359" w:type="dxa"/>
                <w:tcBorders>
                  <w:top w:val="nil"/>
                  <w:left w:val="nil"/>
                  <w:bottom w:val="nil"/>
                  <w:right w:val="nil"/>
                </w:tcBorders>
                <w:shd w:val="clear" w:color="auto" w:fill="auto"/>
                <w:noWrap/>
                <w:vAlign w:val="bottom"/>
              </w:tcPr>
              <w:p w14:paraId="6C34A323" w14:textId="77777777" w:rsidR="00EE1C91" w:rsidRDefault="00EE1C91" w:rsidP="00DB6A70">
                <w:pPr>
                  <w:spacing w:after="0" w:line="240" w:lineRule="auto"/>
                  <w:jc w:val="right"/>
                  <w:rPr>
                    <w:rFonts w:ascii="Calibri" w:eastAsia="Times New Roman" w:hAnsi="Calibri" w:cs="Calibri"/>
                    <w:color w:val="000000"/>
                    <w:lang w:eastAsia="en-GB"/>
                  </w:rPr>
                </w:pPr>
              </w:p>
            </w:tc>
            <w:tc>
              <w:tcPr>
                <w:tcW w:w="821" w:type="dxa"/>
                <w:tcBorders>
                  <w:top w:val="nil"/>
                  <w:left w:val="nil"/>
                  <w:bottom w:val="nil"/>
                  <w:right w:val="nil"/>
                </w:tcBorders>
                <w:shd w:val="clear" w:color="auto" w:fill="auto"/>
                <w:noWrap/>
                <w:vAlign w:val="bottom"/>
              </w:tcPr>
              <w:p w14:paraId="3A635FBD" w14:textId="77777777" w:rsidR="00EE1C91" w:rsidRDefault="00EE1C91" w:rsidP="005B3ABB">
                <w:pPr>
                  <w:spacing w:after="0" w:line="240" w:lineRule="auto"/>
                  <w:jc w:val="right"/>
                  <w:rPr>
                    <w:rFonts w:eastAsia="Times New Roman" w:cstheme="minorHAnsi"/>
                    <w:sz w:val="20"/>
                    <w:szCs w:val="20"/>
                    <w:lang w:eastAsia="en-GB"/>
                  </w:rPr>
                </w:pPr>
              </w:p>
            </w:tc>
          </w:tr>
          <w:tr w:rsidR="00DB6A70" w:rsidRPr="00DB6A70" w14:paraId="3BF46150" w14:textId="77777777" w:rsidTr="00A3786B">
            <w:trPr>
              <w:trHeight w:val="288"/>
            </w:trPr>
            <w:tc>
              <w:tcPr>
                <w:tcW w:w="2872" w:type="dxa"/>
                <w:tcBorders>
                  <w:top w:val="nil"/>
                  <w:left w:val="nil"/>
                  <w:bottom w:val="nil"/>
                  <w:right w:val="nil"/>
                </w:tcBorders>
                <w:shd w:val="clear" w:color="auto" w:fill="auto"/>
                <w:noWrap/>
                <w:vAlign w:val="bottom"/>
                <w:hideMark/>
              </w:tcPr>
              <w:p w14:paraId="6A0F478C"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Total Stockholders' Equity</w:t>
                </w:r>
              </w:p>
            </w:tc>
            <w:tc>
              <w:tcPr>
                <w:tcW w:w="1600" w:type="dxa"/>
                <w:tcBorders>
                  <w:top w:val="nil"/>
                  <w:left w:val="nil"/>
                  <w:bottom w:val="nil"/>
                  <w:right w:val="nil"/>
                </w:tcBorders>
                <w:shd w:val="clear" w:color="auto" w:fill="auto"/>
                <w:noWrap/>
                <w:vAlign w:val="bottom"/>
                <w:hideMark/>
              </w:tcPr>
              <w:p w14:paraId="6738C250"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-1,490,000</w:t>
                </w:r>
              </w:p>
            </w:tc>
            <w:tc>
              <w:tcPr>
                <w:tcW w:w="1540" w:type="dxa"/>
                <w:tcBorders>
                  <w:top w:val="nil"/>
                  <w:left w:val="nil"/>
                  <w:bottom w:val="nil"/>
                  <w:right w:val="nil"/>
                </w:tcBorders>
                <w:shd w:val="clear" w:color="auto" w:fill="auto"/>
                <w:noWrap/>
                <w:vAlign w:val="bottom"/>
                <w:hideMark/>
              </w:tcPr>
              <w:p w14:paraId="07836BF4"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-482,000</w:t>
                </w:r>
              </w:p>
            </w:tc>
            <w:tc>
              <w:tcPr>
                <w:tcW w:w="1359" w:type="dxa"/>
                <w:tcBorders>
                  <w:top w:val="nil"/>
                  <w:left w:val="nil"/>
                  <w:bottom w:val="nil"/>
                  <w:right w:val="nil"/>
                </w:tcBorders>
                <w:shd w:val="clear" w:color="auto" w:fill="auto"/>
                <w:noWrap/>
                <w:vAlign w:val="bottom"/>
                <w:hideMark/>
              </w:tcPr>
              <w:p w14:paraId="57D130E7" w14:textId="4788DE5E" w:rsidR="00DB6A70" w:rsidRPr="00DB6A70" w:rsidRDefault="00A3786B" w:rsidP="00DB6A7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-1,008,000</w:t>
                </w:r>
              </w:p>
            </w:tc>
            <w:tc>
              <w:tcPr>
                <w:tcW w:w="821" w:type="dxa"/>
                <w:tcBorders>
                  <w:top w:val="nil"/>
                  <w:left w:val="nil"/>
                  <w:bottom w:val="nil"/>
                  <w:right w:val="nil"/>
                </w:tcBorders>
                <w:shd w:val="clear" w:color="auto" w:fill="auto"/>
                <w:noWrap/>
                <w:vAlign w:val="bottom"/>
                <w:hideMark/>
              </w:tcPr>
              <w:p w14:paraId="0F4DEFC7" w14:textId="03795CE7" w:rsidR="00DB6A70" w:rsidRPr="00A3786B" w:rsidRDefault="00A3786B" w:rsidP="00A3786B">
                <w:pPr>
                  <w:spacing w:after="0" w:line="240" w:lineRule="auto"/>
                  <w:jc w:val="right"/>
                  <w:rPr>
                    <w:rFonts w:eastAsia="Times New Roman" w:cstheme="minorHAnsi"/>
                    <w:sz w:val="20"/>
                    <w:szCs w:val="20"/>
                    <w:lang w:eastAsia="en-GB"/>
                  </w:rPr>
                </w:pPr>
                <w:r w:rsidRPr="00A3786B">
                  <w:rPr>
                    <w:rFonts w:eastAsia="Times New Roman" w:cstheme="minorHAnsi"/>
                    <w:sz w:val="20"/>
                    <w:szCs w:val="20"/>
                    <w:lang w:eastAsia="en-GB"/>
                  </w:rPr>
                  <w:t>209%</w:t>
                </w:r>
              </w:p>
            </w:tc>
          </w:tr>
          <w:tr w:rsidR="00DB6A70" w:rsidRPr="00DB6A70" w14:paraId="54F328DF" w14:textId="77777777" w:rsidTr="00A3786B">
            <w:trPr>
              <w:trHeight w:val="288"/>
            </w:trPr>
            <w:tc>
              <w:tcPr>
                <w:tcW w:w="2872" w:type="dxa"/>
                <w:tcBorders>
                  <w:top w:val="nil"/>
                  <w:left w:val="nil"/>
                  <w:bottom w:val="nil"/>
                  <w:right w:val="nil"/>
                </w:tcBorders>
                <w:shd w:val="clear" w:color="auto" w:fill="auto"/>
                <w:noWrap/>
                <w:vAlign w:val="bottom"/>
                <w:hideMark/>
              </w:tcPr>
              <w:p w14:paraId="2946007F"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Total Liabilities and Stockholder</w:t>
                </w:r>
              </w:p>
            </w:tc>
            <w:tc>
              <w:tcPr>
                <w:tcW w:w="1600" w:type="dxa"/>
                <w:tcBorders>
                  <w:top w:val="nil"/>
                  <w:left w:val="nil"/>
                  <w:bottom w:val="nil"/>
                  <w:right w:val="nil"/>
                </w:tcBorders>
                <w:shd w:val="clear" w:color="auto" w:fill="auto"/>
                <w:noWrap/>
                <w:vAlign w:val="bottom"/>
                <w:hideMark/>
              </w:tcPr>
              <w:p w14:paraId="7D8DD815"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16,755,000</w:t>
                </w:r>
              </w:p>
            </w:tc>
            <w:tc>
              <w:tcPr>
                <w:tcW w:w="1540" w:type="dxa"/>
                <w:tcBorders>
                  <w:top w:val="nil"/>
                  <w:left w:val="nil"/>
                  <w:bottom w:val="nil"/>
                  <w:right w:val="nil"/>
                </w:tcBorders>
                <w:shd w:val="clear" w:color="auto" w:fill="auto"/>
                <w:noWrap/>
                <w:vAlign w:val="bottom"/>
                <w:hideMark/>
              </w:tcPr>
              <w:p w14:paraId="45A79690"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14,957,000</w:t>
                </w:r>
              </w:p>
            </w:tc>
            <w:tc>
              <w:tcPr>
                <w:tcW w:w="1359" w:type="dxa"/>
                <w:tcBorders>
                  <w:top w:val="nil"/>
                  <w:left w:val="nil"/>
                  <w:bottom w:val="nil"/>
                  <w:right w:val="nil"/>
                </w:tcBorders>
                <w:shd w:val="clear" w:color="auto" w:fill="auto"/>
                <w:noWrap/>
                <w:vAlign w:val="bottom"/>
                <w:hideMark/>
              </w:tcPr>
              <w:p w14:paraId="4947F2BF" w14:textId="09287791" w:rsidR="00DB6A70" w:rsidRPr="00DB6A70" w:rsidRDefault="00A3786B" w:rsidP="00DB6A7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1,798,000</w:t>
                </w:r>
              </w:p>
            </w:tc>
            <w:tc>
              <w:tcPr>
                <w:tcW w:w="821" w:type="dxa"/>
                <w:tcBorders>
                  <w:top w:val="nil"/>
                  <w:left w:val="nil"/>
                  <w:bottom w:val="nil"/>
                  <w:right w:val="nil"/>
                </w:tcBorders>
                <w:shd w:val="clear" w:color="auto" w:fill="auto"/>
                <w:noWrap/>
                <w:vAlign w:val="bottom"/>
                <w:hideMark/>
              </w:tcPr>
              <w:p w14:paraId="68385A75" w14:textId="6AEAF335" w:rsidR="00DB6A70" w:rsidRPr="00A3786B" w:rsidRDefault="00A3786B" w:rsidP="00A3786B">
                <w:pPr>
                  <w:spacing w:after="0" w:line="240" w:lineRule="auto"/>
                  <w:jc w:val="right"/>
                  <w:rPr>
                    <w:rFonts w:eastAsia="Times New Roman" w:cstheme="minorHAnsi"/>
                    <w:sz w:val="20"/>
                    <w:szCs w:val="20"/>
                    <w:lang w:eastAsia="en-GB"/>
                  </w:rPr>
                </w:pPr>
                <w:r w:rsidRPr="00A3786B">
                  <w:rPr>
                    <w:rFonts w:eastAsia="Times New Roman" w:cstheme="minorHAnsi"/>
                    <w:sz w:val="20"/>
                    <w:szCs w:val="20"/>
                    <w:lang w:eastAsia="en-GB"/>
                  </w:rPr>
                  <w:t>12%</w:t>
                </w:r>
              </w:p>
            </w:tc>
          </w:tr>
        </w:tbl>
        <w:p w14:paraId="00F8CF11" w14:textId="77777777" w:rsidR="00EE1C91" w:rsidRPr="00DC7F2C" w:rsidRDefault="00EE1C91" w:rsidP="00DC7F2C">
          <w:pPr>
            <w:pStyle w:val="Heading1"/>
          </w:pPr>
        </w:p>
        <w:p w14:paraId="24A62077" w14:textId="79C7E361" w:rsidR="00C5209E" w:rsidRDefault="00D5580A" w:rsidP="0064508C">
          <w:pPr>
            <w:pStyle w:val="Heading2"/>
          </w:pPr>
          <w:bookmarkStart w:id="29" w:name="_Toc104989804"/>
          <w:r w:rsidRPr="00D5580A">
            <w:t>Liquidity ratios</w:t>
          </w:r>
          <w:bookmarkEnd w:id="29"/>
        </w:p>
        <w:p w14:paraId="742E61C9" w14:textId="77777777" w:rsidR="0040095D" w:rsidRDefault="0040095D" w:rsidP="00D5580A"/>
        <w:p w14:paraId="06CD15FC" w14:textId="12EFDB81" w:rsidR="00D5580A" w:rsidRDefault="0040095D" w:rsidP="00D5580A">
          <w:r w:rsidRPr="0040095D">
            <w:t>These ratios are focused on exploring a company’s ability to pay its short-term maturing obligations (</w:t>
          </w:r>
          <w:proofErr w:type="spellStart"/>
          <w:r w:rsidRPr="0040095D">
            <w:t>Welc</w:t>
          </w:r>
          <w:proofErr w:type="spellEnd"/>
          <w:r w:rsidRPr="0040095D">
            <w:t xml:space="preserve">, 2022). It is concerned with determining whether the company </w:t>
          </w:r>
          <w:r w:rsidRPr="0040095D">
            <w:t>can</w:t>
          </w:r>
          <w:r w:rsidRPr="0040095D">
            <w:t xml:space="preserve"> use its current assets to cover current liabilities. Whereas the </w:t>
          </w:r>
          <w:r w:rsidRPr="0040095D">
            <w:t>most used</w:t>
          </w:r>
          <w:r w:rsidRPr="0040095D">
            <w:t xml:space="preserve"> liquidity ratios are current, quick and cash, in our case we only focus on current and quick ratios.</w:t>
          </w:r>
        </w:p>
        <w:p w14:paraId="120532B7" w14:textId="77777777" w:rsidR="00B64B1B" w:rsidRDefault="00B64B1B" w:rsidP="00D5580A"/>
        <w:p w14:paraId="67706EDF" w14:textId="39EF5010" w:rsidR="00D5580A" w:rsidRDefault="00B64B1B" w:rsidP="00D5580A">
          <w:pPr>
            <w:pStyle w:val="Heading2"/>
          </w:pPr>
          <w:bookmarkStart w:id="30" w:name="_Toc104989805"/>
          <w:r>
            <w:t>C</w:t>
          </w:r>
          <w:r w:rsidR="00BC12EC" w:rsidRPr="00BC12EC">
            <w:t>urrent ratio</w:t>
          </w:r>
          <w:bookmarkEnd w:id="30"/>
        </w:p>
        <w:p w14:paraId="643EC41B" w14:textId="77777777" w:rsidR="00484390" w:rsidRPr="00484390" w:rsidRDefault="00484390" w:rsidP="00484390"/>
        <w:p w14:paraId="7B82E5AD" w14:textId="071B0787" w:rsidR="00E732E8" w:rsidRDefault="00484390" w:rsidP="00E732E8">
          <w:r w:rsidRPr="00484390">
            <w:t xml:space="preserve">It is arrived at by diving current assets with current liabilities. Hilton Worldwide Holdings closed the year 2019 with a current ratio of 1.7 and in 2020 with 0.7. The current ratio being the best single indicator that illustrates the extent to which the claims of </w:t>
          </w:r>
          <w:r w:rsidRPr="00484390">
            <w:t>short-term</w:t>
          </w:r>
          <w:r w:rsidRPr="00484390">
            <w:t xml:space="preserve"> creditors may be covered by the available current assets, it is recommended that a company maintain a ratio approximated one (</w:t>
          </w:r>
          <w:proofErr w:type="spellStart"/>
          <w:r w:rsidRPr="00484390">
            <w:t>Welc</w:t>
          </w:r>
          <w:proofErr w:type="spellEnd"/>
          <w:r w:rsidRPr="00484390">
            <w:t xml:space="preserve">, 2022). Any below one means that the company face challenges in meeting short term debt obligations. On the other hand, anything above 1 </w:t>
          </w:r>
          <w:r w:rsidRPr="00484390">
            <w:t>is</w:t>
          </w:r>
          <w:r w:rsidRPr="00484390">
            <w:t xml:space="preserve"> excess funds that should be invested to generate more income. In 2020, Hilton was more liquid compared to 2019.</w:t>
          </w:r>
        </w:p>
        <w:p w14:paraId="36B6505D" w14:textId="77777777" w:rsidR="00E732E8" w:rsidRDefault="00E732E8" w:rsidP="00E732E8"/>
        <w:p w14:paraId="4916C211" w14:textId="2C1B961E" w:rsidR="00B07D98" w:rsidRDefault="00E732E8" w:rsidP="00E732E8">
          <w:pPr>
            <w:pStyle w:val="Heading2"/>
          </w:pPr>
          <w:bookmarkStart w:id="31" w:name="_Toc104989806"/>
          <w:r w:rsidRPr="00E732E8">
            <w:t>Quick ratio</w:t>
          </w:r>
          <w:bookmarkEnd w:id="31"/>
          <w:r w:rsidR="00B07D98" w:rsidRPr="00B07D98">
            <w:t xml:space="preserve"> </w:t>
          </w:r>
        </w:p>
        <w:p w14:paraId="355AD3A7" w14:textId="77777777" w:rsidR="00721A6C" w:rsidRPr="00721A6C" w:rsidRDefault="00721A6C" w:rsidP="00721A6C"/>
        <w:p w14:paraId="6B96D1B8" w14:textId="167BCB93" w:rsidR="00B07D98" w:rsidRPr="00B07D98" w:rsidRDefault="00B07D98" w:rsidP="00B07D98">
          <w:r w:rsidRPr="00B07D98">
            <w:t xml:space="preserve">It is calculated by dividing current assets fewer inventories by current liabilities. </w:t>
          </w:r>
          <w:r w:rsidRPr="00B07D98">
            <w:t>If</w:t>
          </w:r>
          <w:r w:rsidRPr="00B07D98">
            <w:t xml:space="preserve"> Hilton had no stocks of inventories, the quick ratio is 2019 stood at 1.7 while in 2020 was 0.7. The ratio examines the ability of the firm to meet its short-term obligations with the most liquid assets. In this case, inventories are excluded because they are illiquid (Palepu et al. 2020). The ideal quick ratio is 1 and it appears in 2019 that the company is more liquid compared to the year proceeding.</w:t>
          </w:r>
        </w:p>
        <w:p w14:paraId="5833CED7" w14:textId="77777777" w:rsidR="00AA3766" w:rsidRDefault="00AA3766" w:rsidP="00AA3766"/>
        <w:p w14:paraId="5D297CF7" w14:textId="6525E52B" w:rsidR="00AA3766" w:rsidRDefault="00AA3766" w:rsidP="00AA3766">
          <w:pPr>
            <w:pStyle w:val="Heading2"/>
          </w:pPr>
          <w:bookmarkStart w:id="32" w:name="_Toc104989807"/>
          <w:r w:rsidRPr="00AA3766">
            <w:t>Asset management ratios</w:t>
          </w:r>
          <w:bookmarkEnd w:id="32"/>
        </w:p>
        <w:p w14:paraId="57267DD5" w14:textId="77777777" w:rsidR="002B1E10" w:rsidRPr="002B1E10" w:rsidRDefault="002B1E10" w:rsidP="002B1E10"/>
        <w:p w14:paraId="18E82494" w14:textId="7B97DCFB" w:rsidR="00C33412" w:rsidRDefault="002B1E10" w:rsidP="00C33412">
          <w:r w:rsidRPr="002B1E10">
            <w:t>These ratios illustrate the company’s efficiency in managing assets to generate and maximize sales revenues. They compare the assets of the firm with the total sales revenue generated. They are critical in deciding on the number of assets the company requires.  For our case, the main asset management ratios of focus are fixed assets turnover and total assets turnover.</w:t>
          </w:r>
        </w:p>
        <w:p w14:paraId="27D9D9A2" w14:textId="77777777" w:rsidR="00C33412" w:rsidRDefault="00C33412" w:rsidP="00C33412"/>
        <w:p w14:paraId="7B6E94FA" w14:textId="6711C10E" w:rsidR="00C33412" w:rsidRDefault="00C33412" w:rsidP="00C33412">
          <w:pPr>
            <w:pStyle w:val="Heading2"/>
          </w:pPr>
          <w:bookmarkStart w:id="33" w:name="_Toc104989808"/>
          <w:r w:rsidRPr="00C33412">
            <w:t>Fixed assets turnover</w:t>
          </w:r>
          <w:bookmarkEnd w:id="33"/>
        </w:p>
        <w:p w14:paraId="274C6B9D" w14:textId="77777777" w:rsidR="002B1E10" w:rsidRDefault="002B1E10" w:rsidP="002B1E10"/>
        <w:p w14:paraId="78B2A566" w14:textId="79B86264" w:rsidR="002B1E10" w:rsidRPr="002B1E10" w:rsidRDefault="00337AFB" w:rsidP="002B1E10">
          <w:r w:rsidRPr="00337AFB">
            <w:t>The ratio is concerned with illustrating how well and efficiently the company is using fixed assets to generate sales. It divides net sales by net fixed assets. A higher fixed asset ratio suggests that the firm is effective in utilizing fixed assets to generate revenue. In 2019, the fixed ratio was 0.3 while in 2020 it rose to 0.8. A low fixed asset turnover ratio indicates that a business is over-invested in fixed assets. Therefore, in 2019 there was an over-investment in fixed assets compared to 2020.</w:t>
          </w:r>
        </w:p>
        <w:p w14:paraId="0AA816E7" w14:textId="77777777" w:rsidR="00C33412" w:rsidRDefault="00C33412" w:rsidP="00C33412"/>
        <w:p w14:paraId="0F567E0F" w14:textId="22161A25" w:rsidR="00AA3766" w:rsidRDefault="005379A7" w:rsidP="004614FE">
          <w:pPr>
            <w:pStyle w:val="Heading2"/>
          </w:pPr>
          <w:bookmarkStart w:id="34" w:name="_Toc104989809"/>
          <w:r w:rsidRPr="005379A7">
            <w:t>Total assets turnover</w:t>
          </w:r>
          <w:bookmarkEnd w:id="34"/>
        </w:p>
        <w:p w14:paraId="38299DFF" w14:textId="77777777" w:rsidR="00337AFB" w:rsidRDefault="00337AFB" w:rsidP="00337AFB"/>
        <w:p w14:paraId="30F0BC2D" w14:textId="7309B5A3" w:rsidR="00AA3766" w:rsidRPr="00AA3766" w:rsidRDefault="007A36C0" w:rsidP="00AA3766">
          <w:r w:rsidRPr="007A36C0">
            <w:t xml:space="preserve">The ratio measures the efficiency of the firm assets in generating revenue. It is used to compare the revenues with total assets (current and non-current). It is, therefore, calculated by diving revenues with total assets. In 2019, the total assets turnover ratio was 0.2 while in 2020 it </w:t>
          </w:r>
          <w:r w:rsidR="00727C08">
            <w:t>cl</w:t>
          </w:r>
          <w:r w:rsidRPr="007A36C0">
            <w:t>ose to 0.6. Higher ratios are favourable and thus 2020 was more efficient in utilizing assets to generate revenues compared to 2019</w:t>
          </w:r>
        </w:p>
        <w:p w14:paraId="2D0F9901" w14:textId="0BB3333B" w:rsidR="00AA3766" w:rsidRDefault="004614FE" w:rsidP="00AA3766">
          <w:pPr>
            <w:pStyle w:val="Heading2"/>
          </w:pPr>
          <w:bookmarkStart w:id="35" w:name="_Toc104989810"/>
          <w:r w:rsidRPr="004614FE">
            <w:t>Debt management ratios</w:t>
          </w:r>
          <w:bookmarkEnd w:id="35"/>
        </w:p>
        <w:p w14:paraId="54EA62FA" w14:textId="77777777" w:rsidR="006D4973" w:rsidRDefault="006D4973" w:rsidP="006D4973"/>
        <w:p w14:paraId="30329DB4" w14:textId="2BFF0CDA" w:rsidR="004614FE" w:rsidRDefault="006D4973" w:rsidP="004614FE">
          <w:r w:rsidRPr="006D4973">
            <w:t xml:space="preserve">These ratios attempt to measure the firm’s use of financial leverage to avoid financial distress in the long run. Also known as solvency ratios, they indicate the riskiness of the firm by illustrating what operating income is attributable to bondholders instead of stockholders (Christiana, </w:t>
          </w:r>
          <w:r w:rsidRPr="006D4973">
            <w:t>Purnima</w:t>
          </w:r>
          <w:r w:rsidRPr="006D4973">
            <w:t>, and Ardila, 2020). They are both concerned with short-term and long-term solvency. For our case, we only focus on debt to total assets and times interest earned ratios.</w:t>
          </w:r>
        </w:p>
        <w:p w14:paraId="3AD051BE" w14:textId="77777777" w:rsidR="004614FE" w:rsidRDefault="004614FE" w:rsidP="004614FE"/>
        <w:p w14:paraId="0D57F732" w14:textId="5AA67A36" w:rsidR="004614FE" w:rsidRDefault="00C44193" w:rsidP="00C44193">
          <w:pPr>
            <w:pStyle w:val="Heading2"/>
          </w:pPr>
          <w:bookmarkStart w:id="36" w:name="_Toc104989811"/>
          <w:r w:rsidRPr="00C44193">
            <w:t>Debt to Total Assets</w:t>
          </w:r>
          <w:bookmarkEnd w:id="36"/>
        </w:p>
        <w:p w14:paraId="7E6C6E0F" w14:textId="3B9F99BD" w:rsidR="0018268D" w:rsidRPr="0018268D" w:rsidRDefault="00665A02" w:rsidP="0018268D">
          <w:r w:rsidRPr="00665A02">
            <w:t>Also known as the leverage ratio, the Debt to Total Assets ratio indicates the percentage of assets financed by debt. It is commonly applied to determine the creditworthiness of the company and its ability to repay debt. It may also be used to examine the solvency of the company and its ability to meet both current and future obligations and ability to generate a return from the investments. It is calculated by diving total debt with total assets. In 2019, Hilton Worldwide Holdings had a Debt to total assets ratio of 91.2% while in 2020 it stood at 105.3%. The degree of leverage was higher in 2020 compared to 2019 and thus increased financial risk.</w:t>
          </w:r>
        </w:p>
        <w:p w14:paraId="278439F9" w14:textId="77777777" w:rsidR="00C44193" w:rsidRDefault="00C44193" w:rsidP="00C44193"/>
        <w:p w14:paraId="1662A71A" w14:textId="65945DED" w:rsidR="00C44193" w:rsidRDefault="005E3C1F" w:rsidP="005E3C1F">
          <w:pPr>
            <w:pStyle w:val="Heading2"/>
          </w:pPr>
          <w:bookmarkStart w:id="37" w:name="_Toc104989812"/>
          <w:r w:rsidRPr="005E3C1F">
            <w:t>Times Interest Earned</w:t>
          </w:r>
          <w:bookmarkEnd w:id="37"/>
        </w:p>
        <w:p w14:paraId="1E4DFE27" w14:textId="77777777" w:rsidR="003C11F2" w:rsidRPr="003C11F2" w:rsidRDefault="003C11F2" w:rsidP="003C11F2"/>
        <w:p w14:paraId="5C53D632" w14:textId="218E1AF1" w:rsidR="005E3C1F" w:rsidRDefault="00087E23" w:rsidP="005E3C1F">
          <w:r w:rsidRPr="00087E23">
            <w:t>The ratio measures the firm’s ability to meet its debt obligations periodically. It is arrived at by dividing earnings before interest and tax (EBIT) with interest expense. It is used to illustrate the number of times the firm can meet its periodic interest expenses should it consider paying the entire debt with the available EBIT (</w:t>
          </w:r>
          <w:proofErr w:type="spellStart"/>
          <w:r w:rsidRPr="00087E23">
            <w:t>Supriyanto</w:t>
          </w:r>
          <w:proofErr w:type="spellEnd"/>
          <w:r w:rsidRPr="00087E23">
            <w:t xml:space="preserve"> and </w:t>
          </w:r>
          <w:proofErr w:type="spellStart"/>
          <w:r w:rsidRPr="00087E23">
            <w:t>Darmawan</w:t>
          </w:r>
          <w:proofErr w:type="spellEnd"/>
          <w:r w:rsidRPr="00087E23">
            <w:t>, 2018). It is concerned with quantifying the probability of the company defaulting and thus can help arrive at a suitable interest rate to charge on debt. For Hilton, 2020 had a better ratio compared to 2019 at 4.0 and -1.2 respectively.</w:t>
          </w:r>
        </w:p>
        <w:p w14:paraId="765B8D25" w14:textId="77777777" w:rsidR="00B64B1B" w:rsidRDefault="00B64B1B" w:rsidP="005E3C1F"/>
        <w:p w14:paraId="3772B15F" w14:textId="775CE98B" w:rsidR="00087E23" w:rsidRDefault="007826EA" w:rsidP="00B64B1B">
          <w:pPr>
            <w:pStyle w:val="Heading2"/>
          </w:pPr>
          <w:bookmarkStart w:id="38" w:name="_Toc104989813"/>
          <w:r w:rsidRPr="007826EA">
            <w:t>Profitability Ratios</w:t>
          </w:r>
          <w:bookmarkEnd w:id="38"/>
        </w:p>
        <w:p w14:paraId="1FD69CC0" w14:textId="77777777" w:rsidR="00B64B1B" w:rsidRPr="00B64B1B" w:rsidRDefault="00B64B1B" w:rsidP="00B64B1B"/>
        <w:p w14:paraId="34343C54" w14:textId="1F7FF0DF" w:rsidR="007826EA" w:rsidRDefault="00E17D21" w:rsidP="007826EA">
          <w:r w:rsidRPr="00E17D21">
            <w:t xml:space="preserve">These ratios are concerned with evaluating the ability of the firm to generate income for its shareholders. Higher ratios are suggestions for businesses performing well and generating revenues, </w:t>
          </w:r>
          <w:r w:rsidRPr="00E17D21">
            <w:t>profits,</w:t>
          </w:r>
          <w:r w:rsidRPr="00E17D21">
            <w:t xml:space="preserve"> and cash flows. For this case, the </w:t>
          </w:r>
          <w:r w:rsidRPr="00E17D21">
            <w:t>focus</w:t>
          </w:r>
          <w:r w:rsidRPr="00E17D21">
            <w:t xml:space="preserve"> is on the profit margin, operating profit margin, Return on Assets (ROA) and Return on Equity (ROE).</w:t>
          </w:r>
        </w:p>
        <w:p w14:paraId="0BD9DA23" w14:textId="77777777" w:rsidR="007826EA" w:rsidRDefault="007826EA" w:rsidP="007826EA"/>
        <w:p w14:paraId="67717BB7" w14:textId="79633C54" w:rsidR="007826EA" w:rsidRDefault="004900BE" w:rsidP="004900BE">
          <w:pPr>
            <w:pStyle w:val="Heading2"/>
          </w:pPr>
          <w:bookmarkStart w:id="39" w:name="_Toc104989814"/>
          <w:r w:rsidRPr="004900BE">
            <w:t>Profit margin</w:t>
          </w:r>
          <w:bookmarkEnd w:id="39"/>
        </w:p>
        <w:p w14:paraId="16A31685" w14:textId="77777777" w:rsidR="004900BE" w:rsidRDefault="004900BE" w:rsidP="004900BE"/>
        <w:p w14:paraId="70F4EF64" w14:textId="3A12C292" w:rsidR="004900BE" w:rsidRDefault="00844ED8" w:rsidP="004900BE">
          <w:r w:rsidRPr="00844ED8">
            <w:t xml:space="preserve">It is the </w:t>
          </w:r>
          <w:r w:rsidRPr="00844ED8">
            <w:t>most used</w:t>
          </w:r>
          <w:r w:rsidRPr="00844ED8">
            <w:t xml:space="preserve"> ratio and is calculated by dividing adjusted net income by sales. It is concerned with examining what remains after covering the cost of goods sold. A higher profit margin is an indication that the company is efficiently earning revenue and covering expenses. In both 2019 and 2020, the profit margin of Hilton remained at 9.3%. The low profit margin is a suggestion for the minimal net incomes attained within the periods</w:t>
          </w:r>
        </w:p>
        <w:p w14:paraId="72005FF1" w14:textId="5619DFCB" w:rsidR="004900BE" w:rsidRDefault="00EC243D" w:rsidP="004900BE">
          <w:pPr>
            <w:pStyle w:val="Heading2"/>
          </w:pPr>
          <w:bookmarkStart w:id="40" w:name="_Toc104989815"/>
          <w:r w:rsidRPr="00EC243D">
            <w:t>Operating Profit Margin</w:t>
          </w:r>
          <w:bookmarkEnd w:id="40"/>
        </w:p>
        <w:p w14:paraId="0F6E3E9B" w14:textId="77777777" w:rsidR="00D95344" w:rsidRDefault="00D95344" w:rsidP="00D95344"/>
        <w:p w14:paraId="4738C43A" w14:textId="0A91A211" w:rsidR="00142097" w:rsidRDefault="00142097" w:rsidP="00D95344">
          <w:r w:rsidRPr="00142097">
            <w:t xml:space="preserve">The ratio </w:t>
          </w:r>
          <w:r w:rsidRPr="00142097">
            <w:t>examines</w:t>
          </w:r>
          <w:r w:rsidRPr="00142097">
            <w:t xml:space="preserve"> earnings as a percentage of sales before deducting interest and taxes. It is arrived at by dividing operating profit with revenue. For both years, the operating profit margin for Hilton stood at 11.3%. It is critical in revealing the factors that make a company perform over the years. The slight deviation from the profit margin is an indication that the operating expense are minimal for the company.</w:t>
          </w:r>
        </w:p>
        <w:p w14:paraId="10645010" w14:textId="77777777" w:rsidR="00D95344" w:rsidRDefault="00D95344" w:rsidP="00D95344"/>
        <w:p w14:paraId="4EDA027D" w14:textId="151AD43E" w:rsidR="00D95344" w:rsidRDefault="00D95344" w:rsidP="00D95344">
          <w:pPr>
            <w:pStyle w:val="Heading2"/>
          </w:pPr>
          <w:bookmarkStart w:id="41" w:name="_Toc104989816"/>
          <w:r w:rsidRPr="00D95344">
            <w:t>Return on Assets (ROA)</w:t>
          </w:r>
          <w:bookmarkEnd w:id="41"/>
        </w:p>
        <w:p w14:paraId="452CAAD3" w14:textId="77777777" w:rsidR="00D95344" w:rsidRDefault="00D95344" w:rsidP="00D95344"/>
        <w:p w14:paraId="31F5D91B" w14:textId="276E8C1A" w:rsidR="00D95344" w:rsidRDefault="007F1D68" w:rsidP="00D95344">
          <w:r w:rsidRPr="007F1D68">
            <w:t>It is concerned with the profitability of the firm to its total assets. It illustrates how a company is generating returns by considering its net income with the capital invested in assets. It is calculated by dividing net income by average assets. A higher return is an indication that the management is efficient in resource utilization. In 2019, Hilton had a ROA of -3.6% while in 2020 it rose to 6.0%, an indication that the management needs to improve on utilizing economic resources to be more productive.</w:t>
          </w:r>
        </w:p>
        <w:p w14:paraId="1095313E" w14:textId="77777777" w:rsidR="00D95344" w:rsidRDefault="00D95344" w:rsidP="00D95344"/>
        <w:p w14:paraId="726CE9DF" w14:textId="25EE9912" w:rsidR="00D95344" w:rsidRPr="00D95344" w:rsidRDefault="005D0232" w:rsidP="00D95344">
          <w:pPr>
            <w:pStyle w:val="Heading2"/>
          </w:pPr>
          <w:bookmarkStart w:id="42" w:name="_Toc104989817"/>
          <w:r w:rsidRPr="005D0232">
            <w:t>Return on Equity (ROE)</w:t>
          </w:r>
          <w:bookmarkEnd w:id="42"/>
        </w:p>
        <w:p w14:paraId="7CE3DEF4" w14:textId="77777777" w:rsidR="00EC243D" w:rsidRDefault="00EC243D" w:rsidP="00EC243D"/>
        <w:p w14:paraId="14DB1E2C" w14:textId="4869B246" w:rsidR="007F1D68" w:rsidRDefault="002427D7" w:rsidP="00EC243D">
          <w:r w:rsidRPr="002427D7">
            <w:t>The ratio is concerned with measuring the annual net income for the company to the shareholders’ equity. It is a metric that evaluates the investment returns and can be used to highlight how the management is using financing from equity to grow the business. Hilton’s ROE rose from -40.4% in 2019 to 113.2% in 2020. It is a suggestion that the company is generating shareholder value through wise reinvestment of earnings.</w:t>
          </w:r>
        </w:p>
        <w:p w14:paraId="54E2E510" w14:textId="77777777" w:rsidR="002427D7" w:rsidRDefault="002427D7" w:rsidP="00EC243D"/>
        <w:p w14:paraId="37C1E285" w14:textId="77777777" w:rsidR="002427D7" w:rsidRDefault="002427D7" w:rsidP="00EC243D"/>
        <w:p w14:paraId="3FC037DC" w14:textId="77777777" w:rsidR="00EC243D" w:rsidRDefault="00EC243D" w:rsidP="00EC243D"/>
        <w:p w14:paraId="45F9966B" w14:textId="77777777" w:rsidR="00EC243D" w:rsidRPr="00EC243D" w:rsidRDefault="00EC243D" w:rsidP="00EC243D"/>
        <w:p w14:paraId="7AE13B55" w14:textId="77777777" w:rsidR="00BC12EC" w:rsidRDefault="00BC12EC" w:rsidP="00BC12EC"/>
        <w:p w14:paraId="0D487A1B" w14:textId="77777777" w:rsidR="00BC12EC" w:rsidRDefault="00BC12EC" w:rsidP="00BC12EC"/>
        <w:p w14:paraId="61199F5B" w14:textId="77777777" w:rsidR="00BC12EC" w:rsidRPr="00BC12EC" w:rsidRDefault="00BC12EC" w:rsidP="00BC12EC"/>
        <w:p w14:paraId="2D65AD42" w14:textId="77777777" w:rsidR="00DC7F2C" w:rsidRDefault="00DC7F2C" w:rsidP="00DC7F2C"/>
        <w:p w14:paraId="1A4FCA02" w14:textId="77777777" w:rsidR="00DC7F2C" w:rsidRDefault="00DC7F2C" w:rsidP="00DC7F2C"/>
        <w:p w14:paraId="346E5F30" w14:textId="77777777" w:rsidR="00DC7F2C" w:rsidRDefault="00DC7F2C" w:rsidP="00DC7F2C"/>
        <w:p w14:paraId="7265901E" w14:textId="77777777" w:rsidR="00DC7F2C" w:rsidRPr="00DC7F2C" w:rsidRDefault="00DC7F2C" w:rsidP="00DC7F2C"/>
        <w:p w14:paraId="5580F896" w14:textId="21CDCB46" w:rsidR="002C505C" w:rsidRDefault="002C505C" w:rsidP="002C505C">
          <w:pPr>
            <w:pStyle w:val="Heading1"/>
          </w:pPr>
          <w:bookmarkStart w:id="43" w:name="_Toc104989818"/>
          <w:r w:rsidRPr="002C505C">
            <w:t>Importance of ratio analysis</w:t>
          </w:r>
          <w:bookmarkEnd w:id="43"/>
          <w:r>
            <w:t xml:space="preserve"> </w:t>
          </w:r>
        </w:p>
        <w:p w14:paraId="3A081234" w14:textId="77777777" w:rsidR="002C505C" w:rsidRDefault="002C505C" w:rsidP="002C505C"/>
        <w:p w14:paraId="763A1898" w14:textId="77777777" w:rsidR="00222644" w:rsidRDefault="00222644" w:rsidP="00222644">
          <w:r>
            <w:t xml:space="preserve">Traditionally, a ratio analysis refers to an investigation that seeks to illustrate a relationship between two variables. In financial statements analysis, ratios play a critical role in breaking down large figures into a more understandable form which can help in shedding light on the liquidity position, the efficiency of the management, profitability and even solvency of the business. They unearth the hidden facts behind the figures presented in the financial statements by breaking them into more relevant forms. In this section, we examine the importance of using ratio analysis. </w:t>
          </w:r>
        </w:p>
        <w:p w14:paraId="2DCE6845" w14:textId="0B386DB0" w:rsidR="00222644" w:rsidRDefault="00222644" w:rsidP="00222644">
          <w:r>
            <w:t xml:space="preserve">Out of the multiple types of ratios available for financial analysis, ratios analysis </w:t>
          </w:r>
          <w:r>
            <w:t>is</w:t>
          </w:r>
          <w:r>
            <w:t xml:space="preserve"> mainly significant in decision making in different ways. Ranging from helping understand the profitability of the company to examine the operational efficiency of the firms, they play a critical role which the management should not underestimate. Return on Assets and Return on Equity helps the management to determine the firm’s ability to generate earnings (</w:t>
          </w:r>
          <w:proofErr w:type="spellStart"/>
          <w:r>
            <w:t>Subalakshm</w:t>
          </w:r>
          <w:proofErr w:type="spellEnd"/>
          <w:r>
            <w:t xml:space="preserve">, </w:t>
          </w:r>
          <w:proofErr w:type="spellStart"/>
          <w:r>
            <w:t>Grahalakshmi</w:t>
          </w:r>
          <w:proofErr w:type="spellEnd"/>
          <w:r>
            <w:t xml:space="preserve"> and Manikandan, 2018). By understanding how much the firm earns a profit from every coin purchase, the management and the investors can tell how the invested money is working.</w:t>
          </w:r>
        </w:p>
        <w:p w14:paraId="6282EC04" w14:textId="77777777" w:rsidR="00222644" w:rsidRDefault="00222644" w:rsidP="00222644">
          <w:r>
            <w:t xml:space="preserve">It is critical to examine the operational efficiency of the firm. Through ratio analysis, it is possible to tell the operational efficiency of Hilton by examining the ratios across the financial periods. It is out of these efficiency indicators that can signal whether the company is managed well and that it is the potential of generating income using the assets (Shim, 2022). A firm’s liquidity is an area that should be taken with a lot of care. Whether the ability of the firm to pay off its short-term obligations or long-term, decisions surrounding the area are critical and should be backed with a lot of evidence. Ratios give up to date insights on the position of the firm’s ability to meet the obligations as they fall due. By applying the ratio analysis, Hilton can manage its liquidity position from time to time adequately. </w:t>
          </w:r>
        </w:p>
        <w:p w14:paraId="2818B299" w14:textId="45CAD89D" w:rsidR="00DC7F2C" w:rsidRDefault="00222644" w:rsidP="002C505C">
          <w:r>
            <w:t xml:space="preserve">Other significances of using rations include helping in the identification of business risks within the firm such as financial and operating leverage. They help in highlighting the financial risks of the firm and can shed light on whether the firm is </w:t>
          </w:r>
          <w:r>
            <w:t>able</w:t>
          </w:r>
          <w:r>
            <w:t xml:space="preserve"> to repay debt using its wealth. Hilton can also use ratios for planning and future forecasting, comparing performance across financial periods and firms in the industry.</w:t>
          </w:r>
        </w:p>
        <w:p w14:paraId="135B1B4F" w14:textId="77777777" w:rsidR="00B64B1B" w:rsidRDefault="00B64B1B" w:rsidP="002C505C"/>
        <w:p w14:paraId="4788DB0A" w14:textId="77777777" w:rsidR="00DC7F2C" w:rsidRDefault="00DC7F2C" w:rsidP="002C505C"/>
        <w:p w14:paraId="2C6E7BF2" w14:textId="77777777" w:rsidR="00DC7F2C" w:rsidRDefault="00DC7F2C" w:rsidP="002C505C"/>
        <w:p w14:paraId="7CF70FA3" w14:textId="77777777" w:rsidR="00DC7F2C" w:rsidRDefault="00DC7F2C" w:rsidP="002C505C"/>
        <w:p w14:paraId="3CDDBD07" w14:textId="77777777" w:rsidR="00DC7F2C" w:rsidRDefault="00DC7F2C" w:rsidP="002C505C"/>
        <w:p w14:paraId="020267DD" w14:textId="77777777" w:rsidR="00DC7F2C" w:rsidRDefault="00DC7F2C" w:rsidP="002C505C"/>
        <w:p w14:paraId="74479D1F" w14:textId="77777777" w:rsidR="002C505C" w:rsidRDefault="002C505C" w:rsidP="002C505C"/>
        <w:p w14:paraId="604D8A4A" w14:textId="77777777" w:rsidR="00FE7C86" w:rsidRDefault="00FE7C86" w:rsidP="002C505C"/>
        <w:p w14:paraId="52B9AF51" w14:textId="77777777" w:rsidR="00FE7C86" w:rsidRDefault="00FE7C86" w:rsidP="002C505C"/>
        <w:p w14:paraId="60EB6340" w14:textId="77777777" w:rsidR="00FE7C86" w:rsidRDefault="00FE7C86" w:rsidP="002C505C"/>
        <w:p w14:paraId="5C76A4FE" w14:textId="27A003E9" w:rsidR="002C505C" w:rsidRDefault="00EE1C91" w:rsidP="002C505C">
          <w:pPr>
            <w:pStyle w:val="Heading1"/>
          </w:pPr>
          <w:bookmarkStart w:id="44" w:name="_Toc104989819"/>
          <w:r w:rsidRPr="00EE1C91">
            <w:t>Limitations of ratio analysis</w:t>
          </w:r>
          <w:bookmarkEnd w:id="44"/>
        </w:p>
        <w:p w14:paraId="4326A973" w14:textId="77777777" w:rsidR="00FE7C86" w:rsidRDefault="00FE7C86" w:rsidP="002F29D2"/>
        <w:p w14:paraId="5AF6C468" w14:textId="77777777" w:rsidR="002F29D2" w:rsidRPr="002F29D2" w:rsidRDefault="002F29D2" w:rsidP="002F29D2"/>
        <w:p w14:paraId="299B0472" w14:textId="77777777" w:rsidR="002F29D2" w:rsidRDefault="002F29D2" w:rsidP="002F29D2">
          <w:r>
            <w:t xml:space="preserve">Despite the value attached to ratios analysis of highlighting the story behind the presented figures on the financial statements, ratios have shortcomings that users should be aware of. Though not as much as the uses, it is important to have them in the figure tips to know how to maximize the uses in the light of their shortcomings. </w:t>
          </w:r>
        </w:p>
        <w:p w14:paraId="3B064522" w14:textId="77777777" w:rsidR="002F29D2" w:rsidRDefault="002F29D2" w:rsidP="002F29D2">
          <w:r>
            <w:t>The ratios are calculated at a certain point in time using historical information. The reliance on historical information does not necessarily represent the future company performance but can be used to compare historical results for consistency. The periodic release of the financial statements does not adjust for the inflationary effects that occur between the releases (</w:t>
          </w:r>
          <w:proofErr w:type="spellStart"/>
          <w:r>
            <w:t>Fatihudin</w:t>
          </w:r>
          <w:proofErr w:type="spellEnd"/>
          <w:r>
            <w:t xml:space="preserve">, 2018). It is, therefore, incorrect to compare numbers across the different periods without adjusting for inflation. </w:t>
          </w:r>
        </w:p>
        <w:p w14:paraId="7A96FA45" w14:textId="77777777" w:rsidR="002F29D2" w:rsidRDefault="002F29D2" w:rsidP="002F29D2">
          <w:r>
            <w:t>From time to time, Hilton World Holdings may have made significant changes in its operational structure in areas such as supply chain or products. With such kinds of operational changes, comparing financial metrics can result in misleading conclusions about performance and prospects (</w:t>
          </w:r>
          <w:proofErr w:type="spellStart"/>
          <w:r>
            <w:t>Kliestik</w:t>
          </w:r>
          <w:proofErr w:type="spellEnd"/>
          <w:r>
            <w:t xml:space="preserve"> et al. 2020). Firms are subject to seasonal effects that can potentially affect comparative aspects of the rations between the two years. Unless they are adjusted to the seasonality effects, then false interpretations of the results could arise. </w:t>
          </w:r>
        </w:p>
        <w:p w14:paraId="0E776F6E" w14:textId="1862B491" w:rsidR="00C33BED" w:rsidRDefault="002F29D2" w:rsidP="002F29D2">
          <w:r>
            <w:t xml:space="preserve">Ratio analyses are based on information reported on the financial statements by the management. Sometimes the information is subject to manipulation by the management </w:t>
          </w:r>
          <w:r>
            <w:t>to</w:t>
          </w:r>
          <w:r>
            <w:t xml:space="preserve"> report better results than the actual performance. When calculated on manipulated financial statements, then the results of ratios will not reflect the real nature of the business because the analysis does not detect misrepresentation (Rao, 2021). Extensive due diligence on the reported financial information can, however, minimize the incidences of arriving at misleading conclusions.</w:t>
          </w:r>
        </w:p>
        <w:p w14:paraId="2E9FC695" w14:textId="77777777" w:rsidR="009C1CE2" w:rsidRDefault="009C1CE2" w:rsidP="009C1CE2"/>
        <w:p w14:paraId="32BB3BCE" w14:textId="77777777" w:rsidR="00AA2A91" w:rsidRDefault="00AA2A91" w:rsidP="004D519C"/>
        <w:p w14:paraId="53F20DE6" w14:textId="77777777" w:rsidR="00AA2A91" w:rsidRDefault="00AA2A91" w:rsidP="004D519C"/>
        <w:p w14:paraId="080C1603" w14:textId="77777777" w:rsidR="00AA2A91" w:rsidRDefault="00AA2A91" w:rsidP="004D519C"/>
        <w:p w14:paraId="52B52251" w14:textId="77777777" w:rsidR="00AA2A91" w:rsidRDefault="00AA2A91" w:rsidP="004D519C"/>
        <w:p w14:paraId="09F2643B" w14:textId="77777777" w:rsidR="00AA2A91" w:rsidRDefault="00AA2A91" w:rsidP="004D519C"/>
        <w:p w14:paraId="32FBE701" w14:textId="77777777" w:rsidR="00AA2A91" w:rsidRDefault="00AA2A91" w:rsidP="004D519C"/>
        <w:p w14:paraId="7FB87F1F" w14:textId="77777777" w:rsidR="00AA2A91" w:rsidRDefault="00AA2A91" w:rsidP="004D519C"/>
        <w:p w14:paraId="63F1C7CA" w14:textId="77777777" w:rsidR="00AA2A91" w:rsidRDefault="00AA2A91" w:rsidP="004D519C"/>
        <w:p w14:paraId="4D8A7037" w14:textId="77777777" w:rsidR="00AA2A91" w:rsidRDefault="00AA2A91" w:rsidP="004D519C"/>
        <w:p w14:paraId="7862C2E1" w14:textId="77777777" w:rsidR="00FE7C86" w:rsidRDefault="00FE7C86" w:rsidP="004D519C"/>
        <w:p w14:paraId="15461140" w14:textId="77777777" w:rsidR="00FE7C86" w:rsidRDefault="00FE7C86" w:rsidP="004D519C"/>
        <w:p w14:paraId="52FFD408" w14:textId="77777777" w:rsidR="00AA2A91" w:rsidRDefault="00AA2A91" w:rsidP="004D519C"/>
        <w:p w14:paraId="3B761FE2" w14:textId="7743D9F8" w:rsidR="00AA2A91" w:rsidRDefault="00AA2A91" w:rsidP="00AA2A91">
          <w:pPr>
            <w:pStyle w:val="Heading1"/>
          </w:pPr>
          <w:bookmarkStart w:id="45" w:name="_Toc104989820"/>
          <w:r>
            <w:t>Conclusion</w:t>
          </w:r>
          <w:r w:rsidR="00D854A5">
            <w:t xml:space="preserve"> </w:t>
          </w:r>
          <w:bookmarkEnd w:id="45"/>
        </w:p>
        <w:p w14:paraId="12274B6D" w14:textId="77777777" w:rsidR="00B64B1B" w:rsidRDefault="00B64B1B" w:rsidP="00B64B1B"/>
        <w:p w14:paraId="7EA061C0" w14:textId="7460D0C7" w:rsidR="00B64B1B" w:rsidRPr="00B64B1B" w:rsidRDefault="00B64B1B" w:rsidP="00B64B1B">
          <w:r w:rsidRPr="00B64B1B">
            <w:t>Ratios play a critical role in breaking down large figures presented in Hilton’s financial statement into ways that help shed light on the liquidity position, the efficiency of the management, profitability and even solvency of the business. They have helped the company identify business risks such as financial and operating leverage. However, the reliance on historical data and information not adjusted for seasonal effects and inflation could hinder the comparability of the ratios.</w:t>
          </w:r>
        </w:p>
        <w:p w14:paraId="3DB1E6EF" w14:textId="77777777" w:rsidR="00AA2A91" w:rsidRDefault="00AA2A91" w:rsidP="00AA2A91"/>
        <w:p w14:paraId="6CF543C0" w14:textId="77777777" w:rsidR="00AA2A91" w:rsidRDefault="00AA2A91" w:rsidP="00AA2A91"/>
        <w:p w14:paraId="1835104B" w14:textId="77777777" w:rsidR="00AA2A91" w:rsidRDefault="00AA2A91" w:rsidP="00AA2A91"/>
        <w:p w14:paraId="46BEC451" w14:textId="77777777" w:rsidR="00AA2A91" w:rsidRDefault="00AA2A91" w:rsidP="00AA2A91"/>
        <w:p w14:paraId="1F7E44AC" w14:textId="77777777" w:rsidR="00AA2A91" w:rsidRDefault="00AA2A91" w:rsidP="00AA2A91"/>
        <w:p w14:paraId="4A1D4DE1" w14:textId="77777777" w:rsidR="00AA2A91" w:rsidRDefault="00AA2A91" w:rsidP="00AA2A91"/>
        <w:p w14:paraId="614190F2" w14:textId="77777777" w:rsidR="00AA2A91" w:rsidRDefault="00AA2A91" w:rsidP="00AA2A91"/>
        <w:p w14:paraId="2B627672" w14:textId="77777777" w:rsidR="00AA2A91" w:rsidRDefault="00AA2A91" w:rsidP="00AA2A91"/>
        <w:p w14:paraId="7B66C7C8" w14:textId="77777777" w:rsidR="00AA2A91" w:rsidRDefault="00AA2A91" w:rsidP="00AA2A91"/>
        <w:p w14:paraId="310B31BA" w14:textId="77777777" w:rsidR="00AA2A91" w:rsidRDefault="00AA2A91" w:rsidP="00AA2A91"/>
        <w:p w14:paraId="157F7FF8" w14:textId="77777777" w:rsidR="00AA2A91" w:rsidRDefault="00AA2A91" w:rsidP="00AA2A91"/>
        <w:p w14:paraId="575D06F0" w14:textId="77777777" w:rsidR="00AA2A91" w:rsidRDefault="00AA2A91" w:rsidP="00AA2A91"/>
        <w:p w14:paraId="26E007B8" w14:textId="77777777" w:rsidR="00AA2A91" w:rsidRDefault="00AA2A91" w:rsidP="00AA2A91"/>
        <w:p w14:paraId="7B94F236" w14:textId="77777777" w:rsidR="00AA2A91" w:rsidRDefault="00AA2A91" w:rsidP="00AA2A91"/>
        <w:p w14:paraId="1C1CEFB0" w14:textId="77777777" w:rsidR="00AA2A91" w:rsidRDefault="00AA2A91" w:rsidP="00AA2A91"/>
        <w:p w14:paraId="1D240656" w14:textId="77777777" w:rsidR="00AA2A91" w:rsidRDefault="00AA2A91" w:rsidP="00AA2A91"/>
        <w:p w14:paraId="0A13CB17" w14:textId="77777777" w:rsidR="00AA2A91" w:rsidRDefault="00AA2A91" w:rsidP="00AA2A91"/>
        <w:p w14:paraId="3462ED86" w14:textId="77777777" w:rsidR="00AA2A91" w:rsidRDefault="00AA2A91" w:rsidP="00AA2A91"/>
        <w:p w14:paraId="523F020C" w14:textId="77777777" w:rsidR="00AA2A91" w:rsidRDefault="00AA2A91" w:rsidP="00AA2A91"/>
        <w:p w14:paraId="563E746E" w14:textId="77777777" w:rsidR="00AA2A91" w:rsidRDefault="00AA2A91" w:rsidP="00AA2A91"/>
        <w:p w14:paraId="35057348" w14:textId="77777777" w:rsidR="00AA2A91" w:rsidRDefault="00AA2A91" w:rsidP="00AA2A91"/>
        <w:p w14:paraId="2D246A66" w14:textId="77777777" w:rsidR="00AA2A91" w:rsidRDefault="00AA2A91" w:rsidP="00AA2A91"/>
        <w:p w14:paraId="347586EE" w14:textId="77777777" w:rsidR="00AA2A91" w:rsidRDefault="00AA2A91" w:rsidP="00AA2A91"/>
        <w:p w14:paraId="5CF90869" w14:textId="77777777" w:rsidR="00AA2A91" w:rsidRDefault="00AA2A91" w:rsidP="00AA2A91"/>
        <w:p w14:paraId="58C49762" w14:textId="77777777" w:rsidR="00AA2A91" w:rsidRPr="00AA2A91" w:rsidRDefault="00AA2A91" w:rsidP="00AA2A91">
          <w:pPr>
            <w:pStyle w:val="Heading1"/>
          </w:pPr>
          <w:bookmarkStart w:id="46" w:name="_Toc104989821"/>
          <w:r>
            <w:t>Bibliography</w:t>
          </w:r>
          <w:bookmarkEnd w:id="46"/>
        </w:p>
        <w:p w14:paraId="08F07262" w14:textId="77777777" w:rsidR="004A11F6" w:rsidRPr="007D1947" w:rsidRDefault="004A11F6" w:rsidP="007D1947"/>
        <w:p w14:paraId="25B71D24" w14:textId="77777777" w:rsidR="00850F3D" w:rsidRDefault="009D0E36" w:rsidP="00850F3D"/>
      </w:sdtContent>
    </w:sdt>
    <w:p w14:paraId="114F5321" w14:textId="55DD4BF0" w:rsidR="00850F3D" w:rsidRPr="00850F3D" w:rsidRDefault="00850F3D" w:rsidP="00850F3D">
      <w:pPr>
        <w:rPr>
          <w:lang w:val="en-US"/>
        </w:rPr>
      </w:pPr>
      <w:r w:rsidRPr="00850F3D">
        <w:rPr>
          <w:rFonts w:ascii="Times New Roman" w:hAnsi="Times New Roman" w:cs="Times New Roman"/>
          <w:sz w:val="24"/>
          <w:szCs w:val="24"/>
          <w:shd w:val="clear" w:color="auto" w:fill="FFFFFF"/>
          <w:lang w:val="en-US"/>
        </w:rPr>
        <w:t xml:space="preserve"> </w:t>
      </w:r>
      <w:r w:rsidRPr="00850F3D">
        <w:rPr>
          <w:lang w:val="en-US"/>
        </w:rPr>
        <w:t xml:space="preserve">Christiana, I., </w:t>
      </w:r>
      <w:proofErr w:type="spellStart"/>
      <w:r w:rsidRPr="00850F3D">
        <w:rPr>
          <w:lang w:val="en-US"/>
        </w:rPr>
        <w:t>Purnama</w:t>
      </w:r>
      <w:proofErr w:type="spellEnd"/>
      <w:r w:rsidRPr="00850F3D">
        <w:rPr>
          <w:lang w:val="en-US"/>
        </w:rPr>
        <w:t xml:space="preserve">, N.I. and Ardila, I., 2020. Financial ratio in the analysis of earnings </w:t>
      </w:r>
      <w:r w:rsidRPr="00850F3D">
        <w:rPr>
          <w:lang w:val="en-US"/>
        </w:rPr>
        <w:tab/>
        <w:t>management. </w:t>
      </w:r>
      <w:r w:rsidRPr="00850F3D">
        <w:rPr>
          <w:i/>
          <w:iCs/>
          <w:lang w:val="en-US"/>
        </w:rPr>
        <w:t xml:space="preserve">International Journal of Accounting &amp; Finance in Asia </w:t>
      </w:r>
      <w:proofErr w:type="spellStart"/>
      <w:r w:rsidRPr="00850F3D">
        <w:rPr>
          <w:i/>
          <w:iCs/>
          <w:lang w:val="en-US"/>
        </w:rPr>
        <w:t>Pasific</w:t>
      </w:r>
      <w:proofErr w:type="spellEnd"/>
      <w:r w:rsidRPr="00850F3D">
        <w:rPr>
          <w:i/>
          <w:iCs/>
          <w:lang w:val="en-US"/>
        </w:rPr>
        <w:t xml:space="preserve"> </w:t>
      </w:r>
      <w:r w:rsidRPr="00850F3D">
        <w:rPr>
          <w:i/>
          <w:iCs/>
          <w:lang w:val="en-US"/>
        </w:rPr>
        <w:tab/>
        <w:t>(IJAFAP)</w:t>
      </w:r>
      <w:r w:rsidRPr="00850F3D">
        <w:rPr>
          <w:lang w:val="en-US"/>
        </w:rPr>
        <w:t>, </w:t>
      </w:r>
      <w:r w:rsidRPr="00850F3D">
        <w:rPr>
          <w:i/>
          <w:iCs/>
          <w:lang w:val="en-US"/>
        </w:rPr>
        <w:t>3</w:t>
      </w:r>
      <w:r w:rsidRPr="00850F3D">
        <w:rPr>
          <w:lang w:val="en-US"/>
        </w:rPr>
        <w:t>(1), pp.8-17.</w:t>
      </w:r>
    </w:p>
    <w:p w14:paraId="2B34D3E2" w14:textId="77777777" w:rsidR="00850F3D" w:rsidRPr="00850F3D" w:rsidRDefault="00850F3D" w:rsidP="00850F3D">
      <w:pPr>
        <w:rPr>
          <w:lang w:val="en-US"/>
        </w:rPr>
      </w:pPr>
      <w:r w:rsidRPr="00850F3D">
        <w:rPr>
          <w:lang w:val="en-US"/>
        </w:rPr>
        <w:t>Easton, P.D., McAnally, M.L., Sommers, G.A. and Zhang, X.J., 2018. </w:t>
      </w:r>
      <w:r w:rsidRPr="00850F3D">
        <w:rPr>
          <w:i/>
          <w:iCs/>
          <w:lang w:val="en-US"/>
        </w:rPr>
        <w:t xml:space="preserve">Financial statement </w:t>
      </w:r>
      <w:r w:rsidRPr="00850F3D">
        <w:rPr>
          <w:i/>
          <w:iCs/>
          <w:lang w:val="en-US"/>
        </w:rPr>
        <w:tab/>
        <w:t>analysis &amp; valuation</w:t>
      </w:r>
      <w:r w:rsidRPr="00850F3D">
        <w:rPr>
          <w:lang w:val="en-US"/>
        </w:rPr>
        <w:t>. Boston, MA: Cambridge Business Publishers.</w:t>
      </w:r>
    </w:p>
    <w:p w14:paraId="24B1561A" w14:textId="77777777" w:rsidR="00850F3D" w:rsidRPr="00850F3D" w:rsidRDefault="00850F3D" w:rsidP="00850F3D">
      <w:pPr>
        <w:rPr>
          <w:lang w:val="en-US"/>
        </w:rPr>
      </w:pPr>
      <w:proofErr w:type="spellStart"/>
      <w:r w:rsidRPr="00850F3D">
        <w:rPr>
          <w:lang w:val="en-US"/>
        </w:rPr>
        <w:t>Fatihudin</w:t>
      </w:r>
      <w:proofErr w:type="spellEnd"/>
      <w:r w:rsidRPr="00850F3D">
        <w:rPr>
          <w:lang w:val="en-US"/>
        </w:rPr>
        <w:t xml:space="preserve">, D., 2018. </w:t>
      </w:r>
      <w:proofErr w:type="gramStart"/>
      <w:r w:rsidRPr="00850F3D">
        <w:rPr>
          <w:lang w:val="en-US"/>
        </w:rPr>
        <w:t>How</w:t>
      </w:r>
      <w:proofErr w:type="gramEnd"/>
      <w:r w:rsidRPr="00850F3D">
        <w:rPr>
          <w:lang w:val="en-US"/>
        </w:rPr>
        <w:t xml:space="preserve"> measuring financial performance. </w:t>
      </w:r>
      <w:r w:rsidRPr="00850F3D">
        <w:rPr>
          <w:i/>
          <w:iCs/>
          <w:lang w:val="en-US"/>
        </w:rPr>
        <w:t xml:space="preserve">International Journal of Civil </w:t>
      </w:r>
      <w:r w:rsidRPr="00850F3D">
        <w:rPr>
          <w:i/>
          <w:iCs/>
          <w:lang w:val="en-US"/>
        </w:rPr>
        <w:tab/>
        <w:t>Engineering and Technology (IJCIET)</w:t>
      </w:r>
      <w:r w:rsidRPr="00850F3D">
        <w:rPr>
          <w:lang w:val="en-US"/>
        </w:rPr>
        <w:t>, </w:t>
      </w:r>
      <w:r w:rsidRPr="00850F3D">
        <w:rPr>
          <w:i/>
          <w:iCs/>
          <w:lang w:val="en-US"/>
        </w:rPr>
        <w:t>9</w:t>
      </w:r>
      <w:r w:rsidRPr="00850F3D">
        <w:rPr>
          <w:lang w:val="en-US"/>
        </w:rPr>
        <w:t>(6), pp.553-557.</w:t>
      </w:r>
    </w:p>
    <w:p w14:paraId="4240E47C" w14:textId="77777777" w:rsidR="00850F3D" w:rsidRPr="00850F3D" w:rsidRDefault="00850F3D" w:rsidP="00850F3D">
      <w:pPr>
        <w:rPr>
          <w:lang w:val="en-US"/>
        </w:rPr>
      </w:pPr>
      <w:proofErr w:type="spellStart"/>
      <w:r w:rsidRPr="00850F3D">
        <w:rPr>
          <w:lang w:val="en-US"/>
        </w:rPr>
        <w:t>Kliestik</w:t>
      </w:r>
      <w:proofErr w:type="spellEnd"/>
      <w:r w:rsidRPr="00850F3D">
        <w:rPr>
          <w:lang w:val="en-US"/>
        </w:rPr>
        <w:t xml:space="preserve">, T., </w:t>
      </w:r>
      <w:proofErr w:type="spellStart"/>
      <w:r w:rsidRPr="00850F3D">
        <w:rPr>
          <w:lang w:val="en-US"/>
        </w:rPr>
        <w:t>Valaskova</w:t>
      </w:r>
      <w:proofErr w:type="spellEnd"/>
      <w:r w:rsidRPr="00850F3D">
        <w:rPr>
          <w:lang w:val="en-US"/>
        </w:rPr>
        <w:t xml:space="preserve">, K., </w:t>
      </w:r>
      <w:proofErr w:type="spellStart"/>
      <w:r w:rsidRPr="00850F3D">
        <w:rPr>
          <w:lang w:val="en-US"/>
        </w:rPr>
        <w:t>Lazaroiu</w:t>
      </w:r>
      <w:proofErr w:type="spellEnd"/>
      <w:r w:rsidRPr="00850F3D">
        <w:rPr>
          <w:lang w:val="en-US"/>
        </w:rPr>
        <w:t xml:space="preserve">, G., </w:t>
      </w:r>
      <w:proofErr w:type="spellStart"/>
      <w:r w:rsidRPr="00850F3D">
        <w:rPr>
          <w:lang w:val="en-US"/>
        </w:rPr>
        <w:t>Kovacova</w:t>
      </w:r>
      <w:proofErr w:type="spellEnd"/>
      <w:r w:rsidRPr="00850F3D">
        <w:rPr>
          <w:lang w:val="en-US"/>
        </w:rPr>
        <w:t xml:space="preserve">, M. and </w:t>
      </w:r>
      <w:proofErr w:type="spellStart"/>
      <w:r w:rsidRPr="00850F3D">
        <w:rPr>
          <w:lang w:val="en-US"/>
        </w:rPr>
        <w:t>Vrbka</w:t>
      </w:r>
      <w:proofErr w:type="spellEnd"/>
      <w:r w:rsidRPr="00850F3D">
        <w:rPr>
          <w:lang w:val="en-US"/>
        </w:rPr>
        <w:t xml:space="preserve">, J., 2020. Remaining </w:t>
      </w:r>
      <w:r w:rsidRPr="00850F3D">
        <w:rPr>
          <w:lang w:val="en-US"/>
        </w:rPr>
        <w:tab/>
        <w:t>financially healthy and competitive: The role of financial predictors. </w:t>
      </w:r>
      <w:r w:rsidRPr="00850F3D">
        <w:rPr>
          <w:i/>
          <w:iCs/>
          <w:lang w:val="en-US"/>
        </w:rPr>
        <w:t xml:space="preserve">Journal of </w:t>
      </w:r>
      <w:r w:rsidRPr="00850F3D">
        <w:rPr>
          <w:i/>
          <w:iCs/>
          <w:lang w:val="en-US"/>
        </w:rPr>
        <w:tab/>
        <w:t>Competitiveness</w:t>
      </w:r>
      <w:r w:rsidRPr="00850F3D">
        <w:rPr>
          <w:lang w:val="en-US"/>
        </w:rPr>
        <w:t>, </w:t>
      </w:r>
      <w:r w:rsidRPr="00850F3D">
        <w:rPr>
          <w:i/>
          <w:iCs/>
          <w:lang w:val="en-US"/>
        </w:rPr>
        <w:t>12</w:t>
      </w:r>
      <w:r w:rsidRPr="00850F3D">
        <w:rPr>
          <w:lang w:val="en-US"/>
        </w:rPr>
        <w:t>(1), p.74.</w:t>
      </w:r>
    </w:p>
    <w:p w14:paraId="4E8A35FF" w14:textId="77777777" w:rsidR="00850F3D" w:rsidRPr="00850F3D" w:rsidRDefault="00850F3D" w:rsidP="00850F3D">
      <w:pPr>
        <w:rPr>
          <w:lang w:val="en-US"/>
        </w:rPr>
      </w:pPr>
      <w:r w:rsidRPr="00850F3D">
        <w:rPr>
          <w:lang w:val="en-US"/>
        </w:rPr>
        <w:t xml:space="preserve">Palepu, K.G., Healy, P.M., Wright, S., Bradbury, M. and </w:t>
      </w:r>
      <w:proofErr w:type="spellStart"/>
      <w:r w:rsidRPr="00850F3D">
        <w:rPr>
          <w:lang w:val="en-US"/>
        </w:rPr>
        <w:t>Coulton</w:t>
      </w:r>
      <w:proofErr w:type="spellEnd"/>
      <w:r w:rsidRPr="00850F3D">
        <w:rPr>
          <w:lang w:val="en-US"/>
        </w:rPr>
        <w:t>, J., 2020. </w:t>
      </w:r>
      <w:r w:rsidRPr="00850F3D">
        <w:rPr>
          <w:i/>
          <w:iCs/>
          <w:lang w:val="en-US"/>
        </w:rPr>
        <w:t xml:space="preserve">Business analysis </w:t>
      </w:r>
      <w:r w:rsidRPr="00850F3D">
        <w:rPr>
          <w:i/>
          <w:iCs/>
          <w:lang w:val="en-US"/>
        </w:rPr>
        <w:tab/>
        <w:t>and valuation: Using financial statements</w:t>
      </w:r>
      <w:r w:rsidRPr="00850F3D">
        <w:rPr>
          <w:lang w:val="en-US"/>
        </w:rPr>
        <w:t>. Cengage AU.</w:t>
      </w:r>
    </w:p>
    <w:p w14:paraId="27466662" w14:textId="77777777" w:rsidR="00850F3D" w:rsidRPr="00850F3D" w:rsidRDefault="00850F3D" w:rsidP="00850F3D">
      <w:pPr>
        <w:rPr>
          <w:lang w:val="en-US"/>
        </w:rPr>
      </w:pPr>
      <w:r w:rsidRPr="00850F3D">
        <w:rPr>
          <w:lang w:val="en-US"/>
        </w:rPr>
        <w:t>Rao, P.M., 2021. </w:t>
      </w:r>
      <w:r w:rsidRPr="00850F3D">
        <w:rPr>
          <w:i/>
          <w:iCs/>
          <w:lang w:val="en-US"/>
        </w:rPr>
        <w:t>Financial statement analysis and reporting</w:t>
      </w:r>
      <w:r w:rsidRPr="00850F3D">
        <w:rPr>
          <w:lang w:val="en-US"/>
        </w:rPr>
        <w:t>. PHI Learning Pvt. Ltd.</w:t>
      </w:r>
    </w:p>
    <w:p w14:paraId="52D282E9" w14:textId="3D572424" w:rsidR="00850F3D" w:rsidRPr="00850F3D" w:rsidRDefault="00850F3D" w:rsidP="00850F3D">
      <w:pPr>
        <w:rPr>
          <w:lang w:val="en-US"/>
        </w:rPr>
      </w:pPr>
      <w:r w:rsidRPr="00850F3D">
        <w:rPr>
          <w:lang w:val="en-US"/>
        </w:rPr>
        <w:t>Shim, J.K., 2022. </w:t>
      </w:r>
      <w:proofErr w:type="gramStart"/>
      <w:r w:rsidRPr="00850F3D">
        <w:rPr>
          <w:i/>
          <w:iCs/>
          <w:lang w:val="en-US"/>
        </w:rPr>
        <w:t>Financial management</w:t>
      </w:r>
      <w:proofErr w:type="gramEnd"/>
      <w:r w:rsidRPr="00850F3D">
        <w:rPr>
          <w:lang w:val="en-US"/>
        </w:rPr>
        <w:t xml:space="preserve">. Professor of Finance and Accounting Queens College </w:t>
      </w:r>
      <w:r w:rsidRPr="00850F3D">
        <w:rPr>
          <w:lang w:val="en-US"/>
        </w:rPr>
        <w:tab/>
        <w:t>City University of New York.</w:t>
      </w:r>
      <w:r w:rsidR="00761098">
        <w:rPr>
          <w:lang w:val="en-US"/>
        </w:rPr>
        <w:t xml:space="preserve"> </w:t>
      </w:r>
    </w:p>
    <w:p w14:paraId="70F4FF28" w14:textId="77777777" w:rsidR="00850F3D" w:rsidRPr="00850F3D" w:rsidRDefault="00850F3D" w:rsidP="00850F3D">
      <w:pPr>
        <w:rPr>
          <w:lang w:val="en-US"/>
        </w:rPr>
      </w:pPr>
      <w:proofErr w:type="spellStart"/>
      <w:r w:rsidRPr="00850F3D">
        <w:rPr>
          <w:lang w:val="en-US"/>
        </w:rPr>
        <w:t>Subalakshmi</w:t>
      </w:r>
      <w:proofErr w:type="spellEnd"/>
      <w:r w:rsidRPr="00850F3D">
        <w:rPr>
          <w:lang w:val="en-US"/>
        </w:rPr>
        <w:t xml:space="preserve">, S., </w:t>
      </w:r>
      <w:proofErr w:type="spellStart"/>
      <w:r w:rsidRPr="00850F3D">
        <w:rPr>
          <w:lang w:val="en-US"/>
        </w:rPr>
        <w:t>Grahalakshmi</w:t>
      </w:r>
      <w:proofErr w:type="spellEnd"/>
      <w:r w:rsidRPr="00850F3D">
        <w:rPr>
          <w:lang w:val="en-US"/>
        </w:rPr>
        <w:t xml:space="preserve">, S. and Manikandan, M., 2018. Financial Ratio Analysis of SBI </w:t>
      </w:r>
      <w:r w:rsidRPr="00850F3D">
        <w:rPr>
          <w:lang w:val="en-US"/>
        </w:rPr>
        <w:tab/>
        <w:t>[2009-2016]. </w:t>
      </w:r>
      <w:r w:rsidRPr="00850F3D">
        <w:rPr>
          <w:i/>
          <w:iCs/>
          <w:lang w:val="en-US"/>
        </w:rPr>
        <w:t>ICTACT Journal on Management studies</w:t>
      </w:r>
      <w:r w:rsidRPr="00850F3D">
        <w:rPr>
          <w:lang w:val="en-US"/>
        </w:rPr>
        <w:t>, </w:t>
      </w:r>
      <w:r w:rsidRPr="00850F3D">
        <w:rPr>
          <w:i/>
          <w:iCs/>
          <w:lang w:val="en-US"/>
        </w:rPr>
        <w:t>4</w:t>
      </w:r>
      <w:r w:rsidRPr="00850F3D">
        <w:rPr>
          <w:lang w:val="en-US"/>
        </w:rPr>
        <w:t>(01), pp.2395-1664.</w:t>
      </w:r>
    </w:p>
    <w:p w14:paraId="01ED8B8F" w14:textId="77777777" w:rsidR="00850F3D" w:rsidRPr="00850F3D" w:rsidRDefault="00850F3D" w:rsidP="00850F3D">
      <w:pPr>
        <w:rPr>
          <w:lang w:val="en-US"/>
        </w:rPr>
      </w:pPr>
      <w:proofErr w:type="spellStart"/>
      <w:r w:rsidRPr="00850F3D">
        <w:rPr>
          <w:lang w:val="en-US"/>
        </w:rPr>
        <w:t>Supriyanto</w:t>
      </w:r>
      <w:proofErr w:type="spellEnd"/>
      <w:r w:rsidRPr="00850F3D">
        <w:rPr>
          <w:lang w:val="en-US"/>
        </w:rPr>
        <w:t xml:space="preserve">, J. and </w:t>
      </w:r>
      <w:proofErr w:type="spellStart"/>
      <w:r w:rsidRPr="00850F3D">
        <w:rPr>
          <w:lang w:val="en-US"/>
        </w:rPr>
        <w:t>Darmawan</w:t>
      </w:r>
      <w:proofErr w:type="spellEnd"/>
      <w:r w:rsidRPr="00850F3D">
        <w:rPr>
          <w:lang w:val="en-US"/>
        </w:rPr>
        <w:t xml:space="preserve">, A., 2018. The effect of financial ratio on financial distress in </w:t>
      </w:r>
      <w:r w:rsidRPr="00850F3D">
        <w:rPr>
          <w:lang w:val="en-US"/>
        </w:rPr>
        <w:tab/>
        <w:t>predicting bankruptcy. </w:t>
      </w:r>
      <w:r w:rsidRPr="00850F3D">
        <w:rPr>
          <w:i/>
          <w:iCs/>
          <w:lang w:val="en-US"/>
        </w:rPr>
        <w:t>Journal of Applied Managerial Accounting</w:t>
      </w:r>
      <w:r w:rsidRPr="00850F3D">
        <w:rPr>
          <w:lang w:val="en-US"/>
        </w:rPr>
        <w:t>, </w:t>
      </w:r>
      <w:r w:rsidRPr="00850F3D">
        <w:rPr>
          <w:i/>
          <w:iCs/>
          <w:lang w:val="en-US"/>
        </w:rPr>
        <w:t>2</w:t>
      </w:r>
      <w:r w:rsidRPr="00850F3D">
        <w:rPr>
          <w:lang w:val="en-US"/>
        </w:rPr>
        <w:t xml:space="preserve">(1), pp.110-120. </w:t>
      </w:r>
      <w:proofErr w:type="spellStart"/>
      <w:r w:rsidRPr="00850F3D">
        <w:rPr>
          <w:lang w:val="en-US"/>
        </w:rPr>
        <w:t>Welc</w:t>
      </w:r>
      <w:proofErr w:type="spellEnd"/>
      <w:r w:rsidRPr="00850F3D">
        <w:rPr>
          <w:lang w:val="en-US"/>
        </w:rPr>
        <w:t>, J., 2022. Financial statement analysis. </w:t>
      </w:r>
      <w:r w:rsidRPr="00850F3D">
        <w:rPr>
          <w:i/>
          <w:iCs/>
          <w:lang w:val="en-US"/>
        </w:rPr>
        <w:t>Springer Books</w:t>
      </w:r>
      <w:r w:rsidRPr="00850F3D">
        <w:rPr>
          <w:lang w:val="en-US"/>
        </w:rPr>
        <w:t xml:space="preserve">, pp.131-212. </w:t>
      </w:r>
    </w:p>
    <w:p w14:paraId="0B60BCAC" w14:textId="110FA154" w:rsidR="00CA09F3" w:rsidRDefault="00CA09F3"/>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5F5810"/>
    <w:multiLevelType w:val="hybridMultilevel"/>
    <w:tmpl w:val="1140415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1152949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63803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30760"/>
    <w:rsid w:val="00030BB8"/>
    <w:rsid w:val="00060739"/>
    <w:rsid w:val="00087E23"/>
    <w:rsid w:val="000E416D"/>
    <w:rsid w:val="0010588B"/>
    <w:rsid w:val="00115B96"/>
    <w:rsid w:val="00142097"/>
    <w:rsid w:val="0018268D"/>
    <w:rsid w:val="001E0165"/>
    <w:rsid w:val="00203775"/>
    <w:rsid w:val="00203AA4"/>
    <w:rsid w:val="00222644"/>
    <w:rsid w:val="0022727F"/>
    <w:rsid w:val="0023034C"/>
    <w:rsid w:val="002427D7"/>
    <w:rsid w:val="00252A5A"/>
    <w:rsid w:val="002B1E10"/>
    <w:rsid w:val="002C505C"/>
    <w:rsid w:val="002E48B8"/>
    <w:rsid w:val="002F29D2"/>
    <w:rsid w:val="00322F4F"/>
    <w:rsid w:val="00324CCD"/>
    <w:rsid w:val="00337AFB"/>
    <w:rsid w:val="003530D2"/>
    <w:rsid w:val="0036526A"/>
    <w:rsid w:val="003C11F2"/>
    <w:rsid w:val="0040095D"/>
    <w:rsid w:val="004614FE"/>
    <w:rsid w:val="0046412B"/>
    <w:rsid w:val="00484390"/>
    <w:rsid w:val="004900BE"/>
    <w:rsid w:val="00494823"/>
    <w:rsid w:val="004A11F6"/>
    <w:rsid w:val="004B7D66"/>
    <w:rsid w:val="004D519C"/>
    <w:rsid w:val="004F0CB9"/>
    <w:rsid w:val="005379A7"/>
    <w:rsid w:val="005B3ABB"/>
    <w:rsid w:val="005D0232"/>
    <w:rsid w:val="005E3C1F"/>
    <w:rsid w:val="0064508C"/>
    <w:rsid w:val="00653ECF"/>
    <w:rsid w:val="00665A02"/>
    <w:rsid w:val="0066677D"/>
    <w:rsid w:val="006D4973"/>
    <w:rsid w:val="007016B4"/>
    <w:rsid w:val="00721A6C"/>
    <w:rsid w:val="00727C08"/>
    <w:rsid w:val="00761098"/>
    <w:rsid w:val="00765C1D"/>
    <w:rsid w:val="007826EA"/>
    <w:rsid w:val="007A36C0"/>
    <w:rsid w:val="007D1947"/>
    <w:rsid w:val="007F1D68"/>
    <w:rsid w:val="00821C55"/>
    <w:rsid w:val="00844ED8"/>
    <w:rsid w:val="00850F3D"/>
    <w:rsid w:val="008E2671"/>
    <w:rsid w:val="008F0E3F"/>
    <w:rsid w:val="008F359D"/>
    <w:rsid w:val="00933A18"/>
    <w:rsid w:val="00961F7E"/>
    <w:rsid w:val="00972E45"/>
    <w:rsid w:val="00984526"/>
    <w:rsid w:val="009C1CE2"/>
    <w:rsid w:val="009D0E36"/>
    <w:rsid w:val="00A3786B"/>
    <w:rsid w:val="00A53AC4"/>
    <w:rsid w:val="00A74E94"/>
    <w:rsid w:val="00AA2A91"/>
    <w:rsid w:val="00AA3766"/>
    <w:rsid w:val="00AF2E0D"/>
    <w:rsid w:val="00B07D98"/>
    <w:rsid w:val="00B2393E"/>
    <w:rsid w:val="00B4398A"/>
    <w:rsid w:val="00B64B1B"/>
    <w:rsid w:val="00BB03AD"/>
    <w:rsid w:val="00BC12EC"/>
    <w:rsid w:val="00BD6789"/>
    <w:rsid w:val="00BE3081"/>
    <w:rsid w:val="00C33412"/>
    <w:rsid w:val="00C33BED"/>
    <w:rsid w:val="00C44193"/>
    <w:rsid w:val="00C467A7"/>
    <w:rsid w:val="00C50410"/>
    <w:rsid w:val="00C5209E"/>
    <w:rsid w:val="00C71FB5"/>
    <w:rsid w:val="00C846EE"/>
    <w:rsid w:val="00CA09F3"/>
    <w:rsid w:val="00CA4AE3"/>
    <w:rsid w:val="00CC4614"/>
    <w:rsid w:val="00D5580A"/>
    <w:rsid w:val="00D608BB"/>
    <w:rsid w:val="00D7320E"/>
    <w:rsid w:val="00D854A5"/>
    <w:rsid w:val="00D95344"/>
    <w:rsid w:val="00DB6A70"/>
    <w:rsid w:val="00DC7F2C"/>
    <w:rsid w:val="00E159FB"/>
    <w:rsid w:val="00E17D21"/>
    <w:rsid w:val="00E732E8"/>
    <w:rsid w:val="00EC243D"/>
    <w:rsid w:val="00EE1C91"/>
    <w:rsid w:val="00F1584C"/>
    <w:rsid w:val="00F3415E"/>
    <w:rsid w:val="00F97D43"/>
    <w:rsid w:val="00FE48DF"/>
    <w:rsid w:val="00FE5B8B"/>
    <w:rsid w:val="00FE7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9A225"/>
  <w15:chartTrackingRefBased/>
  <w15:docId w15:val="{3D99ECDA-8176-4902-B48B-4A4EBD9B6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608B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9C1CE2"/>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3Char">
    <w:name w:val="Heading 3 Char"/>
    <w:basedOn w:val="DefaultParagraphFont"/>
    <w:link w:val="Heading3"/>
    <w:uiPriority w:val="9"/>
    <w:rsid w:val="00D608BB"/>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207440">
      <w:bodyDiv w:val="1"/>
      <w:marLeft w:val="0"/>
      <w:marRight w:val="0"/>
      <w:marTop w:val="0"/>
      <w:marBottom w:val="0"/>
      <w:divBdr>
        <w:top w:val="none" w:sz="0" w:space="0" w:color="auto"/>
        <w:left w:val="none" w:sz="0" w:space="0" w:color="auto"/>
        <w:bottom w:val="none" w:sz="0" w:space="0" w:color="auto"/>
        <w:right w:val="none" w:sz="0" w:space="0" w:color="auto"/>
      </w:divBdr>
    </w:div>
    <w:div w:id="143959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F1EFA"/>
    <w:rsid w:val="0083132B"/>
    <w:rsid w:val="008667CF"/>
    <w:rsid w:val="00A34C42"/>
    <w:rsid w:val="00BC1251"/>
    <w:rsid w:val="00C67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2022-05-31T00:00:00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32cf4773-4f40-40c5-b712-949156571374">
      <UserInfo>
        <DisplayName>IHM L5 Staff_GRP Members</DisplayName>
        <AccountId>44</AccountId>
        <AccountType/>
      </UserInfo>
      <UserInfo>
        <DisplayName>Kazi Yousuf (1918744)</DisplayName>
        <AccountId>100</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8B20D8D9EE02948A6C40859CF0F1CF5" ma:contentTypeVersion="6" ma:contentTypeDescription="Create a new document." ma:contentTypeScope="" ma:versionID="122f368654dcf9a34b0a13f8e3a818dd">
  <xsd:schema xmlns:xsd="http://www.w3.org/2001/XMLSchema" xmlns:xs="http://www.w3.org/2001/XMLSchema" xmlns:p="http://schemas.microsoft.com/office/2006/metadata/properties" xmlns:ns2="32cf4773-4f40-40c5-b712-949156571374" xmlns:ns3="74243a2f-f39c-4e43-9810-58f2f548e0d4" targetNamespace="http://schemas.microsoft.com/office/2006/metadata/properties" ma:root="true" ma:fieldsID="7ed13931f719caf68c4d8eba46aca76c" ns2:_="" ns3:_="">
    <xsd:import namespace="32cf4773-4f40-40c5-b712-949156571374"/>
    <xsd:import namespace="74243a2f-f39c-4e43-9810-58f2f548e0d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cf4773-4f40-40c5-b712-94915657137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243a2f-f39c-4e43-9810-58f2f548e0d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1F08215-F19F-4234-833F-130A3CCC4DB8}">
  <ds:schemaRefs>
    <ds:schemaRef ds:uri="http://schemas.openxmlformats.org/officeDocument/2006/bibliography"/>
  </ds:schemaRefs>
</ds:datastoreItem>
</file>

<file path=customXml/itemProps3.xml><?xml version="1.0" encoding="utf-8"?>
<ds:datastoreItem xmlns:ds="http://schemas.openxmlformats.org/officeDocument/2006/customXml" ds:itemID="{3584C94B-2F23-4710-8FBB-D1F972122EE5}">
  <ds:schemaRefs>
    <ds:schemaRef ds:uri="http://schemas.microsoft.com/office/2006/metadata/properties"/>
    <ds:schemaRef ds:uri="http://schemas.microsoft.com/office/infopath/2007/PartnerControls"/>
    <ds:schemaRef ds:uri="32cf4773-4f40-40c5-b712-949156571374"/>
  </ds:schemaRefs>
</ds:datastoreItem>
</file>

<file path=customXml/itemProps4.xml><?xml version="1.0" encoding="utf-8"?>
<ds:datastoreItem xmlns:ds="http://schemas.openxmlformats.org/officeDocument/2006/customXml" ds:itemID="{59F67A61-C603-40F2-A778-0C8758AB57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cf4773-4f40-40c5-b712-949156571374"/>
    <ds:schemaRef ds:uri="74243a2f-f39c-4e43-9810-58f2f548e0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4601369-8EFB-4313-B8B6-887C00BFFF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2635</Words>
  <Characters>15022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Hilton HOTel</vt:lpstr>
    </vt:vector>
  </TitlesOfParts>
  <Company>University of Wales Trinity Saint David</Company>
  <LinksUpToDate>false</LinksUpToDate>
  <CharactersWithSpaces>17622</CharactersWithSpaces>
  <SharedDoc>false</SharedDoc>
  <HLinks>
    <vt:vector size="42" baseType="variant">
      <vt:variant>
        <vt:i4>1835061</vt:i4>
      </vt:variant>
      <vt:variant>
        <vt:i4>38</vt:i4>
      </vt:variant>
      <vt:variant>
        <vt:i4>0</vt:i4>
      </vt:variant>
      <vt:variant>
        <vt:i4>5</vt:i4>
      </vt:variant>
      <vt:variant>
        <vt:lpwstr/>
      </vt:variant>
      <vt:variant>
        <vt:lpwstr>_Toc463944609</vt:lpwstr>
      </vt:variant>
      <vt:variant>
        <vt:i4>1835061</vt:i4>
      </vt:variant>
      <vt:variant>
        <vt:i4>32</vt:i4>
      </vt:variant>
      <vt:variant>
        <vt:i4>0</vt:i4>
      </vt:variant>
      <vt:variant>
        <vt:i4>5</vt:i4>
      </vt:variant>
      <vt:variant>
        <vt:lpwstr/>
      </vt:variant>
      <vt:variant>
        <vt:lpwstr>_Toc463944608</vt:lpwstr>
      </vt:variant>
      <vt:variant>
        <vt:i4>1835061</vt:i4>
      </vt:variant>
      <vt:variant>
        <vt:i4>26</vt:i4>
      </vt:variant>
      <vt:variant>
        <vt:i4>0</vt:i4>
      </vt:variant>
      <vt:variant>
        <vt:i4>5</vt:i4>
      </vt:variant>
      <vt:variant>
        <vt:lpwstr/>
      </vt:variant>
      <vt:variant>
        <vt:lpwstr>_Toc463944607</vt:lpwstr>
      </vt:variant>
      <vt:variant>
        <vt:i4>1835061</vt:i4>
      </vt:variant>
      <vt:variant>
        <vt:i4>20</vt:i4>
      </vt:variant>
      <vt:variant>
        <vt:i4>0</vt:i4>
      </vt:variant>
      <vt:variant>
        <vt:i4>5</vt:i4>
      </vt:variant>
      <vt:variant>
        <vt:lpwstr/>
      </vt:variant>
      <vt:variant>
        <vt:lpwstr>_Toc463944602</vt:lpwstr>
      </vt:variant>
      <vt:variant>
        <vt:i4>1835061</vt:i4>
      </vt:variant>
      <vt:variant>
        <vt:i4>14</vt:i4>
      </vt:variant>
      <vt:variant>
        <vt:i4>0</vt:i4>
      </vt:variant>
      <vt:variant>
        <vt:i4>5</vt:i4>
      </vt:variant>
      <vt:variant>
        <vt:lpwstr/>
      </vt:variant>
      <vt:variant>
        <vt:lpwstr>_Toc463944601</vt:lpwstr>
      </vt:variant>
      <vt:variant>
        <vt:i4>1835061</vt:i4>
      </vt:variant>
      <vt:variant>
        <vt:i4>8</vt:i4>
      </vt:variant>
      <vt:variant>
        <vt:i4>0</vt:i4>
      </vt:variant>
      <vt:variant>
        <vt:i4>5</vt:i4>
      </vt:variant>
      <vt:variant>
        <vt:lpwstr/>
      </vt:variant>
      <vt:variant>
        <vt:lpwstr>_Toc463944600</vt:lpwstr>
      </vt:variant>
      <vt:variant>
        <vt:i4>1376310</vt:i4>
      </vt:variant>
      <vt:variant>
        <vt:i4>2</vt:i4>
      </vt:variant>
      <vt:variant>
        <vt:i4>0</vt:i4>
      </vt:variant>
      <vt:variant>
        <vt:i4>5</vt:i4>
      </vt:variant>
      <vt:variant>
        <vt:lpwstr/>
      </vt:variant>
      <vt:variant>
        <vt:lpwstr>_Toc463944599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Hilton HOTel</dc:title>
  <dc:subject>Module: Financial Management</dc:subject>
  <dc:creator>Marie Pitson</dc:creator>
  <cp:keywords/>
  <dc:description/>
  <cp:lastModifiedBy>BABOS ZSANETT</cp:lastModifiedBy>
  <cp:revision>2</cp:revision>
  <dcterms:created xsi:type="dcterms:W3CDTF">2022-06-01T15:41:00Z</dcterms:created>
  <dcterms:modified xsi:type="dcterms:W3CDTF">2022-06-01T15:41:00Z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0x01010048B20D8D9EE02948A6C40859CF0F1CF5</vt:lpwstr>
  </property>
</Properties>
</file>