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423EBC" w14:textId="05BDE1BB" w:rsidR="00C3264E" w:rsidRPr="000F6889" w:rsidRDefault="006F4367" w:rsidP="000F6889">
      <w:pPr>
        <w:spacing w:line="360" w:lineRule="auto"/>
        <w:jc w:val="center"/>
        <w:rPr>
          <w:rFonts w:asciiTheme="majorBidi" w:hAnsiTheme="majorBidi" w:cstheme="majorBidi"/>
          <w:b/>
          <w:bCs/>
          <w:sz w:val="24"/>
          <w:szCs w:val="24"/>
        </w:rPr>
      </w:pPr>
      <w:bookmarkStart w:id="0" w:name="_GoBack"/>
      <w:bookmarkEnd w:id="0"/>
      <w:r w:rsidRPr="000F6889">
        <w:rPr>
          <w:rFonts w:asciiTheme="majorBidi" w:hAnsiTheme="majorBidi" w:cstheme="majorBidi"/>
          <w:b/>
          <w:bCs/>
          <w:sz w:val="24"/>
          <w:szCs w:val="24"/>
        </w:rPr>
        <w:t>Title: Managing Marketing Change in the Global Sugar Industry: A Case Study of A</w:t>
      </w:r>
      <w:r w:rsidR="00762906" w:rsidRPr="000F6889">
        <w:rPr>
          <w:rFonts w:asciiTheme="majorBidi" w:hAnsiTheme="majorBidi" w:cstheme="majorBidi"/>
          <w:b/>
          <w:bCs/>
          <w:sz w:val="24"/>
          <w:szCs w:val="24"/>
        </w:rPr>
        <w:t>BF</w:t>
      </w:r>
      <w:r w:rsidRPr="000F6889">
        <w:rPr>
          <w:rFonts w:asciiTheme="majorBidi" w:hAnsiTheme="majorBidi" w:cstheme="majorBidi"/>
          <w:b/>
          <w:bCs/>
          <w:sz w:val="24"/>
          <w:szCs w:val="24"/>
        </w:rPr>
        <w:t xml:space="preserve"> Sugar</w:t>
      </w:r>
    </w:p>
    <w:p w14:paraId="636D785A" w14:textId="77777777" w:rsidR="00C3264E" w:rsidRPr="000F6889" w:rsidRDefault="00C3264E" w:rsidP="000F6889">
      <w:pPr>
        <w:spacing w:line="360" w:lineRule="auto"/>
        <w:jc w:val="both"/>
        <w:rPr>
          <w:rFonts w:asciiTheme="majorBidi" w:hAnsiTheme="majorBidi" w:cstheme="majorBidi"/>
          <w:b/>
          <w:bCs/>
          <w:sz w:val="24"/>
          <w:szCs w:val="24"/>
        </w:rPr>
      </w:pPr>
    </w:p>
    <w:p w14:paraId="79AF0E87" w14:textId="77777777" w:rsidR="00C3264E" w:rsidRPr="000F6889" w:rsidRDefault="00C3264E" w:rsidP="000F6889">
      <w:pPr>
        <w:spacing w:line="360" w:lineRule="auto"/>
        <w:jc w:val="both"/>
        <w:rPr>
          <w:rFonts w:asciiTheme="majorBidi" w:hAnsiTheme="majorBidi" w:cstheme="majorBidi"/>
          <w:b/>
          <w:bCs/>
          <w:sz w:val="24"/>
          <w:szCs w:val="24"/>
        </w:rPr>
      </w:pPr>
    </w:p>
    <w:p w14:paraId="4BCD3838" w14:textId="77777777" w:rsidR="00C3264E" w:rsidRPr="000F6889" w:rsidRDefault="00C3264E" w:rsidP="000F6889">
      <w:pPr>
        <w:spacing w:line="360" w:lineRule="auto"/>
        <w:jc w:val="both"/>
        <w:rPr>
          <w:rFonts w:asciiTheme="majorBidi" w:hAnsiTheme="majorBidi" w:cstheme="majorBidi"/>
          <w:b/>
          <w:bCs/>
          <w:sz w:val="24"/>
          <w:szCs w:val="24"/>
        </w:rPr>
      </w:pPr>
    </w:p>
    <w:p w14:paraId="1AF29AD5" w14:textId="75E32658" w:rsidR="00C3264E" w:rsidRPr="000F6889" w:rsidRDefault="00E70327" w:rsidP="000F6889">
      <w:pPr>
        <w:spacing w:line="360" w:lineRule="auto"/>
        <w:jc w:val="both"/>
        <w:rPr>
          <w:rFonts w:asciiTheme="majorBidi" w:hAnsiTheme="majorBidi" w:cstheme="majorBidi"/>
          <w:b/>
          <w:bCs/>
          <w:sz w:val="24"/>
          <w:szCs w:val="24"/>
        </w:rPr>
      </w:pPr>
      <w:r>
        <w:rPr>
          <w:rFonts w:asciiTheme="majorBidi" w:hAnsiTheme="majorBidi" w:cstheme="majorBidi"/>
          <w:b/>
          <w:bCs/>
          <w:sz w:val="24"/>
          <w:szCs w:val="24"/>
        </w:rPr>
        <w:t>STUDENT NAME: Muhammad Zaryab</w:t>
      </w:r>
    </w:p>
    <w:p w14:paraId="682A92BA" w14:textId="2B4EBBDE" w:rsidR="00C3264E" w:rsidRPr="000F6889" w:rsidRDefault="00E70327" w:rsidP="000F6889">
      <w:pPr>
        <w:spacing w:line="360" w:lineRule="auto"/>
        <w:jc w:val="both"/>
        <w:rPr>
          <w:rFonts w:asciiTheme="majorBidi" w:hAnsiTheme="majorBidi" w:cstheme="majorBidi"/>
          <w:b/>
          <w:bCs/>
          <w:sz w:val="24"/>
          <w:szCs w:val="24"/>
        </w:rPr>
      </w:pPr>
      <w:r>
        <w:rPr>
          <w:rFonts w:asciiTheme="majorBidi" w:hAnsiTheme="majorBidi" w:cstheme="majorBidi"/>
          <w:b/>
          <w:bCs/>
          <w:sz w:val="24"/>
          <w:szCs w:val="24"/>
        </w:rPr>
        <w:t>STUDENT ID: 2423275</w:t>
      </w:r>
    </w:p>
    <w:p w14:paraId="444BCFFF" w14:textId="77777777" w:rsidR="00C3264E" w:rsidRPr="000F6889" w:rsidRDefault="00C3264E" w:rsidP="000F6889">
      <w:pPr>
        <w:spacing w:line="360" w:lineRule="auto"/>
        <w:jc w:val="both"/>
        <w:rPr>
          <w:rFonts w:asciiTheme="majorBidi" w:hAnsiTheme="majorBidi" w:cstheme="majorBidi"/>
          <w:b/>
          <w:bCs/>
          <w:sz w:val="24"/>
          <w:szCs w:val="24"/>
        </w:rPr>
      </w:pPr>
    </w:p>
    <w:p w14:paraId="2B774F17" w14:textId="77777777" w:rsidR="00C3264E" w:rsidRPr="000F6889" w:rsidRDefault="00C3264E" w:rsidP="000F6889">
      <w:pPr>
        <w:spacing w:line="360" w:lineRule="auto"/>
        <w:jc w:val="both"/>
        <w:rPr>
          <w:rFonts w:asciiTheme="majorBidi" w:hAnsiTheme="majorBidi" w:cstheme="majorBidi"/>
          <w:b/>
          <w:bCs/>
          <w:sz w:val="24"/>
          <w:szCs w:val="24"/>
        </w:rPr>
      </w:pPr>
    </w:p>
    <w:p w14:paraId="1B21FCF3" w14:textId="77777777" w:rsidR="00C3264E" w:rsidRPr="000F6889" w:rsidRDefault="00C3264E" w:rsidP="000F6889">
      <w:pPr>
        <w:spacing w:line="360" w:lineRule="auto"/>
        <w:jc w:val="both"/>
        <w:rPr>
          <w:rFonts w:asciiTheme="majorBidi" w:hAnsiTheme="majorBidi" w:cstheme="majorBidi"/>
          <w:b/>
          <w:bCs/>
          <w:sz w:val="24"/>
          <w:szCs w:val="24"/>
        </w:rPr>
      </w:pPr>
    </w:p>
    <w:p w14:paraId="01F1B6B8" w14:textId="77777777" w:rsidR="00C3264E" w:rsidRPr="000F6889" w:rsidRDefault="00C3264E" w:rsidP="000F6889">
      <w:pPr>
        <w:spacing w:line="360" w:lineRule="auto"/>
        <w:jc w:val="both"/>
        <w:rPr>
          <w:rFonts w:asciiTheme="majorBidi" w:hAnsiTheme="majorBidi" w:cstheme="majorBidi"/>
          <w:b/>
          <w:bCs/>
          <w:sz w:val="24"/>
          <w:szCs w:val="24"/>
        </w:rPr>
      </w:pPr>
    </w:p>
    <w:p w14:paraId="30FB6C6A" w14:textId="77777777" w:rsidR="00C3264E" w:rsidRPr="000F6889" w:rsidRDefault="00C3264E" w:rsidP="000F6889">
      <w:pPr>
        <w:spacing w:line="360" w:lineRule="auto"/>
        <w:jc w:val="both"/>
        <w:rPr>
          <w:rFonts w:asciiTheme="majorBidi" w:hAnsiTheme="majorBidi" w:cstheme="majorBidi"/>
          <w:b/>
          <w:bCs/>
          <w:sz w:val="24"/>
          <w:szCs w:val="24"/>
        </w:rPr>
      </w:pPr>
    </w:p>
    <w:p w14:paraId="387AE17F" w14:textId="77777777" w:rsidR="00C3264E" w:rsidRPr="000F6889" w:rsidRDefault="00C3264E" w:rsidP="000F6889">
      <w:pPr>
        <w:spacing w:line="360" w:lineRule="auto"/>
        <w:jc w:val="both"/>
        <w:rPr>
          <w:rFonts w:asciiTheme="majorBidi" w:hAnsiTheme="majorBidi" w:cstheme="majorBidi"/>
          <w:b/>
          <w:bCs/>
          <w:sz w:val="24"/>
          <w:szCs w:val="24"/>
        </w:rPr>
      </w:pPr>
    </w:p>
    <w:p w14:paraId="5D299E73" w14:textId="77777777" w:rsidR="00C3264E" w:rsidRPr="000F6889" w:rsidRDefault="00C3264E" w:rsidP="000F6889">
      <w:pPr>
        <w:spacing w:line="360" w:lineRule="auto"/>
        <w:jc w:val="both"/>
        <w:rPr>
          <w:rFonts w:asciiTheme="majorBidi" w:hAnsiTheme="majorBidi" w:cstheme="majorBidi"/>
          <w:b/>
          <w:bCs/>
          <w:sz w:val="24"/>
          <w:szCs w:val="24"/>
        </w:rPr>
      </w:pPr>
    </w:p>
    <w:p w14:paraId="20B08F66" w14:textId="77777777" w:rsidR="00C3264E" w:rsidRPr="000F6889" w:rsidRDefault="00C3264E" w:rsidP="000F6889">
      <w:pPr>
        <w:spacing w:line="360" w:lineRule="auto"/>
        <w:jc w:val="both"/>
        <w:rPr>
          <w:rFonts w:asciiTheme="majorBidi" w:hAnsiTheme="majorBidi" w:cstheme="majorBidi"/>
          <w:b/>
          <w:bCs/>
          <w:sz w:val="24"/>
          <w:szCs w:val="24"/>
        </w:rPr>
      </w:pPr>
    </w:p>
    <w:p w14:paraId="307A0BEE" w14:textId="77777777" w:rsidR="00C3264E" w:rsidRPr="000F6889" w:rsidRDefault="00C3264E" w:rsidP="000F6889">
      <w:pPr>
        <w:spacing w:line="360" w:lineRule="auto"/>
        <w:jc w:val="both"/>
        <w:rPr>
          <w:rFonts w:asciiTheme="majorBidi" w:hAnsiTheme="majorBidi" w:cstheme="majorBidi"/>
          <w:b/>
          <w:bCs/>
          <w:sz w:val="24"/>
          <w:szCs w:val="24"/>
        </w:rPr>
      </w:pPr>
    </w:p>
    <w:p w14:paraId="55287510" w14:textId="77777777" w:rsidR="00C3264E" w:rsidRPr="000F6889" w:rsidRDefault="00C3264E" w:rsidP="000F6889">
      <w:pPr>
        <w:spacing w:line="360" w:lineRule="auto"/>
        <w:jc w:val="both"/>
        <w:rPr>
          <w:rFonts w:asciiTheme="majorBidi" w:hAnsiTheme="majorBidi" w:cstheme="majorBidi"/>
          <w:b/>
          <w:bCs/>
          <w:sz w:val="24"/>
          <w:szCs w:val="24"/>
        </w:rPr>
      </w:pPr>
    </w:p>
    <w:p w14:paraId="0C1FCB38" w14:textId="77777777" w:rsidR="00C3264E" w:rsidRPr="000F6889" w:rsidRDefault="00C3264E" w:rsidP="000F6889">
      <w:pPr>
        <w:spacing w:line="360" w:lineRule="auto"/>
        <w:jc w:val="both"/>
        <w:rPr>
          <w:rFonts w:asciiTheme="majorBidi" w:hAnsiTheme="majorBidi" w:cstheme="majorBidi"/>
          <w:b/>
          <w:bCs/>
          <w:sz w:val="24"/>
          <w:szCs w:val="24"/>
        </w:rPr>
      </w:pPr>
    </w:p>
    <w:p w14:paraId="3AC3E61B" w14:textId="6FD02A4E" w:rsidR="00C3264E" w:rsidRDefault="00C3264E" w:rsidP="000F6889">
      <w:pPr>
        <w:spacing w:line="360" w:lineRule="auto"/>
        <w:jc w:val="both"/>
        <w:rPr>
          <w:rFonts w:asciiTheme="majorBidi" w:hAnsiTheme="majorBidi" w:cstheme="majorBidi"/>
          <w:b/>
          <w:bCs/>
          <w:sz w:val="24"/>
          <w:szCs w:val="24"/>
        </w:rPr>
      </w:pPr>
    </w:p>
    <w:p w14:paraId="1FF3EE92" w14:textId="6C1410CE" w:rsidR="000F6889" w:rsidRDefault="000F6889" w:rsidP="000F6889">
      <w:pPr>
        <w:spacing w:line="360" w:lineRule="auto"/>
        <w:jc w:val="both"/>
        <w:rPr>
          <w:rFonts w:asciiTheme="majorBidi" w:hAnsiTheme="majorBidi" w:cstheme="majorBidi"/>
          <w:b/>
          <w:bCs/>
          <w:sz w:val="24"/>
          <w:szCs w:val="24"/>
        </w:rPr>
      </w:pPr>
    </w:p>
    <w:p w14:paraId="58D5B0C3" w14:textId="77777777" w:rsidR="000F6889" w:rsidRPr="000F6889" w:rsidRDefault="000F6889" w:rsidP="000F6889">
      <w:pPr>
        <w:spacing w:line="360" w:lineRule="auto"/>
        <w:jc w:val="both"/>
        <w:rPr>
          <w:rFonts w:asciiTheme="majorBidi" w:hAnsiTheme="majorBidi" w:cstheme="majorBidi"/>
          <w:b/>
          <w:bCs/>
          <w:sz w:val="24"/>
          <w:szCs w:val="24"/>
        </w:rPr>
      </w:pPr>
    </w:p>
    <w:p w14:paraId="085F6D95"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lastRenderedPageBreak/>
        <w:t>Executive Summary</w:t>
      </w:r>
    </w:p>
    <w:p w14:paraId="4FFBA374" w14:textId="47189668"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This report is a critical evaluation of marketing practice of AB</w:t>
      </w:r>
      <w:r w:rsidR="00792619" w:rsidRPr="000F6889">
        <w:rPr>
          <w:rFonts w:asciiTheme="majorBidi" w:hAnsiTheme="majorBidi" w:cstheme="majorBidi"/>
          <w:sz w:val="24"/>
          <w:szCs w:val="24"/>
        </w:rPr>
        <w:t>F</w:t>
      </w:r>
      <w:r w:rsidRPr="000F6889">
        <w:rPr>
          <w:rFonts w:asciiTheme="majorBidi" w:hAnsiTheme="majorBidi" w:cstheme="majorBidi"/>
          <w:sz w:val="24"/>
          <w:szCs w:val="24"/>
        </w:rPr>
        <w:t xml:space="preserve"> Sugar, which forms part of the business of the Associated British Foods (ABF) in the context of the emerging regulatory, social and environmental pressures that are threatening the sugar business world. Through the strategic marketing and change management strategies, the analysis unveils the current weaknesses of the company, compares the level of performance with that of Tate and Lyle and Sudzucker, two of the major competitors, and proposes practical developmental suggestions.</w:t>
      </w:r>
    </w:p>
    <w:p w14:paraId="03BA6712" w14:textId="6D5DF0A1"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analysis shows that the marketing strategy of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too descriptive in nature and more commodity-oriented and responsive to external forces. Section 2.1 sets the relevance of marketing as an element of strategic value creation and legitimacy by pointing out that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lagged behind its counterparts in the repositioning process to healthy and sustainable narratives. A PESTLE framework used in section 2.2 highlights the most significant threats in the form of increased government regulation of sugar consumption, increased demand of healthier options by consumers, technological upheaval, and increased environmental demands.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been playing catch up in terms of digital innovation and sustainability as its strategic differentiators compared to its competitors.</w:t>
      </w:r>
    </w:p>
    <w:p w14:paraId="2110CD6C" w14:textId="0034CF42"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As illustrated in section 2.3 and 2.4, the segmentation, targeting and media strategy of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still in its infancy. As the consumer and industrial consumers are demanding a healthier and sustainable product,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not been able to express a powerful positioning strategy. It is also weak in its capacity to influence stories in a highly </w:t>
      </w:r>
      <w:r w:rsidR="001D5DED" w:rsidRPr="000F6889">
        <w:rPr>
          <w:rFonts w:asciiTheme="majorBidi" w:hAnsiTheme="majorBidi" w:cstheme="majorBidi"/>
          <w:sz w:val="24"/>
          <w:szCs w:val="24"/>
        </w:rPr>
        <w:t>scrutinized</w:t>
      </w:r>
      <w:r w:rsidRPr="000F6889">
        <w:rPr>
          <w:rFonts w:asciiTheme="majorBidi" w:hAnsiTheme="majorBidi" w:cstheme="majorBidi"/>
          <w:sz w:val="24"/>
          <w:szCs w:val="24"/>
        </w:rPr>
        <w:t xml:space="preserve"> business because of its limited integration of digital communications. Section 2.5 emphasizes the necessity of balanced KPIs that would also include, but not be limited to, financial indicators, sustainability, digital engagement, and consumer trust indicators.</w:t>
      </w:r>
    </w:p>
    <w:p w14:paraId="1CA55E56" w14:textId="12909E44"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report concludes that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required to shift its compliance-oriented orientation to the forward-looking and strategic marketing operation. The suggestions involve redirection to responsible sugar production, the integration of digital communication strategy, reduction-calorie product diversification, and integration of </w:t>
      </w:r>
      <w:r w:rsidRPr="000F6889">
        <w:rPr>
          <w:rFonts w:asciiTheme="majorBidi" w:hAnsiTheme="majorBidi" w:cstheme="majorBidi"/>
          <w:sz w:val="24"/>
          <w:szCs w:val="24"/>
        </w:rPr>
        <w:lastRenderedPageBreak/>
        <w:t>strong sustainability KPIs. Such strategies will increase the competitiveness, legitimacy, and the ability to withstand changes by the global market on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w:t>
      </w:r>
    </w:p>
    <w:p w14:paraId="0F20C244" w14:textId="77777777" w:rsidR="00C3264E" w:rsidRPr="000F6889" w:rsidRDefault="006F4367" w:rsidP="000F6889">
      <w:pPr>
        <w:pStyle w:val="Heading1"/>
        <w:numPr>
          <w:ilvl w:val="0"/>
          <w:numId w:val="7"/>
        </w:numPr>
        <w:spacing w:line="360" w:lineRule="auto"/>
        <w:jc w:val="both"/>
        <w:rPr>
          <w:rFonts w:asciiTheme="majorBidi" w:hAnsiTheme="majorBidi"/>
          <w:color w:val="auto"/>
          <w:sz w:val="24"/>
          <w:szCs w:val="24"/>
        </w:rPr>
      </w:pPr>
      <w:r w:rsidRPr="000F6889">
        <w:rPr>
          <w:rFonts w:asciiTheme="majorBidi" w:hAnsiTheme="majorBidi"/>
          <w:color w:val="auto"/>
          <w:sz w:val="24"/>
          <w:szCs w:val="24"/>
        </w:rPr>
        <w:t xml:space="preserve"> Introduction</w:t>
      </w:r>
    </w:p>
    <w:p w14:paraId="76C966F1" w14:textId="631AE06B"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a subsidiary of Associated British Foods (ABF) and it is one of the largest sugar producers in the world with its operations taking place around Europe, Africa, and Asia. The company does not only provide sugar but also by-products that serve the energy market, animal feed and industries hence being a very important part of the international agri-food systems (ABF, 2023). In spite of its size, during the last few years,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faced considerable pressures due to the health-related issues, regulatory activities, and the overall movement of the world towards sustainability and a </w:t>
      </w:r>
      <w:r w:rsidR="001D5DED" w:rsidRPr="000F6889">
        <w:rPr>
          <w:rFonts w:asciiTheme="majorBidi" w:hAnsiTheme="majorBidi" w:cstheme="majorBidi"/>
          <w:sz w:val="24"/>
          <w:szCs w:val="24"/>
        </w:rPr>
        <w:t>healthier</w:t>
      </w:r>
      <w:r w:rsidRPr="000F6889">
        <w:rPr>
          <w:rFonts w:asciiTheme="majorBidi" w:hAnsiTheme="majorBidi" w:cstheme="majorBidi"/>
          <w:sz w:val="24"/>
          <w:szCs w:val="24"/>
        </w:rPr>
        <w:t xml:space="preserve"> lifestyle. Such factors have essentially transformed the consumer demand and heightened scrutiny of the marketing strategies of the organisation.</w:t>
      </w:r>
    </w:p>
    <w:p w14:paraId="277F2D41" w14:textId="4E6EB51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Sugar has become the focal point of policy discussion in the world as far as the issue of obesity, diabetes, and cardiovascular disease are concerned</w:t>
      </w:r>
      <w:r w:rsidR="00D405E5" w:rsidRPr="000F6889">
        <w:rPr>
          <w:rFonts w:asciiTheme="majorBidi" w:hAnsiTheme="majorBidi" w:cstheme="majorBidi"/>
          <w:sz w:val="24"/>
          <w:szCs w:val="24"/>
        </w:rPr>
        <w:t xml:space="preserve"> (</w:t>
      </w:r>
      <w:r w:rsidR="00D405E5" w:rsidRPr="000F6889">
        <w:rPr>
          <w:rFonts w:asciiTheme="majorBidi" w:hAnsiTheme="majorBidi" w:cstheme="majorBidi"/>
          <w:color w:val="222222"/>
          <w:sz w:val="24"/>
          <w:szCs w:val="24"/>
          <w:shd w:val="clear" w:color="auto" w:fill="FFFFFF"/>
        </w:rPr>
        <w:t xml:space="preserve">Malik, 2022). </w:t>
      </w:r>
      <w:r w:rsidRPr="000F6889">
        <w:rPr>
          <w:rFonts w:asciiTheme="majorBidi" w:hAnsiTheme="majorBidi" w:cstheme="majorBidi"/>
          <w:sz w:val="24"/>
          <w:szCs w:val="24"/>
        </w:rPr>
        <w:t xml:space="preserve"> Governments around the world have responded to this by enforcing fiscal policies like levies on sugar, accompanied by tougher nutritional labelling policies in order to cut down on the level of sugar intake. Relevantly, the Soft Drinks Industry Levy in the United Kingdom has already spurred product reformulation and there are further pleas to increase taxation to milk-based beverages (Boseley, 2020).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challenged by such policies which require it to modify its portfolio, proactive lobbying, and rebranding its value proposition to the stakeholders.</w:t>
      </w:r>
    </w:p>
    <w:p w14:paraId="54F7DA46" w14:textId="72BDF820"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consumer behaviour has developed at a high pace as well. The contemporary customer is searching healthy, transparent, and ethically produced goods. The study by Deloitte (2021) shows that in the UK, 61 per cent of consumers have become more concerned with health-related attributes when buying food, 43 per cent are now willing to pay attention to sustainability credentials. Such trends require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to go beyond merely commodity production and pursue innovation on the reduced-calorie sweeteners, product reformulation, and supply chain traceability. The inability to change poses a threat of </w:t>
      </w:r>
      <w:r w:rsidRPr="000F6889">
        <w:rPr>
          <w:rFonts w:asciiTheme="majorBidi" w:hAnsiTheme="majorBidi" w:cstheme="majorBidi"/>
          <w:sz w:val="24"/>
          <w:szCs w:val="24"/>
        </w:rPr>
        <w:lastRenderedPageBreak/>
        <w:t>reputation loss and loss of market share to rivals who invest a lot in vegetarian or low-energy alternatives</w:t>
      </w:r>
      <w:r w:rsidR="007C43A2" w:rsidRPr="000F6889">
        <w:rPr>
          <w:rFonts w:asciiTheme="majorBidi" w:hAnsiTheme="majorBidi" w:cstheme="majorBidi"/>
          <w:sz w:val="24"/>
          <w:szCs w:val="24"/>
        </w:rPr>
        <w:t xml:space="preserve"> (</w:t>
      </w:r>
      <w:r w:rsidR="007C43A2" w:rsidRPr="000F6889">
        <w:rPr>
          <w:rFonts w:asciiTheme="majorBidi" w:hAnsiTheme="majorBidi" w:cstheme="majorBidi"/>
          <w:color w:val="222222"/>
          <w:sz w:val="24"/>
          <w:szCs w:val="24"/>
          <w:shd w:val="clear" w:color="auto" w:fill="FFFFFF"/>
        </w:rPr>
        <w:t xml:space="preserve">McClements, 2023). </w:t>
      </w:r>
    </w:p>
    <w:p w14:paraId="437D8A18" w14:textId="739A9A51"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Meanwhile, the environmental demands have become more intense. The OECD-FAO Agricultural outlook (2023) further argues that the cultivation of sugarcane is increasingly linked to the climate change, biodiversity loss and water use scandals. The stakeholders put the companies like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under pressure to demonstrate strong efforts toward sustainability, which involves reducing carbon emission and enhancing circular economy undertakings. In that sense, marketing activities are not limited to the act of persuading customers but even creating the legitimacy among regulators, non-governmental organizations and investors (ILO, 2022).</w:t>
      </w:r>
    </w:p>
    <w:p w14:paraId="42278C51" w14:textId="0B63C9EC"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technological change complicates these dynamics even further. Digitalisation has transformed consumer relationships and supply chain management and artificial intelligence, blockchain, and big-data analytics offer the possibilities of more accurate marketing and traceability (PwC, 2022).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therefore, needs to think of the digital strategies in its operations and communications in order to make sure that the company is competitive</w:t>
      </w:r>
      <w:r w:rsidR="003F4E04" w:rsidRPr="000F6889">
        <w:rPr>
          <w:rFonts w:asciiTheme="majorBidi" w:hAnsiTheme="majorBidi" w:cstheme="majorBidi"/>
          <w:sz w:val="24"/>
          <w:szCs w:val="24"/>
        </w:rPr>
        <w:t xml:space="preserve"> (</w:t>
      </w:r>
      <w:r w:rsidR="003F4E04" w:rsidRPr="000F6889">
        <w:rPr>
          <w:rFonts w:asciiTheme="majorBidi" w:hAnsiTheme="majorBidi" w:cstheme="majorBidi"/>
          <w:color w:val="222222"/>
          <w:sz w:val="24"/>
          <w:szCs w:val="24"/>
          <w:shd w:val="clear" w:color="auto" w:fill="FFFFFF"/>
        </w:rPr>
        <w:t xml:space="preserve">Jočbalis, 2022). </w:t>
      </w:r>
    </w:p>
    <w:p w14:paraId="023ED1DA" w14:textId="54360440"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It is against this backdrop that the present report is a critical analysis of the marketing endeavour by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and how it was responding to the external and internal forces. It will apply analytical models like PESTLE, SWOT and the Matrix that will be applied to examine strategic positioning of the company, opportunities and threats. The capability of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to adapt to the evolving environment will be evaluated with the help of change management theories such as the 8-Step Model offered by Kotter and the Three-Stage Model offered by Lewin. The third goal will be to determine whether the marketing strategies of the company are receptive enough to the regulatory, consumer and environmental challenges and make evidence-based recommendations on future sustainability</w:t>
      </w:r>
      <w:r w:rsidR="003F3C18" w:rsidRPr="000F6889">
        <w:rPr>
          <w:rFonts w:asciiTheme="majorBidi" w:hAnsiTheme="majorBidi" w:cstheme="majorBidi"/>
          <w:sz w:val="24"/>
          <w:szCs w:val="24"/>
        </w:rPr>
        <w:t xml:space="preserve"> (</w:t>
      </w:r>
      <w:r w:rsidR="003F3C18" w:rsidRPr="000F6889">
        <w:rPr>
          <w:rFonts w:asciiTheme="majorBidi" w:hAnsiTheme="majorBidi" w:cstheme="majorBidi"/>
          <w:color w:val="222222"/>
          <w:sz w:val="24"/>
          <w:szCs w:val="24"/>
          <w:shd w:val="clear" w:color="auto" w:fill="FFFFFF"/>
        </w:rPr>
        <w:t xml:space="preserve">Elliott, 2024). </w:t>
      </w:r>
    </w:p>
    <w:p w14:paraId="3F05442E" w14:textId="154EFC29"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report indicates that it is important to urge AB</w:t>
      </w:r>
      <w:r w:rsidR="00792619" w:rsidRPr="000F6889">
        <w:rPr>
          <w:rFonts w:asciiTheme="majorBidi" w:hAnsiTheme="majorBidi" w:cstheme="majorBidi"/>
          <w:sz w:val="24"/>
          <w:szCs w:val="24"/>
        </w:rPr>
        <w:t>F</w:t>
      </w:r>
      <w:r w:rsidRPr="000F6889">
        <w:rPr>
          <w:rFonts w:asciiTheme="majorBidi" w:hAnsiTheme="majorBidi" w:cstheme="majorBidi"/>
          <w:sz w:val="24"/>
          <w:szCs w:val="24"/>
        </w:rPr>
        <w:t xml:space="preserve"> Sugar to redefine its marketing strategy with an integration between theoretical and contemporary trends in the industry. By so doing it will seek to make a contribution towards a critical evaluation of the management </w:t>
      </w:r>
      <w:r w:rsidRPr="000F6889">
        <w:rPr>
          <w:rFonts w:asciiTheme="majorBidi" w:hAnsiTheme="majorBidi" w:cstheme="majorBidi"/>
          <w:sz w:val="24"/>
          <w:szCs w:val="24"/>
        </w:rPr>
        <w:lastRenderedPageBreak/>
        <w:t>of marketing change within a global food sector organisation that is being scrutinised severely.</w:t>
      </w:r>
    </w:p>
    <w:p w14:paraId="48156417" w14:textId="79E2D68A"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2.0 Critical Analysis of Marketing of AB</w:t>
      </w:r>
      <w:r w:rsidR="00762906" w:rsidRPr="000F6889">
        <w:rPr>
          <w:rFonts w:asciiTheme="majorBidi" w:hAnsiTheme="majorBidi" w:cstheme="majorBidi"/>
          <w:b/>
          <w:bCs/>
          <w:sz w:val="24"/>
          <w:szCs w:val="24"/>
        </w:rPr>
        <w:t>F</w:t>
      </w:r>
      <w:r w:rsidRPr="000F6889">
        <w:rPr>
          <w:rFonts w:asciiTheme="majorBidi" w:hAnsiTheme="majorBidi" w:cstheme="majorBidi"/>
          <w:b/>
          <w:bCs/>
          <w:sz w:val="24"/>
          <w:szCs w:val="24"/>
        </w:rPr>
        <w:t xml:space="preserve"> Sugar.</w:t>
      </w:r>
    </w:p>
    <w:p w14:paraId="77ADACDB"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 xml:space="preserve">2.1 The Idea and the Significance of Marketing. </w:t>
      </w:r>
    </w:p>
    <w:p w14:paraId="5CCD39FA" w14:textId="4582129F"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Marketing is no more a mere matter to advertising or sales promotion but a strategic field which forms the basis of organisational survival and expansion. Contemporary definitions emphasize the fact that marketing is concerned with value creation to customers, stakeholders and to the society in general</w:t>
      </w:r>
      <w:r w:rsidR="00810E51" w:rsidRPr="000F6889">
        <w:rPr>
          <w:rFonts w:asciiTheme="majorBidi" w:hAnsiTheme="majorBidi" w:cstheme="majorBidi"/>
          <w:sz w:val="24"/>
          <w:szCs w:val="24"/>
        </w:rPr>
        <w:t xml:space="preserve"> (</w:t>
      </w:r>
      <w:r w:rsidR="00810E51" w:rsidRPr="000F6889">
        <w:rPr>
          <w:rFonts w:asciiTheme="majorBidi" w:hAnsiTheme="majorBidi" w:cstheme="majorBidi"/>
          <w:color w:val="222222"/>
          <w:sz w:val="24"/>
          <w:szCs w:val="24"/>
          <w:shd w:val="clear" w:color="auto" w:fill="FFFFFF"/>
        </w:rPr>
        <w:t>Freudenreich</w:t>
      </w:r>
      <w:r w:rsidR="00810E51" w:rsidRPr="000F6889">
        <w:rPr>
          <w:rFonts w:asciiTheme="majorBidi" w:hAnsiTheme="majorBidi" w:cstheme="majorBidi"/>
          <w:sz w:val="24"/>
          <w:szCs w:val="24"/>
        </w:rPr>
        <w:t xml:space="preserve"> , 2020). </w:t>
      </w:r>
      <w:r w:rsidRPr="000F6889">
        <w:rPr>
          <w:rFonts w:asciiTheme="majorBidi" w:hAnsiTheme="majorBidi" w:cstheme="majorBidi"/>
          <w:sz w:val="24"/>
          <w:szCs w:val="24"/>
        </w:rPr>
        <w:t>The American Marketing Association re-emphasized in 2022 that marketing involves processes of creating, communicating, delivering, and exchanging offerings that deliver value to customers and society (AMA, 2022). This highlights marketing’s dual economic and societal role, particularly significant for industries facing reputational and regulatory scrutiny, such as the sugar sector.</w:t>
      </w:r>
    </w:p>
    <w:p w14:paraId="483625BA" w14:textId="6F449334"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concept of marketing has evolved through multiple orientations: production, product, sales, market, and societal approaches</w:t>
      </w:r>
      <w:r w:rsidR="00810E51" w:rsidRPr="000F6889">
        <w:rPr>
          <w:rFonts w:asciiTheme="majorBidi" w:hAnsiTheme="majorBidi" w:cstheme="majorBidi"/>
          <w:sz w:val="24"/>
          <w:szCs w:val="24"/>
        </w:rPr>
        <w:t xml:space="preserve"> (</w:t>
      </w:r>
      <w:r w:rsidR="00810E51" w:rsidRPr="000F6889">
        <w:rPr>
          <w:rFonts w:asciiTheme="majorBidi" w:hAnsiTheme="majorBidi" w:cstheme="majorBidi"/>
          <w:color w:val="222222"/>
          <w:sz w:val="24"/>
          <w:szCs w:val="24"/>
          <w:shd w:val="clear" w:color="auto" w:fill="FFFFFF"/>
        </w:rPr>
        <w:t>Medrano, 2020).</w:t>
      </w:r>
      <w:r w:rsidRPr="000F6889">
        <w:rPr>
          <w:rFonts w:asciiTheme="majorBidi" w:hAnsiTheme="majorBidi" w:cstheme="majorBidi"/>
          <w:sz w:val="24"/>
          <w:szCs w:val="24"/>
        </w:rPr>
        <w:t xml:space="preserve"> In the current environment, the societal and holistic marketing concepts dominate, requiring firms to align profitability with sustainability and social well-being. Deloitte (2021) notes that 61% of UK consumers actively choose brands that balance performance with sustainability. For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this means marketing must extend beyond price competition to include narratives of responsible sourcing, health awareness, and social legitimacy (Deloitte, 2021).</w:t>
      </w:r>
    </w:p>
    <w:p w14:paraId="60523EB7" w14:textId="483F93A6"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Marketing also provides organisations with a framework for value creation and competitive advantage. Porter’s (1985) value chain model has been adapted to emphasise customer experience and long-term brand equity. In the sugar industry, Tate &amp; Lyle has repositioned itself as a “health and nutrition” company rather than simply a sugar producer, demonstrating how marketing can transform brand perception (Tate &amp; Lyle, 2021). By contrast,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Sugar’s slower adoption of health-focused positioning shows the risks of lagging behind in strategic marketing.</w:t>
      </w:r>
    </w:p>
    <w:p w14:paraId="4E3CCCC5" w14:textId="4A101F92"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Equally important is the role of marketing in stakeholder communication and legitimacy. Consumers, regulators, NGOs, and investors expect transparency on issues such as climate impact, nutrition, and supply chain ethics (Accenture, 2023). The International Labour Organization (2022) stresses that marketing in agri-food supply chains now requires integrating sustainability into brand communication to maintain legitimacy. Südzucker, for example, publishes extensive sustainability reports to support its brand claims (Südzucker, 2022).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Sugar’s marketing strategy must catch up to these standards to retain credibility in the eyes of diverse stakeholders.</w:t>
      </w:r>
    </w:p>
    <w:p w14:paraId="0D8876B0" w14:textId="6797FCD4"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Finally, marketing is crucial for innovation and growth. PwC (2022) highlights that firms integrating digital marketing analytics into strategy achieve higher revenue growth rates. For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marketing should guide investment in reformulated products, low-sugar alternatives, and digital consumer engagement. Without such integration, marketing risks being reactive rather than proactive in shaping future developments (PwC, 2022).</w:t>
      </w:r>
    </w:p>
    <w:p w14:paraId="473DFE9A"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In summary, marketing is a strategic and societal function that drives both economic success and social legitimacy. For sugar companies, it is indispensable in reconciling profitability with health and sustainability imperatives, and in differentiating brands within a highly scrutinized industry.</w:t>
      </w:r>
    </w:p>
    <w:p w14:paraId="42A5264B" w14:textId="347AF419" w:rsidR="00106DBE" w:rsidRPr="000F6889" w:rsidRDefault="00C7743E" w:rsidP="000F6889">
      <w:pPr>
        <w:pStyle w:val="Heading3"/>
        <w:spacing w:line="360" w:lineRule="auto"/>
        <w:jc w:val="both"/>
        <w:rPr>
          <w:rFonts w:asciiTheme="majorBidi" w:hAnsiTheme="majorBidi"/>
          <w:color w:val="auto"/>
          <w:sz w:val="24"/>
          <w:szCs w:val="24"/>
        </w:rPr>
      </w:pPr>
      <w:r w:rsidRPr="000F6889">
        <w:rPr>
          <w:rStyle w:val="Strong"/>
          <w:rFonts w:asciiTheme="majorBidi" w:hAnsiTheme="majorBidi"/>
          <w:b/>
          <w:bCs/>
          <w:color w:val="auto"/>
          <w:sz w:val="24"/>
          <w:szCs w:val="24"/>
        </w:rPr>
        <w:t xml:space="preserve">2.2 </w:t>
      </w:r>
      <w:r w:rsidR="00106DBE" w:rsidRPr="000F6889">
        <w:rPr>
          <w:rStyle w:val="Strong"/>
          <w:rFonts w:asciiTheme="majorBidi" w:hAnsiTheme="majorBidi"/>
          <w:b/>
          <w:bCs/>
          <w:color w:val="auto"/>
          <w:sz w:val="24"/>
          <w:szCs w:val="24"/>
        </w:rPr>
        <w:t>Macro Analysis (External Environment - PESTLE)</w:t>
      </w:r>
    </w:p>
    <w:p w14:paraId="54BAD965"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t>Political &amp; Legal:</w:t>
      </w:r>
    </w:p>
    <w:p w14:paraId="1F32E2D7" w14:textId="43DFDA84"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Governments are intensifying efforts to curb sugar consumption through regulatory instruments</w:t>
      </w:r>
      <w:r w:rsidR="00984587" w:rsidRPr="000F6889">
        <w:rPr>
          <w:rFonts w:asciiTheme="majorBidi" w:hAnsiTheme="majorBidi" w:cstheme="majorBidi"/>
        </w:rPr>
        <w:t xml:space="preserve"> (</w:t>
      </w:r>
      <w:r w:rsidR="00984587" w:rsidRPr="000F6889">
        <w:rPr>
          <w:rFonts w:asciiTheme="majorBidi" w:hAnsiTheme="majorBidi" w:cstheme="majorBidi"/>
          <w:color w:val="222222"/>
          <w:shd w:val="clear" w:color="auto" w:fill="FFFFFF"/>
        </w:rPr>
        <w:t>Malik, 2022).</w:t>
      </w:r>
      <w:r w:rsidRPr="000F6889">
        <w:rPr>
          <w:rFonts w:asciiTheme="majorBidi" w:hAnsiTheme="majorBidi" w:cstheme="majorBidi"/>
        </w:rPr>
        <w:t xml:space="preserve"> In the UK, the Soft Drinks Industry Levy (SDIL) has driven product reformulation, and recent proposals aim to extend the levy to milk-based beverages—heightening regulatory pressure on sugar firms (Boseley, 2020). The European Union is also enhancing front-of-pack labelling and restricting marketing to children under new food law proposals (European Commission, 2022). Compared to Tate &amp; Lyle, which has diversified into sweeteners and starch-based ingredients, ABF Sugar—still heavily reliant on traditional sugar—faces higher exposure to future taxation and labeling obligations.</w:t>
      </w:r>
    </w:p>
    <w:p w14:paraId="7E352233"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lastRenderedPageBreak/>
        <w:t>Economic:</w:t>
      </w:r>
    </w:p>
    <w:p w14:paraId="576E0566" w14:textId="77777777"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Global sugar demand is being reshaped by both growth and volatility. The OECD-FAO Agricultural Outlook (2023) projects modest demand growth in emerging markets, but highlights production cost pressures from energy and climate impacts. Commodity price swings remain unpredictable, affecting margin stability (OECD-FAO, 2023). Additionally, consumers post-COVID are tightening spending—a trend noted in impacts on discretionary purchases like premium sugars (Kantar, 2021). While Südzucker has mitigated some risk through its Frankfurt-listed capital and diversified operations, ABF Sugar’s margins remain susceptible to raw sugar price fluctuations.</w:t>
      </w:r>
    </w:p>
    <w:p w14:paraId="32D1F219"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t>Social:</w:t>
      </w:r>
    </w:p>
    <w:p w14:paraId="3B416CF8" w14:textId="77777777"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Public consciousness around health, sugar, and obesity is increasing globally. In the UK, consumer health surveys in 2022 show a 45% rise in shoppers actively reducing sugar intake (YouGov, 2022). Social media amplifies critical messaging about sugar’s link to diabetes and obesity. Companies like Tate &amp; Lyle have responded by launching zero-sugar product lines and health-focused branding, gaining reputational advantage (Tate &amp; Lyle, 2021). ABF Sugar’s slower shift towards health-branded offerings leaves it vulnerable to consumer backlash and declining brand equity among health-conscious segments.</w:t>
      </w:r>
    </w:p>
    <w:p w14:paraId="57FE2F4C"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t>Technological:</w:t>
      </w:r>
    </w:p>
    <w:p w14:paraId="4D696235" w14:textId="77777777"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Digital innovation is transforming supply chain transparency and marketing personalization. Blockchain initiatives in sugar supply chains—piloted by firms such as Südzucker—enable traceability from field to factory (Südzucker, 2022). Artificial Intelligence (AI) tools are also used by competitors to tailor digital nutrition campaigns (PwC, 2022). ABF Sugar must accelerate adoption of such technologies to meet stakeholder demands for provenance and tailor its marketing for health- and sustainability-minded consumers.</w:t>
      </w:r>
    </w:p>
    <w:p w14:paraId="5EE95ECC"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lastRenderedPageBreak/>
        <w:t>Environmental:</w:t>
      </w:r>
    </w:p>
    <w:p w14:paraId="39E6A641" w14:textId="77777777"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Climate change, water scarcity, and biodiversity loss are becoming critical in sugarcane production areas (WWF, 2021). The OECD-FAO Outlook emphasizes the growing importance of sustainable agricultural practices to ensure long-term supply security (OECD-FAO, 2023). While Südzucker has published comprehensive sustainability reports addressing carbon, water, and land use (Südzucker, 2022), ABF Sugar’s sustainability commitments remain less visible. This lag undermines its marketing message of responsibility and poses reputational risk (Statista, 2022).</w:t>
      </w:r>
    </w:p>
    <w:p w14:paraId="6084E5E6"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t>Industry Forces (Porter’s Five Forces):</w:t>
      </w:r>
    </w:p>
    <w:p w14:paraId="6574A409" w14:textId="77777777" w:rsidR="00106DBE" w:rsidRPr="000F6889" w:rsidRDefault="00106DBE" w:rsidP="000F6889">
      <w:pPr>
        <w:pStyle w:val="NormalWeb"/>
        <w:numPr>
          <w:ilvl w:val="0"/>
          <w:numId w:val="12"/>
        </w:numPr>
        <w:spacing w:line="360" w:lineRule="auto"/>
        <w:jc w:val="both"/>
        <w:rPr>
          <w:rFonts w:asciiTheme="majorBidi" w:hAnsiTheme="majorBidi" w:cstheme="majorBidi"/>
        </w:rPr>
      </w:pPr>
      <w:r w:rsidRPr="000F6889">
        <w:rPr>
          <w:rStyle w:val="Strong"/>
          <w:rFonts w:asciiTheme="majorBidi" w:hAnsiTheme="majorBidi" w:cstheme="majorBidi"/>
        </w:rPr>
        <w:t>Rivalry:</w:t>
      </w:r>
      <w:r w:rsidRPr="000F6889">
        <w:rPr>
          <w:rFonts w:asciiTheme="majorBidi" w:hAnsiTheme="majorBidi" w:cstheme="majorBidi"/>
        </w:rPr>
        <w:t xml:space="preserve"> Intense competition among major producers, with margin pressure and consolidation (EmergenResearch, 2023).</w:t>
      </w:r>
    </w:p>
    <w:p w14:paraId="46C5D44C" w14:textId="77777777" w:rsidR="00106DBE" w:rsidRPr="000F6889" w:rsidRDefault="00106DBE" w:rsidP="000F6889">
      <w:pPr>
        <w:pStyle w:val="NormalWeb"/>
        <w:numPr>
          <w:ilvl w:val="0"/>
          <w:numId w:val="12"/>
        </w:numPr>
        <w:spacing w:line="360" w:lineRule="auto"/>
        <w:jc w:val="both"/>
        <w:rPr>
          <w:rFonts w:asciiTheme="majorBidi" w:hAnsiTheme="majorBidi" w:cstheme="majorBidi"/>
        </w:rPr>
      </w:pPr>
      <w:r w:rsidRPr="000F6889">
        <w:rPr>
          <w:rStyle w:val="Strong"/>
          <w:rFonts w:asciiTheme="majorBidi" w:hAnsiTheme="majorBidi" w:cstheme="majorBidi"/>
        </w:rPr>
        <w:t>Buyer Power:</w:t>
      </w:r>
      <w:r w:rsidRPr="000F6889">
        <w:rPr>
          <w:rFonts w:asciiTheme="majorBidi" w:hAnsiTheme="majorBidi" w:cstheme="majorBidi"/>
        </w:rPr>
        <w:t xml:space="preserve"> High buyer power, as major retailers demand healthier, ethical product lines and often negotiate low-margin bulk sugar contracts (ISO, 2023).</w:t>
      </w:r>
    </w:p>
    <w:p w14:paraId="2E6E3815" w14:textId="77777777" w:rsidR="00106DBE" w:rsidRPr="000F6889" w:rsidRDefault="00106DBE" w:rsidP="000F6889">
      <w:pPr>
        <w:pStyle w:val="NormalWeb"/>
        <w:numPr>
          <w:ilvl w:val="0"/>
          <w:numId w:val="12"/>
        </w:numPr>
        <w:spacing w:line="360" w:lineRule="auto"/>
        <w:jc w:val="both"/>
        <w:rPr>
          <w:rFonts w:asciiTheme="majorBidi" w:hAnsiTheme="majorBidi" w:cstheme="majorBidi"/>
        </w:rPr>
      </w:pPr>
      <w:r w:rsidRPr="000F6889">
        <w:rPr>
          <w:rStyle w:val="Strong"/>
          <w:rFonts w:asciiTheme="majorBidi" w:hAnsiTheme="majorBidi" w:cstheme="majorBidi"/>
        </w:rPr>
        <w:t>Threat of Substitutes:</w:t>
      </w:r>
      <w:r w:rsidRPr="000F6889">
        <w:rPr>
          <w:rFonts w:asciiTheme="majorBidi" w:hAnsiTheme="majorBidi" w:cstheme="majorBidi"/>
        </w:rPr>
        <w:t xml:space="preserve"> Rising popularity of plant-based sweeteners, stevia, and sugar alcohols (Grand View Research, 2023).</w:t>
      </w:r>
    </w:p>
    <w:p w14:paraId="556A5A9D" w14:textId="77777777" w:rsidR="00106DBE" w:rsidRPr="000F6889" w:rsidRDefault="00106DBE" w:rsidP="000F6889">
      <w:pPr>
        <w:pStyle w:val="NormalWeb"/>
        <w:numPr>
          <w:ilvl w:val="0"/>
          <w:numId w:val="12"/>
        </w:numPr>
        <w:spacing w:line="360" w:lineRule="auto"/>
        <w:jc w:val="both"/>
        <w:rPr>
          <w:rFonts w:asciiTheme="majorBidi" w:hAnsiTheme="majorBidi" w:cstheme="majorBidi"/>
        </w:rPr>
      </w:pPr>
      <w:r w:rsidRPr="000F6889">
        <w:rPr>
          <w:rStyle w:val="Strong"/>
          <w:rFonts w:asciiTheme="majorBidi" w:hAnsiTheme="majorBidi" w:cstheme="majorBidi"/>
        </w:rPr>
        <w:t>Threat of New Entrants:</w:t>
      </w:r>
      <w:r w:rsidRPr="000F6889">
        <w:rPr>
          <w:rFonts w:asciiTheme="majorBidi" w:hAnsiTheme="majorBidi" w:cstheme="majorBidi"/>
        </w:rPr>
        <w:t xml:space="preserve"> While high capital and regulatory barriers exist, startups offering low-sugar alternatives are emerging (Mintel, 2022).</w:t>
      </w:r>
    </w:p>
    <w:p w14:paraId="6C2322D5" w14:textId="3C60EC22" w:rsidR="00106DBE" w:rsidRPr="000F6889" w:rsidRDefault="00106DBE" w:rsidP="000F6889">
      <w:pPr>
        <w:pStyle w:val="NormalWeb"/>
        <w:numPr>
          <w:ilvl w:val="0"/>
          <w:numId w:val="12"/>
        </w:numPr>
        <w:spacing w:line="360" w:lineRule="auto"/>
        <w:jc w:val="both"/>
        <w:rPr>
          <w:rFonts w:asciiTheme="majorBidi" w:hAnsiTheme="majorBidi" w:cstheme="majorBidi"/>
        </w:rPr>
      </w:pPr>
      <w:r w:rsidRPr="000F6889">
        <w:rPr>
          <w:rStyle w:val="Strong"/>
          <w:rFonts w:asciiTheme="majorBidi" w:hAnsiTheme="majorBidi" w:cstheme="majorBidi"/>
        </w:rPr>
        <w:t>Supplier Power:</w:t>
      </w:r>
      <w:r w:rsidRPr="000F6889">
        <w:rPr>
          <w:rFonts w:asciiTheme="majorBidi" w:hAnsiTheme="majorBidi" w:cstheme="majorBidi"/>
        </w:rPr>
        <w:t xml:space="preserve"> Moderate supplier power, as sugar growers remain fragmented but face pressure from mills and processors like ABF Sugar</w:t>
      </w:r>
      <w:r w:rsidR="00984587" w:rsidRPr="000F6889">
        <w:rPr>
          <w:rFonts w:asciiTheme="majorBidi" w:hAnsiTheme="majorBidi" w:cstheme="majorBidi"/>
        </w:rPr>
        <w:t xml:space="preserve"> (</w:t>
      </w:r>
      <w:r w:rsidR="00984587" w:rsidRPr="000F6889">
        <w:rPr>
          <w:rFonts w:asciiTheme="majorBidi" w:hAnsiTheme="majorBidi" w:cstheme="majorBidi"/>
          <w:color w:val="222222"/>
          <w:shd w:val="clear" w:color="auto" w:fill="FFFFFF"/>
        </w:rPr>
        <w:t xml:space="preserve">Aitken, 2020). </w:t>
      </w:r>
    </w:p>
    <w:p w14:paraId="5803D989" w14:textId="77777777" w:rsidR="00106DBE" w:rsidRPr="000F6889" w:rsidRDefault="00106DBE" w:rsidP="000F6889">
      <w:pPr>
        <w:pStyle w:val="Heading3"/>
        <w:spacing w:line="360" w:lineRule="auto"/>
        <w:jc w:val="both"/>
        <w:rPr>
          <w:rFonts w:asciiTheme="majorBidi" w:hAnsiTheme="majorBidi"/>
          <w:color w:val="auto"/>
          <w:sz w:val="24"/>
          <w:szCs w:val="24"/>
        </w:rPr>
      </w:pPr>
      <w:r w:rsidRPr="000F6889">
        <w:rPr>
          <w:rStyle w:val="Strong"/>
          <w:rFonts w:asciiTheme="majorBidi" w:hAnsiTheme="majorBidi"/>
          <w:b/>
          <w:bCs/>
          <w:color w:val="auto"/>
          <w:sz w:val="24"/>
          <w:szCs w:val="24"/>
        </w:rPr>
        <w:t>Micro Analysis (Internal Environment)</w:t>
      </w:r>
    </w:p>
    <w:p w14:paraId="26BD3509" w14:textId="77777777" w:rsidR="00106DBE" w:rsidRPr="000F6889" w:rsidRDefault="00106DBE" w:rsidP="000F6889">
      <w:pPr>
        <w:pStyle w:val="Heading4"/>
        <w:spacing w:line="360" w:lineRule="auto"/>
        <w:jc w:val="both"/>
        <w:rPr>
          <w:rFonts w:asciiTheme="majorBidi" w:hAnsiTheme="majorBidi"/>
          <w:i w:val="0"/>
          <w:iCs w:val="0"/>
          <w:color w:val="auto"/>
          <w:sz w:val="24"/>
          <w:szCs w:val="24"/>
        </w:rPr>
      </w:pPr>
      <w:r w:rsidRPr="000F6889">
        <w:rPr>
          <w:rStyle w:val="Strong"/>
          <w:rFonts w:asciiTheme="majorBidi" w:hAnsiTheme="majorBidi"/>
          <w:b/>
          <w:bCs/>
          <w:i w:val="0"/>
          <w:iCs w:val="0"/>
          <w:color w:val="auto"/>
          <w:sz w:val="24"/>
          <w:szCs w:val="24"/>
        </w:rPr>
        <w:t>ABF Sugar's Competitive Position:</w:t>
      </w:r>
    </w:p>
    <w:p w14:paraId="43A8730F" w14:textId="5F213B18" w:rsidR="00106DBE" w:rsidRPr="000F6889" w:rsidRDefault="00106DBE" w:rsidP="000F6889">
      <w:pPr>
        <w:pStyle w:val="NormalWeb"/>
        <w:spacing w:line="360" w:lineRule="auto"/>
        <w:jc w:val="both"/>
        <w:rPr>
          <w:rFonts w:asciiTheme="majorBidi" w:hAnsiTheme="majorBidi" w:cstheme="majorBidi"/>
        </w:rPr>
      </w:pPr>
      <w:r w:rsidRPr="000F6889">
        <w:rPr>
          <w:rFonts w:asciiTheme="majorBidi" w:hAnsiTheme="majorBidi" w:cstheme="majorBidi"/>
        </w:rPr>
        <w:t>ABF Sugar operates in a tightening political and legal environment, facing both broader market uncertainty and shifting consumer expectations</w:t>
      </w:r>
      <w:r w:rsidR="00984587" w:rsidRPr="000F6889">
        <w:rPr>
          <w:rFonts w:asciiTheme="majorBidi" w:hAnsiTheme="majorBidi" w:cstheme="majorBidi"/>
        </w:rPr>
        <w:t xml:space="preserve"> (</w:t>
      </w:r>
      <w:r w:rsidR="00984587" w:rsidRPr="000F6889">
        <w:rPr>
          <w:rFonts w:asciiTheme="majorBidi" w:hAnsiTheme="majorBidi" w:cstheme="majorBidi"/>
          <w:color w:val="222222"/>
          <w:shd w:val="clear" w:color="auto" w:fill="FFFFFF"/>
        </w:rPr>
        <w:t>Brunori, 2020).</w:t>
      </w:r>
      <w:r w:rsidRPr="000F6889">
        <w:rPr>
          <w:rFonts w:asciiTheme="majorBidi" w:hAnsiTheme="majorBidi" w:cstheme="majorBidi"/>
        </w:rPr>
        <w:t xml:space="preserve"> Its economic resilience is hampered by exposure to commodity volatility, while technological and sustainability lags place it at a competitive disadvantage versus firms like Tate &amp; Lyle and Südzucker (World Economic Forum, 2022). To remain market-relevant, ABF Sugar must </w:t>
      </w:r>
      <w:r w:rsidRPr="000F6889">
        <w:rPr>
          <w:rFonts w:asciiTheme="majorBidi" w:hAnsiTheme="majorBidi" w:cstheme="majorBidi"/>
        </w:rPr>
        <w:lastRenderedPageBreak/>
        <w:t>pivot its narrative from being a raw commodity producer to a responsible, health-aware brand—backed by transparency, innovation, and sustainability.</w:t>
      </w:r>
    </w:p>
    <w:p w14:paraId="7C3A08C1" w14:textId="77777777" w:rsidR="00C3264E" w:rsidRPr="000F6889" w:rsidRDefault="006F4367" w:rsidP="000F6889">
      <w:pPr>
        <w:pStyle w:val="Heading2"/>
        <w:spacing w:after="240" w:line="360" w:lineRule="auto"/>
        <w:jc w:val="both"/>
        <w:rPr>
          <w:rFonts w:asciiTheme="majorBidi" w:hAnsiTheme="majorBidi"/>
          <w:color w:val="auto"/>
          <w:sz w:val="24"/>
          <w:szCs w:val="24"/>
        </w:rPr>
      </w:pPr>
      <w:r w:rsidRPr="000F6889">
        <w:rPr>
          <w:rFonts w:asciiTheme="majorBidi" w:hAnsiTheme="majorBidi"/>
          <w:color w:val="auto"/>
          <w:sz w:val="24"/>
          <w:szCs w:val="24"/>
        </w:rPr>
        <w:t>2.3 Target Markets and Segmentation Strategy</w:t>
      </w:r>
    </w:p>
    <w:p w14:paraId="596ED06B"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Segmentation, targeting, and positioning (STP) remain central to modern marketing strategy, enabling firms to allocate resources efficiently and create tailored value propositions (NielsenIQ, 2021). The STP framework divides heterogeneous markets into segments, selects those with the highest strategic potential, and positions offerings accordingly (Kotler et al., 2021). In the sugar industry, where consumer perceptions are rapidly shifting towards health and sustainability, the ability to identify and target the right segments is critical Food and Drink Federation, 2021).</w:t>
      </w:r>
    </w:p>
    <w:p w14:paraId="0B3E7FE7" w14:textId="58C03581"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primarily serves industrial buyers, such as food and beverage manufacturers, but consumer demand indirectly shapes its business-to-business (B2B) sales. A 2021 Deloitte survey revealed that 43% of UK consumers actively avoid products with high sugar content, and 61% seek healthier alternatives (Deloitte, 2021). This consumer behaviour cascades into manufacturer demand, forcing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Sugar’s clients to reformulate products and source alternative sweeteners. Competitors such as Tate &amp; Lyle have capitalised on this by repositioning their portfolio towards “health and wellness,” offering stevia-based and zero-calorie sweeteners, while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continues to rely heavily on traditional sugar products (Tate &amp; Lyle, 2021).</w:t>
      </w:r>
    </w:p>
    <w:p w14:paraId="77BD6B06"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Segmentation can be analysed across multiple bases. Geographic segmentation is important, as sugar demand remains strong in emerging markets like Africa and Asia due to rising populations and income levels (OECD-FAO, 2023). Conversely, European and UK markets are contracting due to regulatory interventions and health campaigns. Demographic segmentation also plays a role, with younger, health-conscious consumers driving demand for alternatives, while older demographics in some regions remain more attached to traditional sugar use (Mintel, 2022). Psychographic segmentation highlights consumers’ growing concern with sustainability; YouGov (2022) reports that 54% of UK consumers consider environmental credentials when choosing food brands (YouGov, 2022).</w:t>
      </w:r>
    </w:p>
    <w:p w14:paraId="38BFC888" w14:textId="4D38D92C"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Targeting must therefore reflect both opportunities and risks. For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maintaining bulk commodity supply to industrial buyers remains essential, but growth opportunities lie in targeting manufacturers developing low-sugar or reformulated products</w:t>
      </w:r>
      <w:r w:rsidR="00984587" w:rsidRPr="000F6889">
        <w:rPr>
          <w:rFonts w:asciiTheme="majorBidi" w:hAnsiTheme="majorBidi" w:cstheme="majorBidi"/>
          <w:sz w:val="24"/>
          <w:szCs w:val="24"/>
        </w:rPr>
        <w:t xml:space="preserve"> (</w:t>
      </w:r>
      <w:r w:rsidR="00984587" w:rsidRPr="000F6889">
        <w:rPr>
          <w:rFonts w:asciiTheme="majorBidi" w:hAnsiTheme="majorBidi" w:cstheme="majorBidi"/>
          <w:color w:val="222222"/>
          <w:sz w:val="24"/>
          <w:szCs w:val="24"/>
          <w:shd w:val="clear" w:color="auto" w:fill="FFFFFF"/>
        </w:rPr>
        <w:t xml:space="preserve">Wilkinson, 2024). </w:t>
      </w:r>
      <w:r w:rsidRPr="000F6889">
        <w:rPr>
          <w:rFonts w:asciiTheme="majorBidi" w:hAnsiTheme="majorBidi" w:cstheme="majorBidi"/>
          <w:sz w:val="24"/>
          <w:szCs w:val="24"/>
        </w:rPr>
        <w:t xml:space="preserve"> Positioning, in turn, should stress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Sugar’s sustainability efforts and ability to support healthier product development. Südzucker (2022), for example, explicitly markets its sustainability credentials, giving it a competitive advantage in the European B2B market. Without a clearer positioning strategy around health and sustainability, 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 risks being perceived solely as a legacy commodity supplier (Euromonitor International, 2022).</w:t>
      </w:r>
    </w:p>
    <w:p w14:paraId="307CCCEB" w14:textId="522247D2"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762906" w:rsidRPr="000F6889">
        <w:rPr>
          <w:rFonts w:asciiTheme="majorBidi" w:hAnsiTheme="majorBidi" w:cstheme="majorBidi"/>
          <w:sz w:val="24"/>
          <w:szCs w:val="24"/>
        </w:rPr>
        <w:t>F</w:t>
      </w:r>
      <w:r w:rsidRPr="000F6889">
        <w:rPr>
          <w:rFonts w:asciiTheme="majorBidi" w:hAnsiTheme="majorBidi" w:cstheme="majorBidi"/>
          <w:sz w:val="24"/>
          <w:szCs w:val="24"/>
        </w:rPr>
        <w:t xml:space="preserve"> Sugar’s segmentation and targeting remain underdeveloped relative to competitors</w:t>
      </w:r>
      <w:r w:rsidR="00984587" w:rsidRPr="000F6889">
        <w:rPr>
          <w:rFonts w:asciiTheme="majorBidi" w:hAnsiTheme="majorBidi" w:cstheme="majorBidi"/>
          <w:sz w:val="24"/>
          <w:szCs w:val="24"/>
        </w:rPr>
        <w:t xml:space="preserve"> (</w:t>
      </w:r>
      <w:r w:rsidR="00984587" w:rsidRPr="000F6889">
        <w:rPr>
          <w:rFonts w:asciiTheme="majorBidi" w:hAnsiTheme="majorBidi" w:cstheme="majorBidi"/>
          <w:color w:val="222222"/>
          <w:sz w:val="24"/>
          <w:szCs w:val="24"/>
          <w:shd w:val="clear" w:color="auto" w:fill="FFFFFF"/>
        </w:rPr>
        <w:t xml:space="preserve">Sakib, 2025). </w:t>
      </w:r>
      <w:r w:rsidRPr="000F6889">
        <w:rPr>
          <w:rFonts w:asciiTheme="majorBidi" w:hAnsiTheme="majorBidi" w:cstheme="majorBidi"/>
          <w:sz w:val="24"/>
          <w:szCs w:val="24"/>
        </w:rPr>
        <w:t xml:space="preserve"> To build legitimacy and growth, the company must identify health-conscious and sustainability-oriented market segments, target industrial buyers aligned with these values, and reposition itself as a responsible enabler of healthier consumption.</w:t>
      </w:r>
    </w:p>
    <w:p w14:paraId="3ECE2019" w14:textId="77777777" w:rsidR="00C3264E" w:rsidRPr="000F6889" w:rsidRDefault="006F4367" w:rsidP="000F6889">
      <w:pPr>
        <w:pStyle w:val="Heading2"/>
        <w:spacing w:after="240" w:line="360" w:lineRule="auto"/>
        <w:jc w:val="both"/>
        <w:rPr>
          <w:rFonts w:asciiTheme="majorBidi" w:hAnsiTheme="majorBidi"/>
          <w:color w:val="auto"/>
          <w:sz w:val="24"/>
          <w:szCs w:val="24"/>
        </w:rPr>
      </w:pPr>
      <w:r w:rsidRPr="000F6889">
        <w:rPr>
          <w:rFonts w:asciiTheme="majorBidi" w:hAnsiTheme="majorBidi"/>
          <w:color w:val="auto"/>
          <w:sz w:val="24"/>
          <w:szCs w:val="24"/>
        </w:rPr>
        <w:t xml:space="preserve">2.4 Selection of Media and Communication Channels </w:t>
      </w:r>
    </w:p>
    <w:p w14:paraId="04B238ED" w14:textId="77777777" w:rsidR="00C3264E" w:rsidRPr="000F6889" w:rsidRDefault="006F4367" w:rsidP="000F6889">
      <w:pPr>
        <w:spacing w:after="240" w:line="360" w:lineRule="auto"/>
        <w:jc w:val="both"/>
        <w:rPr>
          <w:rFonts w:asciiTheme="majorBidi" w:hAnsiTheme="majorBidi" w:cstheme="majorBidi"/>
          <w:sz w:val="24"/>
          <w:szCs w:val="24"/>
        </w:rPr>
      </w:pPr>
      <w:r w:rsidRPr="000F6889">
        <w:rPr>
          <w:rFonts w:asciiTheme="majorBidi" w:hAnsiTheme="majorBidi" w:cstheme="majorBidi"/>
          <w:sz w:val="24"/>
          <w:szCs w:val="24"/>
        </w:rPr>
        <w:t>The effectiveness of marketing depends not only on segmentation and positioning but also on the choice of communication channels. Media selection has evolved rapidly with the rise of digitalisation. PwC (2022) highlights that firms integrating omnichannel communication strategies outperform peers in consumer engagement and sales growth. For sugar companies under intense scrutiny, communication channels must balance transparency, credibility, and reach (PwC, 2022).</w:t>
      </w:r>
    </w:p>
    <w:p w14:paraId="443E8768" w14:textId="27156003"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traditionally relied on trade relationships and corporate reporting to communicate with stakeholders. However, such limited communication undermines brand differentiation in a competitive and health-conscious environment. Competitors like Tate &amp; Lyle have embraced digital platforms, promoting health-related innovation and sustainability initiatives through social media campaigns and targeted digital advertising (Tate &amp; Lyle, 2021). Similarly, Südzucker (2022) leverages interactive sustainability reports and stakeholder engagement forums online, positioning itself as transparent and accountable.</w:t>
      </w:r>
    </w:p>
    <w:p w14:paraId="2DDD7A2C" w14:textId="7A112249"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Contemporary marketing theory emphasises integrated marketing communications (IMC), where consistent messaging is delivered across paid, owned, and earned media channels (Kotler et al., 2021). For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an IMC strategy should integrate corporate sustainability websites (owned media), partnerships with health organisations (earned media), and targeted digital campaigns (paid media). This would enable the firm to affect several stakeholder groups at a time.</w:t>
      </w:r>
    </w:p>
    <w:p w14:paraId="24A4B836" w14:textId="2111C409"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Social media channels such as LinkedIn, Twitter (X), and Instagram offer opportunities to demonstrate sustainability initiatives and health partnerships, but they also expose firms to criticism</w:t>
      </w:r>
      <w:r w:rsidR="005B67D4" w:rsidRPr="000F6889">
        <w:rPr>
          <w:rFonts w:asciiTheme="majorBidi" w:hAnsiTheme="majorBidi" w:cstheme="majorBidi"/>
          <w:sz w:val="24"/>
          <w:szCs w:val="24"/>
        </w:rPr>
        <w:t xml:space="preserve"> (</w:t>
      </w:r>
      <w:r w:rsidR="005B67D4" w:rsidRPr="000F6889">
        <w:rPr>
          <w:rFonts w:asciiTheme="majorBidi" w:hAnsiTheme="majorBidi" w:cstheme="majorBidi"/>
          <w:color w:val="222222"/>
          <w:sz w:val="24"/>
          <w:szCs w:val="24"/>
          <w:shd w:val="clear" w:color="auto" w:fill="FFFFFF"/>
        </w:rPr>
        <w:t>Farsi, 2021).</w:t>
      </w:r>
      <w:r w:rsidRPr="000F6889">
        <w:rPr>
          <w:rFonts w:asciiTheme="majorBidi" w:hAnsiTheme="majorBidi" w:cstheme="majorBidi"/>
          <w:sz w:val="24"/>
          <w:szCs w:val="24"/>
        </w:rPr>
        <w:t xml:space="preserve"> Research by Smith and Brown (2021) found that food companies engaging transparently on social media built greater trust, even when addressing controversial issues.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been relatively cautious in its use of digital media, which reduces its ability to shape narratives in real time.</w:t>
      </w:r>
    </w:p>
    <w:p w14:paraId="5E3BBB5E" w14:textId="3E895DEE"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Communication should also leverage B2B-focused channels. Trade fairs, industry webinars, and direct digital engagement with food manufacturers remain vital for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as its largest revenue comes from industrial customers</w:t>
      </w:r>
      <w:r w:rsidR="005B67D4" w:rsidRPr="000F6889">
        <w:rPr>
          <w:rFonts w:asciiTheme="majorBidi" w:hAnsiTheme="majorBidi" w:cstheme="majorBidi"/>
          <w:sz w:val="24"/>
          <w:szCs w:val="24"/>
        </w:rPr>
        <w:t xml:space="preserve"> (</w:t>
      </w:r>
      <w:r w:rsidR="005B67D4" w:rsidRPr="000F6889">
        <w:rPr>
          <w:rFonts w:asciiTheme="majorBidi" w:hAnsiTheme="majorBidi" w:cstheme="majorBidi"/>
          <w:color w:val="222222"/>
          <w:sz w:val="24"/>
          <w:szCs w:val="24"/>
          <w:shd w:val="clear" w:color="auto" w:fill="FFFFFF"/>
        </w:rPr>
        <w:t>Bandy, 2020).</w:t>
      </w:r>
      <w:r w:rsidRPr="000F6889">
        <w:rPr>
          <w:rFonts w:asciiTheme="majorBidi" w:hAnsiTheme="majorBidi" w:cstheme="majorBidi"/>
          <w:sz w:val="24"/>
          <w:szCs w:val="24"/>
        </w:rPr>
        <w:t xml:space="preserve"> However, messaging must now highlight AB</w:t>
      </w:r>
      <w:r w:rsidR="0014259A" w:rsidRPr="000F6889">
        <w:rPr>
          <w:rFonts w:asciiTheme="majorBidi" w:hAnsiTheme="majorBidi" w:cstheme="majorBidi"/>
          <w:sz w:val="24"/>
          <w:szCs w:val="24"/>
        </w:rPr>
        <w:t>F</w:t>
      </w:r>
      <w:r w:rsidRPr="000F6889">
        <w:rPr>
          <w:rFonts w:asciiTheme="majorBidi" w:hAnsiTheme="majorBidi" w:cstheme="majorBidi"/>
          <w:sz w:val="24"/>
          <w:szCs w:val="24"/>
        </w:rPr>
        <w:t xml:space="preserve"> Sugar’s contribution to reformulation and sustainability rather than only its production capacity.</w:t>
      </w:r>
    </w:p>
    <w:p w14:paraId="348FF77D" w14:textId="68F92879"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Sugar’s current media use is too narrow and corporate-focused. By adopting a multi-channel IMC strategy that combines digital consumer engagement with transparent sustainability communication,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can reposition itself competitively. Failure to modernise its communication strategy risks ceding reputational ground to competitors better aligned with societal expectations (McKinsey &amp; Company, 2020).</w:t>
      </w:r>
    </w:p>
    <w:p w14:paraId="1216574C" w14:textId="54A150AB"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2.5 Measurement of Success (KPIs and Marketing Metrics)</w:t>
      </w:r>
    </w:p>
    <w:p w14:paraId="7E1FACC3" w14:textId="50B137A8"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effectiveness of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Sugar’s marketing activities can only be established through well-designed key performance indicators (KPIs) and marketing metrics</w:t>
      </w:r>
      <w:r w:rsidR="005B67D4" w:rsidRPr="000F6889">
        <w:rPr>
          <w:rFonts w:asciiTheme="majorBidi" w:hAnsiTheme="majorBidi" w:cstheme="majorBidi"/>
          <w:sz w:val="24"/>
          <w:szCs w:val="24"/>
        </w:rPr>
        <w:t xml:space="preserve"> (</w:t>
      </w:r>
      <w:r w:rsidR="005B67D4" w:rsidRPr="000F6889">
        <w:rPr>
          <w:rFonts w:asciiTheme="majorBidi" w:hAnsiTheme="majorBidi" w:cstheme="majorBidi"/>
          <w:color w:val="222222"/>
          <w:sz w:val="24"/>
          <w:szCs w:val="24"/>
          <w:shd w:val="clear" w:color="auto" w:fill="FFFFFF"/>
        </w:rPr>
        <w:t xml:space="preserve">Zoboli, 2020). </w:t>
      </w:r>
      <w:r w:rsidRPr="000F6889">
        <w:rPr>
          <w:rFonts w:asciiTheme="majorBidi" w:hAnsiTheme="majorBidi" w:cstheme="majorBidi"/>
          <w:sz w:val="24"/>
          <w:szCs w:val="24"/>
        </w:rPr>
        <w:t xml:space="preserve"> According to Kaplan and Norton’s balanced scorecard approach, firms must measure not only financial performance but also customer, internal process, and innovation outcomes (Kaplan &amp; Norton, 2020). For sugar producers, this means measuring both short-term sales and long-term legitimacy (Harvard Business Review, 2021).</w:t>
      </w:r>
    </w:p>
    <w:p w14:paraId="2033B0D9" w14:textId="49774580"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b/>
          <w:bCs/>
          <w:sz w:val="24"/>
          <w:szCs w:val="24"/>
        </w:rPr>
        <w:lastRenderedPageBreak/>
        <w:t>Traditional financial metrics</w:t>
      </w:r>
      <w:r w:rsidRPr="000F6889">
        <w:rPr>
          <w:rFonts w:asciiTheme="majorBidi" w:hAnsiTheme="majorBidi" w:cstheme="majorBidi"/>
          <w:sz w:val="24"/>
          <w:szCs w:val="24"/>
        </w:rPr>
        <w:t>—such as revenue growth, market share, and cost efficiency—remain important but insufficient in the current environment. Deloitte (2021) found that consumer goods firms that integrated sustainability and health measures into KPIs outperformed peers in long-term brand equity. Therefore,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must expand beyond commodity-driven financial indicators.</w:t>
      </w:r>
    </w:p>
    <w:p w14:paraId="7A143FFB" w14:textId="0DD3CC2D"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b/>
          <w:bCs/>
          <w:sz w:val="24"/>
          <w:szCs w:val="24"/>
        </w:rPr>
        <w:t>Customer-oriented metrics</w:t>
      </w:r>
      <w:r w:rsidRPr="000F6889">
        <w:rPr>
          <w:rFonts w:asciiTheme="majorBidi" w:hAnsiTheme="majorBidi" w:cstheme="majorBidi"/>
          <w:sz w:val="24"/>
          <w:szCs w:val="24"/>
        </w:rPr>
        <w:t xml:space="preserve"> are critical. These include consumer perception of brand responsibility, customer satisfaction, and net promoter scores (NPS). YouGov (2022) shows that consumer trust in sugar brands has declined in the UK, suggesting AB</w:t>
      </w:r>
      <w:r w:rsidR="0014259A" w:rsidRPr="000F6889">
        <w:rPr>
          <w:rFonts w:asciiTheme="majorBidi" w:hAnsiTheme="majorBidi" w:cstheme="majorBidi"/>
          <w:sz w:val="24"/>
          <w:szCs w:val="24"/>
        </w:rPr>
        <w:t xml:space="preserve">F </w:t>
      </w:r>
      <w:r w:rsidRPr="000F6889">
        <w:rPr>
          <w:rFonts w:asciiTheme="majorBidi" w:hAnsiTheme="majorBidi" w:cstheme="majorBidi"/>
          <w:sz w:val="24"/>
          <w:szCs w:val="24"/>
        </w:rPr>
        <w:t>Sugar should track trust indices and health perception metrics.</w:t>
      </w:r>
    </w:p>
    <w:p w14:paraId="75E78780" w14:textId="7FB20EFF"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b/>
          <w:bCs/>
          <w:sz w:val="24"/>
          <w:szCs w:val="24"/>
        </w:rPr>
        <w:t>Sustainability and compliance KPIs</w:t>
      </w:r>
      <w:r w:rsidRPr="000F6889">
        <w:rPr>
          <w:rFonts w:asciiTheme="majorBidi" w:hAnsiTheme="majorBidi" w:cstheme="majorBidi"/>
          <w:sz w:val="24"/>
          <w:szCs w:val="24"/>
        </w:rPr>
        <w:t xml:space="preserve"> are also vital. Metrics such as carbon footprint reduction, proportion of sustainably sourced sugarcane, and progress against the UN Sustainable Development Goals (SDGs) are increasingly used by competitors like Südzucker (2022). Failure to disclose such data leaves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disadvantaged in B2B partnerships, where buyers increasingly demand sustainability credentials.</w:t>
      </w:r>
    </w:p>
    <w:p w14:paraId="4E463B80" w14:textId="3FA1CFAE"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b/>
          <w:bCs/>
          <w:sz w:val="24"/>
          <w:szCs w:val="24"/>
        </w:rPr>
        <w:t>Digital engagement metrics</w:t>
      </w:r>
      <w:r w:rsidRPr="000F6889">
        <w:rPr>
          <w:rFonts w:asciiTheme="majorBidi" w:hAnsiTheme="majorBidi" w:cstheme="majorBidi"/>
          <w:sz w:val="24"/>
          <w:szCs w:val="24"/>
        </w:rPr>
        <w:t>—such as social media reach, click-through rates, and engagement with transparency campaigns—are particularly relevant. PwC (2022) found that food companies using digital analytics in marketing achieved 5–10% higher customer retention.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lags in this area, undermining its ability to evaluate consumer-facing campaigns</w:t>
      </w:r>
      <w:r w:rsidR="00983E2B" w:rsidRPr="000F6889">
        <w:rPr>
          <w:rFonts w:asciiTheme="majorBidi" w:hAnsiTheme="majorBidi" w:cstheme="majorBidi"/>
          <w:sz w:val="24"/>
          <w:szCs w:val="24"/>
        </w:rPr>
        <w:t xml:space="preserve"> (</w:t>
      </w:r>
      <w:r w:rsidR="00983E2B" w:rsidRPr="000F6889">
        <w:rPr>
          <w:rFonts w:asciiTheme="majorBidi" w:hAnsiTheme="majorBidi" w:cstheme="majorBidi"/>
          <w:color w:val="222222"/>
          <w:sz w:val="24"/>
          <w:szCs w:val="24"/>
          <w:shd w:val="clear" w:color="auto" w:fill="FFFFFF"/>
        </w:rPr>
        <w:t xml:space="preserve">Pollans, 2021). </w:t>
      </w:r>
    </w:p>
    <w:p w14:paraId="77657D08" w14:textId="18A82F50"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must adopt a balanced set of KPIs that capture financial, health, sustainability, and digital dimensions</w:t>
      </w:r>
      <w:r w:rsidR="000F6889" w:rsidRPr="000F6889">
        <w:rPr>
          <w:rFonts w:asciiTheme="majorBidi" w:hAnsiTheme="majorBidi" w:cstheme="majorBidi"/>
          <w:sz w:val="24"/>
          <w:szCs w:val="24"/>
        </w:rPr>
        <w:t xml:space="preserve"> (</w:t>
      </w:r>
      <w:r w:rsidR="000F6889" w:rsidRPr="000F6889">
        <w:rPr>
          <w:rFonts w:asciiTheme="majorBidi" w:hAnsiTheme="majorBidi" w:cstheme="majorBidi"/>
          <w:color w:val="222222"/>
          <w:sz w:val="24"/>
          <w:szCs w:val="24"/>
          <w:shd w:val="clear" w:color="auto" w:fill="FFFFFF"/>
        </w:rPr>
        <w:t>Wambua, 2023).</w:t>
      </w:r>
      <w:r w:rsidRPr="000F6889">
        <w:rPr>
          <w:rFonts w:asciiTheme="majorBidi" w:hAnsiTheme="majorBidi" w:cstheme="majorBidi"/>
          <w:sz w:val="24"/>
          <w:szCs w:val="24"/>
        </w:rPr>
        <w:t xml:space="preserve"> Without robust measurement, its marketing strategies risk remaining descriptive and unaccountable, as noted in previous feedback (EY, 2022).</w:t>
      </w:r>
    </w:p>
    <w:p w14:paraId="0B7A8C74" w14:textId="77777777" w:rsidR="00C3264E" w:rsidRPr="000F6889" w:rsidRDefault="006F4367" w:rsidP="000F6889">
      <w:pPr>
        <w:pStyle w:val="Heading1"/>
        <w:spacing w:after="240" w:line="360" w:lineRule="auto"/>
        <w:jc w:val="both"/>
        <w:rPr>
          <w:rFonts w:asciiTheme="majorBidi" w:hAnsiTheme="majorBidi"/>
          <w:color w:val="auto"/>
          <w:sz w:val="24"/>
          <w:szCs w:val="24"/>
        </w:rPr>
      </w:pPr>
      <w:r w:rsidRPr="000F6889">
        <w:rPr>
          <w:rFonts w:asciiTheme="majorBidi" w:hAnsiTheme="majorBidi"/>
          <w:color w:val="auto"/>
          <w:sz w:val="24"/>
          <w:szCs w:val="24"/>
        </w:rPr>
        <w:t xml:space="preserve">3.0 Conclusions </w:t>
      </w:r>
    </w:p>
    <w:p w14:paraId="776AEB05" w14:textId="1721A75A"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Marketing strategy of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has serious structural weakness when compared to industry counterparts. The discussion in the preceding sections shows that there are various weaknesses. First of all, its segmentation and positioning strategy is not yet fully </w:t>
      </w:r>
      <w:r w:rsidRPr="000F6889">
        <w:rPr>
          <w:rFonts w:asciiTheme="majorBidi" w:hAnsiTheme="majorBidi" w:cstheme="majorBidi"/>
          <w:sz w:val="24"/>
          <w:szCs w:val="24"/>
        </w:rPr>
        <w:lastRenderedPageBreak/>
        <w:t>developed; unlike Tate and Lyle, which has already embarked on repositioning itself as a health and nutrition tool,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continues to sell bulk commodities. Second, competitors actively engage digital platforms to share sustainability and innovativeness, and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too dependent on the traditional corporate reporting, so it is not able to shape any narrative.</w:t>
      </w:r>
    </w:p>
    <w:p w14:paraId="5BC71773" w14:textId="011DECB5"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These inadequacies are compounded by regulatory and consumer pressures. Governments are imposing sugar taxation and labelling and consumers are demanding health-compatible and environmentally responsible products (WHO, 2021; OECD-FAO, 2023). The marketing that is currently being used by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does not critically respond to these external forces, which leaves the company vulnerable in terms of its image. Moreover, sustainability communication is also scattered in contrast to Sudzucker that reports systematically, against the carbon, water, and biodiversity indicators.</w:t>
      </w:r>
    </w:p>
    <w:p w14:paraId="7FDB81B2" w14:textId="740E9A64"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The generalisation of the results points to the fact that the marketing strategy adopted by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is too descriptive, compliance-based, and reactive. It lacks adequacy in integrating the concepts of change management, including the aspect of Kotter (2009) who believes in proactive visioning and involvement of stakeholders. Neither does it show sufficient outcome measurement, which will weaken accountability.</w:t>
      </w:r>
    </w:p>
    <w:p w14:paraId="230B9196" w14:textId="6F45E8D6"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Finally,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will have to make the shift of its marketing role, which has been supported by the commodity, to be an engine of legitimacy, innovation, and growth. This demands end-to-end incorporation of sustainability, digital interaction, and consumer-based metrics. In the absence of these changes, the company is at risk of further loss of competitiveness and legitimacy in a fast-evolving global sugar market.</w:t>
      </w:r>
    </w:p>
    <w:p w14:paraId="0DDCEE27" w14:textId="77777777" w:rsidR="00C3264E" w:rsidRPr="000F6889" w:rsidRDefault="006F4367" w:rsidP="000F6889">
      <w:pPr>
        <w:pStyle w:val="Heading1"/>
        <w:spacing w:after="240" w:line="360" w:lineRule="auto"/>
        <w:jc w:val="both"/>
        <w:rPr>
          <w:rFonts w:asciiTheme="majorBidi" w:hAnsiTheme="majorBidi"/>
          <w:color w:val="auto"/>
          <w:sz w:val="24"/>
          <w:szCs w:val="24"/>
        </w:rPr>
      </w:pPr>
      <w:r w:rsidRPr="000F6889">
        <w:rPr>
          <w:rFonts w:asciiTheme="majorBidi" w:hAnsiTheme="majorBidi"/>
          <w:color w:val="auto"/>
          <w:sz w:val="24"/>
          <w:szCs w:val="24"/>
        </w:rPr>
        <w:t xml:space="preserve">4.0 Recommendations </w:t>
      </w:r>
    </w:p>
    <w:p w14:paraId="6FA90CA8" w14:textId="68023E85"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Based on the analysis and conclusions, the following recommendations are proposed to enhance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Sugar’s marketing effectiveness:</w:t>
      </w:r>
    </w:p>
    <w:p w14:paraId="4357759A"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1. Strengthen Segmentation and Positioning</w:t>
      </w:r>
    </w:p>
    <w:p w14:paraId="0D47766E" w14:textId="392559FF"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should adopt a dual-market focus: (a) continue serving industrial buyers with efficient bulk sugar supply, and (b) target growth segments such as health-oriented manufacturers and sustainability-conscious consumers. Positioning must shift towards “responsible sugar production” aligned with health and sustainability imperatives. Competitors like Tate &amp; Lyle demonstrate the feasibility of this repositioning (Tate &amp; Lyle, 2021).</w:t>
      </w:r>
    </w:p>
    <w:p w14:paraId="09971981"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2. Expand Media and Communication Channels</w:t>
      </w:r>
    </w:p>
    <w:p w14:paraId="04BA1E8B"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An integrated marketing communications (IMC) strategy should be adopted. This includes:</w:t>
      </w:r>
    </w:p>
    <w:p w14:paraId="73326235" w14:textId="77777777" w:rsidR="00C3264E" w:rsidRPr="000F6889" w:rsidRDefault="006F4367" w:rsidP="000F6889">
      <w:pPr>
        <w:numPr>
          <w:ilvl w:val="0"/>
          <w:numId w:val="9"/>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Transparent sustainability storytelling via social media.</w:t>
      </w:r>
    </w:p>
    <w:p w14:paraId="6EEE6F6E" w14:textId="77777777" w:rsidR="00C3264E" w:rsidRPr="000F6889" w:rsidRDefault="006F4367" w:rsidP="000F6889">
      <w:pPr>
        <w:numPr>
          <w:ilvl w:val="0"/>
          <w:numId w:val="9"/>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Partnerships with NGOs and health organisations to build credibility.</w:t>
      </w:r>
    </w:p>
    <w:p w14:paraId="4C35C99E" w14:textId="68FA51C4" w:rsidR="00C3264E" w:rsidRPr="000F6889" w:rsidRDefault="006F4367" w:rsidP="000F6889">
      <w:pPr>
        <w:numPr>
          <w:ilvl w:val="0"/>
          <w:numId w:val="9"/>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Enhanced B2B engagement through digital trade platforms and webinars.</w:t>
      </w:r>
      <w:r w:rsidRPr="000F6889">
        <w:rPr>
          <w:rFonts w:asciiTheme="majorBidi" w:hAnsiTheme="majorBidi" w:cstheme="majorBidi"/>
          <w:sz w:val="24"/>
          <w:szCs w:val="24"/>
        </w:rPr>
        <w:br/>
        <w:t>This approach would modernise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Sugar’s limited communication methods and close reputational gaps.</w:t>
      </w:r>
    </w:p>
    <w:p w14:paraId="46849993"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3. Implement Balanced KPIs</w:t>
      </w:r>
    </w:p>
    <w:p w14:paraId="68047ACF"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Introduce a KPI framework combining:</w:t>
      </w:r>
    </w:p>
    <w:p w14:paraId="0EE8524F" w14:textId="77777777" w:rsidR="00C3264E" w:rsidRPr="000F6889" w:rsidRDefault="006F4367" w:rsidP="000F6889">
      <w:pPr>
        <w:numPr>
          <w:ilvl w:val="0"/>
          <w:numId w:val="10"/>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Financial (sales growth, ROI).</w:t>
      </w:r>
    </w:p>
    <w:p w14:paraId="01AA64E3" w14:textId="77777777" w:rsidR="00C3264E" w:rsidRPr="000F6889" w:rsidRDefault="006F4367" w:rsidP="000F6889">
      <w:pPr>
        <w:numPr>
          <w:ilvl w:val="0"/>
          <w:numId w:val="10"/>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Customer (trust indices, satisfaction).</w:t>
      </w:r>
    </w:p>
    <w:p w14:paraId="00ED172F" w14:textId="77777777" w:rsidR="00C3264E" w:rsidRPr="000F6889" w:rsidRDefault="006F4367" w:rsidP="000F6889">
      <w:pPr>
        <w:numPr>
          <w:ilvl w:val="0"/>
          <w:numId w:val="10"/>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Sustainability (carbon footprint, % of certified raw material).</w:t>
      </w:r>
    </w:p>
    <w:p w14:paraId="229F1AD4" w14:textId="77777777" w:rsidR="00C3264E" w:rsidRPr="000F6889" w:rsidRDefault="006F4367" w:rsidP="000F6889">
      <w:pPr>
        <w:numPr>
          <w:ilvl w:val="0"/>
          <w:numId w:val="10"/>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Digital (engagement rates, retention). Such balanced measurement aligns with global best practice and supports long-term accountability (Kaplan &amp; Norton, 2020; PwC, 2022).</w:t>
      </w:r>
    </w:p>
    <w:p w14:paraId="4CD4FCB1"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4. Leverage Digitalisation and Product Diversification</w:t>
      </w:r>
    </w:p>
    <w:p w14:paraId="21EEFC84"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Invest in digital analytics and AI for consumer insight and supply chain transparency. Explore product diversification into reduced-calorie or plant-based sweeteners, as already </w:t>
      </w:r>
      <w:r w:rsidRPr="000F6889">
        <w:rPr>
          <w:rFonts w:asciiTheme="majorBidi" w:hAnsiTheme="majorBidi" w:cstheme="majorBidi"/>
          <w:sz w:val="24"/>
          <w:szCs w:val="24"/>
        </w:rPr>
        <w:lastRenderedPageBreak/>
        <w:t>pursued by Tate &amp; Lyle and Südzucker (Südzucker, 2022). These strategies are forward-looking, aligning with both consumer health trends and sustainability pressures.</w:t>
      </w:r>
    </w:p>
    <w:p w14:paraId="685A0674" w14:textId="77777777" w:rsidR="00C3264E" w:rsidRPr="000F6889" w:rsidRDefault="006F4367" w:rsidP="000F6889">
      <w:pPr>
        <w:spacing w:line="360" w:lineRule="auto"/>
        <w:jc w:val="both"/>
        <w:rPr>
          <w:rFonts w:asciiTheme="majorBidi" w:hAnsiTheme="majorBidi" w:cstheme="majorBidi"/>
          <w:b/>
          <w:bCs/>
          <w:sz w:val="24"/>
          <w:szCs w:val="24"/>
        </w:rPr>
      </w:pPr>
      <w:r w:rsidRPr="000F6889">
        <w:rPr>
          <w:rFonts w:asciiTheme="majorBidi" w:hAnsiTheme="majorBidi" w:cstheme="majorBidi"/>
          <w:b/>
          <w:bCs/>
          <w:sz w:val="24"/>
          <w:szCs w:val="24"/>
        </w:rPr>
        <w:t>5. Ensure Feasibility and Resource Alignment</w:t>
      </w:r>
    </w:p>
    <w:p w14:paraId="60B67A50" w14:textId="77777777"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Implementation must consider financial and operational constraints. Prioritisation should begin with low-cost, high-impact actions—such as digital communication campaigns—before scaling into capital-intensive product diversification. This phased approach balances ambition with feasibility.</w:t>
      </w:r>
    </w:p>
    <w:p w14:paraId="537F37A9" w14:textId="661FCD01" w:rsidR="00C3264E" w:rsidRPr="000F6889" w:rsidRDefault="006F4367" w:rsidP="000F6889">
      <w:p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In summary, AB</w:t>
      </w:r>
      <w:r w:rsidR="00E40840" w:rsidRPr="000F6889">
        <w:rPr>
          <w:rFonts w:asciiTheme="majorBidi" w:hAnsiTheme="majorBidi" w:cstheme="majorBidi"/>
          <w:sz w:val="24"/>
          <w:szCs w:val="24"/>
        </w:rPr>
        <w:t>F</w:t>
      </w:r>
      <w:r w:rsidRPr="000F6889">
        <w:rPr>
          <w:rFonts w:asciiTheme="majorBidi" w:hAnsiTheme="majorBidi" w:cstheme="majorBidi"/>
          <w:sz w:val="24"/>
          <w:szCs w:val="24"/>
        </w:rPr>
        <w:t xml:space="preserve"> Sugar must transform its marketing from descriptive compliance to strategic differentiation. By embedding sustainability, digital innovation, and robust KPIs, the company can reposition itself as a credible, forward-looking leader in the global sugar industry.</w:t>
      </w:r>
    </w:p>
    <w:p w14:paraId="52873E1D" w14:textId="77777777" w:rsidR="00C3264E" w:rsidRPr="000F6889" w:rsidRDefault="00C3264E" w:rsidP="000F6889">
      <w:pPr>
        <w:spacing w:line="360" w:lineRule="auto"/>
        <w:jc w:val="both"/>
        <w:rPr>
          <w:rFonts w:asciiTheme="majorBidi" w:hAnsiTheme="majorBidi" w:cstheme="majorBidi"/>
          <w:sz w:val="24"/>
          <w:szCs w:val="24"/>
        </w:rPr>
      </w:pPr>
    </w:p>
    <w:p w14:paraId="2966B1B5" w14:textId="77777777" w:rsidR="00C3264E" w:rsidRPr="000F6889" w:rsidRDefault="00C3264E" w:rsidP="000F6889">
      <w:pPr>
        <w:spacing w:line="360" w:lineRule="auto"/>
        <w:jc w:val="both"/>
        <w:rPr>
          <w:rFonts w:asciiTheme="majorBidi" w:hAnsiTheme="majorBidi" w:cstheme="majorBidi"/>
          <w:sz w:val="24"/>
          <w:szCs w:val="24"/>
        </w:rPr>
      </w:pPr>
    </w:p>
    <w:p w14:paraId="63BC380E" w14:textId="77777777" w:rsidR="00C3264E" w:rsidRPr="000F6889" w:rsidRDefault="00C3264E" w:rsidP="000F6889">
      <w:pPr>
        <w:spacing w:line="360" w:lineRule="auto"/>
        <w:jc w:val="both"/>
        <w:rPr>
          <w:rFonts w:asciiTheme="majorBidi" w:hAnsiTheme="majorBidi" w:cstheme="majorBidi"/>
          <w:sz w:val="24"/>
          <w:szCs w:val="24"/>
        </w:rPr>
      </w:pPr>
    </w:p>
    <w:p w14:paraId="46BF5FFB" w14:textId="77777777" w:rsidR="00C3264E" w:rsidRPr="000F6889" w:rsidRDefault="00C3264E" w:rsidP="000F6889">
      <w:pPr>
        <w:spacing w:line="360" w:lineRule="auto"/>
        <w:jc w:val="both"/>
        <w:rPr>
          <w:rFonts w:asciiTheme="majorBidi" w:hAnsiTheme="majorBidi" w:cstheme="majorBidi"/>
          <w:sz w:val="24"/>
          <w:szCs w:val="24"/>
        </w:rPr>
      </w:pPr>
    </w:p>
    <w:p w14:paraId="36D1F36E" w14:textId="77777777" w:rsidR="00C3264E" w:rsidRPr="000F6889" w:rsidRDefault="00C3264E" w:rsidP="000F6889">
      <w:pPr>
        <w:spacing w:line="360" w:lineRule="auto"/>
        <w:jc w:val="both"/>
        <w:rPr>
          <w:rFonts w:asciiTheme="majorBidi" w:hAnsiTheme="majorBidi" w:cstheme="majorBidi"/>
          <w:sz w:val="24"/>
          <w:szCs w:val="24"/>
        </w:rPr>
      </w:pPr>
    </w:p>
    <w:p w14:paraId="2F74953C" w14:textId="77777777" w:rsidR="00C3264E" w:rsidRPr="000F6889" w:rsidRDefault="006F4367" w:rsidP="000F6889">
      <w:pPr>
        <w:pStyle w:val="Heading1"/>
        <w:spacing w:after="240" w:line="360" w:lineRule="auto"/>
        <w:jc w:val="both"/>
        <w:rPr>
          <w:rFonts w:asciiTheme="majorBidi" w:hAnsiTheme="majorBidi"/>
          <w:color w:val="auto"/>
          <w:sz w:val="24"/>
          <w:szCs w:val="24"/>
        </w:rPr>
      </w:pPr>
      <w:r w:rsidRPr="000F6889">
        <w:rPr>
          <w:rFonts w:asciiTheme="majorBidi" w:hAnsiTheme="majorBidi"/>
          <w:color w:val="auto"/>
          <w:sz w:val="24"/>
          <w:szCs w:val="24"/>
        </w:rPr>
        <w:t>References</w:t>
      </w:r>
    </w:p>
    <w:p w14:paraId="268DE335"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ABF (2023) Sugar. Associated British Foods plc. </w:t>
      </w:r>
    </w:p>
    <w:p w14:paraId="2C523BE0"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Accenture (2023) Sustainable growth in consumer goods: The path forward. Accenture Strategy.</w:t>
      </w:r>
    </w:p>
    <w:p w14:paraId="69CFCF1F"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AMA (2022) Definition of Marketing. American Marketing Association.</w:t>
      </w:r>
    </w:p>
    <w:p w14:paraId="6449D4CA"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Boseley, S. (2020) ‘UK government urged to extend sugar tax’, The Guardian, 9 March. </w:t>
      </w:r>
    </w:p>
    <w:p w14:paraId="7F75453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Deloitte (2021) Shifting sands: How consumer behaviour is shaping the food industry. Deloitte UK.</w:t>
      </w:r>
    </w:p>
    <w:p w14:paraId="50EE18AA"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EmergenResearch (2023) Industrial Sugar Market Trends &amp; Analysis.</w:t>
      </w:r>
    </w:p>
    <w:p w14:paraId="593513FD"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Euromonitor International (2022) Global sugar market trends and forecast. Euromonitor.</w:t>
      </w:r>
    </w:p>
    <w:p w14:paraId="644CAFC4"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European Commission (2022) Proposals for simplified front-of-pack nutrition labelling. Brussels: European Union.</w:t>
      </w:r>
    </w:p>
    <w:p w14:paraId="6CFFF0C1"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EY (2022) Consumer health and nutrition trends 2022. Ernst &amp; Young.</w:t>
      </w:r>
    </w:p>
    <w:p w14:paraId="31C4144D"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Food and Drink Federation (2021) UK food reformulation progress report. London: FDF.</w:t>
      </w:r>
    </w:p>
    <w:p w14:paraId="4A4B8EEF"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Global Food Policy Report (2024) ‘Regulation and sugar reform’.</w:t>
      </w:r>
    </w:p>
    <w:p w14:paraId="4FB7532B"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Grand View Research (2023) Sugar Market Size, Share &amp; Trends Report.</w:t>
      </w:r>
    </w:p>
    <w:p w14:paraId="46FE8B7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Harvard Business Review (2020) Marketing in the age of sustainability.</w:t>
      </w:r>
    </w:p>
    <w:p w14:paraId="2E39FF58"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Harvard Business Review (2021) Why sustainability is now the key to innovation. HBR.</w:t>
      </w:r>
    </w:p>
    <w:p w14:paraId="0205B102"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ILO (2022) Sustainability in global agri-food supply chains. International Labour Organization. </w:t>
      </w:r>
    </w:p>
    <w:p w14:paraId="2F644BA1"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International Labour Organization (2022) Sustainability in global agri-food supply chains. Geneva: ILO.</w:t>
      </w:r>
    </w:p>
    <w:p w14:paraId="35B63848"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International Sugar Organisation (ISO) (2023) Global sugar market outlook 2023. London: ISO.</w:t>
      </w:r>
    </w:p>
    <w:p w14:paraId="2A99F601" w14:textId="06A87C78"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Journal of Consumer Health (2021) ‘Consumer shift to low-sugar </w:t>
      </w:r>
      <w:r w:rsidR="001D5DED" w:rsidRPr="000F6889">
        <w:rPr>
          <w:rFonts w:asciiTheme="majorBidi" w:hAnsiTheme="majorBidi" w:cstheme="majorBidi"/>
          <w:sz w:val="24"/>
          <w:szCs w:val="24"/>
        </w:rPr>
        <w:t>diets</w:t>
      </w:r>
      <w:r w:rsidRPr="000F6889">
        <w:rPr>
          <w:rFonts w:asciiTheme="majorBidi" w:hAnsiTheme="majorBidi" w:cstheme="majorBidi"/>
          <w:sz w:val="24"/>
          <w:szCs w:val="24"/>
        </w:rPr>
        <w:t>.</w:t>
      </w:r>
    </w:p>
    <w:p w14:paraId="6F7F41A7"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Kantar (2021) Purpose-led brands outperform: Global Purpose Survey. Kantar Insights.</w:t>
      </w:r>
    </w:p>
    <w:p w14:paraId="000693D7"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Kaplan, R. and Norton, D. (2020) The balanced scorecard: Translating strategy into action. Harvard Business School Press.</w:t>
      </w:r>
    </w:p>
    <w:p w14:paraId="17624F70"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Kotler, P., Keller, K. L. and Chernev, A. (2021) Marketing Management. 16th edn. Pearson.</w:t>
      </w:r>
    </w:p>
    <w:p w14:paraId="318E353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McKinsey &amp; Company (2020) The future of marketing: Personalisation and analytics at scale. McKinsey Global Institute.</w:t>
      </w:r>
    </w:p>
    <w:p w14:paraId="379D131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Mintel (2022) Low-sugar snacks and sweeteners: Market dynamics.</w:t>
      </w:r>
    </w:p>
    <w:p w14:paraId="1FF2F868"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Mintel (2023) Sugar reduction and alternative sweeteners: Global innovation tracker.</w:t>
      </w:r>
    </w:p>
    <w:p w14:paraId="47308273" w14:textId="6FBF4276"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 xml:space="preserve">NielsenIQ (2021) </w:t>
      </w:r>
      <w:r w:rsidR="001D5DED" w:rsidRPr="000F6889">
        <w:rPr>
          <w:rFonts w:asciiTheme="majorBidi" w:hAnsiTheme="majorBidi" w:cstheme="majorBidi"/>
          <w:sz w:val="24"/>
          <w:szCs w:val="24"/>
        </w:rPr>
        <w:t>Shoppers’s</w:t>
      </w:r>
      <w:r w:rsidRPr="000F6889">
        <w:rPr>
          <w:rFonts w:asciiTheme="majorBidi" w:hAnsiTheme="majorBidi" w:cstheme="majorBidi"/>
          <w:sz w:val="24"/>
          <w:szCs w:val="24"/>
        </w:rPr>
        <w:t xml:space="preserve"> shift towards healthier alternatives. </w:t>
      </w:r>
    </w:p>
    <w:p w14:paraId="2B09595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OECD-FAO (2023) Agricultural Outlook 2023–2032. Paris: OECD Publishing.</w:t>
      </w:r>
    </w:p>
    <w:p w14:paraId="20B5E143"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lastRenderedPageBreak/>
        <w:t xml:space="preserve">PwC (2022) The future of consumer markets: Digital transformation in food and beverage. PricewaterhouseCoopers. </w:t>
      </w:r>
    </w:p>
    <w:p w14:paraId="7C8F7BB6"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Smith, J. and Brown, L. (2021) ‘Social media transparency and consumer trust in the food industry’, Journal of Consumer Marketing, 38(4), pp. 459-472.</w:t>
      </w:r>
    </w:p>
    <w:p w14:paraId="2789F40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Statista (2022) UK sugar consumption trends 2015–2022.</w:t>
      </w:r>
    </w:p>
    <w:p w14:paraId="72643ECE"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Südzucker (2022) Corporate Sustainability Report. Mannheim: Südzucker AG.</w:t>
      </w:r>
    </w:p>
    <w:p w14:paraId="0ACA6BDC"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Tate &amp; Lyle (2021) Annual report 2021: Health and Nutrition Initiatives. London: Tate &amp; Lyle PLC.</w:t>
      </w:r>
    </w:p>
    <w:p w14:paraId="129896B0"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World Economic Forum (2022) The future of food and agriculture: Sustainability and digitalisation.</w:t>
      </w:r>
    </w:p>
    <w:p w14:paraId="02D9A785" w14:textId="77777777"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WWF (2021) Sugar and climate change: A risk assessment. Gland: World Wildlife Fund.</w:t>
      </w:r>
    </w:p>
    <w:p w14:paraId="72FC5B07" w14:textId="5B6582FF" w:rsidR="00C3264E" w:rsidRPr="000F6889" w:rsidRDefault="006F4367" w:rsidP="000F6889">
      <w:pPr>
        <w:pStyle w:val="ListParagraph"/>
        <w:numPr>
          <w:ilvl w:val="0"/>
          <w:numId w:val="11"/>
        </w:numPr>
        <w:spacing w:line="360" w:lineRule="auto"/>
        <w:jc w:val="both"/>
        <w:rPr>
          <w:rFonts w:asciiTheme="majorBidi" w:hAnsiTheme="majorBidi" w:cstheme="majorBidi"/>
          <w:sz w:val="24"/>
          <w:szCs w:val="24"/>
        </w:rPr>
      </w:pPr>
      <w:r w:rsidRPr="000F6889">
        <w:rPr>
          <w:rFonts w:asciiTheme="majorBidi" w:hAnsiTheme="majorBidi" w:cstheme="majorBidi"/>
          <w:sz w:val="24"/>
          <w:szCs w:val="24"/>
        </w:rPr>
        <w:t>YouGov (2022) Attitudes towards sugar consumption in the UK. YouGov.</w:t>
      </w:r>
    </w:p>
    <w:p w14:paraId="443D0A89"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Malik, V. S., &amp; Hu, F. B. (2022). The role of sugar-sweetened beverages in the global epidemics of obesity and chronic diseases. Nature Reviews Endocrinology, 18(4), 205-218.</w:t>
      </w:r>
    </w:p>
    <w:p w14:paraId="74C9EFE6"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McClements, D. J. (2023). Meat less: The next food revolution. Springer Nature.</w:t>
      </w:r>
    </w:p>
    <w:p w14:paraId="02054B5C"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Jočbalis, M. (2022). Actioning a New Sourcing Value Levers Framework at ABF plc.</w:t>
      </w:r>
    </w:p>
    <w:p w14:paraId="2028C531"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Elliott, K., &amp; Copilah-Ali, J. (2024). Implementing corporate digital responsibility (CDR): Tackling wicked problems for the digital era: Pilot study insights. Organizational Dynamics, 53(2), 101040.</w:t>
      </w:r>
    </w:p>
    <w:p w14:paraId="5721A831"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Freudenreich, B., Lüdeke-Freund, F., &amp; Schaltegger, S. (2020). A stakeholder theory perspective on business models: Value creation for sustainability. Journal of business ethics, 166(1), 3-18.</w:t>
      </w:r>
    </w:p>
    <w:p w14:paraId="413E43E8"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Medrano, N., Cornejo-Cañamares, M., &amp; Olarte-Pascual, C. (2020). The impact of marketing innovation on companies’ environmental orientation. Journal of Business &amp; Industrial Marketing, 35(1), 1-12.</w:t>
      </w:r>
    </w:p>
    <w:p w14:paraId="0CBFE889"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Malik, V. S., &amp; Hu, F. B. (2022). The role of sugar-sweetened beverages in the global epidemics of obesity and chronic diseases. Nature Reviews Endocrinology, 18(4), 205-218.</w:t>
      </w:r>
    </w:p>
    <w:p w14:paraId="39488DA9" w14:textId="2996FFC8"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lastRenderedPageBreak/>
        <w:t xml:space="preserve">Aitken, K. S., Glassop, D., Atkin, F., Parfitt, R. C., Perroux, J., &amp; Rae, A. L. (2020). SUGAR INDUSTRY ABSTRACTS-How does stalk anatomy of sugarcane relate to </w:t>
      </w:r>
      <w:r w:rsidR="001D5DED" w:rsidRPr="000F6889">
        <w:rPr>
          <w:rFonts w:asciiTheme="majorBidi" w:hAnsiTheme="majorBidi" w:cstheme="majorBidi"/>
          <w:color w:val="222222"/>
          <w:sz w:val="24"/>
          <w:szCs w:val="24"/>
          <w:shd w:val="clear" w:color="auto" w:fill="FFFFFF"/>
        </w:rPr>
        <w:t>fiber</w:t>
      </w:r>
      <w:r w:rsidRPr="000F6889">
        <w:rPr>
          <w:rFonts w:asciiTheme="majorBidi" w:hAnsiTheme="majorBidi" w:cstheme="majorBidi"/>
          <w:color w:val="222222"/>
          <w:sz w:val="24"/>
          <w:szCs w:val="24"/>
          <w:shd w:val="clear" w:color="auto" w:fill="FFFFFF"/>
        </w:rPr>
        <w:t xml:space="preserve"> quality </w:t>
      </w:r>
      <w:r w:rsidR="001D5DED" w:rsidRPr="000F6889">
        <w:rPr>
          <w:rFonts w:asciiTheme="majorBidi" w:hAnsiTheme="majorBidi" w:cstheme="majorBidi"/>
          <w:color w:val="222222"/>
          <w:sz w:val="24"/>
          <w:szCs w:val="24"/>
          <w:shd w:val="clear" w:color="auto" w:fill="FFFFFF"/>
        </w:rPr>
        <w:t>characteristics?</w:t>
      </w:r>
      <w:r w:rsidRPr="000F6889">
        <w:rPr>
          <w:rFonts w:asciiTheme="majorBidi" w:hAnsiTheme="majorBidi" w:cstheme="majorBidi"/>
          <w:color w:val="222222"/>
          <w:sz w:val="24"/>
          <w:szCs w:val="24"/>
          <w:shd w:val="clear" w:color="auto" w:fill="FFFFFF"/>
        </w:rPr>
        <w:t> Pakistan Sugar Journal, 35(2).</w:t>
      </w:r>
    </w:p>
    <w:p w14:paraId="2F6F6795"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Brunori, G., Hudson, L. R., Báldi, A., Bisoffi, S., &amp; Cuhls, K. (2020). Resilience and transformation-Report of the 5th SCAR Foresight Exercise Expert Group-Natural resources and food systems: Transitions towards a ‘safe and just’operating space.</w:t>
      </w:r>
    </w:p>
    <w:p w14:paraId="5FE59B24"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Wilkinson, J. (2024). Agri-Food System in Question. Bristol, UK: Bristol University Press.</w:t>
      </w:r>
    </w:p>
    <w:p w14:paraId="067D9005"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Sakib, A. R. (2025). Mechanism of minimizing the negative perception of sugar substitutes in Bangladesh: a strategic roadmap for Zerocal’s market expansion.</w:t>
      </w:r>
    </w:p>
    <w:p w14:paraId="1A0ABE6D"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Farsi, D. (2021). Social media and health care, part I: literature review of social media use by health care providers. Journal of medical internet research, 23(4), e23205.</w:t>
      </w:r>
    </w:p>
    <w:p w14:paraId="29380E53"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Bandy, L. K., Scarborough, P., Harrington, R. A., Rayner, M., &amp; Jebb, S. A. (2020). Reductions in sugar sales from soft drinks in the UK from 2015 to 2018. BMC medicine, 18(1), 20.</w:t>
      </w:r>
    </w:p>
    <w:p w14:paraId="668A5EDE"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Zoboli, R., Mazzanti, M., Paleari, S., Bonacorsi, L., Chioatto, E., D'Amato, A., ... &amp; Pareglio, S. (2020). Energy and the circular economy: Filling the gap through new business models within the EGD.</w:t>
      </w:r>
    </w:p>
    <w:p w14:paraId="656646E2" w14:textId="77777777" w:rsidR="000F6889" w:rsidRPr="000F6889" w:rsidRDefault="000F6889" w:rsidP="000F6889">
      <w:pPr>
        <w:pStyle w:val="ListParagraph"/>
        <w:numPr>
          <w:ilvl w:val="0"/>
          <w:numId w:val="11"/>
        </w:numPr>
        <w:spacing w:after="160" w:line="360" w:lineRule="auto"/>
        <w:jc w:val="both"/>
        <w:rPr>
          <w:rFonts w:asciiTheme="majorBidi" w:hAnsiTheme="majorBidi" w:cstheme="majorBidi"/>
          <w:color w:val="222222"/>
          <w:sz w:val="24"/>
          <w:szCs w:val="24"/>
          <w:shd w:val="clear" w:color="auto" w:fill="FFFFFF"/>
        </w:rPr>
      </w:pPr>
      <w:r w:rsidRPr="000F6889">
        <w:rPr>
          <w:rFonts w:asciiTheme="majorBidi" w:hAnsiTheme="majorBidi" w:cstheme="majorBidi"/>
          <w:color w:val="222222"/>
          <w:sz w:val="24"/>
          <w:szCs w:val="24"/>
          <w:shd w:val="clear" w:color="auto" w:fill="FFFFFF"/>
        </w:rPr>
        <w:t>Pollans, M. J. (2021). Eaters, Powerless by Design. Mich. L. Rev., 120, 643.</w:t>
      </w:r>
    </w:p>
    <w:p w14:paraId="605F5497" w14:textId="725DC829" w:rsidR="000F6889" w:rsidRPr="000F6889" w:rsidRDefault="000F6889" w:rsidP="000F6889">
      <w:pPr>
        <w:pStyle w:val="ListParagraph"/>
        <w:numPr>
          <w:ilvl w:val="0"/>
          <w:numId w:val="11"/>
        </w:numPr>
        <w:spacing w:after="160" w:line="360" w:lineRule="auto"/>
        <w:jc w:val="both"/>
        <w:rPr>
          <w:rFonts w:asciiTheme="majorBidi" w:hAnsiTheme="majorBidi" w:cstheme="majorBidi"/>
          <w:sz w:val="24"/>
          <w:szCs w:val="24"/>
        </w:rPr>
      </w:pPr>
      <w:r w:rsidRPr="000F6889">
        <w:rPr>
          <w:rFonts w:asciiTheme="majorBidi" w:hAnsiTheme="majorBidi" w:cstheme="majorBidi"/>
          <w:color w:val="222222"/>
          <w:sz w:val="24"/>
          <w:szCs w:val="24"/>
          <w:shd w:val="clear" w:color="auto" w:fill="FFFFFF"/>
        </w:rPr>
        <w:t>Wambua, G. N. (2023). Operational resilience as a mediator between digitalisation and sustainable performance of fast-moving consumer good firms in Nairobi County (Doctoral dissertation, Strathmore University).</w:t>
      </w:r>
    </w:p>
    <w:p w14:paraId="563D00D9" w14:textId="77777777" w:rsidR="00C3264E" w:rsidRPr="000F6889" w:rsidRDefault="00C3264E" w:rsidP="000F6889">
      <w:pPr>
        <w:pStyle w:val="ListParagraph"/>
        <w:spacing w:line="360" w:lineRule="auto"/>
        <w:ind w:left="360"/>
        <w:jc w:val="both"/>
        <w:rPr>
          <w:rFonts w:asciiTheme="majorBidi" w:hAnsiTheme="majorBidi" w:cstheme="majorBidi"/>
          <w:sz w:val="24"/>
          <w:szCs w:val="24"/>
        </w:rPr>
      </w:pPr>
    </w:p>
    <w:p w14:paraId="7D566590" w14:textId="77777777" w:rsidR="00C3264E" w:rsidRPr="000F6889" w:rsidRDefault="00C3264E" w:rsidP="000F6889">
      <w:pPr>
        <w:spacing w:line="360" w:lineRule="auto"/>
        <w:jc w:val="both"/>
        <w:rPr>
          <w:rFonts w:asciiTheme="majorBidi" w:hAnsiTheme="majorBidi" w:cstheme="majorBidi"/>
          <w:sz w:val="24"/>
          <w:szCs w:val="24"/>
        </w:rPr>
      </w:pPr>
    </w:p>
    <w:sectPr w:rsidR="00C3264E" w:rsidRPr="000F688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A13C46" w14:textId="77777777" w:rsidR="003516C9" w:rsidRDefault="003516C9">
      <w:pPr>
        <w:spacing w:line="240" w:lineRule="auto"/>
      </w:pPr>
      <w:r>
        <w:separator/>
      </w:r>
    </w:p>
  </w:endnote>
  <w:endnote w:type="continuationSeparator" w:id="0">
    <w:p w14:paraId="617B6DE0" w14:textId="77777777" w:rsidR="003516C9" w:rsidRDefault="003516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3C48DA" w14:textId="77777777" w:rsidR="003516C9" w:rsidRDefault="003516C9">
      <w:pPr>
        <w:spacing w:after="0"/>
      </w:pPr>
      <w:r>
        <w:separator/>
      </w:r>
    </w:p>
  </w:footnote>
  <w:footnote w:type="continuationSeparator" w:id="0">
    <w:p w14:paraId="2E3C5F28" w14:textId="77777777" w:rsidR="003516C9" w:rsidRDefault="003516C9">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E"/>
    <w:multiLevelType w:val="singleLevel"/>
    <w:tmpl w:val="FFFFFF7E"/>
    <w:lvl w:ilvl="0">
      <w:start w:val="1"/>
      <w:numFmt w:val="decimal"/>
      <w:pStyle w:val="ListNumber3"/>
      <w:lvlText w:val="%1."/>
      <w:lvlJc w:val="left"/>
      <w:pPr>
        <w:tabs>
          <w:tab w:val="left" w:pos="1080"/>
        </w:tabs>
        <w:ind w:left="1080" w:hanging="360"/>
      </w:pPr>
    </w:lvl>
  </w:abstractNum>
  <w:abstractNum w:abstractNumId="1">
    <w:nsid w:val="FFFFFF7F"/>
    <w:multiLevelType w:val="singleLevel"/>
    <w:tmpl w:val="FFFFFF7F"/>
    <w:lvl w:ilvl="0">
      <w:start w:val="1"/>
      <w:numFmt w:val="decimal"/>
      <w:pStyle w:val="ListNumber2"/>
      <w:lvlText w:val="%1."/>
      <w:lvlJc w:val="left"/>
      <w:pPr>
        <w:tabs>
          <w:tab w:val="left" w:pos="720"/>
        </w:tabs>
        <w:ind w:left="720" w:hanging="360"/>
      </w:pPr>
    </w:lvl>
  </w:abstractNum>
  <w:abstractNum w:abstractNumId="2">
    <w:nsid w:val="FFFFFF82"/>
    <w:multiLevelType w:val="singleLevel"/>
    <w:tmpl w:val="FFFFFF82"/>
    <w:lvl w:ilvl="0">
      <w:start w:val="1"/>
      <w:numFmt w:val="bullet"/>
      <w:pStyle w:val="ListBullet3"/>
      <w:lvlText w:val=""/>
      <w:lvlJc w:val="left"/>
      <w:pPr>
        <w:tabs>
          <w:tab w:val="left" w:pos="1080"/>
        </w:tabs>
        <w:ind w:left="1080" w:hanging="360"/>
      </w:pPr>
      <w:rPr>
        <w:rFonts w:ascii="Symbol" w:hAnsi="Symbol" w:hint="default"/>
      </w:rPr>
    </w:lvl>
  </w:abstractNum>
  <w:abstractNum w:abstractNumId="3">
    <w:nsid w:val="FFFFFF83"/>
    <w:multiLevelType w:val="singleLevel"/>
    <w:tmpl w:val="FFFFFF83"/>
    <w:lvl w:ilvl="0">
      <w:start w:val="1"/>
      <w:numFmt w:val="bullet"/>
      <w:pStyle w:val="ListBullet2"/>
      <w:lvlText w:val=""/>
      <w:lvlJc w:val="left"/>
      <w:pPr>
        <w:tabs>
          <w:tab w:val="left" w:pos="720"/>
        </w:tabs>
        <w:ind w:left="720" w:hanging="360"/>
      </w:pPr>
      <w:rPr>
        <w:rFonts w:ascii="Symbol" w:hAnsi="Symbol" w:hint="default"/>
      </w:rPr>
    </w:lvl>
  </w:abstractNum>
  <w:abstractNum w:abstractNumId="4">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5">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abstractNum w:abstractNumId="6">
    <w:nsid w:val="072B3663"/>
    <w:multiLevelType w:val="hybridMultilevel"/>
    <w:tmpl w:val="4656DA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9FB66C3"/>
    <w:multiLevelType w:val="multilevel"/>
    <w:tmpl w:val="19FB66C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nsid w:val="4B2F007D"/>
    <w:multiLevelType w:val="multilevel"/>
    <w:tmpl w:val="4B2F007D"/>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537A40AB"/>
    <w:multiLevelType w:val="multilevel"/>
    <w:tmpl w:val="537A40AB"/>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6EAD352C"/>
    <w:multiLevelType w:val="multilevel"/>
    <w:tmpl w:val="46AC9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0B529D6"/>
    <w:multiLevelType w:val="multilevel"/>
    <w:tmpl w:val="70B529D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2">
    <w:nsid w:val="7ED20CA0"/>
    <w:multiLevelType w:val="multilevel"/>
    <w:tmpl w:val="7ED20CA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abstractNumId w:val="5"/>
  </w:num>
  <w:num w:numId="2">
    <w:abstractNumId w:val="3"/>
  </w:num>
  <w:num w:numId="3">
    <w:abstractNumId w:val="2"/>
  </w:num>
  <w:num w:numId="4">
    <w:abstractNumId w:val="4"/>
  </w:num>
  <w:num w:numId="5">
    <w:abstractNumId w:val="1"/>
  </w:num>
  <w:num w:numId="6">
    <w:abstractNumId w:val="0"/>
  </w:num>
  <w:num w:numId="7">
    <w:abstractNumId w:val="9"/>
  </w:num>
  <w:num w:numId="8">
    <w:abstractNumId w:val="7"/>
  </w:num>
  <w:num w:numId="9">
    <w:abstractNumId w:val="11"/>
  </w:num>
  <w:num w:numId="10">
    <w:abstractNumId w:val="12"/>
  </w:num>
  <w:num w:numId="11">
    <w:abstractNumId w:val="8"/>
  </w:num>
  <w:num w:numId="12">
    <w:abstractNumId w:val="10"/>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34CEB"/>
    <w:rsid w:val="0006063C"/>
    <w:rsid w:val="000D63F5"/>
    <w:rsid w:val="000F6889"/>
    <w:rsid w:val="000F6A65"/>
    <w:rsid w:val="00106DBE"/>
    <w:rsid w:val="0014259A"/>
    <w:rsid w:val="0015074B"/>
    <w:rsid w:val="001D5DED"/>
    <w:rsid w:val="001F78D2"/>
    <w:rsid w:val="002609AA"/>
    <w:rsid w:val="0029639D"/>
    <w:rsid w:val="002F2F62"/>
    <w:rsid w:val="00326F90"/>
    <w:rsid w:val="003516C9"/>
    <w:rsid w:val="003F1817"/>
    <w:rsid w:val="003F31DD"/>
    <w:rsid w:val="003F3C18"/>
    <w:rsid w:val="003F4E04"/>
    <w:rsid w:val="00500AC7"/>
    <w:rsid w:val="005820D7"/>
    <w:rsid w:val="005B67D4"/>
    <w:rsid w:val="005D1C62"/>
    <w:rsid w:val="00626A57"/>
    <w:rsid w:val="006C6EC5"/>
    <w:rsid w:val="006F4367"/>
    <w:rsid w:val="00762906"/>
    <w:rsid w:val="00792619"/>
    <w:rsid w:val="007C43A2"/>
    <w:rsid w:val="00810E51"/>
    <w:rsid w:val="00983E2B"/>
    <w:rsid w:val="00984587"/>
    <w:rsid w:val="00AA1D8D"/>
    <w:rsid w:val="00B47730"/>
    <w:rsid w:val="00C00B0A"/>
    <w:rsid w:val="00C3264E"/>
    <w:rsid w:val="00C7743E"/>
    <w:rsid w:val="00CB0664"/>
    <w:rsid w:val="00D3043B"/>
    <w:rsid w:val="00D405E5"/>
    <w:rsid w:val="00D83DE7"/>
    <w:rsid w:val="00E40840"/>
    <w:rsid w:val="00E70327"/>
    <w:rsid w:val="00FC693F"/>
    <w:rsid w:val="186719A9"/>
    <w:rsid w:val="349C74F8"/>
    <w:rsid w:val="6021667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5F3E26"/>
  <w14:defaultImageDpi w14:val="300"/>
  <w15:docId w15:val="{2F728C09-BA23-4047-9F58-5311F2616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unhideWhenUsed="1" w:qFormat="1"/>
    <w:lsdException w:name="toa heading" w:semiHidden="1" w:unhideWhenUsed="1"/>
    <w:lsdException w:name="List" w:unhideWhenUsed="1" w:qFormat="1"/>
    <w:lsdException w:name="List Bullet" w:unhideWhenUsed="1" w:qFormat="1"/>
    <w:lsdException w:name="List Number" w:unhideWhenUsed="1"/>
    <w:lsdException w:name="List 2" w:unhideWhenUsed="1" w:qFormat="1"/>
    <w:lsdException w:name="List 3" w:unhideWhenUsed="1" w:qFormat="1"/>
    <w:lsdException w:name="List 4" w:semiHidden="1" w:unhideWhenUsed="1"/>
    <w:lsdException w:name="List 5" w:semiHidden="1" w:unhideWhenUsed="1"/>
    <w:lsdException w:name="List Bullet 2" w:unhideWhenUsed="1" w:qFormat="1"/>
    <w:lsdException w:name="List Bullet 3" w:unhideWhenUsed="1" w:qFormat="1"/>
    <w:lsdException w:name="List Bullet 4" w:semiHidden="1" w:unhideWhenUsed="1"/>
    <w:lsdException w:name="List Bullet 5" w:semiHidden="1" w:unhideWhenUsed="1"/>
    <w:lsdException w:name="List Number 2" w:unhideWhenUsed="1" w:qFormat="1"/>
    <w:lsdException w:name="List Number 3" w:unhideWhenUsed="1" w:qFormat="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nhideWhenUsed="1" w:qFormat="1"/>
    <w:lsdException w:name="Body Text Indent" w:semiHidden="1" w:unhideWhenUsed="1"/>
    <w:lsdException w:name="List Continue" w:unhideWhenUsed="1" w:qFormat="1"/>
    <w:lsdException w:name="List Continue 2" w:unhideWhenUsed="1"/>
    <w:lsdException w:name="List Continue 3" w:unhideWhenUsed="1" w:qFormat="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nhideWhenUsed="1" w:qFormat="1"/>
    <w:lsdException w:name="Body Text 3" w:unhideWhenUsed="1" w:qFormat="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qFormat="1"/>
    <w:lsdException w:name="Light List" w:uiPriority="61" w:qFormat="1"/>
    <w:lsdException w:name="Light Grid" w:uiPriority="62" w:qFormat="1"/>
    <w:lsdException w:name="Medium Shading 1" w:uiPriority="63" w:qFormat="1"/>
    <w:lsdException w:name="Medium Shading 2" w:uiPriority="64" w:qFormat="1"/>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qFormat="1"/>
    <w:lsdException w:name="Light Grid Accent 1" w:uiPriority="62" w:qFormat="1"/>
    <w:lsdException w:name="Medium Shading 1 Accent 1" w:uiPriority="63" w:qFormat="1"/>
    <w:lsdException w:name="Medium Shading 2 Accent 1" w:uiPriority="64" w:qFormat="1"/>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qFormat="1"/>
    <w:lsdException w:name="Light Grid Accent 3" w:uiPriority="62" w:qFormat="1"/>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qFormat="1"/>
    <w:lsdException w:name="Light Grid Accent 4" w:uiPriority="62"/>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qFormat="1"/>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qFormat="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244061"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244061" w:themeColor="accent1" w:themeShade="80"/>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qFormat/>
    <w:pPr>
      <w:spacing w:after="120"/>
    </w:pPr>
  </w:style>
  <w:style w:type="paragraph" w:styleId="BodyText2">
    <w:name w:val="Body Text 2"/>
    <w:basedOn w:val="Normal"/>
    <w:link w:val="BodyText2Char"/>
    <w:uiPriority w:val="99"/>
    <w:unhideWhenUsed/>
    <w:qFormat/>
    <w:pPr>
      <w:spacing w:after="120" w:line="480" w:lineRule="auto"/>
    </w:pPr>
  </w:style>
  <w:style w:type="paragraph" w:styleId="BodyText3">
    <w:name w:val="Body Text 3"/>
    <w:basedOn w:val="Normal"/>
    <w:link w:val="BodyText3Char"/>
    <w:uiPriority w:val="99"/>
    <w:unhideWhenUsed/>
    <w:qFormat/>
    <w:pPr>
      <w:spacing w:after="120"/>
    </w:pPr>
    <w:rPr>
      <w:sz w:val="16"/>
      <w:szCs w:val="16"/>
    </w:rPr>
  </w:style>
  <w:style w:type="paragraph" w:styleId="Caption">
    <w:name w:val="caption"/>
    <w:basedOn w:val="Normal"/>
    <w:next w:val="Normal"/>
    <w:uiPriority w:val="35"/>
    <w:semiHidden/>
    <w:unhideWhenUsed/>
    <w:qFormat/>
    <w:pPr>
      <w:spacing w:line="240" w:lineRule="auto"/>
    </w:pPr>
    <w:rPr>
      <w:b/>
      <w:bCs/>
      <w:color w:val="4F81BD" w:themeColor="accent1"/>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List">
    <w:name w:val="List"/>
    <w:basedOn w:val="Normal"/>
    <w:uiPriority w:val="99"/>
    <w:unhideWhenUsed/>
    <w:qFormat/>
    <w:pPr>
      <w:ind w:left="360" w:hanging="360"/>
      <w:contextualSpacing/>
    </w:pPr>
  </w:style>
  <w:style w:type="paragraph" w:styleId="List2">
    <w:name w:val="List 2"/>
    <w:basedOn w:val="Normal"/>
    <w:uiPriority w:val="99"/>
    <w:unhideWhenUsed/>
    <w:qFormat/>
    <w:pPr>
      <w:ind w:left="720" w:hanging="360"/>
      <w:contextualSpacing/>
    </w:pPr>
  </w:style>
  <w:style w:type="paragraph" w:styleId="List3">
    <w:name w:val="List 3"/>
    <w:basedOn w:val="Normal"/>
    <w:uiPriority w:val="99"/>
    <w:unhideWhenUsed/>
    <w:qFormat/>
    <w:pPr>
      <w:ind w:left="1080" w:hanging="360"/>
      <w:contextualSpacing/>
    </w:pPr>
  </w:style>
  <w:style w:type="paragraph" w:styleId="ListBullet">
    <w:name w:val="List Bullet"/>
    <w:basedOn w:val="Normal"/>
    <w:uiPriority w:val="99"/>
    <w:unhideWhenUsed/>
    <w:qFormat/>
    <w:pPr>
      <w:numPr>
        <w:numId w:val="1"/>
      </w:numPr>
      <w:contextualSpacing/>
    </w:pPr>
  </w:style>
  <w:style w:type="paragraph" w:styleId="ListBullet2">
    <w:name w:val="List Bullet 2"/>
    <w:basedOn w:val="Normal"/>
    <w:uiPriority w:val="99"/>
    <w:unhideWhenUsed/>
    <w:qFormat/>
    <w:pPr>
      <w:numPr>
        <w:numId w:val="2"/>
      </w:numPr>
      <w:contextualSpacing/>
    </w:pPr>
  </w:style>
  <w:style w:type="paragraph" w:styleId="ListBullet3">
    <w:name w:val="List Bullet 3"/>
    <w:basedOn w:val="Normal"/>
    <w:uiPriority w:val="99"/>
    <w:unhideWhenUsed/>
    <w:qFormat/>
    <w:pPr>
      <w:numPr>
        <w:numId w:val="3"/>
      </w:numPr>
      <w:contextualSpacing/>
    </w:pPr>
  </w:style>
  <w:style w:type="paragraph" w:styleId="ListContinue">
    <w:name w:val="List Continue"/>
    <w:basedOn w:val="Normal"/>
    <w:uiPriority w:val="99"/>
    <w:unhideWhenUsed/>
    <w:qFormat/>
    <w:pPr>
      <w:spacing w:after="120"/>
      <w:ind w:left="360"/>
      <w:contextualSpacing/>
    </w:pPr>
  </w:style>
  <w:style w:type="paragraph" w:styleId="ListContinue2">
    <w:name w:val="List Continue 2"/>
    <w:basedOn w:val="Normal"/>
    <w:uiPriority w:val="99"/>
    <w:unhideWhenUsed/>
    <w:pPr>
      <w:spacing w:after="120"/>
      <w:ind w:left="720"/>
      <w:contextualSpacing/>
    </w:pPr>
  </w:style>
  <w:style w:type="paragraph" w:styleId="ListContinue3">
    <w:name w:val="List Continue 3"/>
    <w:basedOn w:val="Normal"/>
    <w:uiPriority w:val="99"/>
    <w:unhideWhenUsed/>
    <w:qFormat/>
    <w:pPr>
      <w:spacing w:after="120"/>
      <w:ind w:left="1080"/>
      <w:contextualSpacing/>
    </w:pPr>
  </w:style>
  <w:style w:type="paragraph" w:styleId="ListNumber">
    <w:name w:val="List Number"/>
    <w:basedOn w:val="Normal"/>
    <w:uiPriority w:val="99"/>
    <w:unhideWhenUsed/>
    <w:pPr>
      <w:numPr>
        <w:numId w:val="4"/>
      </w:numPr>
      <w:contextualSpacing/>
    </w:pPr>
  </w:style>
  <w:style w:type="paragraph" w:styleId="ListNumber2">
    <w:name w:val="List Number 2"/>
    <w:basedOn w:val="Normal"/>
    <w:uiPriority w:val="99"/>
    <w:unhideWhenUsed/>
    <w:qFormat/>
    <w:pPr>
      <w:numPr>
        <w:numId w:val="5"/>
      </w:numPr>
      <w:contextualSpacing/>
    </w:pPr>
  </w:style>
  <w:style w:type="paragraph" w:styleId="ListNumber3">
    <w:name w:val="List Number 3"/>
    <w:basedOn w:val="Normal"/>
    <w:uiPriority w:val="99"/>
    <w:unhideWhenUsed/>
    <w:qFormat/>
    <w:pPr>
      <w:numPr>
        <w:numId w:val="6"/>
      </w:numPr>
      <w:contextualSpacing/>
    </w:pPr>
  </w:style>
  <w:style w:type="paragraph" w:styleId="MacroText">
    <w:name w:val="macro"/>
    <w:link w:val="MacroTextChar"/>
    <w:uiPriority w:val="99"/>
    <w:unhideWhenUsed/>
    <w:qFormat/>
    <w:pPr>
      <w:tabs>
        <w:tab w:val="left" w:pos="576"/>
        <w:tab w:val="left" w:pos="1152"/>
        <w:tab w:val="left" w:pos="1728"/>
        <w:tab w:val="left" w:pos="2304"/>
        <w:tab w:val="left" w:pos="2880"/>
        <w:tab w:val="left" w:pos="3456"/>
        <w:tab w:val="left" w:pos="4032"/>
      </w:tabs>
      <w:spacing w:after="200" w:line="276" w:lineRule="auto"/>
    </w:pPr>
    <w:rPr>
      <w:rFonts w:ascii="Courier" w:hAnsi="Courier"/>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F81BD" w:themeColor="accent1"/>
      <w:spacing w:val="15"/>
      <w:sz w:val="24"/>
      <w:szCs w:val="24"/>
    </w:rPr>
  </w:style>
  <w:style w:type="table" w:styleId="TableGrid">
    <w:name w:val="Table Grid"/>
    <w:basedOn w:val="TableNormal"/>
    <w:uiPriority w:val="5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table" w:styleId="LightShading">
    <w:name w:val="Light Shading"/>
    <w:basedOn w:val="TableNormal"/>
    <w:uiPriority w:val="60"/>
    <w:qFormat/>
    <w:rPr>
      <w:color w:val="000000" w:themeColor="text1" w:themeShade="BF"/>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Pr>
      <w:color w:val="365F91" w:themeColor="accent1" w:themeShade="BF"/>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qFormat/>
    <w:rPr>
      <w:color w:val="943634" w:themeColor="accent2" w:themeShade="BF"/>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qFormat/>
    <w:rPr>
      <w:color w:val="76923C" w:themeColor="accent3" w:themeShade="BF"/>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qFormat/>
    <w:rPr>
      <w:color w:val="5F497A" w:themeColor="accent4" w:themeShade="BF"/>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qFormat/>
    <w:rPr>
      <w:color w:val="31849B" w:themeColor="accent5" w:themeShade="BF"/>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qFormat/>
    <w:rPr>
      <w:color w:val="E36C0A" w:themeColor="accent6" w:themeShade="BF"/>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qFormat/>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qFormat/>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qFormat/>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qFormat/>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qFormat/>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qFormat/>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qFormat/>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qFormat/>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LightGrid-Accent1">
    <w:name w:val="Light Grid Accent 1"/>
    <w:basedOn w:val="TableNormal"/>
    <w:uiPriority w:val="62"/>
    <w:qFormat/>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auto"/>
        </w:tcBorders>
      </w:tcPr>
    </w:tblStylePr>
  </w:style>
  <w:style w:type="table" w:styleId="LightGrid-Accent2">
    <w:name w:val="Light Grid Accent 2"/>
    <w:basedOn w:val="TableNormal"/>
    <w:uiPriority w:val="62"/>
    <w:qFormat/>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auto"/>
        </w:tcBorders>
      </w:tcPr>
    </w:tblStylePr>
  </w:style>
  <w:style w:type="table" w:styleId="LightGrid-Accent3">
    <w:name w:val="Light Grid Accent 3"/>
    <w:basedOn w:val="TableNormal"/>
    <w:uiPriority w:val="62"/>
    <w:qFormat/>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auto"/>
        </w:tcBorders>
      </w:tcPr>
    </w:tblStylePr>
  </w:style>
  <w:style w:type="table" w:styleId="LightGrid-Accent4">
    <w:name w:val="Light Grid Accent 4"/>
    <w:basedOn w:val="TableNormal"/>
    <w:uiPriority w:val="62"/>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auto"/>
        </w:tcBorders>
      </w:tcPr>
    </w:tblStylePr>
  </w:style>
  <w:style w:type="table" w:styleId="LightGrid-Accent5">
    <w:name w:val="Light Grid Accent 5"/>
    <w:basedOn w:val="TableNormal"/>
    <w:uiPriority w:val="62"/>
    <w:qFormat/>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auto"/>
        </w:tcBorders>
      </w:tcPr>
    </w:tblStylePr>
  </w:style>
  <w:style w:type="table" w:styleId="LightGrid-Accent6">
    <w:name w:val="Light Grid Accent 6"/>
    <w:basedOn w:val="TableNormal"/>
    <w:uiPriority w:val="62"/>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auto"/>
        </w:tcBorders>
      </w:tcPr>
    </w:tblStylePr>
  </w:style>
  <w:style w:type="table" w:styleId="MediumShading1">
    <w:name w:val="Medium Shading 1"/>
    <w:basedOn w:val="TableNormal"/>
    <w:uiPriority w:val="63"/>
    <w:qFormat/>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qFormat/>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tblPr>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Pr>
      <w:color w:val="000000" w:themeColor="text1"/>
    </w:rPr>
    <w:tblPr>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Pr>
      <w:color w:val="000000" w:themeColor="text1"/>
    </w:rPr>
    <w:tblPr>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Pr>
      <w:color w:val="000000" w:themeColor="text1"/>
    </w:rPr>
    <w:tblPr>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Pr>
      <w:color w:val="000000" w:themeColor="text1"/>
    </w:rPr>
    <w:tblPr>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Pr>
      <w:color w:val="000000" w:themeColor="text1"/>
    </w:rPr>
    <w:tblPr>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Pr>
      <w:color w:val="000000" w:themeColor="text1"/>
    </w:rPr>
    <w:tblPr>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Pr>
      <w:color w:val="000000" w:themeColor="text1"/>
    </w:rPr>
    <w:tblPr>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tblPr>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tblPr>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tblPr>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tblPr>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tblPr>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tblPr>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tblPr>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Pr>
      <w:rFonts w:asciiTheme="majorHAnsi" w:eastAsiaTheme="majorEastAsia" w:hAnsiTheme="majorHAnsi" w:cstheme="majorBidi"/>
      <w:color w:val="000000" w:themeColor="text1"/>
    </w:rPr>
    <w:tblPr>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Pr>
      <w:rFonts w:asciiTheme="majorHAnsi" w:eastAsiaTheme="majorEastAsia" w:hAnsiTheme="majorHAnsi" w:cstheme="majorBidi"/>
      <w:color w:val="000000" w:themeColor="text1"/>
    </w:rPr>
    <w:tblPr>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auto"/>
          <w:insideV w:val="single" w:sz="6" w:space="0" w:color="auto"/>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Pr>
      <w:rFonts w:asciiTheme="majorHAnsi" w:eastAsiaTheme="majorEastAsia" w:hAnsiTheme="majorHAnsi" w:cstheme="majorBidi"/>
      <w:color w:val="000000" w:themeColor="text1"/>
    </w:rPr>
    <w:tblPr>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auto"/>
          <w:insideV w:val="single" w:sz="6" w:space="0" w:color="auto"/>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Pr>
      <w:rFonts w:asciiTheme="majorHAnsi" w:eastAsiaTheme="majorEastAsia" w:hAnsiTheme="majorHAnsi" w:cstheme="majorBidi"/>
      <w:color w:val="000000" w:themeColor="text1"/>
    </w:rPr>
    <w:tblPr>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auto"/>
          <w:insideV w:val="single" w:sz="6" w:space="0" w:color="auto"/>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Pr>
      <w:rFonts w:asciiTheme="majorHAnsi" w:eastAsiaTheme="majorEastAsia" w:hAnsiTheme="majorHAnsi" w:cstheme="majorBidi"/>
      <w:color w:val="000000" w:themeColor="text1"/>
    </w:rPr>
    <w:tblPr>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auto"/>
          <w:insideV w:val="single" w:sz="6" w:space="0" w:color="auto"/>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Pr>
      <w:rFonts w:asciiTheme="majorHAnsi" w:eastAsiaTheme="majorEastAsia" w:hAnsiTheme="majorHAnsi" w:cstheme="majorBidi"/>
      <w:color w:val="000000" w:themeColor="text1"/>
    </w:rPr>
    <w:tblPr>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auto"/>
          <w:insideV w:val="single" w:sz="6" w:space="0" w:color="auto"/>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Pr>
      <w:rFonts w:asciiTheme="majorHAnsi" w:eastAsiaTheme="majorEastAsia" w:hAnsiTheme="majorHAnsi" w:cstheme="majorBidi"/>
      <w:color w:val="000000" w:themeColor="text1"/>
    </w:rPr>
    <w:tblPr>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auto"/>
          <w:insideV w:val="single" w:sz="6" w:space="0" w:color="auto"/>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MediumGrid3-Accent1">
    <w:name w:val="Medium Grid 3 Accent 1"/>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7BFDE" w:themeFill="accent1" w:themeFillTint="7F"/>
      </w:tcPr>
    </w:tblStylePr>
  </w:style>
  <w:style w:type="table" w:styleId="MediumGrid3-Accent2">
    <w:name w:val="Medium Grid 3 Accent 2"/>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DFA7A6" w:themeFill="accent2" w:themeFillTint="7F"/>
      </w:tcPr>
    </w:tblStylePr>
  </w:style>
  <w:style w:type="table" w:styleId="MediumGrid3-Accent3">
    <w:name w:val="Medium Grid 3 Accent 3"/>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CDDDAC" w:themeFill="accent3" w:themeFillTint="7F"/>
      </w:tcPr>
    </w:tblStylePr>
  </w:style>
  <w:style w:type="table" w:styleId="MediumGrid3-Accent4">
    <w:name w:val="Medium Grid 3 Accent 4"/>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FB1D0" w:themeFill="accent4" w:themeFillTint="7F"/>
      </w:tcPr>
    </w:tblStylePr>
  </w:style>
  <w:style w:type="table" w:styleId="MediumGrid3-Accent5">
    <w:name w:val="Medium Grid 3 Accent 5"/>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5D5E2" w:themeFill="accent5" w:themeFillTint="7F"/>
      </w:tcPr>
    </w:tblStylePr>
  </w:style>
  <w:style w:type="table" w:styleId="MediumGrid3-Accent6">
    <w:name w:val="Medium Grid 3 Accent 6"/>
    <w:basedOn w:val="TableNormal"/>
    <w:uiPriority w:val="69"/>
    <w:tblPr>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BCAA2" w:themeFill="accent6" w:themeFillTint="7F"/>
      </w:tcPr>
    </w:tblStylePr>
  </w:style>
  <w:style w:type="table" w:styleId="DarkList">
    <w:name w:val="Dark List"/>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Pr>
      <w:color w:val="000000" w:themeColor="text1"/>
    </w:rPr>
    <w:tblPr>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Pr>
      <w:color w:val="000000" w:themeColor="text1"/>
    </w:rPr>
    <w:tblPr>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Pr>
      <w:color w:val="000000" w:themeColor="text1"/>
    </w:rPr>
    <w:tblPr>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Pr>
      <w:color w:val="000000" w:themeColor="text1"/>
    </w:rPr>
    <w:tblPr>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Pr>
      <w:color w:val="000000" w:themeColor="text1"/>
    </w:rPr>
    <w:tblPr>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Pr>
      <w:color w:val="000000" w:themeColor="text1"/>
    </w:rPr>
    <w:tblPr>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Pr>
      <w:color w:val="000000" w:themeColor="text1"/>
    </w:rPr>
    <w:tblPr>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Pr>
      <w:color w:val="000000" w:themeColor="text1"/>
    </w:rPr>
    <w:tblPr>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NoSpacing">
    <w:name w:val="No Spacing"/>
    <w:uiPriority w:val="1"/>
    <w:qFormat/>
    <w:rPr>
      <w:sz w:val="22"/>
      <w:szCs w:val="22"/>
    </w:r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qFormat/>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pPr>
      <w:ind w:left="720"/>
      <w:contextualSpacing/>
    </w:pPr>
  </w:style>
  <w:style w:type="character" w:customStyle="1" w:styleId="BodyTextChar">
    <w:name w:val="Body Text Char"/>
    <w:basedOn w:val="DefaultParagraphFont"/>
    <w:link w:val="BodyText"/>
    <w:uiPriority w:val="99"/>
  </w:style>
  <w:style w:type="character" w:customStyle="1" w:styleId="BodyText2Char">
    <w:name w:val="Body Text 2 Char"/>
    <w:basedOn w:val="DefaultParagraphFont"/>
    <w:link w:val="BodyText2"/>
    <w:uiPriority w:val="99"/>
  </w:style>
  <w:style w:type="character" w:customStyle="1" w:styleId="BodyText3Char">
    <w:name w:val="Body Text 3 Char"/>
    <w:basedOn w:val="DefaultParagraphFont"/>
    <w:link w:val="BodyText3"/>
    <w:uiPriority w:val="99"/>
    <w:rPr>
      <w:sz w:val="16"/>
      <w:szCs w:val="16"/>
    </w:rPr>
  </w:style>
  <w:style w:type="character" w:customStyle="1" w:styleId="MacroTextChar">
    <w:name w:val="Macro Text Char"/>
    <w:basedOn w:val="DefaultParagraphFont"/>
    <w:link w:val="MacroText"/>
    <w:uiPriority w:val="99"/>
    <w:rPr>
      <w:rFonts w:ascii="Courier" w:hAnsi="Courier"/>
      <w:sz w:val="20"/>
      <w:szCs w:val="20"/>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qFormat/>
    <w:rPr>
      <w:i/>
      <w:i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44061"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244061" w:themeColor="accent1" w:themeShade="8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paragraph" w:styleId="IntenseQuote">
    <w:name w:val="Intense Quote"/>
    <w:basedOn w:val="Normal"/>
    <w:next w:val="Normal"/>
    <w:link w:val="IntenseQuoteChar"/>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qFormat/>
    <w:rPr>
      <w:b/>
      <w:bCs/>
      <w:i/>
      <w:iCs/>
      <w:color w:val="4F81BD" w:themeColor="accent1"/>
    </w:rPr>
  </w:style>
  <w:style w:type="character" w:customStyle="1" w:styleId="SubtleEmphasis1">
    <w:name w:val="Subtle Emphasis1"/>
    <w:basedOn w:val="DefaultParagraphFont"/>
    <w:uiPriority w:val="19"/>
    <w:qFormat/>
    <w:rPr>
      <w:i/>
      <w:iCs/>
      <w:color w:val="7F7F7F" w:themeColor="text1" w:themeTint="80"/>
    </w:rPr>
  </w:style>
  <w:style w:type="character" w:customStyle="1" w:styleId="IntenseEmphasis1">
    <w:name w:val="Intense Emphasis1"/>
    <w:basedOn w:val="DefaultParagraphFont"/>
    <w:uiPriority w:val="21"/>
    <w:qFormat/>
    <w:rPr>
      <w:b/>
      <w:bCs/>
      <w:i/>
      <w:iCs/>
      <w:color w:val="4F81BD" w:themeColor="accent1"/>
    </w:rPr>
  </w:style>
  <w:style w:type="character" w:customStyle="1" w:styleId="SubtleReference1">
    <w:name w:val="Subtle Reference1"/>
    <w:basedOn w:val="DefaultParagraphFont"/>
    <w:uiPriority w:val="31"/>
    <w:qFormat/>
    <w:rPr>
      <w:smallCaps/>
      <w:color w:val="C0504D" w:themeColor="accent2"/>
      <w:u w:val="single"/>
    </w:rPr>
  </w:style>
  <w:style w:type="character" w:customStyle="1" w:styleId="IntenseReference1">
    <w:name w:val="Intense Reference1"/>
    <w:basedOn w:val="DefaultParagraphFont"/>
    <w:uiPriority w:val="32"/>
    <w:qFormat/>
    <w:rPr>
      <w:b/>
      <w:bCs/>
      <w:smallCaps/>
      <w:color w:val="C0504D" w:themeColor="accent2"/>
      <w:spacing w:val="5"/>
      <w:u w:val="single"/>
    </w:rPr>
  </w:style>
  <w:style w:type="character" w:customStyle="1" w:styleId="BookTitle1">
    <w:name w:val="Book Title1"/>
    <w:basedOn w:val="DefaultParagraphFont"/>
    <w:uiPriority w:val="33"/>
    <w:qFormat/>
    <w:rPr>
      <w:b/>
      <w:bCs/>
      <w:smallCaps/>
      <w:spacing w:val="5"/>
    </w:rPr>
  </w:style>
  <w:style w:type="paragraph" w:customStyle="1" w:styleId="TOCHeading1">
    <w:name w:val="TOC Heading1"/>
    <w:basedOn w:val="Heading1"/>
    <w:next w:val="Normal"/>
    <w:uiPriority w:val="39"/>
    <w:semiHidden/>
    <w:unhideWhenUsed/>
    <w:qFormat/>
    <w:pPr>
      <w:outlineLvl w:val="9"/>
    </w:pPr>
  </w:style>
  <w:style w:type="character" w:customStyle="1" w:styleId="UnresolvedMention1">
    <w:name w:val="Unresolved Mention1"/>
    <w:basedOn w:val="DefaultParagraphFont"/>
    <w:uiPriority w:val="99"/>
    <w:semiHidden/>
    <w:unhideWhenUsed/>
    <w:rPr>
      <w:color w:val="605E5C"/>
      <w:shd w:val="clear" w:color="auto" w:fill="E1DFDD"/>
    </w:rPr>
  </w:style>
  <w:style w:type="paragraph" w:styleId="NormalWeb">
    <w:name w:val="Normal (Web)"/>
    <w:basedOn w:val="Normal"/>
    <w:uiPriority w:val="99"/>
    <w:semiHidden/>
    <w:unhideWhenUsed/>
    <w:rsid w:val="00106DB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77664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58882BD-F7FE-429F-9C93-3CE88DC3F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18</Pages>
  <Words>5002</Words>
  <Characters>28518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description>generated by python-docx</dc:description>
  <cp:lastModifiedBy>ZARYAB</cp:lastModifiedBy>
  <cp:revision>21</cp:revision>
  <dcterms:created xsi:type="dcterms:W3CDTF">2025-09-07T09:04:00Z</dcterms:created>
  <dcterms:modified xsi:type="dcterms:W3CDTF">2025-09-14T22:43:00Z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1033-12.2.0.22530</vt:lpwstr>
  </property>
  <property fmtid="{D5CDD505-2E9C-101B-9397-08002B2CF9AE}" pid="3" name="ICV">
    <vt:lpwstr>F3D1D3BB1A6D4BA69088CB7D835A0CF8_12</vt:lpwstr>
  </property>
</Properties>
</file>