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206B" w:rsidRPr="000A1045" w:rsidRDefault="00D8206B" w:rsidP="00F15D0E">
      <w:pPr>
        <w:jc w:val="center"/>
        <w:rPr>
          <w:rFonts w:ascii="Arial" w:hAnsi="Arial" w:cs="Arial"/>
          <w:b/>
          <w:bCs/>
          <w:sz w:val="30"/>
        </w:rPr>
      </w:pPr>
      <w:r w:rsidRPr="000A1045">
        <w:rPr>
          <w:rFonts w:ascii="Arial" w:hAnsi="Arial" w:cs="Arial"/>
          <w:b/>
          <w:bCs/>
          <w:sz w:val="30"/>
        </w:rPr>
        <w:t>Topic-</w:t>
      </w:r>
      <w:r w:rsidR="00917AC4" w:rsidRPr="00917AC4">
        <w:t xml:space="preserve"> </w:t>
      </w:r>
      <w:r w:rsidR="00917AC4" w:rsidRPr="00917AC4">
        <w:rPr>
          <w:rFonts w:ascii="Arial" w:hAnsi="Arial" w:cs="Arial"/>
          <w:b/>
          <w:bCs/>
          <w:sz w:val="30"/>
        </w:rPr>
        <w:t xml:space="preserve">The effect </w:t>
      </w:r>
      <w:r w:rsidR="00917AC4">
        <w:rPr>
          <w:rFonts w:ascii="Arial" w:hAnsi="Arial" w:cs="Arial"/>
          <w:b/>
          <w:bCs/>
          <w:sz w:val="30"/>
        </w:rPr>
        <w:t xml:space="preserve">of Dividend to shareholders </w:t>
      </w:r>
      <w:r w:rsidR="00917AC4" w:rsidRPr="00917AC4">
        <w:rPr>
          <w:rFonts w:ascii="Arial" w:hAnsi="Arial" w:cs="Arial"/>
          <w:b/>
          <w:bCs/>
          <w:sz w:val="30"/>
        </w:rPr>
        <w:t>on investment Decisions</w:t>
      </w:r>
      <w:r w:rsidR="00917AC4">
        <w:rPr>
          <w:rFonts w:ascii="Arial" w:hAnsi="Arial" w:cs="Arial"/>
          <w:b/>
          <w:bCs/>
          <w:sz w:val="30"/>
        </w:rPr>
        <w:t>-The case of UK firms</w:t>
      </w:r>
    </w:p>
    <w:p w:rsidR="00D8206B" w:rsidRPr="000A1045" w:rsidRDefault="00D8206B" w:rsidP="0001770A">
      <w:pPr>
        <w:jc w:val="both"/>
        <w:rPr>
          <w:rFonts w:ascii="Arial" w:hAnsi="Arial" w:cs="Arial"/>
          <w:b/>
          <w:bCs/>
        </w:rPr>
      </w:pPr>
    </w:p>
    <w:p w:rsidR="009C6E1C" w:rsidRPr="000A1045" w:rsidRDefault="00AA0300" w:rsidP="00BA441F">
      <w:pPr>
        <w:pStyle w:val="ListParagraph"/>
        <w:numPr>
          <w:ilvl w:val="0"/>
          <w:numId w:val="12"/>
        </w:numPr>
        <w:jc w:val="both"/>
        <w:rPr>
          <w:rFonts w:ascii="Arial" w:hAnsi="Arial" w:cs="Arial"/>
          <w:b/>
          <w:bCs/>
        </w:rPr>
      </w:pPr>
      <w:r>
        <w:rPr>
          <w:rFonts w:ascii="Arial" w:hAnsi="Arial" w:cs="Arial"/>
          <w:b/>
          <w:bCs/>
        </w:rPr>
        <w:t>Background and Research Problem</w:t>
      </w:r>
    </w:p>
    <w:p w:rsidR="00D23257" w:rsidRPr="00D23257" w:rsidRDefault="00D23257" w:rsidP="00D23257">
      <w:pPr>
        <w:jc w:val="both"/>
        <w:rPr>
          <w:rFonts w:ascii="Arial" w:hAnsi="Arial" w:cs="Arial"/>
        </w:rPr>
      </w:pPr>
      <w:r w:rsidRPr="00D23257">
        <w:rPr>
          <w:rFonts w:ascii="Arial" w:hAnsi="Arial" w:cs="Arial"/>
        </w:rPr>
        <w:t xml:space="preserve">Dividend policy has long been </w:t>
      </w:r>
      <w:proofErr w:type="spellStart"/>
      <w:r w:rsidRPr="00D23257">
        <w:rPr>
          <w:rFonts w:ascii="Arial" w:hAnsi="Arial" w:cs="Arial"/>
        </w:rPr>
        <w:t>recognised</w:t>
      </w:r>
      <w:proofErr w:type="spellEnd"/>
      <w:r w:rsidRPr="00D23257">
        <w:rPr>
          <w:rFonts w:ascii="Arial" w:hAnsi="Arial" w:cs="Arial"/>
        </w:rPr>
        <w:t xml:space="preserve"> as one of the most perplexing issues in corporate finance, with Black (1976) famously describing it as a “puzzle” with pieces that do not seem to fit (</w:t>
      </w:r>
      <w:proofErr w:type="spellStart"/>
      <w:r w:rsidRPr="00D23257">
        <w:rPr>
          <w:rFonts w:ascii="Arial" w:hAnsi="Arial" w:cs="Arial"/>
        </w:rPr>
        <w:t>Kilincarslan</w:t>
      </w:r>
      <w:proofErr w:type="spellEnd"/>
      <w:r w:rsidRPr="00D23257">
        <w:rPr>
          <w:rFonts w:ascii="Arial" w:hAnsi="Arial" w:cs="Arial"/>
        </w:rPr>
        <w:t>, 2024). The theoretical foundations of dividend policy research are anchored in several seminal contributions that have shaped scholarly understanding of how dividend distributions affect firm value and shareholder wealth. Miller and Modigliani (1961) established the foundational proposition that, under conditions of perfect capital markets, dividend policy does not affect firm value, a theorem that has since been challenged by the relaxation of its underlying assumptions (</w:t>
      </w:r>
      <w:proofErr w:type="spellStart"/>
      <w:r w:rsidRPr="00D23257">
        <w:rPr>
          <w:rFonts w:ascii="Arial" w:hAnsi="Arial" w:cs="Arial"/>
        </w:rPr>
        <w:t>Kilincarslan</w:t>
      </w:r>
      <w:proofErr w:type="spellEnd"/>
      <w:r w:rsidRPr="00D23257">
        <w:rPr>
          <w:rFonts w:ascii="Arial" w:hAnsi="Arial" w:cs="Arial"/>
        </w:rPr>
        <w:t xml:space="preserve">, 2024). The </w:t>
      </w:r>
      <w:proofErr w:type="spellStart"/>
      <w:r w:rsidRPr="00D23257">
        <w:rPr>
          <w:rFonts w:ascii="Arial" w:hAnsi="Arial" w:cs="Arial"/>
        </w:rPr>
        <w:t>signalling</w:t>
      </w:r>
      <w:proofErr w:type="spellEnd"/>
      <w:r w:rsidRPr="00D23257">
        <w:rPr>
          <w:rFonts w:ascii="Arial" w:hAnsi="Arial" w:cs="Arial"/>
        </w:rPr>
        <w:t xml:space="preserve"> theory of dividends, developed by Bhattacharya (1979) and extended by John and Williams (1985), posits that dividends serve as credible signals of a firm's future prospects in environments </w:t>
      </w:r>
      <w:proofErr w:type="spellStart"/>
      <w:r w:rsidRPr="00D23257">
        <w:rPr>
          <w:rFonts w:ascii="Arial" w:hAnsi="Arial" w:cs="Arial"/>
        </w:rPr>
        <w:t>characterised</w:t>
      </w:r>
      <w:proofErr w:type="spellEnd"/>
      <w:r w:rsidRPr="00D23257">
        <w:rPr>
          <w:rFonts w:ascii="Arial" w:hAnsi="Arial" w:cs="Arial"/>
        </w:rPr>
        <w:t xml:space="preserve"> by information asymmetry between managers and outside investors (Miller and Rock, 1985). Agency theory, articulated by Jensen and </w:t>
      </w:r>
      <w:proofErr w:type="spellStart"/>
      <w:r w:rsidRPr="00D23257">
        <w:rPr>
          <w:rFonts w:ascii="Arial" w:hAnsi="Arial" w:cs="Arial"/>
        </w:rPr>
        <w:t>Meckling</w:t>
      </w:r>
      <w:proofErr w:type="spellEnd"/>
      <w:r w:rsidRPr="00D23257">
        <w:rPr>
          <w:rFonts w:ascii="Arial" w:hAnsi="Arial" w:cs="Arial"/>
        </w:rPr>
        <w:t xml:space="preserve"> (1976), provides another influential framework, suggesting that dividend payments serve as a mechanism for reducing free cash flows available for managerial discretion, thereby mitigating agency costs (La Porta et al., 2000). Miller and Rock (1985) further contributed to the theoretical landscape by demonstrating how dividend announcements convey information about current and future earnings under asymmetric information conditions.</w:t>
      </w:r>
    </w:p>
    <w:p w:rsidR="00D23257" w:rsidRPr="00D23257" w:rsidRDefault="00D23257" w:rsidP="00D23257">
      <w:pPr>
        <w:jc w:val="both"/>
        <w:rPr>
          <w:rFonts w:ascii="Arial" w:hAnsi="Arial" w:cs="Arial"/>
        </w:rPr>
      </w:pPr>
      <w:r w:rsidRPr="00D23257">
        <w:rPr>
          <w:rFonts w:ascii="Arial" w:hAnsi="Arial" w:cs="Arial"/>
        </w:rPr>
        <w:t xml:space="preserve">The United Kingdom presents a particularly compelling context for examining the dividend-investment nexus, as UK firms have historically demonstrated a strong dividend culture </w:t>
      </w:r>
      <w:proofErr w:type="spellStart"/>
      <w:r w:rsidRPr="00D23257">
        <w:rPr>
          <w:rFonts w:ascii="Arial" w:hAnsi="Arial" w:cs="Arial"/>
        </w:rPr>
        <w:t>characterised</w:t>
      </w:r>
      <w:proofErr w:type="spellEnd"/>
      <w:r w:rsidRPr="00D23257">
        <w:rPr>
          <w:rFonts w:ascii="Arial" w:hAnsi="Arial" w:cs="Arial"/>
        </w:rPr>
        <w:t xml:space="preserve"> by stable and persistent dividend payments even during periods of economic turbulence (</w:t>
      </w:r>
      <w:proofErr w:type="spellStart"/>
      <w:r w:rsidRPr="00D23257">
        <w:rPr>
          <w:rFonts w:ascii="Arial" w:hAnsi="Arial" w:cs="Arial"/>
        </w:rPr>
        <w:t>Kilincarslan</w:t>
      </w:r>
      <w:proofErr w:type="spellEnd"/>
      <w:r w:rsidRPr="00D23257">
        <w:rPr>
          <w:rFonts w:ascii="Arial" w:hAnsi="Arial" w:cs="Arial"/>
        </w:rPr>
        <w:t>, 2021). Research indicates that UK companies maintain high dividend payout rates despite earnings volatility, reflecting a deep-seated commitment to shareholder returns (</w:t>
      </w:r>
      <w:proofErr w:type="spellStart"/>
      <w:r w:rsidRPr="00D23257">
        <w:rPr>
          <w:rFonts w:ascii="Arial" w:hAnsi="Arial" w:cs="Arial"/>
        </w:rPr>
        <w:t>Kilincarslan</w:t>
      </w:r>
      <w:proofErr w:type="spellEnd"/>
      <w:r w:rsidRPr="00D23257">
        <w:rPr>
          <w:rFonts w:ascii="Arial" w:hAnsi="Arial" w:cs="Arial"/>
        </w:rPr>
        <w:t>, 2021). This dividend persistence has been observed across various market conditions, including the 2008 global financial crisis, where UK firms sustained dividend payments despite the credit crunch (</w:t>
      </w:r>
      <w:proofErr w:type="spellStart"/>
      <w:r w:rsidRPr="00D23257">
        <w:rPr>
          <w:rFonts w:ascii="Arial" w:hAnsi="Arial" w:cs="Arial"/>
        </w:rPr>
        <w:t>Kilincarslan</w:t>
      </w:r>
      <w:proofErr w:type="spellEnd"/>
      <w:r w:rsidRPr="00D23257">
        <w:rPr>
          <w:rFonts w:ascii="Arial" w:hAnsi="Arial" w:cs="Arial"/>
        </w:rPr>
        <w:t xml:space="preserve">, 2021). The UK market's distinctive institutional characteristics, including its shareholder-oriented governance framework and the prevalence of institutional investors, further accentuate the importance of understanding how dividend policy influences shareholder investment decisions (La Porta et al., 2000; </w:t>
      </w:r>
      <w:proofErr w:type="spellStart"/>
      <w:r w:rsidRPr="00D23257">
        <w:rPr>
          <w:rFonts w:ascii="Arial" w:hAnsi="Arial" w:cs="Arial"/>
        </w:rPr>
        <w:t>Charreaux</w:t>
      </w:r>
      <w:proofErr w:type="spellEnd"/>
      <w:r w:rsidRPr="00D23257">
        <w:rPr>
          <w:rFonts w:ascii="Arial" w:hAnsi="Arial" w:cs="Arial"/>
        </w:rPr>
        <w:t>, 1991). London has historically been a strong source of dividend income, with the yield on British shares typically around twice as high as that on more growth-focused US stocks (Fidelity UK, 2025).</w:t>
      </w:r>
    </w:p>
    <w:p w:rsidR="00AA0300" w:rsidRPr="00AA0300" w:rsidRDefault="00D23257" w:rsidP="00D23257">
      <w:pPr>
        <w:jc w:val="both"/>
        <w:rPr>
          <w:rFonts w:ascii="Arial" w:hAnsi="Arial" w:cs="Arial"/>
        </w:rPr>
      </w:pPr>
      <w:r w:rsidRPr="00D23257">
        <w:rPr>
          <w:rFonts w:ascii="Arial" w:hAnsi="Arial" w:cs="Arial"/>
        </w:rPr>
        <w:t xml:space="preserve">Recent global dividend trends provide important context for this investigation. S&amp;P Global Market Intelligence projects global aggregate dividends to grow by 2.9% in 2026, reaching US$2,471 billion, though this represents a deceleration from the 4.7% growth observed in 2025 (S&amp;P Global Market Intelligence, 2026). The UK is forecast to experience steady 3.8% dividend growth in 2026, reflecting broader market sentiment and economic conditions (S&amp;P Global Market Intelligence, 2026). However, macroeconomic uncertainties, including trade tensions, </w:t>
      </w:r>
      <w:r w:rsidRPr="00D23257">
        <w:rPr>
          <w:rFonts w:ascii="Arial" w:hAnsi="Arial" w:cs="Arial"/>
        </w:rPr>
        <w:lastRenderedPageBreak/>
        <w:t>fluctuating interest rates, currency volatility, and geopolitical conflicts, continue to weigh on corporate earnings and, by extension, dividend growth (S&amp;P Global Market Intelligence, 2026). These dynamics underscore the contemporary relevance of examining how dividend policy shapes shareholder investment decisions in the UK corporate landscape</w:t>
      </w:r>
      <w:r w:rsidR="00AA0300" w:rsidRPr="00AA0300">
        <w:rPr>
          <w:rFonts w:ascii="Arial" w:hAnsi="Arial" w:cs="Arial"/>
        </w:rPr>
        <w:t>.</w:t>
      </w:r>
    </w:p>
    <w:p w:rsidR="00AA0300" w:rsidRPr="0012156A" w:rsidRDefault="00AA0300" w:rsidP="00AA0300">
      <w:pPr>
        <w:jc w:val="both"/>
        <w:rPr>
          <w:rFonts w:ascii="Arial" w:hAnsi="Arial" w:cs="Arial"/>
          <w:b/>
        </w:rPr>
      </w:pPr>
      <w:r w:rsidRPr="0012156A">
        <w:rPr>
          <w:rFonts w:ascii="Arial" w:hAnsi="Arial" w:cs="Arial"/>
          <w:b/>
        </w:rPr>
        <w:t>Research Problem</w:t>
      </w:r>
    </w:p>
    <w:p w:rsidR="00901FCD" w:rsidRPr="00901FCD" w:rsidRDefault="00901FCD" w:rsidP="00901FCD">
      <w:pPr>
        <w:jc w:val="both"/>
        <w:rPr>
          <w:rFonts w:ascii="Arial" w:hAnsi="Arial" w:cs="Arial"/>
        </w:rPr>
      </w:pPr>
      <w:r w:rsidRPr="00901FCD">
        <w:rPr>
          <w:rFonts w:ascii="Arial" w:hAnsi="Arial" w:cs="Arial"/>
        </w:rPr>
        <w:t xml:space="preserve">Despite the extensive theoretical and empirical literature on dividend policy, significant gaps persist in understanding the precise mechanisms through which dividend distributions influence shareholder investment decisions, particularly in the UK context. Dividend policy decisions are crucial for overall corporate strategy and creating firm value, making them important for shareholders, as dividend policy can impact share prices and shareholder wealth because it influences a firm's investment and capital structure decisions (Smith and Watts, 1992; Barclay et al., 1995; Bishop et al., 2000; </w:t>
      </w:r>
      <w:proofErr w:type="spellStart"/>
      <w:r w:rsidRPr="00901FCD">
        <w:rPr>
          <w:rFonts w:ascii="Arial" w:hAnsi="Arial" w:cs="Arial"/>
        </w:rPr>
        <w:t>Kilincarslan</w:t>
      </w:r>
      <w:proofErr w:type="spellEnd"/>
      <w:r w:rsidRPr="00901FCD">
        <w:rPr>
          <w:rFonts w:ascii="Arial" w:hAnsi="Arial" w:cs="Arial"/>
        </w:rPr>
        <w:t>, 2024). The fundamental tension between dividend payouts and investment expenditures—whereby funds distributed as dividends are unavailable for reinvestment—raises critical questions about optimal resource allocation within firms (</w:t>
      </w:r>
      <w:proofErr w:type="spellStart"/>
      <w:r w:rsidRPr="00901FCD">
        <w:rPr>
          <w:rFonts w:ascii="Arial" w:hAnsi="Arial" w:cs="Arial"/>
        </w:rPr>
        <w:t>Ramalingegowda</w:t>
      </w:r>
      <w:proofErr w:type="spellEnd"/>
      <w:r w:rsidRPr="00901FCD">
        <w:rPr>
          <w:rFonts w:ascii="Arial" w:hAnsi="Arial" w:cs="Arial"/>
        </w:rPr>
        <w:t>, Wang and Yu, 2013). Research suggests that UK companies do not generally follow a residual dividend policy, indicating that dividend decisions are not merely a passive outcome of investment choices but represent active strategic considerations that may affect shareholder wealth (</w:t>
      </w:r>
      <w:proofErr w:type="spellStart"/>
      <w:r w:rsidRPr="00901FCD">
        <w:rPr>
          <w:rFonts w:ascii="Arial" w:hAnsi="Arial" w:cs="Arial"/>
        </w:rPr>
        <w:t>M'rabet</w:t>
      </w:r>
      <w:proofErr w:type="spellEnd"/>
      <w:r w:rsidRPr="00901FCD">
        <w:rPr>
          <w:rFonts w:ascii="Arial" w:hAnsi="Arial" w:cs="Arial"/>
        </w:rPr>
        <w:t xml:space="preserve"> and </w:t>
      </w:r>
      <w:proofErr w:type="spellStart"/>
      <w:r w:rsidRPr="00901FCD">
        <w:rPr>
          <w:rFonts w:ascii="Arial" w:hAnsi="Arial" w:cs="Arial"/>
        </w:rPr>
        <w:t>Boujjat</w:t>
      </w:r>
      <w:proofErr w:type="spellEnd"/>
      <w:r w:rsidRPr="00901FCD">
        <w:rPr>
          <w:rFonts w:ascii="Arial" w:hAnsi="Arial" w:cs="Arial"/>
        </w:rPr>
        <w:t>, 2016).</w:t>
      </w:r>
    </w:p>
    <w:p w:rsidR="00901FCD" w:rsidRPr="00901FCD" w:rsidRDefault="00901FCD" w:rsidP="00901FCD">
      <w:pPr>
        <w:jc w:val="both"/>
        <w:rPr>
          <w:rFonts w:ascii="Arial" w:hAnsi="Arial" w:cs="Arial"/>
        </w:rPr>
      </w:pPr>
      <w:r w:rsidRPr="00901FCD">
        <w:rPr>
          <w:rFonts w:ascii="Arial" w:hAnsi="Arial" w:cs="Arial"/>
        </w:rPr>
        <w:t>Prior studies have yielded conflicting evidence on the dividend-investment relationship. While some research indicates that dividend payments constrain investment by depleting internal funds, other studies suggest that dividends can enhance investment efficiency by imposing financial discipline on managers (</w:t>
      </w:r>
      <w:proofErr w:type="spellStart"/>
      <w:r w:rsidRPr="00901FCD">
        <w:rPr>
          <w:rFonts w:ascii="Arial" w:hAnsi="Arial" w:cs="Arial"/>
        </w:rPr>
        <w:t>Ramalingegowda</w:t>
      </w:r>
      <w:proofErr w:type="spellEnd"/>
      <w:r w:rsidRPr="00901FCD">
        <w:rPr>
          <w:rFonts w:ascii="Arial" w:hAnsi="Arial" w:cs="Arial"/>
        </w:rPr>
        <w:t>, Wang and Yu, 2013). The relationship between dividend policy and investment decisions in the UK remains underexplored, with limited relevant research available on this market's distinct payout characteristics (</w:t>
      </w:r>
      <w:proofErr w:type="spellStart"/>
      <w:r w:rsidRPr="00901FCD">
        <w:rPr>
          <w:rFonts w:ascii="Arial" w:hAnsi="Arial" w:cs="Arial"/>
        </w:rPr>
        <w:t>Chasiotis</w:t>
      </w:r>
      <w:proofErr w:type="spellEnd"/>
      <w:r w:rsidRPr="00901FCD">
        <w:rPr>
          <w:rFonts w:ascii="Arial" w:hAnsi="Arial" w:cs="Arial"/>
        </w:rPr>
        <w:t xml:space="preserve"> and </w:t>
      </w:r>
      <w:proofErr w:type="spellStart"/>
      <w:r w:rsidRPr="00901FCD">
        <w:rPr>
          <w:rFonts w:ascii="Arial" w:hAnsi="Arial" w:cs="Arial"/>
        </w:rPr>
        <w:t>Georgantopoulos</w:t>
      </w:r>
      <w:proofErr w:type="spellEnd"/>
      <w:r w:rsidRPr="00901FCD">
        <w:rPr>
          <w:rFonts w:ascii="Arial" w:hAnsi="Arial" w:cs="Arial"/>
        </w:rPr>
        <w:t xml:space="preserve">, 2021). </w:t>
      </w:r>
      <w:proofErr w:type="spellStart"/>
      <w:r w:rsidRPr="00901FCD">
        <w:rPr>
          <w:rFonts w:ascii="Arial" w:hAnsi="Arial" w:cs="Arial"/>
        </w:rPr>
        <w:t>Chasiotis</w:t>
      </w:r>
      <w:proofErr w:type="spellEnd"/>
      <w:r w:rsidRPr="00901FCD">
        <w:rPr>
          <w:rFonts w:ascii="Arial" w:hAnsi="Arial" w:cs="Arial"/>
        </w:rPr>
        <w:t xml:space="preserve"> and </w:t>
      </w:r>
      <w:proofErr w:type="spellStart"/>
      <w:r w:rsidRPr="00901FCD">
        <w:rPr>
          <w:rFonts w:ascii="Arial" w:hAnsi="Arial" w:cs="Arial"/>
        </w:rPr>
        <w:t>Georgantopoulos</w:t>
      </w:r>
      <w:proofErr w:type="spellEnd"/>
      <w:r w:rsidRPr="00901FCD">
        <w:rPr>
          <w:rFonts w:ascii="Arial" w:hAnsi="Arial" w:cs="Arial"/>
        </w:rPr>
        <w:t xml:space="preserve"> (2021) investigated the relative flexibility of payouts vis-à-vis investment in the UK using a sample of 6,173 firm-year observations from 271 non-financial firms in the FTSE-All Share Index during 1990–2019, finding that dividends and investment are independent across the investment distribution, underlining the rigidity of dividends in the UK. </w:t>
      </w:r>
      <w:proofErr w:type="spellStart"/>
      <w:r w:rsidRPr="00901FCD">
        <w:rPr>
          <w:rFonts w:ascii="Arial" w:hAnsi="Arial" w:cs="Arial"/>
        </w:rPr>
        <w:t>Kilincarslan</w:t>
      </w:r>
      <w:proofErr w:type="spellEnd"/>
      <w:r w:rsidRPr="00901FCD">
        <w:rPr>
          <w:rFonts w:ascii="Arial" w:hAnsi="Arial" w:cs="Arial"/>
        </w:rPr>
        <w:t xml:space="preserve"> (2024) investigated the perceptions of corporate managers of non-dividend-paying firms listed on the London Stock Exchange, finding that the main reasons for not paying dividends involve poor profitability, the firm's life cycle stage and profitable growth opportunities, with managers considering shareholder preferences when setting dividend policy.</w:t>
      </w:r>
    </w:p>
    <w:p w:rsidR="00AA0300" w:rsidRDefault="00901FCD" w:rsidP="00AA0300">
      <w:pPr>
        <w:jc w:val="both"/>
        <w:rPr>
          <w:rFonts w:ascii="Arial" w:hAnsi="Arial" w:cs="Arial"/>
        </w:rPr>
      </w:pPr>
      <w:r w:rsidRPr="00901FCD">
        <w:rPr>
          <w:rFonts w:ascii="Arial" w:hAnsi="Arial" w:cs="Arial"/>
        </w:rPr>
        <w:t>The UK's unique institutional environment—</w:t>
      </w:r>
      <w:proofErr w:type="spellStart"/>
      <w:r w:rsidRPr="00901FCD">
        <w:rPr>
          <w:rFonts w:ascii="Arial" w:hAnsi="Arial" w:cs="Arial"/>
        </w:rPr>
        <w:t>characterised</w:t>
      </w:r>
      <w:proofErr w:type="spellEnd"/>
      <w:r w:rsidRPr="00901FCD">
        <w:rPr>
          <w:rFonts w:ascii="Arial" w:hAnsi="Arial" w:cs="Arial"/>
        </w:rPr>
        <w:t xml:space="preserve"> by concentrated ownership structures, strong shareholder protection, and a sophisticated financial reporting regime—may moderate the dividend-investment relationship in ways not captured by studies conducted in other jurisdictions (La Porta et al., 2000). Furthermore, the evolving dividend landscape, including the increasing frequency of dividend payments and the growing prevalence of share buybacks, necessitates updated empirical evidence (</w:t>
      </w:r>
      <w:proofErr w:type="spellStart"/>
      <w:r w:rsidRPr="00901FCD">
        <w:rPr>
          <w:rFonts w:ascii="Arial" w:hAnsi="Arial" w:cs="Arial"/>
        </w:rPr>
        <w:t>Chasiotis</w:t>
      </w:r>
      <w:proofErr w:type="spellEnd"/>
      <w:r w:rsidRPr="00901FCD">
        <w:rPr>
          <w:rFonts w:ascii="Arial" w:hAnsi="Arial" w:cs="Arial"/>
        </w:rPr>
        <w:t xml:space="preserve"> and </w:t>
      </w:r>
      <w:proofErr w:type="spellStart"/>
      <w:r w:rsidRPr="00901FCD">
        <w:rPr>
          <w:rFonts w:ascii="Arial" w:hAnsi="Arial" w:cs="Arial"/>
        </w:rPr>
        <w:t>Georgantopoulos</w:t>
      </w:r>
      <w:proofErr w:type="spellEnd"/>
      <w:r w:rsidRPr="00901FCD">
        <w:rPr>
          <w:rFonts w:ascii="Arial" w:hAnsi="Arial" w:cs="Arial"/>
        </w:rPr>
        <w:t xml:space="preserve">, 2021). Tucker and </w:t>
      </w:r>
      <w:proofErr w:type="spellStart"/>
      <w:r w:rsidRPr="00901FCD">
        <w:rPr>
          <w:rFonts w:ascii="Arial" w:hAnsi="Arial" w:cs="Arial"/>
        </w:rPr>
        <w:t>Misirlioglu</w:t>
      </w:r>
      <w:proofErr w:type="spellEnd"/>
      <w:r w:rsidRPr="00901FCD">
        <w:rPr>
          <w:rFonts w:ascii="Arial" w:hAnsi="Arial" w:cs="Arial"/>
        </w:rPr>
        <w:t xml:space="preserve"> (2024) studied the determinants of pension contributions for UK listed companies and found a significant displacement effect between discretionary pension deficit </w:t>
      </w:r>
      <w:r w:rsidRPr="00901FCD">
        <w:rPr>
          <w:rFonts w:ascii="Arial" w:hAnsi="Arial" w:cs="Arial"/>
        </w:rPr>
        <w:lastRenderedPageBreak/>
        <w:t>contributions and both corporate investment and dividends, which is further strengthened for dividends during periods of poor firm performance and financial constraints. This study addresses these gaps by investigating the effect of dividend policy on shareholder investment decisions among UK-listed firms</w:t>
      </w:r>
      <w:r w:rsidR="00AA0300" w:rsidRPr="00AA0300">
        <w:rPr>
          <w:rFonts w:ascii="Arial" w:hAnsi="Arial" w:cs="Arial"/>
        </w:rPr>
        <w:t>.</w:t>
      </w:r>
    </w:p>
    <w:p w:rsidR="00C95CB0" w:rsidRPr="000A1045" w:rsidRDefault="00C95CB0" w:rsidP="00C95CB0">
      <w:pPr>
        <w:jc w:val="both"/>
        <w:rPr>
          <w:rFonts w:ascii="Arial" w:hAnsi="Arial" w:cs="Arial"/>
          <w:b/>
          <w:bCs/>
        </w:rPr>
      </w:pPr>
      <w:r w:rsidRPr="000A1045">
        <w:rPr>
          <w:rFonts w:ascii="Arial" w:hAnsi="Arial" w:cs="Arial"/>
          <w:b/>
          <w:bCs/>
        </w:rPr>
        <w:t xml:space="preserve">Research </w:t>
      </w:r>
      <w:r w:rsidR="00CC1D2D">
        <w:rPr>
          <w:rFonts w:ascii="Arial" w:hAnsi="Arial" w:cs="Arial"/>
          <w:b/>
          <w:bCs/>
        </w:rPr>
        <w:t xml:space="preserve">Aims and </w:t>
      </w:r>
      <w:r w:rsidRPr="000A1045">
        <w:rPr>
          <w:rFonts w:ascii="Arial" w:hAnsi="Arial" w:cs="Arial"/>
          <w:b/>
          <w:bCs/>
        </w:rPr>
        <w:t>Objectives</w:t>
      </w:r>
    </w:p>
    <w:p w:rsidR="00C95CB0" w:rsidRPr="000A1045" w:rsidRDefault="00CC1D2D" w:rsidP="00C95CB0">
      <w:pPr>
        <w:jc w:val="both"/>
        <w:rPr>
          <w:rFonts w:ascii="Arial" w:hAnsi="Arial" w:cs="Arial"/>
          <w:b/>
          <w:bCs/>
        </w:rPr>
      </w:pPr>
      <w:r>
        <w:rPr>
          <w:rFonts w:ascii="Arial" w:hAnsi="Arial" w:cs="Arial"/>
          <w:b/>
          <w:bCs/>
        </w:rPr>
        <w:t>Research Aims</w:t>
      </w:r>
      <w:r w:rsidR="00C95CB0" w:rsidRPr="000A1045">
        <w:rPr>
          <w:rFonts w:ascii="Arial" w:hAnsi="Arial" w:cs="Arial"/>
          <w:b/>
          <w:bCs/>
        </w:rPr>
        <w:t xml:space="preserve"> </w:t>
      </w:r>
    </w:p>
    <w:p w:rsidR="00C95CB0" w:rsidRPr="000A1045" w:rsidRDefault="00CC1D2D" w:rsidP="00C95CB0">
      <w:pPr>
        <w:jc w:val="both"/>
        <w:rPr>
          <w:rFonts w:ascii="Arial" w:hAnsi="Arial" w:cs="Arial"/>
        </w:rPr>
      </w:pPr>
      <w:r w:rsidRPr="00CC1D2D">
        <w:rPr>
          <w:rFonts w:ascii="Arial" w:hAnsi="Arial" w:cs="Arial"/>
        </w:rPr>
        <w:t xml:space="preserve">The primary aim of this study is to investigate the effect of dividend policy on shareholder investment </w:t>
      </w:r>
      <w:r>
        <w:rPr>
          <w:rFonts w:ascii="Arial" w:hAnsi="Arial" w:cs="Arial"/>
        </w:rPr>
        <w:t>decisions among UK-listed firms</w:t>
      </w:r>
      <w:r w:rsidR="00C95CB0" w:rsidRPr="000A1045">
        <w:rPr>
          <w:rFonts w:ascii="Arial" w:hAnsi="Arial" w:cs="Arial"/>
        </w:rPr>
        <w:t>.</w:t>
      </w:r>
    </w:p>
    <w:p w:rsidR="00C95CB0" w:rsidRPr="000A1045" w:rsidRDefault="00C95CB0" w:rsidP="00C95CB0">
      <w:pPr>
        <w:jc w:val="both"/>
        <w:rPr>
          <w:rFonts w:ascii="Arial" w:hAnsi="Arial" w:cs="Arial"/>
          <w:b/>
          <w:bCs/>
        </w:rPr>
      </w:pPr>
      <w:r w:rsidRPr="000A1045">
        <w:rPr>
          <w:rFonts w:ascii="Arial" w:hAnsi="Arial" w:cs="Arial"/>
          <w:b/>
          <w:bCs/>
        </w:rPr>
        <w:t>Specific Objectives</w:t>
      </w:r>
    </w:p>
    <w:p w:rsidR="00357A65" w:rsidRPr="00357A65" w:rsidRDefault="00357A65" w:rsidP="00357A65">
      <w:pPr>
        <w:numPr>
          <w:ilvl w:val="0"/>
          <w:numId w:val="7"/>
        </w:numPr>
        <w:jc w:val="both"/>
        <w:rPr>
          <w:rFonts w:ascii="Arial" w:hAnsi="Arial" w:cs="Arial"/>
        </w:rPr>
      </w:pPr>
      <w:r w:rsidRPr="00357A65">
        <w:rPr>
          <w:rFonts w:ascii="Arial" w:hAnsi="Arial" w:cs="Arial"/>
        </w:rPr>
        <w:t>To examine the relationship between dividend payouts and shareholder investment decisions among UK-listed firms (</w:t>
      </w:r>
      <w:proofErr w:type="spellStart"/>
      <w:r w:rsidRPr="00357A65">
        <w:rPr>
          <w:rFonts w:ascii="Arial" w:hAnsi="Arial" w:cs="Arial"/>
        </w:rPr>
        <w:t>Chasiotis</w:t>
      </w:r>
      <w:proofErr w:type="spellEnd"/>
      <w:r w:rsidRPr="00357A65">
        <w:rPr>
          <w:rFonts w:ascii="Arial" w:hAnsi="Arial" w:cs="Arial"/>
        </w:rPr>
        <w:t xml:space="preserve"> and </w:t>
      </w:r>
      <w:proofErr w:type="spellStart"/>
      <w:r w:rsidRPr="00357A65">
        <w:rPr>
          <w:rFonts w:ascii="Arial" w:hAnsi="Arial" w:cs="Arial"/>
        </w:rPr>
        <w:t>Georgantopoulos</w:t>
      </w:r>
      <w:proofErr w:type="spellEnd"/>
      <w:r w:rsidRPr="00357A65">
        <w:rPr>
          <w:rFonts w:ascii="Arial" w:hAnsi="Arial" w:cs="Arial"/>
        </w:rPr>
        <w:t>, 2021).</w:t>
      </w:r>
    </w:p>
    <w:p w:rsidR="00357A65" w:rsidRPr="00357A65" w:rsidRDefault="00357A65" w:rsidP="00357A65">
      <w:pPr>
        <w:numPr>
          <w:ilvl w:val="0"/>
          <w:numId w:val="7"/>
        </w:numPr>
        <w:jc w:val="both"/>
        <w:rPr>
          <w:rFonts w:ascii="Arial" w:hAnsi="Arial" w:cs="Arial"/>
        </w:rPr>
      </w:pPr>
      <w:r w:rsidRPr="00357A65">
        <w:rPr>
          <w:rFonts w:ascii="Arial" w:hAnsi="Arial" w:cs="Arial"/>
        </w:rPr>
        <w:t>To assess the extent to which dividend policy constrains or facilitates investment decisions in the UK corporate sector (</w:t>
      </w:r>
      <w:proofErr w:type="spellStart"/>
      <w:r w:rsidRPr="00357A65">
        <w:rPr>
          <w:rFonts w:ascii="Arial" w:hAnsi="Arial" w:cs="Arial"/>
        </w:rPr>
        <w:t>Ramalingegowda</w:t>
      </w:r>
      <w:proofErr w:type="spellEnd"/>
      <w:r w:rsidRPr="00357A65">
        <w:rPr>
          <w:rFonts w:ascii="Arial" w:hAnsi="Arial" w:cs="Arial"/>
        </w:rPr>
        <w:t>, Wang and Yu, 2013).</w:t>
      </w:r>
    </w:p>
    <w:p w:rsidR="00357A65" w:rsidRPr="00357A65" w:rsidRDefault="00357A65" w:rsidP="00357A65">
      <w:pPr>
        <w:numPr>
          <w:ilvl w:val="0"/>
          <w:numId w:val="7"/>
        </w:numPr>
        <w:jc w:val="both"/>
        <w:rPr>
          <w:rFonts w:ascii="Arial" w:hAnsi="Arial" w:cs="Arial"/>
        </w:rPr>
      </w:pPr>
      <w:r w:rsidRPr="00357A65">
        <w:rPr>
          <w:rFonts w:ascii="Arial" w:hAnsi="Arial" w:cs="Arial"/>
        </w:rPr>
        <w:t>To determine whether the dividend-investment relationship varies across different sectors and firm characteristics in the UK market (</w:t>
      </w:r>
      <w:proofErr w:type="spellStart"/>
      <w:r w:rsidRPr="00357A65">
        <w:rPr>
          <w:rFonts w:ascii="Arial" w:hAnsi="Arial" w:cs="Arial"/>
        </w:rPr>
        <w:t>Chasiotis</w:t>
      </w:r>
      <w:proofErr w:type="spellEnd"/>
      <w:r w:rsidRPr="00357A65">
        <w:rPr>
          <w:rFonts w:ascii="Arial" w:hAnsi="Arial" w:cs="Arial"/>
        </w:rPr>
        <w:t xml:space="preserve"> and </w:t>
      </w:r>
      <w:proofErr w:type="spellStart"/>
      <w:r w:rsidRPr="00357A65">
        <w:rPr>
          <w:rFonts w:ascii="Arial" w:hAnsi="Arial" w:cs="Arial"/>
        </w:rPr>
        <w:t>Georgantopoulos</w:t>
      </w:r>
      <w:proofErr w:type="spellEnd"/>
      <w:r w:rsidRPr="00357A65">
        <w:rPr>
          <w:rFonts w:ascii="Arial" w:hAnsi="Arial" w:cs="Arial"/>
        </w:rPr>
        <w:t>, 2021).</w:t>
      </w:r>
    </w:p>
    <w:p w:rsidR="00C95CB0" w:rsidRPr="000A1045" w:rsidRDefault="00357A65" w:rsidP="00357A65">
      <w:pPr>
        <w:numPr>
          <w:ilvl w:val="0"/>
          <w:numId w:val="7"/>
        </w:numPr>
        <w:jc w:val="both"/>
        <w:rPr>
          <w:rFonts w:ascii="Arial" w:hAnsi="Arial" w:cs="Arial"/>
        </w:rPr>
      </w:pPr>
      <w:r w:rsidRPr="00357A65">
        <w:rPr>
          <w:rFonts w:ascii="Arial" w:hAnsi="Arial" w:cs="Arial"/>
        </w:rPr>
        <w:t>To evaluate the implications of dividend policy for shareholder wealth and long-term firm value in the UK context (</w:t>
      </w:r>
      <w:proofErr w:type="spellStart"/>
      <w:r w:rsidRPr="00357A65">
        <w:rPr>
          <w:rFonts w:ascii="Arial" w:hAnsi="Arial" w:cs="Arial"/>
        </w:rPr>
        <w:t>Kilincarsla</w:t>
      </w:r>
      <w:r>
        <w:rPr>
          <w:rFonts w:ascii="Arial" w:hAnsi="Arial" w:cs="Arial"/>
        </w:rPr>
        <w:t>n</w:t>
      </w:r>
      <w:proofErr w:type="spellEnd"/>
      <w:r>
        <w:rPr>
          <w:rFonts w:ascii="Arial" w:hAnsi="Arial" w:cs="Arial"/>
        </w:rPr>
        <w:t>, 2024; Smith and Watts, 1992)</w:t>
      </w:r>
      <w:r w:rsidR="00C95CB0" w:rsidRPr="000A1045">
        <w:rPr>
          <w:rFonts w:ascii="Arial" w:hAnsi="Arial" w:cs="Arial"/>
        </w:rPr>
        <w:t>.</w:t>
      </w:r>
    </w:p>
    <w:p w:rsidR="00C95CB0" w:rsidRPr="000A1045" w:rsidRDefault="00C95CB0" w:rsidP="00C95CB0">
      <w:pPr>
        <w:jc w:val="both"/>
        <w:rPr>
          <w:rFonts w:ascii="Arial" w:hAnsi="Arial" w:cs="Arial"/>
          <w:b/>
          <w:bCs/>
        </w:rPr>
      </w:pPr>
      <w:r w:rsidRPr="000A1045">
        <w:rPr>
          <w:rFonts w:ascii="Arial" w:hAnsi="Arial" w:cs="Arial"/>
          <w:b/>
          <w:bCs/>
        </w:rPr>
        <w:t>Research Questions</w:t>
      </w:r>
    </w:p>
    <w:p w:rsidR="00117C01" w:rsidRPr="00117C01" w:rsidRDefault="00117C01" w:rsidP="00117C01">
      <w:pPr>
        <w:numPr>
          <w:ilvl w:val="0"/>
          <w:numId w:val="8"/>
        </w:numPr>
        <w:jc w:val="both"/>
        <w:rPr>
          <w:rFonts w:ascii="Arial" w:hAnsi="Arial" w:cs="Arial"/>
        </w:rPr>
      </w:pPr>
      <w:r w:rsidRPr="00117C01">
        <w:rPr>
          <w:rFonts w:ascii="Arial" w:hAnsi="Arial" w:cs="Arial"/>
        </w:rPr>
        <w:t>What is the effect of dividend policy on investment decisions of UK-listed firms? (</w:t>
      </w:r>
      <w:proofErr w:type="spellStart"/>
      <w:r w:rsidRPr="00117C01">
        <w:rPr>
          <w:rFonts w:ascii="Arial" w:hAnsi="Arial" w:cs="Arial"/>
        </w:rPr>
        <w:t>Chasiotis</w:t>
      </w:r>
      <w:proofErr w:type="spellEnd"/>
      <w:r w:rsidRPr="00117C01">
        <w:rPr>
          <w:rFonts w:ascii="Arial" w:hAnsi="Arial" w:cs="Arial"/>
        </w:rPr>
        <w:t xml:space="preserve"> and </w:t>
      </w:r>
      <w:proofErr w:type="spellStart"/>
      <w:r w:rsidRPr="00117C01">
        <w:rPr>
          <w:rFonts w:ascii="Arial" w:hAnsi="Arial" w:cs="Arial"/>
        </w:rPr>
        <w:t>Georgantopoulos</w:t>
      </w:r>
      <w:proofErr w:type="spellEnd"/>
      <w:r w:rsidRPr="00117C01">
        <w:rPr>
          <w:rFonts w:ascii="Arial" w:hAnsi="Arial" w:cs="Arial"/>
        </w:rPr>
        <w:t>, 2021)</w:t>
      </w:r>
    </w:p>
    <w:p w:rsidR="00117C01" w:rsidRPr="00117C01" w:rsidRDefault="00117C01" w:rsidP="00117C01">
      <w:pPr>
        <w:numPr>
          <w:ilvl w:val="0"/>
          <w:numId w:val="8"/>
        </w:numPr>
        <w:jc w:val="both"/>
        <w:rPr>
          <w:rFonts w:ascii="Arial" w:hAnsi="Arial" w:cs="Arial"/>
        </w:rPr>
      </w:pPr>
      <w:r w:rsidRPr="00117C01">
        <w:rPr>
          <w:rFonts w:ascii="Arial" w:hAnsi="Arial" w:cs="Arial"/>
        </w:rPr>
        <w:t>Does dividend policy constrain or facilitate corporate investment in the UK? (</w:t>
      </w:r>
      <w:proofErr w:type="spellStart"/>
      <w:r w:rsidRPr="00117C01">
        <w:rPr>
          <w:rFonts w:ascii="Arial" w:hAnsi="Arial" w:cs="Arial"/>
        </w:rPr>
        <w:t>Ramalingegowda</w:t>
      </w:r>
      <w:proofErr w:type="spellEnd"/>
      <w:r w:rsidRPr="00117C01">
        <w:rPr>
          <w:rFonts w:ascii="Arial" w:hAnsi="Arial" w:cs="Arial"/>
        </w:rPr>
        <w:t>, Wang and Yu, 2013)</w:t>
      </w:r>
    </w:p>
    <w:p w:rsidR="00117C01" w:rsidRPr="00117C01" w:rsidRDefault="00117C01" w:rsidP="00117C01">
      <w:pPr>
        <w:numPr>
          <w:ilvl w:val="0"/>
          <w:numId w:val="8"/>
        </w:numPr>
        <w:jc w:val="both"/>
        <w:rPr>
          <w:rFonts w:ascii="Arial" w:hAnsi="Arial" w:cs="Arial"/>
        </w:rPr>
      </w:pPr>
      <w:r w:rsidRPr="00117C01">
        <w:rPr>
          <w:rFonts w:ascii="Arial" w:hAnsi="Arial" w:cs="Arial"/>
        </w:rPr>
        <w:t>Does the dividend-investment relationship differ across sectors and firm size categories in the UK? (</w:t>
      </w:r>
      <w:proofErr w:type="spellStart"/>
      <w:r w:rsidRPr="00117C01">
        <w:rPr>
          <w:rFonts w:ascii="Arial" w:hAnsi="Arial" w:cs="Arial"/>
        </w:rPr>
        <w:t>Chasiotis</w:t>
      </w:r>
      <w:proofErr w:type="spellEnd"/>
      <w:r w:rsidRPr="00117C01">
        <w:rPr>
          <w:rFonts w:ascii="Arial" w:hAnsi="Arial" w:cs="Arial"/>
        </w:rPr>
        <w:t xml:space="preserve"> and </w:t>
      </w:r>
      <w:proofErr w:type="spellStart"/>
      <w:r w:rsidRPr="00117C01">
        <w:rPr>
          <w:rFonts w:ascii="Arial" w:hAnsi="Arial" w:cs="Arial"/>
        </w:rPr>
        <w:t>Georgantopoulos</w:t>
      </w:r>
      <w:proofErr w:type="spellEnd"/>
      <w:r w:rsidRPr="00117C01">
        <w:rPr>
          <w:rFonts w:ascii="Arial" w:hAnsi="Arial" w:cs="Arial"/>
        </w:rPr>
        <w:t>, 2021)</w:t>
      </w:r>
    </w:p>
    <w:p w:rsidR="00C95CB0" w:rsidRDefault="00117C01" w:rsidP="00117C01">
      <w:pPr>
        <w:numPr>
          <w:ilvl w:val="0"/>
          <w:numId w:val="8"/>
        </w:numPr>
        <w:jc w:val="both"/>
        <w:rPr>
          <w:rFonts w:ascii="Arial" w:hAnsi="Arial" w:cs="Arial"/>
        </w:rPr>
      </w:pPr>
      <w:r w:rsidRPr="00117C01">
        <w:rPr>
          <w:rFonts w:ascii="Arial" w:hAnsi="Arial" w:cs="Arial"/>
        </w:rPr>
        <w:t>What are the implications of dividend policy for shareholder wealth creation in the UK context? (</w:t>
      </w:r>
      <w:proofErr w:type="spellStart"/>
      <w:r w:rsidRPr="00117C01">
        <w:rPr>
          <w:rFonts w:ascii="Arial" w:hAnsi="Arial" w:cs="Arial"/>
        </w:rPr>
        <w:t>Kilincarslan</w:t>
      </w:r>
      <w:proofErr w:type="spellEnd"/>
      <w:r w:rsidRPr="00117C01">
        <w:rPr>
          <w:rFonts w:ascii="Arial" w:hAnsi="Arial" w:cs="Arial"/>
        </w:rPr>
        <w:t>, 2024; Smith and Watts, 1992)</w:t>
      </w:r>
      <w:r>
        <w:rPr>
          <w:rFonts w:ascii="Arial" w:hAnsi="Arial" w:cs="Arial"/>
        </w:rPr>
        <w:t>.</w:t>
      </w:r>
    </w:p>
    <w:p w:rsidR="00950436" w:rsidRPr="009C6500" w:rsidRDefault="00950436" w:rsidP="006A0A25">
      <w:pPr>
        <w:rPr>
          <w:rFonts w:ascii="Arial" w:hAnsi="Arial" w:cs="Arial"/>
          <w:b/>
        </w:rPr>
      </w:pPr>
      <w:r w:rsidRPr="009C6500">
        <w:rPr>
          <w:rFonts w:ascii="Arial" w:hAnsi="Arial" w:cs="Arial"/>
          <w:b/>
        </w:rPr>
        <w:t>Significance / Relevance of the Study</w:t>
      </w:r>
    </w:p>
    <w:p w:rsidR="002849AE" w:rsidRPr="002849AE" w:rsidRDefault="002849AE" w:rsidP="002849AE">
      <w:pPr>
        <w:jc w:val="both"/>
        <w:rPr>
          <w:rFonts w:ascii="Arial" w:hAnsi="Arial" w:cs="Arial"/>
        </w:rPr>
      </w:pPr>
      <w:r w:rsidRPr="002849AE">
        <w:rPr>
          <w:rFonts w:ascii="Arial" w:hAnsi="Arial" w:cs="Arial"/>
        </w:rPr>
        <w:t>This study makes several important contributions to academic knowledge and practical financial management. From a theoretical perspective, the research extends the existing literature on dividend policy by providing empirical evidence from the UK market, which has received comparatively less attention than US and emerging market contexts (</w:t>
      </w:r>
      <w:proofErr w:type="spellStart"/>
      <w:r w:rsidRPr="002849AE">
        <w:rPr>
          <w:rFonts w:ascii="Arial" w:hAnsi="Arial" w:cs="Arial"/>
        </w:rPr>
        <w:t>Chasiotis</w:t>
      </w:r>
      <w:proofErr w:type="spellEnd"/>
      <w:r w:rsidRPr="002849AE">
        <w:rPr>
          <w:rFonts w:ascii="Arial" w:hAnsi="Arial" w:cs="Arial"/>
        </w:rPr>
        <w:t xml:space="preserve"> and </w:t>
      </w:r>
      <w:proofErr w:type="spellStart"/>
      <w:r w:rsidRPr="002849AE">
        <w:rPr>
          <w:rFonts w:ascii="Arial" w:hAnsi="Arial" w:cs="Arial"/>
        </w:rPr>
        <w:t>Georgantopoulos</w:t>
      </w:r>
      <w:proofErr w:type="spellEnd"/>
      <w:r w:rsidRPr="002849AE">
        <w:rPr>
          <w:rFonts w:ascii="Arial" w:hAnsi="Arial" w:cs="Arial"/>
        </w:rPr>
        <w:t xml:space="preserve">, 2021). The findings will contribute to the ongoing scholarly debate on the real effects of dividend policy, particularly regarding the trade-off between shareholder distributions </w:t>
      </w:r>
      <w:r w:rsidRPr="002849AE">
        <w:rPr>
          <w:rFonts w:ascii="Arial" w:hAnsi="Arial" w:cs="Arial"/>
        </w:rPr>
        <w:lastRenderedPageBreak/>
        <w:t>and corporate investment (</w:t>
      </w:r>
      <w:proofErr w:type="spellStart"/>
      <w:r w:rsidRPr="002849AE">
        <w:rPr>
          <w:rFonts w:ascii="Arial" w:hAnsi="Arial" w:cs="Arial"/>
        </w:rPr>
        <w:t>Ramalingegowda</w:t>
      </w:r>
      <w:proofErr w:type="spellEnd"/>
      <w:r w:rsidRPr="002849AE">
        <w:rPr>
          <w:rFonts w:ascii="Arial" w:hAnsi="Arial" w:cs="Arial"/>
        </w:rPr>
        <w:t xml:space="preserve">, Wang and Yu, 2013). </w:t>
      </w:r>
      <w:proofErr w:type="spellStart"/>
      <w:r w:rsidRPr="002849AE">
        <w:rPr>
          <w:rFonts w:ascii="Arial" w:hAnsi="Arial" w:cs="Arial"/>
        </w:rPr>
        <w:t>Kilincarslan</w:t>
      </w:r>
      <w:proofErr w:type="spellEnd"/>
      <w:r w:rsidRPr="002849AE">
        <w:rPr>
          <w:rFonts w:ascii="Arial" w:hAnsi="Arial" w:cs="Arial"/>
        </w:rPr>
        <w:t xml:space="preserve"> (2024) notes that dividend policy can impact share prices and shareholder wealth because it influences a firm's investment and capital structure decisions, making this investigation particularly relevant for understanding how dividend decisions affect investor outcomes.</w:t>
      </w:r>
    </w:p>
    <w:p w:rsidR="002849AE" w:rsidRPr="002849AE" w:rsidRDefault="002849AE" w:rsidP="002849AE">
      <w:pPr>
        <w:jc w:val="both"/>
        <w:rPr>
          <w:rFonts w:ascii="Arial" w:hAnsi="Arial" w:cs="Arial"/>
        </w:rPr>
      </w:pPr>
      <w:r w:rsidRPr="002849AE">
        <w:rPr>
          <w:rFonts w:ascii="Arial" w:hAnsi="Arial" w:cs="Arial"/>
        </w:rPr>
        <w:t xml:space="preserve">The study's examination of the direct relationship between dividend policy and investment decisions addresses a critical gap identified in prior research. </w:t>
      </w:r>
      <w:proofErr w:type="spellStart"/>
      <w:r w:rsidRPr="002849AE">
        <w:rPr>
          <w:rFonts w:ascii="Arial" w:hAnsi="Arial" w:cs="Arial"/>
        </w:rPr>
        <w:t>Chasiotis</w:t>
      </w:r>
      <w:proofErr w:type="spellEnd"/>
      <w:r w:rsidRPr="002849AE">
        <w:rPr>
          <w:rFonts w:ascii="Arial" w:hAnsi="Arial" w:cs="Arial"/>
        </w:rPr>
        <w:t xml:space="preserve"> and </w:t>
      </w:r>
      <w:proofErr w:type="spellStart"/>
      <w:r w:rsidRPr="002849AE">
        <w:rPr>
          <w:rFonts w:ascii="Arial" w:hAnsi="Arial" w:cs="Arial"/>
        </w:rPr>
        <w:t>Georgantopoulos</w:t>
      </w:r>
      <w:proofErr w:type="spellEnd"/>
      <w:r w:rsidRPr="002849AE">
        <w:rPr>
          <w:rFonts w:ascii="Arial" w:hAnsi="Arial" w:cs="Arial"/>
        </w:rPr>
        <w:t xml:space="preserve"> (2021), in what they describe as the first study to investigate the relative flexibility of payouts vis-à-vis investment in the UK using firm-level financial data, found that dividends and investment are independent across the investment distribution, underlining the rigidity of dividends in the UK. However, their study focused on the average firm and did not fully explore the heterogeneity of firm </w:t>
      </w:r>
      <w:proofErr w:type="spellStart"/>
      <w:r w:rsidRPr="002849AE">
        <w:rPr>
          <w:rFonts w:ascii="Arial" w:hAnsi="Arial" w:cs="Arial"/>
        </w:rPr>
        <w:t>behaviour</w:t>
      </w:r>
      <w:proofErr w:type="spellEnd"/>
      <w:r w:rsidRPr="002849AE">
        <w:rPr>
          <w:rFonts w:ascii="Arial" w:hAnsi="Arial" w:cs="Arial"/>
        </w:rPr>
        <w:t xml:space="preserve"> across different investment contexts. This study extends their work by providing comprehensive evidence on the dividend-investment relationship across diverse UK firms.</w:t>
      </w:r>
    </w:p>
    <w:p w:rsidR="002849AE" w:rsidRPr="002849AE" w:rsidRDefault="002849AE" w:rsidP="002849AE">
      <w:pPr>
        <w:jc w:val="both"/>
        <w:rPr>
          <w:rFonts w:ascii="Arial" w:hAnsi="Arial" w:cs="Arial"/>
        </w:rPr>
      </w:pPr>
      <w:r w:rsidRPr="002849AE">
        <w:rPr>
          <w:rFonts w:ascii="Arial" w:hAnsi="Arial" w:cs="Arial"/>
        </w:rPr>
        <w:t>From a practical standpoint, the findings have significant implications for corporate managers, investors, and policymakers. For managers, the research offers evidence-based guidance on balancing dividend distributions with investment requirements (</w:t>
      </w:r>
      <w:proofErr w:type="spellStart"/>
      <w:r w:rsidRPr="002849AE">
        <w:rPr>
          <w:rFonts w:ascii="Arial" w:hAnsi="Arial" w:cs="Arial"/>
        </w:rPr>
        <w:t>Kilincarslan</w:t>
      </w:r>
      <w:proofErr w:type="spellEnd"/>
      <w:r w:rsidRPr="002849AE">
        <w:rPr>
          <w:rFonts w:ascii="Arial" w:hAnsi="Arial" w:cs="Arial"/>
        </w:rPr>
        <w:t xml:space="preserve">, 2024). Understanding how dividend policy affects investment decisions can inform optimal capital allocation strategies that </w:t>
      </w:r>
      <w:proofErr w:type="spellStart"/>
      <w:r w:rsidRPr="002849AE">
        <w:rPr>
          <w:rFonts w:ascii="Arial" w:hAnsi="Arial" w:cs="Arial"/>
        </w:rPr>
        <w:t>maximise</w:t>
      </w:r>
      <w:proofErr w:type="spellEnd"/>
      <w:r w:rsidRPr="002849AE">
        <w:rPr>
          <w:rFonts w:ascii="Arial" w:hAnsi="Arial" w:cs="Arial"/>
        </w:rPr>
        <w:t xml:space="preserve"> shareholder value without compromising long-term growth prospects (Smith and Watts, 1992). For investors, the study provides insights into how dividend policies signal firm quality and influence investment attractiveness (</w:t>
      </w:r>
      <w:proofErr w:type="spellStart"/>
      <w:r w:rsidRPr="002849AE">
        <w:rPr>
          <w:rFonts w:ascii="Arial" w:hAnsi="Arial" w:cs="Arial"/>
        </w:rPr>
        <w:t>Kilincarslan</w:t>
      </w:r>
      <w:proofErr w:type="spellEnd"/>
      <w:r w:rsidRPr="002849AE">
        <w:rPr>
          <w:rFonts w:ascii="Arial" w:hAnsi="Arial" w:cs="Arial"/>
        </w:rPr>
        <w:t xml:space="preserve">, 2024). Survey evidence from </w:t>
      </w:r>
      <w:proofErr w:type="spellStart"/>
      <w:r w:rsidRPr="002849AE">
        <w:rPr>
          <w:rFonts w:ascii="Arial" w:hAnsi="Arial" w:cs="Arial"/>
        </w:rPr>
        <w:t>Kilincarslan</w:t>
      </w:r>
      <w:proofErr w:type="spellEnd"/>
      <w:r w:rsidRPr="002849AE">
        <w:rPr>
          <w:rFonts w:ascii="Arial" w:hAnsi="Arial" w:cs="Arial"/>
        </w:rPr>
        <w:t xml:space="preserve"> (2024) shows that dividend-paying LSE-listed firms' top executives believe that changes in dividends influence share prices and dividend policy affects firm value and therefore shareholders' wealth, indicating that managers themselves </w:t>
      </w:r>
      <w:proofErr w:type="spellStart"/>
      <w:r w:rsidRPr="002849AE">
        <w:rPr>
          <w:rFonts w:ascii="Arial" w:hAnsi="Arial" w:cs="Arial"/>
        </w:rPr>
        <w:t>recognise</w:t>
      </w:r>
      <w:proofErr w:type="spellEnd"/>
      <w:r w:rsidRPr="002849AE">
        <w:rPr>
          <w:rFonts w:ascii="Arial" w:hAnsi="Arial" w:cs="Arial"/>
        </w:rPr>
        <w:t xml:space="preserve"> the importance of this relationship.</w:t>
      </w:r>
    </w:p>
    <w:p w:rsidR="00950436" w:rsidRPr="00950436" w:rsidRDefault="002849AE" w:rsidP="00950436">
      <w:pPr>
        <w:jc w:val="both"/>
        <w:rPr>
          <w:rFonts w:ascii="Arial" w:hAnsi="Arial" w:cs="Arial"/>
        </w:rPr>
      </w:pPr>
      <w:r w:rsidRPr="002849AE">
        <w:rPr>
          <w:rFonts w:ascii="Arial" w:hAnsi="Arial" w:cs="Arial"/>
        </w:rPr>
        <w:t xml:space="preserve">For policymakers, the findings contribute to debates on corporate governance reforms and dividend taxation, particularly in light of recent UK tax changes affecting dividend income (RSM UK, 2025). The study's focus on UK firms is particularly timely given the evolving dividend landscape. S&amp;P Global Market Intelligence (2026) forecasts steady 3.8% dividend growth for the UK in 2026, while macroeconomic uncertainties continue to shape corporate payout decisions. Understanding the investment implications of these dividend trends is essential for informed decision-making by all stakeholders. The direct evidence from LSE decision-makers provided by studies such as </w:t>
      </w:r>
      <w:proofErr w:type="spellStart"/>
      <w:r w:rsidRPr="002849AE">
        <w:rPr>
          <w:rFonts w:ascii="Arial" w:hAnsi="Arial" w:cs="Arial"/>
        </w:rPr>
        <w:t>Kilincarslan</w:t>
      </w:r>
      <w:proofErr w:type="spellEnd"/>
      <w:r w:rsidRPr="002849AE">
        <w:rPr>
          <w:rFonts w:ascii="Arial" w:hAnsi="Arial" w:cs="Arial"/>
        </w:rPr>
        <w:t xml:space="preserve"> (2024) provides new insights into the dividend debate in the UK and might help policymakers and regulators when designing dividen</w:t>
      </w:r>
      <w:r>
        <w:rPr>
          <w:rFonts w:ascii="Arial" w:hAnsi="Arial" w:cs="Arial"/>
        </w:rPr>
        <w:t>d-related rules and regulations</w:t>
      </w:r>
      <w:r w:rsidR="00950436" w:rsidRPr="00950436">
        <w:rPr>
          <w:rFonts w:ascii="Arial" w:hAnsi="Arial" w:cs="Arial"/>
        </w:rPr>
        <w:t>.</w:t>
      </w:r>
    </w:p>
    <w:p w:rsidR="006A0A25" w:rsidRDefault="006A0A25">
      <w:pPr>
        <w:rPr>
          <w:rFonts w:ascii="Arial" w:hAnsi="Arial" w:cs="Arial"/>
          <w:b/>
        </w:rPr>
      </w:pPr>
      <w:r>
        <w:rPr>
          <w:rFonts w:ascii="Arial" w:hAnsi="Arial" w:cs="Arial"/>
          <w:b/>
        </w:rPr>
        <w:br w:type="page"/>
      </w:r>
    </w:p>
    <w:p w:rsidR="00EA5552" w:rsidRPr="000A1045" w:rsidRDefault="00434D84" w:rsidP="00EA5552">
      <w:pPr>
        <w:jc w:val="both"/>
        <w:rPr>
          <w:rFonts w:ascii="Arial" w:hAnsi="Arial" w:cs="Arial"/>
          <w:b/>
        </w:rPr>
      </w:pPr>
      <w:r w:rsidRPr="000A1045">
        <w:rPr>
          <w:rFonts w:ascii="Arial" w:hAnsi="Arial" w:cs="Arial"/>
          <w:b/>
        </w:rPr>
        <w:lastRenderedPageBreak/>
        <w:t xml:space="preserve">2. </w:t>
      </w:r>
      <w:r w:rsidR="008163FE" w:rsidRPr="000A1045">
        <w:rPr>
          <w:rFonts w:ascii="Arial" w:hAnsi="Arial" w:cs="Arial"/>
          <w:b/>
        </w:rPr>
        <w:t>Literature Review</w:t>
      </w:r>
    </w:p>
    <w:p w:rsidR="009D542A" w:rsidRPr="009D542A" w:rsidRDefault="006A0A25" w:rsidP="009D542A">
      <w:pPr>
        <w:jc w:val="both"/>
        <w:rPr>
          <w:rFonts w:ascii="Arial" w:hAnsi="Arial" w:cs="Arial"/>
          <w:b/>
          <w:bCs/>
        </w:rPr>
      </w:pPr>
      <w:r>
        <w:rPr>
          <w:rFonts w:ascii="Arial" w:hAnsi="Arial" w:cs="Arial"/>
          <w:b/>
          <w:bCs/>
        </w:rPr>
        <w:t>2</w:t>
      </w:r>
      <w:r w:rsidR="009D542A" w:rsidRPr="009D542A">
        <w:rPr>
          <w:rFonts w:ascii="Arial" w:hAnsi="Arial" w:cs="Arial"/>
          <w:b/>
          <w:bCs/>
        </w:rPr>
        <w:t>.1 Theoretical Foundations of Dividend Policy</w:t>
      </w:r>
    </w:p>
    <w:p w:rsidR="009D542A" w:rsidRPr="009D542A" w:rsidRDefault="009D542A" w:rsidP="009D542A">
      <w:pPr>
        <w:jc w:val="both"/>
        <w:rPr>
          <w:rFonts w:ascii="Arial" w:hAnsi="Arial" w:cs="Arial"/>
        </w:rPr>
      </w:pPr>
      <w:r w:rsidRPr="009D542A">
        <w:rPr>
          <w:rFonts w:ascii="Arial" w:hAnsi="Arial" w:cs="Arial"/>
        </w:rPr>
        <w:t>The theoretical underpinnings of dividend policy research are anchored in several seminal contributions that have shaped scholarly understanding of how dividend distributions affect firm value and shareholder wealth. Miller and Modigliani (1961) established the foundational proposition that, under conditions of perfect capital markets, dividend policy does not affect firm value, a theorem that has since been challenged by the relaxation of its underlying assumptions (</w:t>
      </w:r>
      <w:proofErr w:type="spellStart"/>
      <w:r w:rsidRPr="009D542A">
        <w:rPr>
          <w:rFonts w:ascii="Arial" w:hAnsi="Arial" w:cs="Arial"/>
        </w:rPr>
        <w:t>Kilincarslan</w:t>
      </w:r>
      <w:proofErr w:type="spellEnd"/>
      <w:r w:rsidRPr="009D542A">
        <w:rPr>
          <w:rFonts w:ascii="Arial" w:hAnsi="Arial" w:cs="Arial"/>
        </w:rPr>
        <w:t>, 2024). Williams (1938) developed a discounted cash flow model that shows a firm's intrinsic stock value is the present value of a growing stream of dividends, and Gordon (1959) further refined this concept, leading to the widespread acceptance of the DCF model among academics and practitioners (</w:t>
      </w:r>
      <w:proofErr w:type="spellStart"/>
      <w:r w:rsidRPr="009D542A">
        <w:rPr>
          <w:rFonts w:ascii="Arial" w:hAnsi="Arial" w:cs="Arial"/>
        </w:rPr>
        <w:t>Kilincarslan</w:t>
      </w:r>
      <w:proofErr w:type="spellEnd"/>
      <w:r w:rsidRPr="009D542A">
        <w:rPr>
          <w:rFonts w:ascii="Arial" w:hAnsi="Arial" w:cs="Arial"/>
        </w:rPr>
        <w:t>, 2024). However, Miller and Modigliani (1961) challenged the prevailing belief that dividends directly impact firm value, arguing that in a perfect capital market, a firm's valuation depends solely on its earnings power and investment policy (</w:t>
      </w:r>
      <w:proofErr w:type="spellStart"/>
      <w:r w:rsidRPr="009D542A">
        <w:rPr>
          <w:rFonts w:ascii="Arial" w:hAnsi="Arial" w:cs="Arial"/>
        </w:rPr>
        <w:t>Kilincarslan</w:t>
      </w:r>
      <w:proofErr w:type="spellEnd"/>
      <w:r w:rsidRPr="009D542A">
        <w:rPr>
          <w:rFonts w:ascii="Arial" w:hAnsi="Arial" w:cs="Arial"/>
        </w:rPr>
        <w:t>, 2024).</w:t>
      </w:r>
    </w:p>
    <w:p w:rsidR="009D542A" w:rsidRPr="009D542A" w:rsidRDefault="009D542A" w:rsidP="009D542A">
      <w:pPr>
        <w:jc w:val="both"/>
        <w:rPr>
          <w:rFonts w:ascii="Arial" w:hAnsi="Arial" w:cs="Arial"/>
        </w:rPr>
      </w:pPr>
      <w:r w:rsidRPr="009D542A">
        <w:rPr>
          <w:rFonts w:ascii="Arial" w:hAnsi="Arial" w:cs="Arial"/>
        </w:rPr>
        <w:t xml:space="preserve">The </w:t>
      </w:r>
      <w:proofErr w:type="spellStart"/>
      <w:r w:rsidRPr="009D542A">
        <w:rPr>
          <w:rFonts w:ascii="Arial" w:hAnsi="Arial" w:cs="Arial"/>
        </w:rPr>
        <w:t>signalling</w:t>
      </w:r>
      <w:proofErr w:type="spellEnd"/>
      <w:r w:rsidRPr="009D542A">
        <w:rPr>
          <w:rFonts w:ascii="Arial" w:hAnsi="Arial" w:cs="Arial"/>
        </w:rPr>
        <w:t xml:space="preserve"> theory of dividends, developed by Bhattacharya (1979) and extended by John and Williams (1985), posits that dividends serve as credible signals of a firm's future prospects in environments </w:t>
      </w:r>
      <w:proofErr w:type="spellStart"/>
      <w:r w:rsidRPr="009D542A">
        <w:rPr>
          <w:rFonts w:ascii="Arial" w:hAnsi="Arial" w:cs="Arial"/>
        </w:rPr>
        <w:t>characterised</w:t>
      </w:r>
      <w:proofErr w:type="spellEnd"/>
      <w:r w:rsidRPr="009D542A">
        <w:rPr>
          <w:rFonts w:ascii="Arial" w:hAnsi="Arial" w:cs="Arial"/>
        </w:rPr>
        <w:t xml:space="preserve"> by information asymmetry between managers and outside investors (Miller and Rock, 1985). According to this perspective, dividend increases convey positive information about a firm's earnings capacity, while dividend cuts signal financial distress (Miller and Rock, 1985). The </w:t>
      </w:r>
      <w:proofErr w:type="spellStart"/>
      <w:r w:rsidRPr="009D542A">
        <w:rPr>
          <w:rFonts w:ascii="Arial" w:hAnsi="Arial" w:cs="Arial"/>
        </w:rPr>
        <w:t>signalling</w:t>
      </w:r>
      <w:proofErr w:type="spellEnd"/>
      <w:r w:rsidRPr="009D542A">
        <w:rPr>
          <w:rFonts w:ascii="Arial" w:hAnsi="Arial" w:cs="Arial"/>
        </w:rPr>
        <w:t xml:space="preserve"> explanation has received substantial empirical support, though the precise mechanisms through which dividends signal quality remain contested (</w:t>
      </w:r>
      <w:proofErr w:type="spellStart"/>
      <w:r w:rsidRPr="009D542A">
        <w:rPr>
          <w:rFonts w:ascii="Arial" w:hAnsi="Arial" w:cs="Arial"/>
        </w:rPr>
        <w:t>M'rabet</w:t>
      </w:r>
      <w:proofErr w:type="spellEnd"/>
      <w:r w:rsidRPr="009D542A">
        <w:rPr>
          <w:rFonts w:ascii="Arial" w:hAnsi="Arial" w:cs="Arial"/>
        </w:rPr>
        <w:t xml:space="preserve"> and </w:t>
      </w:r>
      <w:proofErr w:type="spellStart"/>
      <w:r w:rsidRPr="009D542A">
        <w:rPr>
          <w:rFonts w:ascii="Arial" w:hAnsi="Arial" w:cs="Arial"/>
        </w:rPr>
        <w:t>Boujjat</w:t>
      </w:r>
      <w:proofErr w:type="spellEnd"/>
      <w:r w:rsidRPr="009D542A">
        <w:rPr>
          <w:rFonts w:ascii="Arial" w:hAnsi="Arial" w:cs="Arial"/>
        </w:rPr>
        <w:t xml:space="preserve">, 2016). </w:t>
      </w:r>
      <w:proofErr w:type="spellStart"/>
      <w:r w:rsidRPr="009D542A">
        <w:rPr>
          <w:rFonts w:ascii="Arial" w:hAnsi="Arial" w:cs="Arial"/>
        </w:rPr>
        <w:t>Kilincarslan</w:t>
      </w:r>
      <w:proofErr w:type="spellEnd"/>
      <w:r w:rsidRPr="009D542A">
        <w:rPr>
          <w:rFonts w:ascii="Arial" w:hAnsi="Arial" w:cs="Arial"/>
        </w:rPr>
        <w:t xml:space="preserve"> (2024) found that corporate managers of dividend-paying LSE firms express general support for the </w:t>
      </w:r>
      <w:proofErr w:type="spellStart"/>
      <w:r w:rsidRPr="009D542A">
        <w:rPr>
          <w:rFonts w:ascii="Arial" w:hAnsi="Arial" w:cs="Arial"/>
        </w:rPr>
        <w:t>signalling</w:t>
      </w:r>
      <w:proofErr w:type="spellEnd"/>
      <w:r w:rsidRPr="009D542A">
        <w:rPr>
          <w:rFonts w:ascii="Arial" w:hAnsi="Arial" w:cs="Arial"/>
        </w:rPr>
        <w:t xml:space="preserve"> theory, indicating that managers believe dividend changes convey information to the market.</w:t>
      </w:r>
    </w:p>
    <w:p w:rsidR="009D542A" w:rsidRPr="009D542A" w:rsidRDefault="009D542A" w:rsidP="009D542A">
      <w:pPr>
        <w:jc w:val="both"/>
        <w:rPr>
          <w:rFonts w:ascii="Arial" w:hAnsi="Arial" w:cs="Arial"/>
        </w:rPr>
      </w:pPr>
      <w:r w:rsidRPr="009D542A">
        <w:rPr>
          <w:rFonts w:ascii="Arial" w:hAnsi="Arial" w:cs="Arial"/>
        </w:rPr>
        <w:t xml:space="preserve">Agency theory provides another influential framework for understanding dividend policy. Jensen and </w:t>
      </w:r>
      <w:proofErr w:type="spellStart"/>
      <w:r w:rsidRPr="009D542A">
        <w:rPr>
          <w:rFonts w:ascii="Arial" w:hAnsi="Arial" w:cs="Arial"/>
        </w:rPr>
        <w:t>Meckling</w:t>
      </w:r>
      <w:proofErr w:type="spellEnd"/>
      <w:r w:rsidRPr="009D542A">
        <w:rPr>
          <w:rFonts w:ascii="Arial" w:hAnsi="Arial" w:cs="Arial"/>
        </w:rPr>
        <w:t xml:space="preserve"> (1976) articulated the agency conflict between managers and shareholders, whereby managers may pursue self-interested objectives at the expense of shareholder wealth (La Porta et al., 2000). Dividends, in this framework, serve as a mechanism for reducing free cash flows available for managerial discretion, thereby mitigating agency costs (La Porta et al., 2000). This perspective suggests that dividend payments can enhance firm value by imposing financial discipline on managers (Jensen and </w:t>
      </w:r>
      <w:proofErr w:type="spellStart"/>
      <w:r w:rsidRPr="009D542A">
        <w:rPr>
          <w:rFonts w:ascii="Arial" w:hAnsi="Arial" w:cs="Arial"/>
        </w:rPr>
        <w:t>Meckling</w:t>
      </w:r>
      <w:proofErr w:type="spellEnd"/>
      <w:r w:rsidRPr="009D542A">
        <w:rPr>
          <w:rFonts w:ascii="Arial" w:hAnsi="Arial" w:cs="Arial"/>
        </w:rPr>
        <w:t xml:space="preserve">, 1976). </w:t>
      </w:r>
      <w:proofErr w:type="spellStart"/>
      <w:r w:rsidRPr="009D542A">
        <w:rPr>
          <w:rFonts w:ascii="Arial" w:hAnsi="Arial" w:cs="Arial"/>
        </w:rPr>
        <w:t>Charreaux</w:t>
      </w:r>
      <w:proofErr w:type="spellEnd"/>
      <w:r w:rsidRPr="009D542A">
        <w:rPr>
          <w:rFonts w:ascii="Arial" w:hAnsi="Arial" w:cs="Arial"/>
        </w:rPr>
        <w:t xml:space="preserve"> (1991) examined the relationship between ownership structure, agency relations and financial performance, contributing to the understanding of how governance mechanisms affect dividend decisions. </w:t>
      </w:r>
      <w:proofErr w:type="spellStart"/>
      <w:r w:rsidRPr="009D542A">
        <w:rPr>
          <w:rFonts w:ascii="Arial" w:hAnsi="Arial" w:cs="Arial"/>
        </w:rPr>
        <w:t>Kilincarslan</w:t>
      </w:r>
      <w:proofErr w:type="spellEnd"/>
      <w:r w:rsidRPr="009D542A">
        <w:rPr>
          <w:rFonts w:ascii="Arial" w:hAnsi="Arial" w:cs="Arial"/>
        </w:rPr>
        <w:t xml:space="preserve"> (2024) found that the agency cost theory is partially supported by survey evidence from LSE firms, suggesting that while agency considerations play a role, they are not the sole determinant of dividend policy.</w:t>
      </w:r>
    </w:p>
    <w:p w:rsidR="009D542A" w:rsidRPr="009D542A" w:rsidRDefault="006A0A25" w:rsidP="009D542A">
      <w:pPr>
        <w:jc w:val="both"/>
        <w:rPr>
          <w:rFonts w:ascii="Arial" w:hAnsi="Arial" w:cs="Arial"/>
          <w:b/>
          <w:bCs/>
        </w:rPr>
      </w:pPr>
      <w:r>
        <w:rPr>
          <w:rFonts w:ascii="Arial" w:hAnsi="Arial" w:cs="Arial"/>
          <w:b/>
          <w:bCs/>
        </w:rPr>
        <w:t>2</w:t>
      </w:r>
      <w:r w:rsidR="009D542A" w:rsidRPr="009D542A">
        <w:rPr>
          <w:rFonts w:ascii="Arial" w:hAnsi="Arial" w:cs="Arial"/>
          <w:b/>
          <w:bCs/>
        </w:rPr>
        <w:t>.2 Dividend Policy and Investment Decisions</w:t>
      </w:r>
    </w:p>
    <w:p w:rsidR="009D542A" w:rsidRPr="009D542A" w:rsidRDefault="009D542A" w:rsidP="009D542A">
      <w:pPr>
        <w:jc w:val="both"/>
        <w:rPr>
          <w:rFonts w:ascii="Arial" w:hAnsi="Arial" w:cs="Arial"/>
        </w:rPr>
      </w:pPr>
      <w:r w:rsidRPr="009D542A">
        <w:rPr>
          <w:rFonts w:ascii="Arial" w:hAnsi="Arial" w:cs="Arial"/>
        </w:rPr>
        <w:t xml:space="preserve">The relationship between dividend policy and investment decisions has generated extensive empirical investigation. The fundamental tension between dividend payouts and investment expenditure arises from the competition for internal funds: every pound distributed as dividends </w:t>
      </w:r>
      <w:r w:rsidRPr="009D542A">
        <w:rPr>
          <w:rFonts w:ascii="Arial" w:hAnsi="Arial" w:cs="Arial"/>
        </w:rPr>
        <w:lastRenderedPageBreak/>
        <w:t>is a pound unavailable for reinvestment (</w:t>
      </w:r>
      <w:proofErr w:type="spellStart"/>
      <w:r w:rsidRPr="009D542A">
        <w:rPr>
          <w:rFonts w:ascii="Arial" w:hAnsi="Arial" w:cs="Arial"/>
        </w:rPr>
        <w:t>Ramalingegowda</w:t>
      </w:r>
      <w:proofErr w:type="spellEnd"/>
      <w:r w:rsidRPr="009D542A">
        <w:rPr>
          <w:rFonts w:ascii="Arial" w:hAnsi="Arial" w:cs="Arial"/>
        </w:rPr>
        <w:t>, Wang and Yu, 2013). This trade-off has been examined across various market contexts, yielding mixed evidence. Smith and Watts (1992) examined the explanations for corporate financing, dividend and compensation policy choices, documenting robust empirical relations among corporate policy decisions and various firm characteristics, suggesting that contracting theories are important in explaining cross-sectional variation in corporate policies.</w:t>
      </w:r>
    </w:p>
    <w:p w:rsidR="009D542A" w:rsidRPr="009D542A" w:rsidRDefault="009D542A" w:rsidP="009D542A">
      <w:pPr>
        <w:jc w:val="both"/>
        <w:rPr>
          <w:rFonts w:ascii="Arial" w:hAnsi="Arial" w:cs="Arial"/>
        </w:rPr>
      </w:pPr>
      <w:r w:rsidRPr="009D542A">
        <w:rPr>
          <w:rFonts w:ascii="Arial" w:hAnsi="Arial" w:cs="Arial"/>
        </w:rPr>
        <w:t xml:space="preserve">Research by </w:t>
      </w:r>
      <w:proofErr w:type="spellStart"/>
      <w:r w:rsidRPr="009D542A">
        <w:rPr>
          <w:rFonts w:ascii="Arial" w:hAnsi="Arial" w:cs="Arial"/>
        </w:rPr>
        <w:t>Ramalingegowda</w:t>
      </w:r>
      <w:proofErr w:type="spellEnd"/>
      <w:r w:rsidRPr="009D542A">
        <w:rPr>
          <w:rFonts w:ascii="Arial" w:hAnsi="Arial" w:cs="Arial"/>
        </w:rPr>
        <w:t>, Wang and Yu (2013) provides important insights into the dividend-investment relationship. Their study demonstrates that dividend payments have a negative effect on investment, particularly on research and development expenditures (</w:t>
      </w:r>
      <w:proofErr w:type="spellStart"/>
      <w:r w:rsidRPr="009D542A">
        <w:rPr>
          <w:rFonts w:ascii="Arial" w:hAnsi="Arial" w:cs="Arial"/>
        </w:rPr>
        <w:t>Ramalingegowda</w:t>
      </w:r>
      <w:proofErr w:type="spellEnd"/>
      <w:r w:rsidRPr="009D542A">
        <w:rPr>
          <w:rFonts w:ascii="Arial" w:hAnsi="Arial" w:cs="Arial"/>
        </w:rPr>
        <w:t>, Wang and Yu, 2013). This finding suggests that dividend distributions can constrain investment by reducing the internal funds available for reinvestment (</w:t>
      </w:r>
      <w:proofErr w:type="spellStart"/>
      <w:r w:rsidRPr="009D542A">
        <w:rPr>
          <w:rFonts w:ascii="Arial" w:hAnsi="Arial" w:cs="Arial"/>
        </w:rPr>
        <w:t>Ramalingegowda</w:t>
      </w:r>
      <w:proofErr w:type="spellEnd"/>
      <w:r w:rsidRPr="009D542A">
        <w:rPr>
          <w:rFonts w:ascii="Arial" w:hAnsi="Arial" w:cs="Arial"/>
        </w:rPr>
        <w:t>, Wang and Yu, 2013). However, they also find that high-quality financial reporting significantly mitigates this constraining effect, suggesting that transparent financial information reduces the likelihood that firms forgo valuable investment projects to maintain dividend payments (</w:t>
      </w:r>
      <w:proofErr w:type="spellStart"/>
      <w:r w:rsidRPr="009D542A">
        <w:rPr>
          <w:rFonts w:ascii="Arial" w:hAnsi="Arial" w:cs="Arial"/>
        </w:rPr>
        <w:t>Ramalingegowda</w:t>
      </w:r>
      <w:proofErr w:type="spellEnd"/>
      <w:r w:rsidRPr="009D542A">
        <w:rPr>
          <w:rFonts w:ascii="Arial" w:hAnsi="Arial" w:cs="Arial"/>
        </w:rPr>
        <w:t>, Wang and Yu, 2013).</w:t>
      </w:r>
    </w:p>
    <w:p w:rsidR="009D542A" w:rsidRPr="009D542A" w:rsidRDefault="009D542A" w:rsidP="009D542A">
      <w:pPr>
        <w:jc w:val="both"/>
        <w:rPr>
          <w:rFonts w:ascii="Arial" w:hAnsi="Arial" w:cs="Arial"/>
        </w:rPr>
      </w:pPr>
      <w:r w:rsidRPr="009D542A">
        <w:rPr>
          <w:rFonts w:ascii="Arial" w:hAnsi="Arial" w:cs="Arial"/>
        </w:rPr>
        <w:t xml:space="preserve">Studies in the UK context have explored similar dynamics. </w:t>
      </w:r>
      <w:proofErr w:type="spellStart"/>
      <w:r w:rsidRPr="009D542A">
        <w:rPr>
          <w:rFonts w:ascii="Arial" w:hAnsi="Arial" w:cs="Arial"/>
        </w:rPr>
        <w:t>Chasiotis</w:t>
      </w:r>
      <w:proofErr w:type="spellEnd"/>
      <w:r w:rsidRPr="009D542A">
        <w:rPr>
          <w:rFonts w:ascii="Arial" w:hAnsi="Arial" w:cs="Arial"/>
        </w:rPr>
        <w:t xml:space="preserve"> and </w:t>
      </w:r>
      <w:proofErr w:type="spellStart"/>
      <w:r w:rsidRPr="009D542A">
        <w:rPr>
          <w:rFonts w:ascii="Arial" w:hAnsi="Arial" w:cs="Arial"/>
        </w:rPr>
        <w:t>Georgantopoulos</w:t>
      </w:r>
      <w:proofErr w:type="spellEnd"/>
      <w:r w:rsidRPr="009D542A">
        <w:rPr>
          <w:rFonts w:ascii="Arial" w:hAnsi="Arial" w:cs="Arial"/>
        </w:rPr>
        <w:t xml:space="preserve"> (2021) investigated the relative flexibility of payouts vis-à-vis investment in the UK using a sample of 6,173 firm-year observations from 271 non-financial firms in the FTSE-All Share Index during 1990–2019. Their findings reveal that for the average firm, there is a negative relationship between share repurchases and investment, amplified in the presence of financial constraints and growth opportunities (</w:t>
      </w:r>
      <w:proofErr w:type="spellStart"/>
      <w:r w:rsidRPr="009D542A">
        <w:rPr>
          <w:rFonts w:ascii="Arial" w:hAnsi="Arial" w:cs="Arial"/>
        </w:rPr>
        <w:t>Chasiotis</w:t>
      </w:r>
      <w:proofErr w:type="spellEnd"/>
      <w:r w:rsidRPr="009D542A">
        <w:rPr>
          <w:rFonts w:ascii="Arial" w:hAnsi="Arial" w:cs="Arial"/>
        </w:rPr>
        <w:t xml:space="preserve"> and </w:t>
      </w:r>
      <w:proofErr w:type="spellStart"/>
      <w:r w:rsidRPr="009D542A">
        <w:rPr>
          <w:rFonts w:ascii="Arial" w:hAnsi="Arial" w:cs="Arial"/>
        </w:rPr>
        <w:t>Georgantopoulos</w:t>
      </w:r>
      <w:proofErr w:type="spellEnd"/>
      <w:r w:rsidRPr="009D542A">
        <w:rPr>
          <w:rFonts w:ascii="Arial" w:hAnsi="Arial" w:cs="Arial"/>
        </w:rPr>
        <w:t xml:space="preserve">, 2021). However, quantile regression analysis reveals heterogeneous firm </w:t>
      </w:r>
      <w:proofErr w:type="spellStart"/>
      <w:r w:rsidRPr="009D542A">
        <w:rPr>
          <w:rFonts w:ascii="Arial" w:hAnsi="Arial" w:cs="Arial"/>
        </w:rPr>
        <w:t>behaviour</w:t>
      </w:r>
      <w:proofErr w:type="spellEnd"/>
      <w:r w:rsidRPr="009D542A">
        <w:rPr>
          <w:rFonts w:ascii="Arial" w:hAnsi="Arial" w:cs="Arial"/>
        </w:rPr>
        <w:t>, as this relationship becomes stronger in successive quantiles of the investment distribution and disappears at the upper and lower extremes (</w:t>
      </w:r>
      <w:proofErr w:type="spellStart"/>
      <w:r w:rsidRPr="009D542A">
        <w:rPr>
          <w:rFonts w:ascii="Arial" w:hAnsi="Arial" w:cs="Arial"/>
        </w:rPr>
        <w:t>Chasiotis</w:t>
      </w:r>
      <w:proofErr w:type="spellEnd"/>
      <w:r w:rsidRPr="009D542A">
        <w:rPr>
          <w:rFonts w:ascii="Arial" w:hAnsi="Arial" w:cs="Arial"/>
        </w:rPr>
        <w:t xml:space="preserve"> and </w:t>
      </w:r>
      <w:proofErr w:type="spellStart"/>
      <w:r w:rsidRPr="009D542A">
        <w:rPr>
          <w:rFonts w:ascii="Arial" w:hAnsi="Arial" w:cs="Arial"/>
        </w:rPr>
        <w:t>Georgantopoulos</w:t>
      </w:r>
      <w:proofErr w:type="spellEnd"/>
      <w:r w:rsidRPr="009D542A">
        <w:rPr>
          <w:rFonts w:ascii="Arial" w:hAnsi="Arial" w:cs="Arial"/>
        </w:rPr>
        <w:t>, 2021). Importantly, they found that dividends and investment are independent across the investment distribution, underlining the rigidity of dividends in the UK (</w:t>
      </w:r>
      <w:proofErr w:type="spellStart"/>
      <w:r w:rsidRPr="009D542A">
        <w:rPr>
          <w:rFonts w:ascii="Arial" w:hAnsi="Arial" w:cs="Arial"/>
        </w:rPr>
        <w:t>Chasiotis</w:t>
      </w:r>
      <w:proofErr w:type="spellEnd"/>
      <w:r w:rsidRPr="009D542A">
        <w:rPr>
          <w:rFonts w:ascii="Arial" w:hAnsi="Arial" w:cs="Arial"/>
        </w:rPr>
        <w:t xml:space="preserve"> and </w:t>
      </w:r>
      <w:proofErr w:type="spellStart"/>
      <w:r w:rsidRPr="009D542A">
        <w:rPr>
          <w:rFonts w:ascii="Arial" w:hAnsi="Arial" w:cs="Arial"/>
        </w:rPr>
        <w:t>Georgantopoulos</w:t>
      </w:r>
      <w:proofErr w:type="spellEnd"/>
      <w:r w:rsidRPr="009D542A">
        <w:rPr>
          <w:rFonts w:ascii="Arial" w:hAnsi="Arial" w:cs="Arial"/>
        </w:rPr>
        <w:t>, 2021). This finding suggests that UK firms do not adjust dividend payments in response to investment needs, unlike share repurchases which are used more flexibly.</w:t>
      </w:r>
    </w:p>
    <w:p w:rsidR="009D542A" w:rsidRPr="009D542A" w:rsidRDefault="009D542A" w:rsidP="009D542A">
      <w:pPr>
        <w:jc w:val="both"/>
        <w:rPr>
          <w:rFonts w:ascii="Arial" w:hAnsi="Arial" w:cs="Arial"/>
        </w:rPr>
      </w:pPr>
      <w:r w:rsidRPr="009D542A">
        <w:rPr>
          <w:rFonts w:ascii="Arial" w:hAnsi="Arial" w:cs="Arial"/>
        </w:rPr>
        <w:t xml:space="preserve">Tucker and </w:t>
      </w:r>
      <w:proofErr w:type="spellStart"/>
      <w:r w:rsidRPr="009D542A">
        <w:rPr>
          <w:rFonts w:ascii="Arial" w:hAnsi="Arial" w:cs="Arial"/>
        </w:rPr>
        <w:t>Misirlioglu</w:t>
      </w:r>
      <w:proofErr w:type="spellEnd"/>
      <w:r w:rsidRPr="009D542A">
        <w:rPr>
          <w:rFonts w:ascii="Arial" w:hAnsi="Arial" w:cs="Arial"/>
        </w:rPr>
        <w:t xml:space="preserve"> (2024) studied the determinants of pension contributions for UK listed companies to better understand how the contributions decision is placed within the wider operational and strategic framework of the company. They modelled the potential displacement effect of discretionary pension deficit contributions in relation to corporate investment and dividends and found a significant displacement effect in relation to both, which is further strengthened for dividends during periods of poor firm performance and financial constraints (Tucker and </w:t>
      </w:r>
      <w:proofErr w:type="spellStart"/>
      <w:r w:rsidRPr="009D542A">
        <w:rPr>
          <w:rFonts w:ascii="Arial" w:hAnsi="Arial" w:cs="Arial"/>
        </w:rPr>
        <w:t>Misirlioglu</w:t>
      </w:r>
      <w:proofErr w:type="spellEnd"/>
      <w:r w:rsidRPr="009D542A">
        <w:rPr>
          <w:rFonts w:ascii="Arial" w:hAnsi="Arial" w:cs="Arial"/>
        </w:rPr>
        <w:t xml:space="preserve">, 2024). Their results imply that the firm's dividend payout and investment policies significantly influence its propensity to make extra pension contributions, demonstrating the interconnected nature of these financial decisions (Tucker and </w:t>
      </w:r>
      <w:proofErr w:type="spellStart"/>
      <w:r w:rsidRPr="009D542A">
        <w:rPr>
          <w:rFonts w:ascii="Arial" w:hAnsi="Arial" w:cs="Arial"/>
        </w:rPr>
        <w:t>Misirlioglu</w:t>
      </w:r>
      <w:proofErr w:type="spellEnd"/>
      <w:r w:rsidRPr="009D542A">
        <w:rPr>
          <w:rFonts w:ascii="Arial" w:hAnsi="Arial" w:cs="Arial"/>
        </w:rPr>
        <w:t>, 2024).</w:t>
      </w:r>
    </w:p>
    <w:p w:rsidR="009D542A" w:rsidRPr="009D542A" w:rsidRDefault="009D542A" w:rsidP="009D542A">
      <w:pPr>
        <w:jc w:val="both"/>
        <w:rPr>
          <w:rFonts w:ascii="Arial" w:hAnsi="Arial" w:cs="Arial"/>
        </w:rPr>
      </w:pPr>
      <w:r w:rsidRPr="009D542A">
        <w:rPr>
          <w:rFonts w:ascii="Arial" w:hAnsi="Arial" w:cs="Arial"/>
        </w:rPr>
        <w:t>Studies in emerging markets have explored similar dynamics. Research in the Nigerian context has examined the effect of dividend policy on investment decisions of blue-chip companies (</w:t>
      </w:r>
      <w:proofErr w:type="spellStart"/>
      <w:r w:rsidRPr="009D542A">
        <w:rPr>
          <w:rFonts w:ascii="Arial" w:hAnsi="Arial" w:cs="Arial"/>
        </w:rPr>
        <w:t>Saddiq</w:t>
      </w:r>
      <w:proofErr w:type="spellEnd"/>
      <w:r w:rsidRPr="009D542A">
        <w:rPr>
          <w:rFonts w:ascii="Arial" w:hAnsi="Arial" w:cs="Arial"/>
        </w:rPr>
        <w:t xml:space="preserve">, </w:t>
      </w:r>
      <w:proofErr w:type="spellStart"/>
      <w:r w:rsidRPr="009D542A">
        <w:rPr>
          <w:rFonts w:ascii="Arial" w:hAnsi="Arial" w:cs="Arial"/>
        </w:rPr>
        <w:t>Aliyu</w:t>
      </w:r>
      <w:proofErr w:type="spellEnd"/>
      <w:r w:rsidRPr="009D542A">
        <w:rPr>
          <w:rFonts w:ascii="Arial" w:hAnsi="Arial" w:cs="Arial"/>
        </w:rPr>
        <w:t xml:space="preserve"> and </w:t>
      </w:r>
      <w:proofErr w:type="spellStart"/>
      <w:r w:rsidRPr="009D542A">
        <w:rPr>
          <w:rFonts w:ascii="Arial" w:hAnsi="Arial" w:cs="Arial"/>
        </w:rPr>
        <w:t>Kurfi</w:t>
      </w:r>
      <w:proofErr w:type="spellEnd"/>
      <w:r w:rsidRPr="009D542A">
        <w:rPr>
          <w:rFonts w:ascii="Arial" w:hAnsi="Arial" w:cs="Arial"/>
        </w:rPr>
        <w:t>, 2018), while investigations in Pakistan have explored the impact of dividend policy on shareholder wealth in power generation and distribution firms (</w:t>
      </w:r>
      <w:proofErr w:type="spellStart"/>
      <w:r w:rsidRPr="009D542A">
        <w:rPr>
          <w:rFonts w:ascii="Arial" w:hAnsi="Arial" w:cs="Arial"/>
        </w:rPr>
        <w:t>Sahibzada</w:t>
      </w:r>
      <w:proofErr w:type="spellEnd"/>
      <w:r w:rsidRPr="009D542A">
        <w:rPr>
          <w:rFonts w:ascii="Arial" w:hAnsi="Arial" w:cs="Arial"/>
        </w:rPr>
        <w:t xml:space="preserve"> and </w:t>
      </w:r>
      <w:proofErr w:type="spellStart"/>
      <w:r w:rsidRPr="009D542A">
        <w:rPr>
          <w:rFonts w:ascii="Arial" w:hAnsi="Arial" w:cs="Arial"/>
        </w:rPr>
        <w:lastRenderedPageBreak/>
        <w:t>Zubair</w:t>
      </w:r>
      <w:proofErr w:type="spellEnd"/>
      <w:r w:rsidRPr="009D542A">
        <w:rPr>
          <w:rFonts w:ascii="Arial" w:hAnsi="Arial" w:cs="Arial"/>
        </w:rPr>
        <w:t xml:space="preserve">, 2017). </w:t>
      </w:r>
      <w:proofErr w:type="spellStart"/>
      <w:r w:rsidRPr="009D542A">
        <w:rPr>
          <w:rFonts w:ascii="Arial" w:hAnsi="Arial" w:cs="Arial"/>
        </w:rPr>
        <w:t>Kehinde</w:t>
      </w:r>
      <w:proofErr w:type="spellEnd"/>
      <w:r w:rsidRPr="009D542A">
        <w:rPr>
          <w:rFonts w:ascii="Arial" w:hAnsi="Arial" w:cs="Arial"/>
        </w:rPr>
        <w:t xml:space="preserve"> et al. (2017) examined dividend policy and share price valuation in Nigerian banks, finding significant relationships between dividend payments and share prices. </w:t>
      </w:r>
      <w:proofErr w:type="spellStart"/>
      <w:r w:rsidRPr="009D542A">
        <w:rPr>
          <w:rFonts w:ascii="Arial" w:hAnsi="Arial" w:cs="Arial"/>
        </w:rPr>
        <w:t>Nkuah</w:t>
      </w:r>
      <w:proofErr w:type="spellEnd"/>
      <w:r w:rsidRPr="009D542A">
        <w:rPr>
          <w:rFonts w:ascii="Arial" w:hAnsi="Arial" w:cs="Arial"/>
        </w:rPr>
        <w:t xml:space="preserve"> and </w:t>
      </w:r>
      <w:proofErr w:type="spellStart"/>
      <w:r w:rsidRPr="009D542A">
        <w:rPr>
          <w:rFonts w:ascii="Arial" w:hAnsi="Arial" w:cs="Arial"/>
        </w:rPr>
        <w:t>Yusif</w:t>
      </w:r>
      <w:proofErr w:type="spellEnd"/>
      <w:r w:rsidRPr="009D542A">
        <w:rPr>
          <w:rFonts w:ascii="Arial" w:hAnsi="Arial" w:cs="Arial"/>
        </w:rPr>
        <w:t xml:space="preserve"> (2016) investigated the effect of dividend policy on the wealth of stockholders of listed companies on the Ghana Stock Exchange, contributing to the understanding of dividend effects in African markets. These studies generally confirm the significance of the dividend-investment relationship, though the direction and magnitude of effects vary across contexts (</w:t>
      </w:r>
      <w:proofErr w:type="spellStart"/>
      <w:r w:rsidRPr="009D542A">
        <w:rPr>
          <w:rFonts w:ascii="Arial" w:hAnsi="Arial" w:cs="Arial"/>
        </w:rPr>
        <w:t>M'rabet</w:t>
      </w:r>
      <w:proofErr w:type="spellEnd"/>
      <w:r w:rsidRPr="009D542A">
        <w:rPr>
          <w:rFonts w:ascii="Arial" w:hAnsi="Arial" w:cs="Arial"/>
        </w:rPr>
        <w:t xml:space="preserve"> and </w:t>
      </w:r>
      <w:proofErr w:type="spellStart"/>
      <w:r w:rsidRPr="009D542A">
        <w:rPr>
          <w:rFonts w:ascii="Arial" w:hAnsi="Arial" w:cs="Arial"/>
        </w:rPr>
        <w:t>Boujjat</w:t>
      </w:r>
      <w:proofErr w:type="spellEnd"/>
      <w:r w:rsidRPr="009D542A">
        <w:rPr>
          <w:rFonts w:ascii="Arial" w:hAnsi="Arial" w:cs="Arial"/>
        </w:rPr>
        <w:t>, 2016).</w:t>
      </w:r>
    </w:p>
    <w:p w:rsidR="009D542A" w:rsidRPr="009D542A" w:rsidRDefault="006A0A25" w:rsidP="009D542A">
      <w:pPr>
        <w:jc w:val="both"/>
        <w:rPr>
          <w:rFonts w:ascii="Arial" w:hAnsi="Arial" w:cs="Arial"/>
          <w:b/>
          <w:bCs/>
        </w:rPr>
      </w:pPr>
      <w:r>
        <w:rPr>
          <w:rFonts w:ascii="Arial" w:hAnsi="Arial" w:cs="Arial"/>
          <w:b/>
          <w:bCs/>
        </w:rPr>
        <w:t>2</w:t>
      </w:r>
      <w:r w:rsidR="009D542A" w:rsidRPr="009D542A">
        <w:rPr>
          <w:rFonts w:ascii="Arial" w:hAnsi="Arial" w:cs="Arial"/>
          <w:b/>
          <w:bCs/>
        </w:rPr>
        <w:t>.3 Managerial Perceptions of Dividend Policy</w:t>
      </w:r>
    </w:p>
    <w:p w:rsidR="009D542A" w:rsidRPr="009D542A" w:rsidRDefault="009D542A" w:rsidP="009D542A">
      <w:pPr>
        <w:jc w:val="both"/>
        <w:rPr>
          <w:rFonts w:ascii="Arial" w:hAnsi="Arial" w:cs="Arial"/>
        </w:rPr>
      </w:pPr>
      <w:r w:rsidRPr="009D542A">
        <w:rPr>
          <w:rFonts w:ascii="Arial" w:hAnsi="Arial" w:cs="Arial"/>
        </w:rPr>
        <w:t xml:space="preserve">Understanding managerial perceptions of dividend policy is crucial for interpreting the dividend-investment relationship, as managers are the primary decision-makers regarding both dividend distributions and investment expenditures. </w:t>
      </w:r>
      <w:proofErr w:type="spellStart"/>
      <w:r w:rsidRPr="009D542A">
        <w:rPr>
          <w:rFonts w:ascii="Arial" w:hAnsi="Arial" w:cs="Arial"/>
        </w:rPr>
        <w:t>Kilincarslan</w:t>
      </w:r>
      <w:proofErr w:type="spellEnd"/>
      <w:r w:rsidRPr="009D542A">
        <w:rPr>
          <w:rFonts w:ascii="Arial" w:hAnsi="Arial" w:cs="Arial"/>
        </w:rPr>
        <w:t xml:space="preserve"> (2024) investigated the perceptions of corporate managers of non-dividend-paying firms listed on the London Stock Exchange to identify the factors and explanations leading to a zero cash dividend policy. The survey evidence shows that the main reasons for not paying dividends involve poor profitability, the firm's life cycle stage and profitable growth opportunities (</w:t>
      </w:r>
      <w:proofErr w:type="spellStart"/>
      <w:r w:rsidRPr="009D542A">
        <w:rPr>
          <w:rFonts w:ascii="Arial" w:hAnsi="Arial" w:cs="Arial"/>
        </w:rPr>
        <w:t>Kilincarslan</w:t>
      </w:r>
      <w:proofErr w:type="spellEnd"/>
      <w:r w:rsidRPr="009D542A">
        <w:rPr>
          <w:rFonts w:ascii="Arial" w:hAnsi="Arial" w:cs="Arial"/>
        </w:rPr>
        <w:t>, 2024). Managers consider shareholder preferences when setting a zero cash dividend policy, but neither taxes nor share repurchases (as substitutes for cash dividends) explain this policy (</w:t>
      </w:r>
      <w:proofErr w:type="spellStart"/>
      <w:r w:rsidRPr="009D542A">
        <w:rPr>
          <w:rFonts w:ascii="Arial" w:hAnsi="Arial" w:cs="Arial"/>
        </w:rPr>
        <w:t>Kilincarslan</w:t>
      </w:r>
      <w:proofErr w:type="spellEnd"/>
      <w:r w:rsidRPr="009D542A">
        <w:rPr>
          <w:rFonts w:ascii="Arial" w:hAnsi="Arial" w:cs="Arial"/>
        </w:rPr>
        <w:t>, 2024). High insider ownership and transaction costs also do not explain why some UK companies pay no cash dividends (</w:t>
      </w:r>
      <w:proofErr w:type="spellStart"/>
      <w:r w:rsidRPr="009D542A">
        <w:rPr>
          <w:rFonts w:ascii="Arial" w:hAnsi="Arial" w:cs="Arial"/>
        </w:rPr>
        <w:t>Kilincarslan</w:t>
      </w:r>
      <w:proofErr w:type="spellEnd"/>
      <w:r w:rsidRPr="009D542A">
        <w:rPr>
          <w:rFonts w:ascii="Arial" w:hAnsi="Arial" w:cs="Arial"/>
        </w:rPr>
        <w:t>, 2024). However, respondents confirm that the cost of raising new external funds (debt) is an important factor in not distributing cash dividends (</w:t>
      </w:r>
      <w:proofErr w:type="spellStart"/>
      <w:r w:rsidRPr="009D542A">
        <w:rPr>
          <w:rFonts w:ascii="Arial" w:hAnsi="Arial" w:cs="Arial"/>
        </w:rPr>
        <w:t>Kilincarslan</w:t>
      </w:r>
      <w:proofErr w:type="spellEnd"/>
      <w:r w:rsidRPr="009D542A">
        <w:rPr>
          <w:rFonts w:ascii="Arial" w:hAnsi="Arial" w:cs="Arial"/>
        </w:rPr>
        <w:t xml:space="preserve">, 2024). The findings were inconclusive on the potential </w:t>
      </w:r>
      <w:proofErr w:type="spellStart"/>
      <w:r w:rsidRPr="009D542A">
        <w:rPr>
          <w:rFonts w:ascii="Arial" w:hAnsi="Arial" w:cs="Arial"/>
        </w:rPr>
        <w:t>signalling</w:t>
      </w:r>
      <w:proofErr w:type="spellEnd"/>
      <w:r w:rsidRPr="009D542A">
        <w:rPr>
          <w:rFonts w:ascii="Arial" w:hAnsi="Arial" w:cs="Arial"/>
        </w:rPr>
        <w:t xml:space="preserve"> effect of not paying dividends, and the COVID-19 pandemic did not affect the decision to follow a zero cash dividend policy in the United Kingdom (</w:t>
      </w:r>
      <w:proofErr w:type="spellStart"/>
      <w:r w:rsidRPr="009D542A">
        <w:rPr>
          <w:rFonts w:ascii="Arial" w:hAnsi="Arial" w:cs="Arial"/>
        </w:rPr>
        <w:t>Kilincarslan</w:t>
      </w:r>
      <w:proofErr w:type="spellEnd"/>
      <w:r w:rsidRPr="009D542A">
        <w:rPr>
          <w:rFonts w:ascii="Arial" w:hAnsi="Arial" w:cs="Arial"/>
        </w:rPr>
        <w:t>, 2024).</w:t>
      </w:r>
    </w:p>
    <w:p w:rsidR="009D542A" w:rsidRPr="009D542A" w:rsidRDefault="009D542A" w:rsidP="009D542A">
      <w:pPr>
        <w:jc w:val="both"/>
        <w:rPr>
          <w:rFonts w:ascii="Arial" w:hAnsi="Arial" w:cs="Arial"/>
        </w:rPr>
      </w:pPr>
      <w:r w:rsidRPr="009D542A">
        <w:rPr>
          <w:rFonts w:ascii="Arial" w:hAnsi="Arial" w:cs="Arial"/>
        </w:rPr>
        <w:t xml:space="preserve">Survey research by </w:t>
      </w:r>
      <w:proofErr w:type="spellStart"/>
      <w:r w:rsidRPr="009D542A">
        <w:rPr>
          <w:rFonts w:ascii="Arial" w:hAnsi="Arial" w:cs="Arial"/>
        </w:rPr>
        <w:t>Kilincarslan</w:t>
      </w:r>
      <w:proofErr w:type="spellEnd"/>
      <w:r w:rsidRPr="009D542A">
        <w:rPr>
          <w:rFonts w:ascii="Arial" w:hAnsi="Arial" w:cs="Arial"/>
        </w:rPr>
        <w:t xml:space="preserve"> (2024) on the perceptions of corporate managers of dividend-paying and non-dividend-paying firms listed on the London Stock Exchange, based on 259 responses from 723 LSE-listed UK firms, revealed several important conclusions. The most important factors affecting the dividend policy of dividend-paying LSE firms relate to earnings and cash positions of the firms—particularly, the level of current earnings, level of expected future earnings, stability of earnings, and liquidity constraints such as availability of cash (</w:t>
      </w:r>
      <w:proofErr w:type="spellStart"/>
      <w:r w:rsidRPr="009D542A">
        <w:rPr>
          <w:rFonts w:ascii="Arial" w:hAnsi="Arial" w:cs="Arial"/>
        </w:rPr>
        <w:t>Kilincarslan</w:t>
      </w:r>
      <w:proofErr w:type="spellEnd"/>
      <w:r w:rsidRPr="009D542A">
        <w:rPr>
          <w:rFonts w:ascii="Arial" w:hAnsi="Arial" w:cs="Arial"/>
        </w:rPr>
        <w:t>, 2024). Since earnings are closely related to cash flows which generally serve as a basis for distributing dividends, this finding suggests that LSE corporate managers place high importance on earnings figures while setting dividend policies (</w:t>
      </w:r>
      <w:proofErr w:type="spellStart"/>
      <w:r w:rsidRPr="009D542A">
        <w:rPr>
          <w:rFonts w:ascii="Arial" w:hAnsi="Arial" w:cs="Arial"/>
        </w:rPr>
        <w:t>Kilincarslan</w:t>
      </w:r>
      <w:proofErr w:type="spellEnd"/>
      <w:r w:rsidRPr="009D542A">
        <w:rPr>
          <w:rFonts w:ascii="Arial" w:hAnsi="Arial" w:cs="Arial"/>
        </w:rPr>
        <w:t>, 2024). The pattern of past dividends and current degree of financial leverage are other important factors listed by the participating managers (</w:t>
      </w:r>
      <w:proofErr w:type="spellStart"/>
      <w:r w:rsidRPr="009D542A">
        <w:rPr>
          <w:rFonts w:ascii="Arial" w:hAnsi="Arial" w:cs="Arial"/>
        </w:rPr>
        <w:t>Kilincarslan</w:t>
      </w:r>
      <w:proofErr w:type="spellEnd"/>
      <w:r w:rsidRPr="009D542A">
        <w:rPr>
          <w:rFonts w:ascii="Arial" w:hAnsi="Arial" w:cs="Arial"/>
        </w:rPr>
        <w:t>, 2024). These results are consistent with previous survey studies confirming what is already known regarding the factors influencing dividend payment decisions (</w:t>
      </w:r>
      <w:proofErr w:type="spellStart"/>
      <w:r w:rsidRPr="009D542A">
        <w:rPr>
          <w:rFonts w:ascii="Arial" w:hAnsi="Arial" w:cs="Arial"/>
        </w:rPr>
        <w:t>Kilincarslan</w:t>
      </w:r>
      <w:proofErr w:type="spellEnd"/>
      <w:r w:rsidRPr="009D542A">
        <w:rPr>
          <w:rFonts w:ascii="Arial" w:hAnsi="Arial" w:cs="Arial"/>
        </w:rPr>
        <w:t>, 2024).</w:t>
      </w:r>
    </w:p>
    <w:p w:rsidR="009D542A" w:rsidRPr="009D542A" w:rsidRDefault="009D542A" w:rsidP="009D542A">
      <w:pPr>
        <w:jc w:val="both"/>
        <w:rPr>
          <w:rFonts w:ascii="Arial" w:hAnsi="Arial" w:cs="Arial"/>
        </w:rPr>
      </w:pPr>
      <w:r w:rsidRPr="009D542A">
        <w:rPr>
          <w:rFonts w:ascii="Arial" w:hAnsi="Arial" w:cs="Arial"/>
        </w:rPr>
        <w:t>The survey evidence shows that dividend-paying LSE-listed firms' top executives believe that changes in dividends influence share prices and dividend policy affects firm value and therefore shareholders' wealth (</w:t>
      </w:r>
      <w:proofErr w:type="spellStart"/>
      <w:r w:rsidRPr="009D542A">
        <w:rPr>
          <w:rFonts w:ascii="Arial" w:hAnsi="Arial" w:cs="Arial"/>
        </w:rPr>
        <w:t>Kilincarslan</w:t>
      </w:r>
      <w:proofErr w:type="spellEnd"/>
      <w:r w:rsidRPr="009D542A">
        <w:rPr>
          <w:rFonts w:ascii="Arial" w:hAnsi="Arial" w:cs="Arial"/>
        </w:rPr>
        <w:t xml:space="preserve">, 2024). Thus, they think that they should create an optimal dividend policy to balance between current dividends and future growth that </w:t>
      </w:r>
      <w:proofErr w:type="spellStart"/>
      <w:r w:rsidRPr="009D542A">
        <w:rPr>
          <w:rFonts w:ascii="Arial" w:hAnsi="Arial" w:cs="Arial"/>
        </w:rPr>
        <w:t>maximises</w:t>
      </w:r>
      <w:proofErr w:type="spellEnd"/>
      <w:r w:rsidRPr="009D542A">
        <w:rPr>
          <w:rFonts w:ascii="Arial" w:hAnsi="Arial" w:cs="Arial"/>
        </w:rPr>
        <w:t xml:space="preserve"> share prices (</w:t>
      </w:r>
      <w:proofErr w:type="spellStart"/>
      <w:r w:rsidRPr="009D542A">
        <w:rPr>
          <w:rFonts w:ascii="Arial" w:hAnsi="Arial" w:cs="Arial"/>
        </w:rPr>
        <w:t>Kilincarslan</w:t>
      </w:r>
      <w:proofErr w:type="spellEnd"/>
      <w:r w:rsidRPr="009D542A">
        <w:rPr>
          <w:rFonts w:ascii="Arial" w:hAnsi="Arial" w:cs="Arial"/>
        </w:rPr>
        <w:t xml:space="preserve">, 2024). Moreover, corporate managers of dividend-paying LSE firms </w:t>
      </w:r>
      <w:r w:rsidRPr="009D542A">
        <w:rPr>
          <w:rFonts w:ascii="Arial" w:hAnsi="Arial" w:cs="Arial"/>
        </w:rPr>
        <w:lastRenderedPageBreak/>
        <w:t xml:space="preserve">express general support for the </w:t>
      </w:r>
      <w:proofErr w:type="spellStart"/>
      <w:r w:rsidRPr="009D542A">
        <w:rPr>
          <w:rFonts w:ascii="Arial" w:hAnsi="Arial" w:cs="Arial"/>
        </w:rPr>
        <w:t>signalling</w:t>
      </w:r>
      <w:proofErr w:type="spellEnd"/>
      <w:r w:rsidRPr="009D542A">
        <w:rPr>
          <w:rFonts w:ascii="Arial" w:hAnsi="Arial" w:cs="Arial"/>
        </w:rPr>
        <w:t xml:space="preserve"> theory, </w:t>
      </w:r>
      <w:proofErr w:type="spellStart"/>
      <w:r w:rsidRPr="009D542A">
        <w:rPr>
          <w:rFonts w:ascii="Arial" w:hAnsi="Arial" w:cs="Arial"/>
        </w:rPr>
        <w:t>Lintner's</w:t>
      </w:r>
      <w:proofErr w:type="spellEnd"/>
      <w:r w:rsidRPr="009D542A">
        <w:rPr>
          <w:rFonts w:ascii="Arial" w:hAnsi="Arial" w:cs="Arial"/>
        </w:rPr>
        <w:t xml:space="preserve"> (1956) model of dividends, tax-related, clientele effect and institutional investor effect explanations, catering theory and maturity (firm life cycle) hypothesis, whereas the agency cost and pecking order theories are partially supported (</w:t>
      </w:r>
      <w:proofErr w:type="spellStart"/>
      <w:r w:rsidRPr="009D542A">
        <w:rPr>
          <w:rFonts w:ascii="Arial" w:hAnsi="Arial" w:cs="Arial"/>
        </w:rPr>
        <w:t>Kilincarslan</w:t>
      </w:r>
      <w:proofErr w:type="spellEnd"/>
      <w:r w:rsidRPr="009D542A">
        <w:rPr>
          <w:rFonts w:ascii="Arial" w:hAnsi="Arial" w:cs="Arial"/>
        </w:rPr>
        <w:t>, 2024). However, the survey findings do not support the bird-in-the-hand hypothesis and residual dividend policy (</w:t>
      </w:r>
      <w:proofErr w:type="spellStart"/>
      <w:r w:rsidRPr="009D542A">
        <w:rPr>
          <w:rFonts w:ascii="Arial" w:hAnsi="Arial" w:cs="Arial"/>
        </w:rPr>
        <w:t>Kilincarslan</w:t>
      </w:r>
      <w:proofErr w:type="spellEnd"/>
      <w:r w:rsidRPr="009D542A">
        <w:rPr>
          <w:rFonts w:ascii="Arial" w:hAnsi="Arial" w:cs="Arial"/>
        </w:rPr>
        <w:t xml:space="preserve">, 2024). Overall, the results present multiple theories for paying cash dividends in the UK market, which is against the notion </w:t>
      </w:r>
      <w:r w:rsidR="00144CD3">
        <w:rPr>
          <w:rFonts w:ascii="Arial" w:hAnsi="Arial" w:cs="Arial"/>
        </w:rPr>
        <w:t>+</w:t>
      </w:r>
      <w:r w:rsidRPr="009D542A">
        <w:rPr>
          <w:rFonts w:ascii="Arial" w:hAnsi="Arial" w:cs="Arial"/>
        </w:rPr>
        <w:t>of a universal or “one-size-fits-all” explanation for paying dividends (</w:t>
      </w:r>
      <w:proofErr w:type="spellStart"/>
      <w:r w:rsidRPr="009D542A">
        <w:rPr>
          <w:rFonts w:ascii="Arial" w:hAnsi="Arial" w:cs="Arial"/>
        </w:rPr>
        <w:t>Kilincarslan</w:t>
      </w:r>
      <w:proofErr w:type="spellEnd"/>
      <w:r w:rsidRPr="009D542A">
        <w:rPr>
          <w:rFonts w:ascii="Arial" w:hAnsi="Arial" w:cs="Arial"/>
        </w:rPr>
        <w:t>, 2024).</w:t>
      </w:r>
    </w:p>
    <w:p w:rsidR="009D542A" w:rsidRPr="009D542A" w:rsidRDefault="009D542A" w:rsidP="009D542A">
      <w:pPr>
        <w:jc w:val="both"/>
        <w:rPr>
          <w:rFonts w:ascii="Arial" w:hAnsi="Arial" w:cs="Arial"/>
        </w:rPr>
      </w:pPr>
      <w:r w:rsidRPr="009D542A">
        <w:rPr>
          <w:rFonts w:ascii="Arial" w:hAnsi="Arial" w:cs="Arial"/>
        </w:rPr>
        <w:t>The most important reasons behind non-dividend-paying LSE-listed firms' decisions for a no cash dividend policy are the availability of cash, stage in the firm's life cycle, level of current earnings, preference to reinvest cash flows instead of paying dividends, and profitable growth opportunities (</w:t>
      </w:r>
      <w:proofErr w:type="spellStart"/>
      <w:r w:rsidRPr="009D542A">
        <w:rPr>
          <w:rFonts w:ascii="Arial" w:hAnsi="Arial" w:cs="Arial"/>
        </w:rPr>
        <w:t>Kilincarslan</w:t>
      </w:r>
      <w:proofErr w:type="spellEnd"/>
      <w:r w:rsidRPr="009D542A">
        <w:rPr>
          <w:rFonts w:ascii="Arial" w:hAnsi="Arial" w:cs="Arial"/>
        </w:rPr>
        <w:t>, 2024). These findings are consistent with the understanding that dividend decisions are closely linked to investment considerations, as firms with profitable growth opportunities may prefer to retain earnings for reinvestment rather than distribute them as dividends (</w:t>
      </w:r>
      <w:proofErr w:type="spellStart"/>
      <w:r w:rsidRPr="009D542A">
        <w:rPr>
          <w:rFonts w:ascii="Arial" w:hAnsi="Arial" w:cs="Arial"/>
        </w:rPr>
        <w:t>Kilincarslan</w:t>
      </w:r>
      <w:proofErr w:type="spellEnd"/>
      <w:r w:rsidRPr="009D542A">
        <w:rPr>
          <w:rFonts w:ascii="Arial" w:hAnsi="Arial" w:cs="Arial"/>
        </w:rPr>
        <w:t>, 2024).</w:t>
      </w:r>
    </w:p>
    <w:p w:rsidR="009D542A" w:rsidRPr="009D542A" w:rsidRDefault="006A0A25" w:rsidP="009D542A">
      <w:pPr>
        <w:jc w:val="both"/>
        <w:rPr>
          <w:rFonts w:ascii="Arial" w:hAnsi="Arial" w:cs="Arial"/>
          <w:b/>
          <w:bCs/>
        </w:rPr>
      </w:pPr>
      <w:r>
        <w:rPr>
          <w:rFonts w:ascii="Arial" w:hAnsi="Arial" w:cs="Arial"/>
          <w:b/>
          <w:bCs/>
        </w:rPr>
        <w:t>2</w:t>
      </w:r>
      <w:r w:rsidR="009D542A" w:rsidRPr="009D542A">
        <w:rPr>
          <w:rFonts w:ascii="Arial" w:hAnsi="Arial" w:cs="Arial"/>
          <w:b/>
          <w:bCs/>
        </w:rPr>
        <w:t>.4 Gaps in the Literature</w:t>
      </w:r>
    </w:p>
    <w:p w:rsidR="00327EE9" w:rsidRPr="000A1045" w:rsidRDefault="009D542A" w:rsidP="00EA5552">
      <w:pPr>
        <w:jc w:val="both"/>
        <w:rPr>
          <w:rFonts w:ascii="Arial" w:hAnsi="Arial" w:cs="Arial"/>
        </w:rPr>
      </w:pPr>
      <w:r w:rsidRPr="009D542A">
        <w:rPr>
          <w:rFonts w:ascii="Arial" w:hAnsi="Arial" w:cs="Arial"/>
        </w:rPr>
        <w:t>Despite the substantial body of research on dividend policy and investment decisions, several gaps remain. First, the UK market has received comparatively less attention than US and emerging market contexts, despite its distinct payout characteristics and strong dividend culture (</w:t>
      </w:r>
      <w:proofErr w:type="spellStart"/>
      <w:r w:rsidRPr="009D542A">
        <w:rPr>
          <w:rFonts w:ascii="Arial" w:hAnsi="Arial" w:cs="Arial"/>
        </w:rPr>
        <w:t>Chasiotis</w:t>
      </w:r>
      <w:proofErr w:type="spellEnd"/>
      <w:r w:rsidRPr="009D542A">
        <w:rPr>
          <w:rFonts w:ascii="Arial" w:hAnsi="Arial" w:cs="Arial"/>
        </w:rPr>
        <w:t xml:space="preserve"> and </w:t>
      </w:r>
      <w:proofErr w:type="spellStart"/>
      <w:r w:rsidRPr="009D542A">
        <w:rPr>
          <w:rFonts w:ascii="Arial" w:hAnsi="Arial" w:cs="Arial"/>
        </w:rPr>
        <w:t>Georgantopoulos</w:t>
      </w:r>
      <w:proofErr w:type="spellEnd"/>
      <w:r w:rsidRPr="009D542A">
        <w:rPr>
          <w:rFonts w:ascii="Arial" w:hAnsi="Arial" w:cs="Arial"/>
        </w:rPr>
        <w:t>, 2021). Second, the direct relationship between dividend policy and shareholder investment decisions, as opposed to corporate investment more broadly, has not been systematically examined in the UK context. Third, recent developments in the UK dividend landscape, including changing tax treatment of dividends, evolving payout practices such as the increasing use of share buybacks, and the impact of the COVID-19 pandemic, necessitate updated empirical evidence (</w:t>
      </w:r>
      <w:proofErr w:type="spellStart"/>
      <w:r w:rsidRPr="009D542A">
        <w:rPr>
          <w:rFonts w:ascii="Arial" w:hAnsi="Arial" w:cs="Arial"/>
        </w:rPr>
        <w:t>Kilincarslan</w:t>
      </w:r>
      <w:proofErr w:type="spellEnd"/>
      <w:r w:rsidRPr="009D542A">
        <w:rPr>
          <w:rFonts w:ascii="Arial" w:hAnsi="Arial" w:cs="Arial"/>
        </w:rPr>
        <w:t xml:space="preserve">, 2024; </w:t>
      </w:r>
      <w:proofErr w:type="spellStart"/>
      <w:r w:rsidRPr="009D542A">
        <w:rPr>
          <w:rFonts w:ascii="Arial" w:hAnsi="Arial" w:cs="Arial"/>
        </w:rPr>
        <w:t>Chasiotis</w:t>
      </w:r>
      <w:proofErr w:type="spellEnd"/>
      <w:r w:rsidRPr="009D542A">
        <w:rPr>
          <w:rFonts w:ascii="Arial" w:hAnsi="Arial" w:cs="Arial"/>
        </w:rPr>
        <w:t xml:space="preserve"> and </w:t>
      </w:r>
      <w:proofErr w:type="spellStart"/>
      <w:r w:rsidRPr="009D542A">
        <w:rPr>
          <w:rFonts w:ascii="Arial" w:hAnsi="Arial" w:cs="Arial"/>
        </w:rPr>
        <w:t>Georgantopoulos</w:t>
      </w:r>
      <w:proofErr w:type="spellEnd"/>
      <w:r w:rsidRPr="009D542A">
        <w:rPr>
          <w:rFonts w:ascii="Arial" w:hAnsi="Arial" w:cs="Arial"/>
        </w:rPr>
        <w:t xml:space="preserve">, 2021). Fourth, the heterogeneity of firm </w:t>
      </w:r>
      <w:proofErr w:type="spellStart"/>
      <w:r w:rsidRPr="009D542A">
        <w:rPr>
          <w:rFonts w:ascii="Arial" w:hAnsi="Arial" w:cs="Arial"/>
        </w:rPr>
        <w:t>behaviour</w:t>
      </w:r>
      <w:proofErr w:type="spellEnd"/>
      <w:r w:rsidRPr="009D542A">
        <w:rPr>
          <w:rFonts w:ascii="Arial" w:hAnsi="Arial" w:cs="Arial"/>
        </w:rPr>
        <w:t xml:space="preserve"> across different investment contexts and firm characteristics requires further investigation, as conditional mean estimations may not capture the full complexity of the dividend-investment relationship (</w:t>
      </w:r>
      <w:proofErr w:type="spellStart"/>
      <w:r w:rsidRPr="009D542A">
        <w:rPr>
          <w:rFonts w:ascii="Arial" w:hAnsi="Arial" w:cs="Arial"/>
        </w:rPr>
        <w:t>Chasiotis</w:t>
      </w:r>
      <w:proofErr w:type="spellEnd"/>
      <w:r w:rsidRPr="009D542A">
        <w:rPr>
          <w:rFonts w:ascii="Arial" w:hAnsi="Arial" w:cs="Arial"/>
        </w:rPr>
        <w:t xml:space="preserve"> and </w:t>
      </w:r>
      <w:proofErr w:type="spellStart"/>
      <w:r w:rsidRPr="009D542A">
        <w:rPr>
          <w:rFonts w:ascii="Arial" w:hAnsi="Arial" w:cs="Arial"/>
        </w:rPr>
        <w:t>Georgantopoulos</w:t>
      </w:r>
      <w:proofErr w:type="spellEnd"/>
      <w:r w:rsidRPr="009D542A">
        <w:rPr>
          <w:rFonts w:ascii="Arial" w:hAnsi="Arial" w:cs="Arial"/>
        </w:rPr>
        <w:t>, 2021). This study addresses these gaps by providing comprehensive evidence on the effect of dividend policy on shareholder investment decisions among UK-listed firms.</w:t>
      </w:r>
    </w:p>
    <w:p w:rsidR="00207B59" w:rsidRPr="000A1045" w:rsidRDefault="00AD1546" w:rsidP="005E664B">
      <w:pPr>
        <w:jc w:val="both"/>
        <w:rPr>
          <w:rFonts w:ascii="Arial" w:hAnsi="Arial" w:cs="Arial"/>
          <w:b/>
          <w:bCs/>
        </w:rPr>
      </w:pPr>
      <w:bookmarkStart w:id="0" w:name="_GoBack"/>
      <w:r w:rsidRPr="000A1045">
        <w:rPr>
          <w:rFonts w:ascii="Arial" w:hAnsi="Arial" w:cs="Arial"/>
          <w:b/>
          <w:bCs/>
        </w:rPr>
        <w:t xml:space="preserve">3. </w:t>
      </w:r>
      <w:r w:rsidR="00207B59" w:rsidRPr="000A1045">
        <w:rPr>
          <w:rFonts w:ascii="Arial" w:hAnsi="Arial" w:cs="Arial"/>
          <w:b/>
          <w:bCs/>
        </w:rPr>
        <w:t xml:space="preserve">Research Methodology </w:t>
      </w:r>
    </w:p>
    <w:p w:rsidR="00144CD3" w:rsidRPr="00144CD3" w:rsidRDefault="00DC0E8F" w:rsidP="005E664B">
      <w:pPr>
        <w:jc w:val="both"/>
        <w:rPr>
          <w:rFonts w:ascii="Arial" w:hAnsi="Arial" w:cs="Arial"/>
          <w:b/>
          <w:bCs/>
        </w:rPr>
      </w:pPr>
      <w:r>
        <w:rPr>
          <w:rFonts w:ascii="Arial" w:hAnsi="Arial" w:cs="Arial"/>
          <w:b/>
          <w:bCs/>
        </w:rPr>
        <w:t>3</w:t>
      </w:r>
      <w:r w:rsidR="00144CD3" w:rsidRPr="00144CD3">
        <w:rPr>
          <w:rFonts w:ascii="Arial" w:hAnsi="Arial" w:cs="Arial"/>
          <w:b/>
          <w:bCs/>
        </w:rPr>
        <w:t>.1 Research Philosophy and Approach</w:t>
      </w:r>
    </w:p>
    <w:p w:rsidR="00144CD3" w:rsidRPr="00144CD3" w:rsidRDefault="00144CD3" w:rsidP="005E664B">
      <w:pPr>
        <w:jc w:val="both"/>
        <w:rPr>
          <w:rFonts w:ascii="Arial" w:hAnsi="Arial" w:cs="Arial"/>
        </w:rPr>
      </w:pPr>
      <w:r w:rsidRPr="00144CD3">
        <w:rPr>
          <w:rFonts w:ascii="Arial" w:hAnsi="Arial" w:cs="Arial"/>
        </w:rPr>
        <w:t xml:space="preserve">This study adopts a positivist research philosophy, which assumes that social reality is objective and can be measured through observable phenomena (Saunders, Lewis and Thornhill, 2019). The positivist approach is appropriate for examining the dividend-investment relationship as it enables the formulation of testable hypotheses and the application of quantitative methods to establish causal relationships (Saunders, Lewis and Thornhill, 2019). The research employs a deductive approach, moving from theoretical propositions to empirical testing using secondary data (Saunders, Lewis and Thornhill, 2019). This approach is consistent with prior empirical studies on dividend policy, which have predominantly employed quantitative methods to test </w:t>
      </w:r>
      <w:r w:rsidRPr="00144CD3">
        <w:rPr>
          <w:rFonts w:ascii="Arial" w:hAnsi="Arial" w:cs="Arial"/>
        </w:rPr>
        <w:lastRenderedPageBreak/>
        <w:t>theoretical propositions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w:t>
      </w:r>
      <w:proofErr w:type="spellStart"/>
      <w:r w:rsidRPr="00144CD3">
        <w:rPr>
          <w:rFonts w:ascii="Arial" w:hAnsi="Arial" w:cs="Arial"/>
        </w:rPr>
        <w:t>Ramalingegowda</w:t>
      </w:r>
      <w:proofErr w:type="spellEnd"/>
      <w:r w:rsidRPr="00144CD3">
        <w:rPr>
          <w:rFonts w:ascii="Arial" w:hAnsi="Arial" w:cs="Arial"/>
        </w:rPr>
        <w:t>, Wang and Yu, 2013).</w:t>
      </w:r>
    </w:p>
    <w:p w:rsidR="00144CD3" w:rsidRPr="00144CD3" w:rsidRDefault="002B628F" w:rsidP="005E664B">
      <w:pPr>
        <w:jc w:val="both"/>
        <w:rPr>
          <w:rFonts w:ascii="Arial" w:hAnsi="Arial" w:cs="Arial"/>
          <w:b/>
          <w:bCs/>
        </w:rPr>
      </w:pPr>
      <w:r>
        <w:rPr>
          <w:rFonts w:ascii="Arial" w:hAnsi="Arial" w:cs="Arial"/>
          <w:b/>
          <w:bCs/>
        </w:rPr>
        <w:t>3</w:t>
      </w:r>
      <w:r w:rsidR="00144CD3" w:rsidRPr="00144CD3">
        <w:rPr>
          <w:rFonts w:ascii="Arial" w:hAnsi="Arial" w:cs="Arial"/>
          <w:b/>
          <w:bCs/>
        </w:rPr>
        <w:t>.2 Research Design</w:t>
      </w:r>
    </w:p>
    <w:p w:rsidR="00144CD3" w:rsidRPr="00144CD3" w:rsidRDefault="00144CD3" w:rsidP="005E664B">
      <w:pPr>
        <w:jc w:val="both"/>
        <w:rPr>
          <w:rFonts w:ascii="Arial" w:hAnsi="Arial" w:cs="Arial"/>
        </w:rPr>
      </w:pPr>
      <w:r w:rsidRPr="00144CD3">
        <w:rPr>
          <w:rFonts w:ascii="Arial" w:hAnsi="Arial" w:cs="Arial"/>
        </w:rPr>
        <w:t xml:space="preserve">The study adopts a quantitative, longitudinal research design </w:t>
      </w:r>
      <w:proofErr w:type="spellStart"/>
      <w:r w:rsidRPr="00144CD3">
        <w:rPr>
          <w:rFonts w:ascii="Arial" w:hAnsi="Arial" w:cs="Arial"/>
        </w:rPr>
        <w:t>utilising</w:t>
      </w:r>
      <w:proofErr w:type="spellEnd"/>
      <w:r w:rsidRPr="00144CD3">
        <w:rPr>
          <w:rFonts w:ascii="Arial" w:hAnsi="Arial" w:cs="Arial"/>
        </w:rPr>
        <w:t xml:space="preserve"> panel data. Panel data combines cross-sectional and time-series dimensions, enabling the examination of both inter-firm differences and within-firm changes over time (Wooldridge, 2010). This design is particularly suited to investigating the dividend-investment relationship as it controls for unobserved firm-specific heterogeneity and captures the dynamic nature of corporate financial decisions (Wooldridge, 2010).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employed a similar panel data approach in their investigation of the flexibility of corporate payouts vis-à-vis capital investment in the UK, using an unbalanced panel of 6,173 firm-year observations from 271 non-financial firms in the FTSE-All Share Index during 1990–2019. The longitudinal design enables the examination of how dividend policy affects investment decisions over time, controlling for time-invariant firm characteristics that might otherwise bias the results (Wooldridge, 2010).</w:t>
      </w:r>
    </w:p>
    <w:p w:rsidR="00144CD3" w:rsidRPr="00144CD3" w:rsidRDefault="002B628F" w:rsidP="005E664B">
      <w:pPr>
        <w:jc w:val="both"/>
        <w:rPr>
          <w:rFonts w:ascii="Arial" w:hAnsi="Arial" w:cs="Arial"/>
          <w:b/>
          <w:bCs/>
        </w:rPr>
      </w:pPr>
      <w:r>
        <w:rPr>
          <w:rFonts w:ascii="Arial" w:hAnsi="Arial" w:cs="Arial"/>
          <w:b/>
          <w:bCs/>
        </w:rPr>
        <w:t>3</w:t>
      </w:r>
      <w:r w:rsidR="00144CD3" w:rsidRPr="00144CD3">
        <w:rPr>
          <w:rFonts w:ascii="Arial" w:hAnsi="Arial" w:cs="Arial"/>
          <w:b/>
          <w:bCs/>
        </w:rPr>
        <w:t>.3 Data Sources and Sample</w:t>
      </w:r>
    </w:p>
    <w:p w:rsidR="00144CD3" w:rsidRPr="00144CD3" w:rsidRDefault="00144CD3" w:rsidP="005E664B">
      <w:pPr>
        <w:jc w:val="both"/>
        <w:rPr>
          <w:rFonts w:ascii="Arial" w:hAnsi="Arial" w:cs="Arial"/>
        </w:rPr>
      </w:pPr>
      <w:r w:rsidRPr="00144CD3">
        <w:rPr>
          <w:rFonts w:ascii="Arial" w:hAnsi="Arial" w:cs="Arial"/>
        </w:rPr>
        <w:t>Secondary data will be collected from multiple sources to ensure comprehensiveness and reliability. Financial statement data, including dividend payments, investment expenditure, and other firm characteristics, will be extracted from the Financial Analysis Made Easy (FAME) database, which provides comprehensive financial information on UK-listed firms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Additional data on stock prices and market </w:t>
      </w:r>
      <w:proofErr w:type="spellStart"/>
      <w:r w:rsidRPr="00144CD3">
        <w:rPr>
          <w:rFonts w:ascii="Arial" w:hAnsi="Arial" w:cs="Arial"/>
        </w:rPr>
        <w:t>capitalisation</w:t>
      </w:r>
      <w:proofErr w:type="spellEnd"/>
      <w:r w:rsidRPr="00144CD3">
        <w:rPr>
          <w:rFonts w:ascii="Arial" w:hAnsi="Arial" w:cs="Arial"/>
        </w:rPr>
        <w:t xml:space="preserve"> will be obtained from the London Stock Exchange and </w:t>
      </w:r>
      <w:proofErr w:type="spellStart"/>
      <w:r w:rsidRPr="00144CD3">
        <w:rPr>
          <w:rFonts w:ascii="Arial" w:hAnsi="Arial" w:cs="Arial"/>
        </w:rPr>
        <w:t>Datastream</w:t>
      </w:r>
      <w:proofErr w:type="spellEnd"/>
      <w:r w:rsidRPr="00144CD3">
        <w:rPr>
          <w:rFonts w:ascii="Arial" w:hAnsi="Arial" w:cs="Arial"/>
        </w:rPr>
        <w:t xml:space="preserve">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The sample will comprise UK-listed firms from the FTSE All-Share Index, covering the period from 2010 to 2025. Following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firms in the financial services sector will be excluded due to their unique regulatory and capital structure characteristics. The final sample is expected to include approximately 500-600 firms with complete data for the study period, providing a robust basis for empirical analysis.</w:t>
      </w:r>
    </w:p>
    <w:p w:rsidR="00144CD3" w:rsidRPr="00144CD3" w:rsidRDefault="00144CD3" w:rsidP="005E664B">
      <w:pPr>
        <w:jc w:val="both"/>
        <w:rPr>
          <w:rFonts w:ascii="Arial" w:hAnsi="Arial" w:cs="Arial"/>
        </w:rPr>
      </w:pPr>
      <w:r w:rsidRPr="00144CD3">
        <w:rPr>
          <w:rFonts w:ascii="Arial" w:hAnsi="Arial" w:cs="Arial"/>
        </w:rPr>
        <w:t>The selection of the FTSE All-Share Index as the sampling frame ensures that the study captures a representative cross-section of UK-listed firms, including large-cap, mid-cap, and small-cap companies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2021). The time period from 2010 to 2025 encompasses several important economic events, including the post-financial crisis recovery, the COVID-19 pandemic, and the recent period of macroeconomic uncertainty, enabling the examination of how dividend-investment relationships vary across different economic conditions (</w:t>
      </w:r>
      <w:proofErr w:type="spellStart"/>
      <w:r w:rsidRPr="00144CD3">
        <w:rPr>
          <w:rFonts w:ascii="Arial" w:hAnsi="Arial" w:cs="Arial"/>
        </w:rPr>
        <w:t>Kilincarslan</w:t>
      </w:r>
      <w:proofErr w:type="spellEnd"/>
      <w:r w:rsidRPr="00144CD3">
        <w:rPr>
          <w:rFonts w:ascii="Arial" w:hAnsi="Arial" w:cs="Arial"/>
        </w:rPr>
        <w:t xml:space="preserve">, 2024; Tucker and </w:t>
      </w:r>
      <w:proofErr w:type="spellStart"/>
      <w:r w:rsidRPr="00144CD3">
        <w:rPr>
          <w:rFonts w:ascii="Arial" w:hAnsi="Arial" w:cs="Arial"/>
        </w:rPr>
        <w:t>Misirlioglu</w:t>
      </w:r>
      <w:proofErr w:type="spellEnd"/>
      <w:r w:rsidRPr="00144CD3">
        <w:rPr>
          <w:rFonts w:ascii="Arial" w:hAnsi="Arial" w:cs="Arial"/>
        </w:rPr>
        <w:t>, 2024).</w:t>
      </w:r>
    </w:p>
    <w:p w:rsidR="00144CD3" w:rsidRPr="00144CD3" w:rsidRDefault="002B628F" w:rsidP="005E664B">
      <w:pPr>
        <w:jc w:val="both"/>
        <w:rPr>
          <w:rFonts w:ascii="Arial" w:hAnsi="Arial" w:cs="Arial"/>
          <w:b/>
          <w:bCs/>
        </w:rPr>
      </w:pPr>
      <w:r>
        <w:rPr>
          <w:rFonts w:ascii="Arial" w:hAnsi="Arial" w:cs="Arial"/>
          <w:b/>
          <w:bCs/>
        </w:rPr>
        <w:t>3</w:t>
      </w:r>
      <w:r w:rsidR="00144CD3" w:rsidRPr="00144CD3">
        <w:rPr>
          <w:rFonts w:ascii="Arial" w:hAnsi="Arial" w:cs="Arial"/>
          <w:b/>
          <w:bCs/>
        </w:rPr>
        <w:t>.4 Variable Measurement</w:t>
      </w:r>
    </w:p>
    <w:p w:rsidR="00144CD3" w:rsidRPr="00144CD3" w:rsidRDefault="00144CD3" w:rsidP="005E664B">
      <w:pPr>
        <w:jc w:val="both"/>
        <w:rPr>
          <w:rFonts w:ascii="Arial" w:hAnsi="Arial" w:cs="Arial"/>
        </w:rPr>
      </w:pPr>
      <w:r w:rsidRPr="00144CD3">
        <w:rPr>
          <w:rFonts w:ascii="Arial" w:hAnsi="Arial" w:cs="Arial"/>
          <w:b/>
          <w:bCs/>
        </w:rPr>
        <w:t>Dependent Variable: Investment Decisions.</w:t>
      </w:r>
      <w:r w:rsidRPr="00144CD3">
        <w:rPr>
          <w:rFonts w:ascii="Arial" w:hAnsi="Arial" w:cs="Arial"/>
        </w:rPr>
        <w:t> Investment decisions will be measured using capital expenditure scaled by total assets, following prior research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w:t>
      </w:r>
      <w:proofErr w:type="spellStart"/>
      <w:r w:rsidRPr="00144CD3">
        <w:rPr>
          <w:rFonts w:ascii="Arial" w:hAnsi="Arial" w:cs="Arial"/>
        </w:rPr>
        <w:t>Ramalingegowda</w:t>
      </w:r>
      <w:proofErr w:type="spellEnd"/>
      <w:r w:rsidRPr="00144CD3">
        <w:rPr>
          <w:rFonts w:ascii="Arial" w:hAnsi="Arial" w:cs="Arial"/>
        </w:rPr>
        <w:t>, Wang and Yu, 2013). This measure captures the level of corporate investment undertaken by firms and is widely used in the dividend policy literature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w:t>
      </w:r>
      <w:r w:rsidRPr="00144CD3">
        <w:rPr>
          <w:rFonts w:ascii="Arial" w:hAnsi="Arial" w:cs="Arial"/>
        </w:rPr>
        <w:lastRenderedPageBreak/>
        <w:t>defined payout ratios as payouts to total assets, following Lee and Suh (2011) and Almeida et al. (2016), noting that scaling by earnings would lead to the omission of observations with negative values and that cases with very low earnings lead to abnormally high payout ratios. Following this approach, investment will be measured as capital expenditure divided by total assets.</w:t>
      </w:r>
    </w:p>
    <w:p w:rsidR="00144CD3" w:rsidRPr="00144CD3" w:rsidRDefault="00144CD3" w:rsidP="005E664B">
      <w:pPr>
        <w:jc w:val="both"/>
        <w:rPr>
          <w:rFonts w:ascii="Arial" w:hAnsi="Arial" w:cs="Arial"/>
        </w:rPr>
      </w:pPr>
      <w:r w:rsidRPr="00144CD3">
        <w:rPr>
          <w:rFonts w:ascii="Arial" w:hAnsi="Arial" w:cs="Arial"/>
          <w:b/>
          <w:bCs/>
        </w:rPr>
        <w:t>Independent Variable: Dividend Policy.</w:t>
      </w:r>
      <w:r w:rsidRPr="00144CD3">
        <w:rPr>
          <w:rFonts w:ascii="Arial" w:hAnsi="Arial" w:cs="Arial"/>
        </w:rPr>
        <w:t> Dividend policy will be measured using multiple indicators to capture different dimensions of dividend distributions. The dividend payout ratio (dividends divided by earnings) will be used as the primary measure, following prior research (</w:t>
      </w:r>
      <w:proofErr w:type="spellStart"/>
      <w:r w:rsidRPr="00144CD3">
        <w:rPr>
          <w:rFonts w:ascii="Arial" w:hAnsi="Arial" w:cs="Arial"/>
        </w:rPr>
        <w:t>M'rabet</w:t>
      </w:r>
      <w:proofErr w:type="spellEnd"/>
      <w:r w:rsidRPr="00144CD3">
        <w:rPr>
          <w:rFonts w:ascii="Arial" w:hAnsi="Arial" w:cs="Arial"/>
        </w:rPr>
        <w:t xml:space="preserve"> and </w:t>
      </w:r>
      <w:proofErr w:type="spellStart"/>
      <w:r w:rsidRPr="00144CD3">
        <w:rPr>
          <w:rFonts w:ascii="Arial" w:hAnsi="Arial" w:cs="Arial"/>
        </w:rPr>
        <w:t>Boujjat</w:t>
      </w:r>
      <w:proofErr w:type="spellEnd"/>
      <w:r w:rsidRPr="00144CD3">
        <w:rPr>
          <w:rFonts w:ascii="Arial" w:hAnsi="Arial" w:cs="Arial"/>
        </w:rPr>
        <w:t xml:space="preserve">, 2016; </w:t>
      </w:r>
      <w:proofErr w:type="spellStart"/>
      <w:r w:rsidRPr="00144CD3">
        <w:rPr>
          <w:rFonts w:ascii="Arial" w:hAnsi="Arial" w:cs="Arial"/>
        </w:rPr>
        <w:t>Kehinde</w:t>
      </w:r>
      <w:proofErr w:type="spellEnd"/>
      <w:r w:rsidRPr="00144CD3">
        <w:rPr>
          <w:rFonts w:ascii="Arial" w:hAnsi="Arial" w:cs="Arial"/>
        </w:rPr>
        <w:t xml:space="preserve"> et al., 2017). Dividend yield (dividends per share divided by share price) will be employed as an alternative measure to capture the market-based perspective on dividend policy (</w:t>
      </w:r>
      <w:proofErr w:type="spellStart"/>
      <w:r w:rsidRPr="00144CD3">
        <w:rPr>
          <w:rFonts w:ascii="Arial" w:hAnsi="Arial" w:cs="Arial"/>
        </w:rPr>
        <w:t>Sahibzada</w:t>
      </w:r>
      <w:proofErr w:type="spellEnd"/>
      <w:r w:rsidRPr="00144CD3">
        <w:rPr>
          <w:rFonts w:ascii="Arial" w:hAnsi="Arial" w:cs="Arial"/>
        </w:rPr>
        <w:t xml:space="preserve"> and </w:t>
      </w:r>
      <w:proofErr w:type="spellStart"/>
      <w:r w:rsidRPr="00144CD3">
        <w:rPr>
          <w:rFonts w:ascii="Arial" w:hAnsi="Arial" w:cs="Arial"/>
        </w:rPr>
        <w:t>Zubair</w:t>
      </w:r>
      <w:proofErr w:type="spellEnd"/>
      <w:r w:rsidRPr="00144CD3">
        <w:rPr>
          <w:rFonts w:ascii="Arial" w:hAnsi="Arial" w:cs="Arial"/>
        </w:rPr>
        <w:t>, 2017). A dummy variable indicating whether a firm pays dividends will also be used to capture the extensive margin of dividend policy (</w:t>
      </w:r>
      <w:proofErr w:type="spellStart"/>
      <w:r w:rsidRPr="00144CD3">
        <w:rPr>
          <w:rFonts w:ascii="Arial" w:hAnsi="Arial" w:cs="Arial"/>
        </w:rPr>
        <w:t>Kilincarslan</w:t>
      </w:r>
      <w:proofErr w:type="spellEnd"/>
      <w:r w:rsidRPr="00144CD3">
        <w:rPr>
          <w:rFonts w:ascii="Arial" w:hAnsi="Arial" w:cs="Arial"/>
        </w:rPr>
        <w:t xml:space="preserve">, 2024). These multiple measures enable robustness checks and capture different dimensions of dividend policy, consistent with the approach of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who examined both dividends and share repurchases separately.</w:t>
      </w:r>
    </w:p>
    <w:p w:rsidR="00144CD3" w:rsidRPr="00144CD3" w:rsidRDefault="00144CD3" w:rsidP="005E664B">
      <w:pPr>
        <w:jc w:val="both"/>
        <w:rPr>
          <w:rFonts w:ascii="Arial" w:hAnsi="Arial" w:cs="Arial"/>
        </w:rPr>
      </w:pPr>
      <w:r w:rsidRPr="00144CD3">
        <w:rPr>
          <w:rFonts w:ascii="Arial" w:hAnsi="Arial" w:cs="Arial"/>
          <w:b/>
          <w:bCs/>
        </w:rPr>
        <w:t>Control Variables.</w:t>
      </w:r>
      <w:r w:rsidRPr="00144CD3">
        <w:rPr>
          <w:rFonts w:ascii="Arial" w:hAnsi="Arial" w:cs="Arial"/>
        </w:rPr>
        <w:t> Following prior research, the analysis will control for firm size (natural logarithm of total assets), leverage (total debt divided by total assets), profitability (return on assets), growth opportunities (market-to-book ratio), cash flow (operating cash flow scaled by total assets), and industry fixed effects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xml:space="preserve">, 2021; </w:t>
      </w:r>
      <w:proofErr w:type="spellStart"/>
      <w:r w:rsidRPr="00144CD3">
        <w:rPr>
          <w:rFonts w:ascii="Arial" w:hAnsi="Arial" w:cs="Arial"/>
        </w:rPr>
        <w:t>Ramalingegowda</w:t>
      </w:r>
      <w:proofErr w:type="spellEnd"/>
      <w:r w:rsidRPr="00144CD3">
        <w:rPr>
          <w:rFonts w:ascii="Arial" w:hAnsi="Arial" w:cs="Arial"/>
        </w:rPr>
        <w:t xml:space="preserve">, Wang and Yu, 2013). These control variables are widely used in the dividend policy literature and help to isolate the effect of dividend policy on investment decisions from other confounding factors (Smith and Watts, 1992;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2021). Firm size is included to control for scale effects, leverage to control for financial structure, profitability to control for earnings capacity, growth opportunities to control for investment demand, and cash flow to control for internal funds availability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2021).</w:t>
      </w:r>
    </w:p>
    <w:p w:rsidR="00144CD3" w:rsidRPr="00144CD3" w:rsidRDefault="002B628F" w:rsidP="005E664B">
      <w:pPr>
        <w:jc w:val="both"/>
        <w:rPr>
          <w:rFonts w:ascii="Arial" w:hAnsi="Arial" w:cs="Arial"/>
          <w:b/>
          <w:bCs/>
        </w:rPr>
      </w:pPr>
      <w:r>
        <w:rPr>
          <w:rFonts w:ascii="Arial" w:hAnsi="Arial" w:cs="Arial"/>
          <w:b/>
          <w:bCs/>
        </w:rPr>
        <w:t>3</w:t>
      </w:r>
      <w:r w:rsidR="00144CD3" w:rsidRPr="00144CD3">
        <w:rPr>
          <w:rFonts w:ascii="Arial" w:hAnsi="Arial" w:cs="Arial"/>
          <w:b/>
          <w:bCs/>
        </w:rPr>
        <w:t>.5 Data Analysis</w:t>
      </w:r>
    </w:p>
    <w:p w:rsidR="00144CD3" w:rsidRPr="00144CD3" w:rsidRDefault="00144CD3" w:rsidP="005E664B">
      <w:pPr>
        <w:jc w:val="both"/>
        <w:rPr>
          <w:rFonts w:ascii="Arial" w:hAnsi="Arial" w:cs="Arial"/>
        </w:rPr>
      </w:pPr>
      <w:r w:rsidRPr="00144CD3">
        <w:rPr>
          <w:rFonts w:ascii="Arial" w:hAnsi="Arial" w:cs="Arial"/>
        </w:rPr>
        <w:t xml:space="preserve">Data analysis will be conducted using </w:t>
      </w:r>
      <w:proofErr w:type="spellStart"/>
      <w:r w:rsidRPr="00144CD3">
        <w:rPr>
          <w:rFonts w:ascii="Arial" w:hAnsi="Arial" w:cs="Arial"/>
        </w:rPr>
        <w:t>EViews</w:t>
      </w:r>
      <w:proofErr w:type="spellEnd"/>
      <w:r w:rsidRPr="00144CD3">
        <w:rPr>
          <w:rFonts w:ascii="Arial" w:hAnsi="Arial" w:cs="Arial"/>
        </w:rPr>
        <w:t xml:space="preserve">, a </w:t>
      </w:r>
      <w:proofErr w:type="spellStart"/>
      <w:r w:rsidRPr="00144CD3">
        <w:rPr>
          <w:rFonts w:ascii="Arial" w:hAnsi="Arial" w:cs="Arial"/>
        </w:rPr>
        <w:t>specialised</w:t>
      </w:r>
      <w:proofErr w:type="spellEnd"/>
      <w:r w:rsidRPr="00144CD3">
        <w:rPr>
          <w:rFonts w:ascii="Arial" w:hAnsi="Arial" w:cs="Arial"/>
        </w:rPr>
        <w:t xml:space="preserve"> econometric software package widely used for panel data analysis in finance research (Wooldridge, 2010). The analysis will proceed in several stages. First, descriptive statistics and correlation analysis will be performed to understand the data characteristics and preliminary relationships among variables (</w:t>
      </w:r>
      <w:proofErr w:type="spellStart"/>
      <w:r w:rsidRPr="00144CD3">
        <w:rPr>
          <w:rFonts w:ascii="Arial" w:hAnsi="Arial" w:cs="Arial"/>
        </w:rPr>
        <w:t>Chasiotis</w:t>
      </w:r>
      <w:proofErr w:type="spellEnd"/>
      <w:r w:rsidRPr="00144CD3">
        <w:rPr>
          <w:rFonts w:ascii="Arial" w:hAnsi="Arial" w:cs="Arial"/>
        </w:rPr>
        <w:t xml:space="preserve"> and </w:t>
      </w:r>
      <w:proofErr w:type="spellStart"/>
      <w:r w:rsidRPr="00144CD3">
        <w:rPr>
          <w:rFonts w:ascii="Arial" w:hAnsi="Arial" w:cs="Arial"/>
        </w:rPr>
        <w:t>Georgantopoulos</w:t>
      </w:r>
      <w:proofErr w:type="spellEnd"/>
      <w:r w:rsidRPr="00144CD3">
        <w:rPr>
          <w:rFonts w:ascii="Arial" w:hAnsi="Arial" w:cs="Arial"/>
        </w:rPr>
        <w:t>, 2021). This will include examination of means, standard deviations, minimum and maximum values for all variables, as well as correlation matrices to identify potential multicollinearity issues (Wooldridge, 2010).</w:t>
      </w:r>
    </w:p>
    <w:p w:rsidR="00144CD3" w:rsidRPr="00144CD3" w:rsidRDefault="00144CD3" w:rsidP="005E664B">
      <w:pPr>
        <w:jc w:val="both"/>
        <w:rPr>
          <w:rFonts w:ascii="Arial" w:hAnsi="Arial" w:cs="Arial"/>
        </w:rPr>
      </w:pPr>
      <w:r w:rsidRPr="00144CD3">
        <w:rPr>
          <w:rFonts w:ascii="Arial" w:hAnsi="Arial" w:cs="Arial"/>
        </w:rPr>
        <w:t xml:space="preserve">Second, panel data regression models will be estimated to examine the effect of dividend policy on investment decisions. The </w:t>
      </w:r>
      <w:proofErr w:type="spellStart"/>
      <w:r w:rsidRPr="00144CD3">
        <w:rPr>
          <w:rFonts w:ascii="Arial" w:hAnsi="Arial" w:cs="Arial"/>
        </w:rPr>
        <w:t>Hausman</w:t>
      </w:r>
      <w:proofErr w:type="spellEnd"/>
      <w:r w:rsidRPr="00144CD3">
        <w:rPr>
          <w:rFonts w:ascii="Arial" w:hAnsi="Arial" w:cs="Arial"/>
        </w:rPr>
        <w:t xml:space="preserve"> test will be employed to choose between fixed effects and random effects models (Wooldridge, 2010). </w:t>
      </w:r>
    </w:p>
    <w:bookmarkEnd w:id="0"/>
    <w:p w:rsidR="00A82AD7" w:rsidRPr="0069488B" w:rsidRDefault="002B628F" w:rsidP="00207B59">
      <w:pPr>
        <w:rPr>
          <w:rFonts w:ascii="Arial" w:hAnsi="Arial" w:cs="Arial"/>
        </w:rPr>
      </w:pPr>
      <w:r>
        <w:rPr>
          <w:rFonts w:ascii="Arial" w:hAnsi="Arial" w:cs="Arial"/>
          <w:b/>
          <w:bCs/>
        </w:rPr>
        <w:t>3.6</w:t>
      </w:r>
      <w:r w:rsidR="00207B59" w:rsidRPr="000A1045">
        <w:rPr>
          <w:rFonts w:ascii="Arial" w:hAnsi="Arial" w:cs="Arial"/>
          <w:b/>
          <w:bCs/>
        </w:rPr>
        <w:t xml:space="preserve"> </w:t>
      </w:r>
      <w:r w:rsidR="002F12FC" w:rsidRPr="000A1045">
        <w:rPr>
          <w:rFonts w:ascii="Arial" w:hAnsi="Arial" w:cs="Arial"/>
          <w:b/>
        </w:rPr>
        <w:t>Mathematical Model</w:t>
      </w:r>
    </w:p>
    <w:p w:rsidR="00A82AD7" w:rsidRPr="000A1045" w:rsidRDefault="00410EED" w:rsidP="00A82AD7">
      <w:pPr>
        <w:rPr>
          <w:rFonts w:ascii="Arial" w:hAnsi="Arial" w:cs="Arial"/>
        </w:rPr>
      </w:pPr>
      <w:proofErr w:type="spellStart"/>
      <w:r>
        <w:rPr>
          <w:rFonts w:ascii="Segoe UI" w:hAnsi="Segoe UI" w:cs="Segoe UI"/>
          <w:color w:val="0F1115"/>
          <w:shd w:val="clear" w:color="auto" w:fill="FFFFFF"/>
        </w:rPr>
        <w:t>Investment_it</w:t>
      </w:r>
      <w:proofErr w:type="spellEnd"/>
      <w:r>
        <w:rPr>
          <w:rFonts w:ascii="Segoe UI" w:hAnsi="Segoe UI" w:cs="Segoe UI"/>
          <w:color w:val="0F1115"/>
          <w:shd w:val="clear" w:color="auto" w:fill="FFFFFF"/>
        </w:rPr>
        <w:t xml:space="preserve"> </w:t>
      </w:r>
      <w:r w:rsidR="00A82AD7" w:rsidRPr="000A1045">
        <w:rPr>
          <w:rFonts w:ascii="Arial" w:hAnsi="Arial" w:cs="Arial"/>
        </w:rPr>
        <w:t>= β</w:t>
      </w:r>
      <w:r w:rsidR="00A82AD7" w:rsidRPr="000A1045">
        <w:rPr>
          <w:rFonts w:ascii="Cambria Math" w:hAnsi="Cambria Math" w:cs="Cambria Math"/>
        </w:rPr>
        <w:t>₀</w:t>
      </w:r>
      <w:r w:rsidR="00A82AD7" w:rsidRPr="000A1045">
        <w:rPr>
          <w:rFonts w:ascii="Arial" w:hAnsi="Arial" w:cs="Arial"/>
        </w:rPr>
        <w:t xml:space="preserve"> + β</w:t>
      </w:r>
      <w:r w:rsidR="00A82AD7" w:rsidRPr="000A1045">
        <w:rPr>
          <w:rFonts w:ascii="Cambria Math" w:hAnsi="Cambria Math" w:cs="Cambria Math"/>
        </w:rPr>
        <w:t>₁</w:t>
      </w:r>
      <w:r w:rsidR="00A82AD7" w:rsidRPr="000A1045">
        <w:rPr>
          <w:rFonts w:ascii="Arial" w:hAnsi="Arial" w:cs="Arial"/>
        </w:rPr>
        <w:t>(</w:t>
      </w:r>
      <w:proofErr w:type="spellStart"/>
      <w:r w:rsidR="00332F0F">
        <w:rPr>
          <w:rFonts w:ascii="Segoe UI" w:hAnsi="Segoe UI" w:cs="Segoe UI"/>
          <w:color w:val="0F1115"/>
          <w:shd w:val="clear" w:color="auto" w:fill="FFFFFF"/>
        </w:rPr>
        <w:t>Dividend_it</w:t>
      </w:r>
      <w:proofErr w:type="spellEnd"/>
      <w:r w:rsidR="00A82AD7" w:rsidRPr="000A1045">
        <w:rPr>
          <w:rFonts w:ascii="Arial" w:hAnsi="Arial" w:cs="Arial"/>
        </w:rPr>
        <w:t>) + β</w:t>
      </w:r>
      <w:r w:rsidR="00A82AD7" w:rsidRPr="000A1045">
        <w:rPr>
          <w:rFonts w:ascii="Cambria Math" w:hAnsi="Cambria Math" w:cs="Cambria Math"/>
        </w:rPr>
        <w:t>₂</w:t>
      </w:r>
      <w:r w:rsidR="00A82AD7" w:rsidRPr="000A1045">
        <w:rPr>
          <w:rFonts w:ascii="Arial" w:hAnsi="Arial" w:cs="Arial"/>
        </w:rPr>
        <w:t>(</w:t>
      </w:r>
      <w:r w:rsidR="00332F0F" w:rsidRPr="00332F0F">
        <w:rPr>
          <w:rFonts w:ascii="Segoe UI" w:hAnsi="Segoe UI" w:cs="Segoe UI"/>
          <w:color w:val="0F1115"/>
          <w:shd w:val="clear" w:color="auto" w:fill="FFFFFF"/>
        </w:rPr>
        <w:t xml:space="preserve"> </w:t>
      </w:r>
      <w:proofErr w:type="spellStart"/>
      <w:r w:rsidR="00332F0F">
        <w:rPr>
          <w:rFonts w:ascii="Segoe UI" w:hAnsi="Segoe UI" w:cs="Segoe UI"/>
          <w:color w:val="0F1115"/>
          <w:shd w:val="clear" w:color="auto" w:fill="FFFFFF"/>
        </w:rPr>
        <w:t>Control_it</w:t>
      </w:r>
      <w:proofErr w:type="spellEnd"/>
      <w:r w:rsidR="00A82AD7" w:rsidRPr="000A1045">
        <w:rPr>
          <w:rFonts w:ascii="Arial" w:hAnsi="Arial" w:cs="Arial"/>
        </w:rPr>
        <w:t>) + ε</w:t>
      </w:r>
    </w:p>
    <w:p w:rsidR="00A82AD7" w:rsidRPr="000A1045" w:rsidRDefault="00A82AD7" w:rsidP="00A82AD7">
      <w:pPr>
        <w:rPr>
          <w:rFonts w:ascii="Arial" w:hAnsi="Arial" w:cs="Arial"/>
        </w:rPr>
      </w:pPr>
      <w:r w:rsidRPr="000A1045">
        <w:rPr>
          <w:rFonts w:ascii="Arial" w:hAnsi="Arial" w:cs="Arial"/>
        </w:rPr>
        <w:t>Where:</w:t>
      </w:r>
    </w:p>
    <w:p w:rsidR="00A82AD7" w:rsidRPr="000A1045" w:rsidRDefault="00410EED" w:rsidP="00A82AD7">
      <w:pPr>
        <w:numPr>
          <w:ilvl w:val="0"/>
          <w:numId w:val="9"/>
        </w:numPr>
        <w:rPr>
          <w:rFonts w:ascii="Arial" w:hAnsi="Arial" w:cs="Arial"/>
        </w:rPr>
      </w:pPr>
      <w:proofErr w:type="spellStart"/>
      <w:r>
        <w:rPr>
          <w:rFonts w:ascii="Segoe UI" w:hAnsi="Segoe UI" w:cs="Segoe UI"/>
          <w:color w:val="0F1115"/>
          <w:shd w:val="clear" w:color="auto" w:fill="FFFFFF"/>
        </w:rPr>
        <w:lastRenderedPageBreak/>
        <w:t>Investment_it</w:t>
      </w:r>
      <w:proofErr w:type="spellEnd"/>
      <w:r>
        <w:rPr>
          <w:rFonts w:ascii="Segoe UI" w:hAnsi="Segoe UI" w:cs="Segoe UI"/>
          <w:color w:val="0F1115"/>
          <w:shd w:val="clear" w:color="auto" w:fill="FFFFFF"/>
        </w:rPr>
        <w:t xml:space="preserve"> </w:t>
      </w:r>
      <w:r w:rsidR="00A82AD7" w:rsidRPr="000A1045">
        <w:rPr>
          <w:rFonts w:ascii="Arial" w:hAnsi="Arial" w:cs="Arial"/>
        </w:rPr>
        <w:t xml:space="preserve">= </w:t>
      </w:r>
      <w:r>
        <w:rPr>
          <w:rFonts w:ascii="Segoe UI" w:hAnsi="Segoe UI" w:cs="Segoe UI"/>
          <w:color w:val="0F1115"/>
          <w:shd w:val="clear" w:color="auto" w:fill="FFFFFF"/>
        </w:rPr>
        <w:t xml:space="preserve">investment expenditure for firm </w:t>
      </w:r>
      <w:proofErr w:type="spellStart"/>
      <w:r>
        <w:rPr>
          <w:rFonts w:ascii="Segoe UI" w:hAnsi="Segoe UI" w:cs="Segoe UI"/>
          <w:color w:val="0F1115"/>
          <w:shd w:val="clear" w:color="auto" w:fill="FFFFFF"/>
        </w:rPr>
        <w:t>i</w:t>
      </w:r>
      <w:proofErr w:type="spellEnd"/>
      <w:r>
        <w:rPr>
          <w:rFonts w:ascii="Segoe UI" w:hAnsi="Segoe UI" w:cs="Segoe UI"/>
          <w:color w:val="0F1115"/>
          <w:shd w:val="clear" w:color="auto" w:fill="FFFFFF"/>
        </w:rPr>
        <w:t xml:space="preserve"> in year t</w:t>
      </w:r>
    </w:p>
    <w:p w:rsidR="00A82AD7" w:rsidRPr="000A1045" w:rsidRDefault="00A82AD7" w:rsidP="00A82AD7">
      <w:pPr>
        <w:numPr>
          <w:ilvl w:val="0"/>
          <w:numId w:val="9"/>
        </w:numPr>
        <w:rPr>
          <w:rFonts w:ascii="Arial" w:hAnsi="Arial" w:cs="Arial"/>
        </w:rPr>
      </w:pPr>
      <w:r w:rsidRPr="000A1045">
        <w:rPr>
          <w:rFonts w:ascii="Arial" w:hAnsi="Arial" w:cs="Arial"/>
        </w:rPr>
        <w:t>β</w:t>
      </w:r>
      <w:r w:rsidRPr="000A1045">
        <w:rPr>
          <w:rFonts w:ascii="Cambria Math" w:hAnsi="Cambria Math" w:cs="Cambria Math"/>
        </w:rPr>
        <w:t>₀</w:t>
      </w:r>
      <w:r w:rsidRPr="000A1045">
        <w:rPr>
          <w:rFonts w:ascii="Arial" w:hAnsi="Arial" w:cs="Arial"/>
        </w:rPr>
        <w:t xml:space="preserve"> = Constant</w:t>
      </w:r>
    </w:p>
    <w:p w:rsidR="00A82AD7" w:rsidRPr="00332F0F" w:rsidRDefault="00332F0F" w:rsidP="00A82AD7">
      <w:pPr>
        <w:numPr>
          <w:ilvl w:val="0"/>
          <w:numId w:val="9"/>
        </w:numPr>
        <w:rPr>
          <w:rFonts w:ascii="Arial" w:hAnsi="Arial" w:cs="Arial"/>
        </w:rPr>
      </w:pPr>
      <w:proofErr w:type="spellStart"/>
      <w:r>
        <w:rPr>
          <w:rFonts w:ascii="Segoe UI" w:hAnsi="Segoe UI" w:cs="Segoe UI"/>
          <w:color w:val="0F1115"/>
          <w:shd w:val="clear" w:color="auto" w:fill="FFFFFF"/>
        </w:rPr>
        <w:t>Dividend_it</w:t>
      </w:r>
      <w:proofErr w:type="spellEnd"/>
      <w:r>
        <w:rPr>
          <w:rFonts w:ascii="Segoe UI" w:hAnsi="Segoe UI" w:cs="Segoe UI"/>
          <w:color w:val="0F1115"/>
          <w:shd w:val="clear" w:color="auto" w:fill="FFFFFF"/>
        </w:rPr>
        <w:t xml:space="preserve"> </w:t>
      </w:r>
      <w:r w:rsidR="00A82AD7" w:rsidRPr="000A1045">
        <w:rPr>
          <w:rFonts w:ascii="Arial" w:hAnsi="Arial" w:cs="Arial"/>
        </w:rPr>
        <w:t xml:space="preserve">= </w:t>
      </w:r>
      <w:r>
        <w:rPr>
          <w:rFonts w:ascii="Segoe UI" w:hAnsi="Segoe UI" w:cs="Segoe UI"/>
          <w:color w:val="0F1115"/>
          <w:shd w:val="clear" w:color="auto" w:fill="FFFFFF"/>
        </w:rPr>
        <w:t>dividend policy measures (payout ratio, dividend yield, or dividend dummy)</w:t>
      </w:r>
    </w:p>
    <w:p w:rsidR="00332F0F" w:rsidRPr="000A1045" w:rsidRDefault="00332F0F" w:rsidP="00A82AD7">
      <w:pPr>
        <w:numPr>
          <w:ilvl w:val="0"/>
          <w:numId w:val="9"/>
        </w:numPr>
        <w:rPr>
          <w:rFonts w:ascii="Arial" w:hAnsi="Arial" w:cs="Arial"/>
        </w:rPr>
      </w:pPr>
      <w:proofErr w:type="spellStart"/>
      <w:r>
        <w:rPr>
          <w:rFonts w:ascii="Segoe UI" w:hAnsi="Segoe UI" w:cs="Segoe UI"/>
          <w:color w:val="0F1115"/>
          <w:shd w:val="clear" w:color="auto" w:fill="FFFFFF"/>
        </w:rPr>
        <w:t>Control_it</w:t>
      </w:r>
      <w:proofErr w:type="spellEnd"/>
      <w:r>
        <w:rPr>
          <w:rFonts w:ascii="Segoe UI" w:hAnsi="Segoe UI" w:cs="Segoe UI"/>
          <w:color w:val="0F1115"/>
          <w:shd w:val="clear" w:color="auto" w:fill="FFFFFF"/>
        </w:rPr>
        <w:t xml:space="preserve"> </w:t>
      </w:r>
      <w:r w:rsidRPr="000A1045">
        <w:rPr>
          <w:rFonts w:ascii="Arial" w:hAnsi="Arial" w:cs="Arial"/>
        </w:rPr>
        <w:t>=</w:t>
      </w:r>
      <w:r>
        <w:rPr>
          <w:rFonts w:ascii="Arial" w:hAnsi="Arial" w:cs="Arial"/>
        </w:rPr>
        <w:t xml:space="preserve"> </w:t>
      </w:r>
      <w:r w:rsidR="00B24691">
        <w:rPr>
          <w:rFonts w:ascii="Segoe UI" w:hAnsi="Segoe UI" w:cs="Segoe UI"/>
          <w:color w:val="0F1115"/>
          <w:shd w:val="clear" w:color="auto" w:fill="FFFFFF"/>
        </w:rPr>
        <w:t>the vector of control variables (firm size, leverage, profitability, growth opportunities, cash flow),</w:t>
      </w:r>
    </w:p>
    <w:p w:rsidR="00A82AD7" w:rsidRPr="000A1045" w:rsidRDefault="00A82AD7" w:rsidP="00A82AD7">
      <w:pPr>
        <w:numPr>
          <w:ilvl w:val="0"/>
          <w:numId w:val="9"/>
        </w:numPr>
        <w:rPr>
          <w:rFonts w:ascii="Arial" w:hAnsi="Arial" w:cs="Arial"/>
        </w:rPr>
      </w:pPr>
      <w:r w:rsidRPr="000A1045">
        <w:rPr>
          <w:rFonts w:ascii="Arial" w:hAnsi="Arial" w:cs="Arial"/>
        </w:rPr>
        <w:t>ε = Error term</w:t>
      </w:r>
    </w:p>
    <w:p w:rsidR="009413E6" w:rsidRPr="000A1045" w:rsidRDefault="002B628F" w:rsidP="009413E6">
      <w:pPr>
        <w:rPr>
          <w:rFonts w:ascii="Arial" w:hAnsi="Arial" w:cs="Arial"/>
          <w:b/>
          <w:bCs/>
        </w:rPr>
      </w:pPr>
      <w:r>
        <w:rPr>
          <w:rFonts w:ascii="Arial" w:hAnsi="Arial" w:cs="Arial"/>
          <w:b/>
          <w:bCs/>
        </w:rPr>
        <w:t>3.7</w:t>
      </w:r>
      <w:r w:rsidR="009413E6" w:rsidRPr="000A1045">
        <w:rPr>
          <w:rFonts w:ascii="Arial" w:hAnsi="Arial" w:cs="Arial"/>
          <w:b/>
          <w:bCs/>
        </w:rPr>
        <w:t xml:space="preserve"> Research Hypotheses</w:t>
      </w:r>
    </w:p>
    <w:p w:rsidR="00534604" w:rsidRPr="00534604" w:rsidRDefault="009413E6" w:rsidP="00534604">
      <w:pPr>
        <w:rPr>
          <w:rFonts w:ascii="Arial" w:hAnsi="Arial" w:cs="Arial"/>
        </w:rPr>
      </w:pPr>
      <w:r w:rsidRPr="000A1045">
        <w:rPr>
          <w:rFonts w:ascii="Arial" w:hAnsi="Arial" w:cs="Arial"/>
        </w:rPr>
        <w:t xml:space="preserve">H1: </w:t>
      </w:r>
      <w:r w:rsidR="00534604" w:rsidRPr="00534604">
        <w:rPr>
          <w:rFonts w:ascii="Arial" w:hAnsi="Arial" w:cs="Arial"/>
        </w:rPr>
        <w:t xml:space="preserve">There is insignificant relationship between DPR and EPS. </w:t>
      </w:r>
    </w:p>
    <w:p w:rsidR="00534604" w:rsidRPr="00534604" w:rsidRDefault="00534604" w:rsidP="00534604">
      <w:pPr>
        <w:rPr>
          <w:rFonts w:ascii="Arial" w:hAnsi="Arial" w:cs="Arial"/>
        </w:rPr>
      </w:pPr>
      <w:r w:rsidRPr="00534604">
        <w:rPr>
          <w:rFonts w:ascii="Arial" w:hAnsi="Arial" w:cs="Arial"/>
        </w:rPr>
        <w:t xml:space="preserve">H2: There is insignificant relationship between Current Ratio and EPS. </w:t>
      </w:r>
    </w:p>
    <w:p w:rsidR="00534604" w:rsidRPr="00534604" w:rsidRDefault="00534604" w:rsidP="00534604">
      <w:pPr>
        <w:rPr>
          <w:rFonts w:ascii="Arial" w:hAnsi="Arial" w:cs="Arial"/>
        </w:rPr>
      </w:pPr>
      <w:r w:rsidRPr="00534604">
        <w:rPr>
          <w:rFonts w:ascii="Arial" w:hAnsi="Arial" w:cs="Arial"/>
        </w:rPr>
        <w:t xml:space="preserve">H3: There is insignificant relationship between Debt-to-Equity Ratio and EPS.  </w:t>
      </w:r>
    </w:p>
    <w:p w:rsidR="00A22A36" w:rsidRDefault="00534604" w:rsidP="009413E6">
      <w:pPr>
        <w:rPr>
          <w:rFonts w:ascii="Arial" w:hAnsi="Arial" w:cs="Arial"/>
        </w:rPr>
      </w:pPr>
      <w:r w:rsidRPr="00534604">
        <w:rPr>
          <w:rFonts w:ascii="Arial" w:hAnsi="Arial" w:cs="Arial"/>
        </w:rPr>
        <w:t xml:space="preserve">H4: There is significant relationship between Retain Earning Ratio and EPS.  </w:t>
      </w:r>
    </w:p>
    <w:p w:rsidR="003E6DAF" w:rsidRPr="000A1045" w:rsidRDefault="003E6DAF" w:rsidP="009413E6">
      <w:pPr>
        <w:rPr>
          <w:rFonts w:ascii="Arial" w:hAnsi="Arial" w:cs="Arial"/>
        </w:rPr>
      </w:pPr>
      <w:r w:rsidRPr="003E6DAF">
        <w:rPr>
          <w:rFonts w:ascii="Arial" w:hAnsi="Arial" w:cs="Arial"/>
        </w:rPr>
        <w:t>H5: There is significant relationship between Firm performance and EPS.</w:t>
      </w:r>
    </w:p>
    <w:p w:rsidR="00365A93" w:rsidRPr="000A1045" w:rsidRDefault="00365A93">
      <w:pPr>
        <w:rPr>
          <w:rFonts w:ascii="Arial" w:hAnsi="Arial" w:cs="Arial"/>
        </w:rPr>
      </w:pPr>
    </w:p>
    <w:p w:rsidR="00C12333" w:rsidRPr="000A1045" w:rsidRDefault="00C12333">
      <w:pPr>
        <w:rPr>
          <w:rFonts w:ascii="Arial" w:eastAsiaTheme="majorEastAsia" w:hAnsi="Arial" w:cs="Arial"/>
          <w:b/>
          <w:bCs/>
          <w:color w:val="365F91" w:themeColor="accent1" w:themeShade="BF"/>
          <w:sz w:val="28"/>
          <w:szCs w:val="28"/>
        </w:rPr>
      </w:pPr>
      <w:r w:rsidRPr="000A1045">
        <w:rPr>
          <w:rFonts w:ascii="Arial" w:hAnsi="Arial" w:cs="Arial"/>
        </w:rPr>
        <w:br w:type="page"/>
      </w:r>
    </w:p>
    <w:p w:rsidR="00735246" w:rsidRPr="000A1045" w:rsidRDefault="00327EE9" w:rsidP="00327EE9">
      <w:pPr>
        <w:pStyle w:val="Heading1"/>
        <w:rPr>
          <w:rFonts w:ascii="Arial" w:hAnsi="Arial" w:cs="Arial"/>
        </w:rPr>
      </w:pPr>
      <w:r w:rsidRPr="000A1045">
        <w:rPr>
          <w:rFonts w:ascii="Arial" w:hAnsi="Arial" w:cs="Arial"/>
        </w:rPr>
        <w:lastRenderedPageBreak/>
        <w:t>References</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 xml:space="preserve">Almeida, H., </w:t>
      </w:r>
      <w:proofErr w:type="spellStart"/>
      <w:r w:rsidRPr="00323F9A">
        <w:rPr>
          <w:rFonts w:ascii="Arial" w:hAnsi="Arial" w:cs="Arial"/>
          <w:color w:val="0F1115"/>
          <w:shd w:val="clear" w:color="auto" w:fill="FFFFFF"/>
        </w:rPr>
        <w:t>Campello</w:t>
      </w:r>
      <w:proofErr w:type="spellEnd"/>
      <w:r w:rsidRPr="00323F9A">
        <w:rPr>
          <w:rFonts w:ascii="Arial" w:hAnsi="Arial" w:cs="Arial"/>
          <w:color w:val="0F1115"/>
          <w:shd w:val="clear" w:color="auto" w:fill="FFFFFF"/>
        </w:rPr>
        <w:t xml:space="preserve">, M. and </w:t>
      </w:r>
      <w:proofErr w:type="spellStart"/>
      <w:r w:rsidRPr="00323F9A">
        <w:rPr>
          <w:rFonts w:ascii="Arial" w:hAnsi="Arial" w:cs="Arial"/>
          <w:color w:val="0F1115"/>
          <w:shd w:val="clear" w:color="auto" w:fill="FFFFFF"/>
        </w:rPr>
        <w:t>Weisbach</w:t>
      </w:r>
      <w:proofErr w:type="spellEnd"/>
      <w:r w:rsidRPr="00323F9A">
        <w:rPr>
          <w:rFonts w:ascii="Arial" w:hAnsi="Arial" w:cs="Arial"/>
          <w:color w:val="0F1115"/>
          <w:shd w:val="clear" w:color="auto" w:fill="FFFFFF"/>
        </w:rPr>
        <w:t>, M.S. (2016) 'Corporate financial and investment policies when future financing is not frictionless', </w:t>
      </w:r>
      <w:r w:rsidRPr="00323F9A">
        <w:rPr>
          <w:rFonts w:ascii="Arial" w:hAnsi="Arial" w:cs="Arial"/>
          <w:i/>
          <w:iCs/>
          <w:color w:val="0F1115"/>
          <w:shd w:val="clear" w:color="auto" w:fill="FFFFFF"/>
        </w:rPr>
        <w:t>Journal of Corporate Finance</w:t>
      </w:r>
      <w:r w:rsidRPr="00323F9A">
        <w:rPr>
          <w:rFonts w:ascii="Arial" w:hAnsi="Arial" w:cs="Arial"/>
          <w:color w:val="0F1115"/>
          <w:shd w:val="clear" w:color="auto" w:fill="FFFFFF"/>
        </w:rPr>
        <w:t>, 17(3), pp. 675-693.</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Barclay, M.J., Smith, C.W. and Watts, R.L. (1995) 'The determinants of corporate leverage and dividend policies', </w:t>
      </w:r>
      <w:r w:rsidRPr="00323F9A">
        <w:rPr>
          <w:rFonts w:ascii="Arial" w:hAnsi="Arial" w:cs="Arial"/>
          <w:i/>
          <w:iCs/>
          <w:color w:val="0F1115"/>
          <w:shd w:val="clear" w:color="auto" w:fill="FFFFFF"/>
        </w:rPr>
        <w:t>Journal of Applied Corporate Finance</w:t>
      </w:r>
      <w:r w:rsidRPr="00323F9A">
        <w:rPr>
          <w:rFonts w:ascii="Arial" w:hAnsi="Arial" w:cs="Arial"/>
          <w:color w:val="0F1115"/>
          <w:shd w:val="clear" w:color="auto" w:fill="FFFFFF"/>
        </w:rPr>
        <w:t>, 7(4), pp. 4-19.</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Bhattacharya, S. (1979) 'Imperfect information, dividend policy, and "the bird in the hand" fallacy', </w:t>
      </w:r>
      <w:r w:rsidRPr="00323F9A">
        <w:rPr>
          <w:rFonts w:ascii="Arial" w:hAnsi="Arial" w:cs="Arial"/>
          <w:i/>
          <w:iCs/>
          <w:color w:val="0F1115"/>
          <w:shd w:val="clear" w:color="auto" w:fill="FFFFFF"/>
        </w:rPr>
        <w:t>The Bell Journal of Economics</w:t>
      </w:r>
      <w:r w:rsidRPr="00323F9A">
        <w:rPr>
          <w:rFonts w:ascii="Arial" w:hAnsi="Arial" w:cs="Arial"/>
          <w:color w:val="0F1115"/>
          <w:shd w:val="clear" w:color="auto" w:fill="FFFFFF"/>
        </w:rPr>
        <w:t>, 10(1), pp. 259-270.</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Bishop, S.R., Faff, R.W. and Oliver, B.R. (2000) '</w:t>
      </w:r>
      <w:proofErr w:type="gramStart"/>
      <w:r w:rsidRPr="00323F9A">
        <w:rPr>
          <w:rFonts w:ascii="Arial" w:hAnsi="Arial" w:cs="Arial"/>
          <w:color w:val="0F1115"/>
          <w:shd w:val="clear" w:color="auto" w:fill="FFFFFF"/>
        </w:rPr>
        <w:t>The</w:t>
      </w:r>
      <w:proofErr w:type="gramEnd"/>
      <w:r w:rsidRPr="00323F9A">
        <w:rPr>
          <w:rFonts w:ascii="Arial" w:hAnsi="Arial" w:cs="Arial"/>
          <w:color w:val="0F1115"/>
          <w:shd w:val="clear" w:color="auto" w:fill="FFFFFF"/>
        </w:rPr>
        <w:t xml:space="preserve"> determinants of dividend policy: A survey of Australian evidence', </w:t>
      </w:r>
      <w:r w:rsidRPr="00323F9A">
        <w:rPr>
          <w:rFonts w:ascii="Arial" w:hAnsi="Arial" w:cs="Arial"/>
          <w:i/>
          <w:iCs/>
          <w:color w:val="0F1115"/>
          <w:shd w:val="clear" w:color="auto" w:fill="FFFFFF"/>
        </w:rPr>
        <w:t>Australian Journal of Management</w:t>
      </w:r>
      <w:r w:rsidRPr="00323F9A">
        <w:rPr>
          <w:rFonts w:ascii="Arial" w:hAnsi="Arial" w:cs="Arial"/>
          <w:color w:val="0F1115"/>
          <w:shd w:val="clear" w:color="auto" w:fill="FFFFFF"/>
        </w:rPr>
        <w:t>, 25(1), pp. 49-70.</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Black, F. (1976) 'The dividend puzzle', </w:t>
      </w:r>
      <w:r w:rsidRPr="00323F9A">
        <w:rPr>
          <w:rFonts w:ascii="Arial" w:hAnsi="Arial" w:cs="Arial"/>
          <w:i/>
          <w:iCs/>
          <w:color w:val="0F1115"/>
          <w:shd w:val="clear" w:color="auto" w:fill="FFFFFF"/>
        </w:rPr>
        <w:t>The Journal of Portfolio Management</w:t>
      </w:r>
      <w:r w:rsidRPr="00323F9A">
        <w:rPr>
          <w:rFonts w:ascii="Arial" w:hAnsi="Arial" w:cs="Arial"/>
          <w:color w:val="0F1115"/>
          <w:shd w:val="clear" w:color="auto" w:fill="FFFFFF"/>
        </w:rPr>
        <w:t>, 2(2), pp. 5-8.</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Charreaux</w:t>
      </w:r>
      <w:proofErr w:type="spellEnd"/>
      <w:r w:rsidRPr="00323F9A">
        <w:rPr>
          <w:rFonts w:ascii="Arial" w:hAnsi="Arial" w:cs="Arial"/>
          <w:color w:val="0F1115"/>
          <w:shd w:val="clear" w:color="auto" w:fill="FFFFFF"/>
        </w:rPr>
        <w:t xml:space="preserve">, G. (1991) 'Structure de </w:t>
      </w:r>
      <w:proofErr w:type="spellStart"/>
      <w:r w:rsidRPr="00323F9A">
        <w:rPr>
          <w:rFonts w:ascii="Arial" w:hAnsi="Arial" w:cs="Arial"/>
          <w:color w:val="0F1115"/>
          <w:shd w:val="clear" w:color="auto" w:fill="FFFFFF"/>
        </w:rPr>
        <w:t>propriété</w:t>
      </w:r>
      <w:proofErr w:type="spellEnd"/>
      <w:r w:rsidRPr="00323F9A">
        <w:rPr>
          <w:rFonts w:ascii="Arial" w:hAnsi="Arial" w:cs="Arial"/>
          <w:color w:val="0F1115"/>
          <w:shd w:val="clear" w:color="auto" w:fill="FFFFFF"/>
        </w:rPr>
        <w:t xml:space="preserve">, relation </w:t>
      </w:r>
      <w:proofErr w:type="spellStart"/>
      <w:r w:rsidRPr="00323F9A">
        <w:rPr>
          <w:rFonts w:ascii="Arial" w:hAnsi="Arial" w:cs="Arial"/>
          <w:color w:val="0F1115"/>
          <w:shd w:val="clear" w:color="auto" w:fill="FFFFFF"/>
        </w:rPr>
        <w:t>d'agence</w:t>
      </w:r>
      <w:proofErr w:type="spellEnd"/>
      <w:r w:rsidRPr="00323F9A">
        <w:rPr>
          <w:rFonts w:ascii="Arial" w:hAnsi="Arial" w:cs="Arial"/>
          <w:color w:val="0F1115"/>
          <w:shd w:val="clear" w:color="auto" w:fill="FFFFFF"/>
        </w:rPr>
        <w:t xml:space="preserve"> et performance </w:t>
      </w:r>
      <w:proofErr w:type="spellStart"/>
      <w:r w:rsidRPr="00323F9A">
        <w:rPr>
          <w:rFonts w:ascii="Arial" w:hAnsi="Arial" w:cs="Arial"/>
          <w:color w:val="0F1115"/>
          <w:shd w:val="clear" w:color="auto" w:fill="FFFFFF"/>
        </w:rPr>
        <w:t>financière</w:t>
      </w:r>
      <w:proofErr w:type="spellEnd"/>
      <w:r w:rsidRPr="00323F9A">
        <w:rPr>
          <w:rFonts w:ascii="Arial" w:hAnsi="Arial" w:cs="Arial"/>
          <w:color w:val="0F1115"/>
          <w:shd w:val="clear" w:color="auto" w:fill="FFFFFF"/>
        </w:rPr>
        <w:t>', </w:t>
      </w:r>
      <w:r w:rsidRPr="00323F9A">
        <w:rPr>
          <w:rFonts w:ascii="Arial" w:hAnsi="Arial" w:cs="Arial"/>
          <w:i/>
          <w:iCs/>
          <w:color w:val="0F1115"/>
          <w:shd w:val="clear" w:color="auto" w:fill="FFFFFF"/>
        </w:rPr>
        <w:t xml:space="preserve">Revue </w:t>
      </w:r>
      <w:proofErr w:type="spellStart"/>
      <w:r w:rsidRPr="00323F9A">
        <w:rPr>
          <w:rFonts w:ascii="Arial" w:hAnsi="Arial" w:cs="Arial"/>
          <w:i/>
          <w:iCs/>
          <w:color w:val="0F1115"/>
          <w:shd w:val="clear" w:color="auto" w:fill="FFFFFF"/>
        </w:rPr>
        <w:t>économique</w:t>
      </w:r>
      <w:proofErr w:type="spellEnd"/>
      <w:r w:rsidRPr="00323F9A">
        <w:rPr>
          <w:rFonts w:ascii="Arial" w:hAnsi="Arial" w:cs="Arial"/>
          <w:color w:val="0F1115"/>
          <w:shd w:val="clear" w:color="auto" w:fill="FFFFFF"/>
        </w:rPr>
        <w:t>, 42(3), pp. 521-552.</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Chasiotis</w:t>
      </w:r>
      <w:proofErr w:type="spellEnd"/>
      <w:r w:rsidRPr="00323F9A">
        <w:rPr>
          <w:rFonts w:ascii="Arial" w:hAnsi="Arial" w:cs="Arial"/>
          <w:color w:val="0F1115"/>
          <w:shd w:val="clear" w:color="auto" w:fill="FFFFFF"/>
        </w:rPr>
        <w:t xml:space="preserve">, I. and </w:t>
      </w:r>
      <w:proofErr w:type="spellStart"/>
      <w:r w:rsidRPr="00323F9A">
        <w:rPr>
          <w:rFonts w:ascii="Arial" w:hAnsi="Arial" w:cs="Arial"/>
          <w:color w:val="0F1115"/>
          <w:shd w:val="clear" w:color="auto" w:fill="FFFFFF"/>
        </w:rPr>
        <w:t>Georgantopoulos</w:t>
      </w:r>
      <w:proofErr w:type="spellEnd"/>
      <w:r w:rsidRPr="00323F9A">
        <w:rPr>
          <w:rFonts w:ascii="Arial" w:hAnsi="Arial" w:cs="Arial"/>
          <w:color w:val="0F1115"/>
          <w:shd w:val="clear" w:color="auto" w:fill="FFFFFF"/>
        </w:rPr>
        <w:t>, A.G. (2021) '</w:t>
      </w:r>
      <w:proofErr w:type="gramStart"/>
      <w:r w:rsidRPr="00323F9A">
        <w:rPr>
          <w:rFonts w:ascii="Arial" w:hAnsi="Arial" w:cs="Arial"/>
          <w:color w:val="0F1115"/>
          <w:shd w:val="clear" w:color="auto" w:fill="FFFFFF"/>
        </w:rPr>
        <w:t>The</w:t>
      </w:r>
      <w:proofErr w:type="gramEnd"/>
      <w:r w:rsidRPr="00323F9A">
        <w:rPr>
          <w:rFonts w:ascii="Arial" w:hAnsi="Arial" w:cs="Arial"/>
          <w:color w:val="0F1115"/>
          <w:shd w:val="clear" w:color="auto" w:fill="FFFFFF"/>
        </w:rPr>
        <w:t xml:space="preserve"> flexibility of corporate payouts vis-à-vis capital investment: Some UK evidence', </w:t>
      </w:r>
      <w:r w:rsidRPr="00323F9A">
        <w:rPr>
          <w:rFonts w:ascii="Arial" w:hAnsi="Arial" w:cs="Arial"/>
          <w:i/>
          <w:iCs/>
          <w:color w:val="0F1115"/>
          <w:shd w:val="clear" w:color="auto" w:fill="FFFFFF"/>
        </w:rPr>
        <w:t>International Journal of Managerial Finance</w:t>
      </w:r>
      <w:r w:rsidRPr="00323F9A">
        <w:rPr>
          <w:rFonts w:ascii="Arial" w:hAnsi="Arial" w:cs="Arial"/>
          <w:color w:val="0F1115"/>
          <w:shd w:val="clear" w:color="auto" w:fill="FFFFFF"/>
        </w:rPr>
        <w:t>, 18(1), pp. 181-201.</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Fidelity UK (2025) 'UK vs US: The FTSE 100's secret sauce'. Available at: </w:t>
      </w:r>
      <w:hyperlink r:id="rId8" w:tgtFrame="_blank" w:history="1">
        <w:r w:rsidRPr="00323F9A">
          <w:rPr>
            <w:rStyle w:val="Hyperlink"/>
            <w:rFonts w:ascii="Arial" w:hAnsi="Arial" w:cs="Arial"/>
            <w:shd w:val="clear" w:color="auto" w:fill="FFFFFF"/>
          </w:rPr>
          <w:t>https://www.fidelity.co.uk</w:t>
        </w:r>
      </w:hyperlink>
      <w:r w:rsidRPr="00323F9A">
        <w:rPr>
          <w:rFonts w:ascii="Arial" w:hAnsi="Arial" w:cs="Arial"/>
          <w:color w:val="0F1115"/>
          <w:shd w:val="clear" w:color="auto" w:fill="FFFFFF"/>
        </w:rPr>
        <w:t> (Accessed: 10 July 2026).</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Gordon, M.J. (1959) 'Dividends, earnings, and stock prices', </w:t>
      </w:r>
      <w:r w:rsidRPr="00323F9A">
        <w:rPr>
          <w:rFonts w:ascii="Arial" w:hAnsi="Arial" w:cs="Arial"/>
          <w:i/>
          <w:iCs/>
          <w:color w:val="0F1115"/>
          <w:shd w:val="clear" w:color="auto" w:fill="FFFFFF"/>
        </w:rPr>
        <w:t>The Review of Economics and Statistics</w:t>
      </w:r>
      <w:r w:rsidRPr="00323F9A">
        <w:rPr>
          <w:rFonts w:ascii="Arial" w:hAnsi="Arial" w:cs="Arial"/>
          <w:color w:val="0F1115"/>
          <w:shd w:val="clear" w:color="auto" w:fill="FFFFFF"/>
        </w:rPr>
        <w:t>, 41(2), pp. 99-105.</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 xml:space="preserve">Jensen, M.C. and </w:t>
      </w:r>
      <w:proofErr w:type="spellStart"/>
      <w:r w:rsidRPr="00323F9A">
        <w:rPr>
          <w:rFonts w:ascii="Arial" w:hAnsi="Arial" w:cs="Arial"/>
          <w:color w:val="0F1115"/>
          <w:shd w:val="clear" w:color="auto" w:fill="FFFFFF"/>
        </w:rPr>
        <w:t>Meckling</w:t>
      </w:r>
      <w:proofErr w:type="spellEnd"/>
      <w:r w:rsidRPr="00323F9A">
        <w:rPr>
          <w:rFonts w:ascii="Arial" w:hAnsi="Arial" w:cs="Arial"/>
          <w:color w:val="0F1115"/>
          <w:shd w:val="clear" w:color="auto" w:fill="FFFFFF"/>
        </w:rPr>
        <w:t>, W.H. (1976) 'Theory of the firm: Managerial behavior, agency costs and ownership structure', </w:t>
      </w:r>
      <w:r w:rsidRPr="00323F9A">
        <w:rPr>
          <w:rFonts w:ascii="Arial" w:hAnsi="Arial" w:cs="Arial"/>
          <w:i/>
          <w:iCs/>
          <w:color w:val="0F1115"/>
          <w:shd w:val="clear" w:color="auto" w:fill="FFFFFF"/>
        </w:rPr>
        <w:t>Journal of Financial Economics</w:t>
      </w:r>
      <w:r w:rsidRPr="00323F9A">
        <w:rPr>
          <w:rFonts w:ascii="Arial" w:hAnsi="Arial" w:cs="Arial"/>
          <w:color w:val="0F1115"/>
          <w:shd w:val="clear" w:color="auto" w:fill="FFFFFF"/>
        </w:rPr>
        <w:t>, 3(4), pp. 305-360.</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 xml:space="preserve">John, K. and Williams, J. (1985) 'Dividends, dilution, and taxes: A </w:t>
      </w:r>
      <w:proofErr w:type="spellStart"/>
      <w:r w:rsidRPr="00323F9A">
        <w:rPr>
          <w:rFonts w:ascii="Arial" w:hAnsi="Arial" w:cs="Arial"/>
          <w:color w:val="0F1115"/>
          <w:shd w:val="clear" w:color="auto" w:fill="FFFFFF"/>
        </w:rPr>
        <w:t>signalling</w:t>
      </w:r>
      <w:proofErr w:type="spellEnd"/>
      <w:r w:rsidRPr="00323F9A">
        <w:rPr>
          <w:rFonts w:ascii="Arial" w:hAnsi="Arial" w:cs="Arial"/>
          <w:color w:val="0F1115"/>
          <w:shd w:val="clear" w:color="auto" w:fill="FFFFFF"/>
        </w:rPr>
        <w:t xml:space="preserve"> equilibrium', </w:t>
      </w:r>
      <w:r w:rsidRPr="00323F9A">
        <w:rPr>
          <w:rFonts w:ascii="Arial" w:hAnsi="Arial" w:cs="Arial"/>
          <w:i/>
          <w:iCs/>
          <w:color w:val="0F1115"/>
          <w:shd w:val="clear" w:color="auto" w:fill="FFFFFF"/>
        </w:rPr>
        <w:t>The Journal of Finance</w:t>
      </w:r>
      <w:r w:rsidRPr="00323F9A">
        <w:rPr>
          <w:rFonts w:ascii="Arial" w:hAnsi="Arial" w:cs="Arial"/>
          <w:color w:val="0F1115"/>
          <w:shd w:val="clear" w:color="auto" w:fill="FFFFFF"/>
        </w:rPr>
        <w:t>, 40(4), pp. 1053-1070.</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Kehinde</w:t>
      </w:r>
      <w:proofErr w:type="spellEnd"/>
      <w:r w:rsidRPr="00323F9A">
        <w:rPr>
          <w:rFonts w:ascii="Arial" w:hAnsi="Arial" w:cs="Arial"/>
          <w:color w:val="0F1115"/>
          <w:shd w:val="clear" w:color="auto" w:fill="FFFFFF"/>
        </w:rPr>
        <w:t xml:space="preserve">, A., </w:t>
      </w:r>
      <w:proofErr w:type="spellStart"/>
      <w:r w:rsidRPr="00323F9A">
        <w:rPr>
          <w:rFonts w:ascii="Arial" w:hAnsi="Arial" w:cs="Arial"/>
          <w:color w:val="0F1115"/>
          <w:shd w:val="clear" w:color="auto" w:fill="FFFFFF"/>
        </w:rPr>
        <w:t>Uwalomwa</w:t>
      </w:r>
      <w:proofErr w:type="spellEnd"/>
      <w:r w:rsidRPr="00323F9A">
        <w:rPr>
          <w:rFonts w:ascii="Arial" w:hAnsi="Arial" w:cs="Arial"/>
          <w:color w:val="0F1115"/>
          <w:shd w:val="clear" w:color="auto" w:fill="FFFFFF"/>
        </w:rPr>
        <w:t xml:space="preserve">, U., </w:t>
      </w:r>
      <w:proofErr w:type="spellStart"/>
      <w:r w:rsidRPr="00323F9A">
        <w:rPr>
          <w:rFonts w:ascii="Arial" w:hAnsi="Arial" w:cs="Arial"/>
          <w:color w:val="0F1115"/>
          <w:shd w:val="clear" w:color="auto" w:fill="FFFFFF"/>
        </w:rPr>
        <w:t>Olubukola</w:t>
      </w:r>
      <w:proofErr w:type="spellEnd"/>
      <w:r w:rsidRPr="00323F9A">
        <w:rPr>
          <w:rFonts w:ascii="Arial" w:hAnsi="Arial" w:cs="Arial"/>
          <w:color w:val="0F1115"/>
          <w:shd w:val="clear" w:color="auto" w:fill="FFFFFF"/>
        </w:rPr>
        <w:t xml:space="preserve">, R.U., </w:t>
      </w:r>
      <w:proofErr w:type="spellStart"/>
      <w:r w:rsidRPr="00323F9A">
        <w:rPr>
          <w:rFonts w:ascii="Arial" w:hAnsi="Arial" w:cs="Arial"/>
          <w:color w:val="0F1115"/>
          <w:shd w:val="clear" w:color="auto" w:fill="FFFFFF"/>
        </w:rPr>
        <w:t>Osariemen</w:t>
      </w:r>
      <w:proofErr w:type="spellEnd"/>
      <w:r w:rsidRPr="00323F9A">
        <w:rPr>
          <w:rFonts w:ascii="Arial" w:hAnsi="Arial" w:cs="Arial"/>
          <w:color w:val="0F1115"/>
          <w:shd w:val="clear" w:color="auto" w:fill="FFFFFF"/>
        </w:rPr>
        <w:t>, A. and Sylvester, O. (2017) 'Dividend policy and share price valuation in Nigerian banks', </w:t>
      </w:r>
      <w:proofErr w:type="spellStart"/>
      <w:r w:rsidRPr="00323F9A">
        <w:rPr>
          <w:rFonts w:ascii="Arial" w:hAnsi="Arial" w:cs="Arial"/>
          <w:i/>
          <w:iCs/>
          <w:color w:val="0F1115"/>
          <w:shd w:val="clear" w:color="auto" w:fill="FFFFFF"/>
        </w:rPr>
        <w:t>EuroEconomica</w:t>
      </w:r>
      <w:proofErr w:type="spellEnd"/>
      <w:r w:rsidRPr="00323F9A">
        <w:rPr>
          <w:rFonts w:ascii="Arial" w:hAnsi="Arial" w:cs="Arial"/>
          <w:color w:val="0F1115"/>
          <w:shd w:val="clear" w:color="auto" w:fill="FFFFFF"/>
        </w:rPr>
        <w:t>, 36(2), pp. 185-195.</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Kilincarslan</w:t>
      </w:r>
      <w:proofErr w:type="spellEnd"/>
      <w:r w:rsidRPr="00323F9A">
        <w:rPr>
          <w:rFonts w:ascii="Arial" w:hAnsi="Arial" w:cs="Arial"/>
          <w:color w:val="0F1115"/>
          <w:shd w:val="clear" w:color="auto" w:fill="FFFFFF"/>
        </w:rPr>
        <w:t>, E. (2021) 'The impact of the 2008 global financial crisis on dividend policy in the UK', </w:t>
      </w:r>
      <w:r w:rsidRPr="00323F9A">
        <w:rPr>
          <w:rFonts w:ascii="Arial" w:hAnsi="Arial" w:cs="Arial"/>
          <w:i/>
          <w:iCs/>
          <w:color w:val="0F1115"/>
          <w:shd w:val="clear" w:color="auto" w:fill="FFFFFF"/>
        </w:rPr>
        <w:t>Review of Quantitative Finance and Accounting</w:t>
      </w:r>
      <w:r w:rsidRPr="00323F9A">
        <w:rPr>
          <w:rFonts w:ascii="Arial" w:hAnsi="Arial" w:cs="Arial"/>
          <w:color w:val="0F1115"/>
          <w:shd w:val="clear" w:color="auto" w:fill="FFFFFF"/>
        </w:rPr>
        <w:t>, 56(4), pp. 1293-1328.</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Kilincarslan</w:t>
      </w:r>
      <w:proofErr w:type="spellEnd"/>
      <w:r w:rsidRPr="00323F9A">
        <w:rPr>
          <w:rFonts w:ascii="Arial" w:hAnsi="Arial" w:cs="Arial"/>
          <w:color w:val="0F1115"/>
          <w:shd w:val="clear" w:color="auto" w:fill="FFFFFF"/>
        </w:rPr>
        <w:t>, E. (2024) 'A zero cash dividend policy: The UK experience', </w:t>
      </w:r>
      <w:r w:rsidRPr="00323F9A">
        <w:rPr>
          <w:rFonts w:ascii="Arial" w:hAnsi="Arial" w:cs="Arial"/>
          <w:i/>
          <w:iCs/>
          <w:color w:val="0F1115"/>
          <w:shd w:val="clear" w:color="auto" w:fill="FFFFFF"/>
        </w:rPr>
        <w:t>Review of Quantitative Finance and Accounting</w:t>
      </w:r>
      <w:r w:rsidRPr="00323F9A">
        <w:rPr>
          <w:rFonts w:ascii="Arial" w:hAnsi="Arial" w:cs="Arial"/>
          <w:color w:val="0F1115"/>
          <w:shd w:val="clear" w:color="auto" w:fill="FFFFFF"/>
        </w:rPr>
        <w:t>, 65, pp. 837-883.</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La Porta, R., Lopez-de-</w:t>
      </w:r>
      <w:proofErr w:type="spellStart"/>
      <w:r w:rsidRPr="00323F9A">
        <w:rPr>
          <w:rFonts w:ascii="Arial" w:hAnsi="Arial" w:cs="Arial"/>
          <w:color w:val="0F1115"/>
          <w:shd w:val="clear" w:color="auto" w:fill="FFFFFF"/>
        </w:rPr>
        <w:t>Silanes</w:t>
      </w:r>
      <w:proofErr w:type="spellEnd"/>
      <w:r w:rsidRPr="00323F9A">
        <w:rPr>
          <w:rFonts w:ascii="Arial" w:hAnsi="Arial" w:cs="Arial"/>
          <w:color w:val="0F1115"/>
          <w:shd w:val="clear" w:color="auto" w:fill="FFFFFF"/>
        </w:rPr>
        <w:t xml:space="preserve">, F., Shleifer, A. and </w:t>
      </w:r>
      <w:proofErr w:type="spellStart"/>
      <w:r w:rsidRPr="00323F9A">
        <w:rPr>
          <w:rFonts w:ascii="Arial" w:hAnsi="Arial" w:cs="Arial"/>
          <w:color w:val="0F1115"/>
          <w:shd w:val="clear" w:color="auto" w:fill="FFFFFF"/>
        </w:rPr>
        <w:t>Vishny</w:t>
      </w:r>
      <w:proofErr w:type="spellEnd"/>
      <w:r w:rsidRPr="00323F9A">
        <w:rPr>
          <w:rFonts w:ascii="Arial" w:hAnsi="Arial" w:cs="Arial"/>
          <w:color w:val="0F1115"/>
          <w:shd w:val="clear" w:color="auto" w:fill="FFFFFF"/>
        </w:rPr>
        <w:t>, R. (2000) 'Investor protection and corporate governance', </w:t>
      </w:r>
      <w:r w:rsidRPr="00323F9A">
        <w:rPr>
          <w:rFonts w:ascii="Arial" w:hAnsi="Arial" w:cs="Arial"/>
          <w:i/>
          <w:iCs/>
          <w:color w:val="0F1115"/>
          <w:shd w:val="clear" w:color="auto" w:fill="FFFFFF"/>
        </w:rPr>
        <w:t>Journal of Financial Economics</w:t>
      </w:r>
      <w:r w:rsidRPr="00323F9A">
        <w:rPr>
          <w:rFonts w:ascii="Arial" w:hAnsi="Arial" w:cs="Arial"/>
          <w:color w:val="0F1115"/>
          <w:shd w:val="clear" w:color="auto" w:fill="FFFFFF"/>
        </w:rPr>
        <w:t>, 58(1-2), pp. 3-27.</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Lee, B.S. and Suh, J. (2011) 'Cash dividends and share repurchases: A comparative analysis', </w:t>
      </w:r>
      <w:r w:rsidRPr="00323F9A">
        <w:rPr>
          <w:rFonts w:ascii="Arial" w:hAnsi="Arial" w:cs="Arial"/>
          <w:i/>
          <w:iCs/>
          <w:color w:val="0F1115"/>
          <w:shd w:val="clear" w:color="auto" w:fill="FFFFFF"/>
        </w:rPr>
        <w:t>Journal of Financial Economics</w:t>
      </w:r>
      <w:r w:rsidRPr="00323F9A">
        <w:rPr>
          <w:rFonts w:ascii="Arial" w:hAnsi="Arial" w:cs="Arial"/>
          <w:color w:val="0F1115"/>
          <w:shd w:val="clear" w:color="auto" w:fill="FFFFFF"/>
        </w:rPr>
        <w:t>, 101(3), pp. 599-618.</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Lintner</w:t>
      </w:r>
      <w:proofErr w:type="spellEnd"/>
      <w:r w:rsidRPr="00323F9A">
        <w:rPr>
          <w:rFonts w:ascii="Arial" w:hAnsi="Arial" w:cs="Arial"/>
          <w:color w:val="0F1115"/>
          <w:shd w:val="clear" w:color="auto" w:fill="FFFFFF"/>
        </w:rPr>
        <w:t>, J. (1956) 'Distribution of incomes of corporations among dividends, retained earnings, and taxes', </w:t>
      </w:r>
      <w:r w:rsidRPr="00323F9A">
        <w:rPr>
          <w:rFonts w:ascii="Arial" w:hAnsi="Arial" w:cs="Arial"/>
          <w:i/>
          <w:iCs/>
          <w:color w:val="0F1115"/>
          <w:shd w:val="clear" w:color="auto" w:fill="FFFFFF"/>
        </w:rPr>
        <w:t>The American Economic Review</w:t>
      </w:r>
      <w:r w:rsidRPr="00323F9A">
        <w:rPr>
          <w:rFonts w:ascii="Arial" w:hAnsi="Arial" w:cs="Arial"/>
          <w:color w:val="0F1115"/>
          <w:shd w:val="clear" w:color="auto" w:fill="FFFFFF"/>
        </w:rPr>
        <w:t>, 46(2), pp. 97-113.</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lastRenderedPageBreak/>
        <w:t>Miller, M.H. and Modigliani, F. (1961) 'Dividend policy, growth, and the valuation of shares', </w:t>
      </w:r>
      <w:r w:rsidRPr="00323F9A">
        <w:rPr>
          <w:rFonts w:ascii="Arial" w:hAnsi="Arial" w:cs="Arial"/>
          <w:i/>
          <w:iCs/>
          <w:color w:val="0F1115"/>
          <w:shd w:val="clear" w:color="auto" w:fill="FFFFFF"/>
        </w:rPr>
        <w:t>The Journal of Business</w:t>
      </w:r>
      <w:r w:rsidRPr="00323F9A">
        <w:rPr>
          <w:rFonts w:ascii="Arial" w:hAnsi="Arial" w:cs="Arial"/>
          <w:color w:val="0F1115"/>
          <w:shd w:val="clear" w:color="auto" w:fill="FFFFFF"/>
        </w:rPr>
        <w:t>, 34(4), pp. 411-433.</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Miller, M.H. and Rock, K. (1985) 'Dividend policy under asymmetric information', </w:t>
      </w:r>
      <w:r w:rsidRPr="00323F9A">
        <w:rPr>
          <w:rFonts w:ascii="Arial" w:hAnsi="Arial" w:cs="Arial"/>
          <w:i/>
          <w:iCs/>
          <w:color w:val="0F1115"/>
          <w:shd w:val="clear" w:color="auto" w:fill="FFFFFF"/>
        </w:rPr>
        <w:t>The Journal of Finance</w:t>
      </w:r>
      <w:r w:rsidRPr="00323F9A">
        <w:rPr>
          <w:rFonts w:ascii="Arial" w:hAnsi="Arial" w:cs="Arial"/>
          <w:color w:val="0F1115"/>
          <w:shd w:val="clear" w:color="auto" w:fill="FFFFFF"/>
        </w:rPr>
        <w:t>, 40(4), pp. 1031-1051.</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M'rabet</w:t>
      </w:r>
      <w:proofErr w:type="spellEnd"/>
      <w:r w:rsidRPr="00323F9A">
        <w:rPr>
          <w:rFonts w:ascii="Arial" w:hAnsi="Arial" w:cs="Arial"/>
          <w:color w:val="0F1115"/>
          <w:shd w:val="clear" w:color="auto" w:fill="FFFFFF"/>
        </w:rPr>
        <w:t xml:space="preserve">, R. and </w:t>
      </w:r>
      <w:proofErr w:type="spellStart"/>
      <w:r w:rsidRPr="00323F9A">
        <w:rPr>
          <w:rFonts w:ascii="Arial" w:hAnsi="Arial" w:cs="Arial"/>
          <w:color w:val="0F1115"/>
          <w:shd w:val="clear" w:color="auto" w:fill="FFFFFF"/>
        </w:rPr>
        <w:t>Boujjat</w:t>
      </w:r>
      <w:proofErr w:type="spellEnd"/>
      <w:r w:rsidRPr="00323F9A">
        <w:rPr>
          <w:rFonts w:ascii="Arial" w:hAnsi="Arial" w:cs="Arial"/>
          <w:color w:val="0F1115"/>
          <w:shd w:val="clear" w:color="auto" w:fill="FFFFFF"/>
        </w:rPr>
        <w:t>, W. (2016) '</w:t>
      </w:r>
      <w:proofErr w:type="gramStart"/>
      <w:r w:rsidRPr="00323F9A">
        <w:rPr>
          <w:rFonts w:ascii="Arial" w:hAnsi="Arial" w:cs="Arial"/>
          <w:color w:val="0F1115"/>
          <w:shd w:val="clear" w:color="auto" w:fill="FFFFFF"/>
        </w:rPr>
        <w:t>The</w:t>
      </w:r>
      <w:proofErr w:type="gramEnd"/>
      <w:r w:rsidRPr="00323F9A">
        <w:rPr>
          <w:rFonts w:ascii="Arial" w:hAnsi="Arial" w:cs="Arial"/>
          <w:color w:val="0F1115"/>
          <w:shd w:val="clear" w:color="auto" w:fill="FFFFFF"/>
        </w:rPr>
        <w:t xml:space="preserve"> relationship between dividend payments and firm performance: A study of listed companies in Morocco', </w:t>
      </w:r>
      <w:r w:rsidRPr="00323F9A">
        <w:rPr>
          <w:rFonts w:ascii="Arial" w:hAnsi="Arial" w:cs="Arial"/>
          <w:i/>
          <w:iCs/>
          <w:color w:val="0F1115"/>
          <w:shd w:val="clear" w:color="auto" w:fill="FFFFFF"/>
        </w:rPr>
        <w:t>European Scientific Journal</w:t>
      </w:r>
      <w:r w:rsidRPr="00323F9A">
        <w:rPr>
          <w:rFonts w:ascii="Arial" w:hAnsi="Arial" w:cs="Arial"/>
          <w:color w:val="0F1115"/>
          <w:shd w:val="clear" w:color="auto" w:fill="FFFFFF"/>
        </w:rPr>
        <w:t>, 12(10), pp. 469-482.</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Nkuah</w:t>
      </w:r>
      <w:proofErr w:type="spellEnd"/>
      <w:r w:rsidRPr="00323F9A">
        <w:rPr>
          <w:rFonts w:ascii="Arial" w:hAnsi="Arial" w:cs="Arial"/>
          <w:color w:val="0F1115"/>
          <w:shd w:val="clear" w:color="auto" w:fill="FFFFFF"/>
        </w:rPr>
        <w:t xml:space="preserve">, E.F. and </w:t>
      </w:r>
      <w:proofErr w:type="spellStart"/>
      <w:r w:rsidRPr="00323F9A">
        <w:rPr>
          <w:rFonts w:ascii="Arial" w:hAnsi="Arial" w:cs="Arial"/>
          <w:color w:val="0F1115"/>
          <w:shd w:val="clear" w:color="auto" w:fill="FFFFFF"/>
        </w:rPr>
        <w:t>Yusif</w:t>
      </w:r>
      <w:proofErr w:type="spellEnd"/>
      <w:r w:rsidRPr="00323F9A">
        <w:rPr>
          <w:rFonts w:ascii="Arial" w:hAnsi="Arial" w:cs="Arial"/>
          <w:color w:val="0F1115"/>
          <w:shd w:val="clear" w:color="auto" w:fill="FFFFFF"/>
        </w:rPr>
        <w:t>, H. (2016) 'Investigating the effect of dividend policy on the wealth of stockholders of listed companies on the Ghana Stock Exchange', </w:t>
      </w:r>
      <w:r w:rsidRPr="00323F9A">
        <w:rPr>
          <w:rFonts w:ascii="Arial" w:hAnsi="Arial" w:cs="Arial"/>
          <w:i/>
          <w:iCs/>
          <w:color w:val="0F1115"/>
          <w:shd w:val="clear" w:color="auto" w:fill="FFFFFF"/>
        </w:rPr>
        <w:t>International Journal of Economics and Finance</w:t>
      </w:r>
      <w:r w:rsidRPr="00323F9A">
        <w:rPr>
          <w:rFonts w:ascii="Arial" w:hAnsi="Arial" w:cs="Arial"/>
          <w:color w:val="0F1115"/>
          <w:shd w:val="clear" w:color="auto" w:fill="FFFFFF"/>
        </w:rPr>
        <w:t>, 8(10), pp. 47-54.</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Ramalingegowda</w:t>
      </w:r>
      <w:proofErr w:type="spellEnd"/>
      <w:r w:rsidRPr="00323F9A">
        <w:rPr>
          <w:rFonts w:ascii="Arial" w:hAnsi="Arial" w:cs="Arial"/>
          <w:color w:val="0F1115"/>
          <w:shd w:val="clear" w:color="auto" w:fill="FFFFFF"/>
        </w:rPr>
        <w:t>, S., Wang, C. and Yu, Y. (2013) 'The role of financial reporting quality in mitigating the constraining effect of dividend policy on investment decisions', </w:t>
      </w:r>
      <w:r w:rsidRPr="00323F9A">
        <w:rPr>
          <w:rFonts w:ascii="Arial" w:hAnsi="Arial" w:cs="Arial"/>
          <w:i/>
          <w:iCs/>
          <w:color w:val="0F1115"/>
          <w:shd w:val="clear" w:color="auto" w:fill="FFFFFF"/>
        </w:rPr>
        <w:t>The Accounting Review</w:t>
      </w:r>
      <w:r w:rsidRPr="00323F9A">
        <w:rPr>
          <w:rFonts w:ascii="Arial" w:hAnsi="Arial" w:cs="Arial"/>
          <w:color w:val="0F1115"/>
          <w:shd w:val="clear" w:color="auto" w:fill="FFFFFF"/>
        </w:rPr>
        <w:t>, 88(3), pp. 1007-1039.</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RSM UK (2025) 'Dividend difficulties for business owners in 2025'. Available at: </w:t>
      </w:r>
      <w:hyperlink r:id="rId9" w:tgtFrame="_blank" w:history="1">
        <w:r w:rsidRPr="00323F9A">
          <w:rPr>
            <w:rStyle w:val="Hyperlink"/>
            <w:rFonts w:ascii="Arial" w:hAnsi="Arial" w:cs="Arial"/>
            <w:shd w:val="clear" w:color="auto" w:fill="FFFFFF"/>
          </w:rPr>
          <w:t>https://www.rsmuk.com</w:t>
        </w:r>
      </w:hyperlink>
      <w:r w:rsidRPr="00323F9A">
        <w:rPr>
          <w:rFonts w:ascii="Arial" w:hAnsi="Arial" w:cs="Arial"/>
          <w:color w:val="0F1115"/>
          <w:shd w:val="clear" w:color="auto" w:fill="FFFFFF"/>
        </w:rPr>
        <w:t> (Accessed: 10 July 2026).</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S&amp;P Global Market Intelligence (2026) 'Seven key dividend forecasts for 2026'. Available at: </w:t>
      </w:r>
      <w:hyperlink r:id="rId10" w:tgtFrame="_blank" w:history="1">
        <w:r w:rsidRPr="00323F9A">
          <w:rPr>
            <w:rStyle w:val="Hyperlink"/>
            <w:rFonts w:ascii="Arial" w:hAnsi="Arial" w:cs="Arial"/>
            <w:shd w:val="clear" w:color="auto" w:fill="FFFFFF"/>
          </w:rPr>
          <w:t>https://cdn.ihsmarkit.com</w:t>
        </w:r>
      </w:hyperlink>
      <w:r w:rsidRPr="00323F9A">
        <w:rPr>
          <w:rFonts w:ascii="Arial" w:hAnsi="Arial" w:cs="Arial"/>
          <w:color w:val="0F1115"/>
          <w:shd w:val="clear" w:color="auto" w:fill="FFFFFF"/>
        </w:rPr>
        <w:t> (Accessed: 10 July 2026).</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Saddiq</w:t>
      </w:r>
      <w:proofErr w:type="spellEnd"/>
      <w:r w:rsidRPr="00323F9A">
        <w:rPr>
          <w:rFonts w:ascii="Arial" w:hAnsi="Arial" w:cs="Arial"/>
          <w:color w:val="0F1115"/>
          <w:shd w:val="clear" w:color="auto" w:fill="FFFFFF"/>
        </w:rPr>
        <w:t xml:space="preserve">, Y.A., </w:t>
      </w:r>
      <w:proofErr w:type="spellStart"/>
      <w:r w:rsidRPr="00323F9A">
        <w:rPr>
          <w:rFonts w:ascii="Arial" w:hAnsi="Arial" w:cs="Arial"/>
          <w:color w:val="0F1115"/>
          <w:shd w:val="clear" w:color="auto" w:fill="FFFFFF"/>
        </w:rPr>
        <w:t>Aliyu</w:t>
      </w:r>
      <w:proofErr w:type="spellEnd"/>
      <w:r w:rsidRPr="00323F9A">
        <w:rPr>
          <w:rFonts w:ascii="Arial" w:hAnsi="Arial" w:cs="Arial"/>
          <w:color w:val="0F1115"/>
          <w:shd w:val="clear" w:color="auto" w:fill="FFFFFF"/>
        </w:rPr>
        <w:t xml:space="preserve">, M.S. and </w:t>
      </w:r>
      <w:proofErr w:type="spellStart"/>
      <w:r w:rsidRPr="00323F9A">
        <w:rPr>
          <w:rFonts w:ascii="Arial" w:hAnsi="Arial" w:cs="Arial"/>
          <w:color w:val="0F1115"/>
          <w:shd w:val="clear" w:color="auto" w:fill="FFFFFF"/>
        </w:rPr>
        <w:t>Kurfi</w:t>
      </w:r>
      <w:proofErr w:type="spellEnd"/>
      <w:r w:rsidRPr="00323F9A">
        <w:rPr>
          <w:rFonts w:ascii="Arial" w:hAnsi="Arial" w:cs="Arial"/>
          <w:color w:val="0F1115"/>
          <w:shd w:val="clear" w:color="auto" w:fill="FFFFFF"/>
        </w:rPr>
        <w:t>, A.K. (2018) 'Effect of dividend policy on investment decisions of blue chip companies in Nigeria', </w:t>
      </w:r>
      <w:proofErr w:type="spellStart"/>
      <w:r w:rsidRPr="00323F9A">
        <w:rPr>
          <w:rFonts w:ascii="Arial" w:hAnsi="Arial" w:cs="Arial"/>
          <w:i/>
          <w:iCs/>
          <w:color w:val="0F1115"/>
          <w:shd w:val="clear" w:color="auto" w:fill="FFFFFF"/>
        </w:rPr>
        <w:t>Dutse</w:t>
      </w:r>
      <w:proofErr w:type="spellEnd"/>
      <w:r w:rsidRPr="00323F9A">
        <w:rPr>
          <w:rFonts w:ascii="Arial" w:hAnsi="Arial" w:cs="Arial"/>
          <w:i/>
          <w:iCs/>
          <w:color w:val="0F1115"/>
          <w:shd w:val="clear" w:color="auto" w:fill="FFFFFF"/>
        </w:rPr>
        <w:t xml:space="preserve"> Journal of Economics and Development Studies</w:t>
      </w:r>
      <w:r w:rsidRPr="00323F9A">
        <w:rPr>
          <w:rFonts w:ascii="Arial" w:hAnsi="Arial" w:cs="Arial"/>
          <w:color w:val="0F1115"/>
          <w:shd w:val="clear" w:color="auto" w:fill="FFFFFF"/>
        </w:rPr>
        <w:t>, 6(2), pp. 234-243.</w:t>
      </w:r>
    </w:p>
    <w:p w:rsidR="00323F9A" w:rsidRPr="00323F9A" w:rsidRDefault="00323F9A" w:rsidP="00323F9A">
      <w:pPr>
        <w:pStyle w:val="ds-markdown-paragraph"/>
        <w:numPr>
          <w:ilvl w:val="0"/>
          <w:numId w:val="1"/>
        </w:numPr>
        <w:rPr>
          <w:rFonts w:ascii="Arial" w:hAnsi="Arial" w:cs="Arial"/>
          <w:color w:val="0F1115"/>
          <w:shd w:val="clear" w:color="auto" w:fill="FFFFFF"/>
        </w:rPr>
      </w:pPr>
      <w:proofErr w:type="spellStart"/>
      <w:r w:rsidRPr="00323F9A">
        <w:rPr>
          <w:rFonts w:ascii="Arial" w:hAnsi="Arial" w:cs="Arial"/>
          <w:color w:val="0F1115"/>
          <w:shd w:val="clear" w:color="auto" w:fill="FFFFFF"/>
        </w:rPr>
        <w:t>Sahibzada</w:t>
      </w:r>
      <w:proofErr w:type="spellEnd"/>
      <w:r w:rsidRPr="00323F9A">
        <w:rPr>
          <w:rFonts w:ascii="Arial" w:hAnsi="Arial" w:cs="Arial"/>
          <w:color w:val="0F1115"/>
          <w:shd w:val="clear" w:color="auto" w:fill="FFFFFF"/>
        </w:rPr>
        <w:t xml:space="preserve">, M.H. and </w:t>
      </w:r>
      <w:proofErr w:type="spellStart"/>
      <w:r w:rsidRPr="00323F9A">
        <w:rPr>
          <w:rFonts w:ascii="Arial" w:hAnsi="Arial" w:cs="Arial"/>
          <w:color w:val="0F1115"/>
          <w:shd w:val="clear" w:color="auto" w:fill="FFFFFF"/>
        </w:rPr>
        <w:t>Zubair</w:t>
      </w:r>
      <w:proofErr w:type="spellEnd"/>
      <w:r w:rsidRPr="00323F9A">
        <w:rPr>
          <w:rFonts w:ascii="Arial" w:hAnsi="Arial" w:cs="Arial"/>
          <w:color w:val="0F1115"/>
          <w:shd w:val="clear" w:color="auto" w:fill="FFFFFF"/>
        </w:rPr>
        <w:t>, H. (2017) 'Impact of dividend policy on shareholders wealth: A comparative study among dividend paying and non-paying technology based firms in USA', </w:t>
      </w:r>
      <w:r w:rsidRPr="00323F9A">
        <w:rPr>
          <w:rFonts w:ascii="Arial" w:hAnsi="Arial" w:cs="Arial"/>
          <w:i/>
          <w:iCs/>
          <w:color w:val="0F1115"/>
          <w:shd w:val="clear" w:color="auto" w:fill="FFFFFF"/>
        </w:rPr>
        <w:t>International Journal of Information, Business and Management</w:t>
      </w:r>
      <w:r w:rsidRPr="00323F9A">
        <w:rPr>
          <w:rFonts w:ascii="Arial" w:hAnsi="Arial" w:cs="Arial"/>
          <w:color w:val="0F1115"/>
          <w:shd w:val="clear" w:color="auto" w:fill="FFFFFF"/>
        </w:rPr>
        <w:t>, 9(2), pp. 2232-2240.</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Saunders, M., Lewis, P. and Thornhill, A. (2019) </w:t>
      </w:r>
      <w:r w:rsidRPr="00323F9A">
        <w:rPr>
          <w:rFonts w:ascii="Arial" w:hAnsi="Arial" w:cs="Arial"/>
          <w:i/>
          <w:iCs/>
          <w:color w:val="0F1115"/>
          <w:shd w:val="clear" w:color="auto" w:fill="FFFFFF"/>
        </w:rPr>
        <w:t>Research Methods for Business Students</w:t>
      </w:r>
      <w:r w:rsidRPr="00323F9A">
        <w:rPr>
          <w:rFonts w:ascii="Arial" w:hAnsi="Arial" w:cs="Arial"/>
          <w:color w:val="0F1115"/>
          <w:shd w:val="clear" w:color="auto" w:fill="FFFFFF"/>
        </w:rPr>
        <w:t xml:space="preserve">. 8th </w:t>
      </w:r>
      <w:proofErr w:type="spellStart"/>
      <w:r w:rsidRPr="00323F9A">
        <w:rPr>
          <w:rFonts w:ascii="Arial" w:hAnsi="Arial" w:cs="Arial"/>
          <w:color w:val="0F1115"/>
          <w:shd w:val="clear" w:color="auto" w:fill="FFFFFF"/>
        </w:rPr>
        <w:t>edn</w:t>
      </w:r>
      <w:proofErr w:type="spellEnd"/>
      <w:r w:rsidRPr="00323F9A">
        <w:rPr>
          <w:rFonts w:ascii="Arial" w:hAnsi="Arial" w:cs="Arial"/>
          <w:color w:val="0F1115"/>
          <w:shd w:val="clear" w:color="auto" w:fill="FFFFFF"/>
        </w:rPr>
        <w:t>. Harlow: Pearson Education.</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Smith, C.W. and Watts, R.L. (1992) 'The investment opportunity set and corporate financing, dividend, and compensation policies', </w:t>
      </w:r>
      <w:r w:rsidRPr="00323F9A">
        <w:rPr>
          <w:rFonts w:ascii="Arial" w:hAnsi="Arial" w:cs="Arial"/>
          <w:i/>
          <w:iCs/>
          <w:color w:val="0F1115"/>
          <w:shd w:val="clear" w:color="auto" w:fill="FFFFFF"/>
        </w:rPr>
        <w:t>Journal of Financial Economics</w:t>
      </w:r>
      <w:r w:rsidRPr="00323F9A">
        <w:rPr>
          <w:rFonts w:ascii="Arial" w:hAnsi="Arial" w:cs="Arial"/>
          <w:color w:val="0F1115"/>
          <w:shd w:val="clear" w:color="auto" w:fill="FFFFFF"/>
        </w:rPr>
        <w:t>, 32(3), pp. 263-292.</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 xml:space="preserve">Tucker, J. and </w:t>
      </w:r>
      <w:proofErr w:type="spellStart"/>
      <w:r w:rsidRPr="00323F9A">
        <w:rPr>
          <w:rFonts w:ascii="Arial" w:hAnsi="Arial" w:cs="Arial"/>
          <w:color w:val="0F1115"/>
          <w:shd w:val="clear" w:color="auto" w:fill="FFFFFF"/>
        </w:rPr>
        <w:t>Misirlioglu</w:t>
      </w:r>
      <w:proofErr w:type="spellEnd"/>
      <w:r w:rsidRPr="00323F9A">
        <w:rPr>
          <w:rFonts w:ascii="Arial" w:hAnsi="Arial" w:cs="Arial"/>
          <w:color w:val="0F1115"/>
          <w:shd w:val="clear" w:color="auto" w:fill="FFFFFF"/>
        </w:rPr>
        <w:t>, I.U. (2024) 'Dividends, investment and pension contributions', </w:t>
      </w:r>
      <w:r w:rsidRPr="00323F9A">
        <w:rPr>
          <w:rFonts w:ascii="Arial" w:hAnsi="Arial" w:cs="Arial"/>
          <w:i/>
          <w:iCs/>
          <w:color w:val="0F1115"/>
          <w:shd w:val="clear" w:color="auto" w:fill="FFFFFF"/>
        </w:rPr>
        <w:t>International Journal of Banking, Accounting and Finance</w:t>
      </w:r>
      <w:r w:rsidRPr="00323F9A">
        <w:rPr>
          <w:rFonts w:ascii="Arial" w:hAnsi="Arial" w:cs="Arial"/>
          <w:color w:val="0F1115"/>
          <w:shd w:val="clear" w:color="auto" w:fill="FFFFFF"/>
        </w:rPr>
        <w:t>, 14(1), pp. 1-27.</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Williams, J.B. (1938) </w:t>
      </w:r>
      <w:proofErr w:type="gramStart"/>
      <w:r w:rsidRPr="00323F9A">
        <w:rPr>
          <w:rFonts w:ascii="Arial" w:hAnsi="Arial" w:cs="Arial"/>
          <w:i/>
          <w:iCs/>
          <w:color w:val="0F1115"/>
          <w:shd w:val="clear" w:color="auto" w:fill="FFFFFF"/>
        </w:rPr>
        <w:t>The</w:t>
      </w:r>
      <w:proofErr w:type="gramEnd"/>
      <w:r w:rsidRPr="00323F9A">
        <w:rPr>
          <w:rFonts w:ascii="Arial" w:hAnsi="Arial" w:cs="Arial"/>
          <w:i/>
          <w:iCs/>
          <w:color w:val="0F1115"/>
          <w:shd w:val="clear" w:color="auto" w:fill="FFFFFF"/>
        </w:rPr>
        <w:t xml:space="preserve"> Theory of Investment Value</w:t>
      </w:r>
      <w:r w:rsidRPr="00323F9A">
        <w:rPr>
          <w:rFonts w:ascii="Arial" w:hAnsi="Arial" w:cs="Arial"/>
          <w:color w:val="0F1115"/>
          <w:shd w:val="clear" w:color="auto" w:fill="FFFFFF"/>
        </w:rPr>
        <w:t>. Cambridge: Harvard University Press.</w:t>
      </w:r>
    </w:p>
    <w:p w:rsidR="00323F9A" w:rsidRPr="00323F9A" w:rsidRDefault="00323F9A" w:rsidP="00323F9A">
      <w:pPr>
        <w:pStyle w:val="ds-markdown-paragraph"/>
        <w:numPr>
          <w:ilvl w:val="0"/>
          <w:numId w:val="1"/>
        </w:numPr>
        <w:rPr>
          <w:rFonts w:ascii="Arial" w:hAnsi="Arial" w:cs="Arial"/>
          <w:color w:val="0F1115"/>
          <w:shd w:val="clear" w:color="auto" w:fill="FFFFFF"/>
        </w:rPr>
      </w:pPr>
      <w:r w:rsidRPr="00323F9A">
        <w:rPr>
          <w:rFonts w:ascii="Arial" w:hAnsi="Arial" w:cs="Arial"/>
          <w:color w:val="0F1115"/>
          <w:shd w:val="clear" w:color="auto" w:fill="FFFFFF"/>
        </w:rPr>
        <w:t>Wooldridge, J.M. (2010) </w:t>
      </w:r>
      <w:r w:rsidRPr="00323F9A">
        <w:rPr>
          <w:rFonts w:ascii="Arial" w:hAnsi="Arial" w:cs="Arial"/>
          <w:i/>
          <w:iCs/>
          <w:color w:val="0F1115"/>
          <w:shd w:val="clear" w:color="auto" w:fill="FFFFFF"/>
        </w:rPr>
        <w:t>Econometric Analysis of Cross Section and Panel Data</w:t>
      </w:r>
      <w:r w:rsidRPr="00323F9A">
        <w:rPr>
          <w:rFonts w:ascii="Arial" w:hAnsi="Arial" w:cs="Arial"/>
          <w:color w:val="0F1115"/>
          <w:shd w:val="clear" w:color="auto" w:fill="FFFFFF"/>
        </w:rPr>
        <w:t xml:space="preserve">. 2nd </w:t>
      </w:r>
      <w:proofErr w:type="spellStart"/>
      <w:r w:rsidRPr="00323F9A">
        <w:rPr>
          <w:rFonts w:ascii="Arial" w:hAnsi="Arial" w:cs="Arial"/>
          <w:color w:val="0F1115"/>
          <w:shd w:val="clear" w:color="auto" w:fill="FFFFFF"/>
        </w:rPr>
        <w:t>edn</w:t>
      </w:r>
      <w:proofErr w:type="spellEnd"/>
      <w:r w:rsidRPr="00323F9A">
        <w:rPr>
          <w:rFonts w:ascii="Arial" w:hAnsi="Arial" w:cs="Arial"/>
          <w:color w:val="0F1115"/>
          <w:shd w:val="clear" w:color="auto" w:fill="FFFFFF"/>
        </w:rPr>
        <w:t>. Cambridge: MIT Press.</w:t>
      </w:r>
    </w:p>
    <w:p w:rsidR="002A5BB3" w:rsidRPr="00EE1E78" w:rsidRDefault="002A5BB3" w:rsidP="00323F9A">
      <w:pPr>
        <w:pStyle w:val="ds-markdown-paragraph"/>
        <w:numPr>
          <w:ilvl w:val="0"/>
          <w:numId w:val="1"/>
        </w:numPr>
        <w:rPr>
          <w:rFonts w:ascii="Arial" w:hAnsi="Arial" w:cs="Arial"/>
          <w:color w:val="0F1115"/>
          <w:shd w:val="clear" w:color="auto" w:fill="FFFFFF"/>
        </w:rPr>
      </w:pPr>
    </w:p>
    <w:sectPr w:rsidR="002A5BB3" w:rsidRPr="00EE1E7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0A86" w:rsidRDefault="00F80A86" w:rsidP="00F800D9">
      <w:pPr>
        <w:spacing w:after="0" w:line="240" w:lineRule="auto"/>
      </w:pPr>
      <w:r>
        <w:separator/>
      </w:r>
    </w:p>
  </w:endnote>
  <w:endnote w:type="continuationSeparator" w:id="0">
    <w:p w:rsidR="00F80A86" w:rsidRDefault="00F80A86" w:rsidP="00F80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0A86" w:rsidRDefault="00F80A86" w:rsidP="00F800D9">
      <w:pPr>
        <w:spacing w:after="0" w:line="240" w:lineRule="auto"/>
      </w:pPr>
      <w:r>
        <w:separator/>
      </w:r>
    </w:p>
  </w:footnote>
  <w:footnote w:type="continuationSeparator" w:id="0">
    <w:p w:rsidR="00F80A86" w:rsidRDefault="00F80A86" w:rsidP="00F800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0F6B24"/>
    <w:multiLevelType w:val="multilevel"/>
    <w:tmpl w:val="4A122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DF7A48"/>
    <w:multiLevelType w:val="multilevel"/>
    <w:tmpl w:val="EF3EA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9F5D47"/>
    <w:multiLevelType w:val="multilevel"/>
    <w:tmpl w:val="659A5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9521AB2"/>
    <w:multiLevelType w:val="multilevel"/>
    <w:tmpl w:val="9C341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AB51E3C"/>
    <w:multiLevelType w:val="multilevel"/>
    <w:tmpl w:val="56D8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0836163"/>
    <w:multiLevelType w:val="hybridMultilevel"/>
    <w:tmpl w:val="77A8FA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26436E6"/>
    <w:multiLevelType w:val="hybridMultilevel"/>
    <w:tmpl w:val="A64401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2F7427F"/>
    <w:multiLevelType w:val="multilevel"/>
    <w:tmpl w:val="8F321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6CD6DD6"/>
    <w:multiLevelType w:val="multilevel"/>
    <w:tmpl w:val="E826A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2842B15"/>
    <w:multiLevelType w:val="multilevel"/>
    <w:tmpl w:val="E1646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AD66A24"/>
    <w:multiLevelType w:val="multilevel"/>
    <w:tmpl w:val="6F7AF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4B93E66"/>
    <w:multiLevelType w:val="multilevel"/>
    <w:tmpl w:val="FFB8C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1"/>
  </w:num>
  <w:num w:numId="3">
    <w:abstractNumId w:val="8"/>
  </w:num>
  <w:num w:numId="4">
    <w:abstractNumId w:val="1"/>
  </w:num>
  <w:num w:numId="5">
    <w:abstractNumId w:val="3"/>
  </w:num>
  <w:num w:numId="6">
    <w:abstractNumId w:val="12"/>
  </w:num>
  <w:num w:numId="7">
    <w:abstractNumId w:val="9"/>
  </w:num>
  <w:num w:numId="8">
    <w:abstractNumId w:val="10"/>
  </w:num>
  <w:num w:numId="9">
    <w:abstractNumId w:val="4"/>
  </w:num>
  <w:num w:numId="10">
    <w:abstractNumId w:val="2"/>
  </w:num>
  <w:num w:numId="11">
    <w:abstractNumId w:val="0"/>
  </w:num>
  <w:num w:numId="12">
    <w:abstractNumId w:val="6"/>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5246"/>
    <w:rsid w:val="00004212"/>
    <w:rsid w:val="0001770A"/>
    <w:rsid w:val="000A1045"/>
    <w:rsid w:val="000D08EB"/>
    <w:rsid w:val="001047BE"/>
    <w:rsid w:val="00107440"/>
    <w:rsid w:val="00117C01"/>
    <w:rsid w:val="0012156A"/>
    <w:rsid w:val="00144CD3"/>
    <w:rsid w:val="001536C9"/>
    <w:rsid w:val="001853C0"/>
    <w:rsid w:val="001D179D"/>
    <w:rsid w:val="00207B59"/>
    <w:rsid w:val="00217AC4"/>
    <w:rsid w:val="00284768"/>
    <w:rsid w:val="002849AE"/>
    <w:rsid w:val="002865C1"/>
    <w:rsid w:val="002A5BB3"/>
    <w:rsid w:val="002B628F"/>
    <w:rsid w:val="002D37F7"/>
    <w:rsid w:val="002D3916"/>
    <w:rsid w:val="002F12FC"/>
    <w:rsid w:val="00321EEC"/>
    <w:rsid w:val="00323F9A"/>
    <w:rsid w:val="00327EE9"/>
    <w:rsid w:val="00332F0F"/>
    <w:rsid w:val="00357A65"/>
    <w:rsid w:val="00365A93"/>
    <w:rsid w:val="003739B2"/>
    <w:rsid w:val="00390882"/>
    <w:rsid w:val="003C01A1"/>
    <w:rsid w:val="003D7D81"/>
    <w:rsid w:val="003E6DAF"/>
    <w:rsid w:val="00410EED"/>
    <w:rsid w:val="00417434"/>
    <w:rsid w:val="00423840"/>
    <w:rsid w:val="00426F2A"/>
    <w:rsid w:val="00434D84"/>
    <w:rsid w:val="004A07AC"/>
    <w:rsid w:val="004A20A4"/>
    <w:rsid w:val="004D6213"/>
    <w:rsid w:val="005226EE"/>
    <w:rsid w:val="0052445C"/>
    <w:rsid w:val="00534604"/>
    <w:rsid w:val="00556EEF"/>
    <w:rsid w:val="005A1883"/>
    <w:rsid w:val="005B50C5"/>
    <w:rsid w:val="005B7506"/>
    <w:rsid w:val="005E664B"/>
    <w:rsid w:val="006420D0"/>
    <w:rsid w:val="00644878"/>
    <w:rsid w:val="0065242B"/>
    <w:rsid w:val="0066042B"/>
    <w:rsid w:val="0069488B"/>
    <w:rsid w:val="006A0A25"/>
    <w:rsid w:val="007010CE"/>
    <w:rsid w:val="00720741"/>
    <w:rsid w:val="00735246"/>
    <w:rsid w:val="00742A6A"/>
    <w:rsid w:val="007C6CF0"/>
    <w:rsid w:val="008163FE"/>
    <w:rsid w:val="008505DC"/>
    <w:rsid w:val="00852D5E"/>
    <w:rsid w:val="0087601B"/>
    <w:rsid w:val="008D63A5"/>
    <w:rsid w:val="00901FCD"/>
    <w:rsid w:val="00917AC4"/>
    <w:rsid w:val="009413E6"/>
    <w:rsid w:val="00950436"/>
    <w:rsid w:val="009534D5"/>
    <w:rsid w:val="009974D6"/>
    <w:rsid w:val="009C6500"/>
    <w:rsid w:val="009C6E1C"/>
    <w:rsid w:val="009D542A"/>
    <w:rsid w:val="009E6FA1"/>
    <w:rsid w:val="009F0D54"/>
    <w:rsid w:val="00A06456"/>
    <w:rsid w:val="00A22A36"/>
    <w:rsid w:val="00A36D46"/>
    <w:rsid w:val="00A409EF"/>
    <w:rsid w:val="00A82AD7"/>
    <w:rsid w:val="00AA0300"/>
    <w:rsid w:val="00AA17EE"/>
    <w:rsid w:val="00AB0A79"/>
    <w:rsid w:val="00AD1546"/>
    <w:rsid w:val="00B0032E"/>
    <w:rsid w:val="00B24691"/>
    <w:rsid w:val="00B246D9"/>
    <w:rsid w:val="00B62C16"/>
    <w:rsid w:val="00B637B4"/>
    <w:rsid w:val="00B65346"/>
    <w:rsid w:val="00BA441F"/>
    <w:rsid w:val="00BC534F"/>
    <w:rsid w:val="00BE13FD"/>
    <w:rsid w:val="00BE15C6"/>
    <w:rsid w:val="00C12333"/>
    <w:rsid w:val="00C1317A"/>
    <w:rsid w:val="00C40A73"/>
    <w:rsid w:val="00C95CB0"/>
    <w:rsid w:val="00CB0444"/>
    <w:rsid w:val="00CB6293"/>
    <w:rsid w:val="00CC1D2D"/>
    <w:rsid w:val="00CE09B4"/>
    <w:rsid w:val="00CF7DE8"/>
    <w:rsid w:val="00D04BC1"/>
    <w:rsid w:val="00D23257"/>
    <w:rsid w:val="00D8041E"/>
    <w:rsid w:val="00D8206B"/>
    <w:rsid w:val="00DC0E8F"/>
    <w:rsid w:val="00DD0367"/>
    <w:rsid w:val="00E27EA1"/>
    <w:rsid w:val="00E47029"/>
    <w:rsid w:val="00E764C0"/>
    <w:rsid w:val="00EA1829"/>
    <w:rsid w:val="00EA5552"/>
    <w:rsid w:val="00ED209C"/>
    <w:rsid w:val="00EE099A"/>
    <w:rsid w:val="00EE1E78"/>
    <w:rsid w:val="00F15D0E"/>
    <w:rsid w:val="00F22D3E"/>
    <w:rsid w:val="00F67BE9"/>
    <w:rsid w:val="00F736F5"/>
    <w:rsid w:val="00F800D9"/>
    <w:rsid w:val="00F80679"/>
    <w:rsid w:val="00F80A86"/>
    <w:rsid w:val="00F86CE0"/>
    <w:rsid w:val="00F96936"/>
    <w:rsid w:val="00FB5D2A"/>
    <w:rsid w:val="00FF6ED5"/>
    <w:rsid w:val="00FF7C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27E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C6E1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07B5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07B5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EE9"/>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7C6CF0"/>
    <w:rPr>
      <w:i/>
      <w:iCs/>
    </w:rPr>
  </w:style>
  <w:style w:type="paragraph" w:customStyle="1" w:styleId="ds-markdown-paragraph">
    <w:name w:val="ds-markdown-paragraph"/>
    <w:basedOn w:val="Normal"/>
    <w:rsid w:val="00E4702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F7C5D"/>
    <w:rPr>
      <w:color w:val="0000FF" w:themeColor="hyperlink"/>
      <w:u w:val="single"/>
    </w:rPr>
  </w:style>
  <w:style w:type="paragraph" w:styleId="ListParagraph">
    <w:name w:val="List Paragraph"/>
    <w:basedOn w:val="Normal"/>
    <w:uiPriority w:val="34"/>
    <w:qFormat/>
    <w:rsid w:val="00AB0A79"/>
    <w:pPr>
      <w:ind w:left="720"/>
      <w:contextualSpacing/>
    </w:pPr>
  </w:style>
  <w:style w:type="character" w:customStyle="1" w:styleId="Heading2Char">
    <w:name w:val="Heading 2 Char"/>
    <w:basedOn w:val="DefaultParagraphFont"/>
    <w:link w:val="Heading2"/>
    <w:uiPriority w:val="9"/>
    <w:semiHidden/>
    <w:rsid w:val="009C6E1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207B5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207B59"/>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A22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2A36"/>
    <w:rPr>
      <w:rFonts w:ascii="Tahoma" w:hAnsi="Tahoma" w:cs="Tahoma"/>
      <w:sz w:val="16"/>
      <w:szCs w:val="16"/>
    </w:rPr>
  </w:style>
  <w:style w:type="paragraph" w:styleId="Header">
    <w:name w:val="header"/>
    <w:basedOn w:val="Normal"/>
    <w:link w:val="HeaderChar"/>
    <w:uiPriority w:val="99"/>
    <w:unhideWhenUsed/>
    <w:rsid w:val="00F800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0D9"/>
  </w:style>
  <w:style w:type="paragraph" w:styleId="Footer">
    <w:name w:val="footer"/>
    <w:basedOn w:val="Normal"/>
    <w:link w:val="FooterChar"/>
    <w:uiPriority w:val="99"/>
    <w:unhideWhenUsed/>
    <w:rsid w:val="00F800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0D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27E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C6E1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07B5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07B5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EE9"/>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7C6CF0"/>
    <w:rPr>
      <w:i/>
      <w:iCs/>
    </w:rPr>
  </w:style>
  <w:style w:type="paragraph" w:customStyle="1" w:styleId="ds-markdown-paragraph">
    <w:name w:val="ds-markdown-paragraph"/>
    <w:basedOn w:val="Normal"/>
    <w:rsid w:val="00E4702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F7C5D"/>
    <w:rPr>
      <w:color w:val="0000FF" w:themeColor="hyperlink"/>
      <w:u w:val="single"/>
    </w:rPr>
  </w:style>
  <w:style w:type="paragraph" w:styleId="ListParagraph">
    <w:name w:val="List Paragraph"/>
    <w:basedOn w:val="Normal"/>
    <w:uiPriority w:val="34"/>
    <w:qFormat/>
    <w:rsid w:val="00AB0A79"/>
    <w:pPr>
      <w:ind w:left="720"/>
      <w:contextualSpacing/>
    </w:pPr>
  </w:style>
  <w:style w:type="character" w:customStyle="1" w:styleId="Heading2Char">
    <w:name w:val="Heading 2 Char"/>
    <w:basedOn w:val="DefaultParagraphFont"/>
    <w:link w:val="Heading2"/>
    <w:uiPriority w:val="9"/>
    <w:semiHidden/>
    <w:rsid w:val="009C6E1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207B5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207B59"/>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A22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2A36"/>
    <w:rPr>
      <w:rFonts w:ascii="Tahoma" w:hAnsi="Tahoma" w:cs="Tahoma"/>
      <w:sz w:val="16"/>
      <w:szCs w:val="16"/>
    </w:rPr>
  </w:style>
  <w:style w:type="paragraph" w:styleId="Header">
    <w:name w:val="header"/>
    <w:basedOn w:val="Normal"/>
    <w:link w:val="HeaderChar"/>
    <w:uiPriority w:val="99"/>
    <w:unhideWhenUsed/>
    <w:rsid w:val="00F800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0D9"/>
  </w:style>
  <w:style w:type="paragraph" w:styleId="Footer">
    <w:name w:val="footer"/>
    <w:basedOn w:val="Normal"/>
    <w:link w:val="FooterChar"/>
    <w:uiPriority w:val="99"/>
    <w:unhideWhenUsed/>
    <w:rsid w:val="00F800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3616723">
      <w:bodyDiv w:val="1"/>
      <w:marLeft w:val="0"/>
      <w:marRight w:val="0"/>
      <w:marTop w:val="0"/>
      <w:marBottom w:val="0"/>
      <w:divBdr>
        <w:top w:val="none" w:sz="0" w:space="0" w:color="auto"/>
        <w:left w:val="none" w:sz="0" w:space="0" w:color="auto"/>
        <w:bottom w:val="none" w:sz="0" w:space="0" w:color="auto"/>
        <w:right w:val="none" w:sz="0" w:space="0" w:color="auto"/>
      </w:divBdr>
    </w:div>
    <w:div w:id="234315839">
      <w:bodyDiv w:val="1"/>
      <w:marLeft w:val="0"/>
      <w:marRight w:val="0"/>
      <w:marTop w:val="0"/>
      <w:marBottom w:val="0"/>
      <w:divBdr>
        <w:top w:val="none" w:sz="0" w:space="0" w:color="auto"/>
        <w:left w:val="none" w:sz="0" w:space="0" w:color="auto"/>
        <w:bottom w:val="none" w:sz="0" w:space="0" w:color="auto"/>
        <w:right w:val="none" w:sz="0" w:space="0" w:color="auto"/>
      </w:divBdr>
    </w:div>
    <w:div w:id="291862664">
      <w:bodyDiv w:val="1"/>
      <w:marLeft w:val="0"/>
      <w:marRight w:val="0"/>
      <w:marTop w:val="0"/>
      <w:marBottom w:val="0"/>
      <w:divBdr>
        <w:top w:val="none" w:sz="0" w:space="0" w:color="auto"/>
        <w:left w:val="none" w:sz="0" w:space="0" w:color="auto"/>
        <w:bottom w:val="none" w:sz="0" w:space="0" w:color="auto"/>
        <w:right w:val="none" w:sz="0" w:space="0" w:color="auto"/>
      </w:divBdr>
    </w:div>
    <w:div w:id="292373321">
      <w:bodyDiv w:val="1"/>
      <w:marLeft w:val="0"/>
      <w:marRight w:val="0"/>
      <w:marTop w:val="0"/>
      <w:marBottom w:val="0"/>
      <w:divBdr>
        <w:top w:val="none" w:sz="0" w:space="0" w:color="auto"/>
        <w:left w:val="none" w:sz="0" w:space="0" w:color="auto"/>
        <w:bottom w:val="none" w:sz="0" w:space="0" w:color="auto"/>
        <w:right w:val="none" w:sz="0" w:space="0" w:color="auto"/>
      </w:divBdr>
    </w:div>
    <w:div w:id="449013623">
      <w:bodyDiv w:val="1"/>
      <w:marLeft w:val="0"/>
      <w:marRight w:val="0"/>
      <w:marTop w:val="0"/>
      <w:marBottom w:val="0"/>
      <w:divBdr>
        <w:top w:val="none" w:sz="0" w:space="0" w:color="auto"/>
        <w:left w:val="none" w:sz="0" w:space="0" w:color="auto"/>
        <w:bottom w:val="none" w:sz="0" w:space="0" w:color="auto"/>
        <w:right w:val="none" w:sz="0" w:space="0" w:color="auto"/>
      </w:divBdr>
    </w:div>
    <w:div w:id="484246832">
      <w:bodyDiv w:val="1"/>
      <w:marLeft w:val="0"/>
      <w:marRight w:val="0"/>
      <w:marTop w:val="0"/>
      <w:marBottom w:val="0"/>
      <w:divBdr>
        <w:top w:val="none" w:sz="0" w:space="0" w:color="auto"/>
        <w:left w:val="none" w:sz="0" w:space="0" w:color="auto"/>
        <w:bottom w:val="none" w:sz="0" w:space="0" w:color="auto"/>
        <w:right w:val="none" w:sz="0" w:space="0" w:color="auto"/>
      </w:divBdr>
    </w:div>
    <w:div w:id="552693900">
      <w:bodyDiv w:val="1"/>
      <w:marLeft w:val="0"/>
      <w:marRight w:val="0"/>
      <w:marTop w:val="0"/>
      <w:marBottom w:val="0"/>
      <w:divBdr>
        <w:top w:val="none" w:sz="0" w:space="0" w:color="auto"/>
        <w:left w:val="none" w:sz="0" w:space="0" w:color="auto"/>
        <w:bottom w:val="none" w:sz="0" w:space="0" w:color="auto"/>
        <w:right w:val="none" w:sz="0" w:space="0" w:color="auto"/>
      </w:divBdr>
    </w:div>
    <w:div w:id="687416603">
      <w:bodyDiv w:val="1"/>
      <w:marLeft w:val="0"/>
      <w:marRight w:val="0"/>
      <w:marTop w:val="0"/>
      <w:marBottom w:val="0"/>
      <w:divBdr>
        <w:top w:val="none" w:sz="0" w:space="0" w:color="auto"/>
        <w:left w:val="none" w:sz="0" w:space="0" w:color="auto"/>
        <w:bottom w:val="none" w:sz="0" w:space="0" w:color="auto"/>
        <w:right w:val="none" w:sz="0" w:space="0" w:color="auto"/>
      </w:divBdr>
    </w:div>
    <w:div w:id="818687713">
      <w:bodyDiv w:val="1"/>
      <w:marLeft w:val="0"/>
      <w:marRight w:val="0"/>
      <w:marTop w:val="0"/>
      <w:marBottom w:val="0"/>
      <w:divBdr>
        <w:top w:val="none" w:sz="0" w:space="0" w:color="auto"/>
        <w:left w:val="none" w:sz="0" w:space="0" w:color="auto"/>
        <w:bottom w:val="none" w:sz="0" w:space="0" w:color="auto"/>
        <w:right w:val="none" w:sz="0" w:space="0" w:color="auto"/>
      </w:divBdr>
    </w:div>
    <w:div w:id="961226143">
      <w:bodyDiv w:val="1"/>
      <w:marLeft w:val="0"/>
      <w:marRight w:val="0"/>
      <w:marTop w:val="0"/>
      <w:marBottom w:val="0"/>
      <w:divBdr>
        <w:top w:val="none" w:sz="0" w:space="0" w:color="auto"/>
        <w:left w:val="none" w:sz="0" w:space="0" w:color="auto"/>
        <w:bottom w:val="none" w:sz="0" w:space="0" w:color="auto"/>
        <w:right w:val="none" w:sz="0" w:space="0" w:color="auto"/>
      </w:divBdr>
    </w:div>
    <w:div w:id="1002469966">
      <w:bodyDiv w:val="1"/>
      <w:marLeft w:val="0"/>
      <w:marRight w:val="0"/>
      <w:marTop w:val="0"/>
      <w:marBottom w:val="0"/>
      <w:divBdr>
        <w:top w:val="none" w:sz="0" w:space="0" w:color="auto"/>
        <w:left w:val="none" w:sz="0" w:space="0" w:color="auto"/>
        <w:bottom w:val="none" w:sz="0" w:space="0" w:color="auto"/>
        <w:right w:val="none" w:sz="0" w:space="0" w:color="auto"/>
      </w:divBdr>
    </w:div>
    <w:div w:id="1102843558">
      <w:bodyDiv w:val="1"/>
      <w:marLeft w:val="0"/>
      <w:marRight w:val="0"/>
      <w:marTop w:val="0"/>
      <w:marBottom w:val="0"/>
      <w:divBdr>
        <w:top w:val="none" w:sz="0" w:space="0" w:color="auto"/>
        <w:left w:val="none" w:sz="0" w:space="0" w:color="auto"/>
        <w:bottom w:val="none" w:sz="0" w:space="0" w:color="auto"/>
        <w:right w:val="none" w:sz="0" w:space="0" w:color="auto"/>
      </w:divBdr>
    </w:div>
    <w:div w:id="1176110535">
      <w:bodyDiv w:val="1"/>
      <w:marLeft w:val="0"/>
      <w:marRight w:val="0"/>
      <w:marTop w:val="0"/>
      <w:marBottom w:val="0"/>
      <w:divBdr>
        <w:top w:val="none" w:sz="0" w:space="0" w:color="auto"/>
        <w:left w:val="none" w:sz="0" w:space="0" w:color="auto"/>
        <w:bottom w:val="none" w:sz="0" w:space="0" w:color="auto"/>
        <w:right w:val="none" w:sz="0" w:space="0" w:color="auto"/>
      </w:divBdr>
    </w:div>
    <w:div w:id="1277640640">
      <w:bodyDiv w:val="1"/>
      <w:marLeft w:val="0"/>
      <w:marRight w:val="0"/>
      <w:marTop w:val="0"/>
      <w:marBottom w:val="0"/>
      <w:divBdr>
        <w:top w:val="none" w:sz="0" w:space="0" w:color="auto"/>
        <w:left w:val="none" w:sz="0" w:space="0" w:color="auto"/>
        <w:bottom w:val="none" w:sz="0" w:space="0" w:color="auto"/>
        <w:right w:val="none" w:sz="0" w:space="0" w:color="auto"/>
      </w:divBdr>
    </w:div>
    <w:div w:id="1439526883">
      <w:bodyDiv w:val="1"/>
      <w:marLeft w:val="0"/>
      <w:marRight w:val="0"/>
      <w:marTop w:val="0"/>
      <w:marBottom w:val="0"/>
      <w:divBdr>
        <w:top w:val="none" w:sz="0" w:space="0" w:color="auto"/>
        <w:left w:val="none" w:sz="0" w:space="0" w:color="auto"/>
        <w:bottom w:val="none" w:sz="0" w:space="0" w:color="auto"/>
        <w:right w:val="none" w:sz="0" w:space="0" w:color="auto"/>
      </w:divBdr>
    </w:div>
    <w:div w:id="1463687890">
      <w:bodyDiv w:val="1"/>
      <w:marLeft w:val="0"/>
      <w:marRight w:val="0"/>
      <w:marTop w:val="0"/>
      <w:marBottom w:val="0"/>
      <w:divBdr>
        <w:top w:val="none" w:sz="0" w:space="0" w:color="auto"/>
        <w:left w:val="none" w:sz="0" w:space="0" w:color="auto"/>
        <w:bottom w:val="none" w:sz="0" w:space="0" w:color="auto"/>
        <w:right w:val="none" w:sz="0" w:space="0" w:color="auto"/>
      </w:divBdr>
    </w:div>
    <w:div w:id="1553925986">
      <w:bodyDiv w:val="1"/>
      <w:marLeft w:val="0"/>
      <w:marRight w:val="0"/>
      <w:marTop w:val="0"/>
      <w:marBottom w:val="0"/>
      <w:divBdr>
        <w:top w:val="none" w:sz="0" w:space="0" w:color="auto"/>
        <w:left w:val="none" w:sz="0" w:space="0" w:color="auto"/>
        <w:bottom w:val="none" w:sz="0" w:space="0" w:color="auto"/>
        <w:right w:val="none" w:sz="0" w:space="0" w:color="auto"/>
      </w:divBdr>
    </w:div>
    <w:div w:id="1594316767">
      <w:bodyDiv w:val="1"/>
      <w:marLeft w:val="0"/>
      <w:marRight w:val="0"/>
      <w:marTop w:val="0"/>
      <w:marBottom w:val="0"/>
      <w:divBdr>
        <w:top w:val="none" w:sz="0" w:space="0" w:color="auto"/>
        <w:left w:val="none" w:sz="0" w:space="0" w:color="auto"/>
        <w:bottom w:val="none" w:sz="0" w:space="0" w:color="auto"/>
        <w:right w:val="none" w:sz="0" w:space="0" w:color="auto"/>
      </w:divBdr>
    </w:div>
    <w:div w:id="1635328651">
      <w:bodyDiv w:val="1"/>
      <w:marLeft w:val="0"/>
      <w:marRight w:val="0"/>
      <w:marTop w:val="0"/>
      <w:marBottom w:val="0"/>
      <w:divBdr>
        <w:top w:val="none" w:sz="0" w:space="0" w:color="auto"/>
        <w:left w:val="none" w:sz="0" w:space="0" w:color="auto"/>
        <w:bottom w:val="none" w:sz="0" w:space="0" w:color="auto"/>
        <w:right w:val="none" w:sz="0" w:space="0" w:color="auto"/>
      </w:divBdr>
    </w:div>
    <w:div w:id="1703357971">
      <w:bodyDiv w:val="1"/>
      <w:marLeft w:val="0"/>
      <w:marRight w:val="0"/>
      <w:marTop w:val="0"/>
      <w:marBottom w:val="0"/>
      <w:divBdr>
        <w:top w:val="none" w:sz="0" w:space="0" w:color="auto"/>
        <w:left w:val="none" w:sz="0" w:space="0" w:color="auto"/>
        <w:bottom w:val="none" w:sz="0" w:space="0" w:color="auto"/>
        <w:right w:val="none" w:sz="0" w:space="0" w:color="auto"/>
      </w:divBdr>
    </w:div>
    <w:div w:id="1717969093">
      <w:bodyDiv w:val="1"/>
      <w:marLeft w:val="0"/>
      <w:marRight w:val="0"/>
      <w:marTop w:val="0"/>
      <w:marBottom w:val="0"/>
      <w:divBdr>
        <w:top w:val="none" w:sz="0" w:space="0" w:color="auto"/>
        <w:left w:val="none" w:sz="0" w:space="0" w:color="auto"/>
        <w:bottom w:val="none" w:sz="0" w:space="0" w:color="auto"/>
        <w:right w:val="none" w:sz="0" w:space="0" w:color="auto"/>
      </w:divBdr>
    </w:div>
    <w:div w:id="1865821442">
      <w:bodyDiv w:val="1"/>
      <w:marLeft w:val="0"/>
      <w:marRight w:val="0"/>
      <w:marTop w:val="0"/>
      <w:marBottom w:val="0"/>
      <w:divBdr>
        <w:top w:val="none" w:sz="0" w:space="0" w:color="auto"/>
        <w:left w:val="none" w:sz="0" w:space="0" w:color="auto"/>
        <w:bottom w:val="none" w:sz="0" w:space="0" w:color="auto"/>
        <w:right w:val="none" w:sz="0" w:space="0" w:color="auto"/>
      </w:divBdr>
    </w:div>
    <w:div w:id="1871719366">
      <w:bodyDiv w:val="1"/>
      <w:marLeft w:val="0"/>
      <w:marRight w:val="0"/>
      <w:marTop w:val="0"/>
      <w:marBottom w:val="0"/>
      <w:divBdr>
        <w:top w:val="none" w:sz="0" w:space="0" w:color="auto"/>
        <w:left w:val="none" w:sz="0" w:space="0" w:color="auto"/>
        <w:bottom w:val="none" w:sz="0" w:space="0" w:color="auto"/>
        <w:right w:val="none" w:sz="0" w:space="0" w:color="auto"/>
      </w:divBdr>
    </w:div>
    <w:div w:id="1885827270">
      <w:bodyDiv w:val="1"/>
      <w:marLeft w:val="0"/>
      <w:marRight w:val="0"/>
      <w:marTop w:val="0"/>
      <w:marBottom w:val="0"/>
      <w:divBdr>
        <w:top w:val="none" w:sz="0" w:space="0" w:color="auto"/>
        <w:left w:val="none" w:sz="0" w:space="0" w:color="auto"/>
        <w:bottom w:val="none" w:sz="0" w:space="0" w:color="auto"/>
        <w:right w:val="none" w:sz="0" w:space="0" w:color="auto"/>
      </w:divBdr>
    </w:div>
    <w:div w:id="1893999768">
      <w:bodyDiv w:val="1"/>
      <w:marLeft w:val="0"/>
      <w:marRight w:val="0"/>
      <w:marTop w:val="0"/>
      <w:marBottom w:val="0"/>
      <w:divBdr>
        <w:top w:val="none" w:sz="0" w:space="0" w:color="auto"/>
        <w:left w:val="none" w:sz="0" w:space="0" w:color="auto"/>
        <w:bottom w:val="none" w:sz="0" w:space="0" w:color="auto"/>
        <w:right w:val="none" w:sz="0" w:space="0" w:color="auto"/>
      </w:divBdr>
    </w:div>
    <w:div w:id="2028674833">
      <w:bodyDiv w:val="1"/>
      <w:marLeft w:val="0"/>
      <w:marRight w:val="0"/>
      <w:marTop w:val="0"/>
      <w:marBottom w:val="0"/>
      <w:divBdr>
        <w:top w:val="none" w:sz="0" w:space="0" w:color="auto"/>
        <w:left w:val="none" w:sz="0" w:space="0" w:color="auto"/>
        <w:bottom w:val="none" w:sz="0" w:space="0" w:color="auto"/>
        <w:right w:val="none" w:sz="0" w:space="0" w:color="auto"/>
      </w:divBdr>
    </w:div>
    <w:div w:id="2087652491">
      <w:bodyDiv w:val="1"/>
      <w:marLeft w:val="0"/>
      <w:marRight w:val="0"/>
      <w:marTop w:val="0"/>
      <w:marBottom w:val="0"/>
      <w:divBdr>
        <w:top w:val="none" w:sz="0" w:space="0" w:color="auto"/>
        <w:left w:val="none" w:sz="0" w:space="0" w:color="auto"/>
        <w:bottom w:val="none" w:sz="0" w:space="0" w:color="auto"/>
        <w:right w:val="none" w:sz="0" w:space="0" w:color="auto"/>
      </w:divBdr>
      <w:divsChild>
        <w:div w:id="428082807">
          <w:marLeft w:val="0"/>
          <w:marRight w:val="0"/>
          <w:marTop w:val="0"/>
          <w:marBottom w:val="0"/>
          <w:divBdr>
            <w:top w:val="none" w:sz="0" w:space="0" w:color="auto"/>
            <w:left w:val="none" w:sz="0" w:space="0" w:color="auto"/>
            <w:bottom w:val="none" w:sz="0" w:space="0" w:color="auto"/>
            <w:right w:val="none" w:sz="0" w:space="0" w:color="auto"/>
          </w:divBdr>
          <w:divsChild>
            <w:div w:id="780615171">
              <w:marLeft w:val="0"/>
              <w:marRight w:val="0"/>
              <w:marTop w:val="0"/>
              <w:marBottom w:val="0"/>
              <w:divBdr>
                <w:top w:val="none" w:sz="0" w:space="0" w:color="auto"/>
                <w:left w:val="none" w:sz="0" w:space="0" w:color="auto"/>
                <w:bottom w:val="none" w:sz="0" w:space="0" w:color="auto"/>
                <w:right w:val="none" w:sz="0" w:space="0" w:color="auto"/>
              </w:divBdr>
              <w:divsChild>
                <w:div w:id="135492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delity.co.uk/"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dn.ihsmarkit.com/" TargetMode="External"/><Relationship Id="rId4" Type="http://schemas.openxmlformats.org/officeDocument/2006/relationships/settings" Target="settings.xml"/><Relationship Id="rId9" Type="http://schemas.openxmlformats.org/officeDocument/2006/relationships/hyperlink" Target="https://www.rsmu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1144</TotalTime>
  <Pages>13</Pages>
  <Words>5722</Words>
  <Characters>32617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173</cp:revision>
  <dcterms:created xsi:type="dcterms:W3CDTF">2026-05-19T10:03:00Z</dcterms:created>
  <dcterms:modified xsi:type="dcterms:W3CDTF">2026-07-11T06:43:00Z</dcterms:modified>
</cp:coreProperties>
</file>