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4BE4" w:rsidRPr="00B24BE4" w:rsidRDefault="00B24BE4" w:rsidP="00B24BE4">
      <w:pPr>
        <w:pStyle w:val="paragraph"/>
        <w:spacing w:before="0" w:beforeAutospacing="0" w:after="0" w:afterAutospacing="0"/>
        <w:jc w:val="center"/>
        <w:textAlignment w:val="baseline"/>
        <w:rPr>
          <w:rFonts w:ascii="Segoe UI" w:hAnsi="Segoe UI" w:cs="Segoe UI"/>
          <w:sz w:val="10"/>
          <w:szCs w:val="18"/>
        </w:rPr>
      </w:pPr>
      <w:r w:rsidRPr="00B24BE4">
        <w:rPr>
          <w:rStyle w:val="normaltextrun"/>
          <w:rFonts w:ascii="Aptos" w:hAnsi="Aptos" w:cs="Segoe UI"/>
          <w:sz w:val="46"/>
          <w:szCs w:val="96"/>
          <w:lang w:val="en-US"/>
        </w:rPr>
        <w:t>Summiyah kousar</w:t>
      </w:r>
      <w:r w:rsidRPr="00B24BE4">
        <w:rPr>
          <w:rStyle w:val="eop"/>
          <w:rFonts w:ascii="Aptos" w:hAnsi="Aptos" w:cs="Segoe UI"/>
          <w:sz w:val="46"/>
          <w:szCs w:val="96"/>
        </w:rPr>
        <w:t> </w:t>
      </w:r>
    </w:p>
    <w:p w:rsidR="00B24BE4" w:rsidRPr="00B24BE4" w:rsidRDefault="00B24BE4" w:rsidP="00B24BE4">
      <w:pPr>
        <w:pStyle w:val="paragraph"/>
        <w:spacing w:before="0" w:beforeAutospacing="0" w:after="0" w:afterAutospacing="0"/>
        <w:jc w:val="center"/>
        <w:textAlignment w:val="baseline"/>
        <w:rPr>
          <w:rFonts w:ascii="Segoe UI" w:hAnsi="Segoe UI" w:cs="Segoe UI"/>
          <w:sz w:val="10"/>
          <w:szCs w:val="18"/>
        </w:rPr>
      </w:pPr>
      <w:r w:rsidRPr="00B24BE4">
        <w:rPr>
          <w:rStyle w:val="normaltextrun"/>
          <w:rFonts w:ascii="Aptos" w:hAnsi="Aptos" w:cs="Segoe UI"/>
          <w:sz w:val="46"/>
          <w:szCs w:val="96"/>
          <w:lang w:val="en-US"/>
        </w:rPr>
        <w:t>2330601</w:t>
      </w:r>
      <w:r w:rsidRPr="00B24BE4">
        <w:rPr>
          <w:rStyle w:val="eop"/>
          <w:rFonts w:ascii="Aptos" w:hAnsi="Aptos" w:cs="Segoe UI"/>
          <w:sz w:val="46"/>
          <w:szCs w:val="96"/>
        </w:rPr>
        <w:t> </w:t>
      </w:r>
    </w:p>
    <w:p w:rsidR="00B24BE4" w:rsidRPr="00B24BE4" w:rsidRDefault="00B24BE4" w:rsidP="00B24BE4">
      <w:pPr>
        <w:pStyle w:val="paragraph"/>
        <w:spacing w:before="0" w:beforeAutospacing="0" w:after="0" w:afterAutospacing="0"/>
        <w:jc w:val="center"/>
        <w:textAlignment w:val="baseline"/>
        <w:rPr>
          <w:rFonts w:ascii="Segoe UI" w:hAnsi="Segoe UI" w:cs="Segoe UI"/>
          <w:sz w:val="10"/>
          <w:szCs w:val="18"/>
        </w:rPr>
      </w:pPr>
      <w:r w:rsidRPr="00B24BE4">
        <w:rPr>
          <w:rStyle w:val="normaltextrun"/>
          <w:rFonts w:ascii="Aptos" w:hAnsi="Aptos" w:cs="Segoe UI"/>
          <w:sz w:val="46"/>
          <w:szCs w:val="96"/>
          <w:lang w:val="en-US"/>
        </w:rPr>
        <w:t>BMHP5023</w:t>
      </w:r>
      <w:r w:rsidRPr="00B24BE4">
        <w:rPr>
          <w:rStyle w:val="eop"/>
          <w:rFonts w:ascii="Aptos" w:hAnsi="Aptos" w:cs="Segoe UI"/>
          <w:sz w:val="46"/>
          <w:szCs w:val="96"/>
        </w:rPr>
        <w:t> </w:t>
      </w:r>
    </w:p>
    <w:p w:rsidR="00B24BE4" w:rsidRPr="00B24BE4" w:rsidRDefault="00B24BE4" w:rsidP="00B24BE4">
      <w:pPr>
        <w:pStyle w:val="paragraph"/>
        <w:spacing w:before="0" w:beforeAutospacing="0" w:after="0" w:afterAutospacing="0"/>
        <w:jc w:val="center"/>
        <w:textAlignment w:val="baseline"/>
        <w:rPr>
          <w:rFonts w:ascii="Segoe UI" w:hAnsi="Segoe UI" w:cs="Segoe UI"/>
          <w:sz w:val="10"/>
          <w:szCs w:val="18"/>
        </w:rPr>
      </w:pPr>
      <w:r w:rsidRPr="00B24BE4">
        <w:rPr>
          <w:rStyle w:val="normaltextrun"/>
          <w:rFonts w:ascii="Aptos" w:hAnsi="Aptos" w:cs="Segoe UI"/>
          <w:sz w:val="46"/>
          <w:szCs w:val="96"/>
          <w:lang w:val="en-US"/>
        </w:rPr>
        <w:t>CASE STUDY</w:t>
      </w:r>
      <w:r>
        <w:rPr>
          <w:rStyle w:val="normaltextrun"/>
          <w:rFonts w:ascii="Aptos" w:hAnsi="Aptos" w:cs="Segoe UI"/>
          <w:sz w:val="46"/>
          <w:szCs w:val="96"/>
          <w:lang w:val="en-US"/>
        </w:rPr>
        <w:t xml:space="preserve"> </w:t>
      </w:r>
      <w:proofErr w:type="gramStart"/>
      <w:r>
        <w:rPr>
          <w:rStyle w:val="normaltextrun"/>
          <w:rFonts w:ascii="Aptos" w:hAnsi="Aptos" w:cs="Segoe UI"/>
          <w:sz w:val="46"/>
          <w:szCs w:val="96"/>
          <w:lang w:val="en-US"/>
        </w:rPr>
        <w:t xml:space="preserve">1 </w:t>
      </w:r>
      <w:r w:rsidRPr="00B24BE4">
        <w:rPr>
          <w:rStyle w:val="normaltextrun"/>
          <w:rFonts w:ascii="Aptos" w:hAnsi="Aptos" w:cs="Segoe UI"/>
          <w:sz w:val="46"/>
          <w:szCs w:val="96"/>
          <w:lang w:val="en-US"/>
        </w:rPr>
        <w:t> REPORT</w:t>
      </w:r>
      <w:proofErr w:type="gramEnd"/>
      <w:r w:rsidRPr="00B24BE4">
        <w:rPr>
          <w:rStyle w:val="normaltextrun"/>
          <w:rFonts w:ascii="Aptos" w:hAnsi="Aptos" w:cs="Segoe UI"/>
          <w:sz w:val="46"/>
          <w:szCs w:val="96"/>
          <w:lang w:val="en-US"/>
        </w:rPr>
        <w:t xml:space="preserve"> :</w:t>
      </w:r>
      <w:r w:rsidRPr="00B24BE4">
        <w:rPr>
          <w:rStyle w:val="eop"/>
          <w:rFonts w:ascii="Aptos" w:hAnsi="Aptos" w:cs="Segoe UI"/>
          <w:sz w:val="46"/>
          <w:szCs w:val="96"/>
        </w:rPr>
        <w:t> </w:t>
      </w:r>
    </w:p>
    <w:p w:rsidR="00B24BE4" w:rsidRDefault="00B24BE4" w:rsidP="00B24BE4">
      <w:pPr>
        <w:pStyle w:val="paragraph"/>
        <w:spacing w:before="0" w:beforeAutospacing="0" w:after="0" w:afterAutospacing="0"/>
        <w:jc w:val="center"/>
        <w:textAlignment w:val="baseline"/>
        <w:rPr>
          <w:rStyle w:val="eop"/>
          <w:rFonts w:ascii="Aptos" w:hAnsi="Aptos" w:cs="Segoe UI"/>
          <w:sz w:val="16"/>
          <w:szCs w:val="56"/>
        </w:rPr>
      </w:pPr>
      <w:r w:rsidRPr="00B24BE4">
        <w:rPr>
          <w:rStyle w:val="normaltextrun"/>
          <w:rFonts w:ascii="Aptos" w:hAnsi="Aptos" w:cs="Segoe UI"/>
          <w:sz w:val="46"/>
          <w:szCs w:val="96"/>
          <w:lang w:val="en-US"/>
        </w:rPr>
        <w:t>TYPE </w:t>
      </w:r>
      <w:proofErr w:type="gramStart"/>
      <w:r w:rsidRPr="00B24BE4">
        <w:rPr>
          <w:rStyle w:val="normaltextrun"/>
          <w:rFonts w:ascii="Aptos" w:hAnsi="Aptos" w:cs="Segoe UI"/>
          <w:sz w:val="46"/>
          <w:szCs w:val="96"/>
          <w:lang w:val="en-US"/>
        </w:rPr>
        <w:t>2 DIABETES</w:t>
      </w:r>
      <w:proofErr w:type="gramEnd"/>
      <w:r w:rsidRPr="00B24BE4">
        <w:rPr>
          <w:rStyle w:val="normaltextrun"/>
          <w:rFonts w:ascii="Aptos" w:hAnsi="Aptos" w:cs="Segoe UI"/>
          <w:sz w:val="16"/>
          <w:szCs w:val="56"/>
          <w:lang w:val="en-US"/>
        </w:rPr>
        <w:t> </w:t>
      </w:r>
      <w:r w:rsidRPr="00B24BE4">
        <w:rPr>
          <w:rStyle w:val="eop"/>
          <w:rFonts w:ascii="Aptos" w:hAnsi="Aptos" w:cs="Segoe UI"/>
          <w:sz w:val="16"/>
          <w:szCs w:val="56"/>
        </w:rPr>
        <w:t> </w:t>
      </w:r>
    </w:p>
    <w:p w:rsidR="00B24BE4" w:rsidRDefault="00B24BE4" w:rsidP="00B24BE4">
      <w:pPr>
        <w:pStyle w:val="paragraph"/>
        <w:spacing w:before="0" w:beforeAutospacing="0" w:after="0" w:afterAutospacing="0"/>
        <w:textAlignment w:val="baseline"/>
        <w:rPr>
          <w:rStyle w:val="eop"/>
          <w:rFonts w:ascii="Aptos" w:hAnsi="Aptos" w:cs="Segoe UI"/>
          <w:sz w:val="16"/>
          <w:szCs w:val="56"/>
        </w:rPr>
      </w:pPr>
    </w:p>
    <w:p w:rsidR="00B24BE4" w:rsidRDefault="00B24BE4" w:rsidP="00B24BE4">
      <w:pPr>
        <w:pStyle w:val="paragraph"/>
        <w:spacing w:before="0" w:beforeAutospacing="0" w:after="0" w:afterAutospacing="0"/>
        <w:textAlignment w:val="baseline"/>
        <w:rPr>
          <w:rStyle w:val="eop"/>
          <w:rFonts w:ascii="Aptos" w:hAnsi="Aptos" w:cs="Segoe UI"/>
          <w:sz w:val="16"/>
          <w:szCs w:val="56"/>
        </w:rPr>
      </w:pPr>
    </w:p>
    <w:p w:rsidR="00B24BE4" w:rsidRDefault="00B24BE4" w:rsidP="00B24BE4">
      <w:pPr>
        <w:pStyle w:val="paragraph"/>
        <w:spacing w:before="0" w:beforeAutospacing="0" w:after="0" w:afterAutospacing="0"/>
        <w:textAlignment w:val="baseline"/>
        <w:rPr>
          <w:rStyle w:val="eop"/>
          <w:rFonts w:ascii="Aptos" w:hAnsi="Aptos" w:cs="Segoe UI"/>
          <w:sz w:val="16"/>
          <w:szCs w:val="56"/>
        </w:rPr>
      </w:pPr>
    </w:p>
    <w:p w:rsidR="00B24BE4" w:rsidRDefault="00B24BE4" w:rsidP="00B24BE4">
      <w:pPr>
        <w:pStyle w:val="paragraph"/>
        <w:spacing w:before="0" w:beforeAutospacing="0" w:after="0" w:afterAutospacing="0"/>
        <w:jc w:val="both"/>
        <w:textAlignment w:val="baseline"/>
        <w:rPr>
          <w:rFonts w:ascii="Segoe UI" w:hAnsi="Segoe UI" w:cs="Segoe UI"/>
          <w:sz w:val="18"/>
          <w:szCs w:val="18"/>
        </w:rPr>
      </w:pPr>
      <w:r>
        <w:rPr>
          <w:rStyle w:val="normaltextrun"/>
          <w:rFonts w:ascii="Aptos" w:hAnsi="Aptos" w:cs="Segoe UI"/>
          <w:sz w:val="56"/>
          <w:szCs w:val="56"/>
          <w:u w:val="single"/>
          <w:lang w:val="en-US"/>
        </w:rPr>
        <w:t>Contents page</w:t>
      </w:r>
      <w:r>
        <w:rPr>
          <w:rStyle w:val="eop"/>
          <w:rFonts w:ascii="Aptos" w:hAnsi="Aptos" w:cs="Segoe UI"/>
          <w:sz w:val="56"/>
          <w:szCs w:val="56"/>
        </w:rPr>
        <w:t> </w:t>
      </w:r>
    </w:p>
    <w:p w:rsidR="00B24BE4" w:rsidRDefault="00B24BE4" w:rsidP="00B24BE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56"/>
          <w:szCs w:val="56"/>
          <w:lang w:val="en-US"/>
        </w:rPr>
        <w:t>Page 1-title page </w:t>
      </w:r>
      <w:r>
        <w:rPr>
          <w:rStyle w:val="eop"/>
          <w:rFonts w:ascii="Aptos" w:hAnsi="Aptos" w:cs="Segoe UI"/>
          <w:sz w:val="56"/>
          <w:szCs w:val="56"/>
        </w:rPr>
        <w:t> </w:t>
      </w:r>
    </w:p>
    <w:p w:rsidR="00B24BE4" w:rsidRDefault="00B24BE4" w:rsidP="00B24BE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56"/>
          <w:szCs w:val="56"/>
          <w:lang w:val="en-US"/>
        </w:rPr>
        <w:t>Page 2-introduction</w:t>
      </w:r>
      <w:r>
        <w:rPr>
          <w:rStyle w:val="eop"/>
          <w:rFonts w:ascii="Aptos" w:hAnsi="Aptos" w:cs="Segoe UI"/>
          <w:sz w:val="56"/>
          <w:szCs w:val="56"/>
        </w:rPr>
        <w:t> </w:t>
      </w:r>
    </w:p>
    <w:p w:rsidR="00B24BE4" w:rsidRDefault="00B24BE4" w:rsidP="00B24BE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56"/>
          <w:szCs w:val="56"/>
          <w:lang w:val="en-US"/>
        </w:rPr>
        <w:t>Page 3-section 1 anatomy &amp;physiology</w:t>
      </w:r>
      <w:r>
        <w:rPr>
          <w:rStyle w:val="eop"/>
          <w:rFonts w:ascii="Aptos" w:hAnsi="Aptos" w:cs="Segoe UI"/>
          <w:sz w:val="56"/>
          <w:szCs w:val="56"/>
        </w:rPr>
        <w:t> </w:t>
      </w:r>
    </w:p>
    <w:p w:rsidR="00B24BE4" w:rsidRDefault="00B24BE4" w:rsidP="00B24BE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56"/>
          <w:szCs w:val="56"/>
          <w:lang w:val="en-US"/>
        </w:rPr>
        <w:t>Page 4-section 2 pathophysiology</w:t>
      </w:r>
      <w:r>
        <w:rPr>
          <w:rStyle w:val="eop"/>
          <w:rFonts w:ascii="Aptos" w:hAnsi="Aptos" w:cs="Segoe UI"/>
          <w:sz w:val="56"/>
          <w:szCs w:val="56"/>
        </w:rPr>
        <w:t> </w:t>
      </w:r>
    </w:p>
    <w:p w:rsidR="00B24BE4" w:rsidRDefault="00B24BE4" w:rsidP="00B24BE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56"/>
          <w:szCs w:val="56"/>
          <w:lang w:val="en-US"/>
        </w:rPr>
        <w:t>Page 5-section 3 monitoring &amp;data use Page 6-section 4 evidence-based lifestyle recommendations </w:t>
      </w:r>
      <w:r>
        <w:rPr>
          <w:rStyle w:val="eop"/>
          <w:rFonts w:ascii="Aptos" w:hAnsi="Aptos" w:cs="Segoe UI"/>
          <w:sz w:val="56"/>
          <w:szCs w:val="56"/>
        </w:rPr>
        <w:t> </w:t>
      </w:r>
    </w:p>
    <w:p w:rsidR="00B24BE4" w:rsidRDefault="00B24BE4" w:rsidP="00B24BE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56"/>
          <w:szCs w:val="56"/>
          <w:lang w:val="en-US"/>
        </w:rPr>
        <w:t>Page 7-conclusion </w:t>
      </w:r>
      <w:r>
        <w:rPr>
          <w:rStyle w:val="eop"/>
          <w:rFonts w:ascii="Aptos" w:hAnsi="Aptos" w:cs="Segoe UI"/>
          <w:sz w:val="56"/>
          <w:szCs w:val="56"/>
        </w:rPr>
        <w:t> </w:t>
      </w:r>
    </w:p>
    <w:p w:rsidR="00B24BE4" w:rsidRDefault="00B24BE4" w:rsidP="00B24BE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56"/>
          <w:szCs w:val="56"/>
          <w:lang w:val="en-US"/>
        </w:rPr>
        <w:t>Page 8-reference list</w:t>
      </w:r>
      <w:r>
        <w:rPr>
          <w:rStyle w:val="eop"/>
          <w:rFonts w:ascii="Aptos" w:hAnsi="Aptos" w:cs="Segoe UI"/>
          <w:sz w:val="56"/>
          <w:szCs w:val="56"/>
        </w:rPr>
        <w:t> </w:t>
      </w:r>
    </w:p>
    <w:p w:rsidR="00B24BE4" w:rsidRDefault="00B24BE4">
      <w:pPr>
        <w:pStyle w:val="BodyText"/>
        <w:rPr>
          <w:b/>
          <w:bCs/>
        </w:rPr>
      </w:pPr>
    </w:p>
    <w:p w:rsidR="00B24BE4" w:rsidRDefault="00B24BE4">
      <w:pPr>
        <w:pStyle w:val="BodyText"/>
        <w:rPr>
          <w:b/>
          <w:bCs/>
        </w:rPr>
      </w:pPr>
    </w:p>
    <w:p w:rsidR="00B24BE4" w:rsidRDefault="00B24BE4">
      <w:pPr>
        <w:pStyle w:val="BodyText"/>
        <w:rPr>
          <w:b/>
          <w:bCs/>
        </w:rPr>
      </w:pPr>
    </w:p>
    <w:p w:rsidR="00B24BE4" w:rsidRDefault="00B24BE4">
      <w:pPr>
        <w:pStyle w:val="BodyText"/>
        <w:rPr>
          <w:b/>
          <w:bCs/>
        </w:rPr>
      </w:pPr>
    </w:p>
    <w:p w:rsidR="00B24BE4" w:rsidRDefault="00B24BE4">
      <w:pPr>
        <w:pStyle w:val="BodyText"/>
        <w:rPr>
          <w:b/>
          <w:bCs/>
        </w:rPr>
      </w:pPr>
    </w:p>
    <w:p w:rsidR="00B24BE4" w:rsidRDefault="006D2F3A">
      <w:pPr>
        <w:pStyle w:val="BodyText"/>
      </w:pPr>
      <w:r>
        <w:rPr>
          <w:b/>
          <w:bCs/>
        </w:rPr>
        <w:lastRenderedPageBreak/>
        <w:t>Introduction</w:t>
      </w:r>
      <w:r>
        <w:t xml:space="preserve"> </w:t>
      </w:r>
    </w:p>
    <w:p w:rsidR="006B4654" w:rsidRDefault="006D2F3A">
      <w:pPr>
        <w:pStyle w:val="BodyText"/>
      </w:pPr>
      <w:r>
        <w:t>I have chosen Type 2 diabetes (T2DM) because it runs in my family. T2DM is a long-term condition in which blood sugar (glucose) levels become too high, potentially causing damage to the eyes, heart, nerves, and kidneys. Lifestyle factors such as poor diet,</w:t>
      </w:r>
      <w:r>
        <w:t xml:space="preserve"> physical inactivity, and obesity are strongly associated with its development, though genetics also play a role (American Diabetes Association, 2022). While it typically develops in adults, rising obesity rates have led to diagnoses in younger populations</w:t>
      </w:r>
      <w:r>
        <w:t>. Symptoms develop gradually and include increased thirst, frequent urination, fatigue, and blurred vision. Untreated, it can lead to complications such as cardiovascular disease, neuropathy, nephropathy, and retinopathy (NICE, 2021).</w:t>
      </w:r>
    </w:p>
    <w:p w:rsidR="006B4654" w:rsidRDefault="006D2F3A">
      <w:pPr>
        <w:pStyle w:val="BodyText"/>
      </w:pPr>
      <w:r>
        <w:rPr>
          <w:b/>
          <w:bCs/>
        </w:rPr>
        <w:t>Key Risk Factors</w:t>
      </w:r>
      <w:r>
        <w:t xml:space="preserve"> Bein</w:t>
      </w:r>
      <w:r>
        <w:t>g overweight, sedentary lifestyle, family history, older age, high blood pressure, unhealthy diet, and certain ethnic backgrounds. Early detection through blood sugar testing and lifestyle adjustments—including diet, exercise, and medication adherence—is c</w:t>
      </w:r>
      <w:r>
        <w:t>rucial.</w:t>
      </w:r>
    </w:p>
    <w:p w:rsidR="006B4654" w:rsidRDefault="006D2F3A">
      <w:pPr>
        <w:pStyle w:val="BodyText"/>
      </w:pPr>
      <w:r>
        <w:rPr>
          <w:b/>
          <w:bCs/>
        </w:rPr>
        <w:t>Purpose of the Report</w:t>
      </w:r>
      <w:r>
        <w:t xml:space="preserve"> To raise awareness of T2DM and highlight the role of lifestyle management and monitoring in preventing and managing the condition.</w:t>
      </w:r>
    </w:p>
    <w:p w:rsidR="00B24BE4" w:rsidRDefault="006D2F3A">
      <w:pPr>
        <w:pStyle w:val="BodyText"/>
        <w:rPr>
          <w:b/>
          <w:bCs/>
        </w:rPr>
      </w:pPr>
      <w:r>
        <w:rPr>
          <w:b/>
          <w:bCs/>
        </w:rPr>
        <w:t>Section 1:</w:t>
      </w:r>
    </w:p>
    <w:p w:rsidR="006B4654" w:rsidRDefault="006D2F3A">
      <w:pPr>
        <w:pStyle w:val="BodyText"/>
      </w:pPr>
      <w:r>
        <w:rPr>
          <w:b/>
          <w:bCs/>
        </w:rPr>
        <w:t xml:space="preserve"> Blood Sugar Regulation and Cell Metabolism</w:t>
      </w:r>
      <w:r>
        <w:t xml:space="preserve"> Blood sugar is regulated by the pancreas </w:t>
      </w:r>
      <w:r>
        <w:t>through insulin and glucagon. Insulin lowers blood sugar by helping cells absorb glucose and store it as glycogen, while glucagon raises blood sugar by stimulating the liver to release glucose. Together, they maintain a healthy energy balance. Cell metabol</w:t>
      </w:r>
      <w:r>
        <w:t>ism converts nutrients into energy (ATP) for growth, repair, and vital functions. Processes such as glycolysis and the citric acid cycle support energy production and overall cellular function.</w:t>
      </w:r>
    </w:p>
    <w:p w:rsidR="00B24BE4" w:rsidRDefault="006D2F3A">
      <w:pPr>
        <w:pStyle w:val="BodyText"/>
        <w:rPr>
          <w:b/>
          <w:bCs/>
        </w:rPr>
      </w:pPr>
      <w:r>
        <w:rPr>
          <w:b/>
          <w:bCs/>
        </w:rPr>
        <w:t xml:space="preserve">Section 2: </w:t>
      </w:r>
    </w:p>
    <w:p w:rsidR="006B4654" w:rsidRDefault="006D2F3A">
      <w:pPr>
        <w:pStyle w:val="BodyText"/>
      </w:pPr>
      <w:r>
        <w:rPr>
          <w:b/>
          <w:bCs/>
        </w:rPr>
        <w:t>Blood Sugar Dysregulation and Lifestyle Impact</w:t>
      </w:r>
      <w:r>
        <w:t xml:space="preserve"> Hype</w:t>
      </w:r>
      <w:r>
        <w:t>rglycemia occurs when insulin is insufficient or cells resist insulin, causing thirst, frequent urination, fatigue, and organ damage. Hypoglycemia occurs with excess insulin or low food intake, leading to shakiness, dizziness, confusion, or seizures.</w:t>
      </w:r>
    </w:p>
    <w:p w:rsidR="006B4654" w:rsidRDefault="006D2F3A">
      <w:pPr>
        <w:pStyle w:val="BodyText"/>
      </w:pPr>
      <w:r>
        <w:rPr>
          <w:b/>
          <w:bCs/>
        </w:rPr>
        <w:t>Lifes</w:t>
      </w:r>
      <w:r>
        <w:rPr>
          <w:b/>
          <w:bCs/>
        </w:rPr>
        <w:t>tyle Factors:</w:t>
      </w:r>
      <w:r>
        <w:t xml:space="preserve"> 1. Diet – High-fiber, whole grains, lean proteins, and low-GI foods stabilize blood sugar; regular meals maintain consistency. 2. Physical Activity – Exercise increases insulin sensitivity and glucose uptake; strength training improves muscle</w:t>
      </w:r>
      <w:r>
        <w:t xml:space="preserve"> glucose absorption. 3. Weight Management – Healthy weight reduces insulin resistance; abdominal fat increases risk. 4. Sleep – Adequate sleep regulates cortisol; sleep deprivation raises insulin resistance. 5. Stress Management – Chronic stress elevates c</w:t>
      </w:r>
      <w:r>
        <w:t>ortisol; mindfulness and meditation improve glucose control. 6. Alcohol and Smoking – Excess alcohol causes fluctuations; smoking increases insulin resistance. 7. Hydration – Adequate water supports kidney function and glucose regulation.</w:t>
      </w:r>
    </w:p>
    <w:p w:rsidR="006D2F3A" w:rsidRDefault="006D2F3A">
      <w:pPr>
        <w:pStyle w:val="BodyText"/>
        <w:rPr>
          <w:b/>
          <w:bCs/>
        </w:rPr>
      </w:pPr>
    </w:p>
    <w:p w:rsidR="006D2F3A" w:rsidRDefault="006D2F3A">
      <w:pPr>
        <w:pStyle w:val="BodyText"/>
        <w:rPr>
          <w:b/>
          <w:bCs/>
        </w:rPr>
      </w:pPr>
    </w:p>
    <w:p w:rsidR="00B24BE4" w:rsidRDefault="006D2F3A">
      <w:pPr>
        <w:pStyle w:val="BodyText"/>
        <w:rPr>
          <w:b/>
          <w:bCs/>
        </w:rPr>
      </w:pPr>
      <w:r>
        <w:rPr>
          <w:b/>
          <w:bCs/>
        </w:rPr>
        <w:lastRenderedPageBreak/>
        <w:t xml:space="preserve">Section 3: </w:t>
      </w:r>
    </w:p>
    <w:p w:rsidR="006B4654" w:rsidRDefault="006D2F3A">
      <w:pPr>
        <w:pStyle w:val="BodyText"/>
      </w:pPr>
      <w:bookmarkStart w:id="0" w:name="_GoBack"/>
      <w:r>
        <w:rPr>
          <w:b/>
          <w:bCs/>
        </w:rPr>
        <w:t>Monito</w:t>
      </w:r>
      <w:r>
        <w:rPr>
          <w:b/>
          <w:bCs/>
        </w:rPr>
        <w:t>ring and Data Tracking</w:t>
      </w:r>
      <w:r>
        <w:t xml:space="preserve"> Tracking health data helps monitor progress, detect complications early, and personalize care. Monitoring blood glucose, diet, and activity allows timely adjustments and better communication with healthcare providers.</w:t>
      </w:r>
    </w:p>
    <w:bookmarkEnd w:id="0"/>
    <w:p w:rsidR="00B24BE4" w:rsidRDefault="006D2F3A">
      <w:pPr>
        <w:pStyle w:val="BodyText"/>
        <w:rPr>
          <w:b/>
          <w:bCs/>
        </w:rPr>
      </w:pPr>
      <w:r>
        <w:rPr>
          <w:b/>
          <w:bCs/>
        </w:rPr>
        <w:t xml:space="preserve">Section 4: </w:t>
      </w:r>
    </w:p>
    <w:p w:rsidR="006B4654" w:rsidRDefault="006D2F3A">
      <w:pPr>
        <w:pStyle w:val="BodyText"/>
      </w:pPr>
      <w:proofErr w:type="gramStart"/>
      <w:r>
        <w:rPr>
          <w:b/>
          <w:bCs/>
        </w:rPr>
        <w:t>Evid</w:t>
      </w:r>
      <w:r>
        <w:rPr>
          <w:b/>
          <w:bCs/>
        </w:rPr>
        <w:t>ence-Based Lifestyle Recommendations</w:t>
      </w:r>
      <w:r>
        <w:t xml:space="preserve"> 1.</w:t>
      </w:r>
      <w:proofErr w:type="gramEnd"/>
      <w:r>
        <w:t xml:space="preserve"> Diet – Increase fruits, vegetables, whole grains, lean proteins; reduce processed foods and sugary drinks; eat smaller, regular meals. 2. Physical Activity – Walk ≥30 minutes daily; include strength training twice we</w:t>
      </w:r>
      <w:r>
        <w:t>ekly; break up sedentary periods. 3. Stress Management – Practice relaxation techniques and prioritize self-care. 4. Sleep Quality – Aim for 7–9 hours nightly with consistent schedules; avoid screens and caffeine before bed. 5. Hydration – Drink sufficient</w:t>
      </w:r>
      <w:r>
        <w:t xml:space="preserve"> water; limit sugary drinks. 6. Weight Management – Aim for gradual weight loss (5–10% body weight). 7. Alcohol and Smoking – Limit alcohol; quit smoking. 8. Support System – Involve family/friends; join diabetes support or fitness groups.</w:t>
      </w:r>
    </w:p>
    <w:p w:rsidR="006B4654" w:rsidRDefault="006D2F3A">
      <w:pPr>
        <w:pStyle w:val="BodyText"/>
      </w:pPr>
      <w:r>
        <w:rPr>
          <w:b/>
          <w:bCs/>
        </w:rPr>
        <w:t>Physiological Ou</w:t>
      </w:r>
      <w:r>
        <w:rPr>
          <w:b/>
          <w:bCs/>
        </w:rPr>
        <w:t>tcomes:</w:t>
      </w:r>
      <w:r>
        <w:t xml:space="preserve"> - Enhanced insulin sensitivity and glucose regulation (Leproult et al., 2015) - Lower blood pressure and reduced cardiovascular risk (Cappuccio et al., 2011) - Reduced systemic inflammation (Irwin, 2015) - Improved cognitive performance, memory con</w:t>
      </w:r>
      <w:r>
        <w:t>solidation, and mood (Ackermann &amp; Rasch, 2014) - Strengthened immune function (Besedovsky et al., 2012)</w:t>
      </w:r>
    </w:p>
    <w:p w:rsidR="006B4654" w:rsidRDefault="006D2F3A">
      <w:pPr>
        <w:pStyle w:val="BodyText"/>
      </w:pPr>
      <w:r>
        <w:t>NICE guidelines and clinical studies emphasise lifestyle modification, regular monitoring, and patient education as first-line strategies (NICE, 2023; D</w:t>
      </w:r>
      <w:r>
        <w:t>iabetes UK, 2023). Structured support programs demonstrate reductions in disease progression with diet and activity interventions (Public Health England, 2021).</w:t>
      </w:r>
    </w:p>
    <w:p w:rsidR="00B24BE4" w:rsidRDefault="006D2F3A">
      <w:pPr>
        <w:pStyle w:val="BodyText"/>
      </w:pPr>
      <w:r>
        <w:rPr>
          <w:b/>
          <w:bCs/>
        </w:rPr>
        <w:t>Conclusion</w:t>
      </w:r>
      <w:r>
        <w:t xml:space="preserve"> </w:t>
      </w:r>
    </w:p>
    <w:p w:rsidR="006B4654" w:rsidRDefault="006D2F3A">
      <w:pPr>
        <w:pStyle w:val="BodyText"/>
      </w:pPr>
      <w:r>
        <w:t>T2DM is a growing public health concern. Effective management relies on continuous m</w:t>
      </w:r>
      <w:r>
        <w:t>onitoring, evidence-based lifestyle changes, and professional guidance. Nurses, dietitians, and doctors play a critical role in educating patients and fostering self-management skills. Adopting achievable changes—balanced diet, regular physical activity, s</w:t>
      </w:r>
      <w:r>
        <w:t>tress reduction, proper sleep, and hydration—improves glucose control, reduces complications, and enhances quality of life. Patient education empowers individuals, promoting independence, well-being, and long-term physiological improvements. Preventive str</w:t>
      </w:r>
      <w:r>
        <w:t>ategies and sustained lifestyle changes reduce healthcare burden and improve public health (NHS, 2024).</w:t>
      </w:r>
    </w:p>
    <w:p w:rsidR="00B24BE4" w:rsidRDefault="00B24BE4">
      <w:pPr>
        <w:pStyle w:val="BodyText"/>
        <w:rPr>
          <w:b/>
          <w:bCs/>
        </w:rPr>
      </w:pPr>
    </w:p>
    <w:p w:rsidR="00B24BE4" w:rsidRDefault="00B24BE4">
      <w:pPr>
        <w:pStyle w:val="BodyText"/>
        <w:rPr>
          <w:b/>
          <w:bCs/>
        </w:rPr>
      </w:pPr>
    </w:p>
    <w:p w:rsidR="00B24BE4" w:rsidRDefault="00B24BE4">
      <w:pPr>
        <w:pStyle w:val="BodyText"/>
        <w:rPr>
          <w:b/>
          <w:bCs/>
        </w:rPr>
      </w:pPr>
    </w:p>
    <w:p w:rsidR="00B24BE4" w:rsidRDefault="00B24BE4">
      <w:pPr>
        <w:pStyle w:val="BodyText"/>
        <w:rPr>
          <w:b/>
          <w:bCs/>
        </w:rPr>
      </w:pPr>
    </w:p>
    <w:p w:rsidR="006D2F3A" w:rsidRDefault="006D2F3A">
      <w:pPr>
        <w:pStyle w:val="BodyText"/>
        <w:rPr>
          <w:b/>
          <w:bCs/>
        </w:rPr>
      </w:pPr>
    </w:p>
    <w:p w:rsidR="00B24BE4" w:rsidRDefault="006D2F3A">
      <w:pPr>
        <w:pStyle w:val="BodyText"/>
      </w:pPr>
      <w:r>
        <w:rPr>
          <w:b/>
          <w:bCs/>
        </w:rPr>
        <w:lastRenderedPageBreak/>
        <w:t>References</w:t>
      </w:r>
      <w:r>
        <w:t xml:space="preserve"> </w:t>
      </w:r>
    </w:p>
    <w:p w:rsidR="006B4654" w:rsidRDefault="006D2F3A">
      <w:pPr>
        <w:pStyle w:val="BodyText"/>
      </w:pPr>
      <w:proofErr w:type="gramStart"/>
      <w:r>
        <w:t xml:space="preserve">American Diabetes Association (2022) </w:t>
      </w:r>
      <w:r>
        <w:rPr>
          <w:i/>
          <w:iCs/>
        </w:rPr>
        <w:t>Standards of Medical Care in Diabetes 2022</w:t>
      </w:r>
      <w:r>
        <w:t>.</w:t>
      </w:r>
      <w:proofErr w:type="gramEnd"/>
      <w:r>
        <w:t xml:space="preserve"> [online] Available at: https://www.diabetes.org.uk/ (Accesse</w:t>
      </w:r>
      <w:r>
        <w:t>d: 9 November 2025).</w:t>
      </w:r>
    </w:p>
    <w:p w:rsidR="006B4654" w:rsidRDefault="006D2F3A">
      <w:pPr>
        <w:pStyle w:val="BodyText"/>
      </w:pPr>
      <w:r>
        <w:t xml:space="preserve">Ackermann, S. &amp; Rasch, B. (2014) ‘Sleep-to-remember: the role of sleep in memory consolidation’, </w:t>
      </w:r>
      <w:r>
        <w:rPr>
          <w:i/>
          <w:iCs/>
        </w:rPr>
        <w:t>Journal of Neuroscience</w:t>
      </w:r>
      <w:r>
        <w:t>, 34(42), pp. 13977-13984.</w:t>
      </w:r>
    </w:p>
    <w:p w:rsidR="006B4654" w:rsidRDefault="006D2F3A">
      <w:pPr>
        <w:pStyle w:val="BodyText"/>
      </w:pPr>
      <w:r>
        <w:t xml:space="preserve">Besedovsky, L., Lange, T. &amp; Born, J. (2012) ‘Sleep and immune function’, </w:t>
      </w:r>
      <w:r>
        <w:rPr>
          <w:i/>
          <w:iCs/>
        </w:rPr>
        <w:t>Pflugers Archiv</w:t>
      </w:r>
      <w:r>
        <w:rPr>
          <w:i/>
          <w:iCs/>
        </w:rPr>
        <w:t xml:space="preserve"> – European Journal of Physiology</w:t>
      </w:r>
      <w:r>
        <w:t>, 463(1), pp. 121-137.</w:t>
      </w:r>
    </w:p>
    <w:p w:rsidR="006B4654" w:rsidRDefault="006D2F3A">
      <w:pPr>
        <w:pStyle w:val="BodyText"/>
      </w:pPr>
      <w:r>
        <w:t xml:space="preserve">Cappuccio, F.P., Cooper, D., D’Elia, L., Strazzullo, P. &amp; Miller, M.A. (2011) ‘Sleep duration predicts cardiovascular outcomes: a systematic review and meta-analysis of prospective studies’, </w:t>
      </w:r>
      <w:r>
        <w:rPr>
          <w:i/>
          <w:iCs/>
        </w:rPr>
        <w:t xml:space="preserve">European </w:t>
      </w:r>
      <w:r>
        <w:rPr>
          <w:i/>
          <w:iCs/>
        </w:rPr>
        <w:t>Heart Journal</w:t>
      </w:r>
      <w:r>
        <w:t>, 32(12), pp. 1484-1492.</w:t>
      </w:r>
    </w:p>
    <w:p w:rsidR="006B4654" w:rsidRDefault="006D2F3A">
      <w:pPr>
        <w:pStyle w:val="BodyText"/>
      </w:pPr>
      <w:r>
        <w:t xml:space="preserve">Diabetes UK (2023) </w:t>
      </w:r>
      <w:r>
        <w:rPr>
          <w:i/>
          <w:iCs/>
        </w:rPr>
        <w:t>Type 2 diabetes facts and statistics</w:t>
      </w:r>
      <w:r>
        <w:t>. [online] Available at: https://www.diabetes.org.uk/ (Accessed: 9 November 2025).</w:t>
      </w:r>
    </w:p>
    <w:p w:rsidR="006B4654" w:rsidRDefault="006D2F3A">
      <w:pPr>
        <w:pStyle w:val="BodyText"/>
      </w:pPr>
      <w:r>
        <w:t>Irwin, M.R. (2015) ‘Sleep disturbance, sleep duration, and inflammation: a syste</w:t>
      </w:r>
      <w:r>
        <w:t xml:space="preserve">matic review and meta-analysis of cohort studies and experimental sleep deprivation’, </w:t>
      </w:r>
      <w:r>
        <w:rPr>
          <w:i/>
          <w:iCs/>
        </w:rPr>
        <w:t>Biological Psychiatry</w:t>
      </w:r>
      <w:r>
        <w:t>, 79(6), pp. 531-541.</w:t>
      </w:r>
    </w:p>
    <w:p w:rsidR="006B4654" w:rsidRDefault="006D2F3A">
      <w:pPr>
        <w:pStyle w:val="BodyText"/>
      </w:pPr>
      <w:r>
        <w:t>Leproult, R., Deliens, G., Gilson, M. &amp; Van Cauter, E. (2015) ‘Beneficial impact of sleep extension on fasting insulin sensitiv</w:t>
      </w:r>
      <w:r>
        <w:t xml:space="preserve">ity in adults with habitual sleep restriction’, </w:t>
      </w:r>
      <w:r>
        <w:rPr>
          <w:i/>
          <w:iCs/>
        </w:rPr>
        <w:t>Sleep</w:t>
      </w:r>
      <w:r>
        <w:t>, 38(5), pp. 707-715.</w:t>
      </w:r>
    </w:p>
    <w:p w:rsidR="006B4654" w:rsidRDefault="006D2F3A">
      <w:pPr>
        <w:pStyle w:val="BodyText"/>
      </w:pPr>
      <w:r>
        <w:t xml:space="preserve">NICE (2023) </w:t>
      </w:r>
      <w:r>
        <w:rPr>
          <w:i/>
          <w:iCs/>
        </w:rPr>
        <w:t>Type 2 Diabetes in Adults: Management (NG28)</w:t>
      </w:r>
      <w:r>
        <w:t>. [online] Available at: https://www.nice.org.uk/ (Accessed: 9 November 2025).</w:t>
      </w:r>
    </w:p>
    <w:p w:rsidR="006B4654" w:rsidRDefault="006D2F3A">
      <w:pPr>
        <w:pStyle w:val="BodyText"/>
      </w:pPr>
      <w:r>
        <w:t xml:space="preserve">NHS (2024) </w:t>
      </w:r>
      <w:r>
        <w:rPr>
          <w:i/>
          <w:iCs/>
        </w:rPr>
        <w:t>Type 2 diabetes: overview</w:t>
      </w:r>
      <w:r>
        <w:t>. [online]</w:t>
      </w:r>
      <w:r>
        <w:t xml:space="preserve"> Available at: https://www.nhs.uk/ (Accessed: 9 November 2025).</w:t>
      </w:r>
    </w:p>
    <w:p w:rsidR="006B4654" w:rsidRDefault="006D2F3A">
      <w:pPr>
        <w:pStyle w:val="BodyText"/>
      </w:pPr>
      <w:r>
        <w:t xml:space="preserve">Public Health England (2021) </w:t>
      </w:r>
      <w:r>
        <w:rPr>
          <w:i/>
          <w:iCs/>
        </w:rPr>
        <w:t>Diabetes Prevention Programme evaluation report</w:t>
      </w:r>
      <w:r>
        <w:t>. [online] Available at: https://www.gov.uk/ (Accessed: 9 November 2025).</w:t>
      </w:r>
    </w:p>
    <w:sectPr w:rsidR="006B4654">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A990"/>
    <w:multiLevelType w:val="multilevel"/>
    <w:tmpl w:val="90E2D43E"/>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4654"/>
    <w:rsid w:val="006B4654"/>
    <w:rsid w:val="006D2F3A"/>
    <w:rsid w:val="00B24B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67"/>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customStyle="1" w:styleId="paragraph">
    <w:name w:val="paragraph"/>
    <w:basedOn w:val="Normal"/>
    <w:rsid w:val="00B24BE4"/>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B24BE4"/>
  </w:style>
  <w:style w:type="character" w:customStyle="1" w:styleId="eop">
    <w:name w:val="eop"/>
    <w:basedOn w:val="DefaultParagraphFont"/>
    <w:rsid w:val="00B24BE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67"/>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customStyle="1" w:styleId="paragraph">
    <w:name w:val="paragraph"/>
    <w:basedOn w:val="Normal"/>
    <w:rsid w:val="00B24BE4"/>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B24BE4"/>
  </w:style>
  <w:style w:type="character" w:customStyle="1" w:styleId="eop">
    <w:name w:val="eop"/>
    <w:basedOn w:val="DefaultParagraphFont"/>
    <w:rsid w:val="00B24B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6163924">
      <w:bodyDiv w:val="1"/>
      <w:marLeft w:val="0"/>
      <w:marRight w:val="0"/>
      <w:marTop w:val="0"/>
      <w:marBottom w:val="0"/>
      <w:divBdr>
        <w:top w:val="none" w:sz="0" w:space="0" w:color="auto"/>
        <w:left w:val="none" w:sz="0" w:space="0" w:color="auto"/>
        <w:bottom w:val="none" w:sz="0" w:space="0" w:color="auto"/>
        <w:right w:val="none" w:sz="0" w:space="0" w:color="auto"/>
      </w:divBdr>
      <w:divsChild>
        <w:div w:id="1677801459">
          <w:marLeft w:val="0"/>
          <w:marRight w:val="0"/>
          <w:marTop w:val="0"/>
          <w:marBottom w:val="0"/>
          <w:divBdr>
            <w:top w:val="none" w:sz="0" w:space="0" w:color="auto"/>
            <w:left w:val="none" w:sz="0" w:space="0" w:color="auto"/>
            <w:bottom w:val="none" w:sz="0" w:space="0" w:color="auto"/>
            <w:right w:val="none" w:sz="0" w:space="0" w:color="auto"/>
          </w:divBdr>
        </w:div>
        <w:div w:id="1860192442">
          <w:marLeft w:val="0"/>
          <w:marRight w:val="0"/>
          <w:marTop w:val="0"/>
          <w:marBottom w:val="0"/>
          <w:divBdr>
            <w:top w:val="none" w:sz="0" w:space="0" w:color="auto"/>
            <w:left w:val="none" w:sz="0" w:space="0" w:color="auto"/>
            <w:bottom w:val="none" w:sz="0" w:space="0" w:color="auto"/>
            <w:right w:val="none" w:sz="0" w:space="0" w:color="auto"/>
          </w:divBdr>
        </w:div>
        <w:div w:id="507981907">
          <w:marLeft w:val="0"/>
          <w:marRight w:val="0"/>
          <w:marTop w:val="0"/>
          <w:marBottom w:val="0"/>
          <w:divBdr>
            <w:top w:val="none" w:sz="0" w:space="0" w:color="auto"/>
            <w:left w:val="none" w:sz="0" w:space="0" w:color="auto"/>
            <w:bottom w:val="none" w:sz="0" w:space="0" w:color="auto"/>
            <w:right w:val="none" w:sz="0" w:space="0" w:color="auto"/>
          </w:divBdr>
        </w:div>
        <w:div w:id="1682856838">
          <w:marLeft w:val="0"/>
          <w:marRight w:val="0"/>
          <w:marTop w:val="0"/>
          <w:marBottom w:val="0"/>
          <w:divBdr>
            <w:top w:val="none" w:sz="0" w:space="0" w:color="auto"/>
            <w:left w:val="none" w:sz="0" w:space="0" w:color="auto"/>
            <w:bottom w:val="none" w:sz="0" w:space="0" w:color="auto"/>
            <w:right w:val="none" w:sz="0" w:space="0" w:color="auto"/>
          </w:divBdr>
        </w:div>
        <w:div w:id="1336692515">
          <w:marLeft w:val="0"/>
          <w:marRight w:val="0"/>
          <w:marTop w:val="0"/>
          <w:marBottom w:val="0"/>
          <w:divBdr>
            <w:top w:val="none" w:sz="0" w:space="0" w:color="auto"/>
            <w:left w:val="none" w:sz="0" w:space="0" w:color="auto"/>
            <w:bottom w:val="none" w:sz="0" w:space="0" w:color="auto"/>
            <w:right w:val="none" w:sz="0" w:space="0" w:color="auto"/>
          </w:divBdr>
        </w:div>
        <w:div w:id="107745509">
          <w:marLeft w:val="0"/>
          <w:marRight w:val="0"/>
          <w:marTop w:val="0"/>
          <w:marBottom w:val="0"/>
          <w:divBdr>
            <w:top w:val="none" w:sz="0" w:space="0" w:color="auto"/>
            <w:left w:val="none" w:sz="0" w:space="0" w:color="auto"/>
            <w:bottom w:val="none" w:sz="0" w:space="0" w:color="auto"/>
            <w:right w:val="none" w:sz="0" w:space="0" w:color="auto"/>
          </w:divBdr>
        </w:div>
        <w:div w:id="863982796">
          <w:marLeft w:val="0"/>
          <w:marRight w:val="0"/>
          <w:marTop w:val="0"/>
          <w:marBottom w:val="0"/>
          <w:divBdr>
            <w:top w:val="none" w:sz="0" w:space="0" w:color="auto"/>
            <w:left w:val="none" w:sz="0" w:space="0" w:color="auto"/>
            <w:bottom w:val="none" w:sz="0" w:space="0" w:color="auto"/>
            <w:right w:val="none" w:sz="0" w:space="0" w:color="auto"/>
          </w:divBdr>
        </w:div>
        <w:div w:id="953052712">
          <w:marLeft w:val="0"/>
          <w:marRight w:val="0"/>
          <w:marTop w:val="0"/>
          <w:marBottom w:val="0"/>
          <w:divBdr>
            <w:top w:val="none" w:sz="0" w:space="0" w:color="auto"/>
            <w:left w:val="none" w:sz="0" w:space="0" w:color="auto"/>
            <w:bottom w:val="none" w:sz="0" w:space="0" w:color="auto"/>
            <w:right w:val="none" w:sz="0" w:space="0" w:color="auto"/>
          </w:divBdr>
        </w:div>
      </w:divsChild>
    </w:div>
    <w:div w:id="1403482284">
      <w:bodyDiv w:val="1"/>
      <w:marLeft w:val="0"/>
      <w:marRight w:val="0"/>
      <w:marTop w:val="0"/>
      <w:marBottom w:val="0"/>
      <w:divBdr>
        <w:top w:val="none" w:sz="0" w:space="0" w:color="auto"/>
        <w:left w:val="none" w:sz="0" w:space="0" w:color="auto"/>
        <w:bottom w:val="none" w:sz="0" w:space="0" w:color="auto"/>
        <w:right w:val="none" w:sz="0" w:space="0" w:color="auto"/>
      </w:divBdr>
      <w:divsChild>
        <w:div w:id="409889531">
          <w:marLeft w:val="0"/>
          <w:marRight w:val="0"/>
          <w:marTop w:val="0"/>
          <w:marBottom w:val="0"/>
          <w:divBdr>
            <w:top w:val="none" w:sz="0" w:space="0" w:color="auto"/>
            <w:left w:val="none" w:sz="0" w:space="0" w:color="auto"/>
            <w:bottom w:val="none" w:sz="0" w:space="0" w:color="auto"/>
            <w:right w:val="none" w:sz="0" w:space="0" w:color="auto"/>
          </w:divBdr>
        </w:div>
        <w:div w:id="1129781324">
          <w:marLeft w:val="0"/>
          <w:marRight w:val="0"/>
          <w:marTop w:val="0"/>
          <w:marBottom w:val="0"/>
          <w:divBdr>
            <w:top w:val="none" w:sz="0" w:space="0" w:color="auto"/>
            <w:left w:val="none" w:sz="0" w:space="0" w:color="auto"/>
            <w:bottom w:val="none" w:sz="0" w:space="0" w:color="auto"/>
            <w:right w:val="none" w:sz="0" w:space="0" w:color="auto"/>
          </w:divBdr>
        </w:div>
        <w:div w:id="976302880">
          <w:marLeft w:val="0"/>
          <w:marRight w:val="0"/>
          <w:marTop w:val="0"/>
          <w:marBottom w:val="0"/>
          <w:divBdr>
            <w:top w:val="none" w:sz="0" w:space="0" w:color="auto"/>
            <w:left w:val="none" w:sz="0" w:space="0" w:color="auto"/>
            <w:bottom w:val="none" w:sz="0" w:space="0" w:color="auto"/>
            <w:right w:val="none" w:sz="0" w:space="0" w:color="auto"/>
          </w:divBdr>
        </w:div>
        <w:div w:id="1586576153">
          <w:marLeft w:val="0"/>
          <w:marRight w:val="0"/>
          <w:marTop w:val="0"/>
          <w:marBottom w:val="0"/>
          <w:divBdr>
            <w:top w:val="none" w:sz="0" w:space="0" w:color="auto"/>
            <w:left w:val="none" w:sz="0" w:space="0" w:color="auto"/>
            <w:bottom w:val="none" w:sz="0" w:space="0" w:color="auto"/>
            <w:right w:val="none" w:sz="0" w:space="0" w:color="auto"/>
          </w:divBdr>
        </w:div>
        <w:div w:id="1250503251">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1082</Words>
  <Characters>6170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dcterms:created xsi:type="dcterms:W3CDTF">2025-11-09T22:02:00Z</dcterms:created>
  <dcterms:modified xsi:type="dcterms:W3CDTF">2025-11-09T22:02:00Z</dcterms:modified>
</cp:coreProperties>
</file>