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sz w:val="28"/>
          <w:szCs w:val="28"/>
          <w:u w:val="none"/>
        </w:rPr>
      </w:pPr>
      <w:r>
        <w:rPr>
          <w:sz w:val="21"/>
        </w:rPr>
        <mc:AlternateContent>
          <mc:Choice Requires="wps">
            <w:drawing>
              <wp:anchor distT="0" distB="0" distL="114300" distR="114300" simplePos="0" relativeHeight="251660288" behindDoc="0" locked="0" layoutInCell="1" allowOverlap="1">
                <wp:simplePos x="0" y="0"/>
                <wp:positionH relativeFrom="column">
                  <wp:posOffset>-177800</wp:posOffset>
                </wp:positionH>
                <wp:positionV relativeFrom="paragraph">
                  <wp:posOffset>65405</wp:posOffset>
                </wp:positionV>
                <wp:extent cx="5883910" cy="2700655"/>
                <wp:effectExtent l="4445" t="4445" r="9525" b="7620"/>
                <wp:wrapNone/>
                <wp:docPr id="1" name="文本框 1"/>
                <wp:cNvGraphicFramePr/>
                <a:graphic xmlns:a="http://schemas.openxmlformats.org/drawingml/2006/main">
                  <a:graphicData uri="http://schemas.microsoft.com/office/word/2010/wordprocessingShape">
                    <wps:wsp>
                      <wps:cNvSpPr txBox="1"/>
                      <wps:spPr>
                        <a:xfrm>
                          <a:off x="965200" y="979805"/>
                          <a:ext cx="5883910" cy="2700655"/>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rPr>
                                <w:rFonts w:hint="default" w:ascii="Arial" w:hAnsi="Arial" w:cs="Arial"/>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default" w:ascii="Arial" w:hAnsi="Arial" w:cs="Arial"/>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Using Marks&amp;Spencer as an example, critically analyze the current and future external and internal environment of an organization</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4pt;margin-top:5.15pt;height:212.65pt;width:463.3pt;z-index:251660288;mso-width-relative:page;mso-height-relative:page;" fillcolor="#FFFFFF [3201]" filled="t" stroked="t" coordsize="21600,21600" o:gfxdata="UEsDBAoAAAAAAIdO4kAAAAAAAAAAAAAAAAAEAAAAZHJzL1BLAwQUAAAACACHTuJAK1jlfNcAAAAK&#10;AQAADwAAAGRycy9kb3ducmV2LnhtbE2PwU7DMBBE70j8g7WVuLV2E4hCiFMJJCTEjZILNzfeJlHt&#10;dRS7Tfl7lhMcRzOaeVPvrt6JC85xDKRhu1EgkLpgR+o1tJ+v6xJETIascYFQwzdG2DW3N7WpbFjo&#10;Ay/71AsuoVgZDUNKUyVl7Ab0Jm7ChMTeMczeJJZzL+1sFi73TmZKFdKbkXhhMBO+DNid9mev4a14&#10;Tl/Y2nebZ3lYWtnNRxe1vltt1ROIhNf0F4ZffEaHhpkO4Uw2CqdhnZX8JbGhchAcKB/LAsRBw33+&#10;UIBsavn/QvMDUEsDBBQAAAAIAIdO4kBooDu9YwIAAMIEAAAOAAAAZHJzL2Uyb0RvYy54bWytVM1u&#10;EzEQviPxDpbvdJO0aZOomyq0CkKqaKWCODteb3aF/7Cd7JYHgDfgxIU7z9Xn4LN3m6Ythx7IwZnx&#10;fPnG881MTs9aJclWOF8bndPhwYASobkpar3O6aePyzcTSnxgumDSaJHTW+Hp2fz1q9PGzsTIVEYW&#10;whGQaD9rbE6rEOwsyzyvhGL+wFihESyNUyzAdeuscKwBu5LZaDA4zhrjCusMF97j9qIL0p7RvYTQ&#10;lGXNxYXhGyV06FidkCygJF/V1tN5em1ZCh6uytKLQGROUWlIJ5LAXsUzm5+y2doxW9W8fwJ7yROe&#10;1KRYrZF0R3XBAiMbVz+jUjV3xpsyHHCjsq6QpAiqGA6eaHNTMStSLZDa253o/v/R8g/ba0fqApNA&#10;iWYKDb/7+ePu15+739/JMMrTWD8D6sYCF9q3po3Q/t7jMlbdlk7Fb9RDEJ8ej9FpSm5hnkwng3En&#10;s2gD4QiPJ5PD6RBxDsDoBDMxTojsgcg6H94Jo0g0curQxyQv2176gOSA3kNiXm9kXSxrKZPj1qtz&#10;6ciWoefL9In58ZNHMKlJk9Pjw/EgMT+KRe4dxUoy/uU5A/ikBm3Up9MhWqFdtb04K1PcQjNnuqHz&#10;li9r8F4yH66Zw5RBAexhuMJRSoPHmN6ipDLu27/uIx7NR5SSBlObU/91w5ygRL7XGIvp8OgItCE5&#10;R+OTERy3H1ntR/RGnRuIhNbjdcmM+CDvzdIZ9RnruohZEWKaI3dOw715HrpdwrpzsVgkEAbbsnCp&#10;byyP1LEl2iw2wZR1al2UqdOmVw+jndrTr2HcnX0/oR7+euZ/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CtY5XzXAAAACgEAAA8AAAAAAAAAAQAgAAAAIgAAAGRycy9kb3ducmV2LnhtbFBLAQIUABQA&#10;AAAIAIdO4kBooDu9YwIAAMIEAAAOAAAAAAAAAAEAIAAAACYBAABkcnMvZTJvRG9jLnhtbFBLBQYA&#10;AAAABgAGAFkBAAD7BQAAAAA=&#10;">
                <v:fill on="t" focussize="0,0"/>
                <v:stroke weight="0.5pt" color="#000000 [3204]" joinstyle="round"/>
                <v:imagedata o:title=""/>
                <o:lock v:ext="edit" aspectratio="f"/>
                <v:textbox>
                  <w:txbxContent>
                    <w:p>
                      <w:pPr>
                        <w:rPr>
                          <w:rFonts w:hint="default" w:ascii="Arial" w:hAnsi="Arial" w:cs="Arial"/>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pPr>
                      <w:r>
                        <w:rPr>
                          <w:rFonts w:hint="default" w:ascii="Arial" w:hAnsi="Arial" w:cs="Arial"/>
                          <w:color w:val="F8CDAC" w:themeColor="accent2" w:themeTint="66"/>
                          <w:sz w:val="52"/>
                          <w:szCs w:val="52"/>
                          <w14:glow w14:rad="0">
                            <w14:srgbClr w14:val="000000"/>
                          </w14:glow>
                          <w14:reflection w14:blurRad="0" w14:stA="0" w14:stPos="0" w14:endA="0" w14:endPos="0" w14:dist="0" w14:dir="0" w14:fadeDir="0" w14:sx="0" w14:sy="0" w14:kx="0" w14:ky="0" w14:algn="none"/>
                          <w14:textOutline w14:w="22225">
                            <w14:solidFill>
                              <w14:schemeClr w14:val="accent2"/>
                            </w14:solidFill>
                            <w14:prstDash w14:val="solid"/>
                            <w14:round/>
                          </w14:textOutline>
                          <w14:textFill>
                            <w14:solidFill>
                              <w14:schemeClr w14:val="accent2">
                                <w14:lumMod w14:val="40000"/>
                                <w14:lumOff w14:val="60000"/>
                              </w14:schemeClr>
                            </w14:solidFill>
                          </w14:textFill>
                          <w14:props3d w14:extrusionH="0" w14:contourW="0" w14:prstMaterial="clear"/>
                        </w:rPr>
                        <w:t>Using Marks&amp;Spencer as an example, critically analyze the current and future external and internal environment of an organization</w:t>
                      </w:r>
                    </w:p>
                  </w:txbxContent>
                </v:textbox>
              </v:shape>
            </w:pict>
          </mc:Fallback>
        </mc:AlternateContent>
      </w:r>
      <w:r>
        <w:drawing>
          <wp:anchor distT="0" distB="0" distL="114300" distR="114300" simplePos="0" relativeHeight="251659264" behindDoc="1" locked="0" layoutInCell="1" allowOverlap="1">
            <wp:simplePos x="0" y="0"/>
            <wp:positionH relativeFrom="column">
              <wp:posOffset>-1120775</wp:posOffset>
            </wp:positionH>
            <wp:positionV relativeFrom="paragraph">
              <wp:posOffset>-978535</wp:posOffset>
            </wp:positionV>
            <wp:extent cx="7665720" cy="10866120"/>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4"/>
                    <a:stretch>
                      <a:fillRect/>
                    </a:stretch>
                  </pic:blipFill>
                  <pic:spPr>
                    <a:xfrm>
                      <a:off x="0" y="0"/>
                      <a:ext cx="7665720" cy="10866120"/>
                    </a:xfrm>
                    <a:prstGeom prst="rect">
                      <a:avLst/>
                    </a:prstGeom>
                    <a:noFill/>
                    <a:ln>
                      <a:noFill/>
                    </a:ln>
                  </pic:spPr>
                </pic:pic>
              </a:graphicData>
            </a:graphic>
          </wp:anchor>
        </w:drawing>
      </w: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r>
        <w:rPr>
          <w:sz w:val="28"/>
        </w:rPr>
        <mc:AlternateContent>
          <mc:Choice Requires="wps">
            <w:drawing>
              <wp:anchor distT="0" distB="0" distL="114300" distR="114300" simplePos="0" relativeHeight="251661312" behindDoc="0" locked="0" layoutInCell="1" allowOverlap="1">
                <wp:simplePos x="0" y="0"/>
                <wp:positionH relativeFrom="column">
                  <wp:posOffset>-85090</wp:posOffset>
                </wp:positionH>
                <wp:positionV relativeFrom="paragraph">
                  <wp:posOffset>0</wp:posOffset>
                </wp:positionV>
                <wp:extent cx="5774055" cy="3267710"/>
                <wp:effectExtent l="4445" t="4445" r="12700" b="19685"/>
                <wp:wrapNone/>
                <wp:docPr id="3" name="文本框 3"/>
                <wp:cNvGraphicFramePr/>
                <a:graphic xmlns:a="http://schemas.openxmlformats.org/drawingml/2006/main">
                  <a:graphicData uri="http://schemas.microsoft.com/office/word/2010/wordprocessingShape">
                    <wps:wsp>
                      <wps:cNvSpPr txBox="1"/>
                      <wps:spPr>
                        <a:xfrm>
                          <a:off x="1117600" y="5090160"/>
                          <a:ext cx="5774055" cy="32677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Unit name:Strategic Marketing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code:BMBM601</w:t>
                            </w:r>
                            <w:r>
                              <w:rPr>
                                <w:rFonts w:hint="eastAsia" w:ascii="Arial" w:hAnsi="Arial" w:eastAsia="微软雅黑" w:cs="Arial"/>
                                <w:b/>
                                <w:bCs/>
                                <w:color w:val="000000" w:themeColor="text1"/>
                                <w:sz w:val="24"/>
                                <w:szCs w:val="24"/>
                                <w:lang w:val="en-US" w:eastAsia="zh-CN"/>
                                <w14:textFill>
                                  <w14:solidFill>
                                    <w14:schemeClr w14:val="tx1"/>
                                  </w14:solidFill>
                                </w14:textFill>
                              </w:rPr>
                              <w:t>6</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Lead:Gwyneth Jones</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name:Tiantian Gong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ID number:2300467</w:t>
                            </w:r>
                          </w:p>
                          <w:p>
                            <w:pPr>
                              <w:keepNext w:val="0"/>
                              <w:keepLines w:val="0"/>
                              <w:pageBreakBefore w:val="0"/>
                              <w:widowControl w:val="0"/>
                              <w:kinsoku/>
                              <w:wordWrap/>
                              <w:overflowPunct/>
                              <w:topLinePunct w:val="0"/>
                              <w:bidi w:val="0"/>
                              <w:adjustRightInd/>
                              <w:snapToGrid/>
                              <w:spacing w:line="480" w:lineRule="auto"/>
                              <w:textAlignment w:val="auto"/>
                              <w:rPr>
                                <w:rFonts w:hint="default" w:ascii="Arial" w:hAnsi="Arial" w:cs="Arial"/>
                                <w:b/>
                                <w:bCs/>
                                <w:sz w:val="24"/>
                                <w:szCs w:val="24"/>
                              </w:rPr>
                            </w:pPr>
                            <w:r>
                              <w:rPr>
                                <w:rFonts w:hint="default" w:ascii="Arial" w:hAnsi="Arial" w:eastAsia="微软雅黑" w:cs="Arial"/>
                                <w:b/>
                                <w:bCs/>
                                <w:color w:val="000000" w:themeColor="text1"/>
                                <w:sz w:val="24"/>
                                <w:szCs w:val="24"/>
                                <w:lang w:val="en-US" w:eastAsia="zh-CN"/>
                                <w14:textFill>
                                  <w14:solidFill>
                                    <w14:schemeClr w14:val="tx1"/>
                                  </w14:solidFill>
                                </w14:textFill>
                              </w:rPr>
                              <w:t>Date submitted:22nd March 2024</w:t>
                            </w:r>
                          </w:p>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6.7pt;margin-top:0pt;height:257.3pt;width:454.65pt;z-index:251661312;mso-width-relative:page;mso-height-relative:page;" fillcolor="#FFFFFF [3201]" filled="t" stroked="t" coordsize="21600,21600" o:gfxdata="UEsDBAoAAAAAAIdO4kAAAAAAAAAAAAAAAAAEAAAAZHJzL1BLAwQUAAAACACHTuJA1UCB8tYAAAAI&#10;AQAADwAAAGRycy9kb3ducmV2LnhtbE2PwU7DMBBE70j8g7VI3FonTRu1IZtKICEhbrS5cHPjbRJh&#10;ryPbbcrfY05wHM1o5k29v1kjruTD6BghX2YgiDunR+4R2uPrYgsiRMVaGceE8E0B9s39Xa0q7Wb+&#10;oOsh9iKVcKgUwhDjVEkZuoGsCks3ESfv7LxVMUnfS+3VnMqtkassK6VVI6eFQU30MlD3dbhYhLfy&#10;OX5Sq991sSrc3MrOn01AfHzIsycQkW7xLwy/+AkdmsR0chfWQRiERV6sUxQhPUr2drfZgTghbPJ1&#10;CbKp5f8DzQ9QSwMEFAAAAAgAh07iQEDYwh9mAgAAxAQAAA4AAABkcnMvZTJvRG9jLnhtbK1UzW4T&#10;MRC+I/EOlu90d/NLo26q0CoIqaKVCuLseL1ZC9tjbCe75QHgDThx4c5z9TkYezdtaTn0QA7O2PPl&#10;m5lvZnJy2mlF9sJ5CaakxVFOiTAcKmm2Jf34Yf3qNSU+MFMxBUaU9EZ4erp8+eKktQsxggZUJRxB&#10;EuMXrS1pE4JdZJnnjdDMH4EVBp01OM0CXt02qxxrkV2rbJTns6wFV1kHXHiPr+e9kw6M7jmEUNeS&#10;i3PgOy1M6FmdUCxgSb6R1tNlyrauBQ+Xde1FIKqkWGlIJwZBexPPbHnCFlvHbCP5kAJ7TgqPatJM&#10;Ggx6R3XOAiM7J59QackdeKjDEQed9YUkRbCKIn+kzXXDrEi1oNTe3onu/x8tf7+/ckRWJR1TYpjG&#10;ht/++H778/ftr29kHOVprV8g6toiLnRvoMOhObx7fIxVd7XT8RvrIdFfFPNZjhLflHSaH+fFbBBa&#10;dIFwBEzn80k+nVLCETEezebzIiGyeyrrfHgrQJNolNRhJ5PAbH/hA6aF0AMkRvagZLWWSqWL227O&#10;lCN7hl1fp0/MGH/yF0wZ0pZ0Np7mifkvX+S+o9goxj8/ZUA+ZZA2KtQrEa3QbbpBtg1UN6iag37s&#10;vOVribwXzIcr5nDOUCLcxHCJR60Ak4HBoqQB9/Vf7xGP7UcvJS3ObUn9lx1zghL1zuBgHBeTSRz0&#10;dJlM5yO8uIeezUOP2ekzQJEK3HnLkxnxQR3M2oH+hAu7ilHRxQzH2CUNB/Ms9NuEC8/FapVAONqW&#10;hQtzbXmkji0xsNoFqGVqXZSp12ZQD4c7tWdYxLg9D+8Jdf/ns/w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1UCB8tYAAAAIAQAADwAAAAAAAAABACAAAAAiAAAAZHJzL2Rvd25yZXYueG1sUEsBAhQA&#10;FAAAAAgAh07iQEDYwh9mAgAAxAQAAA4AAAAAAAAAAQAgAAAAJQEAAGRycy9lMm9Eb2MueG1sUEsF&#10;BgAAAAAGAAYAWQEAAP0FAAAAAA==&#10;">
                <v:fill on="t" focussize="0,0"/>
                <v:stroke weight="0.5pt" color="#000000 [3204]" joinstyle="round"/>
                <v:imagedata o:title=""/>
                <o:lock v:ext="edit" aspectratio="f"/>
                <v:textbox>
                  <w:txbxContent>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Unit name:Strategic Marketing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code:BMBM601</w:t>
                      </w:r>
                      <w:r>
                        <w:rPr>
                          <w:rFonts w:hint="eastAsia" w:ascii="Arial" w:hAnsi="Arial" w:eastAsia="微软雅黑" w:cs="Arial"/>
                          <w:b/>
                          <w:bCs/>
                          <w:color w:val="000000" w:themeColor="text1"/>
                          <w:sz w:val="24"/>
                          <w:szCs w:val="24"/>
                          <w:lang w:val="en-US" w:eastAsia="zh-CN"/>
                          <w14:textFill>
                            <w14:solidFill>
                              <w14:schemeClr w14:val="tx1"/>
                            </w14:solidFill>
                          </w14:textFill>
                        </w:rPr>
                        <w:t>6</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Module Lead:Gwyneth Jones</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name:Tiantian Gong</w:t>
                      </w:r>
                    </w:p>
                    <w:p>
                      <w:pPr>
                        <w:keepNext w:val="0"/>
                        <w:keepLines w:val="0"/>
                        <w:pageBreakBefore w:val="0"/>
                        <w:widowControl w:val="0"/>
                        <w:kinsoku/>
                        <w:wordWrap/>
                        <w:overflowPunct/>
                        <w:topLinePunct w:val="0"/>
                        <w:bidi w:val="0"/>
                        <w:adjustRightInd/>
                        <w:snapToGrid/>
                        <w:spacing w:line="480" w:lineRule="auto"/>
                        <w:jc w:val="left"/>
                        <w:textAlignment w:val="auto"/>
                        <w:rPr>
                          <w:rFonts w:hint="default" w:ascii="Arial" w:hAnsi="Arial" w:eastAsia="微软雅黑" w:cs="Arial"/>
                          <w:b/>
                          <w:bCs/>
                          <w:color w:val="000000" w:themeColor="text1"/>
                          <w:sz w:val="24"/>
                          <w:szCs w:val="24"/>
                          <w:lang w:val="en-US" w:eastAsia="zh-CN"/>
                          <w14:textFill>
                            <w14:solidFill>
                              <w14:schemeClr w14:val="tx1"/>
                            </w14:solidFill>
                          </w14:textFill>
                        </w:rPr>
                      </w:pPr>
                      <w:r>
                        <w:rPr>
                          <w:rFonts w:hint="default" w:ascii="Arial" w:hAnsi="Arial" w:eastAsia="微软雅黑" w:cs="Arial"/>
                          <w:b/>
                          <w:bCs/>
                          <w:color w:val="000000" w:themeColor="text1"/>
                          <w:sz w:val="24"/>
                          <w:szCs w:val="24"/>
                          <w:lang w:val="en-US" w:eastAsia="zh-CN"/>
                          <w14:textFill>
                            <w14:solidFill>
                              <w14:schemeClr w14:val="tx1"/>
                            </w14:solidFill>
                          </w14:textFill>
                        </w:rPr>
                        <w:t>Student ID number:2300467</w:t>
                      </w:r>
                    </w:p>
                    <w:p>
                      <w:pPr>
                        <w:keepNext w:val="0"/>
                        <w:keepLines w:val="0"/>
                        <w:pageBreakBefore w:val="0"/>
                        <w:widowControl w:val="0"/>
                        <w:kinsoku/>
                        <w:wordWrap/>
                        <w:overflowPunct/>
                        <w:topLinePunct w:val="0"/>
                        <w:bidi w:val="0"/>
                        <w:adjustRightInd/>
                        <w:snapToGrid/>
                        <w:spacing w:line="480" w:lineRule="auto"/>
                        <w:textAlignment w:val="auto"/>
                        <w:rPr>
                          <w:rFonts w:hint="default" w:ascii="Arial" w:hAnsi="Arial" w:cs="Arial"/>
                          <w:b/>
                          <w:bCs/>
                          <w:sz w:val="24"/>
                          <w:szCs w:val="24"/>
                        </w:rPr>
                      </w:pPr>
                      <w:r>
                        <w:rPr>
                          <w:rFonts w:hint="default" w:ascii="Arial" w:hAnsi="Arial" w:eastAsia="微软雅黑" w:cs="Arial"/>
                          <w:b/>
                          <w:bCs/>
                          <w:color w:val="000000" w:themeColor="text1"/>
                          <w:sz w:val="24"/>
                          <w:szCs w:val="24"/>
                          <w:lang w:val="en-US" w:eastAsia="zh-CN"/>
                          <w14:textFill>
                            <w14:solidFill>
                              <w14:schemeClr w14:val="tx1"/>
                            </w14:solidFill>
                          </w14:textFill>
                        </w:rPr>
                        <w:t>Date submitted:22nd March 2024</w:t>
                      </w:r>
                    </w:p>
                    <w:p/>
                  </w:txbxContent>
                </v:textbox>
              </v:shape>
            </w:pict>
          </mc:Fallback>
        </mc:AlternateContent>
      </w: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rPr>
          <w:b/>
          <w:bCs/>
          <w:sz w:val="28"/>
          <w:szCs w:val="28"/>
          <w:u w:val="none"/>
        </w:rPr>
      </w:pPr>
    </w:p>
    <w:p>
      <w:pPr>
        <w:outlineLvl w:val="0"/>
        <w:rPr>
          <w:rFonts w:hint="default" w:ascii="Arial" w:hAnsi="Arial" w:cs="Arial"/>
          <w:b/>
          <w:bCs/>
          <w:sz w:val="24"/>
          <w:szCs w:val="24"/>
          <w:u w:val="none"/>
        </w:rPr>
      </w:pPr>
      <w:bookmarkStart w:id="0" w:name="_Toc30463"/>
      <w:r>
        <w:rPr>
          <w:rFonts w:hint="default" w:ascii="Arial" w:hAnsi="Arial" w:cs="Arial"/>
          <w:b/>
          <w:bCs/>
          <w:sz w:val="24"/>
          <w:szCs w:val="24"/>
          <w:u w:val="none"/>
        </w:rPr>
        <w:t>Executive Summary</w:t>
      </w:r>
      <w:bookmarkEnd w:id="0"/>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This article first conducts a thorough and in-depth analysis of Marks &amp; Spencer's development environment using the SWOT analysis method. Analysis reveals that Marks &amp; Spencer's growth faces a number of obstacles and threats in addition to favourable development opportunities and advantages in the current economic climate.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In particular, Marks &amp; Spencer's current advantages are primarily derived from its strong brand recognition, substantial local market share, excellent physical location, and pleasant shopping atmosphere. This has set the stage for supermarket development to be robust and long-lasting in the future. Low profit margins, fierce price competition, and high costs are its key weaknesses. This limits Marks &amp; Spencer's ability to grow in the future in certain ways.</w:t>
      </w:r>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According to this article, Marks &amp; Spencer should decide on and put into practice new development strategies, such as "clarifying market positioning, valuing marketing, adopting new promotional methods, and fully utilising geographical advantages," in light of the competitive environment and current development status that supermarkets face. In addition to offering helpful experience to other retail businesses, I hope to inspire some ideas for Marks &amp; Spencer's future development direction and give these businesses better development space going forward.</w:t>
      </w: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keepNext w:val="0"/>
        <w:keepLines w:val="0"/>
        <w:pageBreakBefore w:val="0"/>
        <w:widowControl w:val="0"/>
        <w:kinsoku/>
        <w:wordWrap/>
        <w:overflowPunct/>
        <w:topLinePunct w:val="0"/>
        <w:autoSpaceDE/>
        <w:autoSpaceDN/>
        <w:bidi w:val="0"/>
        <w:adjustRightInd/>
        <w:snapToGrid/>
        <w:spacing w:before="0" w:beforeLines="0" w:after="0" w:afterLines="0" w:line="480" w:lineRule="auto"/>
        <w:ind w:left="0" w:leftChars="0" w:right="0" w:rightChars="0" w:firstLine="0" w:firstLineChars="0"/>
        <w:jc w:val="center"/>
        <w:textAlignment w:val="auto"/>
        <w:rPr>
          <w:rFonts w:hint="default" w:ascii="Arial" w:hAnsi="Arial" w:cs="Arial"/>
          <w:b/>
          <w:bCs/>
          <w:sz w:val="24"/>
          <w:szCs w:val="24"/>
          <w:lang w:val="en-US"/>
        </w:rPr>
      </w:pPr>
      <w:r>
        <w:rPr>
          <w:rFonts w:hint="default" w:ascii="Arial" w:hAnsi="Arial" w:eastAsia="宋体" w:cs="Arial"/>
          <w:b/>
          <w:bCs/>
          <w:kern w:val="2"/>
          <w:sz w:val="24"/>
          <w:szCs w:val="24"/>
          <w:lang w:val="en-US" w:eastAsia="zh-CN" w:bidi="ar-SA"/>
        </w:rPr>
        <w:t>Connect</w:t>
      </w:r>
    </w:p>
    <w:sdt>
      <w:sdtPr>
        <w:rPr>
          <w:rFonts w:hint="default" w:ascii="Arial" w:hAnsi="Arial" w:eastAsia="宋体" w:cs="Arial"/>
          <w:kern w:val="2"/>
          <w:sz w:val="24"/>
          <w:szCs w:val="24"/>
          <w:lang w:val="en-US" w:eastAsia="zh-CN" w:bidi="ar-SA"/>
        </w:rPr>
        <w:id w:val="147479746"/>
        <w15:color w:val="DBDBDB"/>
        <w:docPartObj>
          <w:docPartGallery w:val="Table of Contents"/>
          <w:docPartUnique/>
        </w:docPartObj>
      </w:sdtPr>
      <w:sdtEndPr>
        <w:rPr>
          <w:rFonts w:hint="default" w:ascii="Arial" w:hAnsi="Arial" w:cs="Arial" w:eastAsiaTheme="minorEastAsia"/>
          <w:b/>
          <w:bCs/>
          <w:kern w:val="2"/>
          <w:sz w:val="21"/>
          <w:szCs w:val="24"/>
          <w:u w:val="none"/>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24"/>
              <w:szCs w:val="24"/>
            </w:rPr>
          </w:pPr>
          <w:bookmarkStart w:id="22" w:name="_GoBack"/>
          <w:bookmarkEnd w:id="22"/>
        </w:p>
        <w:p>
          <w:pPr>
            <w:pStyle w:val="5"/>
            <w:tabs>
              <w:tab w:val="right" w:leader="dot" w:pos="8306"/>
            </w:tabs>
            <w:rPr>
              <w:rFonts w:hint="default" w:ascii="Arial" w:hAnsi="Arial" w:cs="Arial"/>
              <w:b/>
              <w:sz w:val="24"/>
              <w:szCs w:val="24"/>
            </w:rPr>
          </w:pPr>
          <w:r>
            <w:rPr>
              <w:rFonts w:hint="default" w:ascii="Arial" w:hAnsi="Arial" w:cs="Arial"/>
              <w:b/>
              <w:bCs/>
              <w:sz w:val="24"/>
              <w:szCs w:val="24"/>
              <w:u w:val="none"/>
            </w:rPr>
            <w:fldChar w:fldCharType="begin"/>
          </w:r>
          <w:r>
            <w:rPr>
              <w:rFonts w:hint="default" w:ascii="Arial" w:hAnsi="Arial" w:cs="Arial"/>
              <w:b/>
              <w:bCs/>
              <w:sz w:val="24"/>
              <w:szCs w:val="24"/>
              <w:u w:val="none"/>
            </w:rPr>
            <w:instrText xml:space="preserve">TOC \o "1-2" \h \u </w:instrText>
          </w:r>
          <w:r>
            <w:rPr>
              <w:rFonts w:hint="default" w:ascii="Arial" w:hAnsi="Arial" w:cs="Arial"/>
              <w:b/>
              <w:bCs/>
              <w:sz w:val="24"/>
              <w:szCs w:val="24"/>
              <w:u w:val="none"/>
            </w:rPr>
            <w:fldChar w:fldCharType="separate"/>
          </w:r>
          <w:r>
            <w:rPr>
              <w:rFonts w:hint="default" w:ascii="Arial" w:hAnsi="Arial" w:cs="Arial"/>
              <w:b/>
              <w:bCs/>
              <w:sz w:val="24"/>
              <w:szCs w:val="24"/>
              <w:u w:val="none"/>
            </w:rPr>
            <w:fldChar w:fldCharType="begin"/>
          </w:r>
          <w:r>
            <w:rPr>
              <w:rFonts w:hint="default" w:ascii="Arial" w:hAnsi="Arial" w:cs="Arial"/>
              <w:b/>
              <w:bCs/>
              <w:sz w:val="24"/>
              <w:szCs w:val="24"/>
            </w:rPr>
            <w:instrText xml:space="preserve"> HYPERLINK \l _Toc30463 </w:instrText>
          </w:r>
          <w:r>
            <w:rPr>
              <w:rFonts w:hint="default" w:ascii="Arial" w:hAnsi="Arial" w:cs="Arial"/>
              <w:b/>
              <w:bCs/>
              <w:sz w:val="24"/>
              <w:szCs w:val="24"/>
            </w:rPr>
            <w:fldChar w:fldCharType="separate"/>
          </w:r>
          <w:r>
            <w:rPr>
              <w:rFonts w:hint="default" w:ascii="Arial" w:hAnsi="Arial" w:cs="Arial"/>
              <w:b/>
              <w:bCs/>
              <w:sz w:val="24"/>
              <w:szCs w:val="24"/>
            </w:rPr>
            <w:t>Executive Summary</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_Toc30463 \h </w:instrText>
          </w:r>
          <w:r>
            <w:rPr>
              <w:rFonts w:hint="default" w:ascii="Arial" w:hAnsi="Arial" w:cs="Arial"/>
              <w:b/>
              <w:sz w:val="24"/>
              <w:szCs w:val="24"/>
            </w:rPr>
            <w:fldChar w:fldCharType="separate"/>
          </w:r>
          <w:r>
            <w:rPr>
              <w:rFonts w:hint="default" w:ascii="Arial" w:hAnsi="Arial" w:cs="Arial"/>
              <w:b/>
              <w:sz w:val="24"/>
              <w:szCs w:val="24"/>
            </w:rPr>
            <w:t>2</w:t>
          </w:r>
          <w:r>
            <w:rPr>
              <w:rFonts w:hint="default" w:ascii="Arial" w:hAnsi="Arial" w:cs="Arial"/>
              <w:b/>
              <w:sz w:val="24"/>
              <w:szCs w:val="24"/>
            </w:rPr>
            <w:fldChar w:fldCharType="end"/>
          </w:r>
          <w:r>
            <w:rPr>
              <w:rFonts w:hint="default" w:ascii="Arial" w:hAnsi="Arial" w:cs="Arial"/>
              <w:b/>
              <w:bCs/>
              <w:sz w:val="24"/>
              <w:szCs w:val="24"/>
              <w:u w:val="none"/>
            </w:rPr>
            <w:fldChar w:fldCharType="end"/>
          </w:r>
        </w:p>
        <w:p>
          <w:pPr>
            <w:pStyle w:val="5"/>
            <w:tabs>
              <w:tab w:val="right" w:leader="dot" w:pos="8306"/>
            </w:tabs>
            <w:rPr>
              <w:rFonts w:hint="default" w:ascii="Arial" w:hAnsi="Arial" w:cs="Arial"/>
              <w:b/>
              <w:sz w:val="24"/>
              <w:szCs w:val="24"/>
            </w:rPr>
          </w:pPr>
          <w:r>
            <w:rPr>
              <w:rFonts w:hint="default" w:ascii="Arial" w:hAnsi="Arial" w:cs="Arial"/>
              <w:b/>
              <w:bCs/>
              <w:sz w:val="24"/>
              <w:szCs w:val="24"/>
              <w:u w:val="none"/>
            </w:rPr>
            <w:fldChar w:fldCharType="begin"/>
          </w:r>
          <w:r>
            <w:rPr>
              <w:rFonts w:hint="default" w:ascii="Arial" w:hAnsi="Arial" w:cs="Arial"/>
              <w:b/>
              <w:bCs/>
              <w:sz w:val="24"/>
              <w:szCs w:val="24"/>
            </w:rPr>
            <w:instrText xml:space="preserve"> HYPERLINK \l _Toc10071 </w:instrText>
          </w:r>
          <w:r>
            <w:rPr>
              <w:rFonts w:hint="default" w:ascii="Arial" w:hAnsi="Arial" w:cs="Arial"/>
              <w:b/>
              <w:bCs/>
              <w:sz w:val="24"/>
              <w:szCs w:val="24"/>
            </w:rPr>
            <w:fldChar w:fldCharType="separate"/>
          </w:r>
          <w:r>
            <w:rPr>
              <w:rFonts w:hint="default" w:ascii="Arial" w:hAnsi="Arial" w:cs="Arial"/>
              <w:b/>
              <w:bCs w:val="0"/>
              <w:sz w:val="24"/>
              <w:szCs w:val="24"/>
            </w:rPr>
            <w:t xml:space="preserve">1. </w:t>
          </w:r>
          <w:r>
            <w:rPr>
              <w:rFonts w:hint="default" w:ascii="Arial" w:hAnsi="Arial" w:cs="Arial"/>
              <w:b/>
              <w:bCs/>
              <w:sz w:val="24"/>
              <w:szCs w:val="24"/>
            </w:rPr>
            <w:t>Introduction</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_Toc10071 \h </w:instrText>
          </w:r>
          <w:r>
            <w:rPr>
              <w:rFonts w:hint="default" w:ascii="Arial" w:hAnsi="Arial" w:cs="Arial"/>
              <w:b/>
              <w:sz w:val="24"/>
              <w:szCs w:val="24"/>
            </w:rPr>
            <w:fldChar w:fldCharType="separate"/>
          </w:r>
          <w:r>
            <w:rPr>
              <w:rFonts w:hint="default" w:ascii="Arial" w:hAnsi="Arial" w:cs="Arial"/>
              <w:b/>
              <w:sz w:val="24"/>
              <w:szCs w:val="24"/>
            </w:rPr>
            <w:t>4</w:t>
          </w:r>
          <w:r>
            <w:rPr>
              <w:rFonts w:hint="default" w:ascii="Arial" w:hAnsi="Arial" w:cs="Arial"/>
              <w:b/>
              <w:sz w:val="24"/>
              <w:szCs w:val="24"/>
            </w:rPr>
            <w:fldChar w:fldCharType="end"/>
          </w:r>
          <w:r>
            <w:rPr>
              <w:rFonts w:hint="default" w:ascii="Arial" w:hAnsi="Arial" w:cs="Arial"/>
              <w:b/>
              <w:bCs/>
              <w:sz w:val="24"/>
              <w:szCs w:val="24"/>
              <w:u w:val="none"/>
            </w:rPr>
            <w:fldChar w:fldCharType="end"/>
          </w:r>
        </w:p>
        <w:p>
          <w:pPr>
            <w:pStyle w:val="5"/>
            <w:tabs>
              <w:tab w:val="right" w:leader="dot" w:pos="8306"/>
            </w:tabs>
            <w:rPr>
              <w:rFonts w:hint="default" w:ascii="Arial" w:hAnsi="Arial" w:cs="Arial"/>
              <w:b/>
              <w:sz w:val="24"/>
              <w:szCs w:val="24"/>
            </w:rPr>
          </w:pPr>
          <w:r>
            <w:rPr>
              <w:rFonts w:hint="default" w:ascii="Arial" w:hAnsi="Arial" w:cs="Arial"/>
              <w:b/>
              <w:bCs/>
              <w:sz w:val="24"/>
              <w:szCs w:val="24"/>
              <w:u w:val="none"/>
            </w:rPr>
            <w:fldChar w:fldCharType="begin"/>
          </w:r>
          <w:r>
            <w:rPr>
              <w:rFonts w:hint="default" w:ascii="Arial" w:hAnsi="Arial" w:cs="Arial"/>
              <w:b/>
              <w:bCs/>
              <w:sz w:val="24"/>
              <w:szCs w:val="24"/>
            </w:rPr>
            <w:instrText xml:space="preserve"> HYPERLINK \l _Toc8052 </w:instrText>
          </w:r>
          <w:r>
            <w:rPr>
              <w:rFonts w:hint="default" w:ascii="Arial" w:hAnsi="Arial" w:cs="Arial"/>
              <w:b/>
              <w:bCs/>
              <w:sz w:val="24"/>
              <w:szCs w:val="24"/>
            </w:rPr>
            <w:fldChar w:fldCharType="separate"/>
          </w:r>
          <w:r>
            <w:rPr>
              <w:rFonts w:hint="default" w:ascii="Arial" w:hAnsi="Arial" w:cs="Arial"/>
              <w:b/>
              <w:bCs/>
              <w:sz w:val="24"/>
              <w:szCs w:val="24"/>
            </w:rPr>
            <w:t>2. SWOT analysis of Marks&amp;Spencer</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_Toc8052 \h </w:instrText>
          </w:r>
          <w:r>
            <w:rPr>
              <w:rFonts w:hint="default" w:ascii="Arial" w:hAnsi="Arial" w:cs="Arial"/>
              <w:b/>
              <w:sz w:val="24"/>
              <w:szCs w:val="24"/>
            </w:rPr>
            <w:fldChar w:fldCharType="separate"/>
          </w:r>
          <w:r>
            <w:rPr>
              <w:rFonts w:hint="default" w:ascii="Arial" w:hAnsi="Arial" w:cs="Arial"/>
              <w:b/>
              <w:sz w:val="24"/>
              <w:szCs w:val="24"/>
            </w:rPr>
            <w:t>5</w:t>
          </w:r>
          <w:r>
            <w:rPr>
              <w:rFonts w:hint="default" w:ascii="Arial" w:hAnsi="Arial" w:cs="Arial"/>
              <w:b/>
              <w:sz w:val="24"/>
              <w:szCs w:val="24"/>
            </w:rPr>
            <w:fldChar w:fldCharType="end"/>
          </w:r>
          <w:r>
            <w:rPr>
              <w:rFonts w:hint="default" w:ascii="Arial" w:hAnsi="Arial" w:cs="Arial"/>
              <w:b/>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_Toc22561 </w:instrText>
          </w:r>
          <w:r>
            <w:rPr>
              <w:rFonts w:hint="default" w:ascii="Arial" w:hAnsi="Arial" w:cs="Arial"/>
              <w:bCs/>
              <w:sz w:val="24"/>
              <w:szCs w:val="24"/>
            </w:rPr>
            <w:fldChar w:fldCharType="separate"/>
          </w:r>
          <w:r>
            <w:rPr>
              <w:rFonts w:hint="default" w:ascii="Arial" w:hAnsi="Arial" w:cs="Arial"/>
              <w:bCs/>
              <w:sz w:val="24"/>
              <w:szCs w:val="24"/>
            </w:rPr>
            <w:t xml:space="preserve">2.1 </w:t>
          </w:r>
          <w:r>
            <w:rPr>
              <w:rFonts w:hint="default" w:ascii="Arial" w:hAnsi="Arial" w:cs="Arial"/>
              <w:bCs/>
              <w:sz w:val="24"/>
              <w:szCs w:val="24"/>
              <w:lang w:val="en-US" w:eastAsia="zh-CN"/>
            </w:rPr>
            <w:t>S</w:t>
          </w:r>
          <w:r>
            <w:rPr>
              <w:rFonts w:hint="default" w:ascii="Arial" w:hAnsi="Arial" w:cs="Arial"/>
              <w:bCs/>
              <w:sz w:val="24"/>
              <w:szCs w:val="24"/>
            </w:rPr>
            <w:t>trength (internal)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_Toc22561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_Toc21953 </w:instrText>
          </w:r>
          <w:r>
            <w:rPr>
              <w:rFonts w:hint="default" w:ascii="Arial" w:hAnsi="Arial" w:cs="Arial"/>
              <w:bCs/>
              <w:sz w:val="24"/>
              <w:szCs w:val="24"/>
            </w:rPr>
            <w:fldChar w:fldCharType="separate"/>
          </w:r>
          <w:r>
            <w:rPr>
              <w:rFonts w:hint="default" w:ascii="Arial" w:hAnsi="Arial" w:cs="Arial"/>
              <w:bCs/>
              <w:sz w:val="24"/>
              <w:szCs w:val="24"/>
            </w:rPr>
            <w:t>2.2</w:t>
          </w:r>
          <w:r>
            <w:rPr>
              <w:rFonts w:hint="default" w:ascii="Arial" w:hAnsi="Arial" w:cs="Arial"/>
              <w:bCs/>
              <w:sz w:val="24"/>
              <w:szCs w:val="24"/>
              <w:lang w:val="en-US" w:eastAsia="zh-CN"/>
            </w:rPr>
            <w:t xml:space="preserve"> W</w:t>
          </w:r>
          <w:r>
            <w:rPr>
              <w:rFonts w:hint="default" w:ascii="Arial" w:hAnsi="Arial" w:cs="Arial"/>
              <w:bCs/>
              <w:sz w:val="24"/>
              <w:szCs w:val="24"/>
            </w:rPr>
            <w:t>eakness (internal)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_Toc21953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_Toc1498 </w:instrText>
          </w:r>
          <w:r>
            <w:rPr>
              <w:rFonts w:hint="default" w:ascii="Arial" w:hAnsi="Arial" w:cs="Arial"/>
              <w:bCs/>
              <w:sz w:val="24"/>
              <w:szCs w:val="24"/>
            </w:rPr>
            <w:fldChar w:fldCharType="separate"/>
          </w:r>
          <w:r>
            <w:rPr>
              <w:rFonts w:hint="default" w:ascii="Arial" w:hAnsi="Arial" w:cs="Arial"/>
              <w:bCs/>
              <w:sz w:val="24"/>
              <w:szCs w:val="24"/>
            </w:rPr>
            <w:t>2.3</w:t>
          </w:r>
          <w:r>
            <w:rPr>
              <w:rFonts w:hint="default" w:ascii="Arial" w:hAnsi="Arial" w:cs="Arial"/>
              <w:bCs/>
              <w:sz w:val="24"/>
              <w:szCs w:val="24"/>
              <w:lang w:val="en-US" w:eastAsia="zh-CN"/>
            </w:rPr>
            <w:t xml:space="preserve"> </w:t>
          </w:r>
          <w:r>
            <w:rPr>
              <w:rFonts w:hint="default" w:ascii="Arial" w:hAnsi="Arial" w:cs="Arial"/>
              <w:bCs/>
              <w:sz w:val="24"/>
              <w:szCs w:val="24"/>
            </w:rPr>
            <w:t>Opportunity (</w:t>
          </w:r>
          <w:r>
            <w:rPr>
              <w:rFonts w:hint="default" w:ascii="Arial" w:hAnsi="Arial" w:cs="Arial"/>
              <w:bCs/>
              <w:sz w:val="24"/>
              <w:szCs w:val="24"/>
              <w:lang w:val="en-US" w:eastAsia="zh-CN"/>
            </w:rPr>
            <w:t>e</w:t>
          </w:r>
          <w:r>
            <w:rPr>
              <w:rFonts w:hint="default" w:ascii="Arial" w:hAnsi="Arial" w:cs="Arial"/>
              <w:bCs/>
              <w:sz w:val="24"/>
              <w:szCs w:val="24"/>
            </w:rPr>
            <w:t>xternal)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_Toc1498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_Toc23249 </w:instrText>
          </w:r>
          <w:r>
            <w:rPr>
              <w:rFonts w:hint="default" w:ascii="Arial" w:hAnsi="Arial" w:cs="Arial"/>
              <w:bCs/>
              <w:sz w:val="24"/>
              <w:szCs w:val="24"/>
            </w:rPr>
            <w:fldChar w:fldCharType="separate"/>
          </w:r>
          <w:r>
            <w:rPr>
              <w:rFonts w:hint="default" w:ascii="Arial" w:hAnsi="Arial" w:cs="Arial"/>
              <w:bCs/>
              <w:sz w:val="24"/>
              <w:szCs w:val="24"/>
            </w:rPr>
            <w:t>2.4</w:t>
          </w:r>
          <w:r>
            <w:rPr>
              <w:rFonts w:hint="default" w:ascii="Arial" w:hAnsi="Arial" w:cs="Arial"/>
              <w:bCs/>
              <w:sz w:val="24"/>
              <w:szCs w:val="24"/>
              <w:lang w:val="en-US" w:eastAsia="zh-CN"/>
            </w:rPr>
            <w:t xml:space="preserve"> T</w:t>
          </w:r>
          <w:r>
            <w:rPr>
              <w:rFonts w:hint="default" w:ascii="Arial" w:hAnsi="Arial" w:cs="Arial"/>
              <w:bCs/>
              <w:sz w:val="24"/>
              <w:szCs w:val="24"/>
            </w:rPr>
            <w:t>hrust (external)</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_Toc23249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5"/>
            <w:tabs>
              <w:tab w:val="right" w:leader="dot" w:pos="8306"/>
            </w:tabs>
            <w:rPr>
              <w:rFonts w:hint="default" w:ascii="Arial" w:hAnsi="Arial" w:cs="Arial"/>
              <w:b/>
              <w:sz w:val="24"/>
              <w:szCs w:val="24"/>
            </w:rPr>
          </w:pPr>
          <w:r>
            <w:rPr>
              <w:rFonts w:hint="default" w:ascii="Arial" w:hAnsi="Arial" w:cs="Arial"/>
              <w:b/>
              <w:bCs/>
              <w:sz w:val="24"/>
              <w:szCs w:val="24"/>
              <w:u w:val="none"/>
            </w:rPr>
            <w:fldChar w:fldCharType="begin"/>
          </w:r>
          <w:r>
            <w:rPr>
              <w:rFonts w:hint="default" w:ascii="Arial" w:hAnsi="Arial" w:cs="Arial"/>
              <w:b/>
              <w:bCs/>
              <w:sz w:val="24"/>
              <w:szCs w:val="24"/>
            </w:rPr>
            <w:instrText xml:space="preserve"> HYPERLINK \l _Toc19353 </w:instrText>
          </w:r>
          <w:r>
            <w:rPr>
              <w:rFonts w:hint="default" w:ascii="Arial" w:hAnsi="Arial" w:cs="Arial"/>
              <w:b/>
              <w:bCs/>
              <w:sz w:val="24"/>
              <w:szCs w:val="24"/>
            </w:rPr>
            <w:fldChar w:fldCharType="separate"/>
          </w:r>
          <w:r>
            <w:rPr>
              <w:rFonts w:hint="default" w:ascii="Arial" w:hAnsi="Arial" w:cs="Arial"/>
              <w:b/>
              <w:bCs/>
              <w:sz w:val="24"/>
              <w:szCs w:val="24"/>
              <w:lang w:val="en-US" w:eastAsia="zh-CN"/>
            </w:rPr>
            <w:t>3.</w:t>
          </w:r>
          <w:r>
            <w:rPr>
              <w:rFonts w:hint="default" w:ascii="Arial" w:hAnsi="Arial" w:cs="Arial"/>
              <w:b/>
              <w:bCs/>
              <w:sz w:val="24"/>
              <w:szCs w:val="24"/>
            </w:rPr>
            <w:t>Analysis of Marks&amp;Spencer's "Porter's Five Forces Model"</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_Toc19353 \h </w:instrText>
          </w:r>
          <w:r>
            <w:rPr>
              <w:rFonts w:hint="default" w:ascii="Arial" w:hAnsi="Arial" w:cs="Arial"/>
              <w:b/>
              <w:sz w:val="24"/>
              <w:szCs w:val="24"/>
            </w:rPr>
            <w:fldChar w:fldCharType="separate"/>
          </w:r>
          <w:r>
            <w:rPr>
              <w:rFonts w:hint="default" w:ascii="Arial" w:hAnsi="Arial" w:cs="Arial"/>
              <w:b/>
              <w:sz w:val="24"/>
              <w:szCs w:val="24"/>
            </w:rPr>
            <w:t>6</w:t>
          </w:r>
          <w:r>
            <w:rPr>
              <w:rFonts w:hint="default" w:ascii="Arial" w:hAnsi="Arial" w:cs="Arial"/>
              <w:b/>
              <w:sz w:val="24"/>
              <w:szCs w:val="24"/>
            </w:rPr>
            <w:fldChar w:fldCharType="end"/>
          </w:r>
          <w:r>
            <w:rPr>
              <w:rFonts w:hint="default" w:ascii="Arial" w:hAnsi="Arial" w:cs="Arial"/>
              <w:b/>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_Toc3050 </w:instrText>
          </w:r>
          <w:r>
            <w:rPr>
              <w:rFonts w:hint="default" w:ascii="Arial" w:hAnsi="Arial" w:cs="Arial"/>
              <w:bCs/>
              <w:sz w:val="24"/>
              <w:szCs w:val="24"/>
            </w:rPr>
            <w:fldChar w:fldCharType="separate"/>
          </w:r>
          <w:r>
            <w:rPr>
              <w:rFonts w:hint="default" w:ascii="Arial" w:hAnsi="Arial" w:cs="Arial"/>
              <w:bCs/>
              <w:sz w:val="24"/>
              <w:szCs w:val="24"/>
            </w:rPr>
            <w:t>3.1 Analysis of Threats from Same Type Supermarkets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_Toc3050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_Toc11753 </w:instrText>
          </w:r>
          <w:r>
            <w:rPr>
              <w:rFonts w:hint="default" w:ascii="Arial" w:hAnsi="Arial" w:cs="Arial"/>
              <w:bCs/>
              <w:sz w:val="24"/>
              <w:szCs w:val="24"/>
            </w:rPr>
            <w:fldChar w:fldCharType="separate"/>
          </w:r>
          <w:r>
            <w:rPr>
              <w:rFonts w:hint="default" w:ascii="Arial" w:hAnsi="Arial" w:cs="Arial"/>
              <w:bCs/>
              <w:sz w:val="24"/>
              <w:szCs w:val="24"/>
            </w:rPr>
            <w:t>3.2 Professional store threats.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_Toc11753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_Toc3655 </w:instrText>
          </w:r>
          <w:r>
            <w:rPr>
              <w:rFonts w:hint="default" w:ascii="Arial" w:hAnsi="Arial" w:cs="Arial"/>
              <w:bCs/>
              <w:sz w:val="24"/>
              <w:szCs w:val="24"/>
            </w:rPr>
            <w:fldChar w:fldCharType="separate"/>
          </w:r>
          <w:r>
            <w:rPr>
              <w:rFonts w:hint="default" w:ascii="Arial" w:hAnsi="Arial" w:cs="Arial"/>
              <w:bCs/>
              <w:sz w:val="24"/>
              <w:szCs w:val="24"/>
            </w:rPr>
            <w:t>3.3 Threats from large supermarkets.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_Toc3655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_Toc3216 </w:instrText>
          </w:r>
          <w:r>
            <w:rPr>
              <w:rFonts w:hint="default" w:ascii="Arial" w:hAnsi="Arial" w:cs="Arial"/>
              <w:bCs/>
              <w:sz w:val="24"/>
              <w:szCs w:val="24"/>
            </w:rPr>
            <w:fldChar w:fldCharType="separate"/>
          </w:r>
          <w:r>
            <w:rPr>
              <w:rFonts w:hint="default" w:ascii="Arial" w:hAnsi="Arial" w:cs="Arial"/>
              <w:bCs/>
              <w:sz w:val="24"/>
              <w:szCs w:val="24"/>
            </w:rPr>
            <w:t>3.4 Threats from Convenience Stores.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_Toc3216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_Toc7229 </w:instrText>
          </w:r>
          <w:r>
            <w:rPr>
              <w:rFonts w:hint="default" w:ascii="Arial" w:hAnsi="Arial" w:cs="Arial"/>
              <w:bCs/>
              <w:sz w:val="24"/>
              <w:szCs w:val="24"/>
            </w:rPr>
            <w:fldChar w:fldCharType="separate"/>
          </w:r>
          <w:r>
            <w:rPr>
              <w:rFonts w:hint="default" w:ascii="Arial" w:hAnsi="Arial" w:cs="Arial"/>
              <w:bCs/>
              <w:sz w:val="24"/>
              <w:szCs w:val="24"/>
            </w:rPr>
            <w:t>3.5 Supplier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_Toc7229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_Toc21387 </w:instrText>
          </w:r>
          <w:r>
            <w:rPr>
              <w:rFonts w:hint="default" w:ascii="Arial" w:hAnsi="Arial" w:cs="Arial"/>
              <w:bCs/>
              <w:sz w:val="24"/>
              <w:szCs w:val="24"/>
            </w:rPr>
            <w:fldChar w:fldCharType="separate"/>
          </w:r>
          <w:r>
            <w:rPr>
              <w:rFonts w:hint="default" w:ascii="Arial" w:hAnsi="Arial" w:cs="Arial"/>
              <w:bCs/>
              <w:sz w:val="24"/>
              <w:szCs w:val="24"/>
            </w:rPr>
            <w:t>3.6 Competitor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_Toc21387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_Toc10447 </w:instrText>
          </w:r>
          <w:r>
            <w:rPr>
              <w:rFonts w:hint="default" w:ascii="Arial" w:hAnsi="Arial" w:cs="Arial"/>
              <w:bCs/>
              <w:sz w:val="24"/>
              <w:szCs w:val="24"/>
            </w:rPr>
            <w:fldChar w:fldCharType="separate"/>
          </w:r>
          <w:r>
            <w:rPr>
              <w:rFonts w:hint="default" w:ascii="Arial" w:hAnsi="Arial" w:cs="Arial"/>
              <w:bCs/>
              <w:sz w:val="24"/>
              <w:szCs w:val="24"/>
            </w:rPr>
            <w:t>3.7 Analysis of Potential Competitors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_Toc10447 \h </w:instrText>
          </w:r>
          <w:r>
            <w:rPr>
              <w:rFonts w:hint="default" w:ascii="Arial" w:hAnsi="Arial" w:cs="Arial"/>
              <w:sz w:val="24"/>
              <w:szCs w:val="24"/>
            </w:rPr>
            <w:fldChar w:fldCharType="separate"/>
          </w:r>
          <w:r>
            <w:rPr>
              <w:rFonts w:hint="default" w:ascii="Arial" w:hAnsi="Arial" w:cs="Arial"/>
              <w:sz w:val="24"/>
              <w:szCs w:val="24"/>
            </w:rPr>
            <w:t>8</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_Toc27881 </w:instrText>
          </w:r>
          <w:r>
            <w:rPr>
              <w:rFonts w:hint="default" w:ascii="Arial" w:hAnsi="Arial" w:cs="Arial"/>
              <w:bCs/>
              <w:sz w:val="24"/>
              <w:szCs w:val="24"/>
            </w:rPr>
            <w:fldChar w:fldCharType="separate"/>
          </w:r>
          <w:r>
            <w:rPr>
              <w:rFonts w:hint="default" w:ascii="Arial" w:hAnsi="Arial" w:cs="Arial"/>
              <w:bCs/>
              <w:sz w:val="24"/>
              <w:szCs w:val="24"/>
            </w:rPr>
            <w:t>3.8 Consumer Analysis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_Toc27881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5"/>
            <w:tabs>
              <w:tab w:val="right" w:leader="dot" w:pos="8306"/>
            </w:tabs>
            <w:rPr>
              <w:rFonts w:hint="default" w:ascii="Arial" w:hAnsi="Arial" w:cs="Arial"/>
              <w:b/>
              <w:sz w:val="24"/>
              <w:szCs w:val="24"/>
            </w:rPr>
          </w:pPr>
          <w:r>
            <w:rPr>
              <w:rFonts w:hint="default" w:ascii="Arial" w:hAnsi="Arial" w:cs="Arial"/>
              <w:b/>
              <w:bCs/>
              <w:sz w:val="24"/>
              <w:szCs w:val="24"/>
              <w:u w:val="none"/>
            </w:rPr>
            <w:fldChar w:fldCharType="begin"/>
          </w:r>
          <w:r>
            <w:rPr>
              <w:rFonts w:hint="default" w:ascii="Arial" w:hAnsi="Arial" w:cs="Arial"/>
              <w:b/>
              <w:bCs/>
              <w:sz w:val="24"/>
              <w:szCs w:val="24"/>
            </w:rPr>
            <w:instrText xml:space="preserve"> HYPERLINK \l _Toc29855 </w:instrText>
          </w:r>
          <w:r>
            <w:rPr>
              <w:rFonts w:hint="default" w:ascii="Arial" w:hAnsi="Arial" w:cs="Arial"/>
              <w:b/>
              <w:bCs/>
              <w:sz w:val="24"/>
              <w:szCs w:val="24"/>
            </w:rPr>
            <w:fldChar w:fldCharType="separate"/>
          </w:r>
          <w:r>
            <w:rPr>
              <w:rFonts w:hint="default" w:ascii="Arial" w:hAnsi="Arial" w:cs="Arial"/>
              <w:b/>
              <w:bCs/>
              <w:sz w:val="24"/>
              <w:szCs w:val="24"/>
            </w:rPr>
            <w:t>4. Suggestions for optimizing Marks&amp;Spencer marketing strategy</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_Toc29855 \h </w:instrText>
          </w:r>
          <w:r>
            <w:rPr>
              <w:rFonts w:hint="default" w:ascii="Arial" w:hAnsi="Arial" w:cs="Arial"/>
              <w:b/>
              <w:sz w:val="24"/>
              <w:szCs w:val="24"/>
            </w:rPr>
            <w:fldChar w:fldCharType="separate"/>
          </w:r>
          <w:r>
            <w:rPr>
              <w:rFonts w:hint="default" w:ascii="Arial" w:hAnsi="Arial" w:cs="Arial"/>
              <w:b/>
              <w:sz w:val="24"/>
              <w:szCs w:val="24"/>
            </w:rPr>
            <w:t>9</w:t>
          </w:r>
          <w:r>
            <w:rPr>
              <w:rFonts w:hint="default" w:ascii="Arial" w:hAnsi="Arial" w:cs="Arial"/>
              <w:b/>
              <w:sz w:val="24"/>
              <w:szCs w:val="24"/>
            </w:rPr>
            <w:fldChar w:fldCharType="end"/>
          </w:r>
          <w:r>
            <w:rPr>
              <w:rFonts w:hint="default" w:ascii="Arial" w:hAnsi="Arial" w:cs="Arial"/>
              <w:b/>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_Toc16994 </w:instrText>
          </w:r>
          <w:r>
            <w:rPr>
              <w:rFonts w:hint="default" w:ascii="Arial" w:hAnsi="Arial" w:cs="Arial"/>
              <w:bCs/>
              <w:sz w:val="24"/>
              <w:szCs w:val="24"/>
            </w:rPr>
            <w:fldChar w:fldCharType="separate"/>
          </w:r>
          <w:r>
            <w:rPr>
              <w:rFonts w:hint="default" w:ascii="Arial" w:hAnsi="Arial" w:cs="Arial"/>
              <w:bCs/>
              <w:sz w:val="24"/>
              <w:szCs w:val="24"/>
            </w:rPr>
            <w:t>4.1 Clarify market positioning</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_Toc16994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_Toc18327 </w:instrText>
          </w:r>
          <w:r>
            <w:rPr>
              <w:rFonts w:hint="default" w:ascii="Arial" w:hAnsi="Arial" w:cs="Arial"/>
              <w:bCs/>
              <w:sz w:val="24"/>
              <w:szCs w:val="24"/>
            </w:rPr>
            <w:fldChar w:fldCharType="separate"/>
          </w:r>
          <w:r>
            <w:rPr>
              <w:rFonts w:hint="default" w:ascii="Arial" w:hAnsi="Arial" w:cs="Arial"/>
              <w:bCs/>
              <w:sz w:val="24"/>
              <w:szCs w:val="24"/>
            </w:rPr>
            <w:t>4.2 Emphasize marketing and adopt new types of promotions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_Toc18327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6"/>
            <w:tabs>
              <w:tab w:val="right" w:leader="dot" w:pos="8306"/>
            </w:tabs>
            <w:rPr>
              <w:rFonts w:hint="default" w:ascii="Arial" w:hAnsi="Arial" w:cs="Arial"/>
              <w:sz w:val="24"/>
              <w:szCs w:val="24"/>
            </w:rPr>
          </w:pPr>
          <w:r>
            <w:rPr>
              <w:rFonts w:hint="default" w:ascii="Arial" w:hAnsi="Arial" w:cs="Arial"/>
              <w:bCs/>
              <w:sz w:val="24"/>
              <w:szCs w:val="24"/>
              <w:u w:val="none"/>
            </w:rPr>
            <w:fldChar w:fldCharType="begin"/>
          </w:r>
          <w:r>
            <w:rPr>
              <w:rFonts w:hint="default" w:ascii="Arial" w:hAnsi="Arial" w:cs="Arial"/>
              <w:bCs/>
              <w:sz w:val="24"/>
              <w:szCs w:val="24"/>
            </w:rPr>
            <w:instrText xml:space="preserve"> HYPERLINK \l _Toc21738 </w:instrText>
          </w:r>
          <w:r>
            <w:rPr>
              <w:rFonts w:hint="default" w:ascii="Arial" w:hAnsi="Arial" w:cs="Arial"/>
              <w:bCs/>
              <w:sz w:val="24"/>
              <w:szCs w:val="24"/>
            </w:rPr>
            <w:fldChar w:fldCharType="separate"/>
          </w:r>
          <w:r>
            <w:rPr>
              <w:rFonts w:hint="default" w:ascii="Arial" w:hAnsi="Arial" w:cs="Arial"/>
              <w:bCs/>
              <w:sz w:val="24"/>
              <w:szCs w:val="24"/>
            </w:rPr>
            <w:t xml:space="preserve">4.3 Make full use of geographical </w:t>
          </w:r>
          <w:r>
            <w:rPr>
              <w:rFonts w:hint="default" w:ascii="Arial" w:hAnsi="Arial" w:cs="Arial"/>
              <w:bCs/>
              <w:sz w:val="24"/>
              <w:szCs w:val="24"/>
              <w:lang w:val="en-US" w:eastAsia="zh-CN"/>
            </w:rPr>
            <w:t>r</w:t>
          </w:r>
          <w:r>
            <w:rPr>
              <w:rFonts w:hint="default" w:ascii="Arial" w:hAnsi="Arial" w:cs="Arial"/>
              <w:bCs/>
              <w:sz w:val="24"/>
              <w:szCs w:val="24"/>
            </w:rPr>
            <w:t>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_Toc21738 \h </w:instrText>
          </w:r>
          <w:r>
            <w:rPr>
              <w:rFonts w:hint="default" w:ascii="Arial" w:hAnsi="Arial" w:cs="Arial"/>
              <w:sz w:val="24"/>
              <w:szCs w:val="24"/>
            </w:rPr>
            <w:fldChar w:fldCharType="separate"/>
          </w:r>
          <w:r>
            <w:rPr>
              <w:rFonts w:hint="default" w:ascii="Arial" w:hAnsi="Arial" w:cs="Arial"/>
              <w:sz w:val="24"/>
              <w:szCs w:val="24"/>
            </w:rPr>
            <w:t>10</w:t>
          </w:r>
          <w:r>
            <w:rPr>
              <w:rFonts w:hint="default" w:ascii="Arial" w:hAnsi="Arial" w:cs="Arial"/>
              <w:sz w:val="24"/>
              <w:szCs w:val="24"/>
            </w:rPr>
            <w:fldChar w:fldCharType="end"/>
          </w:r>
          <w:r>
            <w:rPr>
              <w:rFonts w:hint="default" w:ascii="Arial" w:hAnsi="Arial" w:cs="Arial"/>
              <w:bCs/>
              <w:sz w:val="24"/>
              <w:szCs w:val="24"/>
              <w:u w:val="none"/>
            </w:rPr>
            <w:fldChar w:fldCharType="end"/>
          </w:r>
        </w:p>
        <w:p>
          <w:pPr>
            <w:pStyle w:val="5"/>
            <w:tabs>
              <w:tab w:val="right" w:leader="dot" w:pos="8306"/>
            </w:tabs>
            <w:rPr>
              <w:rFonts w:hint="default" w:ascii="Arial" w:hAnsi="Arial" w:cs="Arial"/>
              <w:b/>
              <w:sz w:val="24"/>
              <w:szCs w:val="24"/>
            </w:rPr>
          </w:pPr>
          <w:r>
            <w:rPr>
              <w:rFonts w:hint="default" w:ascii="Arial" w:hAnsi="Arial" w:cs="Arial"/>
              <w:b/>
              <w:bCs/>
              <w:sz w:val="24"/>
              <w:szCs w:val="24"/>
              <w:u w:val="none"/>
            </w:rPr>
            <w:fldChar w:fldCharType="begin"/>
          </w:r>
          <w:r>
            <w:rPr>
              <w:rFonts w:hint="default" w:ascii="Arial" w:hAnsi="Arial" w:cs="Arial"/>
              <w:b/>
              <w:bCs/>
              <w:sz w:val="24"/>
              <w:szCs w:val="24"/>
            </w:rPr>
            <w:instrText xml:space="preserve"> HYPERLINK \l _Toc23755 </w:instrText>
          </w:r>
          <w:r>
            <w:rPr>
              <w:rFonts w:hint="default" w:ascii="Arial" w:hAnsi="Arial" w:cs="Arial"/>
              <w:b/>
              <w:bCs/>
              <w:sz w:val="24"/>
              <w:szCs w:val="24"/>
            </w:rPr>
            <w:fldChar w:fldCharType="separate"/>
          </w:r>
          <w:r>
            <w:rPr>
              <w:rFonts w:hint="default" w:ascii="Arial" w:hAnsi="Arial" w:cs="Arial"/>
              <w:b/>
              <w:bCs/>
              <w:sz w:val="24"/>
              <w:szCs w:val="24"/>
            </w:rPr>
            <w:t>5. Conclusions</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_Toc23755 \h </w:instrText>
          </w:r>
          <w:r>
            <w:rPr>
              <w:rFonts w:hint="default" w:ascii="Arial" w:hAnsi="Arial" w:cs="Arial"/>
              <w:b/>
              <w:sz w:val="24"/>
              <w:szCs w:val="24"/>
            </w:rPr>
            <w:fldChar w:fldCharType="separate"/>
          </w:r>
          <w:r>
            <w:rPr>
              <w:rFonts w:hint="default" w:ascii="Arial" w:hAnsi="Arial" w:cs="Arial"/>
              <w:b/>
              <w:sz w:val="24"/>
              <w:szCs w:val="24"/>
            </w:rPr>
            <w:t>11</w:t>
          </w:r>
          <w:r>
            <w:rPr>
              <w:rFonts w:hint="default" w:ascii="Arial" w:hAnsi="Arial" w:cs="Arial"/>
              <w:b/>
              <w:sz w:val="24"/>
              <w:szCs w:val="24"/>
            </w:rPr>
            <w:fldChar w:fldCharType="end"/>
          </w:r>
          <w:r>
            <w:rPr>
              <w:rFonts w:hint="default" w:ascii="Arial" w:hAnsi="Arial" w:cs="Arial"/>
              <w:b/>
              <w:bCs/>
              <w:sz w:val="24"/>
              <w:szCs w:val="24"/>
              <w:u w:val="none"/>
            </w:rPr>
            <w:fldChar w:fldCharType="end"/>
          </w:r>
        </w:p>
        <w:p>
          <w:pPr>
            <w:pStyle w:val="5"/>
            <w:tabs>
              <w:tab w:val="right" w:leader="dot" w:pos="8306"/>
            </w:tabs>
            <w:rPr>
              <w:rFonts w:hint="default" w:ascii="Arial" w:hAnsi="Arial" w:cs="Arial"/>
              <w:b/>
              <w:sz w:val="24"/>
              <w:szCs w:val="24"/>
            </w:rPr>
          </w:pPr>
          <w:r>
            <w:rPr>
              <w:rFonts w:hint="default" w:ascii="Arial" w:hAnsi="Arial" w:cs="Arial"/>
              <w:b/>
              <w:bCs/>
              <w:sz w:val="24"/>
              <w:szCs w:val="24"/>
              <w:u w:val="none"/>
            </w:rPr>
            <w:fldChar w:fldCharType="begin"/>
          </w:r>
          <w:r>
            <w:rPr>
              <w:rFonts w:hint="default" w:ascii="Arial" w:hAnsi="Arial" w:cs="Arial"/>
              <w:b/>
              <w:bCs/>
              <w:sz w:val="24"/>
              <w:szCs w:val="24"/>
            </w:rPr>
            <w:instrText xml:space="preserve"> HYPERLINK \l _Toc24971 </w:instrText>
          </w:r>
          <w:r>
            <w:rPr>
              <w:rFonts w:hint="default" w:ascii="Arial" w:hAnsi="Arial" w:cs="Arial"/>
              <w:b/>
              <w:bCs/>
              <w:sz w:val="24"/>
              <w:szCs w:val="24"/>
            </w:rPr>
            <w:fldChar w:fldCharType="separate"/>
          </w:r>
          <w:r>
            <w:rPr>
              <w:rFonts w:hint="default" w:ascii="Arial" w:hAnsi="Arial" w:cs="Arial"/>
              <w:b/>
              <w:bCs/>
              <w:sz w:val="24"/>
              <w:szCs w:val="24"/>
            </w:rPr>
            <w:t xml:space="preserve">Reference List </w:t>
          </w:r>
          <w:r>
            <w:rPr>
              <w:rFonts w:hint="default" w:ascii="Arial" w:hAnsi="Arial" w:cs="Arial"/>
              <w:b/>
              <w:i w:val="0"/>
              <w:iCs w:val="0"/>
              <w:caps w:val="0"/>
              <w:spacing w:val="0"/>
              <w:sz w:val="24"/>
              <w:szCs w:val="24"/>
            </w:rPr>
            <w:t>‌</w:t>
          </w:r>
          <w:r>
            <w:rPr>
              <w:rFonts w:hint="default" w:ascii="Arial" w:hAnsi="Arial" w:cs="Arial"/>
              <w:b/>
              <w:sz w:val="24"/>
              <w:szCs w:val="24"/>
            </w:rPr>
            <w:tab/>
          </w:r>
          <w:r>
            <w:rPr>
              <w:rFonts w:hint="default" w:ascii="Arial" w:hAnsi="Arial" w:cs="Arial"/>
              <w:b/>
              <w:sz w:val="24"/>
              <w:szCs w:val="24"/>
            </w:rPr>
            <w:fldChar w:fldCharType="begin"/>
          </w:r>
          <w:r>
            <w:rPr>
              <w:rFonts w:hint="default" w:ascii="Arial" w:hAnsi="Arial" w:cs="Arial"/>
              <w:b/>
              <w:sz w:val="24"/>
              <w:szCs w:val="24"/>
            </w:rPr>
            <w:instrText xml:space="preserve"> PAGEREF _Toc24971 \h </w:instrText>
          </w:r>
          <w:r>
            <w:rPr>
              <w:rFonts w:hint="default" w:ascii="Arial" w:hAnsi="Arial" w:cs="Arial"/>
              <w:b/>
              <w:sz w:val="24"/>
              <w:szCs w:val="24"/>
            </w:rPr>
            <w:fldChar w:fldCharType="separate"/>
          </w:r>
          <w:r>
            <w:rPr>
              <w:rFonts w:hint="default" w:ascii="Arial" w:hAnsi="Arial" w:cs="Arial"/>
              <w:b/>
              <w:sz w:val="24"/>
              <w:szCs w:val="24"/>
            </w:rPr>
            <w:t>12</w:t>
          </w:r>
          <w:r>
            <w:rPr>
              <w:rFonts w:hint="default" w:ascii="Arial" w:hAnsi="Arial" w:cs="Arial"/>
              <w:b/>
              <w:sz w:val="24"/>
              <w:szCs w:val="24"/>
            </w:rPr>
            <w:fldChar w:fldCharType="end"/>
          </w:r>
          <w:r>
            <w:rPr>
              <w:rFonts w:hint="default" w:ascii="Arial" w:hAnsi="Arial" w:cs="Arial"/>
              <w:b/>
              <w:bCs/>
              <w:sz w:val="24"/>
              <w:szCs w:val="24"/>
              <w:u w:val="none"/>
            </w:rPr>
            <w:fldChar w:fldCharType="end"/>
          </w:r>
        </w:p>
        <w:p>
          <w:pPr>
            <w:rPr>
              <w:rFonts w:hint="default" w:ascii="Arial" w:hAnsi="Arial" w:cs="Arial"/>
              <w:b/>
              <w:bCs/>
              <w:sz w:val="24"/>
              <w:szCs w:val="24"/>
              <w:u w:val="none"/>
            </w:rPr>
          </w:pPr>
          <w:r>
            <w:rPr>
              <w:rFonts w:hint="default" w:ascii="Arial" w:hAnsi="Arial" w:cs="Arial"/>
              <w:b/>
              <w:bCs/>
              <w:sz w:val="24"/>
              <w:szCs w:val="24"/>
              <w:u w:val="none"/>
            </w:rPr>
            <w:fldChar w:fldCharType="end"/>
          </w:r>
        </w:p>
      </w:sdtContent>
    </w:sdt>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rPr>
          <w:rFonts w:hint="default" w:ascii="Arial" w:hAnsi="Arial" w:cs="Arial"/>
          <w:b/>
          <w:bCs/>
          <w:sz w:val="24"/>
          <w:szCs w:val="24"/>
          <w:u w:val="none"/>
        </w:rPr>
      </w:pPr>
    </w:p>
    <w:p>
      <w:pPr>
        <w:numPr>
          <w:numId w:val="0"/>
        </w:numPr>
        <w:outlineLvl w:val="0"/>
        <w:rPr>
          <w:rFonts w:hint="default" w:ascii="Arial" w:hAnsi="Arial" w:cs="Arial"/>
          <w:b w:val="0"/>
          <w:bCs w:val="0"/>
          <w:sz w:val="24"/>
          <w:szCs w:val="24"/>
          <w:u w:val="none"/>
        </w:rPr>
      </w:pPr>
      <w:bookmarkStart w:id="1" w:name="_Toc10071"/>
      <w:r>
        <w:rPr>
          <w:rFonts w:hint="eastAsia" w:ascii="Arial" w:hAnsi="Arial" w:cs="Arial"/>
          <w:b/>
          <w:bCs/>
          <w:sz w:val="24"/>
          <w:szCs w:val="24"/>
          <w:u w:val="none"/>
          <w:lang w:val="en-US" w:eastAsia="zh-CN"/>
        </w:rPr>
        <w:t>1.</w:t>
      </w:r>
      <w:r>
        <w:rPr>
          <w:rFonts w:hint="default" w:ascii="Arial" w:hAnsi="Arial" w:cs="Arial"/>
          <w:b/>
          <w:bCs/>
          <w:sz w:val="24"/>
          <w:szCs w:val="24"/>
          <w:u w:val="none"/>
        </w:rPr>
        <w:t>Introduction</w:t>
      </w:r>
      <w:bookmarkEnd w:id="1"/>
    </w:p>
    <w:p>
      <w:pPr>
        <w:rPr>
          <w:rFonts w:hint="default" w:ascii="Arial" w:hAnsi="Arial" w:cs="Arial"/>
          <w:b w:val="0"/>
          <w:bCs w:val="0"/>
          <w:sz w:val="24"/>
          <w:szCs w:val="24"/>
          <w:u w:val="none"/>
          <w:lang w:val="en-US" w:eastAsia="zh-CN"/>
        </w:rPr>
      </w:pPr>
      <w:r>
        <w:rPr>
          <w:rFonts w:hint="default" w:ascii="Arial" w:hAnsi="Arial" w:cs="Arial"/>
          <w:b w:val="0"/>
          <w:bCs w:val="0"/>
          <w:sz w:val="24"/>
          <w:szCs w:val="24"/>
          <w:u w:val="none"/>
          <w:lang w:val="en-US" w:eastAsia="zh-CN"/>
        </w:rPr>
        <w:t>The world economy is currently experiencing slow growth, inflation is a problem in Western nations, emerging economies are slowly recovering, and the international environment is dynamic and complex(Asgary et al., 202</w:t>
      </w:r>
      <w:r>
        <w:rPr>
          <w:rFonts w:hint="eastAsia" w:ascii="Arial" w:hAnsi="Arial" w:cs="Arial"/>
          <w:b w:val="0"/>
          <w:bCs w:val="0"/>
          <w:sz w:val="24"/>
          <w:szCs w:val="24"/>
          <w:u w:val="none"/>
          <w:lang w:val="en-US" w:eastAsia="zh-CN"/>
        </w:rPr>
        <w:t>3</w:t>
      </w:r>
      <w:r>
        <w:rPr>
          <w:rFonts w:hint="default" w:ascii="Arial" w:hAnsi="Arial" w:cs="Arial"/>
          <w:b w:val="0"/>
          <w:bCs w:val="0"/>
          <w:sz w:val="24"/>
          <w:szCs w:val="24"/>
          <w:u w:val="none"/>
          <w:lang w:val="en-US" w:eastAsia="zh-CN"/>
        </w:rPr>
        <w:t>). The macroeconomic environment's unpredictability makes it difficult for the global retail sector to lower overall demand, and it has also had an effect on the grocery retail sector in the UK.</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This article performs a thorough and in-depth analysis of Marks&amp;Spencer's development process and current development environment using the UK retailer as an example. This is one of the UK's representative businesses and the biggest international commercial retail group. In the UK, it is rather widely available in a lot of supermarkets(Mellahi, Jackson and Sparks, 2021).</w:t>
      </w:r>
    </w:p>
    <w:p>
      <w:pPr>
        <w:rPr>
          <w:rFonts w:hint="default" w:ascii="Arial" w:hAnsi="Arial" w:cs="Arial"/>
          <w:b w:val="0"/>
          <w:bCs w:val="0"/>
          <w:sz w:val="24"/>
          <w:szCs w:val="24"/>
          <w:u w:val="none"/>
          <w:lang w:val="en-US" w:eastAsia="zh-CN"/>
        </w:rPr>
      </w:pPr>
      <w:r>
        <w:rPr>
          <w:rFonts w:hint="default" w:ascii="Arial" w:hAnsi="Arial" w:cs="Arial"/>
          <w:b w:val="0"/>
          <w:bCs w:val="0"/>
          <w:sz w:val="24"/>
          <w:szCs w:val="24"/>
          <w:u w:val="none"/>
          <w:lang w:val="en-US" w:eastAsia="zh-CN"/>
        </w:rPr>
        <w:t xml:space="preserve">It is discovered through analysis that there are a lot of unknowns regarding the future growth of supermarkets in a setting that is becoming more and more competitive. They are dealing with a number of uncertainties in addition to positive development trends. </w:t>
      </w: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rPr>
          <w:rFonts w:hint="default" w:ascii="Arial" w:hAnsi="Arial" w:cs="Arial"/>
          <w:b w:val="0"/>
          <w:bCs w:val="0"/>
          <w:sz w:val="24"/>
          <w:szCs w:val="24"/>
          <w:u w:val="none"/>
          <w:lang w:val="en-US" w:eastAsia="zh-CN"/>
        </w:rPr>
      </w:pPr>
    </w:p>
    <w:p>
      <w:pPr>
        <w:outlineLvl w:val="9"/>
        <w:rPr>
          <w:rFonts w:hint="default" w:ascii="Arial" w:hAnsi="Arial" w:cs="Arial"/>
          <w:b w:val="0"/>
          <w:bCs w:val="0"/>
          <w:sz w:val="24"/>
          <w:szCs w:val="24"/>
          <w:u w:val="none"/>
          <w:lang w:val="en-US" w:eastAsia="zh-CN"/>
        </w:rPr>
      </w:pPr>
    </w:p>
    <w:p>
      <w:pPr>
        <w:outlineLvl w:val="0"/>
        <w:rPr>
          <w:rFonts w:hint="default" w:ascii="Arial" w:hAnsi="Arial" w:cs="Arial"/>
          <w:b/>
          <w:bCs/>
          <w:sz w:val="24"/>
          <w:szCs w:val="24"/>
          <w:u w:val="none"/>
        </w:rPr>
      </w:pPr>
      <w:bookmarkStart w:id="2" w:name="_Toc8052"/>
      <w:r>
        <w:rPr>
          <w:rFonts w:hint="default" w:ascii="Arial" w:hAnsi="Arial" w:cs="Arial"/>
          <w:b/>
          <w:bCs/>
          <w:sz w:val="24"/>
          <w:szCs w:val="24"/>
          <w:u w:val="none"/>
        </w:rPr>
        <w:t>2. SWOT analysis of Marks&amp;Spencer</w:t>
      </w:r>
      <w:bookmarkEnd w:id="2"/>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Early in the 1980s, Weirick, a management professor at the University of San Francisco, proposed the SWOT analysis method, which entails evaluating a company's strengths, weaknesses, opportunities, and threats. The SWOT analysis method is similar to the internal analysis method used by businesses, which focuses on analysing the conditions of the business within a predetermined scope. Thus, defining the company's resource advantages and disadvantages as well as comprehending the opportunities and difficulties it faces will be essential to developing the company's future development plan(States., 2018). We will perform a SWOT analysis using the UK retailer Marks &amp; Spencer as an example.</w:t>
      </w:r>
    </w:p>
    <w:p>
      <w:pPr>
        <w:outlineLvl w:val="9"/>
        <w:rPr>
          <w:rFonts w:hint="default" w:ascii="Arial" w:hAnsi="Arial" w:cs="Arial"/>
          <w:b w:val="0"/>
          <w:bCs w:val="0"/>
          <w:sz w:val="24"/>
          <w:szCs w:val="24"/>
          <w:u w:val="none"/>
        </w:rPr>
      </w:pPr>
    </w:p>
    <w:p>
      <w:pPr>
        <w:outlineLvl w:val="1"/>
        <w:rPr>
          <w:rFonts w:hint="default" w:ascii="Arial" w:hAnsi="Arial" w:cs="Arial"/>
          <w:b/>
          <w:bCs/>
          <w:sz w:val="24"/>
          <w:szCs w:val="24"/>
          <w:u w:val="none"/>
        </w:rPr>
      </w:pPr>
      <w:bookmarkStart w:id="3" w:name="_Toc22561"/>
      <w:r>
        <w:rPr>
          <w:rFonts w:hint="default" w:ascii="Arial" w:hAnsi="Arial" w:cs="Arial"/>
          <w:b/>
          <w:bCs/>
          <w:sz w:val="24"/>
          <w:szCs w:val="24"/>
          <w:u w:val="none"/>
        </w:rPr>
        <w:t xml:space="preserve">2.1 </w:t>
      </w:r>
      <w:r>
        <w:rPr>
          <w:rFonts w:hint="default" w:ascii="Arial" w:hAnsi="Arial" w:cs="Arial"/>
          <w:b/>
          <w:bCs/>
          <w:sz w:val="24"/>
          <w:szCs w:val="24"/>
          <w:u w:val="none"/>
          <w:lang w:val="en-US" w:eastAsia="zh-CN"/>
        </w:rPr>
        <w:t>S</w:t>
      </w:r>
      <w:r>
        <w:rPr>
          <w:rFonts w:hint="default" w:ascii="Arial" w:hAnsi="Arial" w:cs="Arial"/>
          <w:b/>
          <w:bCs/>
          <w:sz w:val="24"/>
          <w:szCs w:val="24"/>
          <w:u w:val="none"/>
        </w:rPr>
        <w:t>trength (internal)</w:t>
      </w:r>
      <w:bookmarkEnd w:id="3"/>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Compared to other supermarket types, which almost all have a large building area, a pedestrian flow scale, and a convenient transportation environment, Marks &amp; Spencer, a high-end chain supermarket in the UK, has a better geographic location.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Customers' diverse shopping needs are satisfied by the wide range of products available, which also broadens the variety of shopping experiences.</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Customers' shopping experiences are enhanced by the comfortable surroundings and the large, light-filled shopping area that the Marks &amp; Spencer supermarket offers(Dealtry, 2021).</w:t>
      </w:r>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With its automatic checkout system and high efficiency, the Marks &amp; Spencer supermarket shopping checkout system cuts down on waiting times and lineups.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Outside of the UK, there is a great deal of awareness and reputation for the brand.</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The customer base of Marks &amp; Spencer Supermarket is sizable, affluent, and devoted; they value quality above all else and are very satisfied with the store's selection, level of service, and cost.</w:t>
      </w:r>
    </w:p>
    <w:p>
      <w:pPr>
        <w:rPr>
          <w:rFonts w:hint="default" w:ascii="Arial" w:hAnsi="Arial" w:cs="Arial"/>
          <w:b w:val="0"/>
          <w:bCs w:val="0"/>
          <w:sz w:val="24"/>
          <w:szCs w:val="24"/>
          <w:u w:val="none"/>
        </w:rPr>
      </w:pPr>
    </w:p>
    <w:p>
      <w:pPr>
        <w:outlineLvl w:val="9"/>
        <w:rPr>
          <w:rFonts w:hint="default" w:ascii="Arial" w:hAnsi="Arial" w:cs="Arial"/>
          <w:b w:val="0"/>
          <w:bCs w:val="0"/>
          <w:sz w:val="24"/>
          <w:szCs w:val="24"/>
          <w:u w:val="none"/>
        </w:rPr>
      </w:pPr>
    </w:p>
    <w:p>
      <w:pPr>
        <w:outlineLvl w:val="1"/>
        <w:rPr>
          <w:rFonts w:hint="default" w:ascii="Arial" w:hAnsi="Arial" w:cs="Arial"/>
          <w:b/>
          <w:bCs/>
          <w:sz w:val="24"/>
          <w:szCs w:val="24"/>
          <w:u w:val="none"/>
        </w:rPr>
      </w:pPr>
      <w:bookmarkStart w:id="4" w:name="_Toc21953"/>
      <w:r>
        <w:rPr>
          <w:rFonts w:hint="default" w:ascii="Arial" w:hAnsi="Arial" w:cs="Arial"/>
          <w:b/>
          <w:bCs/>
          <w:sz w:val="24"/>
          <w:szCs w:val="24"/>
          <w:u w:val="none"/>
        </w:rPr>
        <w:t>2.2</w:t>
      </w:r>
      <w:r>
        <w:rPr>
          <w:rFonts w:hint="default" w:ascii="Arial" w:hAnsi="Arial" w:cs="Arial"/>
          <w:b/>
          <w:bCs/>
          <w:sz w:val="24"/>
          <w:szCs w:val="24"/>
          <w:u w:val="none"/>
          <w:lang w:val="en-US" w:eastAsia="zh-CN"/>
        </w:rPr>
        <w:t xml:space="preserve"> W</w:t>
      </w:r>
      <w:r>
        <w:rPr>
          <w:rFonts w:hint="default" w:ascii="Arial" w:hAnsi="Arial" w:cs="Arial"/>
          <w:b/>
          <w:bCs/>
          <w:sz w:val="24"/>
          <w:szCs w:val="24"/>
          <w:u w:val="none"/>
        </w:rPr>
        <w:t>eakness (internal)</w:t>
      </w:r>
      <w:bookmarkEnd w:id="4"/>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Competition pressure is coming from both small and large chain supermarkets for Marks &amp; Spencer as the grocery retail industry becomes more and more competitive(Euromonitor International, 20</w:t>
      </w:r>
      <w:r>
        <w:rPr>
          <w:rFonts w:hint="eastAsia" w:ascii="Arial" w:hAnsi="Arial" w:cs="Arial"/>
          <w:b w:val="0"/>
          <w:bCs w:val="0"/>
          <w:sz w:val="24"/>
          <w:szCs w:val="24"/>
          <w:u w:val="none"/>
          <w:lang w:val="en-US" w:eastAsia="zh-CN"/>
        </w:rPr>
        <w:t>1</w:t>
      </w:r>
      <w:r>
        <w:rPr>
          <w:rFonts w:hint="default" w:ascii="Arial" w:hAnsi="Arial" w:cs="Arial"/>
          <w:b w:val="0"/>
          <w:bCs w:val="0"/>
          <w:sz w:val="24"/>
          <w:szCs w:val="24"/>
          <w:u w:val="none"/>
          <w:lang w:val="en-US" w:eastAsia="zh-CN"/>
        </w:rPr>
        <w:t xml:space="preserve">9).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Given the intense price competition, Marks &amp; Spencer has a premium price positioning as a high-end supermarket. However, some customers may see a decline in their purchasing power or minimal price competition from rivals as a result of the inflationary economic climate, which could put Marks &amp; Spencer supermarkets under pressure to lower their prices.</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 xml:space="preserve">In an effort to draw in more customers, supermarkets might reduce their profit margins, which would lengthen their profit cycle.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 xml:space="preserve">Given the ongoing rise in labour costs, supermarket profitability has been under pressure. </w:t>
      </w:r>
    </w:p>
    <w:p>
      <w:pPr>
        <w:outlineLvl w:val="9"/>
        <w:rPr>
          <w:rFonts w:hint="default" w:ascii="Arial" w:hAnsi="Arial" w:cs="Arial"/>
          <w:b w:val="0"/>
          <w:bCs w:val="0"/>
          <w:sz w:val="24"/>
          <w:szCs w:val="24"/>
          <w:u w:val="none"/>
        </w:rPr>
      </w:pPr>
    </w:p>
    <w:p>
      <w:pPr>
        <w:outlineLvl w:val="1"/>
        <w:rPr>
          <w:rFonts w:hint="default" w:ascii="Arial" w:hAnsi="Arial" w:cs="Arial"/>
          <w:b/>
          <w:bCs/>
          <w:sz w:val="24"/>
          <w:szCs w:val="24"/>
          <w:u w:val="none"/>
        </w:rPr>
      </w:pPr>
      <w:bookmarkStart w:id="5" w:name="_Toc1498"/>
      <w:r>
        <w:rPr>
          <w:rFonts w:hint="default" w:ascii="Arial" w:hAnsi="Arial" w:cs="Arial"/>
          <w:b/>
          <w:bCs/>
          <w:sz w:val="24"/>
          <w:szCs w:val="24"/>
          <w:u w:val="none"/>
        </w:rPr>
        <w:t>2.3</w:t>
      </w:r>
      <w:r>
        <w:rPr>
          <w:rFonts w:hint="default" w:ascii="Arial" w:hAnsi="Arial" w:cs="Arial"/>
          <w:b/>
          <w:bCs/>
          <w:sz w:val="24"/>
          <w:szCs w:val="24"/>
          <w:u w:val="none"/>
          <w:lang w:val="en-US" w:eastAsia="zh-CN"/>
        </w:rPr>
        <w:t xml:space="preserve"> </w:t>
      </w:r>
      <w:r>
        <w:rPr>
          <w:rFonts w:hint="default" w:ascii="Arial" w:hAnsi="Arial" w:cs="Arial"/>
          <w:b/>
          <w:bCs/>
          <w:sz w:val="24"/>
          <w:szCs w:val="24"/>
          <w:u w:val="none"/>
        </w:rPr>
        <w:t>Opportunity (</w:t>
      </w:r>
      <w:r>
        <w:rPr>
          <w:rFonts w:hint="eastAsia" w:ascii="Arial" w:hAnsi="Arial" w:cs="Arial"/>
          <w:b/>
          <w:bCs/>
          <w:sz w:val="24"/>
          <w:szCs w:val="24"/>
          <w:u w:val="none"/>
          <w:lang w:val="en-US" w:eastAsia="zh-CN"/>
        </w:rPr>
        <w:t>e</w:t>
      </w:r>
      <w:r>
        <w:rPr>
          <w:rFonts w:hint="default" w:ascii="Arial" w:hAnsi="Arial" w:cs="Arial"/>
          <w:b/>
          <w:bCs/>
          <w:sz w:val="24"/>
          <w:szCs w:val="24"/>
          <w:u w:val="none"/>
        </w:rPr>
        <w:t>xternal)</w:t>
      </w:r>
      <w:bookmarkEnd w:id="5"/>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In an effort to increase brand awareness, draw in more customers, and promote its brand image more actively, Marks &amp; Spencer is doing more.</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Marks &amp; Spencer grows the number and size of its current stores in an effort to take advantage of opportunities in new markets.</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In order to increase sales and foster customer loyalty, Marks &amp; Spencer created a membership programme that offers discounts and other benefits to members, such as small gifts, coupons, and other items during special occasions(Fifield, 2022).</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By creating online sales platforms and offering e-shopping services, Marks &amp; Spencer creates new sales channels in response to the growth of the Internet.</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Food that is organic and healthful is in greater demand among consumers, and Marks &amp; Spencer caters to this market segment by carrying a greater selection of healthful foods.</w:t>
      </w:r>
    </w:p>
    <w:p>
      <w:pPr>
        <w:rPr>
          <w:rFonts w:hint="default" w:ascii="Arial" w:hAnsi="Arial" w:cs="Arial"/>
          <w:b w:val="0"/>
          <w:bCs w:val="0"/>
          <w:sz w:val="24"/>
          <w:szCs w:val="24"/>
          <w:u w:val="none"/>
        </w:rPr>
      </w:pPr>
    </w:p>
    <w:p>
      <w:pPr>
        <w:outlineLvl w:val="1"/>
        <w:rPr>
          <w:rFonts w:hint="default" w:ascii="Arial" w:hAnsi="Arial" w:cs="Arial"/>
          <w:b/>
          <w:bCs/>
          <w:sz w:val="24"/>
          <w:szCs w:val="24"/>
          <w:u w:val="none"/>
        </w:rPr>
      </w:pPr>
      <w:bookmarkStart w:id="6" w:name="_Toc23249"/>
      <w:r>
        <w:rPr>
          <w:rFonts w:hint="default" w:ascii="Arial" w:hAnsi="Arial" w:cs="Arial"/>
          <w:b/>
          <w:bCs/>
          <w:sz w:val="24"/>
          <w:szCs w:val="24"/>
          <w:u w:val="none"/>
        </w:rPr>
        <w:t>2.4</w:t>
      </w:r>
      <w:r>
        <w:rPr>
          <w:rFonts w:hint="default" w:ascii="Arial" w:hAnsi="Arial" w:cs="Arial"/>
          <w:b/>
          <w:bCs/>
          <w:sz w:val="24"/>
          <w:szCs w:val="24"/>
          <w:u w:val="none"/>
          <w:lang w:val="en-US" w:eastAsia="zh-CN"/>
        </w:rPr>
        <w:t xml:space="preserve"> T</w:t>
      </w:r>
      <w:r>
        <w:rPr>
          <w:rFonts w:hint="default" w:ascii="Arial" w:hAnsi="Arial" w:cs="Arial"/>
          <w:b/>
          <w:bCs/>
          <w:sz w:val="24"/>
          <w:szCs w:val="24"/>
          <w:u w:val="none"/>
        </w:rPr>
        <w:t>hrust (external)</w:t>
      </w:r>
      <w:bookmarkEnd w:id="6"/>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Consumer purchasing power is impacted by the volatile external economic climate, macroeconomic swings, inflation, and other external factors, which puts pressure on Marks &amp; Spencer's sales(Cadogan, 2019).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Being a retailer, Marks &amp; Spencer is extremely vulnerable to changes in the cost of commodities and raw materials. Price increases may affect profitability and result in higher costs.</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 xml:space="preserve">Supermarket product selection and marketing strategies may face challenges due to shifts in consumer demand, necessitating ongoing monitoring and adaptation.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The government is creating a plan for retailers to impose price caps on staples like milk and bread in order to help people deal with the rising cost of living. This will be done through changes to laws and regulations. may have restrictions and effects on the market share and business practices of Marks &amp; Spencer(Cadogan, 20</w:t>
      </w:r>
      <w:r>
        <w:rPr>
          <w:rFonts w:hint="eastAsia" w:ascii="Arial" w:hAnsi="Arial" w:cs="Arial"/>
          <w:b w:val="0"/>
          <w:bCs w:val="0"/>
          <w:sz w:val="24"/>
          <w:szCs w:val="24"/>
          <w:u w:val="none"/>
          <w:lang w:val="en-US" w:eastAsia="zh-CN"/>
        </w:rPr>
        <w:t>22</w:t>
      </w:r>
      <w:r>
        <w:rPr>
          <w:rFonts w:hint="default" w:ascii="Arial" w:hAnsi="Arial" w:cs="Arial"/>
          <w:b w:val="0"/>
          <w:bCs w:val="0"/>
          <w:sz w:val="24"/>
          <w:szCs w:val="24"/>
          <w:u w:val="none"/>
          <w:lang w:val="en-US" w:eastAsia="zh-CN"/>
        </w:rPr>
        <w:t xml:space="preserve">). </w:t>
      </w:r>
    </w:p>
    <w:p>
      <w:pPr>
        <w:rPr>
          <w:rFonts w:hint="default" w:ascii="Arial" w:hAnsi="Arial" w:cs="Arial"/>
          <w:b/>
          <w:bCs/>
          <w:sz w:val="24"/>
          <w:szCs w:val="24"/>
          <w:u w:val="none"/>
        </w:rPr>
      </w:pPr>
    </w:p>
    <w:p>
      <w:pPr>
        <w:numPr>
          <w:numId w:val="0"/>
        </w:numPr>
        <w:ind w:leftChars="0"/>
        <w:outlineLvl w:val="0"/>
        <w:rPr>
          <w:rFonts w:hint="default" w:ascii="Arial" w:hAnsi="Arial" w:cs="Arial"/>
          <w:b/>
          <w:bCs/>
          <w:sz w:val="24"/>
          <w:szCs w:val="24"/>
          <w:u w:val="none"/>
        </w:rPr>
      </w:pPr>
      <w:bookmarkStart w:id="7" w:name="_Toc19353"/>
      <w:r>
        <w:rPr>
          <w:rFonts w:hint="default" w:ascii="Arial" w:hAnsi="Arial" w:cs="Arial"/>
          <w:b/>
          <w:bCs/>
          <w:sz w:val="24"/>
          <w:szCs w:val="24"/>
          <w:u w:val="none"/>
          <w:lang w:val="en-US" w:eastAsia="zh-CN"/>
        </w:rPr>
        <w:t>3.</w:t>
      </w:r>
      <w:r>
        <w:rPr>
          <w:rFonts w:hint="default" w:ascii="Arial" w:hAnsi="Arial" w:cs="Arial"/>
          <w:b/>
          <w:bCs/>
          <w:sz w:val="24"/>
          <w:szCs w:val="24"/>
          <w:u w:val="none"/>
        </w:rPr>
        <w:t>Analysis of Marks&amp;Spencer's "Porter's Five Forces Model"</w:t>
      </w:r>
      <w:bookmarkEnd w:id="7"/>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Michael Porter developed the Porter's Five Forces model, which businesses frequently utilise to develop competitive strategies. According to the theory, there are five factors that affect the industry. The supply side's bargaining power is the first. Second, the buyer's ability to negotiate. Thirdly, the risk posed by new competitors. The threat of substitutes is the fourth. Fifth, rivalry between already-existing rivals(Henk and Waalewijn, 2019).</w:t>
      </w:r>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Once the five aforementioned determining factors have been identified, the Porter's Five Forces model incorporates them into a framework and considers them throughout the analysis process. The analysis's findings are applied to give a detailed analysis of the enterprise's profitability and state of development(Walker and Madsen, 201</w:t>
      </w:r>
      <w:r>
        <w:rPr>
          <w:rFonts w:hint="eastAsia" w:ascii="Arial" w:hAnsi="Arial" w:cs="Arial"/>
          <w:b w:val="0"/>
          <w:bCs w:val="0"/>
          <w:sz w:val="24"/>
          <w:szCs w:val="24"/>
          <w:u w:val="none"/>
          <w:lang w:val="en-US" w:eastAsia="zh-CN"/>
        </w:rPr>
        <w:t>9</w:t>
      </w:r>
      <w:r>
        <w:rPr>
          <w:rFonts w:hint="default" w:ascii="Arial" w:hAnsi="Arial" w:cs="Arial"/>
          <w:b w:val="0"/>
          <w:bCs w:val="0"/>
          <w:sz w:val="24"/>
          <w:szCs w:val="24"/>
          <w:u w:val="none"/>
          <w:lang w:val="en-US" w:eastAsia="zh-CN"/>
        </w:rPr>
        <w:t xml:space="preserve">). Continue analysing the industry in which the enterprise operates in terms of its development status, level of competition, and potential profitability based on the analysis results of several enterprises. Through the application of Porter's Five Forces model for thorough analysis, businesses can implement focused strategic initiatives within the industry's competitive landscape. </w:t>
      </w:r>
    </w:p>
    <w:p>
      <w:pPr>
        <w:outlineLvl w:val="9"/>
        <w:rPr>
          <w:rFonts w:hint="default" w:ascii="Arial" w:hAnsi="Arial" w:cs="Arial"/>
          <w:b/>
          <w:bCs/>
          <w:sz w:val="24"/>
          <w:szCs w:val="24"/>
          <w:u w:val="none"/>
        </w:rPr>
      </w:pPr>
    </w:p>
    <w:p>
      <w:pPr>
        <w:outlineLvl w:val="1"/>
        <w:rPr>
          <w:rFonts w:hint="default" w:ascii="Arial" w:hAnsi="Arial" w:cs="Arial"/>
          <w:b/>
          <w:bCs/>
          <w:sz w:val="24"/>
          <w:szCs w:val="24"/>
          <w:u w:val="none"/>
        </w:rPr>
      </w:pPr>
      <w:bookmarkStart w:id="8" w:name="_Toc3050"/>
      <w:r>
        <w:rPr>
          <w:rFonts w:hint="default" w:ascii="Arial" w:hAnsi="Arial" w:cs="Arial"/>
          <w:b/>
          <w:bCs/>
          <w:sz w:val="24"/>
          <w:szCs w:val="24"/>
          <w:u w:val="none"/>
        </w:rPr>
        <w:t>3.1 Analysis of Threats from Same Type Supermarkets</w:t>
      </w:r>
      <w:bookmarkEnd w:id="8"/>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Marks &amp; Spencer sells a variety of goods, such as daily essentials, furniture and appliances for the home, and fresh food. In this sense, Marks &amp; Spencer will face competition from professional retailers, malls, convenience stores, and internet retailers across the United Kingdom.</w:t>
      </w:r>
    </w:p>
    <w:p>
      <w:pPr>
        <w:outlineLvl w:val="9"/>
        <w:rPr>
          <w:rFonts w:hint="default" w:ascii="Arial" w:hAnsi="Arial" w:cs="Arial"/>
          <w:b w:val="0"/>
          <w:bCs w:val="0"/>
          <w:sz w:val="24"/>
          <w:szCs w:val="24"/>
          <w:u w:val="none"/>
        </w:rPr>
      </w:pPr>
    </w:p>
    <w:p>
      <w:pPr>
        <w:outlineLvl w:val="1"/>
        <w:rPr>
          <w:rFonts w:hint="default" w:ascii="Arial" w:hAnsi="Arial" w:cs="Arial"/>
          <w:b/>
          <w:bCs/>
          <w:sz w:val="24"/>
          <w:szCs w:val="24"/>
          <w:u w:val="none"/>
        </w:rPr>
      </w:pPr>
      <w:bookmarkStart w:id="9" w:name="_Toc11753"/>
      <w:r>
        <w:rPr>
          <w:rFonts w:hint="default" w:ascii="Arial" w:hAnsi="Arial" w:cs="Arial"/>
          <w:b/>
          <w:bCs/>
          <w:sz w:val="24"/>
          <w:szCs w:val="24"/>
          <w:u w:val="none"/>
        </w:rPr>
        <w:t>3.2 Professional store threats.</w:t>
      </w:r>
      <w:bookmarkEnd w:id="9"/>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A specialty store is distinguished by its unique offering and flagship brand, like Simple, a skincare line that is carried on Martha's shelves. But compared to Marks &amp; Spencer, the selection of specialty stores is wider, the salespeople are more experienced, and the discounts are larger. Sales will be significantly impacted once Marks &amp; Spencer starts selling products with overlapping features, and supermarkets will have little advantage over them.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As a result, chain supermarket performance has been gradually declining as a result of the emergence of this kind of professional store.</w:t>
      </w:r>
    </w:p>
    <w:p>
      <w:pPr>
        <w:rPr>
          <w:rFonts w:hint="default" w:ascii="Arial" w:hAnsi="Arial" w:cs="Arial"/>
          <w:b/>
          <w:bCs/>
          <w:sz w:val="24"/>
          <w:szCs w:val="24"/>
          <w:u w:val="none"/>
        </w:rPr>
      </w:pPr>
    </w:p>
    <w:p>
      <w:pPr>
        <w:outlineLvl w:val="1"/>
        <w:rPr>
          <w:rFonts w:hint="default" w:ascii="Arial" w:hAnsi="Arial" w:cs="Arial"/>
          <w:b/>
          <w:bCs/>
          <w:sz w:val="24"/>
          <w:szCs w:val="24"/>
          <w:u w:val="none"/>
        </w:rPr>
      </w:pPr>
      <w:bookmarkStart w:id="10" w:name="_Toc3655"/>
      <w:r>
        <w:rPr>
          <w:rFonts w:hint="default" w:ascii="Arial" w:hAnsi="Arial" w:cs="Arial"/>
          <w:b/>
          <w:bCs/>
          <w:sz w:val="24"/>
          <w:szCs w:val="24"/>
          <w:u w:val="none"/>
        </w:rPr>
        <w:t>3.3 Threats from large supermarkets.</w:t>
      </w:r>
      <w:bookmarkEnd w:id="10"/>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For instance, TESCO frequently offers discounts, and consumers who have membership cards can buy goods at a reduced cost. Nevertheless, the Marks &amp; Spencer membership card can only be redeemed by accruing points and offers no discount advantages. </w:t>
      </w:r>
    </w:p>
    <w:p>
      <w:pPr>
        <w:outlineLvl w:val="9"/>
        <w:rPr>
          <w:rFonts w:hint="default" w:ascii="Arial" w:hAnsi="Arial" w:cs="Arial"/>
          <w:b/>
          <w:bCs/>
          <w:sz w:val="24"/>
          <w:szCs w:val="24"/>
          <w:u w:val="none"/>
        </w:rPr>
      </w:pPr>
    </w:p>
    <w:p>
      <w:pPr>
        <w:outlineLvl w:val="1"/>
        <w:rPr>
          <w:rFonts w:hint="default" w:ascii="Arial" w:hAnsi="Arial" w:cs="Arial"/>
          <w:b/>
          <w:bCs/>
          <w:sz w:val="24"/>
          <w:szCs w:val="24"/>
          <w:u w:val="none"/>
        </w:rPr>
      </w:pPr>
      <w:bookmarkStart w:id="11" w:name="_Toc3216"/>
      <w:r>
        <w:rPr>
          <w:rFonts w:hint="default" w:ascii="Arial" w:hAnsi="Arial" w:cs="Arial"/>
          <w:b/>
          <w:bCs/>
          <w:sz w:val="24"/>
          <w:szCs w:val="24"/>
          <w:u w:val="none"/>
        </w:rPr>
        <w:t>3.4 Threats from Convenience Stores.</w:t>
      </w:r>
      <w:bookmarkEnd w:id="11"/>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Convenience stores enjoy a broader spectrum of appeal. Any convenience store can provide goods that satisfy the needs of the locals by catering to their needs(A, Williamson Steven A and Babson, 2017). Convenience stores have sufficient hours of operation—some of them are even open twenty-four hours a day. Fast-moving consumer goods that satisfy customers' immediate consumption needs make up the majority of the products it sells(Dess, 2018). Additionally, it offers practical services like breakfast in accordance with the needs of the local populace.</w:t>
      </w:r>
    </w:p>
    <w:p>
      <w:pPr>
        <w:outlineLvl w:val="9"/>
        <w:rPr>
          <w:rFonts w:hint="default" w:ascii="Arial" w:hAnsi="Arial" w:cs="Arial"/>
          <w:b w:val="0"/>
          <w:bCs w:val="0"/>
          <w:sz w:val="24"/>
          <w:szCs w:val="24"/>
          <w:u w:val="none"/>
        </w:rPr>
      </w:pPr>
    </w:p>
    <w:p>
      <w:pPr>
        <w:outlineLvl w:val="1"/>
        <w:rPr>
          <w:rFonts w:hint="default" w:ascii="Arial" w:hAnsi="Arial" w:cs="Arial"/>
          <w:b/>
          <w:bCs/>
          <w:sz w:val="24"/>
          <w:szCs w:val="24"/>
          <w:u w:val="none"/>
        </w:rPr>
      </w:pPr>
      <w:bookmarkStart w:id="12" w:name="_Toc7229"/>
      <w:r>
        <w:rPr>
          <w:rFonts w:hint="default" w:ascii="Arial" w:hAnsi="Arial" w:cs="Arial"/>
          <w:b/>
          <w:bCs/>
          <w:sz w:val="24"/>
          <w:szCs w:val="24"/>
          <w:u w:val="none"/>
        </w:rPr>
        <w:t>3.5 Supplier Analysis</w:t>
      </w:r>
      <w:bookmarkEnd w:id="12"/>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Supplier management is a critical component in the procurement management process of supermarkets. As was previously mentioned, suppliers can affect a business's profitability and core competitiveness by increasing the cost of their products or lowering the calibre and calibre of their services(R Glenn Hubbard and Anthony Patrick O'brien, 2019). Therefore, it is imperative that Marks &amp; Spencer evaluate the suppliers' bargaining power.</w:t>
      </w:r>
    </w:p>
    <w:p>
      <w:pPr>
        <w:rPr>
          <w:rFonts w:hint="default" w:ascii="Arial" w:hAnsi="Arial" w:cs="Arial"/>
          <w:b w:val="0"/>
          <w:bCs w:val="0"/>
          <w:sz w:val="24"/>
          <w:szCs w:val="24"/>
          <w:u w:val="none"/>
          <w:lang w:val="en-US" w:eastAsia="zh-CN"/>
        </w:rPr>
      </w:pPr>
      <w:r>
        <w:rPr>
          <w:rFonts w:hint="default" w:ascii="Arial" w:hAnsi="Arial" w:cs="Arial"/>
          <w:b w:val="0"/>
          <w:bCs w:val="0"/>
          <w:sz w:val="24"/>
          <w:szCs w:val="24"/>
          <w:u w:val="none"/>
          <w:lang w:val="en-US" w:eastAsia="zh-CN"/>
        </w:rPr>
        <w:t>From the standpoint of Marks &amp; Spencer's development scale, the scale will keep growing in the future and so will the volume of goods purchased. Chain stores will have the upper hand when negotiating prices with suppliers. Supermarkets can work directly with manufacturers even after they reach a certain size, bypassing intermediaries, and begin their own brand research and development. For example, their flagship food has already reached a price agreement with manufacturers, allowing them to form their own brand attributes without having to deal with middlemen(Manfred Krafft and Mantrala, 20</w:t>
      </w:r>
      <w:r>
        <w:rPr>
          <w:rFonts w:hint="eastAsia" w:ascii="Arial" w:hAnsi="Arial" w:cs="Arial"/>
          <w:b w:val="0"/>
          <w:bCs w:val="0"/>
          <w:sz w:val="24"/>
          <w:szCs w:val="24"/>
          <w:u w:val="none"/>
          <w:lang w:val="en-US" w:eastAsia="zh-CN"/>
        </w:rPr>
        <w:t>2</w:t>
      </w:r>
      <w:r>
        <w:rPr>
          <w:rFonts w:hint="default" w:ascii="Arial" w:hAnsi="Arial" w:cs="Arial"/>
          <w:b w:val="0"/>
          <w:bCs w:val="0"/>
          <w:sz w:val="24"/>
          <w:szCs w:val="24"/>
          <w:u w:val="none"/>
          <w:lang w:val="en-US" w:eastAsia="zh-CN"/>
        </w:rPr>
        <w:t>0).</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 xml:space="preserve">The long-term suppliers to Marks &amp; Spencer generally don't have much negotiating power. These products have a very devoted following and strong appeal because they include best-selling items with unique features and some independently developed branded products.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These goods essentially have no negotiating power and can only become price takers for suppliers.</w:t>
      </w:r>
    </w:p>
    <w:p>
      <w:pPr>
        <w:outlineLvl w:val="9"/>
        <w:rPr>
          <w:rFonts w:hint="default" w:ascii="Arial" w:hAnsi="Arial" w:cs="Arial"/>
          <w:b/>
          <w:bCs/>
          <w:sz w:val="24"/>
          <w:szCs w:val="24"/>
          <w:u w:val="none"/>
        </w:rPr>
      </w:pPr>
    </w:p>
    <w:p>
      <w:pPr>
        <w:outlineLvl w:val="1"/>
        <w:rPr>
          <w:rFonts w:hint="default" w:ascii="Arial" w:hAnsi="Arial" w:cs="Arial"/>
          <w:b/>
          <w:bCs/>
          <w:sz w:val="24"/>
          <w:szCs w:val="24"/>
          <w:u w:val="none"/>
        </w:rPr>
      </w:pPr>
      <w:bookmarkStart w:id="13" w:name="_Toc21387"/>
      <w:r>
        <w:rPr>
          <w:rFonts w:hint="default" w:ascii="Arial" w:hAnsi="Arial" w:cs="Arial"/>
          <w:b/>
          <w:bCs/>
          <w:sz w:val="24"/>
          <w:szCs w:val="24"/>
          <w:u w:val="none"/>
        </w:rPr>
        <w:t>3.6 Competitor Analysis</w:t>
      </w:r>
      <w:bookmarkEnd w:id="13"/>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Because the UK's supermarket market is so crowded, there is fierce competition among businesses. In particular, the following domains see the highest levels of competition.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 xml:space="preserve">First, marketing initiatives. The frequency of promotional activities is one factor. Various supermarkets will begin their promotional activities during the special Christmas and Easter holidays(Grewal and Levy, 2018). Supermarkets will also periodically host a variety of promotional events in an effort to draw customers and boost store recognition. The type of promotional activities is an additional factor. The supermarket retail industry is highly competitive these days, and different supermarkets host a variety of promotional events(Godin, 2018). </w:t>
      </w:r>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Second, a growing number of supermarkets are becoming more comprehensive, and their after-sales care now includes free door-to-door delivery.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Thus, to stay out of this kind of situation, Marks &amp; Spencer needs to keep improving its core competitiveness, keeping up with changes to its competitive strategy, and growing its market share in the retail sector.</w:t>
      </w:r>
    </w:p>
    <w:p>
      <w:pPr>
        <w:outlineLvl w:val="9"/>
        <w:rPr>
          <w:rFonts w:hint="default" w:ascii="Arial" w:hAnsi="Arial" w:cs="Arial"/>
          <w:b w:val="0"/>
          <w:bCs w:val="0"/>
          <w:sz w:val="24"/>
          <w:szCs w:val="24"/>
          <w:u w:val="none"/>
        </w:rPr>
      </w:pPr>
    </w:p>
    <w:p>
      <w:pPr>
        <w:outlineLvl w:val="1"/>
        <w:rPr>
          <w:rFonts w:hint="default" w:ascii="Arial" w:hAnsi="Arial" w:cs="Arial"/>
          <w:b/>
          <w:bCs/>
          <w:sz w:val="24"/>
          <w:szCs w:val="24"/>
          <w:u w:val="none"/>
        </w:rPr>
      </w:pPr>
      <w:bookmarkStart w:id="14" w:name="_Toc10447"/>
      <w:r>
        <w:rPr>
          <w:rFonts w:hint="default" w:ascii="Arial" w:hAnsi="Arial" w:cs="Arial"/>
          <w:b/>
          <w:bCs/>
          <w:sz w:val="24"/>
          <w:szCs w:val="24"/>
          <w:u w:val="none"/>
        </w:rPr>
        <w:t>3.7 Analysis of Potential Competitors</w:t>
      </w:r>
      <w:bookmarkEnd w:id="14"/>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The supermarket industry is always welcoming new competitors as a result of the ongoing growth of the British economy. A number of international supermarkets, including Wal-Mart and Metro, have already made their way into the UK. Subsequently, additional supermarkets will enter the market, escalating competition in the already crowded space. Supermarkets, new and old, will face never-before-seen pressure due to low entry barriers and intense competition.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The pressure to enter the market comes first. Since competitors have long held some of the best core commercial locations in the UK, and the market is already somewhat saturated, it is challenging for recently established supermarkets to gain an advantage in store location.</w:t>
      </w:r>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The pressure to control the market comes in second. Due to pressure from competitors and a high entry barrier, the UK's supermarket market is already relatively saturated(Basker, 201</w:t>
      </w:r>
      <w:r>
        <w:rPr>
          <w:rFonts w:hint="eastAsia" w:ascii="Arial" w:hAnsi="Arial" w:cs="Arial"/>
          <w:b w:val="0"/>
          <w:bCs w:val="0"/>
          <w:sz w:val="24"/>
          <w:szCs w:val="24"/>
          <w:u w:val="none"/>
          <w:lang w:val="en-US" w:eastAsia="zh-CN"/>
        </w:rPr>
        <w:t>9</w:t>
      </w:r>
      <w:r>
        <w:rPr>
          <w:rFonts w:hint="default" w:ascii="Arial" w:hAnsi="Arial" w:cs="Arial"/>
          <w:b w:val="0"/>
          <w:bCs w:val="0"/>
          <w:sz w:val="24"/>
          <w:szCs w:val="24"/>
          <w:u w:val="none"/>
          <w:lang w:val="en-US" w:eastAsia="zh-CN"/>
        </w:rPr>
        <w:t>). A few major brand supermarkets currently in operation control the majority of the UK's grocery market share. Since Marks &amp; Spencer enjoys an advantageous position due to its enterprise scale and brand influence, it will be even harder for the company to withstand the influence of rivals. Other supermarket brands face an equally difficult time surviving in this environment, and they must incur significant costs before they can grow(Marshall and Johnston, 2019).</w:t>
      </w:r>
    </w:p>
    <w:p>
      <w:pPr>
        <w:rPr>
          <w:rFonts w:hint="default" w:ascii="Arial" w:hAnsi="Arial" w:cs="Arial"/>
          <w:b/>
          <w:bCs/>
          <w:sz w:val="24"/>
          <w:szCs w:val="24"/>
          <w:u w:val="none"/>
        </w:rPr>
      </w:pPr>
    </w:p>
    <w:p>
      <w:pPr>
        <w:outlineLvl w:val="1"/>
        <w:rPr>
          <w:rFonts w:hint="default" w:ascii="Arial" w:hAnsi="Arial" w:cs="Arial"/>
          <w:b/>
          <w:bCs/>
          <w:sz w:val="24"/>
          <w:szCs w:val="24"/>
          <w:u w:val="none"/>
        </w:rPr>
      </w:pPr>
      <w:bookmarkStart w:id="15" w:name="_Toc27881"/>
      <w:r>
        <w:rPr>
          <w:rFonts w:hint="default" w:ascii="Arial" w:hAnsi="Arial" w:cs="Arial"/>
          <w:b/>
          <w:bCs/>
          <w:sz w:val="24"/>
          <w:szCs w:val="24"/>
          <w:u w:val="none"/>
        </w:rPr>
        <w:t>3.8 Consumer Analysis</w:t>
      </w:r>
      <w:bookmarkEnd w:id="15"/>
    </w:p>
    <w:p>
      <w:pPr>
        <w:rPr>
          <w:rFonts w:hint="default" w:ascii="Arial" w:hAnsi="Arial" w:cs="Arial"/>
          <w:b w:val="0"/>
          <w:bCs w:val="0"/>
          <w:sz w:val="24"/>
          <w:szCs w:val="24"/>
          <w:u w:val="none"/>
          <w:lang w:val="en-US" w:eastAsia="zh-CN"/>
        </w:rPr>
      </w:pPr>
      <w:r>
        <w:rPr>
          <w:rFonts w:hint="default" w:ascii="Arial" w:hAnsi="Arial" w:cs="Arial"/>
          <w:b w:val="0"/>
          <w:bCs w:val="0"/>
          <w:sz w:val="24"/>
          <w:szCs w:val="24"/>
          <w:u w:val="none"/>
          <w:lang w:val="en-US" w:eastAsia="zh-CN"/>
        </w:rPr>
        <w:t>There are two ways to approach consumer analysis. First, from the standpoint of the customer, while modern consumers are less price sensitive than in the past, the majority of them are used to comparing products side by side before completing a formal transaction and finally selecting the best option. In light of this, consumers may be seen as having significant bargaining power.</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Second, ever since it made its debut in the UK, the retail sector has existed in a fiercely competitive environment. But this competitive environment will only get more intense. As a result, numerous businesses will work to delve deeper into uncharted territory and expand their market share in previously untapped areas. Consequently, these retail businesses have opened their own brand stores, which benefits customers by giving them more options(Du, Strydom and Jooste, 2019).</w:t>
      </w:r>
    </w:p>
    <w:p>
      <w:pPr>
        <w:rPr>
          <w:rFonts w:hint="default" w:ascii="Arial" w:hAnsi="Arial" w:cs="Arial"/>
          <w:b w:val="0"/>
          <w:bCs w:val="0"/>
          <w:sz w:val="24"/>
          <w:szCs w:val="24"/>
          <w:u w:val="none"/>
          <w:lang w:val="en-US" w:eastAsia="zh-CN"/>
        </w:rPr>
      </w:pPr>
      <w:r>
        <w:rPr>
          <w:rFonts w:hint="default" w:ascii="Arial" w:hAnsi="Arial" w:cs="Arial"/>
          <w:b w:val="0"/>
          <w:bCs w:val="0"/>
          <w:sz w:val="24"/>
          <w:szCs w:val="24"/>
          <w:u w:val="none"/>
          <w:lang w:val="en-US" w:eastAsia="zh-CN"/>
        </w:rPr>
        <w:t>Furthermore, as network technology advances, consumers are becoming more self-reliant. Customers take the initiative because there are numerous online channels via which they can obtain different product information(Iacobucci, 2022). They can easily negotiate with suppliers and have a better understanding of the products. As the internet develops and products become more widely available, consumers' bargaining power will only increase.</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Customers are growing more price-sensitive and attentive to the value of products as well as the strength of discounts as a result of wars and rising inflation rates in some parts of the world.</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As a result, Marks &amp; Spencer works even harder to make shopping enjoyable, offer higher-quality products at discounts, offer superior speciality services, and satisfy a wide range of affordable customer needs.</w:t>
      </w:r>
    </w:p>
    <w:p>
      <w:pPr>
        <w:rPr>
          <w:rFonts w:hint="default" w:ascii="Arial" w:hAnsi="Arial" w:cs="Arial"/>
          <w:b/>
          <w:bCs/>
          <w:sz w:val="24"/>
          <w:szCs w:val="24"/>
          <w:u w:val="none"/>
        </w:rPr>
      </w:pPr>
    </w:p>
    <w:p>
      <w:pPr>
        <w:outlineLvl w:val="0"/>
        <w:rPr>
          <w:rFonts w:hint="default" w:ascii="Arial" w:hAnsi="Arial" w:cs="Arial"/>
          <w:b/>
          <w:bCs/>
          <w:sz w:val="24"/>
          <w:szCs w:val="24"/>
          <w:u w:val="none"/>
        </w:rPr>
      </w:pPr>
      <w:bookmarkStart w:id="16" w:name="_Toc29855"/>
      <w:r>
        <w:rPr>
          <w:rFonts w:hint="default" w:ascii="Arial" w:hAnsi="Arial" w:cs="Arial"/>
          <w:b/>
          <w:bCs/>
          <w:sz w:val="24"/>
          <w:szCs w:val="24"/>
          <w:u w:val="none"/>
        </w:rPr>
        <w:t xml:space="preserve">4. Suggestions for optimizing </w:t>
      </w:r>
      <w:r>
        <w:rPr>
          <w:rFonts w:hint="default" w:ascii="Arial" w:hAnsi="Arial" w:cs="Arial"/>
          <w:b/>
          <w:bCs/>
          <w:sz w:val="24"/>
          <w:szCs w:val="24"/>
          <w:u w:val="none"/>
        </w:rPr>
        <w:t>Marks&amp;Spencer</w:t>
      </w:r>
      <w:r>
        <w:rPr>
          <w:rFonts w:hint="default" w:ascii="Arial" w:hAnsi="Arial" w:cs="Arial"/>
          <w:b/>
          <w:bCs/>
          <w:sz w:val="24"/>
          <w:szCs w:val="24"/>
          <w:u w:val="none"/>
        </w:rPr>
        <w:t xml:space="preserve"> marketing strategy</w:t>
      </w:r>
      <w:bookmarkEnd w:id="16"/>
    </w:p>
    <w:p>
      <w:pPr>
        <w:outlineLvl w:val="1"/>
        <w:rPr>
          <w:rFonts w:hint="default" w:ascii="Arial" w:hAnsi="Arial" w:cs="Arial"/>
          <w:b/>
          <w:bCs/>
          <w:sz w:val="24"/>
          <w:szCs w:val="24"/>
          <w:u w:val="none"/>
        </w:rPr>
      </w:pPr>
      <w:bookmarkStart w:id="17" w:name="_Toc16994"/>
      <w:r>
        <w:rPr>
          <w:rFonts w:hint="default" w:ascii="Arial" w:hAnsi="Arial" w:cs="Arial"/>
          <w:b/>
          <w:bCs/>
          <w:sz w:val="24"/>
          <w:szCs w:val="24"/>
          <w:u w:val="none"/>
        </w:rPr>
        <w:t>4.1 Clarify market positioning</w:t>
      </w:r>
      <w:bookmarkEnd w:id="17"/>
    </w:p>
    <w:p>
      <w:pPr>
        <w:rPr>
          <w:rFonts w:hint="default" w:ascii="Arial" w:hAnsi="Arial" w:cs="Arial"/>
          <w:b w:val="0"/>
          <w:bCs w:val="0"/>
          <w:sz w:val="24"/>
          <w:szCs w:val="24"/>
          <w:u w:val="none"/>
        </w:rPr>
      </w:pPr>
      <w:r>
        <w:rPr>
          <w:rFonts w:hint="default" w:ascii="Arial" w:hAnsi="Arial" w:cs="Arial"/>
          <w:b w:val="0"/>
          <w:bCs w:val="0"/>
          <w:sz w:val="24"/>
          <w:szCs w:val="24"/>
          <w:u w:val="none"/>
        </w:rPr>
        <w:t xml:space="preserve">At present, </w:t>
      </w:r>
      <w:r>
        <w:rPr>
          <w:rFonts w:hint="eastAsia" w:ascii="Arial" w:hAnsi="Arial" w:cs="Arial"/>
          <w:b w:val="0"/>
          <w:bCs w:val="0"/>
          <w:sz w:val="24"/>
          <w:szCs w:val="24"/>
          <w:u w:val="none"/>
          <w:lang w:val="en-US" w:eastAsia="zh-CN"/>
        </w:rPr>
        <w:t>t</w:t>
      </w:r>
      <w:r>
        <w:rPr>
          <w:rFonts w:hint="default" w:ascii="Arial" w:hAnsi="Arial" w:cs="Arial"/>
          <w:b w:val="0"/>
          <w:bCs w:val="0"/>
          <w:sz w:val="24"/>
          <w:szCs w:val="24"/>
          <w:u w:val="none"/>
          <w:lang w:val="en-US" w:eastAsia="zh-CN"/>
        </w:rPr>
        <w:t>here is an issue with Marks &amp; Spencer's unclear positioning. With the exception of its own specialty food, the majority of its other offerings are similar to those found in surrounding supermarkets and convenience stores and lack any distinguishing qualities(Kupke, 20</w:t>
      </w:r>
      <w:r>
        <w:rPr>
          <w:rFonts w:hint="eastAsia" w:ascii="Arial" w:hAnsi="Arial" w:cs="Arial"/>
          <w:b w:val="0"/>
          <w:bCs w:val="0"/>
          <w:sz w:val="24"/>
          <w:szCs w:val="24"/>
          <w:u w:val="none"/>
          <w:lang w:val="en-US" w:eastAsia="zh-CN"/>
        </w:rPr>
        <w:t>2</w:t>
      </w:r>
      <w:r>
        <w:rPr>
          <w:rFonts w:hint="default" w:ascii="Arial" w:hAnsi="Arial" w:cs="Arial"/>
          <w:b w:val="0"/>
          <w:bCs w:val="0"/>
          <w:sz w:val="24"/>
          <w:szCs w:val="24"/>
          <w:u w:val="none"/>
          <w:lang w:val="en-US" w:eastAsia="zh-CN"/>
        </w:rPr>
        <w:t>3). The elevated shopping environment is the only distinction.</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Marks &amp; Spencer must thus have a distinct market positioning. Because Marks &amp; Spencer has so many locations, not every store can utilise the standard chain operation technique. It ought to implement distinct and customised operating procedures depending on various addresses. Stores in remote areas and those in the city centre, for instance, ought to have distinct market positioning. While stores in rural areas should offer more affordable goods, those in city centres should offer more individualised attention and convenience(Dibb and Simkin, 2018).</w:t>
      </w:r>
    </w:p>
    <w:p>
      <w:pPr>
        <w:rPr>
          <w:rFonts w:hint="default" w:ascii="Arial" w:hAnsi="Arial" w:cs="Arial"/>
          <w:b/>
          <w:bCs/>
          <w:sz w:val="24"/>
          <w:szCs w:val="24"/>
          <w:u w:val="none"/>
        </w:rPr>
      </w:pPr>
    </w:p>
    <w:p>
      <w:pPr>
        <w:outlineLvl w:val="1"/>
        <w:rPr>
          <w:rFonts w:hint="default" w:ascii="Arial" w:hAnsi="Arial" w:cs="Arial"/>
          <w:b/>
          <w:bCs/>
          <w:sz w:val="24"/>
          <w:szCs w:val="24"/>
          <w:u w:val="none"/>
        </w:rPr>
      </w:pPr>
      <w:bookmarkStart w:id="18" w:name="_Toc18327"/>
      <w:r>
        <w:rPr>
          <w:rFonts w:hint="default" w:ascii="Arial" w:hAnsi="Arial" w:cs="Arial"/>
          <w:b/>
          <w:bCs/>
          <w:sz w:val="24"/>
          <w:szCs w:val="24"/>
          <w:u w:val="none"/>
        </w:rPr>
        <w:t>4.2 Emphasize marketing and adopt new types of promotions</w:t>
      </w:r>
      <w:bookmarkEnd w:id="18"/>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Chain supermarkets should refrain from pursuing product and price marketing in an aimless manner when putting marketing strategies into practice. A significant part of operations is played by emotional marketing. Emotional communication is a key component of emotional marketing since it fosters consumer trust and preference for the store's goods, which in turn helps other marketing strategies to be developed.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For instance, to draw in customers, Marks &amp; Spencer can share engaging, worthwhile, and emotive content on social media. Examine profound needs and offer emotional assistance. We can better understand consumers' inner lives and offer goods and services that speak to their emotions by performing user interviews and market research (Todaro and Smith, 2020).</w:t>
      </w:r>
    </w:p>
    <w:p>
      <w:pPr>
        <w:outlineLvl w:val="9"/>
        <w:rPr>
          <w:rFonts w:hint="default" w:ascii="Arial" w:hAnsi="Arial" w:cs="Arial"/>
          <w:b/>
          <w:bCs/>
          <w:sz w:val="24"/>
          <w:szCs w:val="24"/>
          <w:u w:val="none"/>
        </w:rPr>
      </w:pPr>
    </w:p>
    <w:p>
      <w:pPr>
        <w:outlineLvl w:val="1"/>
        <w:rPr>
          <w:rFonts w:hint="default" w:ascii="Arial" w:hAnsi="Arial" w:cs="Arial"/>
          <w:b/>
          <w:bCs/>
          <w:sz w:val="24"/>
          <w:szCs w:val="24"/>
          <w:u w:val="none"/>
        </w:rPr>
      </w:pPr>
      <w:bookmarkStart w:id="19" w:name="_Toc21738"/>
      <w:r>
        <w:rPr>
          <w:rFonts w:hint="default" w:ascii="Arial" w:hAnsi="Arial" w:cs="Arial"/>
          <w:b/>
          <w:bCs/>
          <w:sz w:val="24"/>
          <w:szCs w:val="24"/>
          <w:u w:val="none"/>
        </w:rPr>
        <w:t xml:space="preserve">4.3 Make full use of geographical </w:t>
      </w:r>
      <w:r>
        <w:rPr>
          <w:rFonts w:hint="default" w:ascii="Arial" w:hAnsi="Arial" w:cs="Arial"/>
          <w:b/>
          <w:bCs/>
          <w:sz w:val="24"/>
          <w:szCs w:val="24"/>
          <w:u w:val="none"/>
          <w:lang w:val="en-US" w:eastAsia="zh-CN"/>
        </w:rPr>
        <w:t>r</w:t>
      </w:r>
      <w:r>
        <w:rPr>
          <w:rFonts w:hint="default" w:ascii="Arial" w:hAnsi="Arial" w:cs="Arial"/>
          <w:b/>
          <w:bCs/>
          <w:sz w:val="24"/>
          <w:szCs w:val="24"/>
          <w:u w:val="none"/>
        </w:rPr>
        <w:t>ecommendations</w:t>
      </w:r>
      <w:bookmarkEnd w:id="19"/>
    </w:p>
    <w:p>
      <w:pPr>
        <w:outlineLvl w:val="9"/>
        <w:rPr>
          <w:rFonts w:hint="default" w:ascii="Arial" w:hAnsi="Arial" w:cs="Arial"/>
          <w:b/>
          <w:bCs/>
          <w:sz w:val="24"/>
          <w:szCs w:val="24"/>
          <w:u w:val="none"/>
        </w:rPr>
      </w:pPr>
      <w:r>
        <w:rPr>
          <w:rFonts w:hint="default" w:ascii="Arial" w:hAnsi="Arial" w:cs="Arial"/>
          <w:b w:val="0"/>
          <w:bCs w:val="0"/>
          <w:sz w:val="24"/>
          <w:szCs w:val="24"/>
          <w:u w:val="none"/>
          <w:lang w:val="en-US" w:eastAsia="zh-CN"/>
        </w:rPr>
        <w:t xml:space="preserve">Large chain supermarkets can benefit from the efficient application of marketing strategies when they are located in a favourable geographic area. As a result, this advantage must be taken into consideration when developing and implementing marketing strategies(Newnan et al., 2020).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For instance, broadening the scope of promotion and conducting radio promotional activities by taking advantage of the high foot traffic. To build a positive reputation and increase one's credibility in the community, one can also host regional discounts or feedback events, which will increase their influence. Related events can also be held around particular holidays, like Christmas and Easter, to allow customers to view the supermarkets' feedback and take advantage of geographic advantages for distribution(Bagozzi et al., 2018). Supermarket marketing strategies can only be more effectively executed by making the most of geographical advantages and leveraging their role.</w:t>
      </w:r>
      <w:r>
        <w:rPr>
          <w:rFonts w:hint="default" w:ascii="Arial" w:hAnsi="Arial" w:cs="Arial"/>
          <w:b w:val="0"/>
          <w:bCs w:val="0"/>
          <w:sz w:val="24"/>
          <w:szCs w:val="24"/>
          <w:u w:val="none"/>
          <w:lang w:val="en-US" w:eastAsia="zh-CN"/>
        </w:rPr>
        <w:br w:type="textWrapping"/>
      </w:r>
    </w:p>
    <w:p>
      <w:pPr>
        <w:outlineLvl w:val="0"/>
        <w:rPr>
          <w:rFonts w:hint="default" w:ascii="Arial" w:hAnsi="Arial" w:cs="Arial"/>
          <w:b/>
          <w:bCs/>
          <w:sz w:val="24"/>
          <w:szCs w:val="24"/>
          <w:u w:val="none"/>
        </w:rPr>
      </w:pPr>
      <w:bookmarkStart w:id="20" w:name="_Toc23755"/>
    </w:p>
    <w:p>
      <w:pPr>
        <w:outlineLvl w:val="0"/>
        <w:rPr>
          <w:rFonts w:hint="default" w:ascii="Arial" w:hAnsi="Arial" w:cs="Arial"/>
          <w:b/>
          <w:bCs/>
          <w:sz w:val="24"/>
          <w:szCs w:val="24"/>
          <w:u w:val="none"/>
        </w:rPr>
      </w:pPr>
      <w:r>
        <w:rPr>
          <w:rFonts w:hint="default" w:ascii="Arial" w:hAnsi="Arial" w:cs="Arial"/>
          <w:b/>
          <w:bCs/>
          <w:sz w:val="24"/>
          <w:szCs w:val="24"/>
          <w:u w:val="none"/>
        </w:rPr>
        <w:t>5. Conclusions</w:t>
      </w:r>
      <w:bookmarkEnd w:id="20"/>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First, an analysis of the current market environment in which Marks &amp; Spencer operates leads one to believe that, given the current state of the economy, there is still a great deal of room for growth in the supermarket industry, and that, all things considered, the market environment remains highly favourable for Marks &amp; Spencer's future development. </w:t>
      </w:r>
      <w:r>
        <w:rPr>
          <w:rFonts w:hint="default" w:ascii="Arial" w:hAnsi="Arial" w:cs="Arial"/>
          <w:b w:val="0"/>
          <w:bCs w:val="0"/>
          <w:sz w:val="24"/>
          <w:szCs w:val="24"/>
          <w:u w:val="none"/>
          <w:lang w:val="en-US" w:eastAsia="zh-CN"/>
        </w:rPr>
        <w:br w:type="textWrapping"/>
      </w:r>
      <w:r>
        <w:rPr>
          <w:rFonts w:hint="default" w:ascii="Arial" w:hAnsi="Arial" w:cs="Arial"/>
          <w:b w:val="0"/>
          <w:bCs w:val="0"/>
          <w:sz w:val="24"/>
          <w:szCs w:val="24"/>
          <w:u w:val="none"/>
          <w:lang w:val="en-US" w:eastAsia="zh-CN"/>
        </w:rPr>
        <w:t>Second, this article's analysis of Porter's Five Forces and SWOT models leads it to conclude that Marks &amp; Spencer has a significant market share and a particular brand influence in the neighbourhood, which provides the groundwork for the company's long-term, healthy growth. Low profits, intense peer competition, and high costs are all signs of weakness.</w:t>
      </w:r>
    </w:p>
    <w:p>
      <w:pPr>
        <w:rPr>
          <w:rFonts w:hint="default" w:ascii="Arial" w:hAnsi="Arial" w:cs="Arial"/>
          <w:b w:val="0"/>
          <w:bCs w:val="0"/>
          <w:sz w:val="24"/>
          <w:szCs w:val="24"/>
          <w:u w:val="none"/>
        </w:rPr>
      </w:pPr>
      <w:r>
        <w:rPr>
          <w:rFonts w:hint="default" w:ascii="Arial" w:hAnsi="Arial" w:cs="Arial"/>
          <w:b w:val="0"/>
          <w:bCs w:val="0"/>
          <w:sz w:val="24"/>
          <w:szCs w:val="24"/>
          <w:u w:val="none"/>
          <w:lang w:val="en-US" w:eastAsia="zh-CN"/>
        </w:rPr>
        <w:t xml:space="preserve">The final analysis concludes that Marks &amp; Spencer should increase customer loyalty to the supermarket, make reasonable use of its geographic advantages, clarify its market positioning, strengthen its core competitiveness, adopt diversified marketing strategies, use emotional marketing, alter a single marketing method, and allow Marks &amp; Spencer to grow. </w:t>
      </w:r>
    </w:p>
    <w:p>
      <w:pPr>
        <w:rPr>
          <w:rFonts w:hint="default" w:ascii="Arial" w:hAnsi="Arial" w:cs="Arial"/>
          <w:b w:val="0"/>
          <w:bCs w:val="0"/>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rPr>
          <w:rFonts w:cstheme="minorHAnsi"/>
          <w:b/>
          <w:bCs/>
          <w:sz w:val="24"/>
          <w:szCs w:val="24"/>
          <w:u w:val="none"/>
        </w:rPr>
      </w:pPr>
    </w:p>
    <w:p>
      <w:pPr>
        <w:outlineLvl w:val="0"/>
        <w:rPr>
          <w:rFonts w:hint="default" w:ascii="Arial" w:hAnsi="Arial" w:cs="Arial"/>
          <w:i w:val="0"/>
          <w:iCs w:val="0"/>
          <w:caps w:val="0"/>
          <w:color w:val="000000"/>
          <w:spacing w:val="0"/>
          <w:sz w:val="24"/>
          <w:szCs w:val="24"/>
        </w:rPr>
      </w:pPr>
      <w:bookmarkStart w:id="21" w:name="_Toc24971"/>
      <w:r>
        <w:rPr>
          <w:rFonts w:hint="default" w:ascii="Arial" w:hAnsi="Arial" w:cs="Arial"/>
          <w:b/>
          <w:bCs/>
          <w:sz w:val="24"/>
          <w:szCs w:val="24"/>
          <w:u w:val="none"/>
        </w:rPr>
        <w:t xml:space="preserve">Reference List </w:t>
      </w:r>
      <w:r>
        <w:rPr>
          <w:rFonts w:hint="default" w:ascii="Arial" w:hAnsi="Arial" w:cs="Arial"/>
          <w:i w:val="0"/>
          <w:iCs w:val="0"/>
          <w:caps w:val="0"/>
          <w:color w:val="000000"/>
          <w:spacing w:val="0"/>
          <w:sz w:val="24"/>
          <w:szCs w:val="24"/>
        </w:rPr>
        <w:t>‌</w:t>
      </w:r>
      <w:bookmarkEnd w:id="21"/>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A, C., Williamson Steven A and Babson, H.C. (2017). </w:t>
      </w:r>
      <w:r>
        <w:rPr>
          <w:rFonts w:hint="default" w:ascii="Arial" w:hAnsi="Arial" w:cs="Arial"/>
          <w:i/>
          <w:iCs/>
          <w:caps w:val="0"/>
          <w:color w:val="000000"/>
          <w:spacing w:val="0"/>
          <w:sz w:val="24"/>
          <w:szCs w:val="24"/>
        </w:rPr>
        <w:t>Business policy and strategy : the art of competition</w:t>
      </w:r>
      <w:r>
        <w:rPr>
          <w:rFonts w:hint="default" w:ascii="Arial" w:hAnsi="Arial" w:cs="Arial"/>
          <w:i w:val="0"/>
          <w:iCs w:val="0"/>
          <w:caps w:val="0"/>
          <w:color w:val="000000"/>
          <w:spacing w:val="0"/>
          <w:sz w:val="24"/>
          <w:szCs w:val="24"/>
        </w:rPr>
        <w:t>. Boca Raton, Fl: Auerbach Publications.</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sz w:val="24"/>
          <w:szCs w:val="24"/>
        </w:rPr>
      </w:pPr>
      <w:r>
        <w:rPr>
          <w:rFonts w:hint="default" w:ascii="Arial" w:hAnsi="Arial" w:cs="Arial"/>
          <w:i w:val="0"/>
          <w:iCs w:val="0"/>
          <w:caps w:val="0"/>
          <w:color w:val="000000"/>
          <w:spacing w:val="0"/>
          <w:sz w:val="24"/>
          <w:szCs w:val="24"/>
        </w:rPr>
        <w:t>Asgary, N.H., Frutos-Bencze, D., Samii, M.V. and Varamini, H. (202</w:t>
      </w:r>
      <w:r>
        <w:rPr>
          <w:rFonts w:hint="default" w:ascii="Arial" w:hAnsi="Arial" w:cs="Arial"/>
          <w:i w:val="0"/>
          <w:iCs w:val="0"/>
          <w:caps w:val="0"/>
          <w:color w:val="000000"/>
          <w:spacing w:val="0"/>
          <w:sz w:val="24"/>
          <w:szCs w:val="24"/>
          <w:lang w:val="en-US" w:eastAsia="zh-CN"/>
        </w:rPr>
        <w:t>3</w:t>
      </w:r>
      <w:r>
        <w:rPr>
          <w:rFonts w:hint="default" w:ascii="Arial" w:hAnsi="Arial" w:cs="Arial"/>
          <w:i w:val="0"/>
          <w:iCs w:val="0"/>
          <w:caps w:val="0"/>
          <w:color w:val="000000"/>
          <w:spacing w:val="0"/>
          <w:sz w:val="24"/>
          <w:szCs w:val="24"/>
        </w:rPr>
        <w:t>). </w:t>
      </w:r>
      <w:r>
        <w:rPr>
          <w:rFonts w:hint="default" w:ascii="Arial" w:hAnsi="Arial" w:cs="Arial"/>
          <w:i/>
          <w:iCs/>
          <w:caps w:val="0"/>
          <w:color w:val="000000"/>
          <w:spacing w:val="0"/>
          <w:sz w:val="24"/>
          <w:szCs w:val="24"/>
        </w:rPr>
        <w:t>Global business : an economic, social, and environmental perspective</w:t>
      </w:r>
      <w:r>
        <w:rPr>
          <w:rFonts w:hint="default" w:ascii="Arial" w:hAnsi="Arial" w:cs="Arial"/>
          <w:i w:val="0"/>
          <w:iCs w:val="0"/>
          <w:caps w:val="0"/>
          <w:color w:val="000000"/>
          <w:spacing w:val="0"/>
          <w:sz w:val="24"/>
          <w:szCs w:val="24"/>
        </w:rPr>
        <w:t>. Charlotte, NC: Information Age Publishing, Inc.</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Bagozzi, R.P., Rosa, J.A., Sawhney, K. and Coronel, F. (2018). </w:t>
      </w:r>
      <w:r>
        <w:rPr>
          <w:rFonts w:hint="default" w:ascii="Arial" w:hAnsi="Arial" w:cs="Arial"/>
          <w:i/>
          <w:iCs/>
          <w:caps w:val="0"/>
          <w:color w:val="000000"/>
          <w:spacing w:val="0"/>
          <w:sz w:val="24"/>
          <w:szCs w:val="24"/>
        </w:rPr>
        <w:t>Marketing management</w:t>
      </w:r>
      <w:r>
        <w:rPr>
          <w:rFonts w:hint="default" w:ascii="Arial" w:hAnsi="Arial" w:cs="Arial"/>
          <w:i w:val="0"/>
          <w:iCs w:val="0"/>
          <w:caps w:val="0"/>
          <w:color w:val="000000"/>
          <w:spacing w:val="0"/>
          <w:sz w:val="24"/>
          <w:szCs w:val="24"/>
        </w:rPr>
        <w:t>. Upper Saddle River, N.J.: Prentice Hall.</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Basker, E. (201</w:t>
      </w:r>
      <w:r>
        <w:rPr>
          <w:rFonts w:hint="default" w:ascii="Arial" w:hAnsi="Arial" w:eastAsia="宋体" w:cs="Arial"/>
          <w:i w:val="0"/>
          <w:iCs w:val="0"/>
          <w:caps w:val="0"/>
          <w:color w:val="000000"/>
          <w:spacing w:val="0"/>
          <w:sz w:val="24"/>
          <w:szCs w:val="24"/>
          <w:lang w:val="en-US" w:eastAsia="zh-CN"/>
        </w:rPr>
        <w:t>9</w:t>
      </w:r>
      <w:r>
        <w:rPr>
          <w:rFonts w:hint="default" w:ascii="Arial" w:hAnsi="Arial" w:cs="Arial"/>
          <w:i w:val="0"/>
          <w:iCs w:val="0"/>
          <w:caps w:val="0"/>
          <w:color w:val="000000"/>
          <w:spacing w:val="0"/>
          <w:sz w:val="24"/>
          <w:szCs w:val="24"/>
        </w:rPr>
        <w:t>). </w:t>
      </w:r>
      <w:r>
        <w:rPr>
          <w:rFonts w:hint="default" w:ascii="Arial" w:hAnsi="Arial" w:cs="Arial"/>
          <w:i/>
          <w:iCs/>
          <w:caps w:val="0"/>
          <w:color w:val="000000"/>
          <w:spacing w:val="0"/>
          <w:sz w:val="24"/>
          <w:szCs w:val="24"/>
        </w:rPr>
        <w:t>Handbook on the economics of retailing and distribution</w:t>
      </w:r>
      <w:r>
        <w:rPr>
          <w:rFonts w:hint="default" w:ascii="Arial" w:hAnsi="Arial" w:cs="Arial"/>
          <w:i w:val="0"/>
          <w:iCs w:val="0"/>
          <w:caps w:val="0"/>
          <w:color w:val="000000"/>
          <w:spacing w:val="0"/>
          <w:sz w:val="24"/>
          <w:szCs w:val="24"/>
        </w:rPr>
        <w:t>. Cheltenham: Edward Elgar Publishing.</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Cadogan, J.W. (2019). </w:t>
      </w:r>
      <w:r>
        <w:rPr>
          <w:rFonts w:hint="default" w:ascii="Arial" w:hAnsi="Arial" w:cs="Arial"/>
          <w:i/>
          <w:iCs/>
          <w:caps w:val="0"/>
          <w:color w:val="000000"/>
          <w:spacing w:val="0"/>
          <w:sz w:val="24"/>
          <w:szCs w:val="24"/>
        </w:rPr>
        <w:t>Marketing strategy / Vol. 1, Marketing strategy’s foundations: market orientation, the cornerstone of strategic marketing thought.</w:t>
      </w:r>
      <w:r>
        <w:rPr>
          <w:rFonts w:hint="default" w:ascii="Arial" w:hAnsi="Arial" w:cs="Arial"/>
          <w:i w:val="0"/>
          <w:iCs w:val="0"/>
          <w:caps w:val="0"/>
          <w:color w:val="000000"/>
          <w:spacing w:val="0"/>
          <w:sz w:val="24"/>
          <w:szCs w:val="24"/>
        </w:rPr>
        <w:t> Los Angeles Etc.: Sage.</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Cadogan, J.W. (20</w:t>
      </w:r>
      <w:r>
        <w:rPr>
          <w:rFonts w:hint="default" w:ascii="Arial" w:hAnsi="Arial" w:eastAsia="宋体" w:cs="Arial"/>
          <w:i w:val="0"/>
          <w:iCs w:val="0"/>
          <w:caps w:val="0"/>
          <w:color w:val="000000"/>
          <w:spacing w:val="0"/>
          <w:sz w:val="24"/>
          <w:szCs w:val="24"/>
          <w:lang w:val="en-US" w:eastAsia="zh-CN"/>
        </w:rPr>
        <w:t>22</w:t>
      </w:r>
      <w:r>
        <w:rPr>
          <w:rFonts w:hint="default" w:ascii="Arial" w:hAnsi="Arial" w:cs="Arial"/>
          <w:i w:val="0"/>
          <w:iCs w:val="0"/>
          <w:caps w:val="0"/>
          <w:color w:val="000000"/>
          <w:spacing w:val="0"/>
          <w:sz w:val="24"/>
          <w:szCs w:val="24"/>
        </w:rPr>
        <w:t>). </w:t>
      </w:r>
      <w:r>
        <w:rPr>
          <w:rFonts w:hint="default" w:ascii="Arial" w:hAnsi="Arial" w:cs="Arial"/>
          <w:i/>
          <w:iCs/>
          <w:caps w:val="0"/>
          <w:color w:val="000000"/>
          <w:spacing w:val="0"/>
          <w:sz w:val="24"/>
          <w:szCs w:val="24"/>
        </w:rPr>
        <w:t>Marketing strategy. 4, Marketing mix strategies - distrivution strategy and pricing strategy</w:t>
      </w:r>
      <w:r>
        <w:rPr>
          <w:rFonts w:hint="default" w:ascii="Arial" w:hAnsi="Arial" w:cs="Arial"/>
          <w:i w:val="0"/>
          <w:iCs w:val="0"/>
          <w:caps w:val="0"/>
          <w:color w:val="000000"/>
          <w:spacing w:val="0"/>
          <w:sz w:val="24"/>
          <w:szCs w:val="24"/>
        </w:rPr>
        <w:t>. Los Angeles: Sage.</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Dealtry, T.R. (2021). </w:t>
      </w:r>
      <w:r>
        <w:rPr>
          <w:rFonts w:hint="default" w:ascii="Arial" w:hAnsi="Arial" w:cs="Arial"/>
          <w:i/>
          <w:iCs/>
          <w:caps w:val="0"/>
          <w:color w:val="000000"/>
          <w:spacing w:val="0"/>
          <w:sz w:val="24"/>
          <w:szCs w:val="24"/>
        </w:rPr>
        <w:t>Dynamic SWOT analysis : developer’s guide.</w:t>
      </w:r>
      <w:r>
        <w:rPr>
          <w:rFonts w:hint="default" w:ascii="Arial" w:hAnsi="Arial" w:cs="Arial"/>
          <w:i w:val="0"/>
          <w:iCs w:val="0"/>
          <w:caps w:val="0"/>
          <w:color w:val="000000"/>
          <w:spacing w:val="0"/>
          <w:sz w:val="24"/>
          <w:szCs w:val="24"/>
        </w:rPr>
        <w:t> Birmingham: Dynamic Swot Associates.</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Dess, G.G. (2018). </w:t>
      </w:r>
      <w:r>
        <w:rPr>
          <w:rFonts w:hint="default" w:ascii="Arial" w:hAnsi="Arial" w:cs="Arial"/>
          <w:i/>
          <w:iCs/>
          <w:caps w:val="0"/>
          <w:color w:val="000000"/>
          <w:spacing w:val="0"/>
          <w:sz w:val="24"/>
          <w:szCs w:val="24"/>
        </w:rPr>
        <w:t>Strategic management : text and cases</w:t>
      </w:r>
      <w:r>
        <w:rPr>
          <w:rFonts w:hint="default" w:ascii="Arial" w:hAnsi="Arial" w:cs="Arial"/>
          <w:i w:val="0"/>
          <w:iCs w:val="0"/>
          <w:caps w:val="0"/>
          <w:color w:val="000000"/>
          <w:spacing w:val="0"/>
          <w:sz w:val="24"/>
          <w:szCs w:val="24"/>
        </w:rPr>
        <w:t>. New York: Mcgraw-Hill/Irwin.</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Dibb, S. and Simkin, L. (2018). </w:t>
      </w:r>
      <w:r>
        <w:rPr>
          <w:rFonts w:hint="default" w:ascii="Arial" w:hAnsi="Arial" w:cs="Arial"/>
          <w:i/>
          <w:iCs/>
          <w:caps w:val="0"/>
          <w:color w:val="000000"/>
          <w:spacing w:val="0"/>
          <w:sz w:val="24"/>
          <w:szCs w:val="24"/>
        </w:rPr>
        <w:t>The market segmentation workbook : target marketing for marketing managers</w:t>
      </w:r>
      <w:r>
        <w:rPr>
          <w:rFonts w:hint="default" w:ascii="Arial" w:hAnsi="Arial" w:cs="Arial"/>
          <w:i w:val="0"/>
          <w:iCs w:val="0"/>
          <w:caps w:val="0"/>
          <w:color w:val="000000"/>
          <w:spacing w:val="0"/>
          <w:sz w:val="24"/>
          <w:szCs w:val="24"/>
        </w:rPr>
        <w:t>. London: Routledge.</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Du, J., Strydom, J.W. and Jooste, C.J. (2019). </w:t>
      </w:r>
      <w:r>
        <w:rPr>
          <w:rFonts w:hint="default" w:ascii="Arial" w:hAnsi="Arial" w:cs="Arial"/>
          <w:i/>
          <w:iCs/>
          <w:caps w:val="0"/>
          <w:color w:val="000000"/>
          <w:spacing w:val="0"/>
          <w:sz w:val="24"/>
          <w:szCs w:val="24"/>
        </w:rPr>
        <w:t>Marketing management.</w:t>
      </w:r>
      <w:r>
        <w:rPr>
          <w:rFonts w:hint="default" w:ascii="Arial" w:hAnsi="Arial" w:cs="Arial"/>
          <w:i w:val="0"/>
          <w:iCs w:val="0"/>
          <w:caps w:val="0"/>
          <w:color w:val="000000"/>
          <w:spacing w:val="0"/>
          <w:sz w:val="24"/>
          <w:szCs w:val="24"/>
        </w:rPr>
        <w:t> Cape Town: Juta.</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Euromonitor International (20</w:t>
      </w:r>
      <w:r>
        <w:rPr>
          <w:rFonts w:hint="default" w:ascii="Arial" w:hAnsi="Arial" w:eastAsia="宋体" w:cs="Arial"/>
          <w:i w:val="0"/>
          <w:iCs w:val="0"/>
          <w:caps w:val="0"/>
          <w:color w:val="000000"/>
          <w:spacing w:val="0"/>
          <w:sz w:val="24"/>
          <w:szCs w:val="24"/>
          <w:lang w:val="en-US" w:eastAsia="zh-CN"/>
        </w:rPr>
        <w:t>1</w:t>
      </w:r>
      <w:r>
        <w:rPr>
          <w:rFonts w:hint="default" w:ascii="Arial" w:hAnsi="Arial" w:cs="Arial"/>
          <w:i w:val="0"/>
          <w:iCs w:val="0"/>
          <w:caps w:val="0"/>
          <w:color w:val="000000"/>
          <w:spacing w:val="0"/>
          <w:sz w:val="24"/>
          <w:szCs w:val="24"/>
        </w:rPr>
        <w:t>9). </w:t>
      </w:r>
      <w:r>
        <w:rPr>
          <w:rFonts w:hint="default" w:ascii="Arial" w:hAnsi="Arial" w:cs="Arial"/>
          <w:i/>
          <w:iCs/>
          <w:caps w:val="0"/>
          <w:color w:val="000000"/>
          <w:spacing w:val="0"/>
          <w:sz w:val="24"/>
          <w:szCs w:val="24"/>
        </w:rPr>
        <w:t>Retail Trade International</w:t>
      </w:r>
      <w:r>
        <w:rPr>
          <w:rFonts w:hint="default" w:ascii="Arial" w:hAnsi="Arial" w:cs="Arial"/>
          <w:i w:val="0"/>
          <w:iCs w:val="0"/>
          <w:caps w:val="0"/>
          <w:color w:val="000000"/>
          <w:spacing w:val="0"/>
          <w:sz w:val="24"/>
          <w:szCs w:val="24"/>
        </w:rPr>
        <w:t>.</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Fifield, P. (2022). </w:t>
      </w:r>
      <w:r>
        <w:rPr>
          <w:rFonts w:hint="default" w:ascii="Arial" w:hAnsi="Arial" w:cs="Arial"/>
          <w:i/>
          <w:iCs/>
          <w:caps w:val="0"/>
          <w:color w:val="000000"/>
          <w:spacing w:val="0"/>
          <w:sz w:val="24"/>
          <w:szCs w:val="24"/>
        </w:rPr>
        <w:t>Marketing strategy</w:t>
      </w:r>
      <w:r>
        <w:rPr>
          <w:rFonts w:hint="default" w:ascii="Arial" w:hAnsi="Arial" w:cs="Arial"/>
          <w:i w:val="0"/>
          <w:iCs w:val="0"/>
          <w:caps w:val="0"/>
          <w:color w:val="000000"/>
          <w:spacing w:val="0"/>
          <w:sz w:val="24"/>
          <w:szCs w:val="24"/>
        </w:rPr>
        <w:t>. 6th ed. London: Routledge.</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Godin, S. (2018). </w:t>
      </w:r>
      <w:r>
        <w:rPr>
          <w:rFonts w:hint="default" w:ascii="Arial" w:hAnsi="Arial" w:cs="Arial"/>
          <w:i/>
          <w:iCs/>
          <w:caps w:val="0"/>
          <w:color w:val="000000"/>
          <w:spacing w:val="0"/>
          <w:sz w:val="24"/>
          <w:szCs w:val="24"/>
        </w:rPr>
        <w:t>This is marketing</w:t>
      </w:r>
      <w:r>
        <w:rPr>
          <w:rFonts w:hint="default" w:ascii="Arial" w:hAnsi="Arial" w:cs="Arial"/>
          <w:i w:val="0"/>
          <w:iCs w:val="0"/>
          <w:caps w:val="0"/>
          <w:color w:val="000000"/>
          <w:spacing w:val="0"/>
          <w:sz w:val="24"/>
          <w:szCs w:val="24"/>
        </w:rPr>
        <w:t>. New York, New York: Portfolio/Penguin, An Imprint Of Penguin Random House Llc.</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Grewal, D. and Levy, M. (2018). </w:t>
      </w:r>
      <w:r>
        <w:rPr>
          <w:rFonts w:hint="default" w:ascii="Arial" w:hAnsi="Arial" w:cs="Arial"/>
          <w:i/>
          <w:iCs/>
          <w:caps w:val="0"/>
          <w:color w:val="000000"/>
          <w:spacing w:val="0"/>
          <w:sz w:val="24"/>
          <w:szCs w:val="24"/>
        </w:rPr>
        <w:t>Marketing</w:t>
      </w:r>
      <w:r>
        <w:rPr>
          <w:rFonts w:hint="default" w:ascii="Arial" w:hAnsi="Arial" w:cs="Arial"/>
          <w:i w:val="0"/>
          <w:iCs w:val="0"/>
          <w:caps w:val="0"/>
          <w:color w:val="000000"/>
          <w:spacing w:val="0"/>
          <w:sz w:val="24"/>
          <w:szCs w:val="24"/>
        </w:rPr>
        <w:t>. New York, Ny: Mcgraw-Hill Education.</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Henk and Waalewijn, P. (2019). </w:t>
      </w:r>
      <w:r>
        <w:rPr>
          <w:rFonts w:hint="default" w:ascii="Arial" w:hAnsi="Arial" w:cs="Arial"/>
          <w:i/>
          <w:iCs/>
          <w:caps w:val="0"/>
          <w:color w:val="000000"/>
          <w:spacing w:val="0"/>
          <w:sz w:val="24"/>
          <w:szCs w:val="24"/>
        </w:rPr>
        <w:t>A knowledge base representing Porter’s five forces model</w:t>
      </w:r>
      <w:r>
        <w:rPr>
          <w:rFonts w:hint="default" w:ascii="Arial" w:hAnsi="Arial" w:cs="Arial"/>
          <w:i w:val="0"/>
          <w:iCs w:val="0"/>
          <w:caps w:val="0"/>
          <w:color w:val="000000"/>
          <w:spacing w:val="0"/>
          <w:sz w:val="24"/>
          <w:szCs w:val="24"/>
        </w:rPr>
        <w:t>. Rotterdam: Ribes, Rotterdam Institute For Business Economic Studies.</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Iacobucci, D. (2022). </w:t>
      </w:r>
      <w:r>
        <w:rPr>
          <w:rFonts w:hint="default" w:ascii="Arial" w:hAnsi="Arial" w:cs="Arial"/>
          <w:i/>
          <w:iCs/>
          <w:caps w:val="0"/>
          <w:color w:val="000000"/>
          <w:spacing w:val="0"/>
          <w:sz w:val="24"/>
          <w:szCs w:val="24"/>
        </w:rPr>
        <w:t>Marketing Management</w:t>
      </w:r>
      <w:r>
        <w:rPr>
          <w:rFonts w:hint="default" w:ascii="Arial" w:hAnsi="Arial" w:cs="Arial"/>
          <w:i w:val="0"/>
          <w:iCs w:val="0"/>
          <w:caps w:val="0"/>
          <w:color w:val="000000"/>
          <w:spacing w:val="0"/>
          <w:sz w:val="24"/>
          <w:szCs w:val="24"/>
        </w:rPr>
        <w:t>. 5th ed. Boston, Ma: Cengage Learning.</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Kupke, D. (20</w:t>
      </w:r>
      <w:r>
        <w:rPr>
          <w:rFonts w:hint="default" w:ascii="Arial" w:hAnsi="Arial" w:eastAsia="宋体" w:cs="Arial"/>
          <w:i w:val="0"/>
          <w:iCs w:val="0"/>
          <w:caps w:val="0"/>
          <w:color w:val="000000"/>
          <w:spacing w:val="0"/>
          <w:sz w:val="24"/>
          <w:szCs w:val="24"/>
          <w:lang w:val="en-US" w:eastAsia="zh-CN"/>
        </w:rPr>
        <w:t>2</w:t>
      </w:r>
      <w:r>
        <w:rPr>
          <w:rFonts w:hint="default" w:ascii="Arial" w:hAnsi="Arial" w:cs="Arial"/>
          <w:i w:val="0"/>
          <w:iCs w:val="0"/>
          <w:caps w:val="0"/>
          <w:color w:val="000000"/>
          <w:spacing w:val="0"/>
          <w:sz w:val="24"/>
          <w:szCs w:val="24"/>
        </w:rPr>
        <w:t>3). </w:t>
      </w:r>
      <w:r>
        <w:rPr>
          <w:rFonts w:hint="default" w:ascii="Arial" w:hAnsi="Arial" w:cs="Arial"/>
          <w:i/>
          <w:iCs/>
          <w:caps w:val="0"/>
          <w:color w:val="000000"/>
          <w:spacing w:val="0"/>
          <w:sz w:val="24"/>
          <w:szCs w:val="24"/>
        </w:rPr>
        <w:t>New Service Development: A Case Study for the Swedish Supermarket Chain ICA</w:t>
      </w:r>
      <w:r>
        <w:rPr>
          <w:rFonts w:hint="default" w:ascii="Arial" w:hAnsi="Arial" w:cs="Arial"/>
          <w:i w:val="0"/>
          <w:iCs w:val="0"/>
          <w:caps w:val="0"/>
          <w:color w:val="000000"/>
          <w:spacing w:val="0"/>
          <w:sz w:val="24"/>
          <w:szCs w:val="24"/>
        </w:rPr>
        <w:t>. GRIN Verlag.‌</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Manfred Krafft and Mantrala, M.K. (20</w:t>
      </w:r>
      <w:r>
        <w:rPr>
          <w:rFonts w:hint="default" w:ascii="Arial" w:hAnsi="Arial" w:eastAsia="宋体" w:cs="Arial"/>
          <w:i w:val="0"/>
          <w:iCs w:val="0"/>
          <w:caps w:val="0"/>
          <w:color w:val="000000"/>
          <w:spacing w:val="0"/>
          <w:sz w:val="24"/>
          <w:szCs w:val="24"/>
          <w:lang w:val="en-US" w:eastAsia="zh-CN"/>
        </w:rPr>
        <w:t>2</w:t>
      </w:r>
      <w:r>
        <w:rPr>
          <w:rFonts w:hint="default" w:ascii="Arial" w:hAnsi="Arial" w:cs="Arial"/>
          <w:i w:val="0"/>
          <w:iCs w:val="0"/>
          <w:caps w:val="0"/>
          <w:color w:val="000000"/>
          <w:spacing w:val="0"/>
          <w:sz w:val="24"/>
          <w:szCs w:val="24"/>
        </w:rPr>
        <w:t>0). </w:t>
      </w:r>
      <w:r>
        <w:rPr>
          <w:rFonts w:hint="default" w:ascii="Arial" w:hAnsi="Arial" w:cs="Arial"/>
          <w:i/>
          <w:iCs/>
          <w:caps w:val="0"/>
          <w:color w:val="000000"/>
          <w:spacing w:val="0"/>
          <w:sz w:val="24"/>
          <w:szCs w:val="24"/>
        </w:rPr>
        <w:t>Retailing in the 21st century : current and future trends.</w:t>
      </w:r>
      <w:r>
        <w:rPr>
          <w:rFonts w:hint="default" w:ascii="Arial" w:hAnsi="Arial" w:cs="Arial"/>
          <w:i w:val="0"/>
          <w:iCs w:val="0"/>
          <w:caps w:val="0"/>
          <w:color w:val="000000"/>
          <w:spacing w:val="0"/>
          <w:sz w:val="24"/>
          <w:szCs w:val="24"/>
        </w:rPr>
        <w:t> Berlin: Springer.</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Marshall, G.W. and Johnston, M.W. (2019). </w:t>
      </w:r>
      <w:r>
        <w:rPr>
          <w:rFonts w:hint="default" w:ascii="Arial" w:hAnsi="Arial" w:cs="Arial"/>
          <w:i/>
          <w:iCs/>
          <w:caps w:val="0"/>
          <w:color w:val="000000"/>
          <w:spacing w:val="0"/>
          <w:sz w:val="24"/>
          <w:szCs w:val="24"/>
        </w:rPr>
        <w:t>Marketing management</w:t>
      </w:r>
      <w:r>
        <w:rPr>
          <w:rFonts w:hint="default" w:ascii="Arial" w:hAnsi="Arial" w:cs="Arial"/>
          <w:i w:val="0"/>
          <w:iCs w:val="0"/>
          <w:caps w:val="0"/>
          <w:color w:val="000000"/>
          <w:spacing w:val="0"/>
          <w:sz w:val="24"/>
          <w:szCs w:val="24"/>
        </w:rPr>
        <w:t>. 3rd ed. New York, Ny Mcgraw-Hill Education.</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Mellahi, K., Jackson, P. and Sparks, L. (2021). An Exploratory Study into Failure in Successful Organizations: The Case of Marks &amp; Spencer. </w:t>
      </w:r>
      <w:r>
        <w:rPr>
          <w:rFonts w:hint="default" w:ascii="Arial" w:hAnsi="Arial" w:cs="Arial"/>
          <w:i/>
          <w:iCs/>
          <w:caps w:val="0"/>
          <w:color w:val="000000"/>
          <w:spacing w:val="0"/>
          <w:sz w:val="24"/>
          <w:szCs w:val="24"/>
        </w:rPr>
        <w:t>British Journal of Management</w:t>
      </w:r>
      <w:r>
        <w:rPr>
          <w:rFonts w:hint="default" w:ascii="Arial" w:hAnsi="Arial" w:cs="Arial"/>
          <w:i w:val="0"/>
          <w:iCs w:val="0"/>
          <w:caps w:val="0"/>
          <w:color w:val="000000"/>
          <w:spacing w:val="0"/>
          <w:sz w:val="24"/>
          <w:szCs w:val="24"/>
        </w:rPr>
        <w:t>, 13(1), pp.15–29. doi:https://doi.org/10.1111/1467-8551.00220.‌</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Newnan, D.G., Eschenbach, T.G., Lavelle, J.P. and Lewis, N.A. (2020). </w:t>
      </w:r>
      <w:r>
        <w:rPr>
          <w:rFonts w:hint="default" w:ascii="Arial" w:hAnsi="Arial" w:cs="Arial"/>
          <w:i/>
          <w:iCs/>
          <w:caps w:val="0"/>
          <w:color w:val="000000"/>
          <w:spacing w:val="0"/>
          <w:sz w:val="24"/>
          <w:szCs w:val="24"/>
        </w:rPr>
        <w:t>Engineering economic analysis</w:t>
      </w:r>
      <w:r>
        <w:rPr>
          <w:rFonts w:hint="default" w:ascii="Arial" w:hAnsi="Arial" w:cs="Arial"/>
          <w:i w:val="0"/>
          <w:iCs w:val="0"/>
          <w:caps w:val="0"/>
          <w:color w:val="000000"/>
          <w:spacing w:val="0"/>
          <w:sz w:val="24"/>
          <w:szCs w:val="24"/>
        </w:rPr>
        <w:t>. New York: Oxford University Press.</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R Glenn Hubbard and Anthony Patrick O'brien (2019). </w:t>
      </w:r>
      <w:r>
        <w:rPr>
          <w:rFonts w:hint="default" w:ascii="Arial" w:hAnsi="Arial" w:cs="Arial"/>
          <w:i/>
          <w:iCs/>
          <w:caps w:val="0"/>
          <w:color w:val="000000"/>
          <w:spacing w:val="0"/>
          <w:sz w:val="24"/>
          <w:szCs w:val="24"/>
        </w:rPr>
        <w:t>Macroeconomics</w:t>
      </w:r>
      <w:r>
        <w:rPr>
          <w:rFonts w:hint="default" w:ascii="Arial" w:hAnsi="Arial" w:cs="Arial"/>
          <w:i w:val="0"/>
          <w:iCs w:val="0"/>
          <w:caps w:val="0"/>
          <w:color w:val="000000"/>
          <w:spacing w:val="0"/>
          <w:sz w:val="24"/>
          <w:szCs w:val="24"/>
        </w:rPr>
        <w:t>. New York, Ny: Pearson.</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States., U. (2018). </w:t>
      </w:r>
      <w:r>
        <w:rPr>
          <w:rFonts w:hint="default" w:ascii="Arial" w:hAnsi="Arial" w:cs="Arial"/>
          <w:i/>
          <w:iCs/>
          <w:caps w:val="0"/>
          <w:color w:val="000000"/>
          <w:spacing w:val="0"/>
          <w:sz w:val="24"/>
          <w:szCs w:val="24"/>
        </w:rPr>
        <w:t>SWOT analysis : a tool for making better business decisions.</w:t>
      </w:r>
      <w:r>
        <w:rPr>
          <w:rFonts w:hint="default" w:ascii="Arial" w:hAnsi="Arial" w:cs="Arial"/>
          <w:i w:val="0"/>
          <w:iCs w:val="0"/>
          <w:caps w:val="0"/>
          <w:color w:val="000000"/>
          <w:spacing w:val="0"/>
          <w:sz w:val="24"/>
          <w:szCs w:val="24"/>
        </w:rPr>
        <w:t> Washington, D.C.: U.S. Dept. Of Agriculture, Risk Management Agency.</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Todaro, M.P. and Smith, S.C. (2020). </w:t>
      </w:r>
      <w:r>
        <w:rPr>
          <w:rFonts w:hint="default" w:ascii="Arial" w:hAnsi="Arial" w:cs="Arial"/>
          <w:i/>
          <w:iCs/>
          <w:caps w:val="0"/>
          <w:color w:val="000000"/>
          <w:spacing w:val="0"/>
          <w:sz w:val="24"/>
          <w:szCs w:val="24"/>
        </w:rPr>
        <w:t>Economic Development</w:t>
      </w:r>
      <w:r>
        <w:rPr>
          <w:rFonts w:hint="default" w:ascii="Arial" w:hAnsi="Arial" w:cs="Arial"/>
          <w:i w:val="0"/>
          <w:iCs w:val="0"/>
          <w:caps w:val="0"/>
          <w:color w:val="000000"/>
          <w:spacing w:val="0"/>
          <w:sz w:val="24"/>
          <w:szCs w:val="24"/>
        </w:rPr>
        <w:t>. 13th ed. Harlow: Pearson.</w:t>
      </w:r>
    </w:p>
    <w:p>
      <w:pPr>
        <w:pStyle w:val="2"/>
        <w:keepNext w:val="0"/>
        <w:keepLines w:val="0"/>
        <w:widowControl/>
        <w:suppressLineNumbers w:val="0"/>
        <w:spacing w:before="0" w:beforeAutospacing="0" w:after="0" w:afterAutospacing="0" w:line="315" w:lineRule="atLeast"/>
        <w:ind w:left="0" w:right="0" w:firstLine="0"/>
        <w:rPr>
          <w:rFonts w:hint="default" w:ascii="Arial" w:hAnsi="Arial" w:cs="Arial"/>
          <w:i w:val="0"/>
          <w:iCs w:val="0"/>
          <w:caps w:val="0"/>
          <w:color w:val="000000"/>
          <w:spacing w:val="0"/>
          <w:sz w:val="24"/>
          <w:szCs w:val="24"/>
        </w:rPr>
      </w:pPr>
      <w:r>
        <w:rPr>
          <w:rFonts w:hint="default" w:ascii="Arial" w:hAnsi="Arial" w:cs="Arial"/>
          <w:i w:val="0"/>
          <w:iCs w:val="0"/>
          <w:caps w:val="0"/>
          <w:color w:val="000000"/>
          <w:spacing w:val="0"/>
          <w:sz w:val="24"/>
          <w:szCs w:val="24"/>
        </w:rPr>
        <w:t>Walker, G. and Madsen, T.L. (201</w:t>
      </w:r>
      <w:r>
        <w:rPr>
          <w:rFonts w:hint="default" w:ascii="Arial" w:hAnsi="Arial" w:eastAsia="宋体" w:cs="Arial"/>
          <w:i w:val="0"/>
          <w:iCs w:val="0"/>
          <w:caps w:val="0"/>
          <w:color w:val="000000"/>
          <w:spacing w:val="0"/>
          <w:sz w:val="24"/>
          <w:szCs w:val="24"/>
          <w:lang w:val="en-US" w:eastAsia="zh-CN"/>
        </w:rPr>
        <w:t>9</w:t>
      </w:r>
      <w:r>
        <w:rPr>
          <w:rFonts w:hint="default" w:ascii="Arial" w:hAnsi="Arial" w:cs="Arial"/>
          <w:i w:val="0"/>
          <w:iCs w:val="0"/>
          <w:caps w:val="0"/>
          <w:color w:val="000000"/>
          <w:spacing w:val="0"/>
          <w:sz w:val="24"/>
          <w:szCs w:val="24"/>
        </w:rPr>
        <w:t>). </w:t>
      </w:r>
      <w:r>
        <w:rPr>
          <w:rFonts w:hint="default" w:ascii="Arial" w:hAnsi="Arial" w:cs="Arial"/>
          <w:i/>
          <w:iCs/>
          <w:caps w:val="0"/>
          <w:color w:val="000000"/>
          <w:spacing w:val="0"/>
          <w:sz w:val="24"/>
          <w:szCs w:val="24"/>
        </w:rPr>
        <w:t>Modern competitive strategy</w:t>
      </w:r>
      <w:r>
        <w:rPr>
          <w:rFonts w:hint="default" w:ascii="Arial" w:hAnsi="Arial" w:cs="Arial"/>
          <w:i w:val="0"/>
          <w:iCs w:val="0"/>
          <w:caps w:val="0"/>
          <w:color w:val="000000"/>
          <w:spacing w:val="0"/>
          <w:sz w:val="24"/>
          <w:szCs w:val="24"/>
        </w:rPr>
        <w:t>. New York, Ny: Mcgraw-Hill Education.</w:t>
      </w:r>
    </w:p>
    <w:p>
      <w:pPr>
        <w:pStyle w:val="2"/>
        <w:keepNext w:val="0"/>
        <w:keepLines w:val="0"/>
        <w:widowControl/>
        <w:suppressLineNumbers w:val="0"/>
        <w:ind w:left="0" w:firstLine="0"/>
        <w:rPr>
          <w:rFonts w:hint="default" w:ascii="Calibri" w:hAnsi="Calibri" w:cs="Calibri"/>
          <w:i w:val="0"/>
          <w:iCs w:val="0"/>
          <w:caps w:val="0"/>
          <w:color w:val="000000"/>
          <w:spacing w:val="0"/>
          <w:sz w:val="27"/>
          <w:szCs w:val="27"/>
        </w:rPr>
      </w:pPr>
      <w:r>
        <w:rPr>
          <w:rFonts w:hint="default" w:ascii="Calibri" w:hAnsi="Calibri" w:cs="Calibri"/>
          <w:i w:val="0"/>
          <w:iCs w:val="0"/>
          <w:caps w:val="0"/>
          <w:color w:val="000000"/>
          <w:spacing w:val="0"/>
          <w:sz w:val="27"/>
          <w:szCs w:val="27"/>
        </w:rPr>
        <w:t>‌</w:t>
      </w:r>
    </w:p>
    <w:p>
      <w:pPr>
        <w:pStyle w:val="2"/>
        <w:keepNext w:val="0"/>
        <w:keepLines w:val="0"/>
        <w:widowControl/>
        <w:suppressLineNumbers w:val="0"/>
        <w:ind w:left="0" w:firstLine="0"/>
        <w:rPr>
          <w:rFonts w:hint="default" w:ascii="Calibri" w:hAnsi="Calibri" w:cs="Calibri"/>
          <w:i w:val="0"/>
          <w:iCs w:val="0"/>
          <w:caps w:val="0"/>
          <w:color w:val="000000"/>
          <w:spacing w:val="0"/>
          <w:sz w:val="27"/>
          <w:szCs w:val="27"/>
        </w:rPr>
      </w:pPr>
      <w:r>
        <w:rPr>
          <w:rFonts w:hint="default" w:ascii="Calibri" w:hAnsi="Calibri" w:cs="Calibri"/>
          <w:i w:val="0"/>
          <w:iCs w:val="0"/>
          <w:caps w:val="0"/>
          <w:color w:val="000000"/>
          <w:spacing w:val="0"/>
          <w:sz w:val="27"/>
          <w:szCs w:val="27"/>
        </w:rPr>
        <w:t>‌</w:t>
      </w:r>
    </w:p>
    <w:p>
      <w:pPr>
        <w:rPr>
          <w:rFonts w:cstheme="minorHAnsi"/>
          <w:b/>
          <w:bCs/>
          <w:sz w:val="24"/>
          <w:szCs w:val="24"/>
          <w:u w:val="none"/>
        </w:rPr>
      </w:pPr>
    </w:p>
    <w:p>
      <w:pPr>
        <w:rPr>
          <w:rFonts w:hint="eastAsia"/>
          <w:b w:val="0"/>
          <w:bCs w:val="0"/>
          <w:sz w:val="28"/>
          <w:szCs w:val="28"/>
          <w:u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2YTI2NDcxMjhhNjQyZmU5MjBhMjcxZWU4MGVlMjcifQ=="/>
  </w:docVars>
  <w:rsids>
    <w:rsidRoot w:val="0B496F86"/>
    <w:rsid w:val="03FF434E"/>
    <w:rsid w:val="0970184A"/>
    <w:rsid w:val="0B496F86"/>
    <w:rsid w:val="0DAD4E1B"/>
    <w:rsid w:val="3FC96FE3"/>
    <w:rsid w:val="441B5933"/>
    <w:rsid w:val="4B8D7117"/>
    <w:rsid w:val="5DDA71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paragraph" w:customStyle="1" w:styleId="5">
    <w:name w:val="WPSOffice手动目录 1"/>
    <w:uiPriority w:val="0"/>
    <w:pPr>
      <w:ind w:leftChars="0"/>
    </w:pPr>
    <w:rPr>
      <w:sz w:val="20"/>
      <w:szCs w:val="20"/>
    </w:rPr>
  </w:style>
  <w:style w:type="paragraph" w:customStyle="1" w:styleId="6">
    <w:name w:val="WPSOffice手动目录 2"/>
    <w:uiPriority w:val="0"/>
    <w:pPr>
      <w:ind w:leftChars="200"/>
    </w:pPr>
    <w:rPr>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2024-03-21T23:45:00Z</dcterms:created>
  <dc:creator>gtt</dc:creator>
  <cp:lastModifiedBy>gtt</cp:lastModifiedBy>
  <dcterms:modified xsi:type="dcterms:W3CDTF">2024-03-22T01:23:37Z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4C2C84323E7748569CAFFA95849D07CE_11</vt:lpwstr>
  </property>
</Properties>
</file>