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360" w:lineRule="auto"/>
        <w:ind w:firstLine="3373" w:firstLineChars="1200"/>
        <w:rPr>
          <w:rFonts w:hint="default" w:ascii="Times New Roman" w:hAnsi="Times New Roman" w:cs="Times New Roman" w:eastAsiaTheme="minorEastAsia"/>
          <w:b/>
          <w:bCs/>
          <w:sz w:val="28"/>
          <w:szCs w:val="28"/>
          <w:lang w:val="en-US" w:eastAsia="zh-CN"/>
        </w:rPr>
      </w:pPr>
      <w:r>
        <w:rPr>
          <w:rFonts w:hint="eastAsia" w:ascii="Times New Roman" w:hAnsi="Times New Roman" w:cs="Times New Roman"/>
          <w:b/>
          <w:bCs/>
          <w:sz w:val="28"/>
          <w:szCs w:val="28"/>
          <w:lang w:val="en-US" w:eastAsia="zh-CN"/>
        </w:rPr>
        <w:t xml:space="preserve">PART 1 </w:t>
      </w:r>
    </w:p>
    <w:p>
      <w:pPr>
        <w:spacing w:line="360" w:lineRule="auto"/>
        <w:ind w:firstLine="560" w:firstLineChars="200"/>
        <w:rPr>
          <w:rFonts w:hint="default" w:ascii="Times New Roman" w:hAnsi="Times New Roman" w:cs="Times New Roman"/>
          <w:sz w:val="28"/>
          <w:szCs w:val="28"/>
        </w:rPr>
      </w:pPr>
    </w:p>
    <w:p>
      <w:pPr>
        <w:spacing w:line="360" w:lineRule="auto"/>
        <w:rPr>
          <w:rFonts w:hint="default" w:ascii="Times New Roman" w:hAnsi="Times New Roman" w:cs="Times New Roman"/>
          <w:b/>
          <w:bCs/>
          <w:sz w:val="28"/>
          <w:szCs w:val="28"/>
        </w:rPr>
      </w:pPr>
      <w:r>
        <w:rPr>
          <w:rFonts w:hint="default" w:ascii="Times New Roman" w:hAnsi="Times New Roman" w:cs="Times New Roman"/>
          <w:b/>
          <w:bCs/>
          <w:sz w:val="28"/>
          <w:szCs w:val="28"/>
        </w:rPr>
        <w:t>Classification theory of ship autonomy</w:t>
      </w:r>
    </w:p>
    <w:p>
      <w:pPr>
        <w:spacing w:line="360" w:lineRule="auto"/>
        <w:ind w:firstLine="560" w:firstLineChars="200"/>
        <w:rPr>
          <w:rFonts w:hint="default" w:ascii="Times New Roman" w:hAnsi="Times New Roman" w:cs="Times New Roman"/>
          <w:sz w:val="28"/>
          <w:szCs w:val="28"/>
        </w:rPr>
      </w:pPr>
    </w:p>
    <w:p>
      <w:pPr>
        <w:spacing w:line="360" w:lineRule="auto"/>
        <w:ind w:firstLine="560" w:firstLineChars="200"/>
        <w:rPr>
          <w:rFonts w:hint="default" w:ascii="Times New Roman" w:hAnsi="Times New Roman" w:cs="Times New Roman"/>
          <w:sz w:val="28"/>
          <w:szCs w:val="28"/>
        </w:rPr>
      </w:pPr>
      <w:r>
        <w:rPr>
          <w:rFonts w:hint="default" w:ascii="Times New Roman" w:hAnsi="Times New Roman" w:cs="Times New Roman"/>
          <w:sz w:val="28"/>
          <w:szCs w:val="28"/>
        </w:rPr>
        <w:t>In recent years, technological advances and breakthroughs have triggered a series of industrial revolutions. However, from the point of view of technological evolution, four kinds can usually be distinguished (Liao et al.</w:t>
      </w:r>
      <w:r>
        <w:rPr>
          <w:rFonts w:hint="eastAsia" w:ascii="Times New Roman" w:hAnsi="Times New Roman" w:cs="Times New Roman"/>
          <w:sz w:val="28"/>
          <w:szCs w:val="28"/>
          <w:lang w:val="en-US" w:eastAsia="zh-CN"/>
        </w:rPr>
        <w:t>,</w:t>
      </w:r>
      <w:r>
        <w:rPr>
          <w:rFonts w:hint="default" w:ascii="Times New Roman" w:hAnsi="Times New Roman" w:cs="Times New Roman"/>
          <w:sz w:val="28"/>
          <w:szCs w:val="28"/>
        </w:rPr>
        <w:t>2017). First came the age of industrial steam</w:t>
      </w:r>
      <w:r>
        <w:rPr>
          <w:rFonts w:hint="eastAsia" w:ascii="Times New Roman" w:hAnsi="Times New Roman" w:cs="Times New Roman"/>
          <w:sz w:val="28"/>
          <w:szCs w:val="28"/>
          <w:lang w:val="en-US" w:eastAsia="zh-CN"/>
        </w:rPr>
        <w:t>,</w:t>
      </w:r>
      <w:r>
        <w:rPr>
          <w:rFonts w:hint="default" w:ascii="Times New Roman" w:hAnsi="Times New Roman" w:cs="Times New Roman"/>
          <w:sz w:val="28"/>
          <w:szCs w:val="28"/>
        </w:rPr>
        <w:t xml:space="preserve"> </w:t>
      </w:r>
      <w:r>
        <w:rPr>
          <w:rFonts w:hint="eastAsia" w:ascii="Times New Roman" w:hAnsi="Times New Roman" w:cs="Times New Roman"/>
          <w:sz w:val="28"/>
          <w:szCs w:val="28"/>
          <w:lang w:val="en-US" w:eastAsia="zh-CN"/>
        </w:rPr>
        <w:t xml:space="preserve">which </w:t>
      </w:r>
      <w:r>
        <w:rPr>
          <w:rFonts w:hint="default" w:ascii="Times New Roman" w:hAnsi="Times New Roman" w:cs="Times New Roman"/>
          <w:sz w:val="28"/>
          <w:szCs w:val="28"/>
        </w:rPr>
        <w:t xml:space="preserve">began more than four hundred years ago in England, with concentrated industrial production mainly powered by steam.The second stage is the electric age, </w:t>
      </w:r>
      <w:r>
        <w:rPr>
          <w:rFonts w:hint="default" w:ascii="Times New Roman" w:hAnsi="Times New Roman" w:cs="Times New Roman"/>
          <w:color w:val="auto"/>
          <w:sz w:val="28"/>
          <w:szCs w:val="28"/>
        </w:rPr>
        <w:t>which began at the beginning of the 20th century, is characteri</w:t>
      </w:r>
      <w:r>
        <w:rPr>
          <w:rFonts w:hint="eastAsia" w:ascii="Times New Roman" w:hAnsi="Times New Roman" w:cs="Times New Roman"/>
          <w:color w:val="auto"/>
          <w:sz w:val="28"/>
          <w:szCs w:val="28"/>
          <w:lang w:val="en-US" w:eastAsia="zh-CN"/>
        </w:rPr>
        <w:t>s</w:t>
      </w:r>
      <w:r>
        <w:rPr>
          <w:rFonts w:hint="default" w:ascii="Times New Roman" w:hAnsi="Times New Roman" w:cs="Times New Roman"/>
          <w:color w:val="auto"/>
          <w:sz w:val="28"/>
          <w:szCs w:val="28"/>
        </w:rPr>
        <w:t>ed by the use of electricity for mass populari</w:t>
      </w:r>
      <w:r>
        <w:rPr>
          <w:rFonts w:hint="eastAsia" w:ascii="Times New Roman" w:hAnsi="Times New Roman" w:cs="Times New Roman"/>
          <w:color w:val="auto"/>
          <w:sz w:val="28"/>
          <w:szCs w:val="28"/>
          <w:lang w:val="en-US" w:eastAsia="zh-CN"/>
        </w:rPr>
        <w:t>s</w:t>
      </w:r>
      <w:r>
        <w:rPr>
          <w:rFonts w:hint="default" w:ascii="Times New Roman" w:hAnsi="Times New Roman" w:cs="Times New Roman"/>
          <w:color w:val="auto"/>
          <w:sz w:val="28"/>
          <w:szCs w:val="28"/>
        </w:rPr>
        <w:t>ation and production activities.</w:t>
      </w:r>
      <w:r>
        <w:rPr>
          <w:rFonts w:hint="default" w:ascii="Times New Roman" w:hAnsi="Times New Roman" w:cs="Times New Roman"/>
          <w:sz w:val="28"/>
          <w:szCs w:val="28"/>
        </w:rPr>
        <w:t xml:space="preserve"> Since the middle of last century, the industrial information age has ushered in rapid development, mainly represented by the emergence and application of computer information technology(Xu</w:t>
      </w:r>
      <w:r>
        <w:rPr>
          <w:rFonts w:hint="eastAsia" w:ascii="Times New Roman" w:hAnsi="Times New Roman" w:cs="Times New Roman"/>
          <w:sz w:val="28"/>
          <w:szCs w:val="28"/>
          <w:lang w:val="en-US" w:eastAsia="zh-CN"/>
        </w:rPr>
        <w:t xml:space="preserve"> &amp;</w:t>
      </w:r>
      <w:r>
        <w:rPr>
          <w:rFonts w:hint="default" w:ascii="Times New Roman" w:hAnsi="Times New Roman" w:cs="Times New Roman"/>
          <w:sz w:val="28"/>
          <w:szCs w:val="28"/>
        </w:rPr>
        <w:t xml:space="preserve"> Li </w:t>
      </w:r>
      <w:r>
        <w:rPr>
          <w:rFonts w:hint="eastAsia" w:ascii="Times New Roman" w:hAnsi="Times New Roman" w:cs="Times New Roman"/>
          <w:sz w:val="28"/>
          <w:szCs w:val="28"/>
          <w:lang w:val="en-US" w:eastAsia="zh-CN"/>
        </w:rPr>
        <w:t>,</w:t>
      </w:r>
      <w:bookmarkStart w:id="0" w:name="_GoBack"/>
      <w:bookmarkEnd w:id="0"/>
      <w:r>
        <w:rPr>
          <w:rFonts w:hint="default" w:ascii="Times New Roman" w:hAnsi="Times New Roman" w:cs="Times New Roman"/>
          <w:sz w:val="28"/>
          <w:szCs w:val="28"/>
        </w:rPr>
        <w:t>2018). Finally, nowadays, Industry 4.0 begins at the beginning of the 21st century. The main feature of Industry 4.0 is the convergence of information physical systems and Internet of Things technologies to produce autonomous intelligence and unmanned systems.</w:t>
      </w:r>
    </w:p>
    <w:p>
      <w:pPr>
        <w:spacing w:line="360" w:lineRule="auto"/>
        <w:ind w:firstLine="560" w:firstLineChars="200"/>
        <w:rPr>
          <w:rFonts w:hint="eastAsia" w:ascii="Times New Roman" w:hAnsi="Times New Roman" w:cs="Times New Roman"/>
          <w:sz w:val="28"/>
          <w:szCs w:val="28"/>
          <w:lang w:val="en-US" w:eastAsia="zh-CN"/>
        </w:rPr>
      </w:pPr>
      <w:r>
        <w:rPr>
          <w:rFonts w:hint="default" w:ascii="Times New Roman" w:hAnsi="Times New Roman" w:cs="Times New Roman"/>
          <w:sz w:val="28"/>
          <w:szCs w:val="28"/>
        </w:rPr>
        <w:t>Unmanned systems have been applied to all walks of life and become an inseparable part of human society.</w:t>
      </w:r>
      <w:r>
        <w:rPr>
          <w:rFonts w:hint="eastAsia" w:ascii="Times New Roman" w:hAnsi="Times New Roman" w:cs="Times New Roman"/>
          <w:sz w:val="28"/>
          <w:szCs w:val="28"/>
          <w:lang w:val="en-US" w:eastAsia="zh-CN"/>
        </w:rPr>
        <w:t xml:space="preserve"> Unmanned systems have been applied to all walks of life and become an inseparable part of human society. Applications like drones and driverless cars are already changing the way and nature of work. The introduction of automated systems in various industries has greatly improved safety and reduced accidents, but the shipping industry is undergoing a revolution. Since the advent of the maritime industry, it has relied on human activities for exploration and trade, such as maintenance of ship machinery, positioning and navigation. At present, these conditions are gradually changing, unmanned ships and autonomous ships began to rise quietly. The shipping industry is a transnational business, with millions of seafarers currently active on global routes (UNCTAD 2019) and responsible for about 90 per cent of global freight traffic. (Oksavik et al. 2020) However, some scholars believe that removing humans from ships can improve the safety and efficiency of the shipping industry. (Hoem et al. 2019). And in recent years, there has been a growing interest in the automation of large-scale cargo transportation at commercial sea. And a preference for higher levels of autonomy. (Pazouki et al. 2018) It is therefore important that this paper discuss the different terms used to designate autonomous vessels.</w:t>
      </w:r>
    </w:p>
    <w:p>
      <w:pPr>
        <w:spacing w:line="360" w:lineRule="auto"/>
        <w:ind w:firstLine="280" w:firstLineChars="100"/>
        <w:rPr>
          <w:rFonts w:hint="eastAsia" w:ascii="Times New Roman" w:hAnsi="Times New Roman" w:cs="Times New Roman"/>
          <w:sz w:val="28"/>
          <w:szCs w:val="28"/>
          <w:lang w:val="en-US" w:eastAsia="zh-CN"/>
        </w:rPr>
      </w:pPr>
      <w:r>
        <w:rPr>
          <w:rFonts w:hint="default" w:ascii="Times New Roman" w:hAnsi="Times New Roman" w:cs="Times New Roman"/>
          <w:sz w:val="28"/>
          <w:szCs w:val="28"/>
          <w:lang w:val="en-US" w:eastAsia="zh-CN"/>
        </w:rPr>
        <w:t>Understanding the difference between autonomous, unmanned and automatic</w:t>
      </w:r>
      <w:r>
        <w:rPr>
          <w:rFonts w:hint="eastAsia" w:ascii="Times New Roman" w:hAnsi="Times New Roman" w:cs="Times New Roman"/>
          <w:sz w:val="28"/>
          <w:szCs w:val="28"/>
          <w:lang w:val="en-US" w:eastAsia="zh-CN"/>
        </w:rPr>
        <w:t xml:space="preserve"> </w:t>
      </w:r>
      <w:r>
        <w:rPr>
          <w:rFonts w:hint="default" w:ascii="Times New Roman" w:hAnsi="Times New Roman" w:cs="Times New Roman"/>
          <w:sz w:val="28"/>
          <w:szCs w:val="28"/>
          <w:lang w:val="en-US" w:eastAsia="zh-CN"/>
        </w:rPr>
        <w:t>ships requires ergonomics, artificial intelligence, human factors and more.</w:t>
      </w:r>
      <w:r>
        <w:rPr>
          <w:rFonts w:hint="eastAsia" w:ascii="Times New Roman" w:hAnsi="Times New Roman" w:cs="Times New Roman"/>
          <w:sz w:val="28"/>
          <w:szCs w:val="28"/>
          <w:lang w:val="en-US" w:eastAsia="zh-CN"/>
        </w:rPr>
        <w:t xml:space="preserve"> The word autonomy was first used more than 500 years ago. In short, its etymology comes from Greek, where different roots and parts of speech give the word different meanings. For example, the prefix "auto" means "self", while "nomos" means "self-management". The specific meaning and mode of operation of this word can be found in many disciplines, whether it is medicine, philosophy or other disciplines. In the field of actual industrial machinery and so on the etymology of the word means the ability of mechanical engineering systems to perform tasks at different levels under their own behavior without the intervention of other external personnel or systems. (Albus et al., 1998). Thus, autonomous systems can make choices without external influence, and autonomy is when the system changes the mode of operation it was originally programmed to operate in, but such mode is determined in advance by the system designer. </w:t>
      </w:r>
    </w:p>
    <w:p>
      <w:pPr>
        <w:spacing w:line="360" w:lineRule="auto"/>
        <w:rPr>
          <w:rFonts w:hint="eastAsia" w:ascii="Times New Roman" w:hAnsi="Times New Roman" w:cs="Times New Roman"/>
          <w:sz w:val="28"/>
          <w:szCs w:val="28"/>
          <w:lang w:val="en-US" w:eastAsia="zh-CN"/>
        </w:rPr>
      </w:pPr>
      <w:r>
        <w:rPr>
          <w:rFonts w:hint="eastAsia" w:ascii="Times New Roman" w:hAnsi="Times New Roman" w:cs="Times New Roman"/>
          <w:sz w:val="28"/>
          <w:szCs w:val="28"/>
          <w:lang w:val="en-US" w:eastAsia="zh-CN"/>
        </w:rPr>
        <w:t xml:space="preserve">The word </w:t>
      </w:r>
      <w:r>
        <w:rPr>
          <w:rFonts w:hint="default" w:ascii="Times New Roman" w:hAnsi="Times New Roman" w:cs="Times New Roman"/>
          <w:sz w:val="28"/>
          <w:szCs w:val="28"/>
          <w:lang w:val="en-US" w:eastAsia="zh-CN"/>
        </w:rPr>
        <w:t>‘</w:t>
      </w:r>
      <w:r>
        <w:rPr>
          <w:rFonts w:hint="eastAsia" w:ascii="Times New Roman" w:hAnsi="Times New Roman" w:cs="Times New Roman"/>
          <w:sz w:val="28"/>
          <w:szCs w:val="28"/>
          <w:lang w:val="en-US" w:eastAsia="zh-CN"/>
        </w:rPr>
        <w:t>automation</w:t>
      </w:r>
      <w:r>
        <w:rPr>
          <w:rFonts w:hint="default" w:ascii="Times New Roman" w:hAnsi="Times New Roman" w:cs="Times New Roman"/>
          <w:sz w:val="28"/>
          <w:szCs w:val="28"/>
          <w:lang w:val="en-US" w:eastAsia="zh-CN"/>
        </w:rPr>
        <w:t>’</w:t>
      </w:r>
      <w:r>
        <w:rPr>
          <w:rFonts w:hint="eastAsia" w:ascii="Times New Roman" w:hAnsi="Times New Roman" w:cs="Times New Roman"/>
          <w:sz w:val="28"/>
          <w:szCs w:val="28"/>
          <w:lang w:val="en-US" w:eastAsia="zh-CN"/>
        </w:rPr>
        <w:t xml:space="preserve"> appeared more than 270 years ago, with the early word "automatic" being its earliest etymology. Automation evolved over time. The meaning of this word is that machines or intelligent systems are used to replace the production links that humans need to participate in, which is equivalent to performing a large part of the functions that humans need to perform.(Parasuraman, 2000). In summary, The word automation can be seen as a programmed system that, once started, has no way to stop and does not correct itself by adapting to different situations and circumstances. Because its behavior is preprogrammed from the beginning, it has no opportunity or ability to change its preprogrammed behavior. And automation is often assumed to be through remote control systems, but different industries have different levels of understanding of automation, and there are many differences in the level of actual implementation.(Liu et al. 2016; Rødseth 2019). Therefore, it is necessary to understand how the maritime industry understands and applies autonomous unmanned systems. The standard definition that is often relied upon from the perspective of the shipping industry is developed by the International Maritime Organization (IMO). IMO proposes the common name for autonomous and unmanned vessels as Maritime Autonomous Surface Vessel (MASS), which describes a vessel that can operate with varying degrees of independence from human interaction (Rødseth, Nordahl and Hoem, 2018). In addition, Lloyd's Register proposes a seven-level classification of autonomous levels in maritime transport, where level 0 represents ships with no autonomous function, in which all actions and decisions are carried out manually (although the system may have some degree of autonomy), and level 5 represents fully autonomous ships, in which decisions are made without any supervision. However, the standard reference for the shipping industry is the classification of autonomous vessels proposed by IMO as follows:</w:t>
      </w:r>
    </w:p>
    <w:p>
      <w:pPr>
        <w:spacing w:line="360" w:lineRule="auto"/>
        <w:rPr>
          <w:rFonts w:hint="eastAsia" w:ascii="Times New Roman" w:hAnsi="Times New Roman" w:cs="Times New Roman"/>
          <w:sz w:val="28"/>
          <w:szCs w:val="28"/>
          <w:lang w:val="en-US" w:eastAsia="zh-CN"/>
        </w:rPr>
      </w:pPr>
      <w:r>
        <w:rPr>
          <w:rFonts w:hint="eastAsia" w:ascii="Times New Roman" w:hAnsi="Times New Roman" w:cs="Times New Roman"/>
          <w:sz w:val="28"/>
          <w:szCs w:val="28"/>
          <w:lang w:val="en-US" w:eastAsia="zh-CN"/>
        </w:rPr>
        <w:t>Level 1 -- Ships equipped with applicable automated processes and decision support: Seafarers have human control over systems on board the ship. This level is considered to be the level at which parts of the ship will operate in an automated mode.</w:t>
      </w:r>
    </w:p>
    <w:p>
      <w:pPr>
        <w:spacing w:line="360" w:lineRule="auto"/>
        <w:rPr>
          <w:rFonts w:hint="eastAsia" w:ascii="Times New Roman" w:hAnsi="Times New Roman" w:cs="Times New Roman"/>
          <w:sz w:val="28"/>
          <w:szCs w:val="28"/>
          <w:lang w:val="en-US" w:eastAsia="zh-CN"/>
        </w:rPr>
      </w:pPr>
      <w:r>
        <w:rPr>
          <w:rFonts w:hint="eastAsia" w:ascii="Times New Roman" w:hAnsi="Times New Roman" w:cs="Times New Roman"/>
          <w:sz w:val="28"/>
          <w:szCs w:val="28"/>
          <w:lang w:val="en-US" w:eastAsia="zh-CN"/>
        </w:rPr>
        <w:t>Level 2 - Remote Control boat with crew on board: The boat is controlled and operated from another position, but with crew on board.</w:t>
      </w:r>
    </w:p>
    <w:p>
      <w:pPr>
        <w:spacing w:line="360" w:lineRule="auto"/>
        <w:rPr>
          <w:rFonts w:hint="eastAsia" w:ascii="Times New Roman" w:hAnsi="Times New Roman" w:cs="Times New Roman"/>
          <w:sz w:val="28"/>
          <w:szCs w:val="28"/>
          <w:lang w:val="en-US" w:eastAsia="zh-CN"/>
        </w:rPr>
      </w:pPr>
      <w:r>
        <w:rPr>
          <w:rFonts w:hint="eastAsia" w:ascii="Times New Roman" w:hAnsi="Times New Roman" w:cs="Times New Roman"/>
          <w:sz w:val="28"/>
          <w:szCs w:val="28"/>
          <w:lang w:val="en-US" w:eastAsia="zh-CN"/>
        </w:rPr>
        <w:t>Level 3 - Remote control vessel without crew on board: Controls and operates the vessel from another position. There were no sailors on board.</w:t>
      </w:r>
    </w:p>
    <w:p>
      <w:pPr>
        <w:spacing w:line="360" w:lineRule="auto"/>
        <w:rPr>
          <w:rFonts w:hint="eastAsia" w:ascii="Times New Roman" w:hAnsi="Times New Roman" w:cs="Times New Roman"/>
          <w:sz w:val="28"/>
          <w:szCs w:val="28"/>
          <w:lang w:val="en-US" w:eastAsia="zh-CN"/>
        </w:rPr>
      </w:pPr>
      <w:r>
        <w:rPr>
          <w:rFonts w:hint="eastAsia" w:ascii="Times New Roman" w:hAnsi="Times New Roman" w:cs="Times New Roman"/>
          <w:sz w:val="28"/>
          <w:szCs w:val="28"/>
          <w:lang w:val="en-US" w:eastAsia="zh-CN"/>
        </w:rPr>
        <w:t>Level 4 - Fully autonomous ship: The ship's operating system makes its own decisions and decides to take action.</w:t>
      </w:r>
    </w:p>
    <w:p>
      <w:pPr>
        <w:spacing w:line="360" w:lineRule="auto"/>
        <w:rPr>
          <w:rFonts w:hint="eastAsia" w:ascii="Times New Roman" w:hAnsi="Times New Roman" w:cs="Times New Roman"/>
          <w:sz w:val="28"/>
          <w:szCs w:val="28"/>
          <w:lang w:val="en-US" w:eastAsia="zh-CN"/>
        </w:rPr>
      </w:pPr>
    </w:p>
    <w:p>
      <w:pPr>
        <w:spacing w:line="360" w:lineRule="auto"/>
        <w:rPr>
          <w:rFonts w:hint="eastAsia" w:ascii="Times New Roman" w:hAnsi="Times New Roman" w:cs="Times New Roman"/>
          <w:sz w:val="28"/>
          <w:szCs w:val="28"/>
          <w:lang w:val="en-US" w:eastAsia="zh-CN"/>
        </w:rPr>
      </w:pPr>
      <w:r>
        <w:rPr>
          <w:rFonts w:hint="eastAsia" w:ascii="Times New Roman" w:hAnsi="Times New Roman" w:cs="Times New Roman"/>
          <w:sz w:val="28"/>
          <w:szCs w:val="28"/>
          <w:lang w:val="en-US" w:eastAsia="zh-CN"/>
        </w:rPr>
        <w:t xml:space="preserve">This classification largely integrates the ideas of Rødseth, Nordahl and Hoem (2018) and Lloyd's register. A Level 3 MASS is often referred to as unmanned. Depending on the hierarchical classification of such systems, human involvement in offshore operations may be reduced from direct, manual control to remote supervision and control, or periodic status checks. In any case, the role of the human is reduced: in some concepts, only one maintenance person remains on board during a given period of time (Komianos,2018), rather than the entire crew, under certain circumstances. For others, all operations will be performed remotely or autonomously using an extensive network of sensors and communication links (Kobyli,2018; Fan et al. 2020). The pursuit of unmanned ships is driven by a number of factors, including cost reduction (Zghyer et al. 2019). Since on-board labor costs can account for 36% of all costs (Kretschmann et al., 2017), the idea of autonomous (or unmanned) ships is forward-looking, and scholars agree that it will eventually happen. However, this will bring about a subversive change to the Marine industry employees, and the existing maritime education and training will also face specific challenges and impacts. The benefits and challenges of introducing MASS to shipping also need to be considered from a practical perspective. On the one hand, benefits can be derived from human factors, business, and social impacts. First, the human factor can be eliminated by reducing sea transportation to eliminate human errors of judgment, accidents caused by fatigue and alcoholism, work stress, inadequate staffing, poor living conditions, etc. Secondly, from the perspective of commercial factors, it can reduce the cost of human resources, save fuel, and increase the working time and sailing distance of ships. Thirdly, in terms of social influence, MASS makes up for the shortage of seafarers' labor force and changes the way of life and work of seafarers. On the other hand, challenges are also obvious. From the perspective of human factors, human-computer interaction technology is not mature, and there is no clear standard and specification for the working ability of professional and technical personnel. The business dimension requires changes and more investment in technology, professional services, maritime training and education. From the perspective of social impact, the introduction of MASS has led to the constant changes in the labor market demand of the shipping industry, and the reserve and existing professional personnel reserve or those attached to the shipping industry are insufficient or their skills are outdated. </w:t>
      </w:r>
    </w:p>
    <w:p>
      <w:pPr>
        <w:spacing w:line="360" w:lineRule="auto"/>
        <w:rPr>
          <w:rFonts w:hint="default" w:ascii="Times New Roman" w:hAnsi="Times New Roman" w:cs="Times New Roman"/>
          <w:b/>
          <w:bCs/>
          <w:sz w:val="28"/>
          <w:szCs w:val="28"/>
          <w:lang w:val="en-US" w:eastAsia="zh-CN"/>
        </w:rPr>
      </w:pPr>
    </w:p>
    <w:p>
      <w:pPr>
        <w:spacing w:line="360" w:lineRule="auto"/>
        <w:rPr>
          <w:rFonts w:hint="default" w:ascii="Times New Roman" w:hAnsi="Times New Roman" w:cs="Times New Roman"/>
          <w:b/>
          <w:bCs/>
          <w:sz w:val="28"/>
          <w:szCs w:val="28"/>
          <w:lang w:val="en-US" w:eastAsia="zh-CN"/>
        </w:rPr>
      </w:pPr>
      <w:r>
        <w:rPr>
          <w:rFonts w:hint="default" w:ascii="Times New Roman" w:hAnsi="Times New Roman" w:cs="Times New Roman"/>
          <w:b/>
          <w:bCs/>
          <w:sz w:val="28"/>
          <w:szCs w:val="28"/>
          <w:lang w:val="en-US" w:eastAsia="zh-CN"/>
        </w:rPr>
        <w:t>Shipping information decision theory</w:t>
      </w:r>
    </w:p>
    <w:p>
      <w:pPr>
        <w:spacing w:line="360" w:lineRule="auto"/>
        <w:rPr>
          <w:rFonts w:hint="default" w:ascii="Times New Roman" w:hAnsi="Times New Roman" w:cs="Times New Roman"/>
          <w:sz w:val="28"/>
          <w:szCs w:val="28"/>
          <w:lang w:val="en-US" w:eastAsia="zh-CN"/>
        </w:rPr>
      </w:pPr>
    </w:p>
    <w:p>
      <w:pPr>
        <w:spacing w:line="360" w:lineRule="auto"/>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t xml:space="preserve">The shipping industry is considered to be in a precarious state and highly risky (Kavussanos and Visvikis, 2006), and most activities are carried out under conditions of uncertainty and stress. </w:t>
      </w:r>
      <w:r>
        <w:rPr>
          <w:rFonts w:hint="eastAsia" w:ascii="Times New Roman" w:hAnsi="Times New Roman" w:cs="Times New Roman"/>
          <w:sz w:val="28"/>
          <w:szCs w:val="28"/>
          <w:lang w:val="en-US" w:eastAsia="zh-CN"/>
        </w:rPr>
        <w:t>V</w:t>
      </w:r>
      <w:r>
        <w:rPr>
          <w:rFonts w:hint="default" w:ascii="Times New Roman" w:hAnsi="Times New Roman" w:cs="Times New Roman"/>
          <w:sz w:val="28"/>
          <w:szCs w:val="28"/>
          <w:lang w:val="en-US" w:eastAsia="zh-CN"/>
        </w:rPr>
        <w:t>iswikis (2002) argues that information can help challenging decision-making by reducing uncertainty. In addition, the shipping manager should take some measures to avoid the adverse effects caused by the unstable environment when making the decision to maximise the profit in the competition. (Choi et al., 2020)</w:t>
      </w:r>
      <w:r>
        <w:rPr>
          <w:rFonts w:hint="eastAsia" w:ascii="Times New Roman" w:hAnsi="Times New Roman" w:cs="Times New Roman"/>
          <w:sz w:val="28"/>
          <w:szCs w:val="28"/>
          <w:lang w:val="en-US" w:eastAsia="zh-CN"/>
        </w:rPr>
        <w:t xml:space="preserve"> </w:t>
      </w:r>
      <w:r>
        <w:rPr>
          <w:rFonts w:hint="default" w:ascii="Times New Roman" w:hAnsi="Times New Roman" w:cs="Times New Roman"/>
          <w:sz w:val="28"/>
          <w:szCs w:val="28"/>
          <w:lang w:val="en-US" w:eastAsia="zh-CN"/>
        </w:rPr>
        <w:t>However, decisions related to market risks, ship operations and other technical areas may adversely affect shipping companies (Yin et al., 2019). These perceived risks affect and shape the information behavior and performance of shipping managers.Different events will change the entire shipping economy, bring some adverse effects on shipping market participants, and cause instability in the shipping sector (Michail and Melas, 2020). Such a severe event could hit the entire shipping sector and affect global trade, forcing changes or updates in shipping companies' decision-making (Kotcharin and Maneenop 2020). For example, in the context of global pandemic, different information spreads in the market, which intensifies the transmission and sharing of effective information in the shipping market, resulting in increased market uncertainty and price fluctuations. (Haroon and Rizvi, 2020). Since the financial crisis in 2008, the construction of an effective information management system and different management procedures at the decision-making level have become one of the development strategies of every shipping company and have been highly valued by the management and decision-making level. Therefore, in the face of complex environmental background and increasingly fierce market competition, shipping information decision theory makes shipping companies pay more and more attention to how to effectively collect and make information decisions. Ju</w:t>
      </w:r>
      <w:r>
        <w:rPr>
          <w:rFonts w:hint="eastAsia" w:ascii="Times New Roman" w:hAnsi="Times New Roman" w:cs="Times New Roman"/>
          <w:sz w:val="28"/>
          <w:szCs w:val="28"/>
          <w:lang w:val="en-US" w:eastAsia="zh-CN"/>
        </w:rPr>
        <w:t>l</w:t>
      </w:r>
      <w:r>
        <w:rPr>
          <w:rFonts w:hint="default" w:ascii="Times New Roman" w:hAnsi="Times New Roman" w:cs="Times New Roman"/>
          <w:sz w:val="28"/>
          <w:szCs w:val="28"/>
          <w:lang w:val="en-US" w:eastAsia="zh-CN"/>
        </w:rPr>
        <w:t xml:space="preserve">mi(2019) believes that information decision-making should be a behavior from a rational perspective, rather than making decisions with subjective judgment and plunging the operation of the company into a state of uncertainty. The rational model mentioned here is mainly composed of two parts, one is logical thinking, the other is objective analysis. All decisions that are subjectively emotional are an irrational pattern (Huang et al., 2015). The high risk brought by competitive industries will lead to the prevalence of rational decisions, because competitive industries need rational decisions, and irrational decisions will lead the industry into difficulties. However, every coin has two sides, and rational decision-making is not without its disadvantages. Excellent information transmission speed and the ability to process and analyze technical information may lead to delay or error in information processing </w:t>
      </w:r>
      <w:r>
        <w:rPr>
          <w:rFonts w:hint="eastAsia" w:ascii="Times New Roman" w:hAnsi="Times New Roman" w:cs="Times New Roman"/>
          <w:sz w:val="28"/>
          <w:szCs w:val="28"/>
          <w:lang w:val="en-US" w:eastAsia="zh-CN"/>
        </w:rPr>
        <w:t>(</w:t>
      </w:r>
      <w:r>
        <w:rPr>
          <w:rFonts w:hint="default" w:ascii="Times New Roman" w:hAnsi="Times New Roman" w:cs="Times New Roman"/>
          <w:sz w:val="28"/>
          <w:szCs w:val="28"/>
          <w:lang w:val="en-US" w:eastAsia="zh-CN"/>
        </w:rPr>
        <w:t>Abubakar et a</w:t>
      </w:r>
      <w:r>
        <w:rPr>
          <w:rFonts w:hint="eastAsia" w:ascii="Times New Roman" w:hAnsi="Times New Roman" w:cs="Times New Roman"/>
          <w:sz w:val="28"/>
          <w:szCs w:val="28"/>
          <w:lang w:val="en-US" w:eastAsia="zh-CN"/>
        </w:rPr>
        <w:t>l</w:t>
      </w:r>
      <w:r>
        <w:rPr>
          <w:rFonts w:hint="default" w:ascii="Times New Roman" w:hAnsi="Times New Roman" w:cs="Times New Roman"/>
          <w:sz w:val="28"/>
          <w:szCs w:val="28"/>
          <w:lang w:val="en-US" w:eastAsia="zh-CN"/>
        </w:rPr>
        <w:t xml:space="preserve">2019). Furthermore, technological progress will lead to the transmission of a large amount of information, but how to seek the truly useful part from the huge information is a huge challenge, which also puts forward higher requirements for the judgment of information decision makers, and also produces many restrictions on the rational decision-making of information. Perhaps managers lack effective reference and evaluation on how to use their limited information processing ability to deal with a large amount of available information, which is bound to lead to decisions that are not conducive to enterprise development (Winkler et al., 2015). In addition, the counterpart of rational decision-making is subjective decision-making, which is also regarded as a decision-making skill. When faced with information that requires a lot of energy and time to analyze and evaluate, there may be problems that rational decision-making cannot solve. In this case, irrational decision-making is not necessarily a good way to make decisions against the uncertainty of information (Constantiou, 2019). Therefore, I </w:t>
      </w:r>
      <w:r>
        <w:rPr>
          <w:rFonts w:hint="eastAsia" w:ascii="Times New Roman" w:hAnsi="Times New Roman" w:cs="Times New Roman"/>
          <w:sz w:val="28"/>
          <w:szCs w:val="28"/>
          <w:lang w:val="en-US" w:eastAsia="zh-CN"/>
        </w:rPr>
        <w:t>think</w:t>
      </w:r>
      <w:r>
        <w:rPr>
          <w:rFonts w:hint="default" w:ascii="Times New Roman" w:hAnsi="Times New Roman" w:cs="Times New Roman"/>
          <w:sz w:val="28"/>
          <w:szCs w:val="28"/>
          <w:lang w:val="en-US" w:eastAsia="zh-CN"/>
        </w:rPr>
        <w:t xml:space="preserve"> that the managers and decision makers of shipping enterprises need to have critical thinking and be able to view problems from different perspectives. They should not blindly apply rational decision-making or give up irrational decision-making. They should choose the optimal decision-making method according to different situations. </w:t>
      </w:r>
      <w:r>
        <w:rPr>
          <w:rFonts w:hint="eastAsia" w:ascii="Times New Roman" w:hAnsi="Times New Roman" w:cs="Times New Roman"/>
          <w:sz w:val="28"/>
          <w:szCs w:val="28"/>
          <w:lang w:val="en-US" w:eastAsia="zh-CN"/>
        </w:rPr>
        <w:t>C</w:t>
      </w:r>
      <w:r>
        <w:rPr>
          <w:rFonts w:hint="default" w:ascii="Times New Roman" w:hAnsi="Times New Roman" w:cs="Times New Roman"/>
          <w:sz w:val="28"/>
          <w:szCs w:val="28"/>
          <w:lang w:val="en-US" w:eastAsia="zh-CN"/>
        </w:rPr>
        <w:t>ertainly, this also put forward higher quality requirements for the management and enterprise hardware facilities for real-time analysis of a large number of information reliability.</w:t>
      </w:r>
    </w:p>
    <w:p>
      <w:pPr>
        <w:spacing w:line="360" w:lineRule="auto"/>
        <w:rPr>
          <w:rFonts w:hint="default" w:ascii="Times New Roman" w:hAnsi="Times New Roman" w:cs="Times New Roman"/>
          <w:sz w:val="28"/>
          <w:szCs w:val="28"/>
          <w:lang w:val="en-US" w:eastAsia="zh-CN"/>
        </w:rPr>
      </w:pPr>
    </w:p>
    <w:p>
      <w:pPr>
        <w:spacing w:line="360" w:lineRule="auto"/>
        <w:rPr>
          <w:rFonts w:hint="default" w:ascii="Times New Roman" w:hAnsi="Times New Roman" w:cs="Times New Roman"/>
          <w:b/>
          <w:bCs/>
          <w:sz w:val="28"/>
          <w:szCs w:val="28"/>
          <w:lang w:val="en-US" w:eastAsia="zh-CN"/>
          <w14:textFill>
            <w14:gradFill>
              <w14:gsLst>
                <w14:gs w14:pos="0">
                  <w14:srgbClr w14:val="E30000"/>
                </w14:gs>
                <w14:gs w14:pos="100000">
                  <w14:srgbClr w14:val="760303"/>
                </w14:gs>
              </w14:gsLst>
              <w14:lin w14:scaled="0"/>
            </w14:gradFill>
          </w14:textFill>
        </w:rPr>
      </w:pPr>
      <w:r>
        <w:rPr>
          <w:rFonts w:hint="eastAsia" w:ascii="Times New Roman" w:hAnsi="Times New Roman" w:cs="Times New Roman"/>
          <w:b/>
          <w:bCs/>
          <w:sz w:val="28"/>
          <w:szCs w:val="28"/>
          <w:lang w:val="en-US" w:eastAsia="zh-CN"/>
        </w:rPr>
        <w:t>T</w:t>
      </w:r>
      <w:r>
        <w:rPr>
          <w:rFonts w:hint="default" w:ascii="Times New Roman" w:hAnsi="Times New Roman" w:cs="Times New Roman"/>
          <w:b/>
          <w:bCs/>
          <w:sz w:val="28"/>
          <w:szCs w:val="28"/>
          <w:lang w:val="en-US" w:eastAsia="zh-CN"/>
        </w:rPr>
        <w:t>raining and education</w:t>
      </w:r>
      <w:r>
        <w:rPr>
          <w:rFonts w:hint="eastAsia" w:ascii="Times New Roman" w:hAnsi="Times New Roman" w:cs="Times New Roman"/>
          <w:b/>
          <w:bCs/>
          <w:sz w:val="28"/>
          <w:szCs w:val="28"/>
          <w:lang w:val="en-US" w:eastAsia="zh-CN"/>
        </w:rPr>
        <w:t xml:space="preserve"> (MET)</w:t>
      </w:r>
      <w:r>
        <w:rPr>
          <w:rFonts w:hint="default" w:ascii="Times New Roman" w:hAnsi="Times New Roman" w:cs="Times New Roman"/>
          <w:b/>
          <w:bCs/>
          <w:sz w:val="28"/>
          <w:szCs w:val="28"/>
          <w:lang w:val="en-US" w:eastAsia="zh-CN"/>
        </w:rPr>
        <w:t xml:space="preserve"> for seafarers</w:t>
      </w:r>
      <w:r>
        <w:rPr>
          <w:rFonts w:hint="eastAsia" w:ascii="Times New Roman" w:hAnsi="Times New Roman" w:cs="Times New Roman"/>
          <w:b/>
          <w:bCs/>
          <w:sz w:val="28"/>
          <w:szCs w:val="28"/>
          <w:lang w:val="en-US" w:eastAsia="zh-CN"/>
        </w:rPr>
        <w:t xml:space="preserve"> </w:t>
      </w:r>
    </w:p>
    <w:p>
      <w:pPr>
        <w:spacing w:line="360" w:lineRule="auto"/>
        <w:rPr>
          <w:rFonts w:hint="default" w:ascii="Times New Roman" w:hAnsi="Times New Roman" w:cs="Times New Roman"/>
          <w:sz w:val="28"/>
          <w:szCs w:val="28"/>
          <w:lang w:val="en-US" w:eastAsia="zh-CN"/>
        </w:rPr>
      </w:pPr>
    </w:p>
    <w:p>
      <w:pPr>
        <w:spacing w:line="360" w:lineRule="auto"/>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t xml:space="preserve">The pursuit of unmanned ships is driven by a number of factors, including cost reduction (Zghyer et al. 2019; Jo and Enrico, 2020). Since on-board labor costs can account for 36% of all costs (Kretschmann et al., 2017), the idea of autonomous (or unmanned) ships is forward-looking, and scholars agree that it will eventually happen. However, challenges are also obvious. From the perspective of human factors, human-computer interaction technology is not mature, and there is no clear standard and specification for the working ability of professional and technical personnel. The business dimension requires changes and more investment in technology, professional services, maritime training and education. From the perspective of human resource impact, the introduction of MASS has led to the constant changes in the labor market demand of the shipping industry, and the reserve and existing professional personnel reserve or those attached to the shipping industry are insufficient or their skills are outdated. Vocational training, education and re-education of seafarers is the mission of MET, which aims not only at sustainable development of maritime practitioners, but also at revitalizing the maritime community as a whole. As </w:t>
      </w:r>
      <w:r>
        <w:rPr>
          <w:rFonts w:hint="eastAsia" w:ascii="Times New Roman" w:hAnsi="Times New Roman" w:cs="Times New Roman"/>
          <w:sz w:val="28"/>
          <w:szCs w:val="28"/>
          <w:lang w:val="en-US" w:eastAsia="zh-CN"/>
        </w:rPr>
        <w:t>Sabrina</w:t>
      </w:r>
      <w:r>
        <w:rPr>
          <w:rFonts w:hint="default" w:ascii="Times New Roman" w:hAnsi="Times New Roman" w:cs="Times New Roman"/>
          <w:sz w:val="28"/>
          <w:szCs w:val="28"/>
          <w:lang w:val="en-US" w:eastAsia="zh-CN"/>
        </w:rPr>
        <w:t>(20</w:t>
      </w:r>
      <w:r>
        <w:rPr>
          <w:rFonts w:hint="eastAsia" w:ascii="Times New Roman" w:hAnsi="Times New Roman" w:cs="Times New Roman"/>
          <w:sz w:val="28"/>
          <w:szCs w:val="28"/>
          <w:lang w:val="en-US" w:eastAsia="zh-CN"/>
        </w:rPr>
        <w:t>22</w:t>
      </w:r>
      <w:r>
        <w:rPr>
          <w:rFonts w:hint="default" w:ascii="Times New Roman" w:hAnsi="Times New Roman" w:cs="Times New Roman"/>
          <w:sz w:val="28"/>
          <w:szCs w:val="28"/>
          <w:lang w:val="en-US" w:eastAsia="zh-CN"/>
        </w:rPr>
        <w:t xml:space="preserve">) stressed, "the shipping industry relies on competent and well-trained seafarers to ensure the safety of life at sea, maritime safety, navigation efficiency and the protection and maintenance of the Marine environment" this process is constantly changing; It depends on the technical, social, cultural, political and economic context of the countries of the world, as well as on international conventions, EU interregional organizations and national legislation. The operational education and training of water transport in almost all countries of the world originates from the on-the-job training model. The first attempt to codify international training for seafarers was made through the 1936 Convention on the Competence of Officers, under the auspices of the International Labour Organization (ILO). Among other things, the Convention requires that "no person shall perform or shall perform in any ship to which this Convention applies the duties of master or master, nautical officer in charge of watch, chief engineer or engineer in charge of watch, unless he holds a certificate of fitness to perform such duties issued or approved by the public authority of the territory in which the ship is registered. No specific criteria are specified. The 1978 International Convention on Standards of Training, Certification and Watchkeeping for Seafarers (STCW), which came into force in 1984, was the first international convention to lay down specific standards that seafarers must meet. However, the labor market will change significantly after the introduction of unmanned ships, and STCW's training system needs to be updated. In any case, the crew needs to be trained to perform all functional tasks and capabilities of the crew of an autonomous ship (Royce,2016). There are also articles pointing to the maritime sector, where automated ships may lead to the demise of certain jobs on ships, and although this is unlikely to happen before 2040, the importance of re-certification and retraining of crews will be key to the transition of the shipping industry to an era of automation and technology (WMU,2019). In adjusting the MET, changes in the legal framework governing MASS operations must be taken into account. Because of the use of international conventions in an international context, the legislation of each member state must be formulated within this context. Therefore, it is urgent to designate a sister treaty similar to STCW to extend the training of unmanned ship personnel, or to amend the provisions of the existing STCW treaty. Lloyd's Register of Shipping has identified the need for specialized education and training in intelligent information technology, knowledge of conventions and regulations, customized professional training, Marine engineering technology training, logical and critical thinking training, and leadership training. This is due to the increasing integration of interdisciplinary research in computer science, social science, engineering and psychology, and involving different interest groups, such as policy makers, business employers, seafarers, educators, etc. More research needs to be done on the introduction of MASS. Because it is more likely that jobs will be changed rather than eliminated, at the same time, coupled with the creation of new types of jobs, will lead to changes in the definition and MET of training and re-skilling needs. The need for seafarers will decrease, however, the need for crews with AI technology and cyber skills will increase, they will need extensive training programs, and the shipping workforce will need to be trained and retrained. Information dissemination: Communication between ship and shoreline needs to be two-way, accurate, scalable, supported by multiple systems, and to minimize risk to ship navigation. In addition, there needs to be sufficient communication link capacity for ship sensor monitoring and remote control, and the ability to monitor equipment in use in real time. A combination of "digital" skills and maritime skills: Seafarers' </w:t>
      </w:r>
      <w:r>
        <w:rPr>
          <w:rFonts w:hint="default" w:ascii="Times New Roman" w:hAnsi="Times New Roman" w:cs="Times New Roman"/>
          <w:sz w:val="28"/>
          <w:szCs w:val="28"/>
          <w:lang w:val="en-US" w:eastAsia="zh-CN"/>
        </w:rPr>
        <w:t>tasks will become more digital, especially in operational monitoring and systems management, data analysis accuracy, fluency and the ability to use big data cloud computing. Further, the digital operation of ship scheduling, navigation planning, sea, rail and land multimodal transport services (Bartusevičienė</w:t>
      </w:r>
      <w:r>
        <w:rPr>
          <w:rFonts w:hint="eastAsia" w:ascii="Times New Roman" w:hAnsi="Times New Roman" w:cs="Times New Roman"/>
          <w:sz w:val="28"/>
          <w:szCs w:val="28"/>
          <w:lang w:val="en-US" w:eastAsia="zh-CN"/>
        </w:rPr>
        <w:t>,</w:t>
      </w:r>
      <w:r>
        <w:rPr>
          <w:rFonts w:hint="default" w:ascii="Times New Roman" w:hAnsi="Times New Roman" w:cs="Times New Roman"/>
          <w:sz w:val="28"/>
          <w:szCs w:val="28"/>
          <w:lang w:val="en-US" w:eastAsia="zh-CN"/>
        </w:rPr>
        <w:t>2020). Therefore, software engineering education and training in digital technologies will need to be adjusted to equip seafarers with the new skills they need. Unmanned ships have been applied to the commercial field and commercial benefits have been achieved. From the perspective of the industry, MASS's intervention in the maritime labor market will lead to changes and challenges in MET, and the transformation of maritime training and education will be paid attention to. Among them, Marine information technology training, data transmission, simulation training, and some factors that must be operated by humans and cannot be replaced by intelligent systems will become the key research directions.</w:t>
      </w:r>
    </w:p>
    <w:p>
      <w:pPr>
        <w:spacing w:line="360" w:lineRule="auto"/>
        <w:rPr>
          <w:rFonts w:hint="default" w:ascii="Times New Roman" w:hAnsi="Times New Roman" w:cs="Times New Roman"/>
          <w:sz w:val="28"/>
          <w:szCs w:val="28"/>
          <w:lang w:val="en-US" w:eastAsia="zh-CN"/>
        </w:rPr>
      </w:pPr>
    </w:p>
    <w:p>
      <w:pPr>
        <w:spacing w:line="360" w:lineRule="auto"/>
        <w:rPr>
          <w:rFonts w:hint="default" w:ascii="Times New Roman" w:hAnsi="Times New Roman" w:cs="Times New Roman"/>
          <w:sz w:val="28"/>
          <w:szCs w:val="28"/>
          <w:lang w:val="en-US" w:eastAsia="zh-CN"/>
        </w:rPr>
      </w:pPr>
    </w:p>
    <w:p>
      <w:pPr>
        <w:spacing w:line="360" w:lineRule="auto"/>
        <w:rPr>
          <w:rFonts w:hint="default" w:ascii="Times New Roman" w:hAnsi="Times New Roman" w:cs="Times New Roman"/>
          <w:sz w:val="28"/>
          <w:szCs w:val="28"/>
          <w:lang w:val="en-US" w:eastAsia="zh-CN"/>
        </w:rPr>
      </w:pPr>
    </w:p>
    <w:p>
      <w:pPr>
        <w:spacing w:line="360" w:lineRule="auto"/>
        <w:ind w:firstLine="3654" w:firstLineChars="1300"/>
        <w:rPr>
          <w:rFonts w:hint="eastAsia" w:ascii="Times New Roman" w:hAnsi="Times New Roman" w:cs="Times New Roman"/>
          <w:b/>
          <w:bCs/>
          <w:sz w:val="28"/>
          <w:szCs w:val="28"/>
          <w:lang w:val="en-US" w:eastAsia="zh-CN"/>
        </w:rPr>
      </w:pPr>
    </w:p>
    <w:p>
      <w:pPr>
        <w:spacing w:line="360" w:lineRule="auto"/>
        <w:ind w:firstLine="3654" w:firstLineChars="1300"/>
        <w:rPr>
          <w:rFonts w:hint="default" w:ascii="Times New Roman" w:hAnsi="Times New Roman" w:cs="Times New Roman"/>
          <w:b/>
          <w:bCs/>
          <w:sz w:val="28"/>
          <w:szCs w:val="28"/>
          <w:lang w:val="en-US" w:eastAsia="zh-CN"/>
        </w:rPr>
      </w:pPr>
      <w:r>
        <w:rPr>
          <w:rFonts w:hint="eastAsia" w:ascii="Times New Roman" w:hAnsi="Times New Roman" w:cs="Times New Roman"/>
          <w:b/>
          <w:bCs/>
          <w:sz w:val="28"/>
          <w:szCs w:val="28"/>
          <w:lang w:val="en-US" w:eastAsia="zh-CN"/>
        </w:rPr>
        <w:t>PART 2</w:t>
      </w:r>
    </w:p>
    <w:p>
      <w:pPr>
        <w:spacing w:line="360" w:lineRule="auto"/>
        <w:rPr>
          <w:rFonts w:hint="eastAsia" w:ascii="Times New Roman" w:hAnsi="Times New Roman" w:cs="Times New Roman"/>
          <w:sz w:val="28"/>
          <w:szCs w:val="28"/>
          <w:lang w:val="en-US" w:eastAsia="zh-CN"/>
        </w:rPr>
      </w:pPr>
    </w:p>
    <w:p>
      <w:pPr>
        <w:spacing w:line="360" w:lineRule="auto"/>
        <w:rPr>
          <w:rFonts w:hint="eastAsia" w:ascii="Times New Roman" w:hAnsi="Times New Roman" w:cs="Times New Roman"/>
          <w:sz w:val="28"/>
          <w:szCs w:val="28"/>
          <w:lang w:val="en-US" w:eastAsia="zh-CN"/>
        </w:rPr>
      </w:pPr>
    </w:p>
    <w:p>
      <w:pPr>
        <w:spacing w:line="360" w:lineRule="auto"/>
        <w:rPr>
          <w:rFonts w:hint="eastAsia" w:ascii="Times New Roman" w:hAnsi="Times New Roman" w:cs="Times New Roman"/>
          <w:sz w:val="28"/>
          <w:szCs w:val="28"/>
          <w:lang w:val="en-US" w:eastAsia="zh-CN"/>
        </w:rPr>
      </w:pPr>
      <w:r>
        <w:rPr>
          <w:rFonts w:hint="eastAsia" w:ascii="Times New Roman" w:hAnsi="Times New Roman" w:cs="Times New Roman"/>
          <w:sz w:val="28"/>
          <w:szCs w:val="28"/>
          <w:lang w:val="en-US" w:eastAsia="zh-CN"/>
        </w:rPr>
        <w:t>Since ancient times, shipping has been a very adventurous activity. Training qualified sailors with excellent quality and diversified skills is the goal of every shipping company and even a country's human resources. Just as the pandemic has subsided and the shipping and trade industries have begun to recover, the pandemic has hit the world's educational institutions, including Maritime Education and Training (MET), which has also been hit by the virus. And the shipping industry, which has been depressed for as long as three years, has also begun to change. On the one hand, from the most intuitive aspect, many students can not arrive at the University for face-to-face instruction, or can't board the ship for practical operation. This is a challenge not only for students, but also for maritime education and training institutions. Different technologies and solutions need to be developed to deal with crises or fill gaps and ensure continuous teaching and learning. While online education is not an invention, it changes learning patterns, uses digital tools and other virtual infrastructure that will greatly enrich the overall maritime education and training system. On the other hand, I will evaluate the virtual application of maritime education and training in Norway and the platform construction of maritime education and training in China, and analyze the effectiveness of both parties in the practical application of maritime education and training.</w:t>
      </w:r>
    </w:p>
    <w:p>
      <w:pPr>
        <w:spacing w:line="360" w:lineRule="auto"/>
        <w:rPr>
          <w:rFonts w:hint="eastAsia" w:ascii="Times New Roman" w:hAnsi="Times New Roman" w:cs="Times New Roman"/>
          <w:sz w:val="28"/>
          <w:szCs w:val="28"/>
          <w:lang w:val="en-US" w:eastAsia="zh-CN"/>
        </w:rPr>
      </w:pPr>
      <w:r>
        <w:rPr>
          <w:rFonts w:hint="eastAsia" w:ascii="Times New Roman" w:hAnsi="Times New Roman" w:cs="Times New Roman"/>
          <w:sz w:val="28"/>
          <w:szCs w:val="28"/>
          <w:lang w:val="en-US" w:eastAsia="zh-CN"/>
        </w:rPr>
        <w:t>The International Association of Maritime Universities reports that 90 percent of member universities' normal teaching activities have been affected by the pandemic. The pandemic has forced universities to find other ways to provide educational content (Bertram, 2019). Many of the changes brought about by the pandemic are shifts in the way educational content is delivered, away from the traditional face-to-face classroom delivery to more technology-based virtual learning experiences. Prior to the pandemic, maritime teaching in Norway had begun to shift towards introducing more digital programmes, also for the re-education and retraining of Marine practitioners (Renganayagalu et al.,2022). However, it is important to note that due to the specific nature of Marine related occupations, Seafarers cannot participate in re-education and retraining courses as easily as shore-based or land-based personnel. At this time, all kinds of communication and information technologies are being noticed by training providers, and the introduction of such facilities will create new models for learning and training environments that will be very easy and achievable both in the Marine environment and on board a ship. Because of this, blended learning methods are used to improve the realizability and effectiveness of distance training. Maritime cadets, for example, can take a hybrid course in which they learn traditional classroom theory and use AI technology to learn practical operations to gain experience. (Yu,2016)</w:t>
      </w:r>
    </w:p>
    <w:p>
      <w:pPr>
        <w:spacing w:line="360" w:lineRule="auto"/>
        <w:rPr>
          <w:rFonts w:hint="eastAsia" w:ascii="Times New Roman" w:hAnsi="Times New Roman" w:cs="Times New Roman"/>
          <w:sz w:val="28"/>
          <w:szCs w:val="28"/>
          <w:lang w:val="en-US" w:eastAsia="zh-CN"/>
        </w:rPr>
      </w:pPr>
      <w:r>
        <w:rPr>
          <w:rFonts w:hint="eastAsia" w:ascii="Times New Roman" w:hAnsi="Times New Roman" w:cs="Times New Roman"/>
          <w:sz w:val="28"/>
          <w:szCs w:val="28"/>
          <w:lang w:val="en-US" w:eastAsia="zh-CN"/>
        </w:rPr>
        <w:t>Norwegian universities conducted qualitative research projects among maritime undergraduates, conducted questionnaires and case studies, and focused on the students' views on the mixed model of online and operational maritime education. The interviewed students think that the flexibility of hybrid course is more appropriate, so they can have more time to arrange work and other spare life. Meanwhile, they think that the quality of courses is not affected by hybrid mode. However, almost all students think that the most effective part of hybrid course is the practical training in the mode training room, while the least effective part is the online distance course. In my opinion, Norway is not a unique case. Many maritime training departments are faced with such problems. What needs to be paid the most attention is how to teach the experience of virtual simulator training and the actual effectiveness of theoretical conversion. But for the Norwegian maritime education sector, their effectiveness in the field of maritime education and training needs to be further enhanced. Therefore, the first approach adopted by Norway is to enrich maritime education and training resources as much as possible. The easiest way to achieve this is to establish a resource sharing mechanism, mainly in the form of physical training equipment resources, campus and so on. Maritime education and training requires constant changes in curriculum, teaching and assessment methods. New opportunities created by in-person learning and distance learning have become less distant due to the emergence of more and more high-tech technologies. However, based on the teaching objectives and principles, these components need to be evaluated specifically (Garrick,2013). Zhao, Raicu, and Lu (2008) defines cloud computing as "a large-scale distributed paradigm driven by economies of scale, in which an abstract, virtualized, dynamically scalable, managed collection of computing power, storage, platforms, and services are provided to external customers on demand via the Internet". Technological capabilities now allow the delivery of sophisticated network simulators and virtual reality (VR) applications for individual and team training exercises (Markopoulos, 2019). In terms of maritime education and training, downloadable network outsourcing is generated through the network. Students can conduct training with specific equipment tools and network systems (Sokolov,2017). Finally, as VR technology can provide high-quality simulation environment, and the price is lower than traditional simulation simulators in the past, more students can afford virtual VR simulation trainers. While digital information technology remains a costly educational investment for families, it is more readily available than ever for professional training. This makes it now possible to obtain a more realistic and accurate virtual simulation experience in remote training campuses (Mallam,2019). The Norwegian approach is to share a hybrid model of teaching and practical experience with virtual VR technology in the field of maritime education and training.</w:t>
      </w:r>
    </w:p>
    <w:p>
      <w:pPr>
        <w:spacing w:line="360" w:lineRule="auto"/>
        <w:rPr>
          <w:rFonts w:hint="eastAsia" w:ascii="Times New Roman" w:hAnsi="Times New Roman" w:cs="Times New Roman"/>
          <w:sz w:val="28"/>
          <w:szCs w:val="28"/>
          <w:lang w:val="en-US" w:eastAsia="zh-CN"/>
        </w:rPr>
      </w:pPr>
    </w:p>
    <w:p>
      <w:pPr>
        <w:spacing w:line="360" w:lineRule="auto"/>
        <w:rPr>
          <w:rFonts w:hint="eastAsia" w:ascii="Times New Roman" w:hAnsi="Times New Roman" w:cs="Times New Roman"/>
          <w:sz w:val="28"/>
          <w:szCs w:val="28"/>
          <w:lang w:val="en-US" w:eastAsia="zh-CN"/>
        </w:rPr>
      </w:pPr>
      <w:r>
        <w:rPr>
          <w:rFonts w:hint="eastAsia" w:ascii="Times New Roman" w:hAnsi="Times New Roman" w:cs="Times New Roman"/>
          <w:sz w:val="28"/>
          <w:szCs w:val="28"/>
          <w:lang w:val="en-US" w:eastAsia="zh-CN"/>
        </w:rPr>
        <w:t>Transportation is one of the important tools to revitalize a country and the foundation of a country's development. Nowadays, with the highly integrated development of Internet economy, information technology and shipping economy, and the rapid development of modern maritime service industry, it is particularly important to cultivate employees suitable for modern maritime industry. The contradiction between supply and demand of high-level maritime composite talents has become the bottleneck restricting the rapid and sustainable development of the shipping industry (Jiang,2013). The construction of maritime education and training system and platform is also an important concern of relevant industries in China. China's maritime education and training theory advocates professional and technical personnel or senior management personnel with interdisciplinary, multi-level and complex professional knowledge background or work experience. The training subjects specifically involved include shipping finance, logistics management, shipping economy, maritime law, shipping information, shipping consulting, shipping transactions and other related fields. All these should be the focus or extension scope of maritime education and training. Maritime education shows more of a development model of cross-disciplinary co-teaching (Lai,2014). Therefore, China takes Wuhan as a pilot to try to build a composite platform for maritime and shipping education and training, which is mainly aimed at realizing functions such as resource allocation, development, operation, management, service, training quality tracking and talent evaluation. It is a maritime education and training platform promoted by the government, led by the industry and cooperated by enterprises and colleges by integrating high-quality education resources related to the government, enterprises and colleges.</w:t>
      </w:r>
    </w:p>
    <w:p>
      <w:pPr>
        <w:spacing w:line="360" w:lineRule="auto"/>
        <w:rPr>
          <w:rFonts w:hint="eastAsia" w:ascii="Times New Roman" w:hAnsi="Times New Roman" w:cs="Times New Roman"/>
          <w:sz w:val="28"/>
          <w:szCs w:val="28"/>
          <w:lang w:val="en-US" w:eastAsia="zh-CN"/>
        </w:rPr>
      </w:pPr>
    </w:p>
    <w:p>
      <w:pPr>
        <w:spacing w:line="360" w:lineRule="auto"/>
        <w:rPr>
          <w:rFonts w:hint="eastAsia" w:ascii="Times New Roman" w:hAnsi="Times New Roman" w:cs="Times New Roman"/>
          <w:sz w:val="28"/>
          <w:szCs w:val="28"/>
          <w:lang w:val="en-US" w:eastAsia="zh-CN"/>
        </w:rPr>
      </w:pPr>
    </w:p>
    <w:p>
      <w:pPr>
        <w:spacing w:line="360" w:lineRule="auto"/>
        <w:rPr>
          <w:rFonts w:hint="eastAsia" w:ascii="Times New Roman" w:hAnsi="Times New Roman" w:cs="Times New Roman"/>
          <w:sz w:val="28"/>
          <w:szCs w:val="28"/>
          <w:lang w:val="en-US" w:eastAsia="zh-CN"/>
        </w:rPr>
      </w:pPr>
    </w:p>
    <w:p>
      <w:pPr>
        <w:spacing w:line="360" w:lineRule="auto"/>
        <w:rPr>
          <w:rFonts w:hint="eastAsia" w:ascii="Times New Roman" w:hAnsi="Times New Roman" w:cs="Times New Roman"/>
          <w:sz w:val="28"/>
          <w:szCs w:val="28"/>
          <w:lang w:val="en-US" w:eastAsia="zh-CN"/>
        </w:rPr>
      </w:pPr>
      <w:r>
        <w:rPr>
          <w:rFonts w:hint="eastAsia" w:ascii="Times New Roman" w:hAnsi="Times New Roman" w:cs="Times New Roman"/>
          <w:sz w:val="28"/>
          <w:szCs w:val="28"/>
          <w:lang w:val="en-US" w:eastAsia="zh-CN"/>
        </w:rPr>
        <w:t>Maritime education and training establish cooperative training bases among universities and enterprises</w:t>
      </w:r>
    </w:p>
    <w:p>
      <w:pPr>
        <w:spacing w:line="360" w:lineRule="auto"/>
        <w:rPr>
          <w:rFonts w:hint="eastAsia" w:ascii="Times New Roman" w:hAnsi="Times New Roman" w:cs="Times New Roman"/>
          <w:sz w:val="28"/>
          <w:szCs w:val="28"/>
          <w:lang w:val="en-US" w:eastAsia="zh-CN"/>
        </w:rPr>
      </w:pPr>
    </w:p>
    <w:p>
      <w:pPr>
        <w:spacing w:line="360" w:lineRule="auto"/>
        <w:rPr>
          <w:rFonts w:hint="eastAsia" w:ascii="Times New Roman" w:hAnsi="Times New Roman" w:cs="Times New Roman"/>
          <w:sz w:val="28"/>
          <w:szCs w:val="28"/>
          <w:lang w:val="en-US" w:eastAsia="zh-CN"/>
        </w:rPr>
      </w:pPr>
      <w:r>
        <w:rPr>
          <w:rFonts w:hint="eastAsia" w:ascii="Times New Roman" w:hAnsi="Times New Roman" w:cs="Times New Roman"/>
          <w:sz w:val="28"/>
          <w:szCs w:val="28"/>
          <w:lang w:val="en-US" w:eastAsia="zh-CN"/>
        </w:rPr>
        <w:t>The cooperation between universities and enterprises in maritime education and training refers to the joint cultivation of maritime professionals required by the industry by fully relying on the superior resources of colleges and shipping enterprises and linking the advantages of theoretical research and teaching resources of colleges and universities with the advantages of production and practical experience of enterprises. Generally, bilateral cooperation training mode is adopted, and relevant cooperation agreements are signed to set up bases in universities or enterprises. The main forms are excellent engineer cooperative training base, talent cooperative training base, training base, and hire partner professionals as part-time professors, part-time teachers or part-time tutors. Take Wuhan as an example. IT is rich in higher education resources, with many colleges and universities specializing in shipping, shipbuilding, traffic management, logistics, ICT, finance, trade, law and insurance. At the same time, there are numerous shipping enterprises and institutions, which provide innate advantages and convenience for the school-enterprise cooperation training of shipping composite talents. Wuhan University of Technology has taken many measures to establish joint talent training bases with Changjiang Maritime Safety Administration and Shanghai Changjiang Shipping Co., LTD., and hired many engineers and managers with rich practical experience as part-time undergraduate teachers and joint tutors to undertake professional course teaching and practical guidance tasks (Zhang et al.,2021). Furthermore, the Ministry of Education of China (ME PRC, 2017) also conveyed the highest directive on the integration of industry and teaching and cooperation between schools and enterprises in the form of ministerial document specifications five years ago. The document conveys that through the establishment of the university-enterprise joint training base, enterprises participate in the determination of professional training objectives and the formulation of training programs. In terms of curriculum system construction, according to the actual work of the enterprise, it puts forward suggestions on the knowledge structure that maritime professionals should have, participates in the formulation of the teaching content and syllabus of relevant courses, undertakes the theoretical teaching and practical guidance tasks of professional courses, and provides important guidance for the training of maritime professionals in colleges and universities. From the national level, maritime education is included in the key development strategy, and pilot cities and universities are selected to carry out the integration of teaching practices and enterprises, which provides the institutional framework for the development of maritime education in China.</w:t>
      </w:r>
    </w:p>
    <w:p>
      <w:pPr>
        <w:spacing w:line="360" w:lineRule="auto"/>
        <w:rPr>
          <w:rFonts w:hint="eastAsia" w:ascii="Times New Roman" w:hAnsi="Times New Roman" w:cs="Times New Roman"/>
          <w:sz w:val="28"/>
          <w:szCs w:val="28"/>
          <w:lang w:val="en-US" w:eastAsia="zh-CN"/>
        </w:rPr>
      </w:pPr>
    </w:p>
    <w:p>
      <w:pPr>
        <w:spacing w:line="360" w:lineRule="auto"/>
        <w:rPr>
          <w:rFonts w:hint="eastAsia" w:ascii="Times New Roman" w:hAnsi="Times New Roman" w:cs="Times New Roman"/>
          <w:sz w:val="28"/>
          <w:szCs w:val="28"/>
          <w:lang w:val="en-US" w:eastAsia="zh-CN"/>
        </w:rPr>
      </w:pPr>
      <w:r>
        <w:rPr>
          <w:rFonts w:hint="eastAsia" w:ascii="Times New Roman" w:hAnsi="Times New Roman" w:cs="Times New Roman"/>
          <w:sz w:val="28"/>
          <w:szCs w:val="28"/>
          <w:lang w:val="en-US" w:eastAsia="zh-CN"/>
        </w:rPr>
        <w:t>Flexible maritime education model</w:t>
      </w:r>
    </w:p>
    <w:p>
      <w:pPr>
        <w:spacing w:line="360" w:lineRule="auto"/>
        <w:rPr>
          <w:rFonts w:hint="eastAsia" w:ascii="Times New Roman" w:hAnsi="Times New Roman" w:cs="Times New Roman"/>
          <w:sz w:val="28"/>
          <w:szCs w:val="28"/>
          <w:lang w:val="en-US" w:eastAsia="zh-CN"/>
        </w:rPr>
      </w:pPr>
    </w:p>
    <w:p>
      <w:pPr>
        <w:spacing w:line="360" w:lineRule="auto"/>
        <w:rPr>
          <w:rFonts w:hint="eastAsia" w:ascii="Times New Roman" w:hAnsi="Times New Roman" w:cs="Times New Roman"/>
          <w:sz w:val="28"/>
          <w:szCs w:val="28"/>
          <w:lang w:val="en-US" w:eastAsia="zh-CN"/>
        </w:rPr>
      </w:pPr>
      <w:r>
        <w:rPr>
          <w:rFonts w:hint="eastAsia" w:ascii="Times New Roman" w:hAnsi="Times New Roman" w:cs="Times New Roman"/>
          <w:sz w:val="28"/>
          <w:szCs w:val="28"/>
          <w:lang w:val="en-US" w:eastAsia="zh-CN"/>
        </w:rPr>
        <w:t>The maritime authorities should take advantage of the emerging technologies such as "cloud technology", VR (Virtual Reality) AR(Augmented Reality) and MR(Mediated reality) to build a new vocational training certification system. Leading the development of open online courses based on seafarers' training programs, establishing systematic apprenticeship training programs on ships, and providing high-quality resources for students willing to engage in maritime careers are effective ways to cultivate high-quality seafarers (Pan et al.,2018). In the era of digital Internet, it will be more and more common to have access to the Internet at all times on ships in operation. Great achievements will be made in online open courses and online training courses. The learning system can realise the mixed development of online migration and offline education, and its content and form are mainly personalized and diversified. For the students who choose the navigation vocational certification module, after completing the courses of general education module and professional basic module, they can sign a contract with the shipping company and work while learning on the ship. After boarding the ship, the theoretical learning of the students is mainly open online courses. The competent authorities and school instructors can track the students' learning situation at any time and test the students' learning effect through background data analysis. Establish a basic credit system (He&amp;Ren,2018). Therefore, for the students who have completed the corresponding knowledge points and passed the examination, corresponding credits will be granted, and those who meet the credit requirements stipulated by the university will be awarded the corresponding graduation certificate. The competent maritime authority shall issue corresponding vocational qualification certificates to those who have completed the study of the corresponding knowledge points, met the requirements of the training program for the class hours, obtained the qualification to take part in the examination, and passed the examination of the competent maritime authority.</w:t>
      </w:r>
    </w:p>
    <w:p>
      <w:pPr>
        <w:spacing w:line="360" w:lineRule="auto"/>
        <w:rPr>
          <w:rFonts w:hint="eastAsia" w:ascii="Times New Roman" w:hAnsi="Times New Roman" w:cs="Times New Roman"/>
          <w:sz w:val="28"/>
          <w:szCs w:val="28"/>
          <w:lang w:val="en-US" w:eastAsia="zh-CN"/>
        </w:rPr>
      </w:pPr>
    </w:p>
    <w:p>
      <w:pPr>
        <w:spacing w:line="360" w:lineRule="auto"/>
        <w:rPr>
          <w:rFonts w:hint="eastAsia" w:ascii="Times New Roman" w:hAnsi="Times New Roman" w:cs="Times New Roman"/>
          <w:sz w:val="28"/>
          <w:szCs w:val="28"/>
          <w:lang w:val="en-US" w:eastAsia="zh-CN"/>
        </w:rPr>
      </w:pPr>
    </w:p>
    <w:p>
      <w:pPr>
        <w:spacing w:line="360" w:lineRule="auto"/>
        <w:rPr>
          <w:rFonts w:hint="eastAsia" w:ascii="Times New Roman" w:hAnsi="Times New Roman" w:cs="Times New Roman"/>
          <w:sz w:val="28"/>
          <w:szCs w:val="28"/>
          <w:lang w:val="en-US" w:eastAsia="zh-CN"/>
        </w:rPr>
      </w:pPr>
    </w:p>
    <w:p>
      <w:pPr>
        <w:spacing w:line="360" w:lineRule="auto"/>
        <w:rPr>
          <w:rFonts w:hint="eastAsia" w:ascii="Times New Roman" w:hAnsi="Times New Roman" w:cs="Times New Roman"/>
          <w:sz w:val="28"/>
          <w:szCs w:val="28"/>
          <w:lang w:val="en-US" w:eastAsia="zh-CN"/>
        </w:rPr>
      </w:pPr>
      <w:r>
        <w:rPr>
          <w:rFonts w:hint="eastAsia" w:ascii="Times New Roman" w:hAnsi="Times New Roman" w:cs="Times New Roman"/>
          <w:sz w:val="28"/>
          <w:szCs w:val="28"/>
          <w:lang w:val="en-US" w:eastAsia="zh-CN"/>
        </w:rPr>
        <w:t>Establish a practical teaching system of modern apprenticeship</w:t>
      </w:r>
    </w:p>
    <w:p>
      <w:pPr>
        <w:spacing w:line="360" w:lineRule="auto"/>
        <w:rPr>
          <w:rFonts w:hint="eastAsia" w:ascii="Times New Roman" w:hAnsi="Times New Roman" w:cs="Times New Roman"/>
          <w:sz w:val="28"/>
          <w:szCs w:val="28"/>
          <w:lang w:val="en-US" w:eastAsia="zh-CN"/>
        </w:rPr>
      </w:pPr>
    </w:p>
    <w:p>
      <w:pPr>
        <w:spacing w:line="360" w:lineRule="auto"/>
        <w:rPr>
          <w:rFonts w:hint="eastAsia" w:ascii="Times New Roman" w:hAnsi="Times New Roman" w:cs="Times New Roman"/>
          <w:sz w:val="28"/>
          <w:szCs w:val="28"/>
          <w:lang w:val="en-US" w:eastAsia="zh-CN"/>
        </w:rPr>
      </w:pPr>
      <w:r>
        <w:rPr>
          <w:rFonts w:hint="eastAsia" w:ascii="Times New Roman" w:hAnsi="Times New Roman" w:cs="Times New Roman"/>
          <w:sz w:val="28"/>
          <w:szCs w:val="28"/>
          <w:lang w:val="en-US" w:eastAsia="zh-CN"/>
        </w:rPr>
        <w:t>Modern apprenticeship mode requires enterprises to provide trainees with quasi-employee status and practical training positions, and effectively combine professional theoretical knowledge with engineering practice in the form of teacher and apprentice, and finally achieve the goal of cultivating students' job ability, team spirit and dedication. (Ji,2017) and the content mentioned in the previous paragraph are also supplemented by the fact that maritime authorities should lead the supervision of schools, enterprises and students to sign tripartite training contracts, and formally register and record them with the maritime administration. The competent maritime authority may set up an apprenticeship training service center, which is responsible for the signing of training contracts, the implementation of benefits, the assessment of mentors and other specific matters, and follow up the whole process, providing security and corresponding training programs. After the training, the name of the internship enterprise is marked on the education diploma of the students, so as to improve the enthusiasm of enterprises to participate in vocational training. After the enterprise completes the training tasks for the students on schedule, the competent maritime authority shall evaluate the students' skill mastery, theoretical learning and performance in the enterprise, and grant appropriate subsidies to the enterprise and the tutor after they are qualified (He&amp;Ren,2018). Therefore, I think that this approach will ensure the quality of training for enterprises and the certainty for students to obtain qualification certification. After the completion of training, students can obtain corresponding vocational qualification certificates through examination.</w:t>
      </w:r>
    </w:p>
    <w:p>
      <w:pPr>
        <w:spacing w:line="360" w:lineRule="auto"/>
        <w:rPr>
          <w:rFonts w:hint="eastAsia" w:ascii="Times New Roman" w:hAnsi="Times New Roman" w:cs="Times New Roman"/>
          <w:sz w:val="28"/>
          <w:szCs w:val="28"/>
          <w:lang w:val="en-US" w:eastAsia="zh-CN"/>
        </w:rPr>
      </w:pPr>
    </w:p>
    <w:p>
      <w:pPr>
        <w:spacing w:line="360" w:lineRule="auto"/>
        <w:rPr>
          <w:rFonts w:hint="eastAsia" w:ascii="Times New Roman" w:hAnsi="Times New Roman" w:cs="Times New Roman"/>
          <w:sz w:val="28"/>
          <w:szCs w:val="28"/>
          <w:lang w:val="en-US" w:eastAsia="zh-CN"/>
        </w:rPr>
      </w:pPr>
    </w:p>
    <w:p>
      <w:pPr>
        <w:spacing w:line="360" w:lineRule="auto"/>
        <w:rPr>
          <w:rFonts w:hint="eastAsia" w:ascii="Times New Roman" w:hAnsi="Times New Roman" w:cs="Times New Roman"/>
          <w:sz w:val="28"/>
          <w:szCs w:val="28"/>
          <w:lang w:val="en-US" w:eastAsia="zh-CN"/>
        </w:rPr>
      </w:pPr>
    </w:p>
    <w:p>
      <w:pPr>
        <w:spacing w:line="360" w:lineRule="auto"/>
        <w:rPr>
          <w:rFonts w:hint="eastAsia" w:ascii="Times New Roman" w:hAnsi="Times New Roman" w:cs="Times New Roman"/>
          <w:sz w:val="28"/>
          <w:szCs w:val="28"/>
          <w:lang w:val="en-US" w:eastAsia="zh-CN"/>
        </w:rPr>
      </w:pPr>
      <w:r>
        <w:rPr>
          <w:rFonts w:hint="eastAsia" w:ascii="Times New Roman" w:hAnsi="Times New Roman" w:cs="Times New Roman"/>
          <w:sz w:val="28"/>
          <w:szCs w:val="28"/>
          <w:lang w:val="en-US" w:eastAsia="zh-CN"/>
        </w:rPr>
        <w:t>Establish maritime education subsidies</w:t>
      </w:r>
    </w:p>
    <w:p>
      <w:pPr>
        <w:spacing w:line="360" w:lineRule="auto"/>
        <w:rPr>
          <w:rFonts w:hint="eastAsia" w:ascii="Times New Roman" w:hAnsi="Times New Roman" w:cs="Times New Roman"/>
          <w:sz w:val="28"/>
          <w:szCs w:val="28"/>
          <w:lang w:val="en-US" w:eastAsia="zh-CN"/>
        </w:rPr>
      </w:pPr>
    </w:p>
    <w:p>
      <w:pPr>
        <w:spacing w:line="360" w:lineRule="auto"/>
        <w:rPr>
          <w:rFonts w:hint="eastAsia" w:ascii="Times New Roman" w:hAnsi="Times New Roman" w:cs="Times New Roman"/>
          <w:sz w:val="28"/>
          <w:szCs w:val="28"/>
          <w:lang w:val="en-US" w:eastAsia="zh-CN"/>
        </w:rPr>
      </w:pPr>
    </w:p>
    <w:p>
      <w:pPr>
        <w:spacing w:line="360" w:lineRule="auto"/>
        <w:rPr>
          <w:rFonts w:hint="eastAsia" w:ascii="Times New Roman" w:hAnsi="Times New Roman" w:cs="Times New Roman"/>
          <w:sz w:val="28"/>
          <w:szCs w:val="28"/>
          <w:lang w:val="en-US" w:eastAsia="zh-CN"/>
        </w:rPr>
      </w:pPr>
    </w:p>
    <w:p>
      <w:pPr>
        <w:spacing w:line="360" w:lineRule="auto"/>
        <w:rPr>
          <w:rFonts w:hint="eastAsia" w:ascii="Times New Roman" w:hAnsi="Times New Roman" w:cs="Times New Roman"/>
          <w:sz w:val="28"/>
          <w:szCs w:val="28"/>
          <w:lang w:val="en-US" w:eastAsia="zh-CN"/>
        </w:rPr>
      </w:pPr>
      <w:r>
        <w:rPr>
          <w:rFonts w:hint="eastAsia" w:ascii="Times New Roman" w:hAnsi="Times New Roman" w:cs="Times New Roman"/>
          <w:sz w:val="28"/>
          <w:szCs w:val="28"/>
          <w:lang w:val="en-US" w:eastAsia="zh-CN"/>
        </w:rPr>
        <w:t>At present, governments at all levels subsidize navigation education mainly for the two maritime universities, such as Dalian Maritime University and Shanghai Maritime University, to purchase experimental equipment, build internship ships, or to subsidize navigation students without distinction. But at the same time, maritime university graduates on the ship internship rate is low is an indisputable fact. It is necessary for students majoring in navigation to practice on ships, and the country can purchase internship positions from shipping companies with conditions. For example, every ship of Chinese nationality must reserve space for maritime students to practice, and encourage ships with conditions to accept interns to sell internship positions. The funds for maritime education should be focused on subsidizing students who are willing to go on ships and who really want to be seafarers. Tuition waivers for such students would greatly increase the willingness of students to become seafarers, subsidize enterprises that are willing to participate in seafarers' training, and subsidize serving seafarers who are willing to take students along with them. However, it should be noted that maritime authorities should do a good job of supervision. For maritime students who enjoy subsidies, they must work on the ship for a certain number of years. If they violate the regulations, it is better to introduce a system of paying liquidated damages.</w:t>
      </w:r>
    </w:p>
    <w:p>
      <w:pPr>
        <w:spacing w:line="360" w:lineRule="auto"/>
        <w:rPr>
          <w:rFonts w:hint="eastAsia" w:ascii="Times New Roman" w:hAnsi="Times New Roman" w:cs="Times New Roman"/>
          <w:sz w:val="28"/>
          <w:szCs w:val="28"/>
          <w:lang w:val="en-US" w:eastAsia="zh-CN"/>
        </w:rPr>
      </w:pPr>
    </w:p>
    <w:p>
      <w:pPr>
        <w:spacing w:line="360" w:lineRule="auto"/>
        <w:rPr>
          <w:rFonts w:hint="eastAsia" w:ascii="Times New Roman" w:hAnsi="Times New Roman" w:cs="Times New Roman"/>
          <w:sz w:val="28"/>
          <w:szCs w:val="28"/>
          <w:lang w:val="en-US" w:eastAsia="zh-CN"/>
        </w:rPr>
      </w:pPr>
    </w:p>
    <w:p>
      <w:pPr>
        <w:spacing w:line="360" w:lineRule="auto"/>
        <w:rPr>
          <w:rFonts w:hint="eastAsia" w:ascii="Times New Roman" w:hAnsi="Times New Roman" w:cs="Times New Roman"/>
          <w:sz w:val="28"/>
          <w:szCs w:val="28"/>
          <w:lang w:val="en-US" w:eastAsia="zh-CN"/>
        </w:rPr>
      </w:pPr>
    </w:p>
    <w:p>
      <w:pPr>
        <w:spacing w:line="360" w:lineRule="auto"/>
        <w:rPr>
          <w:rFonts w:hint="eastAsia" w:ascii="Times New Roman" w:hAnsi="Times New Roman" w:cs="Times New Roman"/>
          <w:sz w:val="28"/>
          <w:szCs w:val="28"/>
          <w:lang w:val="en-US" w:eastAsia="zh-CN"/>
        </w:rPr>
      </w:pPr>
      <w:r>
        <w:rPr>
          <w:rFonts w:hint="eastAsia" w:ascii="Times New Roman" w:hAnsi="Times New Roman" w:cs="Times New Roman"/>
          <w:sz w:val="28"/>
          <w:szCs w:val="28"/>
          <w:lang w:val="en-US" w:eastAsia="zh-CN"/>
        </w:rPr>
        <w:t>In conclusion, through the evaluation of maritime education and training in Norway and China, it is not difficult to see that Norway mainly focuses on the technical aspects of students' maritime skills training, such as the use of VR virtual simulator technology, remote and face-to-face practice to conduct maritime education and training. However, the practical effectiveness of the teaching experience and theoretical conversion of virtual simulator is the most important thing to be concerned about. However, for the Norwegian maritime education department, their effectiveness in the field of maritime education and training needs to be further verified. In contrast, although China has also put forward the use of Internet technology and other ways of maritime education at the technical level, this part mainly focuses on the construction at the institutional level, such as the construction of enterprise and University-level platforms, the exploration of new apprenticeship model, the implementation of maritime education subsidies and other measures. Although the institutional framework has been established, its benefits to maritime education and training still need to be critically viewed and further explored.</w:t>
      </w:r>
    </w:p>
    <w:p>
      <w:pPr>
        <w:spacing w:line="360" w:lineRule="auto"/>
        <w:ind w:firstLine="560" w:firstLineChars="200"/>
        <w:rPr>
          <w:rFonts w:hint="eastAsia" w:ascii="Times New Roman" w:hAnsi="Times New Roman" w:cs="Times New Roman"/>
          <w:sz w:val="28"/>
          <w:szCs w:val="28"/>
          <w:lang w:val="en-US" w:eastAsia="zh-CN"/>
        </w:rPr>
      </w:pPr>
    </w:p>
    <w:p>
      <w:pPr>
        <w:spacing w:line="360" w:lineRule="auto"/>
        <w:ind w:firstLine="3915" w:firstLineChars="1300"/>
        <w:rPr>
          <w:rFonts w:hint="default" w:ascii="Times New Roman" w:hAnsi="Times New Roman" w:cs="Times New Roman"/>
          <w:b/>
          <w:bCs/>
          <w:sz w:val="30"/>
          <w:szCs w:val="30"/>
          <w:lang w:val="en-US" w:eastAsia="zh-CN"/>
        </w:rPr>
      </w:pPr>
      <w:r>
        <w:rPr>
          <w:rFonts w:hint="eastAsia" w:ascii="Times New Roman" w:hAnsi="Times New Roman" w:cs="Times New Roman"/>
          <w:b/>
          <w:bCs/>
          <w:sz w:val="30"/>
          <w:szCs w:val="30"/>
          <w:lang w:val="en-US" w:eastAsia="zh-CN"/>
        </w:rPr>
        <w:t>Part 3</w:t>
      </w:r>
    </w:p>
    <w:p>
      <w:pPr>
        <w:spacing w:line="360" w:lineRule="auto"/>
        <w:ind w:firstLine="562" w:firstLineChars="200"/>
        <w:rPr>
          <w:rFonts w:hint="default" w:ascii="Times New Roman" w:hAnsi="Times New Roman" w:cs="Times New Roman"/>
          <w:b/>
          <w:bCs/>
          <w:sz w:val="28"/>
          <w:szCs w:val="28"/>
          <w:lang w:val="en-US" w:eastAsia="zh-CN"/>
        </w:rPr>
      </w:pPr>
    </w:p>
    <w:p>
      <w:pPr>
        <w:spacing w:line="360" w:lineRule="auto"/>
        <w:ind w:firstLine="560" w:firstLineChars="200"/>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t xml:space="preserve">Two paradigm-shifting models are becoming more and more embedded in today's corporate operations. On the one hand, sustainability has started a fundamental paradigm shift in sustainability between companies and departments and across industries. On the other hand, the paradigm shift is embodied in the company's productivity and productivity improvement to the external sustainable growth of resource conservation, social enterprise responsibility, welfare assistance, etc. People's view of business operations affecting the social economy is being fundamentally changed by sustainable growth operations. In addition, the international shipping industry integrates sustainability into global economic development and trade prosperity promotion, so the concept of sustainable development of the international shipping industry plays a vital role (Angelos&amp; Ilias,2020). Wang(2020) points out that the shipping industry is currently in a transition stage, which will put forward higher requirements for the shipping industry and also pose higher challenges to the leaders of the shipping industry. Facing the complex reality of corporate transformation, the shipping industry will gradually increase its requirements for leadership. Strong safety leadership needs to be focused on high risk industries such as sailing, a risky activity that takes place in an extremely unstable and complex environment every day. A ship sailing over the sea is like a moving kingdom, and the captain, like the king of the mobile community, has absolute authority and dominance, because the effectiveness, reliability and safety of each action in such dangerous tasks must be decided by the supreme ruler under practical conditions </w:t>
      </w:r>
      <w:r>
        <w:rPr>
          <w:rFonts w:hint="eastAsia" w:ascii="Times New Roman" w:hAnsi="Times New Roman" w:cs="Times New Roman"/>
          <w:sz w:val="28"/>
          <w:szCs w:val="28"/>
          <w:lang w:val="en-US" w:eastAsia="zh-CN"/>
        </w:rPr>
        <w:t>(</w:t>
      </w:r>
      <w:r>
        <w:rPr>
          <w:rFonts w:hint="default" w:ascii="Times New Roman" w:hAnsi="Times New Roman" w:cs="Times New Roman"/>
          <w:sz w:val="28"/>
          <w:szCs w:val="28"/>
          <w:lang w:val="en-US" w:eastAsia="zh-CN"/>
        </w:rPr>
        <w:t>Vujičić</w:t>
      </w:r>
      <w:r>
        <w:rPr>
          <w:rFonts w:hint="eastAsia" w:ascii="Times New Roman" w:hAnsi="Times New Roman" w:cs="Times New Roman"/>
          <w:sz w:val="28"/>
          <w:szCs w:val="28"/>
          <w:lang w:val="en-US" w:eastAsia="zh-CN"/>
        </w:rPr>
        <w:t xml:space="preserve"> </w:t>
      </w:r>
      <w:r>
        <w:rPr>
          <w:rFonts w:hint="default" w:ascii="Times New Roman" w:hAnsi="Times New Roman" w:cs="Times New Roman"/>
          <w:sz w:val="28"/>
          <w:szCs w:val="28"/>
          <w:lang w:val="en-US" w:eastAsia="zh-CN"/>
        </w:rPr>
        <w:t>et al,2018). Furthermore, the captain or actual controller must be the most knowledgeable and experienced person in the group. The absence of such leadership may lead to maritime accidents, resulting in death, injury, property damage and environmental pollution. A major part of safety leadership involves organic interaction and a sense of need among the ship's staff as a whole, as well as being an effective means of working together as a team. Effective cooperation and safety leadership should be the primary responsibility of the captain, whose responsibility should be to improve the overall safety of the voyage, encourage the morale of the voyage crew, carry out safety training regularly and protect the Marine environment during the voyage to monitor the safety performance of the crew in real time (Theotokas et al.2014). These are the specific aspects of ship safety leadership. Therefore, it is important for all stakeholders in the shipping industry to ensure that the leadership on board is clearly aware of the nature of this leadership and that it can be used effectively to ensure stability and promote the overall health of the shipping industry. This part will mainly evaluate the impact of change and transactional leadership on the safe navigation of ships.</w:t>
      </w:r>
    </w:p>
    <w:p>
      <w:pPr>
        <w:spacing w:line="360" w:lineRule="auto"/>
        <w:ind w:firstLine="560" w:firstLineChars="200"/>
        <w:rPr>
          <w:rFonts w:hint="default" w:ascii="Times New Roman" w:hAnsi="Times New Roman" w:cs="Times New Roman"/>
          <w:sz w:val="28"/>
          <w:szCs w:val="28"/>
          <w:lang w:val="en-US" w:eastAsia="zh-CN"/>
        </w:rPr>
      </w:pPr>
    </w:p>
    <w:p>
      <w:pPr>
        <w:spacing w:line="360" w:lineRule="auto"/>
        <w:ind w:firstLine="560" w:firstLineChars="200"/>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t xml:space="preserve">Human error accounts for about 80 percent of maritime accidents, From this ratio, we can boldly assume that navigation safety is mainly affected by human perceived factors (hanzu et al.2012) Human errors and accidents result from poor leadership, insufficient task handling ability and communication effectiveness of ship leaders (Vujičić,et al,2018). With the development of science and technology, more and more artificial intelligence technology has been introduced into shipping, and the human-machine interaction frequency index is higher and higher, but there are two sides of everything. We also found the human factor error caused by new technology (Bielić,2017). The leadership of captains in fleet cooperation and ship management, especially in handling emergency situations, is also frequently identified as a weak link leading to safety problems. There are many incidents that can test these problems. One example is a fire on a ship. During the firefighting period, due to the unfamiliarity with the ship's construction, Safety leadership is defined by </w:t>
      </w:r>
      <w:r>
        <w:rPr>
          <w:rFonts w:hint="eastAsia" w:ascii="Times New Roman" w:hAnsi="Times New Roman" w:cs="Times New Roman"/>
          <w:sz w:val="28"/>
          <w:szCs w:val="28"/>
          <w:lang w:val="en-US" w:eastAsia="zh-CN"/>
        </w:rPr>
        <w:t>(</w:t>
      </w:r>
      <w:r>
        <w:rPr>
          <w:rFonts w:hint="default" w:ascii="Times New Roman" w:hAnsi="Times New Roman" w:cs="Times New Roman"/>
          <w:sz w:val="28"/>
          <w:szCs w:val="28"/>
          <w:lang w:val="en-US" w:eastAsia="zh-CN"/>
        </w:rPr>
        <w:t>Wu et al.,2007</w:t>
      </w:r>
      <w:r>
        <w:rPr>
          <w:rFonts w:hint="eastAsia" w:ascii="Times New Roman" w:hAnsi="Times New Roman" w:cs="Times New Roman"/>
          <w:sz w:val="28"/>
          <w:szCs w:val="28"/>
          <w:lang w:val="en-US" w:eastAsia="zh-CN"/>
        </w:rPr>
        <w:t>)</w:t>
      </w:r>
      <w:r>
        <w:rPr>
          <w:rFonts w:hint="default" w:ascii="Times New Roman" w:hAnsi="Times New Roman" w:cs="Times New Roman"/>
          <w:sz w:val="28"/>
          <w:szCs w:val="28"/>
          <w:lang w:val="en-US" w:eastAsia="zh-CN"/>
        </w:rPr>
        <w:t xml:space="preserve"> as "the process of interaction between leaders and subordinates, Leaders can use this process to influence subordinates in the context of organizational and individual factors to achieve organi</w:t>
      </w:r>
      <w:r>
        <w:rPr>
          <w:rFonts w:hint="eastAsia" w:ascii="Times New Roman" w:hAnsi="Times New Roman" w:cs="Times New Roman"/>
          <w:sz w:val="28"/>
          <w:szCs w:val="28"/>
          <w:lang w:val="en-US" w:eastAsia="zh-CN"/>
        </w:rPr>
        <w:t>s</w:t>
      </w:r>
      <w:r>
        <w:rPr>
          <w:rFonts w:hint="default" w:ascii="Times New Roman" w:hAnsi="Times New Roman" w:cs="Times New Roman"/>
          <w:sz w:val="28"/>
          <w:szCs w:val="28"/>
          <w:lang w:val="en-US" w:eastAsia="zh-CN"/>
        </w:rPr>
        <w:t>ational safety goals." It can be seen from this that without the support of other subordinate members, it is impossible to become a successful leader, nor to implement leadership on the ship, let alone to show its due leadership performance.</w:t>
      </w:r>
    </w:p>
    <w:p>
      <w:pPr>
        <w:spacing w:line="360" w:lineRule="auto"/>
        <w:ind w:firstLine="560" w:firstLineChars="200"/>
        <w:rPr>
          <w:rFonts w:hint="default" w:ascii="Times New Roman" w:hAnsi="Times New Roman" w:cs="Times New Roman"/>
          <w:sz w:val="28"/>
          <w:szCs w:val="28"/>
          <w:lang w:val="en-US" w:eastAsia="zh-CN"/>
        </w:rPr>
      </w:pPr>
    </w:p>
    <w:p>
      <w:pPr>
        <w:spacing w:line="360" w:lineRule="auto"/>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t xml:space="preserve">Cooper (2015) points out that leaders can be high-weight or inspiring. Sailing was an extremely dangerous activity, and on the one hand positional leaders were held accountable according to the power conferred upon them by their position in the hierarchy. They tend to give orders, and those below him need to obey the orders of the leader. Commands and instructions to be followed by all people in the group form the basis of their leadership (Vujičić,et al,2021). In contrast,  Transactional leadership was proposed by Hollander in 1978. According to Hollander, transactional leadership behavior is a consensus reached between the leader and the led. The leader will release specific tasks, assign each subordinate to specific roles and responsibilities in the task, and instruct and motivate the led to complete the corresponding work within the prescribed scope during the task implementation process.(Hollander,1978) </w:t>
      </w:r>
      <w:r>
        <w:rPr>
          <w:rFonts w:hint="eastAsia" w:ascii="Times New Roman" w:hAnsi="Times New Roman" w:cs="Times New Roman"/>
          <w:sz w:val="28"/>
          <w:szCs w:val="28"/>
          <w:lang w:val="en-US" w:eastAsia="zh-CN"/>
        </w:rPr>
        <w:t>T</w:t>
      </w:r>
      <w:r>
        <w:rPr>
          <w:rFonts w:hint="default" w:ascii="Times New Roman" w:hAnsi="Times New Roman" w:cs="Times New Roman"/>
          <w:sz w:val="28"/>
          <w:szCs w:val="28"/>
          <w:lang w:val="en-US" w:eastAsia="zh-CN"/>
        </w:rPr>
        <w:t>ransactional leaders usually use special rewards or punishments to stabilize the unity within the organi</w:t>
      </w:r>
      <w:r>
        <w:rPr>
          <w:rFonts w:hint="eastAsia" w:ascii="Times New Roman" w:hAnsi="Times New Roman" w:cs="Times New Roman"/>
          <w:sz w:val="28"/>
          <w:szCs w:val="28"/>
          <w:lang w:val="en-US" w:eastAsia="zh-CN"/>
        </w:rPr>
        <w:t>s</w:t>
      </w:r>
      <w:r>
        <w:rPr>
          <w:rFonts w:hint="default" w:ascii="Times New Roman" w:hAnsi="Times New Roman" w:cs="Times New Roman"/>
          <w:sz w:val="28"/>
          <w:szCs w:val="28"/>
          <w:lang w:val="en-US" w:eastAsia="zh-CN"/>
        </w:rPr>
        <w:t xml:space="preserve">ation. The effect of this kind of leadership depends on the psychological contract between leaders and subordinates. Transactional leadership is based on bureaucratic authority and legitimacy in relation to one's position in the organization. It emphasizes task objectives, working standards and outputs, often focuses on the completion of tasks and employees' compliance, and relies more on the organization's rewards and punishments to influence employees (Wen,2011). Contrary to transformational leadership, transactional leadership has no strict hierarchical relationship system and is on a relatively open platform. </w:t>
      </w:r>
    </w:p>
    <w:p>
      <w:pPr>
        <w:spacing w:line="360" w:lineRule="auto"/>
        <w:rPr>
          <w:rFonts w:hint="default" w:ascii="Times New Roman" w:hAnsi="Times New Roman" w:cs="Times New Roman"/>
          <w:sz w:val="28"/>
          <w:szCs w:val="28"/>
          <w:lang w:val="en-US" w:eastAsia="zh-CN"/>
        </w:rPr>
      </w:pPr>
    </w:p>
    <w:p>
      <w:pPr>
        <w:spacing w:line="360" w:lineRule="auto"/>
        <w:rPr>
          <w:rFonts w:hint="default" w:ascii="Times New Roman" w:hAnsi="Times New Roman" w:cs="Times New Roman"/>
          <w:sz w:val="28"/>
          <w:szCs w:val="28"/>
          <w:lang w:val="en-US" w:eastAsia="zh-CN"/>
        </w:rPr>
      </w:pPr>
    </w:p>
    <w:p>
      <w:pPr>
        <w:spacing w:line="360" w:lineRule="auto"/>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t>Hasanspahić N, Frančić V, Vujičić S, Mandušić M.（2021）</w:t>
      </w:r>
    </w:p>
    <w:p>
      <w:pPr>
        <w:spacing w:line="360" w:lineRule="auto"/>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t>At present, scholars of Maritime University have shown research interest in leadership, especially safety leadership. They conducted a project to investigate the issue of captain safety leadership. From the collected data, we can gain an in-depth understanding of the characteristics of safety leadership considered by sailors, and reveal that there may be more than one type of captain leadership in the shipping industry. Scholars believe that security leadership can be regarded as a mixture of transactional and transformational leadership styles, and leaders should have enough leadership experience and knowledge to be ready for conversion in no specific environment. Of course, more than one-third of the respondents believed that the company pressure had a negative impact on other staff on the ship, and formed a system similar to the rigid hierarchy of the military. Further, the respondents believed that the captain who lacked leadership would be protected by the traditional and strong hierarchy of the ship, which was not conducive to the development of the ship and the shipping industry. According to other respondents, the leadership of a knowledgeable and experienced leader sets an example for subordinates and gives confidence to the crew. The author of this paper believes that the current research group and scope are limited, and some results may be biased. In the future, the nationality and age range of the surveyed group will be expanded.</w:t>
      </w:r>
    </w:p>
    <w:p>
      <w:pPr>
        <w:spacing w:line="360" w:lineRule="auto"/>
        <w:rPr>
          <w:rFonts w:hint="default" w:ascii="Times New Roman" w:hAnsi="Times New Roman" w:cs="Times New Roman"/>
          <w:sz w:val="28"/>
          <w:szCs w:val="28"/>
          <w:lang w:val="en-US" w:eastAsia="zh-CN"/>
        </w:rPr>
      </w:pPr>
    </w:p>
    <w:p>
      <w:pPr>
        <w:spacing w:line="360" w:lineRule="auto"/>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t>Maria Progoulaki, Vangelis Tsioumas &amp; Katerina Voutsina（2022）</w:t>
      </w:r>
    </w:p>
    <w:p>
      <w:pPr>
        <w:spacing w:line="360" w:lineRule="auto"/>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t>The authors of this article believe that the leadership of the maritime and shipping industry is an urgent need to be paid attention to in the era when automated intelligent technology is widely put into practice. This is not only related to the development of the entire industry sector, but also related to the welfare of tens of thousands of people living on the sea, work safety and other issues. The authors argue that despite years of leadership research, there is still limited research on how to develop and apply leadership skills in the shipping industry, with a focus on authoritarian leadership styles. Although the author believes that there are similarities between navy and commercial ships in terms of leadership, whether these leadership can be fully transferred to merchant Marine operations needs to be further verified. In addition, the authors suggest that maritime education and training institutions can take some reflection from the findings of this study to develop the necessary leadership for future ship leaders.</w:t>
      </w:r>
    </w:p>
    <w:p>
      <w:pPr>
        <w:spacing w:line="360" w:lineRule="auto"/>
        <w:rPr>
          <w:rFonts w:hint="default" w:ascii="Times New Roman" w:hAnsi="Times New Roman" w:cs="Times New Roman"/>
          <w:sz w:val="28"/>
          <w:szCs w:val="28"/>
          <w:lang w:val="en-US" w:eastAsia="zh-CN"/>
        </w:rPr>
      </w:pPr>
    </w:p>
    <w:p>
      <w:pPr>
        <w:spacing w:line="360" w:lineRule="auto"/>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t xml:space="preserve">Ermal Xhelilaj, Bledar Saka (2018) </w:t>
      </w:r>
    </w:p>
    <w:p>
      <w:pPr>
        <w:spacing w:line="360" w:lineRule="auto"/>
        <w:rPr>
          <w:rFonts w:hint="eastAsia" w:ascii="Times New Roman" w:hAnsi="Times New Roman" w:cs="Times New Roman"/>
          <w:sz w:val="28"/>
          <w:szCs w:val="28"/>
          <w:lang w:val="en-US" w:eastAsia="zh-CN"/>
        </w:rPr>
      </w:pPr>
      <w:r>
        <w:rPr>
          <w:rFonts w:hint="eastAsia" w:ascii="Times New Roman" w:hAnsi="Times New Roman" w:cs="Times New Roman"/>
          <w:sz w:val="28"/>
          <w:szCs w:val="28"/>
          <w:lang w:val="en-US" w:eastAsia="zh-CN"/>
        </w:rPr>
        <w:t>This article mainly assesses the leadership traits and skills required of young maritime officers in the complex and specific environment of their Marine work, as the owners of these ships are expected to shoulder their responsibilities and fulfill their obligations as maritime officers. How to effectively manage the ship to show its leadership is particularly important in the complex and demanding environment. Therefore, the author tries to analyze many viewpoints on the concept of leadership, and makes a critical analysis mainly on the controversial points of leadership. The conclusion is that each leadership style has its advantages. Of course, everything has two sides and also contains various disadvantages. The complexity and variability of shipping environment lead to different leadership styles that require specific analysis of specific problems in specific environments.</w:t>
      </w:r>
    </w:p>
    <w:p>
      <w:pPr>
        <w:spacing w:line="360" w:lineRule="auto"/>
        <w:rPr>
          <w:rFonts w:hint="eastAsia" w:ascii="Times New Roman" w:hAnsi="Times New Roman" w:cs="Times New Roman"/>
          <w:sz w:val="28"/>
          <w:szCs w:val="28"/>
          <w:lang w:val="en-US" w:eastAsia="zh-CN"/>
        </w:rPr>
      </w:pPr>
      <w:r>
        <w:rPr>
          <w:rFonts w:hint="eastAsia" w:ascii="Times New Roman" w:hAnsi="Times New Roman" w:cs="Times New Roman"/>
          <w:sz w:val="28"/>
          <w:szCs w:val="28"/>
          <w:lang w:val="en-US" w:eastAsia="zh-CN"/>
        </w:rPr>
        <w:t>To sum up, some scholars believe that leadership in different shipping environments will have different forms of expression, and there is no fixed model, which should be judged and understood according to specific needs. Furthermore, some scholars have proposed that transformational leadership and transactional leadership can be transformed in the shipping industry, or they can become a mixture to absorb the advantages of different types. Finally, some scholars believe that navy leadership can be transplanted to merchant shipping leadership. Although it is still in the process of verification, this is an effective method. Perhaps a very effective method is to directly train leaders who can adapt to and have modern shipping leadership from the beginning of education and training.</w:t>
      </w:r>
    </w:p>
    <w:p>
      <w:pPr>
        <w:numPr>
          <w:ilvl w:val="0"/>
          <w:numId w:val="0"/>
        </w:numPr>
        <w:spacing w:line="360" w:lineRule="auto"/>
        <w:rPr>
          <w:rFonts w:hint="eastAsia" w:ascii="Times New Roman" w:hAnsi="Times New Roman" w:cs="Times New Roman"/>
          <w:sz w:val="28"/>
          <w:szCs w:val="28"/>
          <w:lang w:val="en-US" w:eastAsia="zh-CN"/>
        </w:rPr>
      </w:pPr>
    </w:p>
    <w:p>
      <w:pPr>
        <w:numPr>
          <w:ilvl w:val="0"/>
          <w:numId w:val="0"/>
        </w:numPr>
        <w:spacing w:line="360" w:lineRule="auto"/>
        <w:rPr>
          <w:rFonts w:hint="eastAsia" w:ascii="Times New Roman" w:hAnsi="Times New Roman" w:cs="Times New Roman"/>
          <w:sz w:val="28"/>
          <w:szCs w:val="28"/>
          <w:lang w:val="en-US" w:eastAsia="zh-CN"/>
        </w:rPr>
      </w:pPr>
    </w:p>
    <w:p>
      <w:pPr>
        <w:numPr>
          <w:ilvl w:val="0"/>
          <w:numId w:val="0"/>
        </w:numPr>
        <w:spacing w:line="360" w:lineRule="auto"/>
        <w:rPr>
          <w:rFonts w:hint="eastAsia" w:ascii="Times New Roman" w:hAnsi="Times New Roman" w:cs="Times New Roman"/>
          <w:sz w:val="28"/>
          <w:szCs w:val="28"/>
          <w:lang w:val="en-US" w:eastAsia="zh-CN"/>
        </w:rPr>
      </w:pPr>
    </w:p>
    <w:p>
      <w:pPr>
        <w:numPr>
          <w:ilvl w:val="0"/>
          <w:numId w:val="0"/>
        </w:numPr>
        <w:spacing w:line="360" w:lineRule="auto"/>
        <w:rPr>
          <w:rFonts w:hint="eastAsia" w:ascii="Times New Roman" w:hAnsi="Times New Roman" w:cs="Times New Roman"/>
          <w:sz w:val="28"/>
          <w:szCs w:val="28"/>
          <w:lang w:val="en-US" w:eastAsia="zh-CN"/>
        </w:rPr>
      </w:pPr>
    </w:p>
    <w:p>
      <w:pPr>
        <w:numPr>
          <w:ilvl w:val="0"/>
          <w:numId w:val="0"/>
        </w:numPr>
        <w:spacing w:line="360" w:lineRule="auto"/>
        <w:rPr>
          <w:rFonts w:hint="eastAsia" w:ascii="Times New Roman" w:hAnsi="Times New Roman" w:cs="Times New Roman"/>
          <w:sz w:val="28"/>
          <w:szCs w:val="28"/>
          <w:lang w:val="en-US" w:eastAsia="zh-CN"/>
        </w:rPr>
      </w:pPr>
    </w:p>
    <w:p>
      <w:pPr>
        <w:numPr>
          <w:ilvl w:val="0"/>
          <w:numId w:val="0"/>
        </w:numPr>
        <w:spacing w:line="360" w:lineRule="auto"/>
        <w:rPr>
          <w:rFonts w:hint="eastAsia" w:ascii="Times New Roman" w:hAnsi="Times New Roman" w:cs="Times New Roman"/>
          <w:sz w:val="28"/>
          <w:szCs w:val="28"/>
          <w:lang w:val="en-US" w:eastAsia="zh-CN"/>
        </w:rPr>
      </w:pPr>
    </w:p>
    <w:p>
      <w:pPr>
        <w:numPr>
          <w:ilvl w:val="0"/>
          <w:numId w:val="0"/>
        </w:numPr>
        <w:spacing w:line="360" w:lineRule="auto"/>
        <w:rPr>
          <w:rFonts w:hint="eastAsia" w:ascii="Times New Roman" w:hAnsi="Times New Roman" w:cs="Times New Roman"/>
          <w:sz w:val="28"/>
          <w:szCs w:val="28"/>
          <w:lang w:val="en-US" w:eastAsia="zh-CN"/>
        </w:rPr>
      </w:pPr>
    </w:p>
    <w:p>
      <w:pPr>
        <w:rPr>
          <w:rFonts w:hint="default" w:ascii="Times New Roman" w:hAnsi="Times New Roman" w:cs="Times New Roman" w:eastAsiaTheme="minorEastAsia"/>
          <w:b/>
          <w:bCs/>
          <w:sz w:val="28"/>
          <w:szCs w:val="28"/>
          <w:lang w:val="en-US" w:eastAsia="zh-CN"/>
        </w:rPr>
      </w:pPr>
      <w:r>
        <w:rPr>
          <w:rFonts w:hint="default" w:ascii="Times New Roman" w:hAnsi="Times New Roman" w:cs="Times New Roman"/>
          <w:b/>
          <w:bCs/>
          <w:sz w:val="28"/>
          <w:szCs w:val="28"/>
          <w:lang w:val="en-US" w:eastAsia="zh-CN"/>
        </w:rPr>
        <w:t>B</w:t>
      </w:r>
      <w:r>
        <w:rPr>
          <w:rFonts w:hint="default" w:ascii="Times New Roman" w:hAnsi="Times New Roman" w:cs="Times New Roman" w:eastAsiaTheme="minorEastAsia"/>
          <w:b/>
          <w:bCs/>
          <w:sz w:val="28"/>
          <w:szCs w:val="28"/>
          <w:lang w:val="en-US" w:eastAsia="zh-CN"/>
        </w:rPr>
        <w:t>ibliography</w:t>
      </w:r>
    </w:p>
    <w:p>
      <w:pPr>
        <w:rPr>
          <w:rFonts w:hint="eastAsia"/>
        </w:rPr>
      </w:pPr>
    </w:p>
    <w:p>
      <w:pPr>
        <w:rPr>
          <w:rFonts w:hint="default" w:ascii="Times New Roman" w:hAnsi="Times New Roman" w:cs="Times New Roman"/>
          <w:sz w:val="24"/>
          <w:szCs w:val="24"/>
        </w:rPr>
      </w:pPr>
      <w:r>
        <w:rPr>
          <w:rFonts w:hint="default" w:ascii="Times New Roman" w:hAnsi="Times New Roman" w:cs="Times New Roman"/>
          <w:sz w:val="24"/>
          <w:szCs w:val="24"/>
        </w:rPr>
        <w:t>Abubakar, A.M., Elrehail, H., Alatailat, M.A. and ElçI, A. (2019), “Knowledge management, decision-making style and organizational performance”, Journal of Innovation and Knowledge, Vol. 4 No. 2, pp. 104-114.</w:t>
      </w:r>
    </w:p>
    <w:p>
      <w:pPr>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Albus, P. Antsaklis, A. Meystel, K. Passino, T. Samad Setting the stage: some autonomous thoughts on autonomy IEEE ISIC/CIRA/ISAS Joint Conference (1998), pp. 520-521</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Angelos Pantouvakis, Ilias Vlachos,</w:t>
      </w:r>
      <w:r>
        <w:rPr>
          <w:rFonts w:hint="default" w:ascii="Times New Roman" w:hAnsi="Times New Roman" w:cs="Times New Roman"/>
          <w:sz w:val="24"/>
          <w:szCs w:val="24"/>
          <w:lang w:val="en-US" w:eastAsia="zh-CN"/>
        </w:rPr>
        <w:t xml:space="preserve">(2020) </w:t>
      </w:r>
      <w:r>
        <w:rPr>
          <w:rFonts w:hint="default" w:ascii="Times New Roman" w:hAnsi="Times New Roman" w:cs="Times New Roman"/>
          <w:sz w:val="24"/>
          <w:szCs w:val="24"/>
        </w:rPr>
        <w:t xml:space="preserve">Talent and leadership effects on sustainable performance in the maritime industry,Transportation Research Part D: </w:t>
      </w:r>
      <w:r>
        <w:rPr>
          <w:rFonts w:hint="default" w:ascii="Times New Roman" w:hAnsi="Times New Roman" w:cs="Times New Roman"/>
          <w:i/>
          <w:iCs/>
          <w:sz w:val="24"/>
          <w:szCs w:val="24"/>
        </w:rPr>
        <w:t>Transport and Environment,Volume 86,</w:t>
      </w:r>
      <w:r>
        <w:rPr>
          <w:rFonts w:hint="default" w:ascii="Times New Roman" w:hAnsi="Times New Roman" w:cs="Times New Roman"/>
          <w:i/>
          <w:iCs/>
          <w:sz w:val="24"/>
          <w:szCs w:val="24"/>
          <w:lang w:val="en-US" w:eastAsia="zh-CN"/>
        </w:rPr>
        <w:t xml:space="preserve">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"https://doi.org/10.1016/j.trd.2020.102440." </w:instrText>
      </w:r>
      <w:r>
        <w:rPr>
          <w:rFonts w:hint="default" w:ascii="Times New Roman" w:hAnsi="Times New Roman" w:cs="Times New Roman"/>
          <w:sz w:val="24"/>
          <w:szCs w:val="24"/>
        </w:rPr>
        <w:fldChar w:fldCharType="separate"/>
      </w:r>
      <w:r>
        <w:rPr>
          <w:rStyle w:val="5"/>
          <w:rFonts w:hint="default" w:ascii="Times New Roman" w:hAnsi="Times New Roman" w:cs="Times New Roman"/>
          <w:sz w:val="24"/>
          <w:szCs w:val="24"/>
        </w:rPr>
        <w:t>https://doi.org/10.1016/j.trd.2020.102440.</w:t>
      </w:r>
      <w:r>
        <w:rPr>
          <w:rFonts w:hint="default" w:ascii="Times New Roman" w:hAnsi="Times New Roman" w:cs="Times New Roman"/>
          <w:sz w:val="24"/>
          <w:szCs w:val="24"/>
        </w:rPr>
        <w:fldChar w:fldCharType="end"/>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Avio, C. G., Cardelli, L. R., Gorbi, S., Pellegrini, D., &amp; Regoli, F. (2017). Microplastics pollution after the removal of the Costa Concordia wreck: First evidences from a biomonitoring case study. Environmental Pollution, 227, 207-214.</w:t>
      </w:r>
    </w:p>
    <w:p>
      <w:pPr>
        <w:rPr>
          <w:rFonts w:hint="eastAsia"/>
        </w:rPr>
      </w:pPr>
    </w:p>
    <w:p>
      <w:pPr>
        <w:numPr>
          <w:ilvl w:val="0"/>
          <w:numId w:val="0"/>
        </w:num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Bartusevičienė(2020). Maritime Education and Training as a Tool to Ensure Safety at Sea in the Process of Introduction of Maritime Autonomous Surface Ships in Shipping. Proceedings of 24th International Scientific Conference. Transport Means.</w:t>
      </w:r>
    </w:p>
    <w:p>
      <w:pPr>
        <w:jc w:val="left"/>
        <w:rPr>
          <w:rFonts w:hint="default" w:ascii="Times New Roman" w:hAnsi="Times New Roman" w:cs="Times New Roman"/>
          <w:sz w:val="24"/>
          <w:szCs w:val="24"/>
          <w:lang w:val="en-US" w:eastAsia="zh-CN"/>
        </w:rPr>
      </w:pPr>
    </w:p>
    <w:p>
      <w:pPr>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Bertram, V. (2019). Digital training solutions in the maritime context: Options and costs. Maritime Technology and Research.</w:t>
      </w:r>
    </w:p>
    <w:p>
      <w:pPr>
        <w:rPr>
          <w:rFonts w:hint="default" w:ascii="Times New Roman" w:hAnsi="Times New Roman" w:cs="Times New Roman"/>
          <w:sz w:val="24"/>
          <w:szCs w:val="24"/>
        </w:rPr>
      </w:pPr>
      <w:r>
        <w:rPr>
          <w:rFonts w:hint="default" w:ascii="Times New Roman" w:hAnsi="Times New Roman" w:cs="Times New Roman"/>
          <w:sz w:val="24"/>
          <w:szCs w:val="24"/>
        </w:rPr>
        <w:t>Bielić, T., Hasanspahić, N., &amp; Čulin, J. (2017). Preventing marine accidents caused by technology-induced human error. Pomorstvo, 31(1), 33-37.</w:t>
      </w:r>
    </w:p>
    <w:p>
      <w:pPr>
        <w:numPr>
          <w:ilvl w:val="0"/>
          <w:numId w:val="0"/>
        </w:numPr>
        <w:spacing w:line="360" w:lineRule="auto"/>
        <w:rPr>
          <w:rFonts w:hint="default" w:ascii="Times New Roman" w:hAnsi="Times New Roman" w:cs="Times New Roman"/>
          <w:sz w:val="24"/>
          <w:szCs w:val="24"/>
          <w:lang w:val="en-US" w:eastAsia="zh-CN"/>
        </w:rPr>
      </w:pPr>
    </w:p>
    <w:p>
      <w:pPr>
        <w:numPr>
          <w:ilvl w:val="0"/>
          <w:numId w:val="0"/>
        </w:num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Choi, T.M., Chung, S.H. and Zhuo, X. (2020), “Pricing with risk sensitive competing container shipping lines: will risk seeking do more good than harm?”, Transportation Research Part B: Methodological, Vol. 133 No. C, pp. 210-229.</w:t>
      </w:r>
    </w:p>
    <w:p>
      <w:pPr>
        <w:numPr>
          <w:ilvl w:val="0"/>
          <w:numId w:val="0"/>
        </w:numPr>
        <w:spacing w:line="360" w:lineRule="auto"/>
        <w:rPr>
          <w:rFonts w:hint="default" w:ascii="Times New Roman" w:hAnsi="Times New Roman" w:cs="Times New Roman"/>
          <w:sz w:val="24"/>
          <w:szCs w:val="24"/>
          <w:lang w:val="en-US" w:eastAsia="zh-CN"/>
        </w:rPr>
      </w:pPr>
    </w:p>
    <w:p>
      <w:pPr>
        <w:numPr>
          <w:ilvl w:val="0"/>
          <w:numId w:val="0"/>
        </w:num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Constantiou, I., Shollo, A. and Vendelø, M.T. (2019), “Mobilizing intuitive judgement during organizational decision making: when business intelligence is not the only thing that matters”, Decision Support Systems, Vol. 121, pp. 51-61</w:t>
      </w: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Cooper, D. (2015). Effective safety leadership: Understanding types &amp; styles that improve safety performance. Professional Safety, 60(02), 49-53.</w:t>
      </w:r>
    </w:p>
    <w:p>
      <w:pPr>
        <w:spacing w:line="360" w:lineRule="auto"/>
        <w:rPr>
          <w:rFonts w:hint="default" w:ascii="Times New Roman" w:hAnsi="Times New Roman" w:cs="Times New Roman"/>
          <w:sz w:val="24"/>
          <w:szCs w:val="24"/>
          <w:lang w:val="en-US" w:eastAsia="zh-CN"/>
        </w:rPr>
      </w:pPr>
    </w:p>
    <w:p>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Fan, Cunlong, Krzysztof Wróbel, Jakub Montewka, Mateusz Gil, Chengpeng Wan, and Di. Zhang. 2020. A framework to identify factors influencing navigational risk for maritime autonomous surface ships. Ocean Engineering. </w:t>
      </w:r>
    </w:p>
    <w:p>
      <w:pPr>
        <w:rPr>
          <w:rFonts w:hint="default" w:ascii="Times New Roman" w:hAnsi="Times New Roman" w:cs="Times New Roman"/>
          <w:sz w:val="24"/>
          <w:szCs w:val="24"/>
        </w:rPr>
      </w:pPr>
    </w:p>
    <w:p>
      <w:pPr>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Foster, Y. Zhao, I. Raicu and S. Lu (2008) “Cloud Computing and Grid Computing 360-Degree Compared,” Grid Computing Environments Workshop (GCE'08), Austin, pp. 1-10. doi:10.1109/GCE.2008.4738445</w:t>
      </w:r>
    </w:p>
    <w:p>
      <w:pPr>
        <w:rPr>
          <w:rFonts w:hint="eastAsia"/>
        </w:rPr>
      </w:pPr>
    </w:p>
    <w:p>
      <w:pPr>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Garrick, R.D., Villasmil, L.A., Dell, E., &amp; Hart, R. (2013). Creating Technology Rich Learning Environments for the Classroom.</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Hanzu-Pazara, R., Popescu, C., &amp; Varsami, A. (2012). The role of teamwork abilities and leadership skills for the safety of navigation. The 13th Annual General Assembly of the IAMU, Newfoundland and Labrador, 317-326.</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Haroon, O. and Rizvi, S.A.R. (2020), “COVID-19: media coverage and financial markets behavior – a sectoral inquiry”, Journal of Behavioral and Experimental Finance, Vol. 27, doi: 10.1016/j.jbef.2020.100343.</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Hasanspahić N, Frančić V, Vujičić S, Mandušić M.</w:t>
      </w:r>
      <w:r>
        <w:rPr>
          <w:rFonts w:hint="default" w:ascii="Times New Roman" w:hAnsi="Times New Roman" w:cs="Times New Roman"/>
          <w:sz w:val="24"/>
          <w:szCs w:val="24"/>
          <w:lang w:val="en-US" w:eastAsia="zh-CN"/>
        </w:rPr>
        <w:t>(2021)</w:t>
      </w:r>
      <w:r>
        <w:rPr>
          <w:rFonts w:hint="default" w:ascii="Times New Roman" w:hAnsi="Times New Roman" w:cs="Times New Roman"/>
          <w:sz w:val="24"/>
          <w:szCs w:val="24"/>
        </w:rPr>
        <w:t xml:space="preserve"> Safety Leadership as a Means for Safe and Sustainable Shipping. Sustainability. 13(14):7841. https://doi.org/10.3390/su13147841</w:t>
      </w:r>
    </w:p>
    <w:p>
      <w:pPr>
        <w:rPr>
          <w:rFonts w:hint="default" w:ascii="Times New Roman" w:hAnsi="Times New Roman" w:cs="Times New Roman"/>
          <w:sz w:val="24"/>
          <w:szCs w:val="24"/>
        </w:rPr>
      </w:pPr>
    </w:p>
    <w:p>
      <w:pPr>
        <w:rPr>
          <w:rFonts w:hint="default" w:ascii="Times New Roman" w:hAnsi="Times New Roman" w:cs="Times New Roman" w:eastAsiaTheme="minorEastAsia"/>
          <w:sz w:val="24"/>
          <w:szCs w:val="24"/>
          <w:lang w:val="en-US" w:eastAsia="zh-CN"/>
        </w:rPr>
      </w:pPr>
      <w:r>
        <w:rPr>
          <w:rFonts w:hint="default" w:ascii="Times New Roman" w:hAnsi="Times New Roman" w:cs="Times New Roman"/>
          <w:sz w:val="24"/>
          <w:szCs w:val="24"/>
        </w:rPr>
        <w:t>He Hongkang, Ren.(2018) Research on Navigation Education,2018,35(4):31-35. (in Chinese</w:t>
      </w:r>
      <w:r>
        <w:rPr>
          <w:rFonts w:hint="default" w:ascii="Times New Roman" w:hAnsi="Times New Roman" w:cs="Times New Roman"/>
          <w:sz w:val="24"/>
          <w:szCs w:val="24"/>
          <w:lang w:val="en-US" w:eastAsia="zh-CN"/>
        </w:rPr>
        <w:t>)</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Hoem, Å.S., K. Fjørtoft, and Ø.J. Rødseth. 2019. Addressing the accidental risks of maritime transportation: could autonomous shipping technology improve the statistics? TransNav, The International Journal on Marine Navigation and Safety of Sea Transportation 13 (3): 487–94.</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Huang, Y.H., Wood, S., Berger, D.E. and Hanoch, Y. (2015), “Age differences in experiential and deliberative processes in unambiguous and ambiguous decision making”, Psychology and Aging, Vol. 30 No. 3, pp. 675-687.</w:t>
      </w:r>
    </w:p>
    <w:p>
      <w:pPr>
        <w:rPr>
          <w:rFonts w:hint="default" w:ascii="Times New Roman" w:hAnsi="Times New Roman" w:cs="Times New Roman"/>
          <w:sz w:val="24"/>
          <w:szCs w:val="24"/>
        </w:rPr>
      </w:pPr>
    </w:p>
    <w:p>
      <w:pPr>
        <w:spacing w:line="360" w:lineRule="auto"/>
        <w:rPr>
          <w:rFonts w:hint="default" w:ascii="Times New Roman" w:hAnsi="Times New Roman" w:cs="Times New Roman"/>
          <w:sz w:val="21"/>
          <w:szCs w:val="21"/>
          <w:lang w:val="en-US" w:eastAsia="zh-CN"/>
        </w:rPr>
      </w:pPr>
      <w:r>
        <w:rPr>
          <w:rFonts w:hint="default" w:ascii="Times New Roman" w:hAnsi="Times New Roman" w:cs="Times New Roman"/>
          <w:sz w:val="21"/>
          <w:szCs w:val="21"/>
          <w:lang w:val="en-US" w:eastAsia="zh-CN"/>
        </w:rPr>
        <w:t xml:space="preserve">International Transport Workers Federation. 2010. STCW: a Guide for Seafarers. London: Author  Available at: </w:t>
      </w:r>
      <w:r>
        <w:rPr>
          <w:rFonts w:hint="default" w:ascii="Times New Roman" w:hAnsi="Times New Roman" w:cs="Times New Roman"/>
          <w:sz w:val="21"/>
          <w:szCs w:val="21"/>
          <w:lang w:val="en-US" w:eastAsia="zh-CN"/>
        </w:rPr>
        <w:fldChar w:fldCharType="begin"/>
      </w:r>
      <w:r>
        <w:rPr>
          <w:rFonts w:hint="default" w:ascii="Times New Roman" w:hAnsi="Times New Roman" w:cs="Times New Roman"/>
          <w:sz w:val="21"/>
          <w:szCs w:val="21"/>
          <w:lang w:val="en-US" w:eastAsia="zh-CN"/>
        </w:rPr>
        <w:instrText xml:space="preserve"> HYPERLINK "https://www.mptusa.com/pdf/STCW_guide_english.pdf." </w:instrText>
      </w:r>
      <w:r>
        <w:rPr>
          <w:rFonts w:hint="default" w:ascii="Times New Roman" w:hAnsi="Times New Roman" w:cs="Times New Roman"/>
          <w:sz w:val="21"/>
          <w:szCs w:val="21"/>
          <w:lang w:val="en-US" w:eastAsia="zh-CN"/>
        </w:rPr>
        <w:fldChar w:fldCharType="separate"/>
      </w:r>
      <w:r>
        <w:rPr>
          <w:rStyle w:val="5"/>
          <w:rFonts w:hint="default" w:ascii="Times New Roman" w:hAnsi="Times New Roman" w:cs="Times New Roman"/>
          <w:sz w:val="21"/>
          <w:szCs w:val="21"/>
          <w:lang w:val="en-US" w:eastAsia="zh-CN"/>
        </w:rPr>
        <w:t>https://www.mptusa.com/pdf/STCW_guide_english.pdf.</w:t>
      </w:r>
      <w:r>
        <w:rPr>
          <w:rFonts w:hint="default" w:ascii="Times New Roman" w:hAnsi="Times New Roman" w:cs="Times New Roman"/>
          <w:sz w:val="21"/>
          <w:szCs w:val="21"/>
          <w:lang w:val="en-US" w:eastAsia="zh-CN"/>
        </w:rPr>
        <w:fldChar w:fldCharType="end"/>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 xml:space="preserve">International Maritime Organization. 2018. MSC 99/WP.9., Regulatory Scoping Exercise for the Use of Maritime Autonomous Surface Ships (MAS), Report of the Working Group. London: IMO </w:t>
      </w:r>
    </w:p>
    <w:p>
      <w:pPr>
        <w:rPr>
          <w:rFonts w:hint="default" w:ascii="Times New Roman" w:hAnsi="Times New Roman" w:cs="Times New Roman"/>
          <w:sz w:val="24"/>
          <w:szCs w:val="24"/>
        </w:rPr>
      </w:pPr>
    </w:p>
    <w:p>
      <w:pPr>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Jiang Jun, Tan Ming.(2013). Analysis of S WO T of shipping talents in Chongqing and countermeasures.</w:t>
      </w:r>
      <w:r>
        <w:rPr>
          <w:rFonts w:hint="default" w:ascii="Times New Roman" w:hAnsi="Times New Roman" w:cs="Times New Roman"/>
          <w:i/>
          <w:iCs/>
          <w:sz w:val="24"/>
          <w:szCs w:val="24"/>
          <w:lang w:val="en-US" w:eastAsia="zh-CN"/>
        </w:rPr>
        <w:t>Journal of Chongqing Jiaotong University</w:t>
      </w:r>
      <w:r>
        <w:rPr>
          <w:rFonts w:hint="default" w:ascii="Times New Roman" w:hAnsi="Times New Roman" w:cs="Times New Roman"/>
          <w:sz w:val="24"/>
          <w:szCs w:val="24"/>
          <w:lang w:val="en-US" w:eastAsia="zh-CN"/>
        </w:rPr>
        <w:t xml:space="preserve"> (Social Science Edition),3(02): 25-29.</w:t>
      </w:r>
    </w:p>
    <w:p>
      <w:pPr>
        <w:jc w:val="left"/>
        <w:rPr>
          <w:rFonts w:hint="default" w:ascii="Times New Roman" w:hAnsi="Times New Roman" w:cs="Times New Roman"/>
          <w:sz w:val="24"/>
          <w:szCs w:val="24"/>
          <w:lang w:val="en-US" w:eastAsia="zh-CN"/>
        </w:rPr>
      </w:pPr>
    </w:p>
    <w:p>
      <w:pPr>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Ji Ronghua(2017). Research on Practice Teaching of school and Enterprise based on Modern apprenticeship. Experimental Technology and Management,34 (11) :149-153.</w:t>
      </w:r>
    </w:p>
    <w:p>
      <w:pPr>
        <w:numPr>
          <w:ilvl w:val="0"/>
          <w:numId w:val="0"/>
        </w:numPr>
        <w:spacing w:line="360" w:lineRule="auto"/>
        <w:rPr>
          <w:rFonts w:hint="default" w:ascii="Times New Roman" w:hAnsi="Times New Roman" w:cs="Times New Roman"/>
          <w:sz w:val="24"/>
          <w:szCs w:val="24"/>
          <w:lang w:val="en-US" w:eastAsia="zh-CN"/>
        </w:rPr>
      </w:pPr>
    </w:p>
    <w:p>
      <w:pPr>
        <w:numPr>
          <w:ilvl w:val="0"/>
          <w:numId w:val="0"/>
        </w:num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Jo, Sohyun, and D. Enrico. (2020). Disrupting technologies in the shipping industry: How will MASS development affect the maritime workforce in Korea. Marine Policy 120: 104139.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"https://doi.org/10.1016/j.marpol.2020.104139." </w:instrText>
      </w:r>
      <w:r>
        <w:rPr>
          <w:rFonts w:hint="default" w:ascii="Times New Roman" w:hAnsi="Times New Roman" w:cs="Times New Roman"/>
          <w:sz w:val="24"/>
          <w:szCs w:val="24"/>
          <w:lang w:val="en-US" w:eastAsia="zh-CN"/>
        </w:rPr>
        <w:fldChar w:fldCharType="separate"/>
      </w:r>
      <w:r>
        <w:rPr>
          <w:rStyle w:val="5"/>
          <w:rFonts w:hint="default" w:ascii="Times New Roman" w:hAnsi="Times New Roman" w:cs="Times New Roman"/>
          <w:sz w:val="24"/>
          <w:szCs w:val="24"/>
          <w:lang w:val="en-US" w:eastAsia="zh-CN"/>
        </w:rPr>
        <w:t>https://doi.org/10.1016/j.marpol.2020.104139.</w:t>
      </w:r>
      <w:r>
        <w:rPr>
          <w:rFonts w:hint="default" w:ascii="Times New Roman" w:hAnsi="Times New Roman" w:cs="Times New Roman"/>
          <w:sz w:val="24"/>
          <w:szCs w:val="24"/>
          <w:lang w:val="en-US" w:eastAsia="zh-CN"/>
        </w:rPr>
        <w:fldChar w:fldCharType="end"/>
      </w:r>
    </w:p>
    <w:p>
      <w:pPr>
        <w:rPr>
          <w:rFonts w:hint="default" w:ascii="Times New Roman" w:hAnsi="Times New Roman" w:cs="Times New Roman"/>
          <w:sz w:val="24"/>
          <w:szCs w:val="24"/>
        </w:rPr>
      </w:pPr>
    </w:p>
    <w:p>
      <w:pPr>
        <w:numPr>
          <w:ilvl w:val="0"/>
          <w:numId w:val="0"/>
        </w:num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Julmi, C. (2019), “</w:t>
      </w:r>
      <w:r>
        <w:rPr>
          <w:rFonts w:hint="default" w:ascii="Times New Roman" w:hAnsi="Times New Roman" w:cs="Times New Roman"/>
          <w:i/>
          <w:iCs/>
          <w:sz w:val="24"/>
          <w:szCs w:val="24"/>
          <w:lang w:val="en-US" w:eastAsia="zh-CN"/>
        </w:rPr>
        <w:t>When rational decision-making becomes irrational: a critical assessment and re-conceptualization of intuition effectiveness”</w:t>
      </w:r>
      <w:r>
        <w:rPr>
          <w:rFonts w:hint="default" w:ascii="Times New Roman" w:hAnsi="Times New Roman" w:cs="Times New Roman"/>
          <w:sz w:val="24"/>
          <w:szCs w:val="24"/>
          <w:lang w:val="en-US" w:eastAsia="zh-CN"/>
        </w:rPr>
        <w:t>, Business Research, Vol. 12 No. 1, pp. 291-314, doi: 10.1007/s40685-019-0096-4.</w:t>
      </w:r>
    </w:p>
    <w:p>
      <w:pPr>
        <w:numPr>
          <w:ilvl w:val="0"/>
          <w:numId w:val="0"/>
        </w:numPr>
        <w:spacing w:line="360" w:lineRule="auto"/>
        <w:rPr>
          <w:rFonts w:hint="default" w:ascii="Times New Roman" w:hAnsi="Times New Roman" w:cs="Times New Roman"/>
          <w:sz w:val="24"/>
          <w:szCs w:val="24"/>
          <w:lang w:val="en-US" w:eastAsia="zh-CN"/>
        </w:rPr>
      </w:pPr>
    </w:p>
    <w:p>
      <w:pPr>
        <w:numPr>
          <w:ilvl w:val="0"/>
          <w:numId w:val="0"/>
        </w:num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Kavussanos, M.G. and Visvikis, I.D. (2006), “Shipping freight derivatives: a survey of recent evidence”, Maritime Policy and Management, Vol. 33 No. 3, pp. 233-255</w:t>
      </w:r>
    </w:p>
    <w:p>
      <w:pPr>
        <w:numPr>
          <w:ilvl w:val="0"/>
          <w:numId w:val="0"/>
        </w:numPr>
        <w:spacing w:line="360" w:lineRule="auto"/>
        <w:rPr>
          <w:rFonts w:hint="default" w:ascii="Times New Roman" w:hAnsi="Times New Roman" w:cs="Times New Roman"/>
          <w:sz w:val="24"/>
          <w:szCs w:val="24"/>
          <w:lang w:val="en-US" w:eastAsia="zh-CN"/>
        </w:rPr>
      </w:pPr>
    </w:p>
    <w:p>
      <w:pPr>
        <w:numPr>
          <w:ilvl w:val="0"/>
          <w:numId w:val="0"/>
        </w:num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Kotcharin, S. and Maneenop, S. (2020), “Geopolitical risk and shipping firms’ capital structure decisions in belt and road initiative countries”, International Journal of Logistics Research and Applications, Vol. 23 No. 6, pp. 1-17, doi: 10.1080/13675567.2020.1766003.</w:t>
      </w:r>
    </w:p>
    <w:p>
      <w:pPr>
        <w:numPr>
          <w:ilvl w:val="0"/>
          <w:numId w:val="0"/>
        </w:numPr>
        <w:spacing w:line="360" w:lineRule="auto"/>
        <w:rPr>
          <w:rFonts w:hint="default" w:ascii="Times New Roman" w:hAnsi="Times New Roman" w:cs="Times New Roman"/>
          <w:sz w:val="24"/>
          <w:szCs w:val="24"/>
          <w:lang w:val="en-US" w:eastAsia="zh-CN"/>
        </w:rPr>
      </w:pPr>
    </w:p>
    <w:p>
      <w:pPr>
        <w:numPr>
          <w:ilvl w:val="0"/>
          <w:numId w:val="0"/>
        </w:num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Kobyliński, Lech. 2018. Smart ships—Autonomous or remote controlled? Scientific Journals of the Maritime University of Szczecin 53 (125): 28–34. </w:t>
      </w:r>
    </w:p>
    <w:p>
      <w:pPr>
        <w:numPr>
          <w:ilvl w:val="0"/>
          <w:numId w:val="0"/>
        </w:numPr>
        <w:spacing w:line="360" w:lineRule="auto"/>
        <w:rPr>
          <w:rFonts w:hint="default" w:ascii="Times New Roman" w:hAnsi="Times New Roman" w:cs="Times New Roman"/>
          <w:sz w:val="24"/>
          <w:szCs w:val="24"/>
          <w:lang w:val="en-US" w:eastAsia="zh-CN"/>
        </w:rPr>
      </w:pPr>
    </w:p>
    <w:p>
      <w:pPr>
        <w:numPr>
          <w:ilvl w:val="0"/>
          <w:numId w:val="0"/>
        </w:num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Komianos, Aristotelis. 2018. The autonomous shipping era. Operational, regulatory, and quality challenges. TransNav, the International Journal on Marine Navigation and Safety of Sea Transportation 12 (2): 335–48. </w:t>
      </w:r>
    </w:p>
    <w:p>
      <w:pPr>
        <w:numPr>
          <w:ilvl w:val="0"/>
          <w:numId w:val="0"/>
        </w:numPr>
        <w:spacing w:line="360" w:lineRule="auto"/>
        <w:rPr>
          <w:rFonts w:hint="default" w:ascii="Times New Roman" w:hAnsi="Times New Roman" w:cs="Times New Roman"/>
          <w:sz w:val="24"/>
          <w:szCs w:val="24"/>
          <w:lang w:val="en-US" w:eastAsia="zh-CN"/>
        </w:rPr>
      </w:pPr>
    </w:p>
    <w:p>
      <w:pPr>
        <w:numPr>
          <w:ilvl w:val="0"/>
          <w:numId w:val="0"/>
        </w:num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Kretschmann, L., H.-C. Burmeister, and C. Jahn. 2017. Analyzing the economic benefit of unmanned autonomous ships: An exploratory cost-comparison between an autonomous and a conventional bulk carrier. Research in Transportation Business &amp; Management 25: 76–86. </w:t>
      </w:r>
    </w:p>
    <w:p>
      <w:pPr>
        <w:jc w:val="both"/>
        <w:rPr>
          <w:rFonts w:hint="default" w:ascii="Times New Roman" w:hAnsi="Times New Roman" w:cs="Times New Roman"/>
          <w:sz w:val="24"/>
          <w:szCs w:val="24"/>
          <w:lang w:val="en-US" w:eastAsia="zh-CN"/>
        </w:rPr>
      </w:pPr>
    </w:p>
    <w:p>
      <w:pPr>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Lai Yongsheng. (2017) Implementation Guarantee and Evaluation of Training Mode of Interdisciplinary Cooperation Innovative Shipping Talents. Weekly Market Review (Theoretical Research), (10):1 36-1 37.</w:t>
      </w:r>
    </w:p>
    <w:p>
      <w:pPr>
        <w:spacing w:line="360" w:lineRule="auto"/>
        <w:rPr>
          <w:rFonts w:hint="default" w:ascii="Times New Roman" w:hAnsi="Times New Roman" w:cs="Times New Roman"/>
          <w:sz w:val="24"/>
          <w:szCs w:val="24"/>
          <w:lang w:val="en-US" w:eastAsia="zh-CN"/>
        </w:rPr>
      </w:pPr>
    </w:p>
    <w:p>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Liu, Z., Y. Zhang, X. Yu, and C. Yuan. (2016). “Unmanned Surface Vehicles: An Overview of Developments and Challenges.” Annual Reviews in Control 41: 71–93.</w:t>
      </w:r>
    </w:p>
    <w:p>
      <w:pPr>
        <w:numPr>
          <w:ilvl w:val="0"/>
          <w:numId w:val="0"/>
        </w:numPr>
        <w:spacing w:line="360" w:lineRule="auto"/>
        <w:rPr>
          <w:rFonts w:hint="default" w:ascii="Times New Roman" w:hAnsi="Times New Roman" w:cs="Times New Roman"/>
          <w:sz w:val="24"/>
          <w:szCs w:val="24"/>
          <w:lang w:val="en-US" w:eastAsia="zh-CN"/>
        </w:rPr>
      </w:pPr>
    </w:p>
    <w:p>
      <w:pPr>
        <w:numPr>
          <w:ilvl w:val="0"/>
          <w:numId w:val="0"/>
        </w:num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Lloyds Register. (2016). Cyber-enabled Ships: Deploying Information and Communications Technology in Shipping – Lloyds Register's Approach to Assurance. London: Lloyds Register. </w:t>
      </w:r>
    </w:p>
    <w:p>
      <w:pPr>
        <w:jc w:val="both"/>
        <w:rPr>
          <w:rFonts w:hint="default" w:ascii="Times New Roman" w:hAnsi="Times New Roman" w:cs="Times New Roman"/>
          <w:sz w:val="24"/>
          <w:szCs w:val="24"/>
          <w:lang w:val="en-US" w:eastAsia="zh-CN"/>
        </w:rPr>
      </w:pPr>
    </w:p>
    <w:p>
      <w:pPr>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Mallam, S.C., Nazir, S., &amp; Renganayagalu, S.K. (2019). Rethinking Maritime Education, Training, and Operations in the Digital Era: Applications for Emerging Immersive Technologies. </w:t>
      </w:r>
      <w:r>
        <w:rPr>
          <w:rFonts w:hint="default" w:ascii="Times New Roman" w:hAnsi="Times New Roman" w:cs="Times New Roman"/>
          <w:i/>
          <w:iCs/>
          <w:sz w:val="24"/>
          <w:szCs w:val="24"/>
          <w:lang w:val="en-US" w:eastAsia="zh-CN"/>
        </w:rPr>
        <w:t>Journal of Marine Science and Engineering</w:t>
      </w:r>
      <w:r>
        <w:rPr>
          <w:rFonts w:hint="default" w:ascii="Times New Roman" w:hAnsi="Times New Roman" w:cs="Times New Roman"/>
          <w:sz w:val="24"/>
          <w:szCs w:val="24"/>
          <w:lang w:val="en-US" w:eastAsia="zh-CN"/>
        </w:rPr>
        <w:t xml:space="preserve">, 7, 428. </w:t>
      </w:r>
    </w:p>
    <w:p>
      <w:pPr>
        <w:spacing w:line="360" w:lineRule="auto"/>
        <w:rPr>
          <w:rFonts w:hint="default" w:ascii="Times New Roman" w:hAnsi="Times New Roman" w:cs="Times New Roman"/>
          <w:sz w:val="24"/>
          <w:szCs w:val="24"/>
          <w:lang w:val="en-US" w:eastAsia="zh-CN"/>
        </w:rPr>
      </w:pPr>
    </w:p>
    <w:p>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Manuel, M.E. Vocational and academic approaches to maritime education and training (MET): Trends, challenges and opportunities. WMU J Marit Affairs 16, 473–483 (2017). </w:t>
      </w:r>
    </w:p>
    <w:p>
      <w:pPr>
        <w:jc w:val="both"/>
        <w:rPr>
          <w:rFonts w:hint="default" w:ascii="Times New Roman" w:hAnsi="Times New Roman" w:cs="Times New Roman"/>
          <w:sz w:val="24"/>
          <w:szCs w:val="24"/>
          <w:lang w:val="en-US" w:eastAsia="zh-CN"/>
        </w:rPr>
      </w:pPr>
    </w:p>
    <w:p>
      <w:pPr>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Markopoulos, E., Lauronen, J., Luimula, M., Lehto, P., &amp; Laukkanen, S. (2019). Maritime Safety Education with VR Technology (MarSEVR). 2019 10th IEEE International Conference on Cognitive Infocommunications (CogInfoCom), 283-288.</w:t>
      </w:r>
    </w:p>
    <w:p>
      <w:pPr>
        <w:numPr>
          <w:ilvl w:val="0"/>
          <w:numId w:val="0"/>
        </w:numPr>
        <w:spacing w:line="360" w:lineRule="auto"/>
        <w:rPr>
          <w:rFonts w:hint="default" w:ascii="Times New Roman" w:hAnsi="Times New Roman" w:cs="Times New Roman"/>
          <w:sz w:val="24"/>
          <w:szCs w:val="24"/>
          <w:lang w:val="en-US" w:eastAsia="zh-CN"/>
        </w:rPr>
      </w:pPr>
    </w:p>
    <w:p>
      <w:pPr>
        <w:numPr>
          <w:ilvl w:val="0"/>
          <w:numId w:val="0"/>
        </w:num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Mayank Suri, Krzysztof Wróbel. (2022) Identifying factors affecting salvage rewards of crewless vessels — lessons from a case study. WMU Journal of Maritime Affairs 21:2, pages 213-232.</w:t>
      </w:r>
    </w:p>
    <w:p>
      <w:pPr>
        <w:numPr>
          <w:ilvl w:val="0"/>
          <w:numId w:val="0"/>
        </w:num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Michail, N.A. and Melas, K.D. (2020), “</w:t>
      </w:r>
      <w:r>
        <w:rPr>
          <w:rFonts w:hint="default" w:ascii="Times New Roman" w:hAnsi="Times New Roman" w:cs="Times New Roman"/>
          <w:i/>
          <w:iCs/>
          <w:sz w:val="24"/>
          <w:szCs w:val="24"/>
          <w:lang w:val="en-US" w:eastAsia="zh-CN"/>
        </w:rPr>
        <w:t>Shipping markets in turmoil: an analysis of the covid-19 outbreak and its implications”</w:t>
      </w:r>
      <w:r>
        <w:rPr>
          <w:rFonts w:hint="default" w:ascii="Times New Roman" w:hAnsi="Times New Roman" w:cs="Times New Roman"/>
          <w:sz w:val="24"/>
          <w:szCs w:val="24"/>
          <w:lang w:val="en-US" w:eastAsia="zh-CN"/>
        </w:rPr>
        <w:t>, Transportation Research Interdisciplinary Perspectives, Vol. 7, p. 100178, doi: 10.1016/j.trip.2020.100178.</w:t>
      </w:r>
    </w:p>
    <w:p>
      <w:pPr>
        <w:jc w:val="left"/>
        <w:rPr>
          <w:rFonts w:hint="default" w:ascii="Times New Roman" w:hAnsi="Times New Roman" w:cs="Times New Roman"/>
          <w:sz w:val="24"/>
          <w:szCs w:val="24"/>
          <w:lang w:val="en-US" w:eastAsia="zh-CN"/>
        </w:rPr>
      </w:pPr>
    </w:p>
    <w:p>
      <w:pPr>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Ministry of Education, PRC (2017) Breaking the "boundary" between Universities and Enterprises in Talent Training.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"http://www.moe.gov.cn/jyb_xwfb/s5147/201712/t20171221_322103.html" </w:instrText>
      </w:r>
      <w:r>
        <w:rPr>
          <w:rFonts w:hint="default" w:ascii="Times New Roman" w:hAnsi="Times New Roman" w:cs="Times New Roman"/>
          <w:sz w:val="24"/>
          <w:szCs w:val="24"/>
          <w:lang w:val="en-US" w:eastAsia="zh-CN"/>
        </w:rPr>
        <w:fldChar w:fldCharType="separate"/>
      </w:r>
      <w:r>
        <w:rPr>
          <w:rStyle w:val="5"/>
          <w:rFonts w:hint="default" w:ascii="Times New Roman" w:hAnsi="Times New Roman" w:cs="Times New Roman"/>
          <w:sz w:val="24"/>
          <w:szCs w:val="24"/>
          <w:lang w:val="en-US" w:eastAsia="zh-CN"/>
        </w:rPr>
        <w:t>http://www.moe.gov.cn/jyb_xwfb/s5147/201712/t20171221_322103.html</w:t>
      </w:r>
      <w:r>
        <w:rPr>
          <w:rFonts w:hint="default" w:ascii="Times New Roman" w:hAnsi="Times New Roman" w:cs="Times New Roman"/>
          <w:sz w:val="24"/>
          <w:szCs w:val="24"/>
          <w:lang w:val="en-US" w:eastAsia="zh-CN"/>
        </w:rPr>
        <w:fldChar w:fldCharType="end"/>
      </w:r>
    </w:p>
    <w:p>
      <w:pPr>
        <w:spacing w:line="360" w:lineRule="auto"/>
        <w:rPr>
          <w:rFonts w:hint="default" w:ascii="Times New Roman" w:hAnsi="Times New Roman" w:cs="Times New Roman"/>
          <w:sz w:val="24"/>
          <w:szCs w:val="24"/>
          <w:lang w:val="en-US" w:eastAsia="zh-CN"/>
        </w:rPr>
      </w:pPr>
    </w:p>
    <w:p>
      <w:pPr>
        <w:rPr>
          <w:rFonts w:hint="default" w:ascii="Times New Roman" w:hAnsi="Times New Roman" w:cs="Times New Roman"/>
          <w:sz w:val="24"/>
          <w:szCs w:val="24"/>
        </w:rPr>
      </w:pPr>
      <w:r>
        <w:rPr>
          <w:rFonts w:hint="default" w:ascii="Times New Roman" w:hAnsi="Times New Roman" w:cs="Times New Roman"/>
          <w:sz w:val="24"/>
          <w:szCs w:val="24"/>
        </w:rPr>
        <w:t>Mirzani, Y. (2023). A STUDY ON LEADERSHIP STYLES AND ITS IMPACT ON ORGANIZATIONAL SUCCESS. EPRA International Journal of Economics, Business and Management Studies (EBMS), 10(1), 1-19.</w:t>
      </w:r>
    </w:p>
    <w:p>
      <w:pPr>
        <w:numPr>
          <w:ilvl w:val="0"/>
          <w:numId w:val="0"/>
        </w:numPr>
        <w:spacing w:line="360" w:lineRule="auto"/>
        <w:rPr>
          <w:rFonts w:hint="default" w:ascii="Times New Roman" w:hAnsi="Times New Roman" w:cs="Times New Roman"/>
          <w:sz w:val="24"/>
          <w:szCs w:val="24"/>
          <w:lang w:val="en-US" w:eastAsia="zh-CN"/>
        </w:rPr>
      </w:pPr>
    </w:p>
    <w:p>
      <w:pPr>
        <w:numPr>
          <w:ilvl w:val="0"/>
          <w:numId w:val="0"/>
        </w:num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Oksavik, A, H.P. Hildre, Y. Pan, I. Jenkinson, B. Kelly, D. Paraskevadakis, and R. Pyne. 2020. SKILLSEA: Future skill and competence needs.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"https://ntnuopen.ntnu.no/ntnu-xmlui/handle/11250/2648963." </w:instrText>
      </w:r>
      <w:r>
        <w:rPr>
          <w:rFonts w:hint="default" w:ascii="Times New Roman" w:hAnsi="Times New Roman" w:cs="Times New Roman"/>
          <w:sz w:val="24"/>
          <w:szCs w:val="24"/>
          <w:lang w:val="en-US" w:eastAsia="zh-CN"/>
        </w:rPr>
        <w:fldChar w:fldCharType="separate"/>
      </w:r>
      <w:r>
        <w:rPr>
          <w:rStyle w:val="5"/>
          <w:rFonts w:hint="default" w:ascii="Times New Roman" w:hAnsi="Times New Roman" w:cs="Times New Roman"/>
          <w:sz w:val="24"/>
          <w:szCs w:val="24"/>
          <w:lang w:val="en-US" w:eastAsia="zh-CN"/>
        </w:rPr>
        <w:t>https://ntnuopen.ntnu.no/ntnu-xmlui/handle/11250/2648963.</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 xml:space="preserve"> </w:t>
      </w:r>
    </w:p>
    <w:p>
      <w:pPr>
        <w:jc w:val="both"/>
        <w:rPr>
          <w:rFonts w:hint="default" w:ascii="Times New Roman" w:hAnsi="Times New Roman" w:cs="Times New Roman"/>
          <w:sz w:val="24"/>
          <w:szCs w:val="24"/>
          <w:lang w:val="en-US" w:eastAsia="zh-CN"/>
        </w:rPr>
      </w:pPr>
    </w:p>
    <w:p>
      <w:pPr>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Pan Tianjun, Ouyang Zhongming,(2018).Job and Vocational Training in the Age of Artificial Intelligence: Development Trend and Countermeasures -- Based on the Future of Job and Vocational Training and Interpretation of "Cloud Labor Movement" Distance Education Journal,36 (1) : 18-26  </w:t>
      </w:r>
    </w:p>
    <w:p>
      <w:pPr>
        <w:jc w:val="left"/>
        <w:rPr>
          <w:rFonts w:hint="default" w:ascii="Times New Roman" w:hAnsi="Times New Roman" w:cs="Times New Roman"/>
          <w:sz w:val="24"/>
          <w:szCs w:val="24"/>
          <w:lang w:val="en-US" w:eastAsia="zh-CN"/>
        </w:rPr>
      </w:pPr>
    </w:p>
    <w:p>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Pazouki, K., N. Forbes, R. A. Norman, and M. D. Woodward. 2018. “Investigation on the Impact of Human-Automation Interaction in Maritime Operations.” Ocean Engineering 153: 297–304. </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 xml:space="preserve">Progoulaki, M., Tsioumas, V. &amp; Voutsina, K. Turning followers into leaders: commercial shipping versus navy—a literature review. Marit Econ Logist 24, 466–488 (2022).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"https://doi.org/10.1057/s41278-021-00210-w" </w:instrText>
      </w:r>
      <w:r>
        <w:rPr>
          <w:rFonts w:hint="default" w:ascii="Times New Roman" w:hAnsi="Times New Roman" w:cs="Times New Roman"/>
          <w:sz w:val="24"/>
          <w:szCs w:val="24"/>
        </w:rPr>
        <w:fldChar w:fldCharType="separate"/>
      </w:r>
      <w:r>
        <w:rPr>
          <w:rStyle w:val="5"/>
          <w:rFonts w:hint="default" w:ascii="Times New Roman" w:hAnsi="Times New Roman" w:cs="Times New Roman"/>
          <w:sz w:val="24"/>
          <w:szCs w:val="24"/>
        </w:rPr>
        <w:t>https://doi.org/10.1057/s41278-021-00210-w</w:t>
      </w:r>
      <w:r>
        <w:rPr>
          <w:rFonts w:hint="default" w:ascii="Times New Roman" w:hAnsi="Times New Roman" w:cs="Times New Roman"/>
          <w:sz w:val="24"/>
          <w:szCs w:val="24"/>
        </w:rPr>
        <w:fldChar w:fldCharType="end"/>
      </w:r>
    </w:p>
    <w:p>
      <w:pPr>
        <w:jc w:val="both"/>
        <w:rPr>
          <w:rFonts w:hint="default" w:ascii="Times New Roman" w:hAnsi="Times New Roman" w:cs="Times New Roman"/>
          <w:sz w:val="24"/>
          <w:szCs w:val="24"/>
          <w:lang w:val="en-US" w:eastAsia="zh-CN"/>
        </w:rPr>
      </w:pPr>
    </w:p>
    <w:p>
      <w:pPr>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Renganayagalu, S.K., Mallam, S.C., &amp; Hernes, M.S. (2022). Maritime Education and Training in the COVID-19 Era and Beyond. TransNav, the International Journal on Marine Navigation and Safety of Sea Transportation. </w:t>
      </w:r>
    </w:p>
    <w:p>
      <w:pPr>
        <w:numPr>
          <w:ilvl w:val="0"/>
          <w:numId w:val="0"/>
        </w:numPr>
        <w:spacing w:line="360" w:lineRule="auto"/>
        <w:rPr>
          <w:rFonts w:hint="default" w:ascii="Times New Roman" w:hAnsi="Times New Roman" w:cs="Times New Roman"/>
          <w:sz w:val="24"/>
          <w:szCs w:val="24"/>
          <w:lang w:val="en-US" w:eastAsia="zh-CN"/>
        </w:rPr>
      </w:pPr>
    </w:p>
    <w:p>
      <w:pPr>
        <w:numPr>
          <w:ilvl w:val="0"/>
          <w:numId w:val="0"/>
        </w:num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Reviewed Work: Leadership Dynamics by Edwin P. Hollander </w:t>
      </w:r>
      <w:r>
        <w:rPr>
          <w:rFonts w:hint="default" w:ascii="Times New Roman" w:hAnsi="Times New Roman" w:cs="Times New Roman"/>
          <w:i/>
          <w:iCs/>
          <w:sz w:val="24"/>
          <w:szCs w:val="24"/>
          <w:lang w:val="en-US" w:eastAsia="zh-CN"/>
        </w:rPr>
        <w:t xml:space="preserve">The Academy of Management Review </w:t>
      </w:r>
      <w:r>
        <w:rPr>
          <w:rFonts w:hint="default" w:ascii="Times New Roman" w:hAnsi="Times New Roman" w:cs="Times New Roman"/>
          <w:sz w:val="24"/>
          <w:szCs w:val="24"/>
          <w:lang w:val="en-US" w:eastAsia="zh-CN"/>
        </w:rPr>
        <w:t xml:space="preserve">Vol. 4, No. 2 (Apr., 1979), pp. 298-300 </w:t>
      </w:r>
    </w:p>
    <w:p>
      <w:pPr>
        <w:numPr>
          <w:ilvl w:val="0"/>
          <w:numId w:val="0"/>
        </w:numPr>
        <w:spacing w:line="360" w:lineRule="auto"/>
        <w:rPr>
          <w:rFonts w:hint="default" w:ascii="Times New Roman" w:hAnsi="Times New Roman" w:cs="Times New Roman"/>
          <w:sz w:val="24"/>
          <w:szCs w:val="24"/>
          <w:lang w:val="en-US" w:eastAsia="zh-CN"/>
        </w:rPr>
      </w:pPr>
    </w:p>
    <w:p>
      <w:pPr>
        <w:numPr>
          <w:ilvl w:val="0"/>
          <w:numId w:val="0"/>
        </w:num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Rødseth, Ø.; Burmeister, H. Risk assessment for an unmanned merchant ship. TransNav Int. J. Mar. Navig. Saf. Sea Transp. 2015, 9, 357–364. </w:t>
      </w:r>
    </w:p>
    <w:p>
      <w:pPr>
        <w:spacing w:line="360" w:lineRule="auto"/>
        <w:rPr>
          <w:rFonts w:hint="default" w:ascii="Times New Roman" w:hAnsi="Times New Roman" w:cs="Times New Roman"/>
          <w:sz w:val="24"/>
          <w:szCs w:val="24"/>
          <w:lang w:val="en-US" w:eastAsia="zh-CN"/>
        </w:rPr>
      </w:pPr>
    </w:p>
    <w:p>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Rødseth, ØJ, H. Nordahl, and Å Hoem. 2018. “Characterization of Autonomy in Merchant Ships.” In 2018 OCEANS-MTS/IEEE Kobe Techno-Oceans (OTO), Kobe, Japan, 1–7. </w:t>
      </w:r>
    </w:p>
    <w:p>
      <w:pPr>
        <w:numPr>
          <w:ilvl w:val="0"/>
          <w:numId w:val="0"/>
        </w:numPr>
        <w:spacing w:line="360" w:lineRule="auto"/>
        <w:rPr>
          <w:rFonts w:hint="default" w:ascii="Times New Roman" w:hAnsi="Times New Roman" w:cs="Times New Roman"/>
          <w:sz w:val="24"/>
          <w:szCs w:val="24"/>
          <w:lang w:val="en-US" w:eastAsia="zh-CN"/>
        </w:rPr>
      </w:pPr>
    </w:p>
    <w:p>
      <w:pPr>
        <w:numPr>
          <w:ilvl w:val="0"/>
          <w:numId w:val="0"/>
        </w:num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Rødseth, ØJ. 2019. “Defining Ship Autonomy by Characteristic Factors.” In Proceedings of the 1st International Conference on Maritime Autonomous Surface Ships. Busan: SINTEF Academic Press. </w:t>
      </w:r>
    </w:p>
    <w:p>
      <w:pPr>
        <w:spacing w:line="360" w:lineRule="auto"/>
        <w:rPr>
          <w:rFonts w:hint="default" w:ascii="Times New Roman" w:hAnsi="Times New Roman" w:cs="Times New Roman"/>
          <w:sz w:val="24"/>
          <w:szCs w:val="24"/>
          <w:lang w:val="en-US" w:eastAsia="zh-CN"/>
        </w:rPr>
      </w:pPr>
    </w:p>
    <w:p>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Rolls-Royce. 2016. Remote and Autonomous Ships - The Next Steps, AAWA Position Paper. London: Rolls-Royce plc.</w:t>
      </w:r>
    </w:p>
    <w:p>
      <w:pPr>
        <w:jc w:val="both"/>
        <w:rPr>
          <w:rFonts w:hint="default" w:ascii="Times New Roman" w:hAnsi="Times New Roman" w:cs="Times New Roman"/>
          <w:sz w:val="24"/>
          <w:szCs w:val="24"/>
          <w:lang w:val="en-US" w:eastAsia="zh-CN"/>
        </w:rPr>
      </w:pPr>
    </w:p>
    <w:p>
      <w:pPr>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Sokolov, S.S., Kovalnogova, N.M., Mitrofanova, A.V., Stepanov, V.A., &amp; Gorobtsov, A.P. (2017). Compliance with legal aspects of the applying of e-Learning in the training of seafarers. TransNav: </w:t>
      </w:r>
      <w:r>
        <w:rPr>
          <w:rFonts w:hint="default" w:ascii="Times New Roman" w:hAnsi="Times New Roman" w:cs="Times New Roman"/>
          <w:i/>
          <w:iCs/>
          <w:sz w:val="24"/>
          <w:szCs w:val="24"/>
          <w:lang w:val="en-US" w:eastAsia="zh-CN"/>
        </w:rPr>
        <w:t>International Journal on Marine Navigation and Safety of Sea Transportation,</w:t>
      </w:r>
      <w:r>
        <w:rPr>
          <w:rFonts w:hint="default" w:ascii="Times New Roman" w:hAnsi="Times New Roman" w:cs="Times New Roman"/>
          <w:sz w:val="24"/>
          <w:szCs w:val="24"/>
          <w:lang w:val="en-US" w:eastAsia="zh-CN"/>
        </w:rPr>
        <w:t xml:space="preserve"> 11, 457-460. </w:t>
      </w:r>
    </w:p>
    <w:p>
      <w:pPr>
        <w:numPr>
          <w:ilvl w:val="0"/>
          <w:numId w:val="0"/>
        </w:numPr>
        <w:spacing w:line="360" w:lineRule="auto"/>
        <w:rPr>
          <w:rFonts w:hint="default" w:ascii="Times New Roman" w:hAnsi="Times New Roman" w:cs="Times New Roman"/>
          <w:sz w:val="24"/>
          <w:szCs w:val="24"/>
          <w:lang w:val="en-US" w:eastAsia="zh-CN"/>
        </w:rPr>
      </w:pPr>
    </w:p>
    <w:p>
      <w:pPr>
        <w:numPr>
          <w:ilvl w:val="0"/>
          <w:numId w:val="0"/>
        </w:num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UNCTAD. 2019. Review of maritime transport. New York, NY: United Nations Publications.</w:t>
      </w:r>
    </w:p>
    <w:p>
      <w:pPr>
        <w:numPr>
          <w:ilvl w:val="0"/>
          <w:numId w:val="0"/>
        </w:num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Visvikis, I.D. (2002), “</w:t>
      </w:r>
      <w:r>
        <w:rPr>
          <w:rFonts w:hint="default" w:ascii="Times New Roman" w:hAnsi="Times New Roman" w:cs="Times New Roman"/>
          <w:i/>
          <w:iCs/>
          <w:sz w:val="24"/>
          <w:szCs w:val="24"/>
          <w:lang w:val="en-US" w:eastAsia="zh-CN"/>
        </w:rPr>
        <w:t>An econometric analysis of the forward freight market”</w:t>
      </w:r>
      <w:r>
        <w:rPr>
          <w:rFonts w:hint="default" w:ascii="Times New Roman" w:hAnsi="Times New Roman" w:cs="Times New Roman"/>
          <w:sz w:val="24"/>
          <w:szCs w:val="24"/>
          <w:lang w:val="en-US" w:eastAsia="zh-CN"/>
        </w:rPr>
        <w:t>, Doctoral dissertation, City University Cass Business School, City University of London</w:t>
      </w:r>
    </w:p>
    <w:p>
      <w:pPr>
        <w:rPr>
          <w:rFonts w:hint="eastAsia"/>
        </w:rPr>
      </w:pPr>
    </w:p>
    <w:p>
      <w:pPr>
        <w:rPr>
          <w:rFonts w:hint="default" w:ascii="Times New Roman" w:hAnsi="Times New Roman" w:cs="Times New Roman"/>
          <w:sz w:val="24"/>
          <w:szCs w:val="24"/>
        </w:rPr>
      </w:pPr>
      <w:r>
        <w:rPr>
          <w:rFonts w:hint="default" w:ascii="Times New Roman" w:hAnsi="Times New Roman" w:cs="Times New Roman"/>
          <w:sz w:val="24"/>
          <w:szCs w:val="24"/>
        </w:rPr>
        <w:t>Vujičić, S., Hasanspahić, N., &amp; Mišković, D. (2018). Importance of leadership qualities on board ships with emphasis on crisis situations. In ATINER’s Conference Paper Series, No: TRA2018–2529.</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Wang, X., Yuen, K. F., Wong, Y. D., &amp; Li, K. X. (2020). How can the maritime industry meet Sustainable Development Goals? An analysis of sustainability reports from the social entrepreneurship perspective. Transportation Research Part D: Transport and Environment, 78.</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Wen Maowei. (2011). The Development of contemporary Anglo-American Organizational leadership: Theory and practice.</w:t>
      </w:r>
    </w:p>
    <w:p>
      <w:pPr>
        <w:spacing w:line="360" w:lineRule="auto"/>
        <w:rPr>
          <w:rFonts w:hint="default" w:ascii="Times New Roman" w:hAnsi="Times New Roman" w:cs="Times New Roman"/>
          <w:sz w:val="24"/>
          <w:szCs w:val="24"/>
          <w:lang w:val="en-US" w:eastAsia="zh-CN"/>
        </w:rPr>
      </w:pPr>
    </w:p>
    <w:p>
      <w:pPr>
        <w:numPr>
          <w:ilvl w:val="0"/>
          <w:numId w:val="0"/>
        </w:num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Winkler, J., Kuklinski, C.P.J.W. and Moser, R. (2015), </w:t>
      </w:r>
      <w:r>
        <w:rPr>
          <w:rFonts w:hint="default" w:ascii="Times New Roman" w:hAnsi="Times New Roman" w:cs="Times New Roman"/>
          <w:i w:val="0"/>
          <w:iCs w:val="0"/>
          <w:sz w:val="24"/>
          <w:szCs w:val="24"/>
          <w:lang w:val="en-US" w:eastAsia="zh-CN"/>
        </w:rPr>
        <w:t>“Decision making in emerging markets: the delphi approach's contribution to coping with uncertainty and equivocality”</w:t>
      </w:r>
      <w:r>
        <w:rPr>
          <w:rFonts w:hint="default" w:ascii="Times New Roman" w:hAnsi="Times New Roman" w:cs="Times New Roman"/>
          <w:sz w:val="24"/>
          <w:szCs w:val="24"/>
          <w:lang w:val="en-US" w:eastAsia="zh-CN"/>
        </w:rPr>
        <w:t xml:space="preserve">, </w:t>
      </w:r>
      <w:r>
        <w:rPr>
          <w:rFonts w:hint="default" w:ascii="Times New Roman" w:hAnsi="Times New Roman" w:cs="Times New Roman"/>
          <w:i/>
          <w:iCs/>
          <w:sz w:val="24"/>
          <w:szCs w:val="24"/>
          <w:lang w:val="en-US" w:eastAsia="zh-CN"/>
        </w:rPr>
        <w:t>Journal of Business Research</w:t>
      </w:r>
      <w:r>
        <w:rPr>
          <w:rFonts w:hint="default" w:ascii="Times New Roman" w:hAnsi="Times New Roman" w:cs="Times New Roman"/>
          <w:sz w:val="24"/>
          <w:szCs w:val="24"/>
          <w:lang w:val="en-US" w:eastAsia="zh-CN"/>
        </w:rPr>
        <w:t>, Vol. 68 No. 5, pp. 1118-1126</w:t>
      </w:r>
    </w:p>
    <w:p>
      <w:pPr>
        <w:numPr>
          <w:ilvl w:val="0"/>
          <w:numId w:val="0"/>
        </w:numPr>
        <w:spacing w:line="360" w:lineRule="auto"/>
        <w:rPr>
          <w:rFonts w:hint="default" w:ascii="Times New Roman" w:hAnsi="Times New Roman" w:cs="Times New Roman"/>
          <w:sz w:val="24"/>
          <w:szCs w:val="24"/>
          <w:lang w:val="en-US" w:eastAsia="zh-CN"/>
        </w:rPr>
      </w:pPr>
    </w:p>
    <w:p>
      <w:pPr>
        <w:numPr>
          <w:ilvl w:val="0"/>
          <w:numId w:val="0"/>
        </w:num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World Maritime University. 2019. Transport 2040: Automation, Technology and Employment – The Future of Work. Reports. 58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"https://commons.wmu.se/lib_reports/58" </w:instrText>
      </w:r>
      <w:r>
        <w:rPr>
          <w:rFonts w:hint="default" w:ascii="Times New Roman" w:hAnsi="Times New Roman" w:cs="Times New Roman"/>
          <w:sz w:val="24"/>
          <w:szCs w:val="24"/>
          <w:lang w:val="en-US" w:eastAsia="zh-CN"/>
        </w:rPr>
        <w:fldChar w:fldCharType="separate"/>
      </w:r>
      <w:r>
        <w:rPr>
          <w:rStyle w:val="5"/>
          <w:rFonts w:hint="default" w:ascii="Times New Roman" w:hAnsi="Times New Roman" w:cs="Times New Roman"/>
          <w:sz w:val="24"/>
          <w:szCs w:val="24"/>
          <w:lang w:val="en-US" w:eastAsia="zh-CN"/>
        </w:rPr>
        <w:t>https://commons.wmu.se/lib_reports/58</w:t>
      </w:r>
      <w:r>
        <w:rPr>
          <w:rFonts w:hint="default" w:ascii="Times New Roman" w:hAnsi="Times New Roman" w:cs="Times New Roman"/>
          <w:sz w:val="24"/>
          <w:szCs w:val="24"/>
          <w:lang w:val="en-US" w:eastAsia="zh-CN"/>
        </w:rPr>
        <w:fldChar w:fldCharType="end"/>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Wu, T. C., Chen, C. H., &amp; Li, C. C. (2008). A correlation among safety leadership, safety climate and safety performance. Journal of loss prevention in the process industries, 21(3), 307-318.</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 xml:space="preserve">Xhelilaj, E. i Sakaj, B. (2018). A Review of Leadership Behaviour of Maritime Officers in International Shipping. Pomorstvo, 32 (1), 76-79.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"https://doi.org/10.31217/p.32.1.9" </w:instrText>
      </w:r>
      <w:r>
        <w:rPr>
          <w:rFonts w:hint="default" w:ascii="Times New Roman" w:hAnsi="Times New Roman" w:cs="Times New Roman"/>
          <w:sz w:val="24"/>
          <w:szCs w:val="24"/>
        </w:rPr>
        <w:fldChar w:fldCharType="separate"/>
      </w:r>
      <w:r>
        <w:rPr>
          <w:rStyle w:val="5"/>
          <w:rFonts w:hint="default" w:ascii="Times New Roman" w:hAnsi="Times New Roman" w:cs="Times New Roman"/>
          <w:sz w:val="24"/>
          <w:szCs w:val="24"/>
        </w:rPr>
        <w:t>https://doi.org/10.31217/p.32.1.9</w:t>
      </w:r>
      <w:r>
        <w:rPr>
          <w:rFonts w:hint="default" w:ascii="Times New Roman" w:hAnsi="Times New Roman" w:cs="Times New Roman"/>
          <w:sz w:val="24"/>
          <w:szCs w:val="24"/>
        </w:rPr>
        <w:fldChar w:fldCharType="end"/>
      </w:r>
    </w:p>
    <w:p>
      <w:pPr>
        <w:rPr>
          <w:rFonts w:hint="default" w:ascii="Times New Roman" w:hAnsi="Times New Roman" w:cs="Times New Roman"/>
          <w:sz w:val="24"/>
          <w:szCs w:val="24"/>
        </w:rPr>
      </w:pPr>
    </w:p>
    <w:p>
      <w:pPr>
        <w:numPr>
          <w:ilvl w:val="0"/>
          <w:numId w:val="0"/>
        </w:num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Xu, L. D., Xu, E. L., &amp; Li, L. (2018). Industry 4.0: State of the Art and Future Trends. </w:t>
      </w:r>
      <w:r>
        <w:rPr>
          <w:rFonts w:hint="default" w:ascii="Times New Roman" w:hAnsi="Times New Roman" w:cs="Times New Roman"/>
          <w:i/>
          <w:iCs/>
          <w:sz w:val="24"/>
          <w:szCs w:val="24"/>
          <w:lang w:val="en-US" w:eastAsia="zh-CN"/>
        </w:rPr>
        <w:t>International Journal of Production Research</w:t>
      </w:r>
      <w:r>
        <w:rPr>
          <w:rFonts w:hint="default" w:ascii="Times New Roman" w:hAnsi="Times New Roman" w:cs="Times New Roman"/>
          <w:sz w:val="24"/>
          <w:szCs w:val="24"/>
          <w:lang w:val="en-US" w:eastAsia="zh-CN"/>
        </w:rPr>
        <w:t>, 56, 2941-2962.https://doi.org/10.1080/00207543.2018.1444806</w:t>
      </w:r>
    </w:p>
    <w:p>
      <w:pPr>
        <w:numPr>
          <w:ilvl w:val="0"/>
          <w:numId w:val="0"/>
        </w:numPr>
        <w:spacing w:line="360" w:lineRule="auto"/>
        <w:rPr>
          <w:rFonts w:hint="default" w:ascii="Times New Roman" w:hAnsi="Times New Roman" w:cs="Times New Roman"/>
          <w:sz w:val="24"/>
          <w:szCs w:val="24"/>
          <w:lang w:val="en-US" w:eastAsia="zh-CN"/>
        </w:rPr>
      </w:pPr>
    </w:p>
    <w:p>
      <w:pPr>
        <w:numPr>
          <w:ilvl w:val="0"/>
          <w:numId w:val="0"/>
        </w:num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Yongxin Liao, Fernando Deschamps, Eduardo de Freitas Rocha Loures &amp; Luiz Felipe Pierin Ramos (2017) Past, present and future of Industry 4.0 - a systematic literature review and research agenda proposal, International Journal of Production Research, 55:12, 3609-3629, DOI: 10.1080/00207543.2017.1308576</w:t>
      </w:r>
    </w:p>
    <w:p>
      <w:pPr>
        <w:jc w:val="left"/>
        <w:rPr>
          <w:rFonts w:hint="default" w:ascii="Times New Roman" w:hAnsi="Times New Roman" w:cs="Times New Roman"/>
          <w:sz w:val="24"/>
          <w:szCs w:val="24"/>
          <w:lang w:val="en-US" w:eastAsia="zh-CN"/>
        </w:rPr>
      </w:pPr>
    </w:p>
    <w:p>
      <w:pPr>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Yu Haiyan (2016) Blended Learning Will Be Applicable in Maritime Education and Training .</w:t>
      </w:r>
      <w:r>
        <w:rPr>
          <w:rFonts w:hint="default" w:ascii="Times New Roman" w:hAnsi="Times New Roman" w:cs="Times New Roman"/>
          <w:i/>
          <w:iCs/>
          <w:sz w:val="24"/>
          <w:szCs w:val="24"/>
          <w:lang w:val="en-US" w:eastAsia="zh-CN"/>
        </w:rPr>
        <w:t>Journal of Shipping and Ocean Engineering</w:t>
      </w:r>
      <w:r>
        <w:rPr>
          <w:rFonts w:hint="default" w:ascii="Times New Roman" w:hAnsi="Times New Roman" w:cs="Times New Roman"/>
          <w:sz w:val="24"/>
          <w:szCs w:val="24"/>
          <w:lang w:val="en-US" w:eastAsia="zh-CN"/>
        </w:rPr>
        <w:t xml:space="preserve"> 6 31-34. </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Ytterstad, S., &amp; Olaisen, J. (2023). An Overview of Perspectives of Transformational Leadership. Learning Transformational Leadership: A Pedagogical and Practical Perspective, 13-33.</w:t>
      </w:r>
    </w:p>
    <w:p>
      <w:pPr>
        <w:numPr>
          <w:ilvl w:val="0"/>
          <w:numId w:val="0"/>
        </w:numPr>
        <w:spacing w:line="360" w:lineRule="auto"/>
        <w:rPr>
          <w:rFonts w:hint="default" w:ascii="Times New Roman" w:hAnsi="Times New Roman" w:cs="Times New Roman"/>
          <w:sz w:val="24"/>
          <w:szCs w:val="24"/>
          <w:lang w:val="en-US" w:eastAsia="zh-CN"/>
        </w:rPr>
      </w:pPr>
    </w:p>
    <w:p>
      <w:pPr>
        <w:numPr>
          <w:ilvl w:val="0"/>
          <w:numId w:val="0"/>
        </w:num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Zghyer, R., Ostnes, R., Halse, K.H., 2019. Is Full-autonomy the Way to Go Towards Maximizing the Ocean Potentials? TransNav, International Journal on Marine Navigation and Safety od Sea Transportation 13. </w:t>
      </w:r>
    </w:p>
    <w:p>
      <w:pPr>
        <w:rPr>
          <w:rFonts w:hint="default" w:ascii="Times New Roman" w:hAnsi="Times New Roman" w:cs="Times New Roman"/>
          <w:sz w:val="24"/>
          <w:szCs w:val="24"/>
        </w:rPr>
      </w:pPr>
    </w:p>
    <w:p>
      <w:pPr>
        <w:jc w:val="left"/>
        <w:rPr>
          <w:rFonts w:hint="default" w:ascii="Times New Roman" w:hAnsi="Times New Roman" w:cs="Times New Roman"/>
          <w:sz w:val="24"/>
          <w:szCs w:val="24"/>
          <w:lang w:val="en-US" w:eastAsia="zh-CN"/>
        </w:rPr>
      </w:pPr>
    </w:p>
    <w:p>
      <w:pPr>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Zhang, Y., Chen, X., Zhang, Q., &amp; Tao, D. (2021). Construction of Interdisciplinary Training Platform for Shipping Talents. Proceedings of the International Conference on Economics, Law and Education Research (ELER 2021). </w:t>
      </w:r>
    </w:p>
    <w:p>
      <w:pPr>
        <w:rPr>
          <w:rFonts w:hint="eastAsia"/>
        </w:rPr>
      </w:pPr>
    </w:p>
    <w:p>
      <w:pPr>
        <w:numPr>
          <w:ilvl w:val="0"/>
          <w:numId w:val="0"/>
        </w:numPr>
        <w:spacing w:line="360" w:lineRule="auto"/>
        <w:rPr>
          <w:rFonts w:hint="eastAsia" w:ascii="Times New Roman" w:hAnsi="Times New Roman" w:cs="Times New Roman"/>
          <w:sz w:val="28"/>
          <w:szCs w:val="28"/>
          <w:lang w:val="en-US" w:eastAsia="zh-CN"/>
        </w:rPr>
      </w:pPr>
    </w:p>
    <w:p>
      <w:pPr>
        <w:spacing w:line="360" w:lineRule="auto"/>
        <w:rPr>
          <w:rFonts w:hint="eastAsia" w:ascii="Times New Roman" w:hAnsi="Times New Roman" w:cs="Times New Roman"/>
          <w:sz w:val="28"/>
          <w:szCs w:val="28"/>
          <w:lang w:val="en-US" w:eastAsia="zh-CN"/>
        </w:rPr>
      </w:pPr>
    </w:p>
    <w:p>
      <w:pPr>
        <w:spacing w:line="360" w:lineRule="auto"/>
        <w:rPr>
          <w:rFonts w:hint="eastAsia" w:ascii="Times New Roman" w:hAnsi="Times New Roman" w:cs="Times New Roman"/>
          <w:sz w:val="28"/>
          <w:szCs w:val="28"/>
          <w:lang w:val="en-US" w:eastAsia="zh-CN"/>
        </w:rPr>
      </w:pPr>
    </w:p>
    <w:p>
      <w:pPr>
        <w:spacing w:line="360" w:lineRule="auto"/>
        <w:rPr>
          <w:rFonts w:hint="default" w:ascii="Times New Roman" w:hAnsi="Times New Roman" w:cs="Times New Roman"/>
          <w:sz w:val="28"/>
          <w:szCs w:val="28"/>
          <w:lang w:val="en-US" w:eastAsia="zh-CN"/>
        </w:rPr>
      </w:pPr>
    </w:p>
    <w:p>
      <w:pPr>
        <w:spacing w:line="360" w:lineRule="auto"/>
        <w:rPr>
          <w:rFonts w:hint="default" w:ascii="Times New Roman" w:hAnsi="Times New Roman" w:cs="Times New Roman"/>
          <w:sz w:val="28"/>
          <w:szCs w:val="28"/>
          <w:lang w:val="en-US" w:eastAsia="zh-CN"/>
        </w:rPr>
      </w:pPr>
    </w:p>
    <w:p>
      <w:pPr>
        <w:numPr>
          <w:ilvl w:val="0"/>
          <w:numId w:val="0"/>
        </w:numPr>
        <w:spacing w:line="360" w:lineRule="auto"/>
        <w:rPr>
          <w:rFonts w:hint="default" w:ascii="Times New Roman" w:hAnsi="Times New Roman" w:cs="Times New Roman"/>
          <w:sz w:val="28"/>
          <w:szCs w:val="28"/>
          <w:lang w:val="en-US" w:eastAsia="zh-CN"/>
        </w:rPr>
      </w:pPr>
    </w:p>
    <w:p>
      <w:pPr>
        <w:numPr>
          <w:ilvl w:val="0"/>
          <w:numId w:val="0"/>
        </w:numPr>
        <w:spacing w:line="360" w:lineRule="auto"/>
        <w:rPr>
          <w:rFonts w:hint="eastAsia" w:ascii="Times New Roman" w:hAnsi="Times New Roman" w:cs="Times New Roman"/>
          <w:sz w:val="28"/>
          <w:szCs w:val="28"/>
          <w:lang w:val="en-US" w:eastAsia="zh-CN"/>
        </w:rPr>
      </w:pPr>
    </w:p>
    <w:p>
      <w:pPr>
        <w:numPr>
          <w:ilvl w:val="0"/>
          <w:numId w:val="0"/>
        </w:numPr>
        <w:spacing w:line="360" w:lineRule="auto"/>
        <w:rPr>
          <w:rFonts w:hint="eastAsia" w:ascii="Times New Roman" w:hAnsi="Times New Roman" w:cs="Times New Roman"/>
          <w:sz w:val="28"/>
          <w:szCs w:val="28"/>
          <w:lang w:val="en-US" w:eastAsia="zh-CN"/>
        </w:rPr>
      </w:pPr>
    </w:p>
    <w:p>
      <w:pPr>
        <w:numPr>
          <w:ilvl w:val="0"/>
          <w:numId w:val="0"/>
        </w:numPr>
        <w:spacing w:line="360" w:lineRule="auto"/>
        <w:rPr>
          <w:rFonts w:hint="default" w:ascii="Times New Roman" w:hAnsi="Times New Roman" w:cs="Times New Roman"/>
          <w:sz w:val="28"/>
          <w:szCs w:val="28"/>
          <w:lang w:val="en-US" w:eastAsia="zh-CN"/>
        </w:rPr>
      </w:pPr>
    </w:p>
    <w:p>
      <w:pPr>
        <w:numPr>
          <w:ilvl w:val="0"/>
          <w:numId w:val="0"/>
        </w:numPr>
        <w:spacing w:line="360" w:lineRule="auto"/>
        <w:rPr>
          <w:rFonts w:hint="default" w:ascii="Times New Roman" w:hAnsi="Times New Roman" w:cs="Times New Roman"/>
          <w:sz w:val="28"/>
          <w:szCs w:val="28"/>
          <w:lang w:val="en-US" w:eastAsia="zh-CN"/>
        </w:rPr>
      </w:pPr>
    </w:p>
    <w:p>
      <w:pPr>
        <w:numPr>
          <w:ilvl w:val="0"/>
          <w:numId w:val="0"/>
        </w:numPr>
        <w:spacing w:line="360" w:lineRule="auto"/>
        <w:rPr>
          <w:rFonts w:hint="default" w:ascii="Times New Roman" w:hAnsi="Times New Roman" w:cs="Times New Roman"/>
          <w:sz w:val="28"/>
          <w:szCs w:val="28"/>
          <w:lang w:val="en-US" w:eastAsia="zh-CN"/>
        </w:rPr>
      </w:pPr>
    </w:p>
    <w:p>
      <w:pPr>
        <w:numPr>
          <w:ilvl w:val="0"/>
          <w:numId w:val="0"/>
        </w:numPr>
        <w:spacing w:line="360" w:lineRule="auto"/>
        <w:rPr>
          <w:rFonts w:hint="default" w:ascii="Times New Roman" w:hAnsi="Times New Roman" w:cs="Times New Roman"/>
          <w:sz w:val="28"/>
          <w:szCs w:val="28"/>
          <w:lang w:val="en-US" w:eastAsia="zh-CN"/>
        </w:rPr>
      </w:pPr>
    </w:p>
    <w:p>
      <w:pPr>
        <w:numPr>
          <w:ilvl w:val="0"/>
          <w:numId w:val="0"/>
        </w:numPr>
        <w:spacing w:line="360" w:lineRule="auto"/>
        <w:rPr>
          <w:rFonts w:hint="default" w:ascii="Times New Roman" w:hAnsi="Times New Roman" w:cs="Times New Roman"/>
          <w:sz w:val="24"/>
          <w:szCs w:val="24"/>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3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NjFkZjFlYmM2NzdiZGJkMWI3NDcxZjNmNzNiZmYwOTIifQ=="/>
  </w:docVars>
  <w:rsids>
    <w:rsidRoot w:val="00000000"/>
    <w:rsid w:val="15573223"/>
    <w:rsid w:val="18773091"/>
    <w:rsid w:val="28D2414D"/>
    <w:rsid w:val="2E997D41"/>
    <w:rsid w:val="41101EAB"/>
    <w:rsid w:val="42190D2B"/>
    <w:rsid w:val="65115602"/>
    <w:rsid w:val="6BC544DF"/>
    <w:rsid w:val="6E7878AA"/>
    <w:rsid w:val="74BC59A8"/>
    <w:rsid w:val="7C461249"/>
    <w:rsid w:val="7CC9126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3">
    <w:name w:val="Default Paragraph Font"/>
    <w:semiHidden/>
    <w:qFormat/>
    <w:uiPriority w:val="0"/>
  </w:style>
  <w:style w:type="table" w:default="1" w:styleId="2">
    <w:name w:val="Normal Table"/>
    <w:semiHidden/>
    <w:qFormat/>
    <w:uiPriority w:val="0"/>
    <w:tblPr>
      <w:tblCellMar>
        <w:top w:w="0" w:type="dxa"/>
        <w:left w:w="108" w:type="dxa"/>
        <w:bottom w:w="0" w:type="dxa"/>
        <w:right w:w="108" w:type="dxa"/>
      </w:tblCellMar>
    </w:tblPr>
  </w:style>
  <w:style w:type="character" w:styleId="4">
    <w:name w:val="Strong"/>
    <w:basedOn w:val="3"/>
    <w:qFormat/>
    <w:uiPriority w:val="0"/>
    <w:rPr>
      <w:b/>
    </w:rPr>
  </w:style>
  <w:style w:type="character" w:styleId="5">
    <w:name w:val="Hyperlink"/>
    <w:basedOn w:val="3"/>
    <w:qFormat/>
    <w:uiPriority w:val="0"/>
    <w:rPr>
      <w:color w:val="0000FF"/>
      <w:u w:val="single"/>
    </w:rPr>
  </w:style>
  <w:style w:type="character" w:customStyle="1" w:styleId="6">
    <w:name w:val="10"/>
    <w:basedOn w:val="3"/>
    <w:qFormat/>
    <w:uiPriority w:val="0"/>
    <w:rPr>
      <w:rFonts w:hint="default" w:ascii="Calibri" w:hAnsi="Calibri" w:cs="Calibri"/>
    </w:rPr>
  </w:style>
  <w:style w:type="character" w:customStyle="1" w:styleId="7">
    <w:name w:val="15"/>
    <w:basedOn w:val="3"/>
    <w:qFormat/>
    <w:uiPriority w:val="0"/>
    <w:rPr>
      <w:rFonts w:hint="default" w:ascii="Calibri" w:hAnsi="Calibri" w:cs="Calibri"/>
      <w:b/>
    </w:rPr>
  </w:style>
</w:styles>
</file>

<file path=word/_rels/document.xml.rels><?xml version="1.0" encoding="UTF-8" standalone="yes"?>
<Relationships xmlns="http://schemas.openxmlformats.org/package/2006/relationships"><Relationship Id="rId4" Type="http://schemas.openxmlformats.org/officeDocument/2006/relationships/fontTable" Target="fontTable.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42</Pages>
  <Words>8775</Words>
  <Characters>52059</Characters>
  <Lines>1</Lines>
  <Paragraphs>1</Paragraphs>
  <TotalTime>4</TotalTime>
  <ScaleCrop>false</ScaleCrop>
  <LinksUpToDate>false</LinksUpToDate>
  <CharactersWithSpaces>60751</CharactersWithSpaces>
  <Application>WPS Office_11.1.0.13703_F1E327BC-269C-435d-A152-05C5408002CA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2022-12-29T20:21:00Z</dcterms:created>
  <dc:creator>40479</dc:creator>
  <cp:lastModifiedBy>陈不沉</cp:lastModifiedBy>
  <dcterms:modified xsi:type="dcterms:W3CDTF">2023-01-25T16:05:57Z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2052-11.1.0.13703</vt:lpwstr>
  </property>
  <property fmtid="{D5CDD505-2E9C-101B-9397-08002B2CF9AE}" pid="3" name="ICV">
    <vt:lpwstr>85CD4B05884546ABB8C49C9EF53FE5AA</vt:lpwstr>
  </property>
</Properties>
</file>