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D516E5" w14:textId="32065401" w:rsidR="001A400E" w:rsidRDefault="001A400E" w:rsidP="001A400E">
      <w:pPr>
        <w:pStyle w:val="NormalWeb"/>
        <w:spacing w:before="0" w:beforeAutospacing="0" w:after="0" w:afterAutospacing="0"/>
        <w:ind w:left="-180" w:right="-334"/>
      </w:pPr>
      <w:r>
        <w:rPr>
          <w:noProof/>
        </w:rPr>
        <w:drawing>
          <wp:inline distT="0" distB="0" distL="0" distR="0" wp14:anchorId="479A7707" wp14:editId="1FD10DAC">
            <wp:extent cx="1906270" cy="638175"/>
            <wp:effectExtent l="19050" t="19050" r="17780" b="28575"/>
            <wp:docPr id="1217210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08DC1062" w14:textId="77777777" w:rsidR="001A400E" w:rsidRDefault="001A400E" w:rsidP="001A400E">
      <w:pPr>
        <w:pStyle w:val="NormalWeb"/>
        <w:spacing w:before="0" w:beforeAutospacing="0" w:after="0" w:afterAutospacing="0"/>
        <w:ind w:left="-180" w:right="-334"/>
      </w:pPr>
    </w:p>
    <w:p w14:paraId="7D6D341F" w14:textId="77777777" w:rsidR="001A400E" w:rsidRDefault="001A400E" w:rsidP="001A400E">
      <w:pPr>
        <w:pStyle w:val="NormalWeb"/>
        <w:spacing w:before="0" w:beforeAutospacing="0" w:after="0" w:afterAutospacing="0"/>
        <w:ind w:left="-180" w:right="-334"/>
      </w:pPr>
    </w:p>
    <w:p w14:paraId="61759620" w14:textId="77777777" w:rsidR="001A400E" w:rsidRDefault="001A400E" w:rsidP="001A400E">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70D360B" w14:textId="77777777" w:rsidR="001A400E" w:rsidRPr="00230F35" w:rsidRDefault="001A400E" w:rsidP="001A400E">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0DF3DD4" w14:textId="77777777" w:rsidR="001A400E" w:rsidRPr="00230F35" w:rsidRDefault="001A400E" w:rsidP="001A400E">
      <w:pPr>
        <w:rPr>
          <w:rFonts w:ascii="Arial" w:hAnsi="Arial" w:cs="Arial"/>
          <w:sz w:val="28"/>
          <w:szCs w:val="28"/>
          <w:lang w:val="cy-GB"/>
        </w:rPr>
      </w:pPr>
    </w:p>
    <w:p w14:paraId="1F53D558" w14:textId="77777777" w:rsidR="001A400E" w:rsidRDefault="001A400E" w:rsidP="001A400E">
      <w:pPr>
        <w:pStyle w:val="Heading3"/>
        <w:jc w:val="center"/>
        <w:rPr>
          <w:lang w:val="cy-GB"/>
        </w:rPr>
      </w:pPr>
      <w:r>
        <w:rPr>
          <w:lang w:val="cy-GB"/>
        </w:rPr>
        <w:t>THIS SHEET MUST BE THE FIRST PAGE OF THE ASSIGNMENT YOU ARE SUBMITTING  (DO NOT SEND AS A SEPARATE FILE)</w:t>
      </w:r>
    </w:p>
    <w:p w14:paraId="6E2C56F3" w14:textId="77777777" w:rsidR="001A400E" w:rsidRDefault="001A400E" w:rsidP="001A400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A400E" w:rsidRPr="00230F35" w14:paraId="361C9F74" w14:textId="77777777" w:rsidTr="00D06EAD">
        <w:trPr>
          <w:trHeight w:val="614"/>
        </w:trPr>
        <w:tc>
          <w:tcPr>
            <w:tcW w:w="8856" w:type="dxa"/>
            <w:gridSpan w:val="5"/>
          </w:tcPr>
          <w:p w14:paraId="36109B25" w14:textId="77777777" w:rsidR="001A400E" w:rsidRPr="00230F35" w:rsidRDefault="001A400E" w:rsidP="00D06EAD">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1A400E" w:rsidRPr="00230F35" w14:paraId="14A2ABE7" w14:textId="77777777" w:rsidTr="00D06EAD">
        <w:trPr>
          <w:trHeight w:val="718"/>
        </w:trPr>
        <w:tc>
          <w:tcPr>
            <w:tcW w:w="8856" w:type="dxa"/>
            <w:gridSpan w:val="5"/>
          </w:tcPr>
          <w:p w14:paraId="031DE3C9" w14:textId="6FF42494" w:rsidR="001A400E" w:rsidRDefault="001A400E" w:rsidP="00D06E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t>
            </w:r>
            <w:r w:rsidRPr="001A400E">
              <w:rPr>
                <w:rFonts w:ascii="Arial" w:hAnsi="Arial" w:cs="Arial"/>
                <w:b/>
                <w:bCs/>
                <w:sz w:val="22"/>
                <w:szCs w:val="22"/>
              </w:rPr>
              <w:t>JONATHAN WEEKES</w:t>
            </w:r>
          </w:p>
          <w:p w14:paraId="2CB843CD" w14:textId="77777777" w:rsidR="001A400E" w:rsidRPr="00230F35" w:rsidRDefault="001A400E" w:rsidP="00D06EAD">
            <w:pPr>
              <w:pStyle w:val="NormalWeb"/>
              <w:spacing w:before="0" w:beforeAutospacing="0" w:after="0" w:afterAutospacing="0"/>
              <w:ind w:right="34"/>
              <w:rPr>
                <w:rFonts w:ascii="Arial" w:hAnsi="Arial" w:cs="Arial"/>
                <w:sz w:val="22"/>
                <w:szCs w:val="22"/>
              </w:rPr>
            </w:pPr>
          </w:p>
          <w:p w14:paraId="340DE8A4" w14:textId="78E74460" w:rsidR="001A400E" w:rsidRPr="00230F35" w:rsidRDefault="001A400E" w:rsidP="00D06E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1A400E">
              <w:rPr>
                <w:rFonts w:ascii="Arial" w:hAnsi="Arial" w:cs="Arial"/>
                <w:b/>
                <w:bCs/>
                <w:sz w:val="22"/>
                <w:szCs w:val="22"/>
              </w:rPr>
              <w:t>2234148@STUDENT.UWTSD.AC.UK</w:t>
            </w:r>
          </w:p>
        </w:tc>
      </w:tr>
      <w:tr w:rsidR="001A400E" w:rsidRPr="00230F35" w14:paraId="4217018C" w14:textId="77777777" w:rsidTr="00D06EAD">
        <w:trPr>
          <w:trHeight w:val="849"/>
        </w:trPr>
        <w:tc>
          <w:tcPr>
            <w:tcW w:w="4788" w:type="dxa"/>
          </w:tcPr>
          <w:p w14:paraId="3FA98BF8" w14:textId="4F51CF6B" w:rsidR="001A400E" w:rsidRPr="00230F35" w:rsidRDefault="001A400E" w:rsidP="00D06E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1A400E">
              <w:rPr>
                <w:rFonts w:ascii="Arial" w:hAnsi="Arial" w:cs="Arial"/>
                <w:b/>
                <w:bCs/>
                <w:sz w:val="22"/>
                <w:szCs w:val="22"/>
              </w:rPr>
              <w:t>HPCA7016</w:t>
            </w:r>
          </w:p>
          <w:p w14:paraId="666B74C5" w14:textId="77777777" w:rsidR="001A400E" w:rsidRPr="00230F35" w:rsidRDefault="001A400E" w:rsidP="00D06EAD">
            <w:pPr>
              <w:pStyle w:val="NormalWeb"/>
              <w:spacing w:before="0" w:beforeAutospacing="0" w:after="0" w:afterAutospacing="0"/>
              <w:ind w:right="34"/>
              <w:rPr>
                <w:rFonts w:ascii="Arial" w:hAnsi="Arial" w:cs="Arial"/>
                <w:sz w:val="22"/>
                <w:szCs w:val="22"/>
              </w:rPr>
            </w:pPr>
          </w:p>
          <w:p w14:paraId="436B94F0" w14:textId="6D0FE677" w:rsidR="001A400E" w:rsidRDefault="001A400E" w:rsidP="00D06E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Pr="001A400E">
              <w:rPr>
                <w:rFonts w:ascii="Arial" w:hAnsi="Arial" w:cs="Arial"/>
                <w:b/>
                <w:bCs/>
                <w:sz w:val="22"/>
                <w:szCs w:val="22"/>
              </w:rPr>
              <w:t>RESEARCHING CONTEMPORARY COSMOLOGIES</w:t>
            </w:r>
          </w:p>
          <w:p w14:paraId="113DA032" w14:textId="77777777" w:rsidR="001A400E" w:rsidRDefault="001A400E" w:rsidP="00D06EAD">
            <w:pPr>
              <w:pStyle w:val="NormalWeb"/>
              <w:spacing w:before="0" w:beforeAutospacing="0" w:after="0" w:afterAutospacing="0"/>
              <w:ind w:right="34"/>
              <w:rPr>
                <w:rFonts w:ascii="Arial" w:hAnsi="Arial" w:cs="Arial"/>
                <w:sz w:val="22"/>
                <w:szCs w:val="22"/>
              </w:rPr>
            </w:pPr>
          </w:p>
          <w:p w14:paraId="04374BF3" w14:textId="77777777" w:rsidR="001A400E" w:rsidRPr="00230F35" w:rsidRDefault="001A400E" w:rsidP="00D06EAD">
            <w:pPr>
              <w:pStyle w:val="NormalWeb"/>
              <w:spacing w:before="0" w:beforeAutospacing="0" w:after="0" w:afterAutospacing="0"/>
              <w:ind w:right="34"/>
              <w:rPr>
                <w:rFonts w:ascii="Arial" w:hAnsi="Arial" w:cs="Arial"/>
                <w:sz w:val="22"/>
                <w:szCs w:val="22"/>
              </w:rPr>
            </w:pPr>
          </w:p>
        </w:tc>
        <w:tc>
          <w:tcPr>
            <w:tcW w:w="2266" w:type="dxa"/>
            <w:gridSpan w:val="3"/>
          </w:tcPr>
          <w:p w14:paraId="7FBA1C58" w14:textId="77777777" w:rsidR="001A400E" w:rsidRDefault="001A400E" w:rsidP="00D06E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686F0DBB" w14:textId="77777777" w:rsidR="001A400E" w:rsidRDefault="001A400E" w:rsidP="00D06EAD">
            <w:pPr>
              <w:pStyle w:val="NormalWeb"/>
              <w:spacing w:before="0" w:beforeAutospacing="0" w:after="0" w:afterAutospacing="0"/>
              <w:ind w:right="34"/>
              <w:rPr>
                <w:rFonts w:ascii="Arial" w:hAnsi="Arial" w:cs="Arial"/>
                <w:sz w:val="22"/>
                <w:szCs w:val="22"/>
              </w:rPr>
            </w:pPr>
          </w:p>
          <w:p w14:paraId="58695C14" w14:textId="32F12558" w:rsidR="001A400E" w:rsidRPr="001A400E" w:rsidRDefault="001A400E" w:rsidP="00D06EAD">
            <w:pPr>
              <w:pStyle w:val="NormalWeb"/>
              <w:spacing w:before="0" w:beforeAutospacing="0" w:after="0" w:afterAutospacing="0"/>
              <w:ind w:right="34"/>
              <w:rPr>
                <w:rFonts w:ascii="Arial" w:hAnsi="Arial" w:cs="Arial"/>
                <w:b/>
                <w:bCs/>
                <w:sz w:val="22"/>
                <w:szCs w:val="22"/>
              </w:rPr>
            </w:pPr>
            <w:r w:rsidRPr="001A400E">
              <w:rPr>
                <w:rFonts w:ascii="Arial" w:hAnsi="Arial" w:cs="Arial"/>
                <w:b/>
                <w:bCs/>
                <w:sz w:val="22"/>
                <w:szCs w:val="22"/>
              </w:rPr>
              <w:t>2234148</w:t>
            </w:r>
          </w:p>
        </w:tc>
        <w:tc>
          <w:tcPr>
            <w:tcW w:w="1802" w:type="dxa"/>
          </w:tcPr>
          <w:p w14:paraId="5CFE4AF3" w14:textId="77777777" w:rsidR="001A400E" w:rsidRPr="00230F35" w:rsidRDefault="001A400E" w:rsidP="00D06E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28E2465" w14:textId="741123B2" w:rsidR="001A400E" w:rsidRPr="001A400E" w:rsidRDefault="001A400E" w:rsidP="00D06EAD">
            <w:pPr>
              <w:pStyle w:val="NormalWeb"/>
              <w:spacing w:before="0" w:beforeAutospacing="0" w:after="0" w:afterAutospacing="0"/>
              <w:ind w:right="34"/>
              <w:rPr>
                <w:rFonts w:ascii="Arial" w:hAnsi="Arial" w:cs="Arial"/>
                <w:b/>
                <w:bCs/>
                <w:sz w:val="22"/>
                <w:szCs w:val="22"/>
              </w:rPr>
            </w:pPr>
            <w:r w:rsidRPr="001A400E">
              <w:rPr>
                <w:rFonts w:ascii="Arial" w:hAnsi="Arial" w:cs="Arial"/>
                <w:b/>
                <w:bCs/>
                <w:sz w:val="22"/>
                <w:szCs w:val="22"/>
              </w:rPr>
              <w:t>Yes</w:t>
            </w:r>
          </w:p>
        </w:tc>
      </w:tr>
      <w:tr w:rsidR="001A400E" w:rsidRPr="00230F35" w14:paraId="3165DDA0" w14:textId="77777777" w:rsidTr="00D06EAD">
        <w:trPr>
          <w:trHeight w:val="1139"/>
        </w:trPr>
        <w:tc>
          <w:tcPr>
            <w:tcW w:w="8856" w:type="dxa"/>
            <w:gridSpan w:val="5"/>
          </w:tcPr>
          <w:p w14:paraId="33786153" w14:textId="77777777" w:rsidR="001A400E" w:rsidRPr="001A400E" w:rsidRDefault="001A400E" w:rsidP="001A400E">
            <w:pPr>
              <w:rPr>
                <w:rFonts w:ascii="Arial" w:hAnsi="Arial" w:cs="Arial"/>
                <w:b/>
                <w:bCs/>
              </w:rPr>
            </w:pPr>
            <w:r w:rsidRPr="001A400E">
              <w:rPr>
                <w:rFonts w:ascii="Arial" w:hAnsi="Arial" w:cs="Arial"/>
              </w:rPr>
              <w:t xml:space="preserve">Assignment title: </w:t>
            </w:r>
            <w:r w:rsidRPr="001A400E">
              <w:rPr>
                <w:rFonts w:ascii="Arial" w:hAnsi="Arial" w:cs="Arial"/>
                <w:b/>
                <w:bCs/>
              </w:rPr>
              <w:t>A Critical Comparison of Two Secondary Sources</w:t>
            </w:r>
          </w:p>
          <w:p w14:paraId="07A31CF2" w14:textId="2C3A88CB" w:rsidR="001A400E" w:rsidRPr="00230F35" w:rsidRDefault="001A400E" w:rsidP="00D06EAD">
            <w:pPr>
              <w:pStyle w:val="NormalWeb"/>
              <w:spacing w:before="0" w:beforeAutospacing="0" w:after="0" w:afterAutospacing="0"/>
              <w:ind w:right="34"/>
              <w:rPr>
                <w:rFonts w:ascii="Arial" w:hAnsi="Arial" w:cs="Arial"/>
                <w:sz w:val="22"/>
                <w:szCs w:val="22"/>
              </w:rPr>
            </w:pPr>
          </w:p>
          <w:p w14:paraId="179A3586" w14:textId="77777777" w:rsidR="001A400E" w:rsidRPr="00230F35" w:rsidRDefault="001A400E" w:rsidP="00D06EAD">
            <w:pPr>
              <w:pStyle w:val="NormalWeb"/>
              <w:spacing w:before="0" w:beforeAutospacing="0" w:after="0" w:afterAutospacing="0"/>
              <w:ind w:right="34"/>
              <w:rPr>
                <w:rFonts w:ascii="Arial" w:hAnsi="Arial" w:cs="Arial"/>
                <w:sz w:val="22"/>
                <w:szCs w:val="22"/>
              </w:rPr>
            </w:pPr>
          </w:p>
          <w:p w14:paraId="120425B5" w14:textId="77777777" w:rsidR="001A400E" w:rsidRDefault="001A400E" w:rsidP="00D06EAD">
            <w:pPr>
              <w:pStyle w:val="NormalWeb"/>
              <w:spacing w:before="0" w:beforeAutospacing="0" w:after="0" w:afterAutospacing="0"/>
              <w:ind w:right="34"/>
              <w:rPr>
                <w:rFonts w:ascii="Arial" w:hAnsi="Arial" w:cs="Arial"/>
                <w:sz w:val="22"/>
                <w:szCs w:val="22"/>
              </w:rPr>
            </w:pPr>
          </w:p>
          <w:p w14:paraId="442743EE" w14:textId="77777777" w:rsidR="001A400E" w:rsidRPr="00230F35" w:rsidRDefault="001A400E" w:rsidP="00D06E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p>
        </w:tc>
      </w:tr>
      <w:tr w:rsidR="001A400E" w:rsidRPr="00230F35" w14:paraId="4BAF67F1" w14:textId="77777777" w:rsidTr="00D06EAD">
        <w:trPr>
          <w:trHeight w:val="978"/>
        </w:trPr>
        <w:tc>
          <w:tcPr>
            <w:tcW w:w="8856" w:type="dxa"/>
            <w:gridSpan w:val="5"/>
            <w:tcBorders>
              <w:bottom w:val="single" w:sz="4" w:space="0" w:color="000000"/>
            </w:tcBorders>
          </w:tcPr>
          <w:p w14:paraId="2BF406A3" w14:textId="30F93387" w:rsidR="001A400E" w:rsidRPr="00230F35" w:rsidRDefault="001A400E" w:rsidP="00D06EAD">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1A400E">
              <w:rPr>
                <w:rFonts w:ascii="Arial" w:hAnsi="Arial" w:cs="Arial"/>
                <w:sz w:val="40"/>
                <w:szCs w:val="40"/>
              </w:rPr>
              <w:sym w:font="Wingdings" w:char="F0FE"/>
            </w:r>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2" w:name="Check16"/>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3" w:name="Check17"/>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4" w:name="Check18"/>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4"/>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1A400E" w:rsidRPr="00230F35" w14:paraId="685DDE56" w14:textId="77777777" w:rsidTr="00D06EAD">
        <w:trPr>
          <w:trHeight w:val="978"/>
        </w:trPr>
        <w:tc>
          <w:tcPr>
            <w:tcW w:w="8856" w:type="dxa"/>
            <w:gridSpan w:val="5"/>
            <w:shd w:val="clear" w:color="auto" w:fill="D9D9D9"/>
          </w:tcPr>
          <w:p w14:paraId="23336264" w14:textId="77777777" w:rsidR="001A400E" w:rsidRPr="00230F35" w:rsidRDefault="001A400E" w:rsidP="00D06E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05526801" w14:textId="79FE5940" w:rsidR="001A400E" w:rsidRDefault="001A400E" w:rsidP="00D06E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JWEEKES</w:t>
            </w:r>
            <w:r w:rsidRPr="00230F35">
              <w:rPr>
                <w:rFonts w:ascii="Arial" w:hAnsi="Arial" w:cs="Arial"/>
                <w:sz w:val="22"/>
                <w:szCs w:val="22"/>
              </w:rPr>
              <w:t>……………………………</w:t>
            </w:r>
          </w:p>
          <w:p w14:paraId="456CA164" w14:textId="454562F4" w:rsidR="001A400E" w:rsidRDefault="001A400E" w:rsidP="00D06EAD">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Pr>
                <w:rFonts w:ascii="Calibri" w:hAnsi="Calibri" w:cs="Calibri"/>
                <w:b/>
                <w:sz w:val="44"/>
                <w:szCs w:val="44"/>
              </w:rPr>
              <w:sym w:font="Wingdings" w:char="F0FE"/>
            </w:r>
          </w:p>
          <w:p w14:paraId="7378478D" w14:textId="77777777" w:rsidR="001A400E" w:rsidRPr="00230F35" w:rsidRDefault="001A400E" w:rsidP="00D06EAD">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1A400E" w:rsidRPr="00230F35" w14:paraId="50A70E9C" w14:textId="77777777" w:rsidTr="00D06EAD">
        <w:trPr>
          <w:trHeight w:val="3972"/>
        </w:trPr>
        <w:tc>
          <w:tcPr>
            <w:tcW w:w="8856" w:type="dxa"/>
            <w:gridSpan w:val="5"/>
          </w:tcPr>
          <w:p w14:paraId="74277BA8" w14:textId="77777777" w:rsidR="001A400E" w:rsidRDefault="001A400E" w:rsidP="00D06EAD">
            <w:pPr>
              <w:rPr>
                <w:rFonts w:ascii="Arial" w:hAnsi="Arial"/>
                <w:b/>
              </w:rPr>
            </w:pPr>
          </w:p>
          <w:p w14:paraId="29BFC3E2" w14:textId="77777777" w:rsidR="001A400E" w:rsidRPr="00116CE6" w:rsidRDefault="001A400E" w:rsidP="00D06EAD">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A400E" w:rsidRPr="00116CE6" w14:paraId="497A752A" w14:textId="77777777" w:rsidTr="00D06EAD">
              <w:tc>
                <w:tcPr>
                  <w:tcW w:w="6970" w:type="dxa"/>
                </w:tcPr>
                <w:p w14:paraId="3CCA85A6" w14:textId="77777777" w:rsidR="001A400E" w:rsidRPr="00116CE6" w:rsidRDefault="001A400E" w:rsidP="00D06EAD">
                  <w:pPr>
                    <w:rPr>
                      <w:rFonts w:ascii="Arial" w:hAnsi="Arial"/>
                      <w:sz w:val="20"/>
                      <w:szCs w:val="20"/>
                    </w:rPr>
                  </w:pPr>
                </w:p>
                <w:p w14:paraId="40761542" w14:textId="77777777" w:rsidR="001A400E" w:rsidRPr="00116CE6" w:rsidRDefault="001A400E" w:rsidP="00D06EAD">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D1A6AA8" w14:textId="77777777" w:rsidR="001A400E" w:rsidRPr="00116CE6" w:rsidRDefault="001A400E" w:rsidP="00D06EAD">
                  <w:pPr>
                    <w:rPr>
                      <w:rFonts w:ascii="Arial" w:hAnsi="Arial"/>
                      <w:sz w:val="20"/>
                      <w:szCs w:val="20"/>
                    </w:rPr>
                  </w:pPr>
                </w:p>
              </w:tc>
            </w:tr>
            <w:tr w:rsidR="001A400E" w:rsidRPr="00116CE6" w14:paraId="0E984375" w14:textId="77777777" w:rsidTr="00D06EAD">
              <w:tc>
                <w:tcPr>
                  <w:tcW w:w="6970" w:type="dxa"/>
                </w:tcPr>
                <w:p w14:paraId="79EDA6B1" w14:textId="77777777" w:rsidR="001A400E" w:rsidRPr="00116CE6" w:rsidRDefault="001A400E" w:rsidP="00D06EAD">
                  <w:pPr>
                    <w:rPr>
                      <w:rFonts w:ascii="Arial" w:hAnsi="Arial"/>
                      <w:sz w:val="20"/>
                      <w:szCs w:val="20"/>
                    </w:rPr>
                  </w:pPr>
                </w:p>
                <w:p w14:paraId="2D20DDB9" w14:textId="77777777" w:rsidR="001A400E" w:rsidRPr="00116CE6" w:rsidRDefault="001A400E" w:rsidP="00D06EAD">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60E6BAC7" w14:textId="77777777" w:rsidR="001A400E" w:rsidRPr="00116CE6" w:rsidRDefault="001A400E" w:rsidP="00D06EAD">
                  <w:pPr>
                    <w:rPr>
                      <w:rFonts w:ascii="Arial" w:hAnsi="Arial"/>
                      <w:sz w:val="20"/>
                      <w:szCs w:val="20"/>
                    </w:rPr>
                  </w:pPr>
                </w:p>
              </w:tc>
            </w:tr>
            <w:tr w:rsidR="001A400E" w:rsidRPr="00116CE6" w14:paraId="277A88A9" w14:textId="77777777" w:rsidTr="00D06EAD">
              <w:tc>
                <w:tcPr>
                  <w:tcW w:w="6970" w:type="dxa"/>
                </w:tcPr>
                <w:p w14:paraId="026086D8" w14:textId="77777777" w:rsidR="001A400E" w:rsidRPr="00116CE6" w:rsidRDefault="001A400E" w:rsidP="00D06EAD">
                  <w:pPr>
                    <w:rPr>
                      <w:rFonts w:ascii="Arial" w:hAnsi="Arial"/>
                      <w:sz w:val="20"/>
                      <w:szCs w:val="20"/>
                    </w:rPr>
                  </w:pPr>
                </w:p>
                <w:p w14:paraId="4C21CDCE" w14:textId="77777777" w:rsidR="001A400E" w:rsidRPr="00116CE6" w:rsidRDefault="001A400E" w:rsidP="00D06EAD">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7E140AA" w14:textId="77777777" w:rsidR="001A400E" w:rsidRPr="00116CE6" w:rsidRDefault="001A400E" w:rsidP="00D06EAD">
                  <w:pPr>
                    <w:rPr>
                      <w:rFonts w:ascii="Arial" w:hAnsi="Arial"/>
                      <w:sz w:val="20"/>
                      <w:szCs w:val="20"/>
                    </w:rPr>
                  </w:pPr>
                </w:p>
              </w:tc>
            </w:tr>
            <w:tr w:rsidR="001A400E" w:rsidRPr="00116CE6" w14:paraId="4EE6CD4F" w14:textId="77777777" w:rsidTr="00D06EAD">
              <w:tc>
                <w:tcPr>
                  <w:tcW w:w="6970" w:type="dxa"/>
                </w:tcPr>
                <w:p w14:paraId="22D97923" w14:textId="77777777" w:rsidR="001A400E" w:rsidRDefault="001A400E" w:rsidP="00D06EAD">
                  <w:pPr>
                    <w:rPr>
                      <w:rFonts w:ascii="Arial" w:hAnsi="Arial"/>
                      <w:sz w:val="20"/>
                      <w:szCs w:val="20"/>
                    </w:rPr>
                  </w:pPr>
                </w:p>
                <w:p w14:paraId="0C0900F8" w14:textId="77777777" w:rsidR="001A400E" w:rsidRPr="00022345" w:rsidRDefault="001A400E" w:rsidP="00D06EAD">
                  <w:pPr>
                    <w:rPr>
                      <w:rFonts w:ascii="Arial" w:hAnsi="Arial"/>
                      <w:b/>
                      <w:sz w:val="20"/>
                      <w:szCs w:val="20"/>
                    </w:rPr>
                  </w:pPr>
                  <w:r w:rsidRPr="00022345">
                    <w:rPr>
                      <w:rFonts w:ascii="Arial" w:hAnsi="Arial"/>
                      <w:b/>
                      <w:sz w:val="20"/>
                      <w:szCs w:val="20"/>
                    </w:rPr>
                    <w:t>Final Mark</w:t>
                  </w:r>
                </w:p>
                <w:p w14:paraId="5076E7FC" w14:textId="77777777" w:rsidR="001A400E" w:rsidRPr="00116CE6" w:rsidRDefault="001A400E" w:rsidP="00D06EAD">
                  <w:pPr>
                    <w:rPr>
                      <w:rFonts w:ascii="Arial" w:hAnsi="Arial"/>
                      <w:sz w:val="20"/>
                      <w:szCs w:val="20"/>
                    </w:rPr>
                  </w:pPr>
                </w:p>
              </w:tc>
              <w:tc>
                <w:tcPr>
                  <w:tcW w:w="1660" w:type="dxa"/>
                </w:tcPr>
                <w:p w14:paraId="7CAE89BB" w14:textId="77777777" w:rsidR="001A400E" w:rsidRPr="00116CE6" w:rsidRDefault="001A400E" w:rsidP="00D06EAD">
                  <w:pPr>
                    <w:rPr>
                      <w:rFonts w:ascii="Arial" w:hAnsi="Arial"/>
                      <w:sz w:val="20"/>
                      <w:szCs w:val="20"/>
                    </w:rPr>
                  </w:pPr>
                </w:p>
              </w:tc>
            </w:tr>
          </w:tbl>
          <w:p w14:paraId="075F2BA4" w14:textId="77777777" w:rsidR="001A400E" w:rsidRDefault="001A400E" w:rsidP="00D06EAD">
            <w:pPr>
              <w:pStyle w:val="NormalWeb"/>
              <w:spacing w:before="0" w:beforeAutospacing="0" w:after="0" w:afterAutospacing="0"/>
              <w:ind w:left="142" w:right="34"/>
              <w:rPr>
                <w:rFonts w:ascii="Arial" w:hAnsi="Arial" w:cs="Arial"/>
                <w:b/>
                <w:sz w:val="22"/>
                <w:szCs w:val="22"/>
              </w:rPr>
            </w:pPr>
          </w:p>
          <w:p w14:paraId="43F21325" w14:textId="40298E37" w:rsidR="001A400E" w:rsidRPr="001A400E" w:rsidRDefault="001A400E" w:rsidP="001A400E">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8D53B0C" w14:textId="77777777" w:rsidR="001A400E" w:rsidRDefault="001A400E" w:rsidP="00D06EAD">
            <w:pPr>
              <w:pStyle w:val="NormalWeb"/>
              <w:spacing w:before="0" w:beforeAutospacing="0" w:after="0" w:afterAutospacing="0"/>
              <w:rPr>
                <w:rFonts w:ascii="Arial" w:hAnsi="Arial" w:cs="Arial"/>
                <w:b/>
                <w:sz w:val="22"/>
                <w:szCs w:val="22"/>
              </w:rPr>
            </w:pPr>
          </w:p>
          <w:p w14:paraId="67471592" w14:textId="77777777" w:rsidR="001A400E" w:rsidRPr="00230F35" w:rsidRDefault="001A400E" w:rsidP="00D06EAD">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2D13768E" w14:textId="77777777" w:rsidR="001A400E" w:rsidRDefault="001A400E" w:rsidP="00D06EAD">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EB7EA5E" w14:textId="77777777" w:rsidR="001A400E" w:rsidRPr="00001C3B" w:rsidRDefault="001A400E" w:rsidP="00D06EAD">
            <w:pPr>
              <w:pStyle w:val="NormalWeb"/>
              <w:rPr>
                <w:rFonts w:ascii="Arial" w:hAnsi="Arial" w:cs="Arial"/>
                <w:sz w:val="22"/>
                <w:szCs w:val="22"/>
              </w:rPr>
            </w:pPr>
          </w:p>
        </w:tc>
      </w:tr>
      <w:tr w:rsidR="001A400E" w:rsidRPr="00230F35" w14:paraId="11E44B00" w14:textId="77777777" w:rsidTr="00D06EAD">
        <w:trPr>
          <w:trHeight w:val="492"/>
        </w:trPr>
        <w:tc>
          <w:tcPr>
            <w:tcW w:w="6768" w:type="dxa"/>
            <w:gridSpan w:val="3"/>
          </w:tcPr>
          <w:p w14:paraId="33E8572E" w14:textId="77777777" w:rsidR="001A400E" w:rsidRPr="00230F35" w:rsidRDefault="001A400E" w:rsidP="00D06EAD">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36557C0" w14:textId="77777777" w:rsidR="001A400E" w:rsidRPr="00230F35" w:rsidRDefault="001A400E" w:rsidP="00D06EAD">
            <w:pPr>
              <w:pStyle w:val="NormalWeb"/>
              <w:spacing w:after="0"/>
              <w:ind w:left="142" w:right="34"/>
              <w:rPr>
                <w:rFonts w:ascii="Arial" w:hAnsi="Arial" w:cs="Arial"/>
                <w:sz w:val="22"/>
                <w:szCs w:val="22"/>
              </w:rPr>
            </w:pPr>
            <w:r w:rsidRPr="00230F35">
              <w:rPr>
                <w:rFonts w:ascii="Arial" w:hAnsi="Arial" w:cs="Arial"/>
                <w:sz w:val="22"/>
                <w:szCs w:val="22"/>
              </w:rPr>
              <w:t>Date:</w:t>
            </w:r>
          </w:p>
        </w:tc>
      </w:tr>
      <w:tr w:rsidR="001A400E" w:rsidRPr="002F467C" w14:paraId="2E09C85E" w14:textId="77777777" w:rsidTr="00D06EAD">
        <w:tc>
          <w:tcPr>
            <w:tcW w:w="8856" w:type="dxa"/>
            <w:gridSpan w:val="5"/>
          </w:tcPr>
          <w:p w14:paraId="7E1E085A" w14:textId="77777777" w:rsidR="001A400E" w:rsidRPr="00230F35" w:rsidRDefault="001A400E" w:rsidP="00D06EAD">
            <w:pPr>
              <w:pStyle w:val="NormalWeb"/>
              <w:spacing w:before="0" w:beforeAutospacing="0" w:after="0" w:afterAutospacing="0"/>
              <w:ind w:right="-334"/>
              <w:rPr>
                <w:rFonts w:ascii="Arial" w:hAnsi="Arial" w:cs="Arial"/>
                <w:bCs/>
                <w:i/>
                <w:sz w:val="22"/>
                <w:szCs w:val="22"/>
              </w:rPr>
            </w:pPr>
          </w:p>
          <w:p w14:paraId="61335E3A" w14:textId="77777777" w:rsidR="001A400E" w:rsidRPr="00230F35" w:rsidRDefault="001A400E" w:rsidP="00D06EAD">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AB2C8E4" w14:textId="77777777" w:rsidR="001A400E" w:rsidRPr="00230F35" w:rsidRDefault="001A400E" w:rsidP="00D06EAD">
            <w:pPr>
              <w:pStyle w:val="NormalWeb"/>
              <w:spacing w:before="0" w:beforeAutospacing="0" w:after="0" w:afterAutospacing="0"/>
              <w:ind w:right="-334"/>
              <w:rPr>
                <w:rFonts w:ascii="Arial" w:hAnsi="Arial" w:cs="Arial"/>
                <w:b/>
                <w:bCs/>
                <w:sz w:val="22"/>
                <w:szCs w:val="22"/>
              </w:rPr>
            </w:pPr>
          </w:p>
          <w:p w14:paraId="07D182F0" w14:textId="77777777" w:rsidR="001A400E" w:rsidRPr="00230F35" w:rsidRDefault="001A400E" w:rsidP="00D06EA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0B98D5D5" w14:textId="77777777" w:rsidR="001A400E" w:rsidRPr="00230F35" w:rsidRDefault="001A400E" w:rsidP="00D06EAD">
            <w:pPr>
              <w:pStyle w:val="NormalWeb"/>
              <w:spacing w:before="0" w:beforeAutospacing="0" w:after="0" w:afterAutospacing="0"/>
              <w:ind w:right="-334"/>
              <w:rPr>
                <w:rFonts w:ascii="Arial" w:hAnsi="Arial" w:cs="Arial"/>
                <w:bCs/>
                <w:sz w:val="22"/>
                <w:szCs w:val="22"/>
              </w:rPr>
            </w:pPr>
          </w:p>
          <w:p w14:paraId="014FF90A" w14:textId="77777777" w:rsidR="001A400E" w:rsidRPr="00230F35" w:rsidRDefault="001A400E" w:rsidP="00D06EAD">
            <w:pPr>
              <w:pStyle w:val="NormalWeb"/>
              <w:spacing w:before="0" w:beforeAutospacing="0" w:after="0" w:afterAutospacing="0"/>
              <w:ind w:right="-334"/>
              <w:rPr>
                <w:rFonts w:ascii="Arial" w:hAnsi="Arial" w:cs="Arial"/>
                <w:bCs/>
                <w:sz w:val="22"/>
                <w:szCs w:val="22"/>
              </w:rPr>
            </w:pPr>
          </w:p>
          <w:p w14:paraId="7411B1FF" w14:textId="77777777" w:rsidR="001A400E" w:rsidRPr="00230F35" w:rsidRDefault="001A400E" w:rsidP="00D06EAD">
            <w:pPr>
              <w:pStyle w:val="NormalWeb"/>
              <w:spacing w:before="0" w:beforeAutospacing="0" w:after="0" w:afterAutospacing="0"/>
              <w:ind w:right="-334"/>
              <w:rPr>
                <w:rFonts w:ascii="Arial" w:hAnsi="Arial" w:cs="Arial"/>
                <w:bCs/>
                <w:sz w:val="22"/>
                <w:szCs w:val="22"/>
              </w:rPr>
            </w:pPr>
          </w:p>
          <w:p w14:paraId="34B0CD2C" w14:textId="77777777" w:rsidR="001A400E" w:rsidRDefault="001A400E" w:rsidP="00D06EAD">
            <w:pPr>
              <w:pStyle w:val="NormalWeb"/>
              <w:spacing w:before="0" w:beforeAutospacing="0" w:after="0" w:afterAutospacing="0"/>
              <w:ind w:right="-334"/>
              <w:rPr>
                <w:rFonts w:ascii="Arial" w:hAnsi="Arial" w:cs="Arial"/>
                <w:bCs/>
                <w:sz w:val="22"/>
                <w:szCs w:val="22"/>
              </w:rPr>
            </w:pPr>
          </w:p>
          <w:p w14:paraId="07700691" w14:textId="77777777" w:rsidR="001A400E" w:rsidRPr="00230F35" w:rsidRDefault="001A400E" w:rsidP="00D06EAD">
            <w:pPr>
              <w:pStyle w:val="NormalWeb"/>
              <w:spacing w:before="0" w:beforeAutospacing="0" w:after="0" w:afterAutospacing="0"/>
              <w:ind w:right="-334"/>
              <w:rPr>
                <w:rFonts w:ascii="Arial" w:hAnsi="Arial" w:cs="Arial"/>
                <w:bCs/>
                <w:sz w:val="22"/>
                <w:szCs w:val="22"/>
              </w:rPr>
            </w:pPr>
          </w:p>
          <w:p w14:paraId="7DBBF097" w14:textId="77777777" w:rsidR="001A400E" w:rsidRPr="00230F35" w:rsidRDefault="001A400E" w:rsidP="00D06EAD">
            <w:pPr>
              <w:pStyle w:val="NormalWeb"/>
              <w:spacing w:before="0" w:beforeAutospacing="0" w:after="0" w:afterAutospacing="0"/>
              <w:ind w:right="-334"/>
              <w:rPr>
                <w:rFonts w:ascii="Arial" w:hAnsi="Arial" w:cs="Arial"/>
                <w:bCs/>
                <w:sz w:val="22"/>
                <w:szCs w:val="22"/>
              </w:rPr>
            </w:pPr>
          </w:p>
        </w:tc>
      </w:tr>
      <w:tr w:rsidR="001A400E" w:rsidRPr="002F467C" w14:paraId="5AC11B43" w14:textId="77777777" w:rsidTr="00D06EAD">
        <w:trPr>
          <w:trHeight w:val="720"/>
        </w:trPr>
        <w:tc>
          <w:tcPr>
            <w:tcW w:w="5211" w:type="dxa"/>
            <w:gridSpan w:val="2"/>
          </w:tcPr>
          <w:p w14:paraId="48588D33" w14:textId="77777777" w:rsidR="001A400E" w:rsidRPr="00230F35" w:rsidRDefault="001A400E" w:rsidP="00D06EA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082DA935" w14:textId="77777777" w:rsidR="001A400E" w:rsidRPr="00230F35" w:rsidRDefault="001A400E" w:rsidP="00D06EA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1A400E" w:rsidRPr="002F467C" w14:paraId="515C6837" w14:textId="77777777" w:rsidTr="00D06EAD">
        <w:trPr>
          <w:trHeight w:val="720"/>
        </w:trPr>
        <w:tc>
          <w:tcPr>
            <w:tcW w:w="8856" w:type="dxa"/>
            <w:gridSpan w:val="5"/>
          </w:tcPr>
          <w:p w14:paraId="3D3FBE58" w14:textId="77777777" w:rsidR="001A400E" w:rsidRPr="00B34964" w:rsidRDefault="001A400E" w:rsidP="00D06EAD">
            <w:pPr>
              <w:rPr>
                <w:rFonts w:ascii="Arial" w:hAnsi="Arial" w:cs="Arial"/>
                <w:b/>
              </w:rPr>
            </w:pPr>
            <w:r w:rsidRPr="00B34964">
              <w:rPr>
                <w:rFonts w:ascii="Arial" w:hAnsi="Arial" w:cs="Arial"/>
                <w:b/>
              </w:rPr>
              <w:t>External Examiner’s comments (if relevant)</w:t>
            </w:r>
          </w:p>
          <w:p w14:paraId="51760A1D" w14:textId="77777777" w:rsidR="001A400E" w:rsidRPr="00230F35" w:rsidRDefault="001A400E" w:rsidP="00D06EAD">
            <w:pPr>
              <w:pStyle w:val="NormalWeb"/>
              <w:spacing w:before="0" w:beforeAutospacing="0" w:after="0" w:afterAutospacing="0"/>
              <w:ind w:right="-334"/>
              <w:rPr>
                <w:rFonts w:ascii="Arial" w:hAnsi="Arial" w:cs="Arial"/>
                <w:bCs/>
                <w:sz w:val="22"/>
                <w:szCs w:val="22"/>
              </w:rPr>
            </w:pPr>
          </w:p>
          <w:p w14:paraId="386ED3B3" w14:textId="77777777" w:rsidR="001A400E" w:rsidRPr="00230F35" w:rsidRDefault="001A400E" w:rsidP="00D06EAD">
            <w:pPr>
              <w:pStyle w:val="NormalWeb"/>
              <w:spacing w:before="0" w:beforeAutospacing="0" w:after="0" w:afterAutospacing="0"/>
              <w:ind w:right="-334"/>
              <w:rPr>
                <w:rFonts w:ascii="Arial" w:hAnsi="Arial" w:cs="Arial"/>
                <w:bCs/>
                <w:sz w:val="22"/>
                <w:szCs w:val="22"/>
              </w:rPr>
            </w:pPr>
          </w:p>
          <w:p w14:paraId="2D9797AB" w14:textId="77777777" w:rsidR="001A400E" w:rsidRPr="00230F35" w:rsidRDefault="001A400E" w:rsidP="00D06EAD">
            <w:pPr>
              <w:pStyle w:val="NormalWeb"/>
              <w:spacing w:before="0" w:beforeAutospacing="0" w:after="0" w:afterAutospacing="0"/>
              <w:ind w:right="-334"/>
              <w:rPr>
                <w:rFonts w:ascii="Arial" w:hAnsi="Arial" w:cs="Arial"/>
                <w:bCs/>
                <w:sz w:val="22"/>
                <w:szCs w:val="22"/>
              </w:rPr>
            </w:pPr>
          </w:p>
          <w:p w14:paraId="2BA24DFE" w14:textId="77777777" w:rsidR="001A400E" w:rsidRPr="00230F35" w:rsidRDefault="001A400E" w:rsidP="00D06EAD">
            <w:pPr>
              <w:pStyle w:val="NormalWeb"/>
              <w:spacing w:before="0" w:beforeAutospacing="0" w:after="0" w:afterAutospacing="0"/>
              <w:ind w:right="-334"/>
              <w:rPr>
                <w:rFonts w:ascii="Arial" w:hAnsi="Arial" w:cs="Arial"/>
                <w:bCs/>
                <w:sz w:val="22"/>
                <w:szCs w:val="22"/>
              </w:rPr>
            </w:pPr>
          </w:p>
          <w:p w14:paraId="0C96DF12" w14:textId="77777777" w:rsidR="001A400E" w:rsidRDefault="001A400E" w:rsidP="00D06EAD">
            <w:pPr>
              <w:pStyle w:val="NormalWeb"/>
              <w:spacing w:before="0" w:beforeAutospacing="0" w:after="0" w:afterAutospacing="0"/>
              <w:ind w:right="-334"/>
              <w:rPr>
                <w:rFonts w:ascii="Arial" w:hAnsi="Arial" w:cs="Arial"/>
                <w:bCs/>
                <w:sz w:val="22"/>
                <w:szCs w:val="22"/>
              </w:rPr>
            </w:pPr>
          </w:p>
          <w:p w14:paraId="19930719" w14:textId="77777777" w:rsidR="001A400E" w:rsidRPr="00230F35" w:rsidRDefault="001A400E" w:rsidP="00D06EAD">
            <w:pPr>
              <w:pStyle w:val="NormalWeb"/>
              <w:spacing w:before="0" w:beforeAutospacing="0" w:after="0" w:afterAutospacing="0"/>
              <w:ind w:right="-334"/>
              <w:rPr>
                <w:rFonts w:ascii="Arial" w:hAnsi="Arial" w:cs="Arial"/>
                <w:bCs/>
                <w:sz w:val="22"/>
                <w:szCs w:val="22"/>
              </w:rPr>
            </w:pPr>
          </w:p>
          <w:p w14:paraId="5EC1F18C" w14:textId="77777777" w:rsidR="001A400E" w:rsidRPr="00230F35" w:rsidRDefault="001A400E" w:rsidP="00D06EAD">
            <w:pPr>
              <w:pStyle w:val="NormalWeb"/>
              <w:spacing w:before="0" w:beforeAutospacing="0" w:after="0" w:afterAutospacing="0"/>
              <w:ind w:right="-334"/>
              <w:rPr>
                <w:rFonts w:ascii="Arial" w:hAnsi="Arial" w:cs="Arial"/>
                <w:bCs/>
                <w:sz w:val="22"/>
                <w:szCs w:val="22"/>
              </w:rPr>
            </w:pPr>
          </w:p>
        </w:tc>
      </w:tr>
      <w:tr w:rsidR="001A400E" w:rsidRPr="002F467C" w14:paraId="22C73DBD" w14:textId="77777777" w:rsidTr="00D06EAD">
        <w:trPr>
          <w:trHeight w:val="720"/>
        </w:trPr>
        <w:tc>
          <w:tcPr>
            <w:tcW w:w="5211" w:type="dxa"/>
            <w:gridSpan w:val="2"/>
          </w:tcPr>
          <w:p w14:paraId="6116F672" w14:textId="77777777" w:rsidR="001A400E" w:rsidRPr="00230F35" w:rsidRDefault="001A400E" w:rsidP="00D06EAD">
            <w:pPr>
              <w:rPr>
                <w:rFonts w:ascii="Arial" w:hAnsi="Arial" w:cs="Arial"/>
              </w:rPr>
            </w:pPr>
            <w:r w:rsidRPr="00230F35">
              <w:rPr>
                <w:rFonts w:ascii="Arial" w:hAnsi="Arial" w:cs="Arial"/>
              </w:rPr>
              <w:t>External Examiner’s Signature:</w:t>
            </w:r>
          </w:p>
        </w:tc>
        <w:tc>
          <w:tcPr>
            <w:tcW w:w="3645" w:type="dxa"/>
            <w:gridSpan w:val="3"/>
          </w:tcPr>
          <w:p w14:paraId="48F965E7" w14:textId="77777777" w:rsidR="001A400E" w:rsidRPr="00230F35" w:rsidRDefault="001A400E" w:rsidP="00D06EAD">
            <w:pPr>
              <w:rPr>
                <w:rFonts w:ascii="Arial" w:hAnsi="Arial" w:cs="Arial"/>
              </w:rPr>
            </w:pPr>
            <w:r w:rsidRPr="00230F35">
              <w:rPr>
                <w:rFonts w:ascii="Arial" w:hAnsi="Arial" w:cs="Arial"/>
              </w:rPr>
              <w:t>Date:</w:t>
            </w:r>
          </w:p>
        </w:tc>
      </w:tr>
    </w:tbl>
    <w:p w14:paraId="6280AC24" w14:textId="77777777" w:rsidR="002A1784" w:rsidRDefault="002A1784">
      <w:pPr>
        <w:rPr>
          <w:b/>
          <w:bCs/>
          <w:i/>
          <w:iCs/>
          <w:sz w:val="36"/>
          <w:szCs w:val="36"/>
        </w:rPr>
      </w:pPr>
      <w:r>
        <w:rPr>
          <w:b/>
          <w:bCs/>
          <w:i/>
          <w:iCs/>
          <w:sz w:val="36"/>
          <w:szCs w:val="36"/>
        </w:rPr>
        <w:br w:type="page"/>
      </w:r>
    </w:p>
    <w:p w14:paraId="4D38B60E" w14:textId="224C41AF" w:rsidR="00D539C0" w:rsidRPr="00F26EBE" w:rsidRDefault="00D539C0" w:rsidP="002A1784">
      <w:pPr>
        <w:rPr>
          <w:b/>
          <w:bCs/>
          <w:i/>
          <w:iCs/>
          <w:sz w:val="28"/>
          <w:szCs w:val="28"/>
        </w:rPr>
      </w:pPr>
      <w:r w:rsidRPr="009713AD">
        <w:rPr>
          <w:b/>
          <w:bCs/>
          <w:i/>
          <w:iCs/>
          <w:sz w:val="36"/>
          <w:szCs w:val="36"/>
        </w:rPr>
        <w:lastRenderedPageBreak/>
        <w:t>A Critical Comparison of Two Secondary Sources</w:t>
      </w:r>
    </w:p>
    <w:p w14:paraId="71CB21A1" w14:textId="7417B722" w:rsidR="00D539C0" w:rsidRPr="009E5748" w:rsidRDefault="00D539C0" w:rsidP="00D539C0">
      <w:pPr>
        <w:rPr>
          <w:b/>
          <w:bCs/>
        </w:rPr>
      </w:pPr>
      <w:r w:rsidRPr="009E5748">
        <w:rPr>
          <w:b/>
          <w:bCs/>
        </w:rPr>
        <w:t>Introduction</w:t>
      </w:r>
    </w:p>
    <w:p w14:paraId="34BA7AD5" w14:textId="30787DAB" w:rsidR="00F26EBE" w:rsidRDefault="00D539C0" w:rsidP="00F26EBE">
      <w:pPr>
        <w:pStyle w:val="NoSpacing"/>
        <w:spacing w:before="240"/>
        <w:ind w:firstLine="720"/>
      </w:pPr>
      <w:r>
        <w:t xml:space="preserve">This essay will </w:t>
      </w:r>
      <w:r w:rsidRPr="00CF0C30">
        <w:t xml:space="preserve">compare </w:t>
      </w:r>
      <w:r w:rsidR="00CF0C30" w:rsidRPr="00CF0C30">
        <w:t>and contra</w:t>
      </w:r>
      <w:r w:rsidR="0056085C">
        <w:t>s</w:t>
      </w:r>
      <w:r w:rsidR="00CF0C30" w:rsidRPr="00CF0C30">
        <w:t>t Jenny Blain</w:t>
      </w:r>
      <w:r w:rsidR="0013504A">
        <w:t>,</w:t>
      </w:r>
      <w:r w:rsidR="00CF0C30" w:rsidRPr="00CF0C30">
        <w:t xml:space="preserve"> </w:t>
      </w:r>
      <w:r w:rsidR="0013504A" w:rsidRPr="0013504A">
        <w:t xml:space="preserve">Speaking </w:t>
      </w:r>
      <w:proofErr w:type="spellStart"/>
      <w:r w:rsidR="0013504A" w:rsidRPr="0013504A">
        <w:t>Shamanistically</w:t>
      </w:r>
      <w:proofErr w:type="spellEnd"/>
      <w:r w:rsidR="0013504A" w:rsidRPr="0013504A">
        <w:t xml:space="preserve">: </w:t>
      </w:r>
      <w:proofErr w:type="spellStart"/>
      <w:r w:rsidR="0013504A" w:rsidRPr="0013504A">
        <w:t>Seidr</w:t>
      </w:r>
      <w:proofErr w:type="spellEnd"/>
      <w:r w:rsidR="0013504A" w:rsidRPr="0013504A">
        <w:t xml:space="preserve">, Academia and Rationality. </w:t>
      </w:r>
      <w:r w:rsidR="0013504A" w:rsidRPr="00206576">
        <w:rPr>
          <w:rStyle w:val="Emphasis"/>
        </w:rPr>
        <w:t>DISKUS; Online Journal of Religion</w:t>
      </w:r>
      <w:r w:rsidR="0013504A" w:rsidRPr="0013504A">
        <w:t>. (2000)</w:t>
      </w:r>
      <w:r w:rsidR="0013504A">
        <w:t xml:space="preserve"> </w:t>
      </w:r>
      <w:r w:rsidR="00CF0C30" w:rsidRPr="00CF0C30">
        <w:t xml:space="preserve">and </w:t>
      </w:r>
      <w:r w:rsidR="0013504A">
        <w:t xml:space="preserve">Gillian </w:t>
      </w:r>
      <w:r w:rsidR="0013504A" w:rsidRPr="0013504A">
        <w:t xml:space="preserve">Bennet, ‘“If I knew you were coming, I’d have baked a cake”: The Folklore of Foreknowledge in a </w:t>
      </w:r>
      <w:proofErr w:type="spellStart"/>
      <w:r w:rsidR="0013504A" w:rsidRPr="0013504A">
        <w:rPr>
          <w:rFonts w:ascii="Calibri" w:hAnsi="Calibri" w:cs="Calibri"/>
        </w:rPr>
        <w:t>Neighborhood</w:t>
      </w:r>
      <w:proofErr w:type="spellEnd"/>
      <w:r w:rsidR="0013504A" w:rsidRPr="0013504A">
        <w:rPr>
          <w:rFonts w:ascii="Calibri" w:hAnsi="Calibri" w:cs="Calibri"/>
        </w:rPr>
        <w:t xml:space="preserve"> Group’, In Walker, B., ed., </w:t>
      </w:r>
      <w:r w:rsidR="0013504A" w:rsidRPr="00206576">
        <w:rPr>
          <w:rFonts w:ascii="Calibri" w:hAnsi="Calibri" w:cs="Calibri"/>
          <w:i/>
          <w:iCs/>
        </w:rPr>
        <w:t>Out of the Ordinary: Folklore and the Supernatural</w:t>
      </w:r>
      <w:r w:rsidR="0013504A" w:rsidRPr="0013504A">
        <w:rPr>
          <w:rFonts w:ascii="Calibri" w:hAnsi="Calibri" w:cs="Calibri"/>
        </w:rPr>
        <w:t>, (University Press of Colorado, Utah State, 1995), 122-142</w:t>
      </w:r>
      <w:r w:rsidR="006150F1">
        <w:rPr>
          <w:rFonts w:ascii="Calibri" w:hAnsi="Calibri" w:cs="Calibri"/>
        </w:rPr>
        <w:t xml:space="preserve">. It will </w:t>
      </w:r>
      <w:r w:rsidR="006150F1">
        <w:t>critique</w:t>
      </w:r>
      <w:r w:rsidR="00CF0C30" w:rsidRPr="00CF0C30">
        <w:t xml:space="preserve"> how these papers apply principles and practice of qualitative </w:t>
      </w:r>
      <w:r w:rsidR="00791D35" w:rsidRPr="00CF0C30">
        <w:t>research in</w:t>
      </w:r>
      <w:r w:rsidR="00CF0C30" w:rsidRPr="00CF0C30">
        <w:t xml:space="preserve"> relation to contemporary cosmologies,</w:t>
      </w:r>
      <w:r w:rsidR="009F60C7">
        <w:t xml:space="preserve"> </w:t>
      </w:r>
      <w:r w:rsidR="00396EF1">
        <w:t>assessing</w:t>
      </w:r>
      <w:r w:rsidR="009F60C7">
        <w:t xml:space="preserve"> the effectiveness of their literature review, methodologies and reflexivity.</w:t>
      </w:r>
      <w:r w:rsidR="0034772F">
        <w:t xml:space="preserve"> </w:t>
      </w:r>
    </w:p>
    <w:p w14:paraId="177BEEAA" w14:textId="528280AB" w:rsidR="002D58F2" w:rsidRDefault="00791D35" w:rsidP="002D58F2">
      <w:pPr>
        <w:pStyle w:val="NoSpacing"/>
        <w:spacing w:before="240"/>
        <w:ind w:firstLine="720"/>
      </w:pPr>
      <w:r>
        <w:t xml:space="preserve">The first paper is written by </w:t>
      </w:r>
      <w:r w:rsidR="0056085C">
        <w:t>Jenny Blain</w:t>
      </w:r>
      <w:r>
        <w:t xml:space="preserve">, </w:t>
      </w:r>
      <w:r w:rsidR="0056085C">
        <w:rPr>
          <w:lang w:eastAsia="en-GB"/>
        </w:rPr>
        <w:t>a</w:t>
      </w:r>
      <w:r>
        <w:rPr>
          <w:lang w:eastAsia="en-GB"/>
        </w:rPr>
        <w:t xml:space="preserve"> now</w:t>
      </w:r>
      <w:r w:rsidR="0056085C">
        <w:rPr>
          <w:lang w:eastAsia="en-GB"/>
        </w:rPr>
        <w:t xml:space="preserve"> retired</w:t>
      </w:r>
      <w:r w:rsidR="0056085C" w:rsidRPr="0056085C">
        <w:rPr>
          <w:lang w:eastAsia="en-GB"/>
        </w:rPr>
        <w:t xml:space="preserve"> lecturer </w:t>
      </w:r>
      <w:r w:rsidR="0056085C">
        <w:rPr>
          <w:lang w:eastAsia="en-GB"/>
        </w:rPr>
        <w:t>and researcher</w:t>
      </w:r>
      <w:r w:rsidR="002D58F2">
        <w:rPr>
          <w:lang w:eastAsia="en-GB"/>
        </w:rPr>
        <w:t xml:space="preserve"> of</w:t>
      </w:r>
      <w:r w:rsidR="009E5748">
        <w:rPr>
          <w:lang w:eastAsia="en-GB"/>
        </w:rPr>
        <w:t xml:space="preserve"> </w:t>
      </w:r>
      <w:r w:rsidR="0056085C" w:rsidRPr="0056085C">
        <w:rPr>
          <w:lang w:eastAsia="en-GB"/>
        </w:rPr>
        <w:t xml:space="preserve">paganism, shamanism, social theory, and experiential ethnography. </w:t>
      </w:r>
      <w:r w:rsidR="0056085C">
        <w:rPr>
          <w:lang w:eastAsia="en-GB"/>
        </w:rPr>
        <w:t xml:space="preserve">In her paper, </w:t>
      </w:r>
      <w:r w:rsidR="0056085C" w:rsidRPr="00CF0C30">
        <w:t xml:space="preserve">‘Speaking </w:t>
      </w:r>
      <w:proofErr w:type="spellStart"/>
      <w:r w:rsidR="0056085C" w:rsidRPr="00CF0C30">
        <w:t>Shamanistically</w:t>
      </w:r>
      <w:proofErr w:type="spellEnd"/>
      <w:r w:rsidR="0056085C" w:rsidRPr="00CF0C30">
        <w:t xml:space="preserve">: </w:t>
      </w:r>
      <w:proofErr w:type="spellStart"/>
      <w:r w:rsidR="0056085C" w:rsidRPr="00CF0C30">
        <w:t>Seidr</w:t>
      </w:r>
      <w:proofErr w:type="spellEnd"/>
      <w:r w:rsidR="0056085C" w:rsidRPr="00CF0C30">
        <w:t>, Academia and Rationality’</w:t>
      </w:r>
      <w:r w:rsidR="0013504A">
        <w:rPr>
          <w:rStyle w:val="FootnoteReference"/>
        </w:rPr>
        <w:footnoteReference w:id="1"/>
      </w:r>
      <w:r w:rsidR="0056085C">
        <w:t>, she discusses</w:t>
      </w:r>
      <w:r w:rsidR="002D55F9">
        <w:t xml:space="preserve"> the practice of </w:t>
      </w:r>
      <w:proofErr w:type="spellStart"/>
      <w:r w:rsidR="002D55F9">
        <w:t>Seidr</w:t>
      </w:r>
      <w:proofErr w:type="spellEnd"/>
      <w:r w:rsidR="002D55F9">
        <w:t xml:space="preserve">, exploring the phenomenological experiences of </w:t>
      </w:r>
      <w:r w:rsidR="0056085C">
        <w:t>practitioners</w:t>
      </w:r>
      <w:r w:rsidR="002D55F9">
        <w:t xml:space="preserve">, and reflecting on academic practices and </w:t>
      </w:r>
      <w:r w:rsidR="00002E7B">
        <w:t>debates</w:t>
      </w:r>
      <w:r w:rsidR="0056085C">
        <w:t xml:space="preserve"> around the</w:t>
      </w:r>
      <w:r w:rsidR="002D58F2">
        <w:t xml:space="preserve"> overlapping</w:t>
      </w:r>
      <w:r w:rsidR="0056085C">
        <w:t xml:space="preserve"> role</w:t>
      </w:r>
      <w:r w:rsidR="002D58F2">
        <w:t>s</w:t>
      </w:r>
      <w:r w:rsidR="0056085C">
        <w:t xml:space="preserve"> of researcher and practitioner</w:t>
      </w:r>
      <w:r w:rsidR="002D55F9">
        <w:t xml:space="preserve">, including issues of </w:t>
      </w:r>
      <w:r w:rsidR="00A3251A">
        <w:t xml:space="preserve">impartiality and </w:t>
      </w:r>
      <w:r w:rsidR="002D55F9">
        <w:t xml:space="preserve">“going native”. </w:t>
      </w:r>
      <w:r>
        <w:t xml:space="preserve">This paper was published in an online journal, </w:t>
      </w:r>
      <w:proofErr w:type="spellStart"/>
      <w:r>
        <w:t>Diskus</w:t>
      </w:r>
      <w:proofErr w:type="spellEnd"/>
      <w:r>
        <w:t>, in 2000, however it was previously presented at the ‘Going Nature’ conference of the Folklore Centre, Ohio State University, in 1999, and is written in a style more akin to a spoken presentation than an academic research paper</w:t>
      </w:r>
      <w:r w:rsidR="00002E7B">
        <w:t xml:space="preserve">. </w:t>
      </w:r>
    </w:p>
    <w:p w14:paraId="52C80041" w14:textId="60ED556A" w:rsidR="00D539C0" w:rsidRDefault="002D58F2" w:rsidP="002D58F2">
      <w:pPr>
        <w:pStyle w:val="NoSpacing"/>
        <w:spacing w:before="240"/>
        <w:ind w:firstLine="720"/>
        <w:rPr>
          <w:shd w:val="clear" w:color="auto" w:fill="FFFFFF"/>
        </w:rPr>
      </w:pPr>
      <w:r>
        <w:t>T</w:t>
      </w:r>
      <w:r w:rsidR="00791D35">
        <w:t xml:space="preserve">he second paper is written by </w:t>
      </w:r>
      <w:r w:rsidR="00552961">
        <w:t xml:space="preserve">Gillain </w:t>
      </w:r>
      <w:r w:rsidR="00D539C0">
        <w:t>Bennet</w:t>
      </w:r>
      <w:r w:rsidR="00552961">
        <w:t xml:space="preserve">, a </w:t>
      </w:r>
      <w:r w:rsidR="00552961" w:rsidRPr="00552961">
        <w:t xml:space="preserve">founding member of International Society for Contemporary Legend Research, and </w:t>
      </w:r>
      <w:r w:rsidR="00552961">
        <w:t>a</w:t>
      </w:r>
      <w:r w:rsidR="00552961" w:rsidRPr="00552961">
        <w:t xml:space="preserve"> former editor</w:t>
      </w:r>
      <w:r w:rsidR="00552961">
        <w:t xml:space="preserve"> of the Folklore journal (1994-2002), known for </w:t>
      </w:r>
      <w:r w:rsidR="008E77AE">
        <w:t>her</w:t>
      </w:r>
      <w:r w:rsidR="00552961">
        <w:t xml:space="preserve"> scholarly work on</w:t>
      </w:r>
      <w:r w:rsidR="00552961">
        <w:rPr>
          <w:shd w:val="clear" w:color="auto" w:fill="FFFFFF"/>
        </w:rPr>
        <w:t xml:space="preserve"> contemporary legends, supernatural belief,</w:t>
      </w:r>
      <w:r w:rsidR="009E5748">
        <w:rPr>
          <w:shd w:val="clear" w:color="auto" w:fill="FFFFFF"/>
        </w:rPr>
        <w:t xml:space="preserve"> and</w:t>
      </w:r>
      <w:r w:rsidR="00552961">
        <w:rPr>
          <w:shd w:val="clear" w:color="auto" w:fill="FFFFFF"/>
        </w:rPr>
        <w:t xml:space="preserve"> history of folklore. </w:t>
      </w:r>
      <w:r w:rsidR="008E77AE">
        <w:rPr>
          <w:shd w:val="clear" w:color="auto" w:fill="FFFFFF"/>
        </w:rPr>
        <w:t>Her</w:t>
      </w:r>
      <w:r w:rsidR="00552961">
        <w:rPr>
          <w:shd w:val="clear" w:color="auto" w:fill="FFFFFF"/>
        </w:rPr>
        <w:t xml:space="preserve"> paper, </w:t>
      </w:r>
      <w:r w:rsidR="00552961" w:rsidRPr="00CF0C30">
        <w:t xml:space="preserve">‘“If I knew you were coming, I’d have baked a cake”: The Folklore of Foreknowledge in a </w:t>
      </w:r>
      <w:proofErr w:type="spellStart"/>
      <w:r w:rsidR="00552961" w:rsidRPr="00CF0C30">
        <w:t>Neighborhood</w:t>
      </w:r>
      <w:proofErr w:type="spellEnd"/>
      <w:r w:rsidR="00552961" w:rsidRPr="00CF0C30">
        <w:t xml:space="preserve"> Group,’</w:t>
      </w:r>
      <w:r w:rsidR="0013504A">
        <w:rPr>
          <w:rStyle w:val="FootnoteReference"/>
        </w:rPr>
        <w:footnoteReference w:id="2"/>
      </w:r>
      <w:r w:rsidR="007A157E">
        <w:t xml:space="preserve"> </w:t>
      </w:r>
      <w:r w:rsidR="004132C6">
        <w:t xml:space="preserve">investigates how a group of </w:t>
      </w:r>
      <w:r w:rsidR="004132C6" w:rsidRPr="00552961">
        <w:rPr>
          <w:shd w:val="clear" w:color="auto" w:fill="FFFFFF"/>
        </w:rPr>
        <w:t xml:space="preserve">elderly women in the author's hometown </w:t>
      </w:r>
      <w:r w:rsidR="004132C6">
        <w:rPr>
          <w:shd w:val="clear" w:color="auto" w:fill="FFFFFF"/>
        </w:rPr>
        <w:t xml:space="preserve">shape their belief in folklore and foreknowledge, looking at it in terms of their </w:t>
      </w:r>
      <w:r w:rsidR="00552961" w:rsidRPr="00552961">
        <w:rPr>
          <w:shd w:val="clear" w:color="auto" w:fill="FFFFFF"/>
        </w:rPr>
        <w:t xml:space="preserve">social situation and moral code. </w:t>
      </w:r>
    </w:p>
    <w:p w14:paraId="23BD4136" w14:textId="77777777" w:rsidR="00DD4084" w:rsidRDefault="00DD4084" w:rsidP="00DD4084">
      <w:pPr>
        <w:pStyle w:val="NoSpacing"/>
        <w:spacing w:before="240"/>
        <w:rPr>
          <w:shd w:val="clear" w:color="auto" w:fill="FFFFFF"/>
        </w:rPr>
      </w:pPr>
    </w:p>
    <w:p w14:paraId="087D14DA" w14:textId="77777777" w:rsidR="0034772F" w:rsidRPr="000724ED" w:rsidRDefault="0034772F" w:rsidP="0034772F">
      <w:pPr>
        <w:rPr>
          <w:b/>
          <w:bCs/>
        </w:rPr>
      </w:pPr>
      <w:r w:rsidRPr="000724ED">
        <w:rPr>
          <w:b/>
          <w:bCs/>
        </w:rPr>
        <w:t>Literature Review</w:t>
      </w:r>
    </w:p>
    <w:p w14:paraId="555A86ED" w14:textId="68B8CFFC" w:rsidR="0034772F" w:rsidRDefault="0034772F" w:rsidP="0034772F">
      <w:pPr>
        <w:ind w:firstLine="360"/>
      </w:pPr>
      <w:r>
        <w:t xml:space="preserve">The authors approach the literature review of their papers quite differently, </w:t>
      </w:r>
      <w:r w:rsidR="009E5748">
        <w:t xml:space="preserve">with varying </w:t>
      </w:r>
      <w:r>
        <w:t>effectiveness. The role of the literature review within an academic research paper is to ‘contextualise the study’</w:t>
      </w:r>
      <w:r>
        <w:rPr>
          <w:rStyle w:val="FootnoteReference"/>
        </w:rPr>
        <w:footnoteReference w:id="3"/>
      </w:r>
      <w:r>
        <w:t xml:space="preserve"> and it ‘should provide the reader with a picture […] of the state of knowledge and of major questions on the subject.’</w:t>
      </w:r>
      <w:r>
        <w:rPr>
          <w:rStyle w:val="FootnoteReference"/>
        </w:rPr>
        <w:footnoteReference w:id="4"/>
      </w:r>
      <w:r>
        <w:t xml:space="preserve"> This tells the reader how the current research relates to previous research and theory,</w:t>
      </w:r>
      <w:r w:rsidR="00474399">
        <w:t xml:space="preserve"> to make clear</w:t>
      </w:r>
      <w:r>
        <w:t xml:space="preserve"> what this paper is contributing to the wider understanding of a topic. </w:t>
      </w:r>
      <w:r w:rsidR="00CC556B" w:rsidRPr="00CC556B">
        <w:t xml:space="preserve">Blain begins her </w:t>
      </w:r>
      <w:r w:rsidR="00CC556B">
        <w:t>paper</w:t>
      </w:r>
      <w:r w:rsidR="00CC556B" w:rsidRPr="00CC556B">
        <w:t xml:space="preserve"> with a very </w:t>
      </w:r>
      <w:r w:rsidR="00CC556B">
        <w:t>limited</w:t>
      </w:r>
      <w:r w:rsidR="00CC556B" w:rsidRPr="00CC556B">
        <w:t xml:space="preserve"> literature review, defining the philosophical standpoint </w:t>
      </w:r>
      <w:r w:rsidR="00474399">
        <w:t>of</w:t>
      </w:r>
      <w:r w:rsidR="00CC556B" w:rsidRPr="00CC556B">
        <w:t xml:space="preserve"> </w:t>
      </w:r>
      <w:r w:rsidR="008E77AE">
        <w:t>her</w:t>
      </w:r>
      <w:r w:rsidR="00CC556B" w:rsidRPr="00CC556B">
        <w:t xml:space="preserve"> discussion, </w:t>
      </w:r>
      <w:r w:rsidR="00474399">
        <w:t>after</w:t>
      </w:r>
      <w:r w:rsidR="00CC556B" w:rsidRPr="00CC556B">
        <w:t xml:space="preserve"> which </w:t>
      </w:r>
      <w:r w:rsidR="00CC556B">
        <w:t>she</w:t>
      </w:r>
      <w:r w:rsidR="00CC556B" w:rsidRPr="00CC556B">
        <w:t xml:space="preserve"> largely refer</w:t>
      </w:r>
      <w:r w:rsidR="00CC556B">
        <w:t>s</w:t>
      </w:r>
      <w:r w:rsidR="00CC556B" w:rsidRPr="00CC556B">
        <w:t xml:space="preserve"> to </w:t>
      </w:r>
      <w:r w:rsidR="00474399">
        <w:t>her</w:t>
      </w:r>
      <w:r w:rsidR="00CC556B" w:rsidRPr="00CC556B">
        <w:t xml:space="preserve"> own past work on </w:t>
      </w:r>
      <w:proofErr w:type="spellStart"/>
      <w:r w:rsidR="00CC556B" w:rsidRPr="00CC556B">
        <w:t>Seidr</w:t>
      </w:r>
      <w:proofErr w:type="spellEnd"/>
      <w:r w:rsidR="00CC556B" w:rsidRPr="00CC556B">
        <w:t>.</w:t>
      </w:r>
      <w:r w:rsidR="00CC556B">
        <w:t xml:space="preserve"> </w:t>
      </w:r>
      <w:r w:rsidR="00CC556B" w:rsidRPr="00CC556B">
        <w:t xml:space="preserve">As a result, this literature review does not serve the academic purpose of giving context </w:t>
      </w:r>
      <w:r w:rsidR="00474399">
        <w:t>of</w:t>
      </w:r>
      <w:r w:rsidR="00CC556B" w:rsidRPr="00CC556B">
        <w:t xml:space="preserve"> existing </w:t>
      </w:r>
      <w:r w:rsidR="00474399">
        <w:t>knowledge</w:t>
      </w:r>
      <w:r w:rsidR="00CC556B" w:rsidRPr="00CC556B">
        <w:t>.</w:t>
      </w:r>
      <w:r>
        <w:t xml:space="preserve"> Blain instead opens her paper with a more poetic, narrative style, introducing a </w:t>
      </w:r>
      <w:r>
        <w:lastRenderedPageBreak/>
        <w:t xml:space="preserve">story of going through </w:t>
      </w:r>
      <w:r w:rsidR="006150F1">
        <w:t xml:space="preserve">the </w:t>
      </w:r>
      <w:r>
        <w:t>airport and having to tick multiple boxes at immigration for a trip that is both business and pleasure. She does not present past research or theory on similar critiques of ethnography to put her discussion into context, despite there being more than a decade of published material on this topic</w:t>
      </w:r>
      <w:r w:rsidR="006150F1">
        <w:t>. For example</w:t>
      </w:r>
      <w:r w:rsidR="00F225E6">
        <w:t>, in 1987</w:t>
      </w:r>
      <w:r w:rsidR="006150F1">
        <w:t>,</w:t>
      </w:r>
      <w:r>
        <w:t xml:space="preserve"> </w:t>
      </w:r>
      <w:r w:rsidR="00474399">
        <w:t xml:space="preserve">Patricia </w:t>
      </w:r>
      <w:r w:rsidR="007F5BC7">
        <w:t>and</w:t>
      </w:r>
      <w:r>
        <w:t xml:space="preserve"> </w:t>
      </w:r>
      <w:r w:rsidR="00474399">
        <w:t xml:space="preserve">Peter </w:t>
      </w:r>
      <w:r>
        <w:t>Adler</w:t>
      </w:r>
      <w:r>
        <w:rPr>
          <w:rStyle w:val="FootnoteReference"/>
        </w:rPr>
        <w:footnoteReference w:id="5"/>
      </w:r>
      <w:r>
        <w:t xml:space="preserve">, </w:t>
      </w:r>
      <w:r w:rsidR="00474399">
        <w:t>compare</w:t>
      </w:r>
      <w:r w:rsidR="006150F1">
        <w:t>d</w:t>
      </w:r>
      <w:r w:rsidR="00474399">
        <w:t xml:space="preserve"> and distinguish</w:t>
      </w:r>
      <w:r w:rsidR="006150F1">
        <w:t>ed</w:t>
      </w:r>
      <w:r w:rsidR="00474399">
        <w:t xml:space="preserve"> between</w:t>
      </w:r>
      <w:r>
        <w:t xml:space="preserve"> the different membership roles in research</w:t>
      </w:r>
      <w:r w:rsidR="006150F1">
        <w:t xml:space="preserve">, </w:t>
      </w:r>
      <w:r w:rsidR="00F225E6">
        <w:t xml:space="preserve">using </w:t>
      </w:r>
      <w:r w:rsidR="006150F1">
        <w:t xml:space="preserve">similar category distinctions </w:t>
      </w:r>
      <w:r w:rsidR="00F225E6">
        <w:t>to</w:t>
      </w:r>
      <w:r w:rsidR="006150F1">
        <w:t xml:space="preserve"> Blain</w:t>
      </w:r>
      <w:r w:rsidR="00967589">
        <w:t xml:space="preserve">. Additionally, </w:t>
      </w:r>
      <w:r w:rsidR="006150F1">
        <w:t>T</w:t>
      </w:r>
      <w:r w:rsidR="00474399">
        <w:t xml:space="preserve">ed </w:t>
      </w:r>
      <w:r w:rsidRPr="00AB6633">
        <w:t>Aoki</w:t>
      </w:r>
      <w:r>
        <w:rPr>
          <w:rStyle w:val="FootnoteReference"/>
        </w:rPr>
        <w:footnoteReference w:id="6"/>
      </w:r>
      <w:r>
        <w:t xml:space="preserve"> had </w:t>
      </w:r>
      <w:r w:rsidR="00474399">
        <w:t xml:space="preserve">previously </w:t>
      </w:r>
      <w:r>
        <w:t>discussed ideas of hyphening</w:t>
      </w:r>
      <w:r w:rsidR="00474399">
        <w:t xml:space="preserve">; </w:t>
      </w:r>
      <w:r>
        <w:t>being inside and outside a group that you are researching.</w:t>
      </w:r>
      <w:r w:rsidRPr="0018774E">
        <w:t xml:space="preserve"> </w:t>
      </w:r>
      <w:r w:rsidR="00F225E6">
        <w:t xml:space="preserve">Blain’s perspective could have been clearer if discussed in the context of earlier research </w:t>
      </w:r>
      <w:r w:rsidR="002E0AD6">
        <w:t xml:space="preserve">and theory, </w:t>
      </w:r>
      <w:r w:rsidR="00F225E6">
        <w:t xml:space="preserve">such as this. </w:t>
      </w:r>
    </w:p>
    <w:p w14:paraId="24C22FD5" w14:textId="7F7524EC" w:rsidR="0034772F" w:rsidRDefault="0034772F" w:rsidP="0034772F">
      <w:pPr>
        <w:ind w:firstLine="360"/>
      </w:pPr>
      <w:r>
        <w:t xml:space="preserve">Bennet’s literature review, conversely, is more typically structured. It begins with historical perspectives and classifications of omens, divination and foresight, drawing on publications from the </w:t>
      </w:r>
      <w:r w:rsidR="001F543D">
        <w:t>seventeenth</w:t>
      </w:r>
      <w:r>
        <w:t xml:space="preserve">, </w:t>
      </w:r>
      <w:r w:rsidR="001F543D">
        <w:t>eighteenth</w:t>
      </w:r>
      <w:r>
        <w:t xml:space="preserve"> and </w:t>
      </w:r>
      <w:r w:rsidR="001F543D">
        <w:t>nineteenth</w:t>
      </w:r>
      <w:r>
        <w:t xml:space="preserve"> centuries</w:t>
      </w:r>
      <w:r w:rsidR="006D558F">
        <w:t xml:space="preserve">, then sharing </w:t>
      </w:r>
      <w:r w:rsidR="001F543D">
        <w:t>twentieth</w:t>
      </w:r>
      <w:r w:rsidR="00721AB3">
        <w:t xml:space="preserve"> century</w:t>
      </w:r>
      <w:r>
        <w:t xml:space="preserve"> prevalence studies </w:t>
      </w:r>
      <w:r w:rsidR="00620687">
        <w:t xml:space="preserve">of extra-sensory perception from the </w:t>
      </w:r>
      <w:r>
        <w:t xml:space="preserve">USA, UK and Finland. </w:t>
      </w:r>
      <w:r w:rsidR="00620687" w:rsidRPr="00620687">
        <w:t>While this provides a broad historical framework, it is unclear why she did not incorporate more recent studies on folklore belief to bring the literature review and context for the paper up to date.</w:t>
      </w:r>
      <w:r w:rsidR="00620687">
        <w:t xml:space="preserve"> </w:t>
      </w:r>
      <w:r w:rsidR="00721AB3">
        <w:t>T</w:t>
      </w:r>
      <w:r>
        <w:t>herefore</w:t>
      </w:r>
      <w:r w:rsidR="00721AB3">
        <w:t xml:space="preserve">, </w:t>
      </w:r>
      <w:r w:rsidR="009910DE">
        <w:t xml:space="preserve">similar to Blain’s paper, </w:t>
      </w:r>
      <w:r w:rsidR="006D558F">
        <w:t>this research’s academic context is not clearly outlined</w:t>
      </w:r>
      <w:r>
        <w:t>.</w:t>
      </w:r>
    </w:p>
    <w:p w14:paraId="5054CA60" w14:textId="77777777" w:rsidR="00967589" w:rsidRDefault="000B068A" w:rsidP="0034772F">
      <w:pPr>
        <w:ind w:firstLine="360"/>
      </w:pPr>
      <w:r>
        <w:t>The literature</w:t>
      </w:r>
      <w:r w:rsidR="0034772F">
        <w:t xml:space="preserve"> review</w:t>
      </w:r>
      <w:r>
        <w:t>’s other function</w:t>
      </w:r>
      <w:r w:rsidR="0034772F">
        <w:t xml:space="preserve"> is </w:t>
      </w:r>
      <w:r>
        <w:t xml:space="preserve">to </w:t>
      </w:r>
      <w:r w:rsidR="0034772F">
        <w:t xml:space="preserve">help </w:t>
      </w:r>
      <w:r w:rsidR="00721AB3">
        <w:t>outline</w:t>
      </w:r>
      <w:r w:rsidR="0034772F">
        <w:t xml:space="preserve"> how the author intends to approach their study, ‘establishing a map or framework of how the research will be conducted’</w:t>
      </w:r>
      <w:r w:rsidR="0034772F">
        <w:rPr>
          <w:rStyle w:val="FootnoteReference"/>
        </w:rPr>
        <w:footnoteReference w:id="7"/>
      </w:r>
      <w:r w:rsidR="0034525C">
        <w:t>.</w:t>
      </w:r>
      <w:r w:rsidR="0034772F">
        <w:t xml:space="preserve"> While Blain’s literature review </w:t>
      </w:r>
      <w:r>
        <w:t>departs significantly</w:t>
      </w:r>
      <w:r w:rsidR="0034772F">
        <w:t xml:space="preserve"> from </w:t>
      </w:r>
      <w:r>
        <w:t>the formal</w:t>
      </w:r>
      <w:r w:rsidR="0034772F">
        <w:t xml:space="preserve"> style and role of the literature review, </w:t>
      </w:r>
      <w:r w:rsidRPr="000B068A">
        <w:t xml:space="preserve">it still fulfils a purpose by acclimating the reader to the style of the rest of the paper through the use of storytelling and analogy, which permeates the discussion that follows. Although </w:t>
      </w:r>
      <w:r>
        <w:t>not a</w:t>
      </w:r>
      <w:r w:rsidRPr="000B068A">
        <w:t xml:space="preserve"> blueprint or structure, it helps get the reader ready for </w:t>
      </w:r>
      <w:r w:rsidR="008E77AE">
        <w:t>her</w:t>
      </w:r>
      <w:r w:rsidRPr="000B068A">
        <w:t xml:space="preserve"> subsequent </w:t>
      </w:r>
      <w:r>
        <w:t>approach</w:t>
      </w:r>
      <w:r w:rsidRPr="000B068A">
        <w:t>.</w:t>
      </w:r>
      <w:r w:rsidR="00967589">
        <w:t xml:space="preserve"> </w:t>
      </w:r>
    </w:p>
    <w:p w14:paraId="48B1B3F4" w14:textId="066D4903" w:rsidR="0034772F" w:rsidRDefault="0034772F" w:rsidP="0034772F">
      <w:pPr>
        <w:ind w:firstLine="360"/>
      </w:pPr>
      <w:r>
        <w:t>Similarly, Bennet’s discussion of past classification and prevalence research</w:t>
      </w:r>
      <w:r w:rsidR="00587A6A">
        <w:t xml:space="preserve"> </w:t>
      </w:r>
      <w:r w:rsidR="00587A6A" w:rsidRPr="00587A6A">
        <w:t>is relevant to her subsequent handling of her own</w:t>
      </w:r>
      <w:r w:rsidR="00587A6A">
        <w:t xml:space="preserve"> findings</w:t>
      </w:r>
      <w:r w:rsidR="00587A6A" w:rsidRPr="00587A6A">
        <w:t>, in which she summarises the prevalence of belief among community subgroups in tables and intext data and discusses the categori</w:t>
      </w:r>
      <w:r w:rsidR="00587A6A">
        <w:t>s</w:t>
      </w:r>
      <w:r w:rsidR="00587A6A" w:rsidRPr="00587A6A">
        <w:t>ation of her respondents' beliefs.</w:t>
      </w:r>
      <w:r w:rsidR="00587A6A">
        <w:t xml:space="preserve"> </w:t>
      </w:r>
      <w:r>
        <w:t>However, Bennet does not make explicit how</w:t>
      </w:r>
      <w:r w:rsidR="00F225E6">
        <w:t xml:space="preserve"> this</w:t>
      </w:r>
      <w:r>
        <w:t xml:space="preserve"> </w:t>
      </w:r>
      <w:r w:rsidR="00F225E6">
        <w:t>previous</w:t>
      </w:r>
      <w:r w:rsidR="00587A6A">
        <w:t xml:space="preserve"> research shaped her research design</w:t>
      </w:r>
      <w:r>
        <w:t>; for example, whether she codified her data as</w:t>
      </w:r>
      <w:r w:rsidR="0034525C">
        <w:t xml:space="preserve"> per</w:t>
      </w:r>
      <w:r>
        <w:t xml:space="preserve"> prior classifications, or measured prevalence in the same way </w:t>
      </w:r>
      <w:r w:rsidR="0034525C">
        <w:t xml:space="preserve">as </w:t>
      </w:r>
      <w:r w:rsidR="00967589">
        <w:t>earlier</w:t>
      </w:r>
      <w:r w:rsidR="0034525C">
        <w:t xml:space="preserve"> research </w:t>
      </w:r>
      <w:r>
        <w:t>to allow</w:t>
      </w:r>
      <w:r w:rsidR="0034525C">
        <w:t xml:space="preserve"> valid</w:t>
      </w:r>
      <w:r>
        <w:t xml:space="preserve"> comparison. </w:t>
      </w:r>
      <w:r w:rsidR="00587A6A">
        <w:t>In her later discussion, she made little connection to her literature review in order to contextualise the new finds with past research</w:t>
      </w:r>
      <w:r>
        <w:t xml:space="preserve">. </w:t>
      </w:r>
      <w:r w:rsidR="00587A6A">
        <w:t>The literature review is also supposed to be</w:t>
      </w:r>
      <w:r w:rsidR="0034525C">
        <w:t xml:space="preserve"> ‘a standard precursor to the presentation of the results of the report’</w:t>
      </w:r>
      <w:r w:rsidR="0034525C">
        <w:rPr>
          <w:rStyle w:val="FootnoteReference"/>
        </w:rPr>
        <w:footnoteReference w:id="8"/>
      </w:r>
      <w:r>
        <w:t>,</w:t>
      </w:r>
      <w:r w:rsidR="0034525C">
        <w:t xml:space="preserve"> whereas</w:t>
      </w:r>
      <w:r>
        <w:t xml:space="preserve"> Bennet include</w:t>
      </w:r>
      <w:r w:rsidR="0034525C">
        <w:t>s</w:t>
      </w:r>
      <w:r>
        <w:t xml:space="preserve"> research findings in he</w:t>
      </w:r>
      <w:r w:rsidR="00587A6A">
        <w:t>rs</w:t>
      </w:r>
      <w:r>
        <w:t xml:space="preserve">, </w:t>
      </w:r>
      <w:r w:rsidR="00453518">
        <w:t>before she even outlines her methods</w:t>
      </w:r>
      <w:r w:rsidR="00ED0F1B">
        <w:t xml:space="preserve">. These factors make parts of the literature review </w:t>
      </w:r>
      <w:r>
        <w:t>difficult to follow</w:t>
      </w:r>
      <w:r w:rsidR="00ED0F1B">
        <w:t xml:space="preserve"> and make its relevance to </w:t>
      </w:r>
      <w:r w:rsidR="00721AB3">
        <w:t>the rest of the paper less clear.</w:t>
      </w:r>
    </w:p>
    <w:p w14:paraId="0FC9F860" w14:textId="77777777" w:rsidR="0034772F" w:rsidRDefault="0034772F" w:rsidP="0034772F"/>
    <w:p w14:paraId="4C72928E" w14:textId="688DF67E" w:rsidR="0034772F" w:rsidRPr="0034772F" w:rsidRDefault="005F0F0E" w:rsidP="0034772F">
      <w:pPr>
        <w:rPr>
          <w:b/>
          <w:bCs/>
        </w:rPr>
      </w:pPr>
      <w:r>
        <w:rPr>
          <w:b/>
          <w:bCs/>
        </w:rPr>
        <w:t>Methodologies</w:t>
      </w:r>
    </w:p>
    <w:p w14:paraId="2036B75B" w14:textId="514EAD45" w:rsidR="00AF1B5D" w:rsidRDefault="0034772F" w:rsidP="000A4F63">
      <w:pPr>
        <w:ind w:firstLine="720"/>
      </w:pPr>
      <w:r>
        <w:t>A methods section ‘explains how the problem was investigated, and why particular methods and techniques were employed’</w:t>
      </w:r>
      <w:r>
        <w:rPr>
          <w:rStyle w:val="FootnoteReference"/>
        </w:rPr>
        <w:footnoteReference w:id="9"/>
      </w:r>
      <w:r>
        <w:t xml:space="preserve"> giving detail and justification for those choices. It also provides us ‘accounts of procedure, size of sample, method of selection, […] and tests of measurement and statistical analysis.’ </w:t>
      </w:r>
      <w:r w:rsidR="00D65A6F">
        <w:t>Blain’s paper</w:t>
      </w:r>
      <w:r w:rsidR="006373C3">
        <w:t xml:space="preserve"> lack </w:t>
      </w:r>
      <w:r w:rsidR="00D65A6F">
        <w:t>a methods section</w:t>
      </w:r>
      <w:r w:rsidR="006373C3">
        <w:t xml:space="preserve"> and she does not </w:t>
      </w:r>
      <w:r w:rsidR="00D65A6F">
        <w:t xml:space="preserve">explicitly state </w:t>
      </w:r>
      <w:r w:rsidR="006373C3">
        <w:t xml:space="preserve">her </w:t>
      </w:r>
      <w:r w:rsidR="006373C3">
        <w:lastRenderedPageBreak/>
        <w:t>process</w:t>
      </w:r>
      <w:r w:rsidR="002C4B0C">
        <w:t xml:space="preserve">, however, </w:t>
      </w:r>
      <w:r w:rsidR="006373C3">
        <w:t xml:space="preserve">from her description, we may infer that her methods were ethnography and </w:t>
      </w:r>
      <w:proofErr w:type="spellStart"/>
      <w:r w:rsidR="006373C3">
        <w:t>autoethography</w:t>
      </w:r>
      <w:proofErr w:type="spellEnd"/>
      <w:r w:rsidR="002C4B0C">
        <w:t xml:space="preserve">. </w:t>
      </w:r>
      <w:r w:rsidR="00D65A6F">
        <w:t>Ethnography</w:t>
      </w:r>
      <w:r w:rsidR="006373C3">
        <w:t xml:space="preserve"> is </w:t>
      </w:r>
      <w:r w:rsidR="00D65A6F">
        <w:t xml:space="preserve">described as </w:t>
      </w:r>
      <w:r w:rsidR="002C4B0C">
        <w:t>‘The study of people in naturally occurring settings or “fields” by means of methods which capture their social meanings and ordinary activities’</w:t>
      </w:r>
      <w:r w:rsidR="002C4B0C">
        <w:rPr>
          <w:rStyle w:val="FootnoteReference"/>
        </w:rPr>
        <w:footnoteReference w:id="10"/>
      </w:r>
      <w:r w:rsidR="006373C3">
        <w:t xml:space="preserve">. It is </w:t>
      </w:r>
      <w:r w:rsidR="00DE2274">
        <w:t xml:space="preserve">an </w:t>
      </w:r>
      <w:r w:rsidR="006373C3">
        <w:t xml:space="preserve">appropriate </w:t>
      </w:r>
      <w:r w:rsidR="00DE2274">
        <w:t xml:space="preserve">method </w:t>
      </w:r>
      <w:r w:rsidR="006373C3">
        <w:t xml:space="preserve">for studying the practices of </w:t>
      </w:r>
      <w:proofErr w:type="spellStart"/>
      <w:r w:rsidR="006373C3">
        <w:t>Seidr</w:t>
      </w:r>
      <w:proofErr w:type="spellEnd"/>
      <w:r w:rsidR="00DE2274">
        <w:t xml:space="preserve">, </w:t>
      </w:r>
      <w:r w:rsidR="006373C3">
        <w:t xml:space="preserve">as </w:t>
      </w:r>
      <w:r w:rsidR="00DE2274">
        <w:t xml:space="preserve">in addition to </w:t>
      </w:r>
      <w:r w:rsidR="00967589">
        <w:t>‘</w:t>
      </w:r>
      <w:proofErr w:type="spellStart"/>
      <w:r w:rsidR="00967589">
        <w:t>provid</w:t>
      </w:r>
      <w:proofErr w:type="spellEnd"/>
      <w:r w:rsidR="00DE2274">
        <w:t>[</w:t>
      </w:r>
      <w:proofErr w:type="spellStart"/>
      <w:r w:rsidR="00DE2274">
        <w:t>ing</w:t>
      </w:r>
      <w:proofErr w:type="spellEnd"/>
      <w:r w:rsidR="00DE2274">
        <w:t>]</w:t>
      </w:r>
      <w:r w:rsidR="00967589">
        <w:t xml:space="preserve"> insight into people’s behaviour’ and ‘context to behaviour’</w:t>
      </w:r>
      <w:r w:rsidR="006373C3">
        <w:rPr>
          <w:rStyle w:val="FootnoteReference"/>
        </w:rPr>
        <w:footnoteReference w:id="11"/>
      </w:r>
      <w:r w:rsidR="006373C3">
        <w:t xml:space="preserve"> </w:t>
      </w:r>
      <w:r w:rsidR="00DE2274">
        <w:t>it also enables her to be</w:t>
      </w:r>
      <w:r w:rsidR="006373C3">
        <w:t xml:space="preserve"> ‘aware of contextual nuances’</w:t>
      </w:r>
      <w:r w:rsidR="006373C3">
        <w:rPr>
          <w:rStyle w:val="FootnoteReference"/>
        </w:rPr>
        <w:footnoteReference w:id="12"/>
      </w:r>
      <w:r w:rsidR="006373C3">
        <w:t xml:space="preserve"> in ways </w:t>
      </w:r>
      <w:r w:rsidR="00DE2274">
        <w:t>other approaches could overlook</w:t>
      </w:r>
      <w:r w:rsidR="002C4B0C">
        <w:t xml:space="preserve">. </w:t>
      </w:r>
      <w:r w:rsidR="00AF1B5D">
        <w:t xml:space="preserve">While it is possible to </w:t>
      </w:r>
      <w:r w:rsidR="00251B19">
        <w:t>identify</w:t>
      </w:r>
      <w:r w:rsidR="00AF1B5D">
        <w:t xml:space="preserve"> Blain’s method, </w:t>
      </w:r>
      <w:r w:rsidR="00AC0553">
        <w:t>the paper</w:t>
      </w:r>
      <w:r w:rsidR="00AF1B5D">
        <w:t xml:space="preserve"> does not provide us </w:t>
      </w:r>
      <w:r w:rsidR="00251B19">
        <w:t>any further detail</w:t>
      </w:r>
      <w:r w:rsidR="00AF1B5D">
        <w:t xml:space="preserve">, and does not meet the academic functions of this section to </w:t>
      </w:r>
      <w:r>
        <w:t>‘allow readers to follow your process’</w:t>
      </w:r>
      <w:r w:rsidR="00AF1B5D">
        <w:rPr>
          <w:rStyle w:val="FootnoteReference"/>
        </w:rPr>
        <w:footnoteReference w:id="13"/>
      </w:r>
      <w:r w:rsidR="00AF1B5D">
        <w:t xml:space="preserve">. </w:t>
      </w:r>
      <w:r w:rsidR="00251B19">
        <w:t>Blain also does not outline sampling methods</w:t>
      </w:r>
      <w:r w:rsidR="00AC0553">
        <w:t xml:space="preserve">, </w:t>
      </w:r>
      <w:r w:rsidR="00251B19">
        <w:t>although she</w:t>
      </w:r>
      <w:r w:rsidR="00AC0553">
        <w:t xml:space="preserve"> </w:t>
      </w:r>
      <w:r w:rsidR="00F12EF3">
        <w:t xml:space="preserve">includes the account of one other participant, whom she </w:t>
      </w:r>
      <w:r w:rsidR="005F0F0E">
        <w:t>names</w:t>
      </w:r>
      <w:r w:rsidR="00F12EF3">
        <w:t xml:space="preserve"> as </w:t>
      </w:r>
      <w:proofErr w:type="spellStart"/>
      <w:r w:rsidR="00F12EF3">
        <w:t>Jordsvin</w:t>
      </w:r>
      <w:proofErr w:type="spellEnd"/>
      <w:r w:rsidR="00F12EF3">
        <w:rPr>
          <w:rStyle w:val="FootnoteReference"/>
        </w:rPr>
        <w:footnoteReference w:id="14"/>
      </w:r>
      <w:r w:rsidR="00F12EF3">
        <w:t>. It is not made clear if this is a pseudonym or the participant</w:t>
      </w:r>
      <w:r w:rsidR="008E0934">
        <w:t>’</w:t>
      </w:r>
      <w:r w:rsidR="00F12EF3">
        <w:t xml:space="preserve">s actual name, raising </w:t>
      </w:r>
      <w:r w:rsidR="00743869">
        <w:t xml:space="preserve">ethical </w:t>
      </w:r>
      <w:r w:rsidR="00F12EF3">
        <w:t xml:space="preserve">concerns </w:t>
      </w:r>
      <w:r w:rsidR="00743869">
        <w:t>around</w:t>
      </w:r>
      <w:r w:rsidR="00F12EF3">
        <w:t xml:space="preserve"> confidentiality</w:t>
      </w:r>
      <w:r w:rsidR="00F12EF3">
        <w:rPr>
          <w:rStyle w:val="FootnoteReference"/>
        </w:rPr>
        <w:footnoteReference w:id="15"/>
      </w:r>
      <w:r w:rsidR="00F12EF3">
        <w:t xml:space="preserve"> and</w:t>
      </w:r>
      <w:r w:rsidR="001726CC">
        <w:t xml:space="preserve"> </w:t>
      </w:r>
      <w:r w:rsidR="008E0934">
        <w:t>beneficence</w:t>
      </w:r>
      <w:r w:rsidR="001726CC">
        <w:rPr>
          <w:rStyle w:val="FootnoteReference"/>
        </w:rPr>
        <w:footnoteReference w:id="16"/>
      </w:r>
      <w:r w:rsidR="001726CC">
        <w:t>, as not only do</w:t>
      </w:r>
      <w:r w:rsidR="008E77AE">
        <w:t xml:space="preserve">es she </w:t>
      </w:r>
      <w:r w:rsidR="001726CC">
        <w:t xml:space="preserve">identify </w:t>
      </w:r>
      <w:r w:rsidR="008E77AE">
        <w:t>her</w:t>
      </w:r>
      <w:r w:rsidR="001726CC">
        <w:t xml:space="preserve"> respondent, </w:t>
      </w:r>
      <w:r w:rsidR="008E77AE">
        <w:t>she</w:t>
      </w:r>
      <w:r w:rsidR="001726CC">
        <w:t xml:space="preserve"> also discuss</w:t>
      </w:r>
      <w:r w:rsidR="008E77AE">
        <w:t>es</w:t>
      </w:r>
      <w:r w:rsidR="001726CC">
        <w:t xml:space="preserve"> their sexuality, and include their comments and criticisms of the heathen community as a whole, </w:t>
      </w:r>
      <w:r w:rsidR="00743869">
        <w:t xml:space="preserve">potentially </w:t>
      </w:r>
      <w:r w:rsidR="001726CC">
        <w:t xml:space="preserve">opening them up </w:t>
      </w:r>
      <w:r w:rsidR="00484F7B">
        <w:t xml:space="preserve">to </w:t>
      </w:r>
      <w:r w:rsidR="008E0934">
        <w:t>harm</w:t>
      </w:r>
      <w:r w:rsidR="00484F7B">
        <w:t>.</w:t>
      </w:r>
    </w:p>
    <w:p w14:paraId="3EC73C76" w14:textId="7614C772" w:rsidR="003724BE" w:rsidRDefault="00AF1B5D" w:rsidP="000A4F63">
      <w:pPr>
        <w:ind w:firstLine="720"/>
      </w:pPr>
      <w:r>
        <w:t>Bennet</w:t>
      </w:r>
      <w:r w:rsidR="003724BE">
        <w:t>’s paper</w:t>
      </w:r>
      <w:r w:rsidR="00455CAF">
        <w:t>,</w:t>
      </w:r>
      <w:r>
        <w:t xml:space="preserve"> </w:t>
      </w:r>
      <w:r w:rsidR="00AC0553">
        <w:t>conversely</w:t>
      </w:r>
      <w:r w:rsidR="00455CAF">
        <w:t>,</w:t>
      </w:r>
      <w:r w:rsidR="00AC0553">
        <w:t xml:space="preserve"> </w:t>
      </w:r>
      <w:r w:rsidR="006F6DFD">
        <w:t>does have</w:t>
      </w:r>
      <w:r w:rsidR="0034772F">
        <w:t xml:space="preserve"> a methods section</w:t>
      </w:r>
      <w:r>
        <w:t xml:space="preserve">, </w:t>
      </w:r>
      <w:r w:rsidR="00421A6A">
        <w:t>albeit</w:t>
      </w:r>
      <w:r w:rsidR="007F5BC7">
        <w:t xml:space="preserve"> </w:t>
      </w:r>
      <w:r>
        <w:t>entitled “Research Context”</w:t>
      </w:r>
      <w:r>
        <w:rPr>
          <w:rStyle w:val="FootnoteReference"/>
        </w:rPr>
        <w:footnoteReference w:id="17"/>
      </w:r>
      <w:r w:rsidR="0034772F">
        <w:t xml:space="preserve">, </w:t>
      </w:r>
      <w:r w:rsidR="00455CAF">
        <w:t>where she</w:t>
      </w:r>
      <w:r w:rsidR="007F5BC7">
        <w:t xml:space="preserve"> names her method as “interview”</w:t>
      </w:r>
      <w:r w:rsidR="00455CAF">
        <w:t xml:space="preserve">. Interview is </w:t>
      </w:r>
      <w:r w:rsidR="008E77AE">
        <w:t>helpful</w:t>
      </w:r>
      <w:r w:rsidR="00455CAF">
        <w:t xml:space="preserve"> for gaining ‘in-depth and personal level data on experience, life stories, feelings’ and is ‘useful for sensitive topics’</w:t>
      </w:r>
      <w:r w:rsidR="00455CAF">
        <w:rPr>
          <w:rStyle w:val="FootnoteReference"/>
        </w:rPr>
        <w:footnoteReference w:id="18"/>
      </w:r>
      <w:r w:rsidR="00455CAF">
        <w:t xml:space="preserve">, </w:t>
      </w:r>
      <w:r w:rsidR="008E77AE">
        <w:t xml:space="preserve">and so is an appropriate method for this </w:t>
      </w:r>
      <w:r w:rsidR="00455CAF">
        <w:t>research on belief</w:t>
      </w:r>
      <w:r w:rsidR="008E77AE">
        <w:t xml:space="preserve"> in foreknowledge</w:t>
      </w:r>
      <w:r w:rsidR="00455CAF">
        <w:t xml:space="preserve">. She gives some detail about her participants and sampling method, but </w:t>
      </w:r>
      <w:r w:rsidR="008E77AE">
        <w:t>very little further detail on</w:t>
      </w:r>
      <w:r w:rsidR="00455CAF">
        <w:t xml:space="preserve"> her process, possibly </w:t>
      </w:r>
      <w:r w:rsidR="0034772F">
        <w:t xml:space="preserve">due to </w:t>
      </w:r>
      <w:r w:rsidR="00455CAF">
        <w:t xml:space="preserve">the paper </w:t>
      </w:r>
      <w:r w:rsidR="0034772F">
        <w:t>being published as a chapter in a book rather than in a research journal</w:t>
      </w:r>
      <w:r w:rsidR="00455CAF">
        <w:t>. U</w:t>
      </w:r>
      <w:r w:rsidR="0034772F">
        <w:t>nfortunately, th</w:t>
      </w:r>
      <w:r>
        <w:t>e</w:t>
      </w:r>
      <w:r w:rsidR="0034772F">
        <w:t xml:space="preserve">se omissions </w:t>
      </w:r>
      <w:r w:rsidR="00AC0553">
        <w:t>and the limited information</w:t>
      </w:r>
      <w:r w:rsidR="00455CAF">
        <w:t xml:space="preserve"> of</w:t>
      </w:r>
      <w:r w:rsidR="00AC0553">
        <w:t xml:space="preserve"> </w:t>
      </w:r>
      <w:r w:rsidR="00455CAF">
        <w:t>her sampling method</w:t>
      </w:r>
      <w:r w:rsidR="00AC0553">
        <w:t xml:space="preserve"> </w:t>
      </w:r>
      <w:r w:rsidR="003724BE">
        <w:t xml:space="preserve">make </w:t>
      </w:r>
      <w:r w:rsidR="00455CAF">
        <w:t>her</w:t>
      </w:r>
      <w:r w:rsidR="003724BE">
        <w:t xml:space="preserve"> process unclear</w:t>
      </w:r>
      <w:r w:rsidR="00AC0553">
        <w:t xml:space="preserve"> and </w:t>
      </w:r>
      <w:r w:rsidR="006F6DFD">
        <w:t>raise</w:t>
      </w:r>
      <w:r w:rsidR="00AC0553">
        <w:t xml:space="preserve"> many questions</w:t>
      </w:r>
      <w:r>
        <w:t xml:space="preserve">. </w:t>
      </w:r>
      <w:r w:rsidR="008E77AE">
        <w:t>Bennet</w:t>
      </w:r>
      <w:r>
        <w:t xml:space="preserve"> explain</w:t>
      </w:r>
      <w:r w:rsidR="008E77AE">
        <w:t>s</w:t>
      </w:r>
      <w:r>
        <w:t xml:space="preserve"> that </w:t>
      </w:r>
      <w:r w:rsidR="008E77AE">
        <w:t>she</w:t>
      </w:r>
      <w:r>
        <w:t xml:space="preserve"> reached participants </w:t>
      </w:r>
      <w:r w:rsidR="007F5BC7">
        <w:t xml:space="preserve">by sitting in on their treatment at </w:t>
      </w:r>
      <w:r w:rsidR="008E77AE">
        <w:t>her</w:t>
      </w:r>
      <w:r>
        <w:t xml:space="preserve"> father’s </w:t>
      </w:r>
      <w:r w:rsidR="00455CAF">
        <w:t>doctor’s</w:t>
      </w:r>
      <w:r>
        <w:t xml:space="preserve"> clinic</w:t>
      </w:r>
      <w:r>
        <w:rPr>
          <w:rStyle w:val="FootnoteReference"/>
        </w:rPr>
        <w:footnoteReference w:id="19"/>
      </w:r>
      <w:r>
        <w:t xml:space="preserve">, and that </w:t>
      </w:r>
      <w:r w:rsidR="008E77AE">
        <w:t>her</w:t>
      </w:r>
      <w:r>
        <w:t xml:space="preserve"> father provided them with basic demographic information. It is unclear</w:t>
      </w:r>
      <w:r w:rsidR="00AC0553">
        <w:t>, however,</w:t>
      </w:r>
      <w:r>
        <w:t xml:space="preserve"> whether </w:t>
      </w:r>
      <w:r w:rsidR="00F02600">
        <w:t>participants</w:t>
      </w:r>
      <w:r w:rsidR="003724BE">
        <w:t>’</w:t>
      </w:r>
      <w:r w:rsidR="007F5BC7">
        <w:t xml:space="preserve"> </w:t>
      </w:r>
      <w:r w:rsidR="00F02600">
        <w:t>informed</w:t>
      </w:r>
      <w:r w:rsidR="007F5BC7">
        <w:t xml:space="preserve"> consent </w:t>
      </w:r>
      <w:r w:rsidR="00F02600">
        <w:t xml:space="preserve">was obtained </w:t>
      </w:r>
      <w:r w:rsidR="008E0934">
        <w:t>before</w:t>
      </w:r>
      <w:r w:rsidR="00F02600">
        <w:t xml:space="preserve"> </w:t>
      </w:r>
      <w:r w:rsidR="007F5BC7">
        <w:t xml:space="preserve">this information </w:t>
      </w:r>
      <w:r w:rsidR="003724BE">
        <w:t>was</w:t>
      </w:r>
      <w:r w:rsidR="007F5BC7">
        <w:t xml:space="preserve"> disclosed, or whether </w:t>
      </w:r>
      <w:r w:rsidR="00F02600">
        <w:t>Bennet</w:t>
      </w:r>
      <w:r w:rsidR="007F5BC7">
        <w:t xml:space="preserve"> did anything </w:t>
      </w:r>
      <w:r w:rsidR="003724BE">
        <w:t>to</w:t>
      </w:r>
      <w:r w:rsidR="007F5BC7">
        <w:t xml:space="preserve"> mediate for the inherent power</w:t>
      </w:r>
      <w:r w:rsidR="003724BE">
        <w:t xml:space="preserve"> imbalance</w:t>
      </w:r>
      <w:r w:rsidR="007F5BC7">
        <w:t xml:space="preserve"> and social pressure of being interviewed </w:t>
      </w:r>
      <w:r w:rsidR="00F02600">
        <w:t xml:space="preserve">by the doctor’s daughter at </w:t>
      </w:r>
      <w:r w:rsidR="00AC0553">
        <w:t>a</w:t>
      </w:r>
      <w:r w:rsidR="00F02600">
        <w:t xml:space="preserve"> doctor’s appointment.</w:t>
      </w:r>
      <w:r w:rsidR="00F12EF3">
        <w:t xml:space="preserve"> While Bennet identifies the topic of her research was </w:t>
      </w:r>
      <w:proofErr w:type="gramStart"/>
      <w:r w:rsidR="003724BE">
        <w:t>‘”delicate</w:t>
      </w:r>
      <w:proofErr w:type="gramEnd"/>
      <w:r w:rsidR="00F12EF3">
        <w:t>” or controversial,’</w:t>
      </w:r>
      <w:r w:rsidR="00F12EF3">
        <w:rPr>
          <w:rStyle w:val="FootnoteReference"/>
        </w:rPr>
        <w:footnoteReference w:id="20"/>
      </w:r>
      <w:r w:rsidR="00F12EF3">
        <w:t xml:space="preserve"> </w:t>
      </w:r>
      <w:r w:rsidR="00F02600">
        <w:t xml:space="preserve"> </w:t>
      </w:r>
      <w:r w:rsidR="00F12EF3">
        <w:t xml:space="preserve">we do not know whether participants were fully informed about their right to not participate or to withdraw their participation from the research, and whether the interviews were </w:t>
      </w:r>
      <w:r w:rsidR="003724BE">
        <w:t>confidential</w:t>
      </w:r>
      <w:r w:rsidR="00F12EF3">
        <w:t xml:space="preserve"> or conducted in front of her father, their doctor. </w:t>
      </w:r>
      <w:r w:rsidR="006F6DFD">
        <w:t>These issues would contravene many institutions ethical guidelines, and would be rejected by ethics committees</w:t>
      </w:r>
      <w:r w:rsidR="006F6DFD">
        <w:rPr>
          <w:rStyle w:val="FootnoteReference"/>
        </w:rPr>
        <w:footnoteReference w:id="21"/>
      </w:r>
      <w:r w:rsidR="006F6DFD">
        <w:t xml:space="preserve"> who Yvonne Darlington and Dorothy Scott explain have ‘a duty to consider all possible sources of harm and satisfy themselves that the researcher has thought through all the relevant issues prior to granting permission to proceed’</w:t>
      </w:r>
      <w:r w:rsidR="006F6DFD">
        <w:rPr>
          <w:rStyle w:val="FootnoteReference"/>
        </w:rPr>
        <w:footnoteReference w:id="22"/>
      </w:r>
      <w:r w:rsidR="006F6DFD">
        <w:t>.</w:t>
      </w:r>
    </w:p>
    <w:p w14:paraId="44E016AE" w14:textId="7988AA22" w:rsidR="00C21DC6" w:rsidRDefault="0034772F" w:rsidP="000A4F63">
      <w:pPr>
        <w:ind w:firstLine="720"/>
      </w:pPr>
      <w:r>
        <w:lastRenderedPageBreak/>
        <w:t xml:space="preserve">Bennet </w:t>
      </w:r>
      <w:r w:rsidR="00455CAF">
        <w:t xml:space="preserve">also </w:t>
      </w:r>
      <w:r>
        <w:t xml:space="preserve">does not specify </w:t>
      </w:r>
      <w:r w:rsidR="003724BE">
        <w:t xml:space="preserve">what analysis was conducted on the </w:t>
      </w:r>
      <w:r w:rsidR="002E285B">
        <w:t xml:space="preserve">interview </w:t>
      </w:r>
      <w:r w:rsidR="003724BE">
        <w:t xml:space="preserve">data, however some of </w:t>
      </w:r>
      <w:r w:rsidR="004707AB">
        <w:t xml:space="preserve">her commentary </w:t>
      </w:r>
      <w:r w:rsidR="003724BE">
        <w:t xml:space="preserve">suggests it falls into </w:t>
      </w:r>
      <w:r w:rsidR="00D63A2D">
        <w:t>D</w:t>
      </w:r>
      <w:r w:rsidR="003724BE">
        <w:t xml:space="preserve">iscourse </w:t>
      </w:r>
      <w:r w:rsidR="00D63A2D">
        <w:t>A</w:t>
      </w:r>
      <w:r w:rsidR="003724BE">
        <w:t>nalysis</w:t>
      </w:r>
      <w:r w:rsidR="00D63A2D">
        <w:t>. This approach is</w:t>
      </w:r>
      <w:r w:rsidR="003724BE">
        <w:t xml:space="preserve"> based on the idea that a ‘frame of thinking or social reality [...] can be reflected in the way people talk about issues</w:t>
      </w:r>
      <w:r w:rsidR="00D63A2D">
        <w:t>,</w:t>
      </w:r>
      <w:r w:rsidR="003724BE">
        <w:t>’</w:t>
      </w:r>
      <w:r w:rsidR="00D63A2D">
        <w:rPr>
          <w:rStyle w:val="FootnoteReference"/>
        </w:rPr>
        <w:footnoteReference w:id="23"/>
      </w:r>
      <w:r w:rsidR="003724BE">
        <w:t xml:space="preserve"> </w:t>
      </w:r>
      <w:r w:rsidR="00D63A2D">
        <w:t>and can be inferred from Bennet’s focus on method of delivery (</w:t>
      </w:r>
      <w:proofErr w:type="spellStart"/>
      <w:r w:rsidR="00D63A2D">
        <w:t>ie</w:t>
      </w:r>
      <w:proofErr w:type="spellEnd"/>
      <w:r w:rsidR="00D63A2D">
        <w:t xml:space="preserve">. </w:t>
      </w:r>
      <w:r w:rsidR="009A66C8">
        <w:t>defensively</w:t>
      </w:r>
      <w:r w:rsidR="00D63A2D">
        <w:t xml:space="preserve">, jokingly), rather than directly commenting on what </w:t>
      </w:r>
      <w:r w:rsidR="008E77AE">
        <w:t>participants</w:t>
      </w:r>
      <w:r w:rsidR="00D63A2D">
        <w:t xml:space="preserve"> say</w:t>
      </w:r>
      <w:r w:rsidR="00D63A2D">
        <w:rPr>
          <w:rStyle w:val="FootnoteReference"/>
        </w:rPr>
        <w:footnoteReference w:id="24"/>
      </w:r>
      <w:r w:rsidR="00D63A2D">
        <w:t xml:space="preserve">. </w:t>
      </w:r>
      <w:r w:rsidR="008E77AE">
        <w:t>She</w:t>
      </w:r>
      <w:r w:rsidR="00D63A2D">
        <w:t xml:space="preserve"> reported </w:t>
      </w:r>
      <w:r w:rsidR="008E77AE">
        <w:t>her</w:t>
      </w:r>
      <w:r w:rsidR="00D63A2D">
        <w:t xml:space="preserve"> results under three headings: ‘Beliefs and Stories about Knowing the Future’</w:t>
      </w:r>
      <w:r w:rsidR="00D63A2D">
        <w:rPr>
          <w:rStyle w:val="FootnoteReference"/>
        </w:rPr>
        <w:footnoteReference w:id="25"/>
      </w:r>
      <w:r w:rsidR="00D63A2D">
        <w:t>, ‘Traditional Values and Roles’</w:t>
      </w:r>
      <w:r w:rsidR="00D63A2D">
        <w:rPr>
          <w:rStyle w:val="FootnoteReference"/>
        </w:rPr>
        <w:footnoteReference w:id="26"/>
      </w:r>
      <w:r w:rsidR="00D63A2D">
        <w:t xml:space="preserve"> and ‘Negative Aspects of Psychic Power,’</w:t>
      </w:r>
      <w:r w:rsidR="00D63A2D">
        <w:rPr>
          <w:rStyle w:val="FootnoteReference"/>
        </w:rPr>
        <w:footnoteReference w:id="27"/>
      </w:r>
      <w:r w:rsidR="00D63A2D">
        <w:t xml:space="preserve"> though do not outline </w:t>
      </w:r>
      <w:r>
        <w:t xml:space="preserve">how these categories were identified, </w:t>
      </w:r>
      <w:r w:rsidR="00D63A2D">
        <w:t>or</w:t>
      </w:r>
      <w:r>
        <w:t xml:space="preserve"> what form of analysis or coding was undertaken</w:t>
      </w:r>
      <w:r w:rsidR="00DB3116">
        <w:t xml:space="preserve"> to create them</w:t>
      </w:r>
      <w:r w:rsidR="00D63A2D">
        <w:t xml:space="preserve">. </w:t>
      </w:r>
      <w:r w:rsidR="008E77AE">
        <w:t>Codes are ‘</w:t>
      </w:r>
      <w:r>
        <w:t>issues, topics or concepts that are present in the data’</w:t>
      </w:r>
      <w:r w:rsidR="00D63A2D">
        <w:rPr>
          <w:rStyle w:val="FootnoteReference"/>
        </w:rPr>
        <w:footnoteReference w:id="28"/>
      </w:r>
      <w:r>
        <w:t xml:space="preserve"> </w:t>
      </w:r>
      <w:r w:rsidR="00D63A2D">
        <w:t>and</w:t>
      </w:r>
      <w:r w:rsidR="00DB3116">
        <w:t xml:space="preserve"> </w:t>
      </w:r>
      <w:r w:rsidR="00D63A2D">
        <w:t xml:space="preserve">allow </w:t>
      </w:r>
      <w:r>
        <w:t>you to ‘’cluster’ key issues in your data and take steps towards ‘drawing conclusions’.’</w:t>
      </w:r>
      <w:r w:rsidR="00D63A2D">
        <w:rPr>
          <w:rStyle w:val="FootnoteReference"/>
        </w:rPr>
        <w:footnoteReference w:id="29"/>
      </w:r>
      <w:r w:rsidR="00D63A2D">
        <w:t xml:space="preserve"> As </w:t>
      </w:r>
      <w:r w:rsidR="008E77AE">
        <w:t>Bennet’s</w:t>
      </w:r>
      <w:r w:rsidR="00D63A2D">
        <w:t xml:space="preserve"> method of analysis or coding is </w:t>
      </w:r>
      <w:r w:rsidR="00CF1FFB">
        <w:t>un</w:t>
      </w:r>
      <w:r w:rsidR="00D63A2D">
        <w:t xml:space="preserve">clear, it is not clear </w:t>
      </w:r>
      <w:r w:rsidR="00C21DC6">
        <w:t xml:space="preserve">on face value </w:t>
      </w:r>
      <w:r w:rsidR="00D63A2D">
        <w:t xml:space="preserve">how the </w:t>
      </w:r>
      <w:r>
        <w:t xml:space="preserve">examples </w:t>
      </w:r>
      <w:r w:rsidR="00D63A2D">
        <w:t xml:space="preserve">given </w:t>
      </w:r>
      <w:r>
        <w:t>represent “trad</w:t>
      </w:r>
      <w:r w:rsidR="00D63A2D">
        <w:t>itional</w:t>
      </w:r>
      <w:r>
        <w:t xml:space="preserve"> value</w:t>
      </w:r>
      <w:r w:rsidR="00D63A2D">
        <w:t>s</w:t>
      </w:r>
      <w:r>
        <w:t xml:space="preserve">” or whether or not this is </w:t>
      </w:r>
      <w:r w:rsidR="00C21DC6">
        <w:t xml:space="preserve">simply </w:t>
      </w:r>
      <w:r>
        <w:t xml:space="preserve">an </w:t>
      </w:r>
      <w:r w:rsidRPr="00DB3116">
        <w:rPr>
          <w:i/>
          <w:iCs/>
        </w:rPr>
        <w:t>a</w:t>
      </w:r>
      <w:r w:rsidR="00DB3116" w:rsidRPr="00DB3116">
        <w:rPr>
          <w:i/>
          <w:iCs/>
        </w:rPr>
        <w:t xml:space="preserve"> </w:t>
      </w:r>
      <w:r w:rsidRPr="00DB3116">
        <w:rPr>
          <w:i/>
          <w:iCs/>
        </w:rPr>
        <w:t>priori</w:t>
      </w:r>
      <w:r>
        <w:t xml:space="preserve"> belief that Bennet is projecting onto the evidence. </w:t>
      </w:r>
      <w:r w:rsidR="00DB3116">
        <w:t xml:space="preserve">Barney </w:t>
      </w:r>
      <w:r>
        <w:t>Glaser</w:t>
      </w:r>
      <w:r w:rsidR="00D63A2D">
        <w:t xml:space="preserve"> </w:t>
      </w:r>
      <w:r>
        <w:t xml:space="preserve">says effective codes are, among other criteria, </w:t>
      </w:r>
      <w:r w:rsidR="00D63A2D">
        <w:t>‘</w:t>
      </w:r>
      <w:r>
        <w:t>raised by participants</w:t>
      </w:r>
      <w:r w:rsidR="00D63A2D">
        <w:t>’</w:t>
      </w:r>
      <w:r w:rsidR="00DB3116">
        <w:rPr>
          <w:rStyle w:val="FootnoteReference"/>
        </w:rPr>
        <w:footnoteReference w:id="30"/>
      </w:r>
      <w:r>
        <w:t xml:space="preserve">, which </w:t>
      </w:r>
      <w:r w:rsidR="00D63A2D">
        <w:t xml:space="preserve">is not the case </w:t>
      </w:r>
      <w:r>
        <w:t xml:space="preserve">in </w:t>
      </w:r>
      <w:r w:rsidR="00D63A2D">
        <w:t>Bennet</w:t>
      </w:r>
      <w:r w:rsidR="00CF1FFB">
        <w:t>’s examples</w:t>
      </w:r>
      <w:r w:rsidR="009A66C8">
        <w:t>, and so some of the conclusions do not appear to be supported by the data.</w:t>
      </w:r>
    </w:p>
    <w:p w14:paraId="491074CD" w14:textId="0512FF7D" w:rsidR="00D539C0" w:rsidRPr="001B0B83" w:rsidRDefault="00D539C0" w:rsidP="00D539C0">
      <w:pPr>
        <w:rPr>
          <w:b/>
          <w:bCs/>
        </w:rPr>
      </w:pPr>
      <w:r w:rsidRPr="001B0B83">
        <w:rPr>
          <w:b/>
          <w:bCs/>
        </w:rPr>
        <w:t>Insider</w:t>
      </w:r>
      <w:r w:rsidR="00C21DC6" w:rsidRPr="001B0B83">
        <w:rPr>
          <w:b/>
          <w:bCs/>
        </w:rPr>
        <w:t>-</w:t>
      </w:r>
      <w:r w:rsidRPr="001B0B83">
        <w:rPr>
          <w:b/>
          <w:bCs/>
        </w:rPr>
        <w:t>Outsider</w:t>
      </w:r>
      <w:r w:rsidR="00C21DC6" w:rsidRPr="001B0B83">
        <w:rPr>
          <w:b/>
          <w:bCs/>
        </w:rPr>
        <w:t xml:space="preserve"> Debate</w:t>
      </w:r>
    </w:p>
    <w:p w14:paraId="3AEC4BA0" w14:textId="345C5FD9" w:rsidR="00617EE8" w:rsidRDefault="00881D7E" w:rsidP="00617EE8">
      <w:pPr>
        <w:ind w:firstLine="1080"/>
      </w:pPr>
      <w:r>
        <w:t>The last area that this essay will discuss is the position of the researcher on the insider-outsider continuum</w:t>
      </w:r>
      <w:r w:rsidR="00DD4084">
        <w:t xml:space="preserve">, namely </w:t>
      </w:r>
      <w:r w:rsidR="001B0B83">
        <w:t xml:space="preserve">the advantages and disadvantages of </w:t>
      </w:r>
      <w:r w:rsidR="00DD4084">
        <w:t xml:space="preserve">emic (insider) perspectives and etic (outsider perspectives), and the level of reflexivity in </w:t>
      </w:r>
      <w:r w:rsidR="008E77AE">
        <w:t>the two papers</w:t>
      </w:r>
      <w:r w:rsidR="00617EE8">
        <w:t xml:space="preserve">. Reflexivity, according to </w:t>
      </w:r>
      <w:proofErr w:type="spellStart"/>
      <w:r w:rsidR="00617EE8">
        <w:t>Hennin</w:t>
      </w:r>
      <w:r w:rsidR="00455CAF">
        <w:t>k</w:t>
      </w:r>
      <w:proofErr w:type="spellEnd"/>
      <w:r w:rsidR="00455CAF">
        <w:t>, Hutter and Bailey</w:t>
      </w:r>
      <w:r w:rsidR="00617EE8">
        <w:t>, ‘is a process that involved conscious self-reflection on the part of the researchers to make explicit their potential influence on the research process</w:t>
      </w:r>
      <w:r w:rsidR="00DD4084">
        <w:t>,</w:t>
      </w:r>
      <w:r w:rsidR="00617EE8">
        <w:t>’</w:t>
      </w:r>
      <w:r w:rsidR="00617EE8">
        <w:rPr>
          <w:rStyle w:val="FootnoteReference"/>
        </w:rPr>
        <w:footnoteReference w:id="31"/>
      </w:r>
      <w:r w:rsidR="00910815">
        <w:t xml:space="preserve"> making it easier for us to evaluate research.</w:t>
      </w:r>
    </w:p>
    <w:p w14:paraId="65A5229C" w14:textId="1B57FCF5" w:rsidR="00617EE8" w:rsidRDefault="002C158A" w:rsidP="005E5632">
      <w:pPr>
        <w:ind w:firstLine="720"/>
      </w:pPr>
      <w:r>
        <w:t xml:space="preserve">We know from the text that Blain is an insider in the community that she is writing about. She shares that she is a practitioner of </w:t>
      </w:r>
      <w:proofErr w:type="spellStart"/>
      <w:r>
        <w:t>Seidr</w:t>
      </w:r>
      <w:proofErr w:type="spellEnd"/>
      <w:r>
        <w:rPr>
          <w:rStyle w:val="FootnoteReference"/>
        </w:rPr>
        <w:footnoteReference w:id="32"/>
      </w:r>
      <w:r>
        <w:t xml:space="preserve">, and much of the crux of the paper is about the issues of being a practitioner as well as a researcher. </w:t>
      </w:r>
      <w:r w:rsidR="00DD4084">
        <w:t xml:space="preserve">She shares three accounts sharing different perspectives: one of a </w:t>
      </w:r>
      <w:r>
        <w:t xml:space="preserve">typical informed outsider, giving an etic perspective, and then two </w:t>
      </w:r>
      <w:r w:rsidR="00DD4084">
        <w:t xml:space="preserve">emic </w:t>
      </w:r>
      <w:r>
        <w:t xml:space="preserve">accounts, one from </w:t>
      </w:r>
      <w:r w:rsidR="00716AEE">
        <w:t>her</w:t>
      </w:r>
      <w:r>
        <w:t xml:space="preserve"> respondent</w:t>
      </w:r>
      <w:r w:rsidR="00716AEE">
        <w:t xml:space="preserve">, </w:t>
      </w:r>
      <w:proofErr w:type="spellStart"/>
      <w:r>
        <w:t>Jordsvin</w:t>
      </w:r>
      <w:proofErr w:type="spellEnd"/>
      <w:r>
        <w:t xml:space="preserve">, and the other from herself. Blain’s paper is rich in reflexivity, showing lots of awareness of her own beliefs and how they influence </w:t>
      </w:r>
      <w:r w:rsidR="00617EE8">
        <w:t>the findings</w:t>
      </w:r>
      <w:r>
        <w:t>.</w:t>
      </w:r>
      <w:r w:rsidR="00617EE8">
        <w:t xml:space="preserve"> For examples, she </w:t>
      </w:r>
      <w:r w:rsidR="005E5632">
        <w:t>identifies</w:t>
      </w:r>
      <w:r w:rsidR="00617EE8">
        <w:t xml:space="preserve"> that the </w:t>
      </w:r>
      <w:r w:rsidR="005E5632">
        <w:t>detail in</w:t>
      </w:r>
      <w:r>
        <w:t xml:space="preserve"> </w:t>
      </w:r>
      <w:proofErr w:type="spellStart"/>
      <w:r>
        <w:t>Jordsvi</w:t>
      </w:r>
      <w:r w:rsidR="00617EE8">
        <w:t>n</w:t>
      </w:r>
      <w:r w:rsidR="005E5632">
        <w:t>’s</w:t>
      </w:r>
      <w:proofErr w:type="spellEnd"/>
      <w:r w:rsidR="005E5632">
        <w:t xml:space="preserve"> account </w:t>
      </w:r>
      <w:r w:rsidR="00617EE8">
        <w:t xml:space="preserve">is </w:t>
      </w:r>
      <w:r>
        <w:t xml:space="preserve">due to him knowing she was knowledgeable of </w:t>
      </w:r>
      <w:proofErr w:type="spellStart"/>
      <w:r w:rsidR="00617EE8">
        <w:t>Seidr</w:t>
      </w:r>
      <w:proofErr w:type="spellEnd"/>
      <w:r w:rsidR="00FC2FEE">
        <w:rPr>
          <w:rStyle w:val="FootnoteReference"/>
        </w:rPr>
        <w:footnoteReference w:id="33"/>
      </w:r>
      <w:r w:rsidR="00617EE8">
        <w:t>. Blain also identifies the benefits of her insider position, explaining</w:t>
      </w:r>
      <w:r w:rsidR="00C46BF1">
        <w:t xml:space="preserve"> </w:t>
      </w:r>
      <w:r w:rsidR="00617EE8">
        <w:t>‘</w:t>
      </w:r>
      <w:r w:rsidR="00617EE8" w:rsidRPr="00617EE8">
        <w:t xml:space="preserve">My understandings of </w:t>
      </w:r>
      <w:proofErr w:type="spellStart"/>
      <w:r w:rsidR="00C46BF1">
        <w:t>S</w:t>
      </w:r>
      <w:r w:rsidR="00617EE8" w:rsidRPr="00617EE8">
        <w:t>eidr</w:t>
      </w:r>
      <w:proofErr w:type="spellEnd"/>
      <w:r w:rsidR="00617EE8" w:rsidRPr="00617EE8">
        <w:t xml:space="preserve"> include understandings of its links to the 'outside' world, and my own locations within these</w:t>
      </w:r>
      <w:r w:rsidR="005E5632">
        <w:t>.</w:t>
      </w:r>
      <w:r w:rsidR="00617EE8" w:rsidRPr="00617EE8">
        <w:t>’</w:t>
      </w:r>
      <w:r w:rsidR="00617EE8">
        <w:rPr>
          <w:rStyle w:val="FootnoteReference"/>
        </w:rPr>
        <w:footnoteReference w:id="34"/>
      </w:r>
      <w:r w:rsidR="00617EE8">
        <w:t xml:space="preserve"> </w:t>
      </w:r>
      <w:r w:rsidR="005E5632">
        <w:t xml:space="preserve">She </w:t>
      </w:r>
      <w:r w:rsidR="00617EE8">
        <w:t>continues to emphasise the importance of reflexivity in adding value and validity to her work, concluding</w:t>
      </w:r>
      <w:r w:rsidR="005E5632">
        <w:t xml:space="preserve">, </w:t>
      </w:r>
      <w:r w:rsidR="00617EE8" w:rsidRPr="00617EE8">
        <w:t xml:space="preserve">‘I seek to understand the construction of </w:t>
      </w:r>
      <w:proofErr w:type="spellStart"/>
      <w:r w:rsidR="00617EE8" w:rsidRPr="00617EE8">
        <w:t>seidr</w:t>
      </w:r>
      <w:proofErr w:type="spellEnd"/>
      <w:r w:rsidR="00617EE8" w:rsidRPr="00617EE8">
        <w:t xml:space="preserve"> and its community, </w:t>
      </w:r>
      <w:r w:rsidR="005E5632">
        <w:t>[…]</w:t>
      </w:r>
      <w:r w:rsidR="00617EE8" w:rsidRPr="00617EE8">
        <w:t xml:space="preserve"> by understanding my 'self' as part/not part of that community, as situated within its relations</w:t>
      </w:r>
      <w:r w:rsidR="005E5632">
        <w:t>’, finally concluding, ‘</w:t>
      </w:r>
      <w:r w:rsidR="00617EE8" w:rsidRPr="00617EE8">
        <w:t xml:space="preserve">Critical awareness and reflexivity are constructed in the intersections </w:t>
      </w:r>
      <w:r w:rsidR="00617EE8" w:rsidRPr="00617EE8">
        <w:lastRenderedPageBreak/>
        <w:t>of the worlds,</w:t>
      </w:r>
      <w:r w:rsidR="005E5632">
        <w:t xml:space="preserve">’ ending with another metaphor, likening carrying out research with journeying between the world as in </w:t>
      </w:r>
      <w:proofErr w:type="spellStart"/>
      <w:r w:rsidR="005E5632">
        <w:t>Seidr</w:t>
      </w:r>
      <w:proofErr w:type="spellEnd"/>
      <w:r w:rsidR="005E5632">
        <w:t>.</w:t>
      </w:r>
    </w:p>
    <w:p w14:paraId="39129489" w14:textId="1B4D7BC7" w:rsidR="00D539C0" w:rsidRDefault="00D539C0" w:rsidP="000A4F63">
      <w:pPr>
        <w:ind w:firstLine="720"/>
      </w:pPr>
      <w:r>
        <w:t>Bennet</w:t>
      </w:r>
      <w:r w:rsidR="00617EE8">
        <w:t xml:space="preserve">, on the other hand, </w:t>
      </w:r>
      <w:r w:rsidR="005E5632">
        <w:t xml:space="preserve">is </w:t>
      </w:r>
      <w:r w:rsidR="00DF5A25">
        <w:t xml:space="preserve">more difficult to place on the insider-outsider continuum, largely due to the lack of reflexivity in the paper. </w:t>
      </w:r>
      <w:r w:rsidR="00617EE8">
        <w:t xml:space="preserve">While the research is </w:t>
      </w:r>
      <w:r w:rsidR="005E5632">
        <w:t xml:space="preserve">conducted in her hometown, </w:t>
      </w:r>
      <w:r w:rsidR="00DF5A25">
        <w:t xml:space="preserve">she does not identify whether or not she </w:t>
      </w:r>
      <w:r w:rsidR="00FC2FEE">
        <w:t xml:space="preserve">knows the participants personally, or whether she </w:t>
      </w:r>
      <w:r w:rsidR="00DF5A25">
        <w:t>shares belief in foreknowledge</w:t>
      </w:r>
      <w:r w:rsidR="00FC2FEE">
        <w:t>. It may also</w:t>
      </w:r>
      <w:r w:rsidR="00DF5A25">
        <w:t xml:space="preserve"> be that the setting, in the </w:t>
      </w:r>
      <w:r w:rsidR="00FC2FEE">
        <w:t>doctor’s</w:t>
      </w:r>
      <w:r w:rsidR="00DF5A25">
        <w:t xml:space="preserve"> office, may set her apart from her participants. </w:t>
      </w:r>
      <w:proofErr w:type="spellStart"/>
      <w:r w:rsidR="00DF5A25">
        <w:t>Hennink</w:t>
      </w:r>
      <w:proofErr w:type="spellEnd"/>
      <w:r w:rsidR="008E77AE">
        <w:t xml:space="preserve">, Hutter and Bailey </w:t>
      </w:r>
      <w:r w:rsidR="00DF5A25">
        <w:t xml:space="preserve">explain </w:t>
      </w:r>
      <w:r w:rsidR="008E77AE">
        <w:t>‘The</w:t>
      </w:r>
      <w:r w:rsidR="005E1350">
        <w:t xml:space="preserve"> interview setting and the interpersonal dynamic between the researcher and participant can influence knowledge creation</w:t>
      </w:r>
      <w:r w:rsidR="0061278C">
        <w:t>,</w:t>
      </w:r>
      <w:r w:rsidR="005E1350">
        <w:t>’</w:t>
      </w:r>
      <w:r w:rsidR="00DF5A25">
        <w:rPr>
          <w:rStyle w:val="FootnoteReference"/>
        </w:rPr>
        <w:footnoteReference w:id="35"/>
      </w:r>
      <w:r w:rsidR="0061278C">
        <w:t xml:space="preserve"> and it is possible that this setting has had an </w:t>
      </w:r>
      <w:r w:rsidR="005E1350">
        <w:t>e</w:t>
      </w:r>
      <w:r>
        <w:t xml:space="preserve">ffect on </w:t>
      </w:r>
      <w:r w:rsidR="008E77AE">
        <w:t>her</w:t>
      </w:r>
      <w:r>
        <w:t xml:space="preserve"> research validity</w:t>
      </w:r>
      <w:r w:rsidR="0061278C">
        <w:t xml:space="preserve">. </w:t>
      </w:r>
      <w:r w:rsidR="005E1350">
        <w:t xml:space="preserve">Bennet </w:t>
      </w:r>
      <w:r w:rsidR="009064F8">
        <w:t>comments</w:t>
      </w:r>
      <w:r w:rsidR="0061278C">
        <w:rPr>
          <w:rStyle w:val="FootnoteReference"/>
        </w:rPr>
        <w:footnoteReference w:id="36"/>
      </w:r>
      <w:r w:rsidR="009064F8">
        <w:t xml:space="preserve"> that respondents </w:t>
      </w:r>
      <w:r w:rsidR="00552A26">
        <w:t>gave</w:t>
      </w:r>
      <w:r w:rsidR="009064F8">
        <w:t xml:space="preserve"> defensive</w:t>
      </w:r>
      <w:r w:rsidR="00552A26">
        <w:t xml:space="preserve"> or </w:t>
      </w:r>
      <w:r w:rsidR="009064F8">
        <w:t xml:space="preserve">rehearsed answers, which </w:t>
      </w:r>
      <w:r w:rsidR="008E77AE">
        <w:t>she</w:t>
      </w:r>
      <w:r w:rsidR="005E1350">
        <w:t xml:space="preserve"> interpret</w:t>
      </w:r>
      <w:r w:rsidR="008E77AE">
        <w:t>s</w:t>
      </w:r>
      <w:r w:rsidR="005E1350">
        <w:t xml:space="preserve"> as being a habit formed by frequently encountering disbelief, but</w:t>
      </w:r>
      <w:r w:rsidR="00552A26">
        <w:t xml:space="preserve"> which</w:t>
      </w:r>
      <w:r w:rsidR="005E1350">
        <w:t xml:space="preserve"> </w:t>
      </w:r>
      <w:r w:rsidR="009064F8">
        <w:t xml:space="preserve">might be because they view her as an outsider, and so perhaps do not feel relaxed enough to respond </w:t>
      </w:r>
      <w:r w:rsidR="00FC2FEE">
        <w:t>openly</w:t>
      </w:r>
      <w:r w:rsidR="00552A26">
        <w:t>.</w:t>
      </w:r>
      <w:r w:rsidR="00F225E6">
        <w:t xml:space="preserve"> </w:t>
      </w:r>
      <w:r w:rsidR="00FC2FEE">
        <w:t>Unfortunately, a</w:t>
      </w:r>
      <w:r w:rsidR="00DE1608">
        <w:t>s</w:t>
      </w:r>
      <w:r w:rsidR="00FC2FEE">
        <w:t xml:space="preserve"> this is </w:t>
      </w:r>
      <w:r w:rsidR="00DE1608">
        <w:t xml:space="preserve">not </w:t>
      </w:r>
      <w:r w:rsidR="00FC2FEE">
        <w:t xml:space="preserve">addressed in the paper, we can only speculate. </w:t>
      </w:r>
    </w:p>
    <w:p w14:paraId="76150B78" w14:textId="77777777" w:rsidR="009F60C7" w:rsidRDefault="009F60C7" w:rsidP="000A4F63">
      <w:pPr>
        <w:ind w:firstLine="720"/>
      </w:pPr>
    </w:p>
    <w:p w14:paraId="5B53504B" w14:textId="1E385E1D" w:rsidR="00D539C0" w:rsidRPr="009F60C7" w:rsidRDefault="00D539C0" w:rsidP="00D539C0">
      <w:pPr>
        <w:rPr>
          <w:b/>
          <w:bCs/>
        </w:rPr>
      </w:pPr>
      <w:r w:rsidRPr="009F60C7">
        <w:rPr>
          <w:b/>
          <w:bCs/>
        </w:rPr>
        <w:t>Conclusion</w:t>
      </w:r>
    </w:p>
    <w:p w14:paraId="760F1677" w14:textId="724AF058" w:rsidR="009B39DE" w:rsidRDefault="009F60C7" w:rsidP="009B39DE">
      <w:pPr>
        <w:pStyle w:val="NoSpacing"/>
        <w:spacing w:before="240"/>
        <w:ind w:firstLine="720"/>
      </w:pPr>
      <w:r>
        <w:t xml:space="preserve">This essay has </w:t>
      </w:r>
      <w:r w:rsidR="0074709D">
        <w:t>examined</w:t>
      </w:r>
      <w:r w:rsidR="009B39DE">
        <w:t xml:space="preserve"> the effectiveness of the literature review, methodologies and reflexivity in </w:t>
      </w:r>
      <w:r w:rsidR="0074709D">
        <w:t xml:space="preserve">the works of </w:t>
      </w:r>
      <w:r w:rsidR="009B39DE">
        <w:t>Blain</w:t>
      </w:r>
      <w:r w:rsidR="0074709D">
        <w:t xml:space="preserve"> </w:t>
      </w:r>
      <w:r w:rsidR="009B39DE">
        <w:t xml:space="preserve">and Bennet. </w:t>
      </w:r>
      <w:r w:rsidR="0074709D">
        <w:t xml:space="preserve">While </w:t>
      </w:r>
      <w:r w:rsidR="009B39DE">
        <w:t xml:space="preserve">Bennet’s literature review </w:t>
      </w:r>
      <w:r w:rsidR="0074709D">
        <w:t>followed a</w:t>
      </w:r>
      <w:r w:rsidR="009B39DE">
        <w:t xml:space="preserve"> more conventional style, </w:t>
      </w:r>
      <w:r w:rsidR="0074709D">
        <w:t xml:space="preserve">it lacked clarity linking </w:t>
      </w:r>
      <w:r w:rsidR="00C555FA">
        <w:t xml:space="preserve">past research </w:t>
      </w:r>
      <w:r w:rsidR="00B42254">
        <w:t xml:space="preserve">to </w:t>
      </w:r>
      <w:r w:rsidR="00C555FA">
        <w:t>the design</w:t>
      </w:r>
      <w:r w:rsidR="00B42254">
        <w:t xml:space="preserve"> or findings</w:t>
      </w:r>
      <w:r w:rsidR="00C555FA">
        <w:t xml:space="preserve"> of Bennet’s research. Blain on the other hand did not include a literature</w:t>
      </w:r>
      <w:r w:rsidR="0074709D">
        <w:t xml:space="preserve"> review</w:t>
      </w:r>
      <w:r w:rsidR="00B42254">
        <w:t xml:space="preserve">, but </w:t>
      </w:r>
      <w:r w:rsidR="008E77AE">
        <w:t>her</w:t>
      </w:r>
      <w:r w:rsidR="00B42254">
        <w:t xml:space="preserve"> narrative, storytelling style prepared us for how </w:t>
      </w:r>
      <w:r w:rsidR="008E77AE">
        <w:t>she</w:t>
      </w:r>
      <w:r w:rsidR="00B42254">
        <w:t xml:space="preserve"> would approach </w:t>
      </w:r>
      <w:r w:rsidR="008E77AE">
        <w:t>her</w:t>
      </w:r>
      <w:r w:rsidR="00B42254">
        <w:t xml:space="preserve"> subsequent discussion. Though this may have been fitting for its original purpose as </w:t>
      </w:r>
      <w:r w:rsidR="0074709D">
        <w:t xml:space="preserve">a spoken presentation, </w:t>
      </w:r>
      <w:r w:rsidR="00B42254">
        <w:t>it did not give us a clear context for the paper</w:t>
      </w:r>
      <w:r w:rsidR="0074709D">
        <w:t xml:space="preserve">. In terms of methodologies, neither paper gave us a clear account to follow </w:t>
      </w:r>
      <w:r w:rsidR="002A1784">
        <w:t>their</w:t>
      </w:r>
      <w:r w:rsidR="0074709D">
        <w:t xml:space="preserve"> method</w:t>
      </w:r>
      <w:r w:rsidR="00783BB8">
        <w:t>, leaving much to speculation</w:t>
      </w:r>
      <w:r w:rsidR="0074709D">
        <w:t xml:space="preserve">, and </w:t>
      </w:r>
      <w:r w:rsidR="002A1784">
        <w:t xml:space="preserve">in Bennet’s case, </w:t>
      </w:r>
      <w:r w:rsidR="0074709D">
        <w:t xml:space="preserve">resulting in more questions regarding the ethics of </w:t>
      </w:r>
      <w:r w:rsidR="002A1784">
        <w:t>her study</w:t>
      </w:r>
      <w:r w:rsidR="0074709D">
        <w:t xml:space="preserve"> and the validity of </w:t>
      </w:r>
      <w:r w:rsidR="002A1784">
        <w:t>her</w:t>
      </w:r>
      <w:r w:rsidR="0074709D">
        <w:t xml:space="preserve"> conclusions. </w:t>
      </w:r>
      <w:r w:rsidR="00783BB8">
        <w:t xml:space="preserve">Bennet’s paper contains very little reflexivity, raising yet more questions about the validity of the method, whereas </w:t>
      </w:r>
      <w:r w:rsidR="0074709D">
        <w:t>Blain gives a richly reflexive discussion of her position on the insider-outsider continuum</w:t>
      </w:r>
      <w:r w:rsidR="00783BB8">
        <w:t xml:space="preserve">, sharing insight on </w:t>
      </w:r>
      <w:r w:rsidR="0074709D">
        <w:t xml:space="preserve">how that influences the different accounts and the validity of her research. </w:t>
      </w:r>
      <w:r w:rsidR="00CD7B1D">
        <w:t>Overall, this highlights the complexities and essential considerations needed when conducting qualitative research into contemporary cosmologies</w:t>
      </w:r>
      <w:r w:rsidR="00967E3C">
        <w:t>.</w:t>
      </w:r>
    </w:p>
    <w:p w14:paraId="03C070F2" w14:textId="3BDDD708" w:rsidR="009F60C7" w:rsidRDefault="009F60C7" w:rsidP="00D539C0"/>
    <w:p w14:paraId="55748D22" w14:textId="77777777" w:rsidR="00617EE8" w:rsidRDefault="00617EE8">
      <w:pPr>
        <w:rPr>
          <w:b/>
          <w:bCs/>
          <w:i/>
          <w:iCs/>
        </w:rPr>
      </w:pPr>
      <w:r>
        <w:rPr>
          <w:b/>
          <w:bCs/>
          <w:i/>
          <w:iCs/>
        </w:rPr>
        <w:br w:type="page"/>
      </w:r>
    </w:p>
    <w:p w14:paraId="2E1BC5D5" w14:textId="1888DC35" w:rsidR="00D80EA4" w:rsidRPr="009713AD" w:rsidRDefault="00D80EA4" w:rsidP="00D539C0">
      <w:pPr>
        <w:rPr>
          <w:b/>
          <w:bCs/>
          <w:i/>
          <w:iCs/>
        </w:rPr>
      </w:pPr>
      <w:r w:rsidRPr="009713AD">
        <w:rPr>
          <w:b/>
          <w:bCs/>
          <w:i/>
          <w:iCs/>
        </w:rPr>
        <w:lastRenderedPageBreak/>
        <w:t>References</w:t>
      </w:r>
    </w:p>
    <w:p w14:paraId="6C2FF116" w14:textId="77777777" w:rsidR="0013504A" w:rsidRPr="0013504A" w:rsidRDefault="0013504A" w:rsidP="0001210F">
      <w:pPr>
        <w:pStyle w:val="NoSpacing"/>
        <w:spacing w:before="240"/>
        <w:ind w:left="426" w:hanging="426"/>
      </w:pPr>
      <w:proofErr w:type="gramStart"/>
      <w:r w:rsidRPr="0013504A">
        <w:t>Adler,  P.</w:t>
      </w:r>
      <w:proofErr w:type="gramEnd"/>
      <w:r w:rsidRPr="0013504A">
        <w:t xml:space="preserve"> and Adler, P., </w:t>
      </w:r>
      <w:r w:rsidRPr="0013504A">
        <w:rPr>
          <w:i/>
          <w:iCs/>
        </w:rPr>
        <w:t>Membership roles in field research</w:t>
      </w:r>
      <w:r w:rsidRPr="0013504A">
        <w:t>, (Newbury Park, CA: Sage, 1987)</w:t>
      </w:r>
    </w:p>
    <w:p w14:paraId="0640BE99" w14:textId="77777777" w:rsidR="0013504A" w:rsidRPr="0013504A" w:rsidRDefault="0013504A" w:rsidP="00450053">
      <w:pPr>
        <w:pStyle w:val="NoSpacing"/>
        <w:spacing w:before="240"/>
        <w:ind w:left="426" w:hanging="426"/>
        <w:rPr>
          <w:rFonts w:ascii="Calibri" w:hAnsi="Calibri" w:cs="Calibri"/>
        </w:rPr>
      </w:pPr>
      <w:r w:rsidRPr="0013504A">
        <w:rPr>
          <w:rFonts w:ascii="Calibri" w:hAnsi="Calibri" w:cs="Calibri"/>
        </w:rPr>
        <w:t xml:space="preserve">Aoki, T., Imaginaries of “East and West”: Slippery curricular signifiers in education. </w:t>
      </w:r>
      <w:r w:rsidRPr="0013504A">
        <w:rPr>
          <w:rFonts w:ascii="Calibri" w:hAnsi="Calibri" w:cs="Calibri"/>
          <w:i/>
          <w:iCs/>
        </w:rPr>
        <w:t>Paper at the International Adult and Continuing Education Conference</w:t>
      </w:r>
      <w:r w:rsidRPr="0013504A">
        <w:rPr>
          <w:rFonts w:ascii="Calibri" w:hAnsi="Calibri" w:cs="Calibri"/>
        </w:rPr>
        <w:t xml:space="preserve"> (ERIC Reproduction Service No. ED 401 406, 1996)</w:t>
      </w:r>
    </w:p>
    <w:p w14:paraId="7CDCB2BE" w14:textId="77777777" w:rsidR="0013504A" w:rsidRPr="0013504A" w:rsidRDefault="0013504A" w:rsidP="00450053">
      <w:pPr>
        <w:spacing w:before="240" w:after="0" w:line="240" w:lineRule="auto"/>
        <w:ind w:left="426" w:hanging="426"/>
        <w:rPr>
          <w:rFonts w:ascii="Calibri" w:eastAsia="Times New Roman" w:hAnsi="Calibri" w:cs="Calibri"/>
          <w:lang w:eastAsia="en-GB"/>
        </w:rPr>
      </w:pPr>
      <w:r w:rsidRPr="0013504A">
        <w:rPr>
          <w:rFonts w:ascii="Calibri" w:eastAsia="Times New Roman" w:hAnsi="Calibri" w:cs="Calibri"/>
          <w:lang w:eastAsia="en-GB"/>
        </w:rPr>
        <w:t xml:space="preserve">Bell, J. and Waters, S., </w:t>
      </w:r>
      <w:r w:rsidRPr="0013504A">
        <w:rPr>
          <w:rFonts w:ascii="Calibri" w:eastAsia="Times New Roman" w:hAnsi="Calibri" w:cs="Calibri"/>
          <w:i/>
          <w:iCs/>
          <w:lang w:eastAsia="en-GB"/>
        </w:rPr>
        <w:t>Doing your research project: a guide for first-time researchers</w:t>
      </w:r>
      <w:r w:rsidRPr="0013504A">
        <w:rPr>
          <w:rFonts w:ascii="Calibri" w:eastAsia="Times New Roman" w:hAnsi="Calibri" w:cs="Calibri"/>
          <w:lang w:eastAsia="en-GB"/>
        </w:rPr>
        <w:t>, 7th edition. (London: Open University Press, McGraw-Hill Education, 2018)</w:t>
      </w:r>
    </w:p>
    <w:p w14:paraId="39C227F2" w14:textId="77777777" w:rsidR="0013504A" w:rsidRPr="0013504A" w:rsidRDefault="0013504A" w:rsidP="00450053">
      <w:pPr>
        <w:pStyle w:val="NoSpacing"/>
        <w:spacing w:before="240"/>
        <w:ind w:left="426" w:hanging="426"/>
        <w:rPr>
          <w:rFonts w:ascii="Calibri" w:hAnsi="Calibri" w:cs="Calibri"/>
        </w:rPr>
      </w:pPr>
      <w:r w:rsidRPr="0013504A">
        <w:t xml:space="preserve">Bennet, G., ‘“If I knew you were coming, I’d have baked a cake”: The Folklore of Foreknowledge in a </w:t>
      </w:r>
      <w:proofErr w:type="spellStart"/>
      <w:r w:rsidRPr="0013504A">
        <w:rPr>
          <w:rFonts w:ascii="Calibri" w:hAnsi="Calibri" w:cs="Calibri"/>
        </w:rPr>
        <w:t>Neighborhood</w:t>
      </w:r>
      <w:proofErr w:type="spellEnd"/>
      <w:r w:rsidRPr="0013504A">
        <w:rPr>
          <w:rFonts w:ascii="Calibri" w:hAnsi="Calibri" w:cs="Calibri"/>
        </w:rPr>
        <w:t xml:space="preserve"> Group’, In Walker, B., ed., Out of the Ordinary: Folklore and the Supernatural, (University Press of Colorado, Utah State, 1995), 122-142</w:t>
      </w:r>
    </w:p>
    <w:p w14:paraId="688351BE" w14:textId="77777777" w:rsidR="0013504A" w:rsidRPr="0013504A" w:rsidRDefault="0013504A" w:rsidP="00002E7B">
      <w:pPr>
        <w:spacing w:before="240" w:after="0" w:line="240" w:lineRule="auto"/>
        <w:ind w:left="426" w:hanging="426"/>
        <w:rPr>
          <w:rFonts w:ascii="Calibri" w:eastAsia="Times New Roman" w:hAnsi="Calibri" w:cs="Calibri"/>
          <w:lang w:eastAsia="en-GB"/>
        </w:rPr>
      </w:pPr>
      <w:r w:rsidRPr="0013504A">
        <w:rPr>
          <w:rFonts w:ascii="Calibri" w:eastAsia="Times New Roman" w:hAnsi="Calibri" w:cs="Calibri"/>
          <w:lang w:eastAsia="en-GB"/>
        </w:rPr>
        <w:t xml:space="preserve">Blain, J.  ‘Jenny’s Heathen Hearth’. (n.d.) Available at: </w:t>
      </w:r>
      <w:hyperlink r:id="rId8" w:history="1">
        <w:r w:rsidRPr="0013504A">
          <w:rPr>
            <w:rStyle w:val="Hyperlink"/>
            <w:rFonts w:ascii="Calibri" w:eastAsia="Times New Roman" w:hAnsi="Calibri" w:cs="Calibri"/>
            <w:lang w:eastAsia="en-GB"/>
          </w:rPr>
          <w:t>http://home.freeuk.net/jenny.blain/</w:t>
        </w:r>
      </w:hyperlink>
      <w:r w:rsidRPr="0013504A">
        <w:rPr>
          <w:rFonts w:ascii="Calibri" w:eastAsia="Times New Roman" w:hAnsi="Calibri" w:cs="Calibri"/>
          <w:lang w:eastAsia="en-GB"/>
        </w:rPr>
        <w:t>. [Accessed 27 Feb 2024]</w:t>
      </w:r>
    </w:p>
    <w:p w14:paraId="10E3D645" w14:textId="77777777" w:rsidR="0013504A" w:rsidRPr="0013504A" w:rsidRDefault="0013504A" w:rsidP="0001210F">
      <w:pPr>
        <w:pStyle w:val="NoSpacing"/>
        <w:spacing w:before="240"/>
        <w:ind w:left="426" w:hanging="426"/>
      </w:pPr>
      <w:r w:rsidRPr="0013504A">
        <w:t xml:space="preserve">Blain, J., Speaking </w:t>
      </w:r>
      <w:proofErr w:type="spellStart"/>
      <w:r w:rsidRPr="0013504A">
        <w:t>Shamanistically</w:t>
      </w:r>
      <w:proofErr w:type="spellEnd"/>
      <w:r w:rsidRPr="0013504A">
        <w:t xml:space="preserve">: </w:t>
      </w:r>
      <w:proofErr w:type="spellStart"/>
      <w:r w:rsidRPr="0013504A">
        <w:t>Seidr</w:t>
      </w:r>
      <w:proofErr w:type="spellEnd"/>
      <w:r w:rsidRPr="0013504A">
        <w:t xml:space="preserve">, Academia and Rationality. </w:t>
      </w:r>
      <w:r w:rsidRPr="0013504A">
        <w:rPr>
          <w:rStyle w:val="Emphasis"/>
          <w:i w:val="0"/>
          <w:iCs w:val="0"/>
        </w:rPr>
        <w:t>DISKUS; Online Journal of Religion</w:t>
      </w:r>
      <w:r w:rsidRPr="0013504A">
        <w:t xml:space="preserve">. (2000) Available online at </w:t>
      </w:r>
      <w:hyperlink r:id="rId9" w:anchor="6&amp;gt" w:history="1">
        <w:r w:rsidRPr="0013504A">
          <w:rPr>
            <w:rStyle w:val="Hyperlink"/>
          </w:rPr>
          <w:t>http://www.uni-marburg.de/religionswissenschaft/journal/diskus/#6&amp;gt</w:t>
        </w:r>
      </w:hyperlink>
      <w:r w:rsidRPr="0013504A">
        <w:t xml:space="preserve">  [Accessed 10 Feb, 2024]</w:t>
      </w:r>
    </w:p>
    <w:p w14:paraId="0F9FCC4B" w14:textId="77777777" w:rsidR="0013504A" w:rsidRPr="0013504A" w:rsidRDefault="0013504A" w:rsidP="0001210F">
      <w:pPr>
        <w:pStyle w:val="NoSpacing"/>
        <w:spacing w:before="240"/>
        <w:ind w:left="426" w:hanging="426"/>
      </w:pPr>
      <w:r w:rsidRPr="0013504A">
        <w:t>Bryman, A., Quantity and quality in social research, (Routledge, London, 2006)</w:t>
      </w:r>
    </w:p>
    <w:p w14:paraId="006D07B5" w14:textId="77777777" w:rsidR="0013504A" w:rsidRPr="0013504A" w:rsidRDefault="0013504A" w:rsidP="006F6DFD">
      <w:pPr>
        <w:pStyle w:val="FootnoteText"/>
        <w:spacing w:before="240"/>
        <w:ind w:left="284" w:hanging="284"/>
        <w:rPr>
          <w:sz w:val="22"/>
          <w:szCs w:val="22"/>
        </w:rPr>
      </w:pPr>
      <w:r w:rsidRPr="0013504A">
        <w:rPr>
          <w:sz w:val="22"/>
          <w:szCs w:val="22"/>
        </w:rPr>
        <w:t xml:space="preserve">Darling, Y. and Scott, D., </w:t>
      </w:r>
      <w:r w:rsidRPr="0013504A">
        <w:rPr>
          <w:i/>
          <w:iCs/>
          <w:sz w:val="22"/>
          <w:szCs w:val="22"/>
        </w:rPr>
        <w:t>Qualitative Research in Practice: Stories from the Field</w:t>
      </w:r>
      <w:r w:rsidRPr="0013504A">
        <w:rPr>
          <w:sz w:val="22"/>
          <w:szCs w:val="22"/>
        </w:rPr>
        <w:t xml:space="preserve">, (Buckingham: Open University Press, 2002) </w:t>
      </w:r>
    </w:p>
    <w:p w14:paraId="71CD4F8A" w14:textId="77777777" w:rsidR="0013504A" w:rsidRPr="0013504A" w:rsidRDefault="0013504A" w:rsidP="006F6DFD">
      <w:pPr>
        <w:pStyle w:val="FootnoteText"/>
        <w:spacing w:before="240"/>
        <w:ind w:left="284" w:hanging="284"/>
        <w:rPr>
          <w:sz w:val="22"/>
          <w:szCs w:val="22"/>
        </w:rPr>
      </w:pPr>
      <w:r w:rsidRPr="0013504A">
        <w:rPr>
          <w:sz w:val="22"/>
          <w:szCs w:val="22"/>
        </w:rPr>
        <w:t xml:space="preserve">Glaser, B., </w:t>
      </w:r>
      <w:r w:rsidRPr="0013504A">
        <w:rPr>
          <w:i/>
          <w:iCs/>
          <w:sz w:val="22"/>
          <w:szCs w:val="22"/>
        </w:rPr>
        <w:t xml:space="preserve">Theoretical Sensitivity: Advances in the Methodology of Grounded </w:t>
      </w:r>
      <w:r w:rsidRPr="0013504A">
        <w:rPr>
          <w:sz w:val="22"/>
          <w:szCs w:val="22"/>
        </w:rPr>
        <w:t>Theory, (Mill Valley, CA: Sociology Press, 1978)</w:t>
      </w:r>
    </w:p>
    <w:p w14:paraId="6C716874" w14:textId="77777777" w:rsidR="0013504A" w:rsidRPr="0013504A" w:rsidRDefault="0013504A" w:rsidP="00450053">
      <w:pPr>
        <w:pStyle w:val="NoSpacing"/>
        <w:spacing w:before="240"/>
        <w:ind w:left="426" w:hanging="426"/>
        <w:rPr>
          <w:rFonts w:ascii="Calibri" w:hAnsi="Calibri" w:cs="Calibri"/>
        </w:rPr>
      </w:pPr>
      <w:proofErr w:type="spellStart"/>
      <w:r w:rsidRPr="0013504A">
        <w:rPr>
          <w:rFonts w:ascii="Calibri" w:hAnsi="Calibri" w:cs="Calibri"/>
        </w:rPr>
        <w:t>Hennink</w:t>
      </w:r>
      <w:proofErr w:type="spellEnd"/>
      <w:r w:rsidRPr="0013504A">
        <w:rPr>
          <w:rFonts w:ascii="Calibri" w:hAnsi="Calibri" w:cs="Calibri"/>
        </w:rPr>
        <w:t>, M.M., Hutter, I. and Bailey, A., Qualitative research methods, (</w:t>
      </w:r>
      <w:proofErr w:type="gramStart"/>
      <w:r w:rsidRPr="0013504A">
        <w:rPr>
          <w:rFonts w:ascii="Calibri" w:hAnsi="Calibri" w:cs="Calibri"/>
        </w:rPr>
        <w:t>London ;</w:t>
      </w:r>
      <w:proofErr w:type="gramEnd"/>
      <w:r w:rsidRPr="0013504A">
        <w:rPr>
          <w:rFonts w:ascii="Calibri" w:hAnsi="Calibri" w:cs="Calibri"/>
        </w:rPr>
        <w:t xml:space="preserve"> Thousand Oaks, 2011)  </w:t>
      </w:r>
    </w:p>
    <w:p w14:paraId="65710DC0" w14:textId="77777777" w:rsidR="006F6DFD" w:rsidRPr="0001210F" w:rsidRDefault="006F6DFD" w:rsidP="0001210F">
      <w:pPr>
        <w:pStyle w:val="NoSpacing"/>
        <w:spacing w:before="240"/>
        <w:ind w:left="426" w:hanging="426"/>
      </w:pPr>
    </w:p>
    <w:p w14:paraId="5EA01F6E" w14:textId="619D2D27" w:rsidR="00285E3D" w:rsidRPr="00285E3D" w:rsidRDefault="00285E3D" w:rsidP="00285E3D">
      <w:pPr>
        <w:pStyle w:val="NoSpacing"/>
        <w:ind w:left="426" w:hanging="426"/>
        <w:rPr>
          <w:i/>
          <w:iCs/>
        </w:rPr>
      </w:pPr>
    </w:p>
    <w:p w14:paraId="7AC3AD6F" w14:textId="77777777" w:rsidR="00D80EA4" w:rsidRDefault="00D80EA4" w:rsidP="00D539C0"/>
    <w:p w14:paraId="6083E3E4" w14:textId="77777777" w:rsidR="00D80EA4" w:rsidRDefault="00D80EA4" w:rsidP="00D539C0"/>
    <w:p w14:paraId="33655087" w14:textId="6277F85A" w:rsidR="00D539C0" w:rsidRDefault="00D539C0" w:rsidP="00D539C0"/>
    <w:sectPr w:rsidR="00D539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2F8A9" w14:textId="77777777" w:rsidR="00443732" w:rsidRDefault="00443732" w:rsidP="000724ED">
      <w:pPr>
        <w:spacing w:after="0" w:line="240" w:lineRule="auto"/>
      </w:pPr>
      <w:r>
        <w:separator/>
      </w:r>
    </w:p>
  </w:endnote>
  <w:endnote w:type="continuationSeparator" w:id="0">
    <w:p w14:paraId="71E594B7" w14:textId="77777777" w:rsidR="00443732" w:rsidRDefault="00443732" w:rsidP="00072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76F8A" w14:textId="77777777" w:rsidR="00443732" w:rsidRDefault="00443732" w:rsidP="000724ED">
      <w:pPr>
        <w:spacing w:after="0" w:line="240" w:lineRule="auto"/>
      </w:pPr>
      <w:r>
        <w:separator/>
      </w:r>
    </w:p>
  </w:footnote>
  <w:footnote w:type="continuationSeparator" w:id="0">
    <w:p w14:paraId="0D7C8B14" w14:textId="77777777" w:rsidR="00443732" w:rsidRDefault="00443732" w:rsidP="000724ED">
      <w:pPr>
        <w:spacing w:after="0" w:line="240" w:lineRule="auto"/>
      </w:pPr>
      <w:r>
        <w:continuationSeparator/>
      </w:r>
    </w:p>
  </w:footnote>
  <w:footnote w:id="1">
    <w:p w14:paraId="2C093A18" w14:textId="77777777" w:rsidR="0013504A" w:rsidRPr="00E76169" w:rsidRDefault="0013504A" w:rsidP="00DD4084">
      <w:pPr>
        <w:pStyle w:val="FootnoteText"/>
        <w:ind w:left="567" w:hanging="567"/>
      </w:pPr>
      <w:r>
        <w:rPr>
          <w:rStyle w:val="FootnoteReference"/>
        </w:rPr>
        <w:footnoteRef/>
      </w:r>
      <w:r>
        <w:t xml:space="preserve"> </w:t>
      </w:r>
      <w:r w:rsidRPr="00E76169">
        <w:t xml:space="preserve">Jenny Blain, Speaking </w:t>
      </w:r>
      <w:proofErr w:type="spellStart"/>
      <w:r w:rsidRPr="00E76169">
        <w:t>Shamanistically</w:t>
      </w:r>
      <w:proofErr w:type="spellEnd"/>
      <w:r w:rsidRPr="00E76169">
        <w:t xml:space="preserve">: </w:t>
      </w:r>
      <w:proofErr w:type="spellStart"/>
      <w:r w:rsidRPr="00E76169">
        <w:t>Seidr</w:t>
      </w:r>
      <w:proofErr w:type="spellEnd"/>
      <w:r w:rsidRPr="00E76169">
        <w:t xml:space="preserve">, Academia and Rationality, </w:t>
      </w:r>
      <w:r w:rsidRPr="00E76169">
        <w:rPr>
          <w:rStyle w:val="Emphasis"/>
        </w:rPr>
        <w:t>DISKUS; Online Journal of Religion</w:t>
      </w:r>
      <w:r w:rsidRPr="00E76169">
        <w:t xml:space="preserve">. (2000) Available online at </w:t>
      </w:r>
      <w:hyperlink r:id="rId1" w:anchor="6&amp;gt" w:history="1">
        <w:r w:rsidRPr="00E76169">
          <w:rPr>
            <w:rStyle w:val="Hyperlink"/>
          </w:rPr>
          <w:t>http://www.uni-marburg.de/religionswissenschaft/journal/diskus/#6&amp;gt</w:t>
        </w:r>
      </w:hyperlink>
      <w:r w:rsidRPr="00E76169">
        <w:t xml:space="preserve">  </w:t>
      </w:r>
    </w:p>
  </w:footnote>
  <w:footnote w:id="2">
    <w:p w14:paraId="1B10C78F" w14:textId="1C3BAE41" w:rsidR="0013504A" w:rsidRPr="00DD4084" w:rsidRDefault="0013504A" w:rsidP="00DD4084">
      <w:pPr>
        <w:pStyle w:val="NoSpacing"/>
        <w:ind w:left="567" w:hanging="567"/>
        <w:rPr>
          <w:rFonts w:ascii="Calibri" w:hAnsi="Calibri" w:cs="Calibri"/>
          <w:sz w:val="20"/>
          <w:szCs w:val="20"/>
        </w:rPr>
      </w:pPr>
      <w:r w:rsidRPr="00E76169">
        <w:rPr>
          <w:rStyle w:val="FootnoteReference"/>
          <w:sz w:val="20"/>
          <w:szCs w:val="20"/>
        </w:rPr>
        <w:footnoteRef/>
      </w:r>
      <w:r w:rsidRPr="00E76169">
        <w:rPr>
          <w:sz w:val="20"/>
          <w:szCs w:val="20"/>
        </w:rPr>
        <w:t xml:space="preserve"> Gillian Bennet, ‘“If I knew you were coming, I’d have baked a cake”: The Folklore of Foreknowledge in a </w:t>
      </w:r>
      <w:proofErr w:type="spellStart"/>
      <w:r w:rsidRPr="00E76169">
        <w:rPr>
          <w:rFonts w:ascii="Calibri" w:hAnsi="Calibri" w:cs="Calibri"/>
          <w:sz w:val="20"/>
          <w:szCs w:val="20"/>
        </w:rPr>
        <w:t>Neighborhood</w:t>
      </w:r>
      <w:proofErr w:type="spellEnd"/>
      <w:r w:rsidRPr="00E76169">
        <w:rPr>
          <w:rFonts w:ascii="Calibri" w:hAnsi="Calibri" w:cs="Calibri"/>
          <w:sz w:val="20"/>
          <w:szCs w:val="20"/>
        </w:rPr>
        <w:t xml:space="preserve"> Group’, In Walker, B., ed., Out of the Ordinary: Folklore and the Supernatural, (University Press of Colorado, Utah State, 1995), 122-142</w:t>
      </w:r>
    </w:p>
  </w:footnote>
  <w:footnote w:id="3">
    <w:p w14:paraId="71880BE2" w14:textId="4FE4EBEC" w:rsidR="0034772F" w:rsidRPr="00E76169" w:rsidRDefault="0034772F" w:rsidP="00DD4084">
      <w:pPr>
        <w:pStyle w:val="NoSpacing"/>
        <w:ind w:left="567" w:hanging="567"/>
        <w:rPr>
          <w:sz w:val="20"/>
          <w:szCs w:val="20"/>
        </w:rPr>
      </w:pPr>
      <w:r>
        <w:rPr>
          <w:rStyle w:val="FootnoteReference"/>
        </w:rPr>
        <w:footnoteRef/>
      </w:r>
      <w:r>
        <w:t xml:space="preserve"> </w:t>
      </w:r>
      <w:r w:rsidR="00E76169" w:rsidRPr="00E76169">
        <w:rPr>
          <w:sz w:val="20"/>
          <w:szCs w:val="20"/>
        </w:rPr>
        <w:t xml:space="preserve">Monique </w:t>
      </w:r>
      <w:proofErr w:type="spellStart"/>
      <w:r w:rsidR="00E76169" w:rsidRPr="00E76169">
        <w:rPr>
          <w:rFonts w:ascii="Calibri" w:hAnsi="Calibri" w:cs="Calibri"/>
          <w:sz w:val="20"/>
          <w:szCs w:val="20"/>
        </w:rPr>
        <w:t>H</w:t>
      </w:r>
      <w:r w:rsidR="00DD4084">
        <w:rPr>
          <w:rFonts w:ascii="Calibri" w:hAnsi="Calibri" w:cs="Calibri"/>
          <w:sz w:val="20"/>
          <w:szCs w:val="20"/>
        </w:rPr>
        <w:t>e</w:t>
      </w:r>
      <w:r w:rsidR="00E76169" w:rsidRPr="00E76169">
        <w:rPr>
          <w:rFonts w:ascii="Calibri" w:hAnsi="Calibri" w:cs="Calibri"/>
          <w:sz w:val="20"/>
          <w:szCs w:val="20"/>
        </w:rPr>
        <w:t>nnink</w:t>
      </w:r>
      <w:proofErr w:type="spellEnd"/>
      <w:r w:rsidR="00E76169" w:rsidRPr="00E76169">
        <w:rPr>
          <w:rFonts w:ascii="Calibri" w:hAnsi="Calibri" w:cs="Calibri"/>
          <w:sz w:val="20"/>
          <w:szCs w:val="20"/>
        </w:rPr>
        <w:t xml:space="preserve">, Inge Hutter and Ajay Bailey, </w:t>
      </w:r>
      <w:r w:rsidR="00E76169" w:rsidRPr="00E76169">
        <w:rPr>
          <w:rFonts w:ascii="Calibri" w:hAnsi="Calibri" w:cs="Calibri"/>
          <w:i/>
          <w:iCs/>
          <w:sz w:val="20"/>
          <w:szCs w:val="20"/>
        </w:rPr>
        <w:t>Qualitative research methods</w:t>
      </w:r>
      <w:r w:rsidR="00E76169" w:rsidRPr="00E76169">
        <w:rPr>
          <w:rFonts w:ascii="Calibri" w:hAnsi="Calibri" w:cs="Calibri"/>
          <w:sz w:val="20"/>
          <w:szCs w:val="20"/>
        </w:rPr>
        <w:t>, (</w:t>
      </w:r>
      <w:proofErr w:type="gramStart"/>
      <w:r w:rsidR="00E76169" w:rsidRPr="00E76169">
        <w:rPr>
          <w:rFonts w:ascii="Calibri" w:hAnsi="Calibri" w:cs="Calibri"/>
          <w:sz w:val="20"/>
          <w:szCs w:val="20"/>
        </w:rPr>
        <w:t>London ;</w:t>
      </w:r>
      <w:proofErr w:type="gramEnd"/>
      <w:r w:rsidR="00E76169" w:rsidRPr="00E76169">
        <w:rPr>
          <w:rFonts w:ascii="Calibri" w:hAnsi="Calibri" w:cs="Calibri"/>
          <w:sz w:val="20"/>
          <w:szCs w:val="20"/>
        </w:rPr>
        <w:t xml:space="preserve"> Thousand Oaks, 2011), pp</w:t>
      </w:r>
      <w:r w:rsidRPr="00E76169">
        <w:rPr>
          <w:sz w:val="20"/>
          <w:szCs w:val="20"/>
        </w:rPr>
        <w:t>296</w:t>
      </w:r>
    </w:p>
  </w:footnote>
  <w:footnote w:id="4">
    <w:p w14:paraId="0B3CC388" w14:textId="27688E4B" w:rsidR="0034772F" w:rsidRPr="00E76169" w:rsidRDefault="0034772F" w:rsidP="00DD4084">
      <w:pPr>
        <w:spacing w:after="0" w:line="240" w:lineRule="auto"/>
        <w:ind w:left="567" w:hanging="567"/>
        <w:rPr>
          <w:rFonts w:ascii="Calibri" w:eastAsia="Times New Roman" w:hAnsi="Calibri" w:cs="Calibri"/>
          <w:sz w:val="20"/>
          <w:szCs w:val="20"/>
          <w:lang w:eastAsia="en-GB"/>
        </w:rPr>
      </w:pPr>
      <w:r w:rsidRPr="00E76169">
        <w:rPr>
          <w:rStyle w:val="FootnoteReference"/>
          <w:sz w:val="20"/>
          <w:szCs w:val="20"/>
        </w:rPr>
        <w:footnoteRef/>
      </w:r>
      <w:r w:rsidRPr="00E76169">
        <w:rPr>
          <w:sz w:val="20"/>
          <w:szCs w:val="20"/>
        </w:rPr>
        <w:t xml:space="preserve"> </w:t>
      </w:r>
      <w:r w:rsidR="00E76169" w:rsidRPr="00E76169">
        <w:rPr>
          <w:sz w:val="20"/>
          <w:szCs w:val="20"/>
        </w:rPr>
        <w:t xml:space="preserve">Judith </w:t>
      </w:r>
      <w:r w:rsidR="00E76169" w:rsidRPr="00E76169">
        <w:rPr>
          <w:rFonts w:ascii="Calibri" w:eastAsia="Times New Roman" w:hAnsi="Calibri" w:cs="Calibri"/>
          <w:sz w:val="20"/>
          <w:szCs w:val="20"/>
          <w:lang w:eastAsia="en-GB"/>
        </w:rPr>
        <w:t xml:space="preserve">Bell and Stephen Waters, </w:t>
      </w:r>
      <w:r w:rsidR="00E76169" w:rsidRPr="00E76169">
        <w:rPr>
          <w:rFonts w:ascii="Calibri" w:eastAsia="Times New Roman" w:hAnsi="Calibri" w:cs="Calibri"/>
          <w:i/>
          <w:iCs/>
          <w:sz w:val="20"/>
          <w:szCs w:val="20"/>
          <w:lang w:eastAsia="en-GB"/>
        </w:rPr>
        <w:t>Doing your research project: a guide for first-time researchers</w:t>
      </w:r>
      <w:r w:rsidR="00E76169" w:rsidRPr="00E76169">
        <w:rPr>
          <w:rFonts w:ascii="Calibri" w:eastAsia="Times New Roman" w:hAnsi="Calibri" w:cs="Calibri"/>
          <w:sz w:val="20"/>
          <w:szCs w:val="20"/>
          <w:lang w:eastAsia="en-GB"/>
        </w:rPr>
        <w:t>, 7th edition. (London: Open University Press, McGraw-Hill Education, 2018), p</w:t>
      </w:r>
      <w:r w:rsidRPr="00E76169">
        <w:rPr>
          <w:sz w:val="20"/>
          <w:szCs w:val="20"/>
        </w:rPr>
        <w:t>p125</w:t>
      </w:r>
    </w:p>
  </w:footnote>
  <w:footnote w:id="5">
    <w:p w14:paraId="3525F792" w14:textId="026404EB" w:rsidR="0034772F" w:rsidRPr="00E76169" w:rsidRDefault="0034772F" w:rsidP="00E76169">
      <w:pPr>
        <w:pStyle w:val="NoSpacing"/>
        <w:ind w:left="426" w:hanging="426"/>
        <w:rPr>
          <w:sz w:val="20"/>
          <w:szCs w:val="20"/>
        </w:rPr>
      </w:pPr>
      <w:r w:rsidRPr="00E76169">
        <w:rPr>
          <w:rStyle w:val="FootnoteReference"/>
          <w:sz w:val="20"/>
          <w:szCs w:val="20"/>
        </w:rPr>
        <w:footnoteRef/>
      </w:r>
      <w:r w:rsidRPr="00E76169">
        <w:rPr>
          <w:sz w:val="20"/>
          <w:szCs w:val="20"/>
        </w:rPr>
        <w:t xml:space="preserve"> </w:t>
      </w:r>
      <w:r w:rsidR="00E76169" w:rsidRPr="00E76169">
        <w:rPr>
          <w:sz w:val="20"/>
          <w:szCs w:val="20"/>
        </w:rPr>
        <w:t xml:space="preserve">Patricia Adler and Peter Adler, </w:t>
      </w:r>
      <w:r w:rsidR="00E76169" w:rsidRPr="00E76169">
        <w:rPr>
          <w:i/>
          <w:iCs/>
          <w:sz w:val="20"/>
          <w:szCs w:val="20"/>
        </w:rPr>
        <w:t>Membership roles in field research</w:t>
      </w:r>
      <w:r w:rsidR="00E76169" w:rsidRPr="00E76169">
        <w:rPr>
          <w:sz w:val="20"/>
          <w:szCs w:val="20"/>
        </w:rPr>
        <w:t>, (Newbury Park, CA: Sage, 1987).</w:t>
      </w:r>
    </w:p>
  </w:footnote>
  <w:footnote w:id="6">
    <w:p w14:paraId="0C977A9A" w14:textId="7CEA0CBA" w:rsidR="0034772F" w:rsidRPr="00E76169" w:rsidRDefault="0034772F" w:rsidP="00E76169">
      <w:pPr>
        <w:pStyle w:val="NoSpacing"/>
        <w:ind w:left="426" w:hanging="426"/>
        <w:rPr>
          <w:rFonts w:ascii="Calibri" w:hAnsi="Calibri" w:cs="Calibri"/>
          <w:sz w:val="20"/>
          <w:szCs w:val="20"/>
        </w:rPr>
      </w:pPr>
      <w:r w:rsidRPr="00E76169">
        <w:rPr>
          <w:rStyle w:val="FootnoteReference"/>
          <w:sz w:val="20"/>
          <w:szCs w:val="20"/>
        </w:rPr>
        <w:footnoteRef/>
      </w:r>
      <w:r w:rsidRPr="00E76169">
        <w:rPr>
          <w:sz w:val="20"/>
          <w:szCs w:val="20"/>
        </w:rPr>
        <w:t xml:space="preserve"> </w:t>
      </w:r>
      <w:r w:rsidR="00E76169" w:rsidRPr="00E76169">
        <w:rPr>
          <w:sz w:val="20"/>
          <w:szCs w:val="20"/>
        </w:rPr>
        <w:t xml:space="preserve">Ted </w:t>
      </w:r>
      <w:r w:rsidR="00E76169" w:rsidRPr="00E76169">
        <w:rPr>
          <w:rFonts w:ascii="Calibri" w:hAnsi="Calibri" w:cs="Calibri"/>
          <w:sz w:val="20"/>
          <w:szCs w:val="20"/>
        </w:rPr>
        <w:t xml:space="preserve">Aoki, Imaginaries of “East and West”: Slippery curricular signifiers in education. </w:t>
      </w:r>
      <w:r w:rsidR="00E76169" w:rsidRPr="00E76169">
        <w:rPr>
          <w:rFonts w:ascii="Calibri" w:hAnsi="Calibri" w:cs="Calibri"/>
          <w:i/>
          <w:iCs/>
          <w:sz w:val="20"/>
          <w:szCs w:val="20"/>
        </w:rPr>
        <w:t>Paper at the International Adult and Continuing Education Conference</w:t>
      </w:r>
      <w:r w:rsidR="00E76169" w:rsidRPr="00E76169">
        <w:rPr>
          <w:rFonts w:ascii="Calibri" w:hAnsi="Calibri" w:cs="Calibri"/>
          <w:sz w:val="20"/>
          <w:szCs w:val="20"/>
        </w:rPr>
        <w:t xml:space="preserve"> (ERIC Reproduction Service No. ED 401 406, 1996)</w:t>
      </w:r>
    </w:p>
  </w:footnote>
  <w:footnote w:id="7">
    <w:p w14:paraId="2A472244" w14:textId="5CC6786A" w:rsidR="0034772F" w:rsidRPr="00E76169" w:rsidRDefault="0034772F" w:rsidP="0034772F">
      <w:pPr>
        <w:pStyle w:val="FootnoteText"/>
      </w:pPr>
      <w:r w:rsidRPr="00E76169">
        <w:rPr>
          <w:rStyle w:val="FootnoteReference"/>
        </w:rPr>
        <w:footnoteRef/>
      </w:r>
      <w:r w:rsidRPr="00E76169">
        <w:t xml:space="preserve"> Bell &amp; Waters,</w:t>
      </w:r>
      <w:r w:rsidR="00E76169" w:rsidRPr="00E76169">
        <w:t xml:space="preserve"> </w:t>
      </w:r>
      <w:r w:rsidR="00E76169" w:rsidRPr="00E76169">
        <w:rPr>
          <w:i/>
          <w:iCs/>
        </w:rPr>
        <w:t>Doing your research project</w:t>
      </w:r>
      <w:r w:rsidR="00E76169" w:rsidRPr="00E76169">
        <w:t>, pp</w:t>
      </w:r>
      <w:r w:rsidRPr="00E76169">
        <w:t>127</w:t>
      </w:r>
    </w:p>
  </w:footnote>
  <w:footnote w:id="8">
    <w:p w14:paraId="3E362FBA" w14:textId="77777777" w:rsidR="0034525C" w:rsidRPr="00E76169" w:rsidRDefault="0034525C" w:rsidP="0034525C">
      <w:pPr>
        <w:pStyle w:val="NoSpacing"/>
        <w:ind w:left="426" w:hanging="426"/>
        <w:rPr>
          <w:sz w:val="20"/>
          <w:szCs w:val="20"/>
        </w:rPr>
      </w:pPr>
      <w:r w:rsidRPr="00E76169">
        <w:rPr>
          <w:rStyle w:val="FootnoteReference"/>
          <w:sz w:val="20"/>
          <w:szCs w:val="20"/>
        </w:rPr>
        <w:footnoteRef/>
      </w:r>
      <w:r w:rsidRPr="00E76169">
        <w:rPr>
          <w:sz w:val="20"/>
          <w:szCs w:val="20"/>
        </w:rPr>
        <w:t xml:space="preserve"> Alan Bryman, </w:t>
      </w:r>
      <w:r w:rsidRPr="00206576">
        <w:rPr>
          <w:i/>
          <w:iCs/>
          <w:sz w:val="20"/>
          <w:szCs w:val="20"/>
        </w:rPr>
        <w:t>Quantity and quality in social research</w:t>
      </w:r>
      <w:r w:rsidRPr="00E76169">
        <w:rPr>
          <w:sz w:val="20"/>
          <w:szCs w:val="20"/>
        </w:rPr>
        <w:t>, (Routledge, London, 2006) pp22</w:t>
      </w:r>
    </w:p>
  </w:footnote>
  <w:footnote w:id="9">
    <w:p w14:paraId="126F26C0" w14:textId="69E9C133" w:rsidR="0034772F" w:rsidRDefault="0034772F">
      <w:pPr>
        <w:pStyle w:val="FootnoteText"/>
      </w:pPr>
      <w:r>
        <w:rPr>
          <w:rStyle w:val="FootnoteReference"/>
        </w:rPr>
        <w:footnoteRef/>
      </w:r>
      <w:r>
        <w:t xml:space="preserve"> Bell &amp; Waters,</w:t>
      </w:r>
      <w:r w:rsidR="002B4744">
        <w:t xml:space="preserve"> </w:t>
      </w:r>
      <w:r w:rsidR="002B4744">
        <w:rPr>
          <w:i/>
          <w:iCs/>
        </w:rPr>
        <w:t>Doing your research project</w:t>
      </w:r>
      <w:r w:rsidR="002B4744">
        <w:t>, pp</w:t>
      </w:r>
      <w:r>
        <w:t>291</w:t>
      </w:r>
    </w:p>
  </w:footnote>
  <w:footnote w:id="10">
    <w:p w14:paraId="203E4674" w14:textId="7B307F8E" w:rsidR="002C4B0C" w:rsidRDefault="002C4B0C">
      <w:pPr>
        <w:pStyle w:val="FootnoteText"/>
      </w:pPr>
      <w:r>
        <w:rPr>
          <w:rStyle w:val="FootnoteReference"/>
        </w:rPr>
        <w:footnoteRef/>
      </w:r>
      <w:r>
        <w:t xml:space="preserve"> </w:t>
      </w:r>
      <w:r w:rsidR="00CC1B79">
        <w:t xml:space="preserve">John </w:t>
      </w:r>
      <w:r>
        <w:t>Brewer</w:t>
      </w:r>
      <w:r w:rsidR="00CC1B79">
        <w:t xml:space="preserve">, </w:t>
      </w:r>
      <w:r w:rsidR="00CC1B79" w:rsidRPr="00CC1B79">
        <w:rPr>
          <w:i/>
          <w:iCs/>
        </w:rPr>
        <w:t>Ethnography</w:t>
      </w:r>
      <w:r w:rsidR="00CC1B79" w:rsidRPr="00CC1B79">
        <w:t xml:space="preserve">, </w:t>
      </w:r>
      <w:r w:rsidR="00CC1B79">
        <w:t>(</w:t>
      </w:r>
      <w:r w:rsidR="00CC1B79" w:rsidRPr="00CC1B79">
        <w:t>Buckingham: Open University Press</w:t>
      </w:r>
      <w:r w:rsidR="00CC1B79">
        <w:t xml:space="preserve">, </w:t>
      </w:r>
      <w:r>
        <w:t>2000</w:t>
      </w:r>
      <w:r w:rsidR="00CC1B79">
        <w:t>), pp</w:t>
      </w:r>
      <w:r>
        <w:t xml:space="preserve"> 6 </w:t>
      </w:r>
    </w:p>
  </w:footnote>
  <w:footnote w:id="11">
    <w:p w14:paraId="25247951" w14:textId="375EA975" w:rsidR="006373C3" w:rsidRDefault="006373C3">
      <w:pPr>
        <w:pStyle w:val="FootnoteText"/>
      </w:pPr>
      <w:r>
        <w:rPr>
          <w:rStyle w:val="FootnoteReference"/>
        </w:rPr>
        <w:footnoteRef/>
      </w:r>
      <w:r>
        <w:t xml:space="preserve"> </w:t>
      </w:r>
      <w:proofErr w:type="spellStart"/>
      <w:r>
        <w:t>Hennink</w:t>
      </w:r>
      <w:proofErr w:type="spellEnd"/>
      <w:r>
        <w:t xml:space="preserve">, Hutter &amp; Bailey, </w:t>
      </w:r>
      <w:r w:rsidRPr="002B4744">
        <w:rPr>
          <w:i/>
          <w:iCs/>
        </w:rPr>
        <w:t>Qualitative Research Methods</w:t>
      </w:r>
      <w:r>
        <w:t>, pp198</w:t>
      </w:r>
    </w:p>
  </w:footnote>
  <w:footnote w:id="12">
    <w:p w14:paraId="511660D3" w14:textId="5C0AD202" w:rsidR="006373C3" w:rsidRPr="006373C3" w:rsidRDefault="006373C3" w:rsidP="006373C3">
      <w:pPr>
        <w:pStyle w:val="NoSpacing"/>
        <w:ind w:left="426" w:hanging="426"/>
        <w:rPr>
          <w:sz w:val="20"/>
          <w:szCs w:val="20"/>
        </w:rPr>
      </w:pPr>
      <w:r>
        <w:rPr>
          <w:rStyle w:val="FootnoteReference"/>
        </w:rPr>
        <w:footnoteRef/>
      </w:r>
      <w:r>
        <w:t xml:space="preserve"> </w:t>
      </w:r>
      <w:r w:rsidRPr="00E76169">
        <w:rPr>
          <w:sz w:val="20"/>
          <w:szCs w:val="20"/>
        </w:rPr>
        <w:t xml:space="preserve">Bryman, </w:t>
      </w:r>
      <w:r w:rsidRPr="00206576">
        <w:rPr>
          <w:i/>
          <w:iCs/>
          <w:sz w:val="20"/>
          <w:szCs w:val="20"/>
        </w:rPr>
        <w:t>Quantity and quality in social research</w:t>
      </w:r>
      <w:r w:rsidRPr="00E76169">
        <w:rPr>
          <w:sz w:val="20"/>
          <w:szCs w:val="20"/>
        </w:rPr>
        <w:t>, pp</w:t>
      </w:r>
      <w:r>
        <w:rPr>
          <w:sz w:val="20"/>
          <w:szCs w:val="20"/>
        </w:rPr>
        <w:t>129</w:t>
      </w:r>
    </w:p>
  </w:footnote>
  <w:footnote w:id="13">
    <w:p w14:paraId="0585CD85" w14:textId="62BDDA0E" w:rsidR="00AF1B5D" w:rsidRDefault="00AF1B5D">
      <w:pPr>
        <w:pStyle w:val="FootnoteText"/>
      </w:pPr>
      <w:r>
        <w:rPr>
          <w:rStyle w:val="FootnoteReference"/>
        </w:rPr>
        <w:footnoteRef/>
      </w:r>
      <w:r>
        <w:t xml:space="preserve"> </w:t>
      </w:r>
      <w:proofErr w:type="spellStart"/>
      <w:r>
        <w:t>Hennink</w:t>
      </w:r>
      <w:proofErr w:type="spellEnd"/>
      <w:r w:rsidR="002B4744">
        <w:t xml:space="preserve">, Hutter &amp; Bailey, </w:t>
      </w:r>
      <w:r w:rsidR="002B4744" w:rsidRPr="002B4744">
        <w:rPr>
          <w:i/>
          <w:iCs/>
        </w:rPr>
        <w:t>Qualitative Research Methods</w:t>
      </w:r>
      <w:r w:rsidR="002B4744">
        <w:t>, pp</w:t>
      </w:r>
      <w:r>
        <w:t>299</w:t>
      </w:r>
    </w:p>
  </w:footnote>
  <w:footnote w:id="14">
    <w:p w14:paraId="7A68E7DE" w14:textId="66235610" w:rsidR="00F12EF3" w:rsidRDefault="00F12EF3">
      <w:pPr>
        <w:pStyle w:val="FootnoteText"/>
      </w:pPr>
      <w:r>
        <w:rPr>
          <w:rStyle w:val="FootnoteReference"/>
        </w:rPr>
        <w:footnoteRef/>
      </w:r>
      <w:r>
        <w:t xml:space="preserve"> Blain,</w:t>
      </w:r>
      <w:r w:rsidR="002B4744">
        <w:t xml:space="preserve"> Speaking </w:t>
      </w:r>
      <w:proofErr w:type="spellStart"/>
      <w:r w:rsidR="002B4744">
        <w:t>Shamanistically</w:t>
      </w:r>
      <w:proofErr w:type="spellEnd"/>
      <w:r w:rsidR="002B4744">
        <w:t>, p</w:t>
      </w:r>
      <w:r>
        <w:t>p7</w:t>
      </w:r>
    </w:p>
  </w:footnote>
  <w:footnote w:id="15">
    <w:p w14:paraId="3CEAE9A4" w14:textId="1012E002" w:rsidR="00F12EF3" w:rsidRDefault="00F12EF3">
      <w:pPr>
        <w:pStyle w:val="FootnoteText"/>
      </w:pPr>
      <w:r>
        <w:rPr>
          <w:rStyle w:val="FootnoteReference"/>
        </w:rPr>
        <w:footnoteRef/>
      </w:r>
      <w:r w:rsidR="002B4744">
        <w:t xml:space="preserve"> </w:t>
      </w:r>
      <w:proofErr w:type="spellStart"/>
      <w:r w:rsidR="002B4744">
        <w:t>Hennink</w:t>
      </w:r>
      <w:proofErr w:type="spellEnd"/>
      <w:r w:rsidR="002B4744">
        <w:t xml:space="preserve">, Hutter &amp; Bailey, </w:t>
      </w:r>
      <w:r w:rsidR="002B4744" w:rsidRPr="002B4744">
        <w:rPr>
          <w:i/>
          <w:iCs/>
        </w:rPr>
        <w:t>Qualitative Research Methods</w:t>
      </w:r>
      <w:r w:rsidR="002B4744">
        <w:t>, p</w:t>
      </w:r>
      <w:r>
        <w:t>p83</w:t>
      </w:r>
    </w:p>
  </w:footnote>
  <w:footnote w:id="16">
    <w:p w14:paraId="672CF393" w14:textId="098D62C5" w:rsidR="001726CC" w:rsidRDefault="001726CC">
      <w:pPr>
        <w:pStyle w:val="FootnoteText"/>
      </w:pPr>
      <w:r>
        <w:rPr>
          <w:rStyle w:val="FootnoteReference"/>
        </w:rPr>
        <w:footnoteRef/>
      </w:r>
      <w:r>
        <w:t xml:space="preserve"> </w:t>
      </w:r>
      <w:proofErr w:type="spellStart"/>
      <w:r w:rsidR="002B4744">
        <w:t>Hennink</w:t>
      </w:r>
      <w:proofErr w:type="spellEnd"/>
      <w:r w:rsidR="002B4744">
        <w:t xml:space="preserve">, Hutter &amp; Bailey, </w:t>
      </w:r>
      <w:r w:rsidR="002B4744" w:rsidRPr="002B4744">
        <w:rPr>
          <w:i/>
          <w:iCs/>
        </w:rPr>
        <w:t>Qualitative Research Methods</w:t>
      </w:r>
      <w:r w:rsidR="002B4744">
        <w:t>, pp</w:t>
      </w:r>
      <w:r>
        <w:t>81</w:t>
      </w:r>
    </w:p>
  </w:footnote>
  <w:footnote w:id="17">
    <w:p w14:paraId="0984736F" w14:textId="37995B96" w:rsidR="00AF1B5D" w:rsidRDefault="00AF1B5D">
      <w:pPr>
        <w:pStyle w:val="FootnoteText"/>
      </w:pPr>
      <w:r>
        <w:rPr>
          <w:rStyle w:val="FootnoteReference"/>
        </w:rPr>
        <w:footnoteRef/>
      </w:r>
      <w:r>
        <w:t xml:space="preserve"> Bennet</w:t>
      </w:r>
      <w:r w:rsidR="002B4744">
        <w:t>, “If I had known you were coming”, pp</w:t>
      </w:r>
      <w:r>
        <w:t>126</w:t>
      </w:r>
    </w:p>
  </w:footnote>
  <w:footnote w:id="18">
    <w:p w14:paraId="794CBA7F" w14:textId="72D2E477" w:rsidR="00455CAF" w:rsidRDefault="00455CAF">
      <w:pPr>
        <w:pStyle w:val="FootnoteText"/>
      </w:pPr>
      <w:r>
        <w:rPr>
          <w:rStyle w:val="FootnoteReference"/>
        </w:rPr>
        <w:footnoteRef/>
      </w:r>
      <w:r>
        <w:t xml:space="preserve"> </w:t>
      </w:r>
      <w:proofErr w:type="spellStart"/>
      <w:r>
        <w:t>Hennink</w:t>
      </w:r>
      <w:proofErr w:type="spellEnd"/>
      <w:r>
        <w:t xml:space="preserve">, Hutter &amp; Bailey, </w:t>
      </w:r>
      <w:r w:rsidRPr="002B4744">
        <w:rPr>
          <w:i/>
          <w:iCs/>
        </w:rPr>
        <w:t>Qualitative Research Methods</w:t>
      </w:r>
      <w:r>
        <w:t>, pp134</w:t>
      </w:r>
    </w:p>
  </w:footnote>
  <w:footnote w:id="19">
    <w:p w14:paraId="05A01D82" w14:textId="4A60598E" w:rsidR="00AF1B5D" w:rsidRDefault="00AF1B5D">
      <w:pPr>
        <w:pStyle w:val="FootnoteText"/>
      </w:pPr>
      <w:r>
        <w:rPr>
          <w:rStyle w:val="FootnoteReference"/>
        </w:rPr>
        <w:footnoteRef/>
      </w:r>
      <w:r>
        <w:t xml:space="preserve"> Bennet, </w:t>
      </w:r>
      <w:r w:rsidR="002B4744">
        <w:t>“If I had known you were coming”, pp</w:t>
      </w:r>
      <w:r>
        <w:t>127</w:t>
      </w:r>
    </w:p>
  </w:footnote>
  <w:footnote w:id="20">
    <w:p w14:paraId="2F3749AF" w14:textId="2C6DD8AD" w:rsidR="00F12EF3" w:rsidRDefault="009A66C8" w:rsidP="006F6DFD">
      <w:pPr>
        <w:pStyle w:val="FootnoteText"/>
        <w:ind w:left="284" w:hanging="284"/>
      </w:pPr>
      <w:r>
        <w:rPr>
          <w:rStyle w:val="FootnoteReference"/>
        </w:rPr>
        <w:footnoteRef/>
      </w:r>
      <w:r w:rsidR="00F12EF3">
        <w:t xml:space="preserve"> Bennet</w:t>
      </w:r>
      <w:r w:rsidR="002B4744">
        <w:t>, “If I had known you were coming”, pp</w:t>
      </w:r>
      <w:r w:rsidR="00F12EF3">
        <w:t>126</w:t>
      </w:r>
    </w:p>
  </w:footnote>
  <w:footnote w:id="21">
    <w:p w14:paraId="513692DA" w14:textId="20A268C3" w:rsidR="006F6DFD" w:rsidRPr="006F6DFD" w:rsidRDefault="006F6DFD" w:rsidP="006F6DFD">
      <w:pPr>
        <w:pStyle w:val="FootnoteText"/>
        <w:ind w:left="284" w:hanging="284"/>
      </w:pPr>
      <w:r>
        <w:rPr>
          <w:rStyle w:val="FootnoteReference"/>
        </w:rPr>
        <w:footnoteRef/>
      </w:r>
      <w:r>
        <w:t xml:space="preserve"> Bell &amp; Waters, </w:t>
      </w:r>
      <w:r>
        <w:rPr>
          <w:i/>
          <w:iCs/>
        </w:rPr>
        <w:t>Doing your research project</w:t>
      </w:r>
      <w:r>
        <w:t>, pp68</w:t>
      </w:r>
    </w:p>
  </w:footnote>
  <w:footnote w:id="22">
    <w:p w14:paraId="223B6B37" w14:textId="5A1B2276" w:rsidR="006F6DFD" w:rsidRDefault="006F6DFD" w:rsidP="006F6DFD">
      <w:pPr>
        <w:pStyle w:val="FootnoteText"/>
        <w:ind w:left="284" w:hanging="284"/>
      </w:pPr>
      <w:r>
        <w:rPr>
          <w:rStyle w:val="FootnoteReference"/>
        </w:rPr>
        <w:footnoteRef/>
      </w:r>
      <w:r>
        <w:t xml:space="preserve"> Yvonne Darling and Dorothy Scott, </w:t>
      </w:r>
      <w:r>
        <w:rPr>
          <w:i/>
          <w:iCs/>
        </w:rPr>
        <w:t>Qualitative Research in Practice: Stories from the Field</w:t>
      </w:r>
      <w:r>
        <w:t>, (Buckingham: Open University Press, 2002) pp223</w:t>
      </w:r>
    </w:p>
  </w:footnote>
  <w:footnote w:id="23">
    <w:p w14:paraId="54C0B537" w14:textId="7637A23C" w:rsidR="00D63A2D" w:rsidRDefault="00D63A2D" w:rsidP="006F6DFD">
      <w:pPr>
        <w:pStyle w:val="FootnoteText"/>
        <w:ind w:left="284" w:hanging="284"/>
      </w:pPr>
      <w:r>
        <w:rPr>
          <w:rStyle w:val="FootnoteReference"/>
        </w:rPr>
        <w:footnoteRef/>
      </w:r>
      <w:r>
        <w:t xml:space="preserve"> </w:t>
      </w:r>
      <w:proofErr w:type="spellStart"/>
      <w:r w:rsidR="002B4744">
        <w:t>Hennink</w:t>
      </w:r>
      <w:proofErr w:type="spellEnd"/>
      <w:r w:rsidR="002B4744">
        <w:t xml:space="preserve">, Hutter &amp; Bailey, </w:t>
      </w:r>
      <w:r w:rsidR="002B4744" w:rsidRPr="002B4744">
        <w:rPr>
          <w:i/>
          <w:iCs/>
        </w:rPr>
        <w:t>Qualitative Research Methods</w:t>
      </w:r>
      <w:r w:rsidR="002B4744">
        <w:t>,</w:t>
      </w:r>
      <w:r>
        <w:t xml:space="preserve"> </w:t>
      </w:r>
      <w:r w:rsidR="002B4744">
        <w:t>p</w:t>
      </w:r>
      <w:r>
        <w:t>p210</w:t>
      </w:r>
    </w:p>
  </w:footnote>
  <w:footnote w:id="24">
    <w:p w14:paraId="0DD2D47A" w14:textId="1D47D540" w:rsidR="00D63A2D" w:rsidRDefault="00D63A2D" w:rsidP="006F6DFD">
      <w:pPr>
        <w:pStyle w:val="FootnoteText"/>
        <w:ind w:left="284" w:hanging="284"/>
      </w:pPr>
      <w:r>
        <w:rPr>
          <w:rStyle w:val="FootnoteReference"/>
        </w:rPr>
        <w:footnoteRef/>
      </w:r>
      <w:r>
        <w:t xml:space="preserve"> Bennet</w:t>
      </w:r>
      <w:r w:rsidR="002B4744">
        <w:t>, “If I had known you were coming”, pp</w:t>
      </w:r>
      <w:r>
        <w:t>131,</w:t>
      </w:r>
    </w:p>
  </w:footnote>
  <w:footnote w:id="25">
    <w:p w14:paraId="73B718A1" w14:textId="4E079208" w:rsidR="00D63A2D" w:rsidRDefault="00D63A2D" w:rsidP="006F6DFD">
      <w:pPr>
        <w:pStyle w:val="FootnoteText"/>
        <w:ind w:left="284" w:hanging="284"/>
      </w:pPr>
      <w:r>
        <w:rPr>
          <w:rStyle w:val="FootnoteReference"/>
        </w:rPr>
        <w:footnoteRef/>
      </w:r>
      <w:r>
        <w:t xml:space="preserve"> Bennet</w:t>
      </w:r>
      <w:r w:rsidR="002B4744">
        <w:t>, “If I had known you were coming”, pp</w:t>
      </w:r>
      <w:r>
        <w:t>127</w:t>
      </w:r>
    </w:p>
  </w:footnote>
  <w:footnote w:id="26">
    <w:p w14:paraId="5015D262" w14:textId="3AF72530" w:rsidR="00D63A2D" w:rsidRDefault="00D63A2D" w:rsidP="006F6DFD">
      <w:pPr>
        <w:pStyle w:val="FootnoteText"/>
        <w:ind w:left="284" w:hanging="284"/>
      </w:pPr>
      <w:r>
        <w:rPr>
          <w:rStyle w:val="FootnoteReference"/>
        </w:rPr>
        <w:footnoteRef/>
      </w:r>
      <w:r>
        <w:t xml:space="preserve"> Bennet</w:t>
      </w:r>
      <w:r w:rsidR="002B4744">
        <w:t>, “If I had known you were coming”, pp</w:t>
      </w:r>
      <w:r>
        <w:t>133</w:t>
      </w:r>
    </w:p>
  </w:footnote>
  <w:footnote w:id="27">
    <w:p w14:paraId="4EAAC1B1" w14:textId="354AB261" w:rsidR="00D63A2D" w:rsidRDefault="00D63A2D" w:rsidP="006F6DFD">
      <w:pPr>
        <w:pStyle w:val="FootnoteText"/>
        <w:ind w:left="284" w:hanging="284"/>
      </w:pPr>
      <w:r>
        <w:rPr>
          <w:rStyle w:val="FootnoteReference"/>
        </w:rPr>
        <w:footnoteRef/>
      </w:r>
      <w:r>
        <w:t xml:space="preserve"> Bennet</w:t>
      </w:r>
      <w:r w:rsidR="002B4744">
        <w:t>, “If I had known you were coming”, pp</w:t>
      </w:r>
      <w:r>
        <w:t>136</w:t>
      </w:r>
    </w:p>
  </w:footnote>
  <w:footnote w:id="28">
    <w:p w14:paraId="2330896E" w14:textId="2BABA6F6" w:rsidR="00D63A2D" w:rsidRDefault="00D63A2D" w:rsidP="006F6DFD">
      <w:pPr>
        <w:pStyle w:val="FootnoteText"/>
        <w:ind w:left="284" w:hanging="284"/>
      </w:pPr>
      <w:r>
        <w:rPr>
          <w:rStyle w:val="FootnoteReference"/>
        </w:rPr>
        <w:footnoteRef/>
      </w:r>
      <w:r>
        <w:t xml:space="preserve"> </w:t>
      </w:r>
      <w:proofErr w:type="spellStart"/>
      <w:r w:rsidR="002B4744">
        <w:t>Hennink</w:t>
      </w:r>
      <w:proofErr w:type="spellEnd"/>
      <w:r w:rsidR="002B4744">
        <w:t xml:space="preserve">, Hutter &amp; Bailey, </w:t>
      </w:r>
      <w:r w:rsidR="002B4744" w:rsidRPr="002B4744">
        <w:rPr>
          <w:i/>
          <w:iCs/>
        </w:rPr>
        <w:t>Qualitative Research Methods</w:t>
      </w:r>
      <w:r>
        <w:t xml:space="preserve">, </w:t>
      </w:r>
      <w:r w:rsidR="002B4744">
        <w:t>p</w:t>
      </w:r>
      <w:r>
        <w:t>p218</w:t>
      </w:r>
    </w:p>
  </w:footnote>
  <w:footnote w:id="29">
    <w:p w14:paraId="644EC1B8" w14:textId="4AB28349" w:rsidR="00D63A2D" w:rsidRDefault="00D63A2D" w:rsidP="006F6DFD">
      <w:pPr>
        <w:pStyle w:val="FootnoteText"/>
        <w:ind w:left="284" w:hanging="284"/>
      </w:pPr>
      <w:r>
        <w:rPr>
          <w:rStyle w:val="FootnoteReference"/>
        </w:rPr>
        <w:footnoteRef/>
      </w:r>
      <w:r>
        <w:t xml:space="preserve"> </w:t>
      </w:r>
      <w:r w:rsidR="002B4744">
        <w:t xml:space="preserve">Bell &amp; Waters, </w:t>
      </w:r>
      <w:r w:rsidR="002B4744">
        <w:rPr>
          <w:i/>
          <w:iCs/>
        </w:rPr>
        <w:t>Doing your research project</w:t>
      </w:r>
      <w:r>
        <w:t xml:space="preserve">, </w:t>
      </w:r>
      <w:r w:rsidR="002B4744">
        <w:t>p</w:t>
      </w:r>
      <w:r>
        <w:t>p271</w:t>
      </w:r>
    </w:p>
  </w:footnote>
  <w:footnote w:id="30">
    <w:p w14:paraId="20A03A4A" w14:textId="77777777" w:rsidR="00DB3116" w:rsidRDefault="00DB3116" w:rsidP="00DB3116">
      <w:pPr>
        <w:pStyle w:val="FootnoteText"/>
        <w:ind w:left="284" w:hanging="284"/>
      </w:pPr>
      <w:r>
        <w:rPr>
          <w:rStyle w:val="FootnoteReference"/>
        </w:rPr>
        <w:footnoteRef/>
      </w:r>
      <w:r>
        <w:t xml:space="preserve"> Barney Glaser, </w:t>
      </w:r>
      <w:r>
        <w:rPr>
          <w:i/>
          <w:iCs/>
        </w:rPr>
        <w:t xml:space="preserve">Theoretical Sensitivity: Advances in the Methodology of Grounded </w:t>
      </w:r>
      <w:r w:rsidRPr="0013504A">
        <w:t>Theory</w:t>
      </w:r>
      <w:r>
        <w:t xml:space="preserve">, (Mill Valley, CA: Sociology Press, </w:t>
      </w:r>
      <w:r w:rsidRPr="0013504A">
        <w:t>1978</w:t>
      </w:r>
      <w:r>
        <w:t xml:space="preserve">) </w:t>
      </w:r>
    </w:p>
  </w:footnote>
  <w:footnote w:id="31">
    <w:p w14:paraId="18ADF7B8" w14:textId="77777777" w:rsidR="00617EE8" w:rsidRDefault="00617EE8" w:rsidP="00617EE8">
      <w:pPr>
        <w:pStyle w:val="FootnoteText"/>
      </w:pPr>
      <w:r>
        <w:rPr>
          <w:rStyle w:val="FootnoteReference"/>
        </w:rPr>
        <w:footnoteRef/>
      </w:r>
      <w:r>
        <w:t xml:space="preserve"> </w:t>
      </w:r>
      <w:proofErr w:type="spellStart"/>
      <w:r>
        <w:t>Hennink</w:t>
      </w:r>
      <w:proofErr w:type="spellEnd"/>
      <w:r>
        <w:t xml:space="preserve">, Hutter &amp; Bailey, </w:t>
      </w:r>
      <w:r w:rsidRPr="002B4744">
        <w:rPr>
          <w:i/>
          <w:iCs/>
        </w:rPr>
        <w:t>Qualitative Research Methods</w:t>
      </w:r>
      <w:r>
        <w:t>, pp19</w:t>
      </w:r>
    </w:p>
  </w:footnote>
  <w:footnote w:id="32">
    <w:p w14:paraId="69A98C63" w14:textId="77777777" w:rsidR="002C158A" w:rsidRDefault="002C158A" w:rsidP="002C158A">
      <w:pPr>
        <w:pStyle w:val="FootnoteText"/>
      </w:pPr>
      <w:r>
        <w:rPr>
          <w:rStyle w:val="FootnoteReference"/>
        </w:rPr>
        <w:footnoteRef/>
      </w:r>
      <w:r>
        <w:t xml:space="preserve"> Blain, Speaking </w:t>
      </w:r>
      <w:proofErr w:type="spellStart"/>
      <w:r>
        <w:t>Shamanistically</w:t>
      </w:r>
      <w:proofErr w:type="spellEnd"/>
      <w:r>
        <w:t>, pp7</w:t>
      </w:r>
    </w:p>
  </w:footnote>
  <w:footnote w:id="33">
    <w:p w14:paraId="1A410903" w14:textId="23669185" w:rsidR="00FC2FEE" w:rsidRDefault="00FC2FEE">
      <w:pPr>
        <w:pStyle w:val="FootnoteText"/>
      </w:pPr>
      <w:r>
        <w:rPr>
          <w:rStyle w:val="FootnoteReference"/>
        </w:rPr>
        <w:footnoteRef/>
      </w:r>
      <w:r>
        <w:t xml:space="preserve"> Blain, Speaking </w:t>
      </w:r>
      <w:proofErr w:type="spellStart"/>
      <w:r>
        <w:t>Shamanistically</w:t>
      </w:r>
      <w:proofErr w:type="spellEnd"/>
      <w:r>
        <w:t>, pp6</w:t>
      </w:r>
    </w:p>
  </w:footnote>
  <w:footnote w:id="34">
    <w:p w14:paraId="79D16263" w14:textId="0974329A" w:rsidR="00617EE8" w:rsidRDefault="00617EE8">
      <w:pPr>
        <w:pStyle w:val="FootnoteText"/>
      </w:pPr>
      <w:r>
        <w:rPr>
          <w:rStyle w:val="FootnoteReference"/>
        </w:rPr>
        <w:footnoteRef/>
      </w:r>
      <w:r>
        <w:t xml:space="preserve"> Blain, Speaking </w:t>
      </w:r>
      <w:proofErr w:type="spellStart"/>
      <w:r>
        <w:t>Shamanistically</w:t>
      </w:r>
      <w:proofErr w:type="spellEnd"/>
      <w:r>
        <w:t>, pp13</w:t>
      </w:r>
    </w:p>
  </w:footnote>
  <w:footnote w:id="35">
    <w:p w14:paraId="43FB6102" w14:textId="12179157" w:rsidR="00DF5A25" w:rsidRDefault="00DF5A25" w:rsidP="0061278C">
      <w:pPr>
        <w:spacing w:after="0"/>
      </w:pPr>
      <w:r>
        <w:rPr>
          <w:rStyle w:val="FootnoteReference"/>
        </w:rPr>
        <w:footnoteRef/>
      </w:r>
      <w:r>
        <w:t xml:space="preserve"> </w:t>
      </w:r>
      <w:proofErr w:type="spellStart"/>
      <w:r w:rsidR="0061278C">
        <w:t>Hennink</w:t>
      </w:r>
      <w:proofErr w:type="spellEnd"/>
      <w:r w:rsidR="0061278C">
        <w:t xml:space="preserve">, Hutter &amp; Bailey, </w:t>
      </w:r>
      <w:r w:rsidR="0061278C" w:rsidRPr="0061278C">
        <w:rPr>
          <w:i/>
          <w:iCs/>
        </w:rPr>
        <w:t>Qualitative Research Methods</w:t>
      </w:r>
      <w:r w:rsidR="0061278C">
        <w:t>, pp19</w:t>
      </w:r>
    </w:p>
  </w:footnote>
  <w:footnote w:id="36">
    <w:p w14:paraId="54555D61" w14:textId="5AEC9EF0" w:rsidR="0061278C" w:rsidRDefault="0061278C">
      <w:pPr>
        <w:pStyle w:val="FootnoteText"/>
      </w:pPr>
      <w:r>
        <w:rPr>
          <w:rStyle w:val="FootnoteReference"/>
        </w:rPr>
        <w:footnoteRef/>
      </w:r>
      <w:r>
        <w:t xml:space="preserve"> Bennet, “If I had known you were coming”, pp125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038C7"/>
    <w:multiLevelType w:val="hybridMultilevel"/>
    <w:tmpl w:val="7E0AE4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1F6B2B"/>
    <w:multiLevelType w:val="hybridMultilevel"/>
    <w:tmpl w:val="427E2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321784"/>
    <w:multiLevelType w:val="hybridMultilevel"/>
    <w:tmpl w:val="A4FA7A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877FD0"/>
    <w:multiLevelType w:val="hybridMultilevel"/>
    <w:tmpl w:val="29E24D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645EC2"/>
    <w:multiLevelType w:val="hybridMultilevel"/>
    <w:tmpl w:val="FE080A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E52FC1"/>
    <w:multiLevelType w:val="hybridMultilevel"/>
    <w:tmpl w:val="646CE3F2"/>
    <w:lvl w:ilvl="0" w:tplc="68167892">
      <w:start w:val="1"/>
      <w:numFmt w:val="bullet"/>
      <w:lvlText w:val="•"/>
      <w:lvlJc w:val="left"/>
      <w:pPr>
        <w:tabs>
          <w:tab w:val="num" w:pos="720"/>
        </w:tabs>
        <w:ind w:left="720" w:hanging="360"/>
      </w:pPr>
      <w:rPr>
        <w:rFonts w:ascii="Arial" w:hAnsi="Arial" w:hint="default"/>
      </w:rPr>
    </w:lvl>
    <w:lvl w:ilvl="1" w:tplc="D92640FC" w:tentative="1">
      <w:start w:val="1"/>
      <w:numFmt w:val="bullet"/>
      <w:lvlText w:val="•"/>
      <w:lvlJc w:val="left"/>
      <w:pPr>
        <w:tabs>
          <w:tab w:val="num" w:pos="1440"/>
        </w:tabs>
        <w:ind w:left="1440" w:hanging="360"/>
      </w:pPr>
      <w:rPr>
        <w:rFonts w:ascii="Arial" w:hAnsi="Arial" w:hint="default"/>
      </w:rPr>
    </w:lvl>
    <w:lvl w:ilvl="2" w:tplc="66E6EEEC" w:tentative="1">
      <w:start w:val="1"/>
      <w:numFmt w:val="bullet"/>
      <w:lvlText w:val="•"/>
      <w:lvlJc w:val="left"/>
      <w:pPr>
        <w:tabs>
          <w:tab w:val="num" w:pos="2160"/>
        </w:tabs>
        <w:ind w:left="2160" w:hanging="360"/>
      </w:pPr>
      <w:rPr>
        <w:rFonts w:ascii="Arial" w:hAnsi="Arial" w:hint="default"/>
      </w:rPr>
    </w:lvl>
    <w:lvl w:ilvl="3" w:tplc="8FAC6256" w:tentative="1">
      <w:start w:val="1"/>
      <w:numFmt w:val="bullet"/>
      <w:lvlText w:val="•"/>
      <w:lvlJc w:val="left"/>
      <w:pPr>
        <w:tabs>
          <w:tab w:val="num" w:pos="2880"/>
        </w:tabs>
        <w:ind w:left="2880" w:hanging="360"/>
      </w:pPr>
      <w:rPr>
        <w:rFonts w:ascii="Arial" w:hAnsi="Arial" w:hint="default"/>
      </w:rPr>
    </w:lvl>
    <w:lvl w:ilvl="4" w:tplc="00844784" w:tentative="1">
      <w:start w:val="1"/>
      <w:numFmt w:val="bullet"/>
      <w:lvlText w:val="•"/>
      <w:lvlJc w:val="left"/>
      <w:pPr>
        <w:tabs>
          <w:tab w:val="num" w:pos="3600"/>
        </w:tabs>
        <w:ind w:left="3600" w:hanging="360"/>
      </w:pPr>
      <w:rPr>
        <w:rFonts w:ascii="Arial" w:hAnsi="Arial" w:hint="default"/>
      </w:rPr>
    </w:lvl>
    <w:lvl w:ilvl="5" w:tplc="FF0614CE" w:tentative="1">
      <w:start w:val="1"/>
      <w:numFmt w:val="bullet"/>
      <w:lvlText w:val="•"/>
      <w:lvlJc w:val="left"/>
      <w:pPr>
        <w:tabs>
          <w:tab w:val="num" w:pos="4320"/>
        </w:tabs>
        <w:ind w:left="4320" w:hanging="360"/>
      </w:pPr>
      <w:rPr>
        <w:rFonts w:ascii="Arial" w:hAnsi="Arial" w:hint="default"/>
      </w:rPr>
    </w:lvl>
    <w:lvl w:ilvl="6" w:tplc="7B088184" w:tentative="1">
      <w:start w:val="1"/>
      <w:numFmt w:val="bullet"/>
      <w:lvlText w:val="•"/>
      <w:lvlJc w:val="left"/>
      <w:pPr>
        <w:tabs>
          <w:tab w:val="num" w:pos="5040"/>
        </w:tabs>
        <w:ind w:left="5040" w:hanging="360"/>
      </w:pPr>
      <w:rPr>
        <w:rFonts w:ascii="Arial" w:hAnsi="Arial" w:hint="default"/>
      </w:rPr>
    </w:lvl>
    <w:lvl w:ilvl="7" w:tplc="4DCE3B2E" w:tentative="1">
      <w:start w:val="1"/>
      <w:numFmt w:val="bullet"/>
      <w:lvlText w:val="•"/>
      <w:lvlJc w:val="left"/>
      <w:pPr>
        <w:tabs>
          <w:tab w:val="num" w:pos="5760"/>
        </w:tabs>
        <w:ind w:left="5760" w:hanging="360"/>
      </w:pPr>
      <w:rPr>
        <w:rFonts w:ascii="Arial" w:hAnsi="Arial" w:hint="default"/>
      </w:rPr>
    </w:lvl>
    <w:lvl w:ilvl="8" w:tplc="AA7AB49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8A06920"/>
    <w:multiLevelType w:val="hybridMultilevel"/>
    <w:tmpl w:val="8B8AB5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C1648"/>
    <w:multiLevelType w:val="hybridMultilevel"/>
    <w:tmpl w:val="D9C2A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E95781"/>
    <w:multiLevelType w:val="hybridMultilevel"/>
    <w:tmpl w:val="31E69C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1353221">
    <w:abstractNumId w:val="8"/>
  </w:num>
  <w:num w:numId="2" w16cid:durableId="2089882284">
    <w:abstractNumId w:val="2"/>
  </w:num>
  <w:num w:numId="3" w16cid:durableId="892619268">
    <w:abstractNumId w:val="6"/>
  </w:num>
  <w:num w:numId="4" w16cid:durableId="905993165">
    <w:abstractNumId w:val="0"/>
  </w:num>
  <w:num w:numId="5" w16cid:durableId="1138914522">
    <w:abstractNumId w:val="4"/>
  </w:num>
  <w:num w:numId="6" w16cid:durableId="1210343537">
    <w:abstractNumId w:val="1"/>
  </w:num>
  <w:num w:numId="7" w16cid:durableId="939147488">
    <w:abstractNumId w:val="3"/>
  </w:num>
  <w:num w:numId="8" w16cid:durableId="1163741851">
    <w:abstractNumId w:val="7"/>
  </w:num>
  <w:num w:numId="9" w16cid:durableId="20713396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9C0"/>
    <w:rsid w:val="00002E7B"/>
    <w:rsid w:val="0001210F"/>
    <w:rsid w:val="00022E91"/>
    <w:rsid w:val="000465E0"/>
    <w:rsid w:val="00061308"/>
    <w:rsid w:val="000724ED"/>
    <w:rsid w:val="000A4F63"/>
    <w:rsid w:val="000B068A"/>
    <w:rsid w:val="001003F0"/>
    <w:rsid w:val="001027EA"/>
    <w:rsid w:val="0013504A"/>
    <w:rsid w:val="0015010C"/>
    <w:rsid w:val="001726CC"/>
    <w:rsid w:val="0018774E"/>
    <w:rsid w:val="00194E06"/>
    <w:rsid w:val="001A400E"/>
    <w:rsid w:val="001B0B83"/>
    <w:rsid w:val="001D5AAD"/>
    <w:rsid w:val="001D7367"/>
    <w:rsid w:val="001E3563"/>
    <w:rsid w:val="001F543D"/>
    <w:rsid w:val="00206576"/>
    <w:rsid w:val="00251B19"/>
    <w:rsid w:val="00285E3D"/>
    <w:rsid w:val="002A1784"/>
    <w:rsid w:val="002B4744"/>
    <w:rsid w:val="002C158A"/>
    <w:rsid w:val="002C4B0C"/>
    <w:rsid w:val="002D55F9"/>
    <w:rsid w:val="002D58F2"/>
    <w:rsid w:val="002E0AD6"/>
    <w:rsid w:val="002E285B"/>
    <w:rsid w:val="00315448"/>
    <w:rsid w:val="0034525C"/>
    <w:rsid w:val="00345348"/>
    <w:rsid w:val="0034772F"/>
    <w:rsid w:val="00357BC5"/>
    <w:rsid w:val="0036051E"/>
    <w:rsid w:val="003724BE"/>
    <w:rsid w:val="00396EF1"/>
    <w:rsid w:val="003A5DFF"/>
    <w:rsid w:val="004132C6"/>
    <w:rsid w:val="00421A6A"/>
    <w:rsid w:val="00425B31"/>
    <w:rsid w:val="00443732"/>
    <w:rsid w:val="00450053"/>
    <w:rsid w:val="00453518"/>
    <w:rsid w:val="00455CAF"/>
    <w:rsid w:val="004707AB"/>
    <w:rsid w:val="004738F6"/>
    <w:rsid w:val="00474399"/>
    <w:rsid w:val="00484F7B"/>
    <w:rsid w:val="004B658A"/>
    <w:rsid w:val="004D079C"/>
    <w:rsid w:val="00524A39"/>
    <w:rsid w:val="00552961"/>
    <w:rsid w:val="00552A26"/>
    <w:rsid w:val="0056085C"/>
    <w:rsid w:val="00561376"/>
    <w:rsid w:val="00587A6A"/>
    <w:rsid w:val="00594362"/>
    <w:rsid w:val="005A064A"/>
    <w:rsid w:val="005E1350"/>
    <w:rsid w:val="005E5632"/>
    <w:rsid w:val="005F0F0E"/>
    <w:rsid w:val="006124FA"/>
    <w:rsid w:val="0061278C"/>
    <w:rsid w:val="006150F1"/>
    <w:rsid w:val="00617EE8"/>
    <w:rsid w:val="00620687"/>
    <w:rsid w:val="006373C3"/>
    <w:rsid w:val="0065061E"/>
    <w:rsid w:val="006B131F"/>
    <w:rsid w:val="006D558F"/>
    <w:rsid w:val="006F6DFD"/>
    <w:rsid w:val="00712AE6"/>
    <w:rsid w:val="00716AEE"/>
    <w:rsid w:val="00721AB3"/>
    <w:rsid w:val="007222B6"/>
    <w:rsid w:val="00743869"/>
    <w:rsid w:val="0074709D"/>
    <w:rsid w:val="00783BB8"/>
    <w:rsid w:val="00791D35"/>
    <w:rsid w:val="007A157E"/>
    <w:rsid w:val="007A6ECD"/>
    <w:rsid w:val="007D4E54"/>
    <w:rsid w:val="007E30EF"/>
    <w:rsid w:val="007F5BC7"/>
    <w:rsid w:val="0081090C"/>
    <w:rsid w:val="00881D7E"/>
    <w:rsid w:val="00895F66"/>
    <w:rsid w:val="008E0934"/>
    <w:rsid w:val="008E77AE"/>
    <w:rsid w:val="009064F8"/>
    <w:rsid w:val="00910815"/>
    <w:rsid w:val="00915ED5"/>
    <w:rsid w:val="00921753"/>
    <w:rsid w:val="0092263A"/>
    <w:rsid w:val="0095780D"/>
    <w:rsid w:val="00967589"/>
    <w:rsid w:val="00967E3C"/>
    <w:rsid w:val="009713AD"/>
    <w:rsid w:val="0097209B"/>
    <w:rsid w:val="009910DE"/>
    <w:rsid w:val="009A66C8"/>
    <w:rsid w:val="009B39DE"/>
    <w:rsid w:val="009D7D7E"/>
    <w:rsid w:val="009E5748"/>
    <w:rsid w:val="009F60C7"/>
    <w:rsid w:val="009F76DB"/>
    <w:rsid w:val="00A12524"/>
    <w:rsid w:val="00A3251A"/>
    <w:rsid w:val="00AB6633"/>
    <w:rsid w:val="00AC0553"/>
    <w:rsid w:val="00AE3658"/>
    <w:rsid w:val="00AF1B5D"/>
    <w:rsid w:val="00B42254"/>
    <w:rsid w:val="00B45C9A"/>
    <w:rsid w:val="00BE26F6"/>
    <w:rsid w:val="00C21DC6"/>
    <w:rsid w:val="00C46BF1"/>
    <w:rsid w:val="00C555FA"/>
    <w:rsid w:val="00C608E1"/>
    <w:rsid w:val="00C67CBD"/>
    <w:rsid w:val="00C83923"/>
    <w:rsid w:val="00C87B80"/>
    <w:rsid w:val="00CC1B79"/>
    <w:rsid w:val="00CC556B"/>
    <w:rsid w:val="00CD7B1D"/>
    <w:rsid w:val="00CE12E2"/>
    <w:rsid w:val="00CF0021"/>
    <w:rsid w:val="00CF0C30"/>
    <w:rsid w:val="00CF1FFB"/>
    <w:rsid w:val="00D00847"/>
    <w:rsid w:val="00D068E8"/>
    <w:rsid w:val="00D32C02"/>
    <w:rsid w:val="00D539C0"/>
    <w:rsid w:val="00D63A2D"/>
    <w:rsid w:val="00D65A6F"/>
    <w:rsid w:val="00D74464"/>
    <w:rsid w:val="00D80EA4"/>
    <w:rsid w:val="00DB3116"/>
    <w:rsid w:val="00DC393E"/>
    <w:rsid w:val="00DD4084"/>
    <w:rsid w:val="00DE1608"/>
    <w:rsid w:val="00DE2274"/>
    <w:rsid w:val="00DF5A25"/>
    <w:rsid w:val="00E76169"/>
    <w:rsid w:val="00EA13B9"/>
    <w:rsid w:val="00ED0F1B"/>
    <w:rsid w:val="00F02600"/>
    <w:rsid w:val="00F12EF3"/>
    <w:rsid w:val="00F225E6"/>
    <w:rsid w:val="00F26EBE"/>
    <w:rsid w:val="00F74831"/>
    <w:rsid w:val="00FC2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16D5E"/>
  <w15:chartTrackingRefBased/>
  <w15:docId w15:val="{5ECDDBD4-04F2-49F1-9C0B-3813C8E2E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1A400E"/>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39C0"/>
    <w:pPr>
      <w:ind w:left="720"/>
      <w:contextualSpacing/>
    </w:pPr>
  </w:style>
  <w:style w:type="character" w:styleId="Emphasis">
    <w:name w:val="Emphasis"/>
    <w:basedOn w:val="DefaultParagraphFont"/>
    <w:uiPriority w:val="20"/>
    <w:qFormat/>
    <w:rsid w:val="00285E3D"/>
    <w:rPr>
      <w:i/>
      <w:iCs/>
    </w:rPr>
  </w:style>
  <w:style w:type="character" w:styleId="Hyperlink">
    <w:name w:val="Hyperlink"/>
    <w:basedOn w:val="DefaultParagraphFont"/>
    <w:uiPriority w:val="99"/>
    <w:unhideWhenUsed/>
    <w:rsid w:val="00285E3D"/>
    <w:rPr>
      <w:color w:val="0000FF"/>
      <w:u w:val="single"/>
    </w:rPr>
  </w:style>
  <w:style w:type="paragraph" w:styleId="NoSpacing">
    <w:name w:val="No Spacing"/>
    <w:uiPriority w:val="1"/>
    <w:qFormat/>
    <w:rsid w:val="00285E3D"/>
    <w:pPr>
      <w:spacing w:after="0" w:line="240" w:lineRule="auto"/>
    </w:pPr>
  </w:style>
  <w:style w:type="character" w:styleId="UnresolvedMention">
    <w:name w:val="Unresolved Mention"/>
    <w:basedOn w:val="DefaultParagraphFont"/>
    <w:uiPriority w:val="99"/>
    <w:semiHidden/>
    <w:unhideWhenUsed/>
    <w:rsid w:val="00285E3D"/>
    <w:rPr>
      <w:color w:val="605E5C"/>
      <w:shd w:val="clear" w:color="auto" w:fill="E1DFDD"/>
    </w:rPr>
  </w:style>
  <w:style w:type="paragraph" w:styleId="FootnoteText">
    <w:name w:val="footnote text"/>
    <w:basedOn w:val="Normal"/>
    <w:link w:val="FootnoteTextChar"/>
    <w:uiPriority w:val="99"/>
    <w:semiHidden/>
    <w:unhideWhenUsed/>
    <w:rsid w:val="000724E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24ED"/>
    <w:rPr>
      <w:sz w:val="20"/>
      <w:szCs w:val="20"/>
    </w:rPr>
  </w:style>
  <w:style w:type="character" w:styleId="FootnoteReference">
    <w:name w:val="footnote reference"/>
    <w:basedOn w:val="DefaultParagraphFont"/>
    <w:uiPriority w:val="99"/>
    <w:semiHidden/>
    <w:unhideWhenUsed/>
    <w:rsid w:val="000724ED"/>
    <w:rPr>
      <w:vertAlign w:val="superscript"/>
    </w:rPr>
  </w:style>
  <w:style w:type="character" w:styleId="CommentReference">
    <w:name w:val="annotation reference"/>
    <w:basedOn w:val="DefaultParagraphFont"/>
    <w:uiPriority w:val="99"/>
    <w:semiHidden/>
    <w:unhideWhenUsed/>
    <w:rsid w:val="0018774E"/>
    <w:rPr>
      <w:sz w:val="16"/>
      <w:szCs w:val="16"/>
    </w:rPr>
  </w:style>
  <w:style w:type="paragraph" w:styleId="CommentText">
    <w:name w:val="annotation text"/>
    <w:basedOn w:val="Normal"/>
    <w:link w:val="CommentTextChar"/>
    <w:uiPriority w:val="99"/>
    <w:unhideWhenUsed/>
    <w:rsid w:val="0018774E"/>
    <w:pPr>
      <w:spacing w:line="240" w:lineRule="auto"/>
    </w:pPr>
    <w:rPr>
      <w:sz w:val="20"/>
      <w:szCs w:val="20"/>
    </w:rPr>
  </w:style>
  <w:style w:type="character" w:customStyle="1" w:styleId="CommentTextChar">
    <w:name w:val="Comment Text Char"/>
    <w:basedOn w:val="DefaultParagraphFont"/>
    <w:link w:val="CommentText"/>
    <w:uiPriority w:val="99"/>
    <w:rsid w:val="0018774E"/>
    <w:rPr>
      <w:sz w:val="20"/>
      <w:szCs w:val="20"/>
    </w:rPr>
  </w:style>
  <w:style w:type="paragraph" w:styleId="CommentSubject">
    <w:name w:val="annotation subject"/>
    <w:basedOn w:val="CommentText"/>
    <w:next w:val="CommentText"/>
    <w:link w:val="CommentSubjectChar"/>
    <w:uiPriority w:val="99"/>
    <w:semiHidden/>
    <w:unhideWhenUsed/>
    <w:rsid w:val="0018774E"/>
    <w:rPr>
      <w:b/>
      <w:bCs/>
    </w:rPr>
  </w:style>
  <w:style w:type="character" w:customStyle="1" w:styleId="CommentSubjectChar">
    <w:name w:val="Comment Subject Char"/>
    <w:basedOn w:val="CommentTextChar"/>
    <w:link w:val="CommentSubject"/>
    <w:uiPriority w:val="99"/>
    <w:semiHidden/>
    <w:rsid w:val="0018774E"/>
    <w:rPr>
      <w:b/>
      <w:bCs/>
      <w:sz w:val="20"/>
      <w:szCs w:val="20"/>
    </w:rPr>
  </w:style>
  <w:style w:type="character" w:customStyle="1" w:styleId="Heading3Char">
    <w:name w:val="Heading 3 Char"/>
    <w:basedOn w:val="DefaultParagraphFont"/>
    <w:link w:val="Heading3"/>
    <w:rsid w:val="001A400E"/>
    <w:rPr>
      <w:rFonts w:ascii="Tahoma" w:eastAsia="SimSun" w:hAnsi="Tahoma" w:cs="Tahoma"/>
      <w:b/>
      <w:bCs/>
      <w:sz w:val="20"/>
      <w:szCs w:val="20"/>
      <w:lang w:eastAsia="zh-CN"/>
    </w:rPr>
  </w:style>
  <w:style w:type="paragraph" w:styleId="NormalWeb">
    <w:name w:val="Normal (Web)"/>
    <w:basedOn w:val="Normal"/>
    <w:rsid w:val="001A400E"/>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978132">
      <w:bodyDiv w:val="1"/>
      <w:marLeft w:val="0"/>
      <w:marRight w:val="0"/>
      <w:marTop w:val="0"/>
      <w:marBottom w:val="0"/>
      <w:divBdr>
        <w:top w:val="none" w:sz="0" w:space="0" w:color="auto"/>
        <w:left w:val="none" w:sz="0" w:space="0" w:color="auto"/>
        <w:bottom w:val="none" w:sz="0" w:space="0" w:color="auto"/>
        <w:right w:val="none" w:sz="0" w:space="0" w:color="auto"/>
      </w:divBdr>
      <w:divsChild>
        <w:div w:id="1221357863">
          <w:marLeft w:val="480"/>
          <w:marRight w:val="0"/>
          <w:marTop w:val="0"/>
          <w:marBottom w:val="0"/>
          <w:divBdr>
            <w:top w:val="none" w:sz="0" w:space="0" w:color="auto"/>
            <w:left w:val="none" w:sz="0" w:space="0" w:color="auto"/>
            <w:bottom w:val="none" w:sz="0" w:space="0" w:color="auto"/>
            <w:right w:val="none" w:sz="0" w:space="0" w:color="auto"/>
          </w:divBdr>
          <w:divsChild>
            <w:div w:id="192807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243913">
      <w:bodyDiv w:val="1"/>
      <w:marLeft w:val="0"/>
      <w:marRight w:val="0"/>
      <w:marTop w:val="0"/>
      <w:marBottom w:val="0"/>
      <w:divBdr>
        <w:top w:val="none" w:sz="0" w:space="0" w:color="auto"/>
        <w:left w:val="none" w:sz="0" w:space="0" w:color="auto"/>
        <w:bottom w:val="none" w:sz="0" w:space="0" w:color="auto"/>
        <w:right w:val="none" w:sz="0" w:space="0" w:color="auto"/>
      </w:divBdr>
      <w:divsChild>
        <w:div w:id="2053729749">
          <w:marLeft w:val="480"/>
          <w:marRight w:val="0"/>
          <w:marTop w:val="0"/>
          <w:marBottom w:val="0"/>
          <w:divBdr>
            <w:top w:val="none" w:sz="0" w:space="0" w:color="auto"/>
            <w:left w:val="none" w:sz="0" w:space="0" w:color="auto"/>
            <w:bottom w:val="none" w:sz="0" w:space="0" w:color="auto"/>
            <w:right w:val="none" w:sz="0" w:space="0" w:color="auto"/>
          </w:divBdr>
          <w:divsChild>
            <w:div w:id="180364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413853">
      <w:bodyDiv w:val="1"/>
      <w:marLeft w:val="0"/>
      <w:marRight w:val="0"/>
      <w:marTop w:val="0"/>
      <w:marBottom w:val="0"/>
      <w:divBdr>
        <w:top w:val="none" w:sz="0" w:space="0" w:color="auto"/>
        <w:left w:val="none" w:sz="0" w:space="0" w:color="auto"/>
        <w:bottom w:val="none" w:sz="0" w:space="0" w:color="auto"/>
        <w:right w:val="none" w:sz="0" w:space="0" w:color="auto"/>
      </w:divBdr>
    </w:div>
    <w:div w:id="1047024369">
      <w:bodyDiv w:val="1"/>
      <w:marLeft w:val="0"/>
      <w:marRight w:val="0"/>
      <w:marTop w:val="0"/>
      <w:marBottom w:val="0"/>
      <w:divBdr>
        <w:top w:val="none" w:sz="0" w:space="0" w:color="auto"/>
        <w:left w:val="none" w:sz="0" w:space="0" w:color="auto"/>
        <w:bottom w:val="none" w:sz="0" w:space="0" w:color="auto"/>
        <w:right w:val="none" w:sz="0" w:space="0" w:color="auto"/>
      </w:divBdr>
      <w:divsChild>
        <w:div w:id="1094321241">
          <w:marLeft w:val="360"/>
          <w:marRight w:val="0"/>
          <w:marTop w:val="200"/>
          <w:marBottom w:val="0"/>
          <w:divBdr>
            <w:top w:val="none" w:sz="0" w:space="0" w:color="auto"/>
            <w:left w:val="none" w:sz="0" w:space="0" w:color="auto"/>
            <w:bottom w:val="none" w:sz="0" w:space="0" w:color="auto"/>
            <w:right w:val="none" w:sz="0" w:space="0" w:color="auto"/>
          </w:divBdr>
        </w:div>
        <w:div w:id="929970248">
          <w:marLeft w:val="360"/>
          <w:marRight w:val="0"/>
          <w:marTop w:val="200"/>
          <w:marBottom w:val="0"/>
          <w:divBdr>
            <w:top w:val="none" w:sz="0" w:space="0" w:color="auto"/>
            <w:left w:val="none" w:sz="0" w:space="0" w:color="auto"/>
            <w:bottom w:val="none" w:sz="0" w:space="0" w:color="auto"/>
            <w:right w:val="none" w:sz="0" w:space="0" w:color="auto"/>
          </w:divBdr>
        </w:div>
      </w:divsChild>
    </w:div>
    <w:div w:id="1218513759">
      <w:bodyDiv w:val="1"/>
      <w:marLeft w:val="0"/>
      <w:marRight w:val="0"/>
      <w:marTop w:val="0"/>
      <w:marBottom w:val="0"/>
      <w:divBdr>
        <w:top w:val="none" w:sz="0" w:space="0" w:color="auto"/>
        <w:left w:val="none" w:sz="0" w:space="0" w:color="auto"/>
        <w:bottom w:val="none" w:sz="0" w:space="0" w:color="auto"/>
        <w:right w:val="none" w:sz="0" w:space="0" w:color="auto"/>
      </w:divBdr>
      <w:divsChild>
        <w:div w:id="2134791012">
          <w:marLeft w:val="0"/>
          <w:marRight w:val="0"/>
          <w:marTop w:val="0"/>
          <w:marBottom w:val="0"/>
          <w:divBdr>
            <w:top w:val="none" w:sz="0" w:space="0" w:color="auto"/>
            <w:left w:val="none" w:sz="0" w:space="0" w:color="auto"/>
            <w:bottom w:val="none" w:sz="0" w:space="0" w:color="auto"/>
            <w:right w:val="none" w:sz="0" w:space="0" w:color="auto"/>
          </w:divBdr>
          <w:divsChild>
            <w:div w:id="135103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380498">
      <w:bodyDiv w:val="1"/>
      <w:marLeft w:val="0"/>
      <w:marRight w:val="0"/>
      <w:marTop w:val="0"/>
      <w:marBottom w:val="0"/>
      <w:divBdr>
        <w:top w:val="none" w:sz="0" w:space="0" w:color="auto"/>
        <w:left w:val="none" w:sz="0" w:space="0" w:color="auto"/>
        <w:bottom w:val="none" w:sz="0" w:space="0" w:color="auto"/>
        <w:right w:val="none" w:sz="0" w:space="0" w:color="auto"/>
      </w:divBdr>
      <w:divsChild>
        <w:div w:id="174929379">
          <w:marLeft w:val="0"/>
          <w:marRight w:val="0"/>
          <w:marTop w:val="0"/>
          <w:marBottom w:val="0"/>
          <w:divBdr>
            <w:top w:val="none" w:sz="0" w:space="0" w:color="auto"/>
            <w:left w:val="none" w:sz="0" w:space="0" w:color="auto"/>
            <w:bottom w:val="none" w:sz="0" w:space="0" w:color="auto"/>
            <w:right w:val="none" w:sz="0" w:space="0" w:color="auto"/>
          </w:divBdr>
          <w:divsChild>
            <w:div w:id="62936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547">
      <w:bodyDiv w:val="1"/>
      <w:marLeft w:val="0"/>
      <w:marRight w:val="0"/>
      <w:marTop w:val="0"/>
      <w:marBottom w:val="0"/>
      <w:divBdr>
        <w:top w:val="none" w:sz="0" w:space="0" w:color="auto"/>
        <w:left w:val="none" w:sz="0" w:space="0" w:color="auto"/>
        <w:bottom w:val="none" w:sz="0" w:space="0" w:color="auto"/>
        <w:right w:val="none" w:sz="0" w:space="0" w:color="auto"/>
      </w:divBdr>
      <w:divsChild>
        <w:div w:id="851144871">
          <w:marLeft w:val="0"/>
          <w:marRight w:val="0"/>
          <w:marTop w:val="0"/>
          <w:marBottom w:val="0"/>
          <w:divBdr>
            <w:top w:val="none" w:sz="0" w:space="0" w:color="auto"/>
            <w:left w:val="none" w:sz="0" w:space="0" w:color="auto"/>
            <w:bottom w:val="none" w:sz="0" w:space="0" w:color="auto"/>
            <w:right w:val="none" w:sz="0" w:space="0" w:color="auto"/>
          </w:divBdr>
          <w:divsChild>
            <w:div w:id="533813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093385">
      <w:bodyDiv w:val="1"/>
      <w:marLeft w:val="0"/>
      <w:marRight w:val="0"/>
      <w:marTop w:val="0"/>
      <w:marBottom w:val="0"/>
      <w:divBdr>
        <w:top w:val="none" w:sz="0" w:space="0" w:color="auto"/>
        <w:left w:val="none" w:sz="0" w:space="0" w:color="auto"/>
        <w:bottom w:val="none" w:sz="0" w:space="0" w:color="auto"/>
        <w:right w:val="none" w:sz="0" w:space="0" w:color="auto"/>
      </w:divBdr>
      <w:divsChild>
        <w:div w:id="1592200415">
          <w:marLeft w:val="480"/>
          <w:marRight w:val="0"/>
          <w:marTop w:val="0"/>
          <w:marBottom w:val="0"/>
          <w:divBdr>
            <w:top w:val="none" w:sz="0" w:space="0" w:color="auto"/>
            <w:left w:val="none" w:sz="0" w:space="0" w:color="auto"/>
            <w:bottom w:val="none" w:sz="0" w:space="0" w:color="auto"/>
            <w:right w:val="none" w:sz="0" w:space="0" w:color="auto"/>
          </w:divBdr>
          <w:divsChild>
            <w:div w:id="125647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ome.freeuk.net/jenny.blain/"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uni-marburg.de/religionswissenschaft/journal/disku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uni-marburg.de/religionswissenschaft/journal/disk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8481</TotalTime>
  <Pages>8</Pages>
  <Words>2708</Words>
  <Characters>15438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Weekes</dc:creator>
  <cp:keywords/>
  <dc:description/>
  <cp:lastModifiedBy>Jonathan Weekes</cp:lastModifiedBy>
  <cp:revision>115</cp:revision>
  <dcterms:created xsi:type="dcterms:W3CDTF">2024-02-24T13:50:00Z</dcterms:created>
  <dcterms:modified xsi:type="dcterms:W3CDTF">2024-03-15T08:51:00Z</dcterms:modified>
</cp:coreProperties>
</file>