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Style w:val="Hyperlink"/>
          <w:noProof/>
        </w:rPr>
        <w:id w:val="1671375705"/>
        <w:docPartObj>
          <w:docPartGallery w:val="Cover Pages"/>
          <w:docPartUnique/>
        </w:docPartObj>
      </w:sdtPr>
      <w:sdtContent>
        <w:p w14:paraId="0C13328C" w14:textId="04259BA0" w:rsidR="001E6F0D" w:rsidRDefault="001E6F0D">
          <w:pPr>
            <w:rPr>
              <w:rStyle w:val="Hyperlink"/>
              <w:noProof/>
            </w:rPr>
          </w:pPr>
          <w:r w:rsidRPr="001E6F0D">
            <w:rPr>
              <w:rStyle w:val="Hyperlink"/>
              <w:noProof/>
            </w:rPr>
            <mc:AlternateContent>
              <mc:Choice Requires="wps">
                <w:drawing>
                  <wp:anchor distT="0" distB="0" distL="114300" distR="114300" simplePos="0" relativeHeight="251659264" behindDoc="0" locked="0" layoutInCell="1" allowOverlap="1" wp14:anchorId="2DF644F1" wp14:editId="725D9F05">
                    <wp:simplePos x="0" y="0"/>
                    <wp:positionH relativeFrom="page">
                      <wp:posOffset>225706</wp:posOffset>
                    </wp:positionH>
                    <wp:positionV relativeFrom="page">
                      <wp:posOffset>-405114</wp:posOffset>
                    </wp:positionV>
                    <wp:extent cx="7193666" cy="11239018"/>
                    <wp:effectExtent l="0" t="0" r="7620" b="635"/>
                    <wp:wrapNone/>
                    <wp:docPr id="138" name="Text Box 138"/>
                    <wp:cNvGraphicFramePr/>
                    <a:graphic xmlns:a="http://schemas.openxmlformats.org/drawingml/2006/main">
                      <a:graphicData uri="http://schemas.microsoft.com/office/word/2010/wordprocessingShape">
                        <wps:wsp>
                          <wps:cNvSpPr txBox="1"/>
                          <wps:spPr>
                            <a:xfrm>
                              <a:off x="0" y="0"/>
                              <a:ext cx="7193666" cy="1123901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8"/>
                                  <w:gridCol w:w="5055"/>
                                </w:tblGrid>
                                <w:tr w:rsidR="001E6F0D" w14:paraId="5E7E5F26" w14:textId="77777777">
                                  <w:trPr>
                                    <w:jc w:val="center"/>
                                  </w:trPr>
                                  <w:tc>
                                    <w:tcPr>
                                      <w:tcW w:w="2568" w:type="pct"/>
                                      <w:vAlign w:val="center"/>
                                    </w:tcPr>
                                    <w:p w14:paraId="5786D1E4" w14:textId="5FF4AD5F" w:rsidR="001E6F0D" w:rsidRDefault="00175EA0">
                                      <w:pPr>
                                        <w:jc w:val="right"/>
                                      </w:pPr>
                                      <w:r>
                                        <w:rPr>
                                          <w:noProof/>
                                        </w:rPr>
                                        <w:drawing>
                                          <wp:inline distT="0" distB="0" distL="0" distR="0" wp14:anchorId="342BF4C6" wp14:editId="22E40DE3">
                                            <wp:extent cx="3529628" cy="33041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551491" cy="3324588"/>
                                                    </a:xfrm>
                                                    <a:prstGeom prst="rect">
                                                      <a:avLst/>
                                                    </a:prstGeom>
                                                  </pic:spPr>
                                                </pic:pic>
                                              </a:graphicData>
                                            </a:graphic>
                                          </wp:inline>
                                        </w:drawing>
                                      </w:r>
                                    </w:p>
                                    <w:p w14:paraId="48ABEEC0" w14:textId="06F32268" w:rsidR="00E8758C" w:rsidRDefault="00E8758C">
                                      <w:pPr>
                                        <w:jc w:val="right"/>
                                      </w:pPr>
                                    </w:p>
                                    <w:p w14:paraId="387B9D6A" w14:textId="7952B6BC" w:rsidR="00E8758C" w:rsidRDefault="00E8758C">
                                      <w:pPr>
                                        <w:jc w:val="right"/>
                                      </w:pPr>
                                    </w:p>
                                    <w:p w14:paraId="75393238" w14:textId="77777777" w:rsidR="00E8758C" w:rsidRDefault="00E8758C">
                                      <w:pPr>
                                        <w:jc w:val="right"/>
                                      </w:pPr>
                                    </w:p>
                                    <w:p w14:paraId="31766B95" w14:textId="270A10DE" w:rsidR="00175EA0" w:rsidRDefault="00175EA0">
                                      <w:pPr>
                                        <w:jc w:val="right"/>
                                      </w:pPr>
                                    </w:p>
                                    <w:p w14:paraId="4835D10A" w14:textId="53A155E8" w:rsidR="00175EA0" w:rsidRDefault="00175EA0">
                                      <w:pPr>
                                        <w:jc w:val="right"/>
                                      </w:pPr>
                                    </w:p>
                                    <w:p w14:paraId="6F6986FC" w14:textId="77777777" w:rsidR="00175EA0" w:rsidRDefault="00175EA0">
                                      <w:pPr>
                                        <w:jc w:val="right"/>
                                      </w:pP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A2EF809" w14:textId="2AC7390B" w:rsidR="001E6F0D" w:rsidRPr="00B93268" w:rsidRDefault="001E6F0D">
                                          <w:pPr>
                                            <w:pStyle w:val="NoSpacing"/>
                                            <w:spacing w:line="312" w:lineRule="auto"/>
                                            <w:jc w:val="right"/>
                                            <w:rPr>
                                              <w:caps/>
                                              <w:color w:val="191919" w:themeColor="text1" w:themeTint="E6"/>
                                              <w:sz w:val="40"/>
                                              <w:szCs w:val="40"/>
                                            </w:rPr>
                                          </w:pPr>
                                          <w:r w:rsidRPr="00B93268">
                                            <w:rPr>
                                              <w:caps/>
                                              <w:color w:val="191919" w:themeColor="text1" w:themeTint="E6"/>
                                              <w:sz w:val="40"/>
                                              <w:szCs w:val="40"/>
                                            </w:rPr>
                                            <w:t>A critical analysis report of Knowledge Management within the NHS Hospital Sector in Wales</w:t>
                                          </w:r>
                                        </w:p>
                                      </w:sdtContent>
                                    </w:sdt>
                                    <w:p w14:paraId="43558B76" w14:textId="77777777" w:rsidR="00175EA0" w:rsidRDefault="00175EA0" w:rsidP="00B93268">
                                      <w:pPr>
                                        <w:pStyle w:val="NoSpacing"/>
                                        <w:rPr>
                                          <w:color w:val="ED7D31" w:themeColor="accent2"/>
                                          <w:sz w:val="26"/>
                                          <w:szCs w:val="26"/>
                                        </w:rPr>
                                      </w:pPr>
                                    </w:p>
                                    <w:p w14:paraId="3555BDAA" w14:textId="77777777" w:rsidR="00175EA0" w:rsidRDefault="00175EA0" w:rsidP="00B93268">
                                      <w:pPr>
                                        <w:pStyle w:val="NoSpacing"/>
                                        <w:rPr>
                                          <w:color w:val="ED7D31" w:themeColor="accent2"/>
                                          <w:sz w:val="26"/>
                                          <w:szCs w:val="26"/>
                                        </w:rPr>
                                      </w:pPr>
                                    </w:p>
                                    <w:p w14:paraId="55E94606" w14:textId="77777777" w:rsidR="00175EA0" w:rsidRDefault="00175EA0" w:rsidP="00B93268">
                                      <w:pPr>
                                        <w:pStyle w:val="NoSpacing"/>
                                        <w:rPr>
                                          <w:color w:val="ED7D31" w:themeColor="accent2"/>
                                          <w:sz w:val="26"/>
                                          <w:szCs w:val="26"/>
                                        </w:rPr>
                                      </w:pPr>
                                    </w:p>
                                    <w:p w14:paraId="61ACD89D" w14:textId="77777777" w:rsidR="00175EA0" w:rsidRDefault="00175EA0" w:rsidP="00B93268">
                                      <w:pPr>
                                        <w:pStyle w:val="NoSpacing"/>
                                        <w:rPr>
                                          <w:color w:val="ED7D31" w:themeColor="accent2"/>
                                          <w:sz w:val="26"/>
                                          <w:szCs w:val="26"/>
                                        </w:rPr>
                                      </w:pPr>
                                    </w:p>
                                    <w:p w14:paraId="557BF0E3" w14:textId="77777777" w:rsidR="00175EA0" w:rsidRDefault="00175EA0" w:rsidP="00B93268">
                                      <w:pPr>
                                        <w:pStyle w:val="NoSpacing"/>
                                        <w:rPr>
                                          <w:color w:val="ED7D31" w:themeColor="accent2"/>
                                          <w:sz w:val="26"/>
                                          <w:szCs w:val="26"/>
                                        </w:rPr>
                                      </w:pPr>
                                    </w:p>
                                    <w:p w14:paraId="1E649A14" w14:textId="77777777" w:rsidR="00175EA0" w:rsidRDefault="00175EA0" w:rsidP="00B93268">
                                      <w:pPr>
                                        <w:pStyle w:val="NoSpacing"/>
                                        <w:rPr>
                                          <w:color w:val="ED7D31" w:themeColor="accent2"/>
                                          <w:sz w:val="26"/>
                                          <w:szCs w:val="26"/>
                                        </w:rPr>
                                      </w:pPr>
                                    </w:p>
                                    <w:p w14:paraId="20198D54" w14:textId="223146E1" w:rsidR="00B93268" w:rsidRDefault="00B93268" w:rsidP="00B93268">
                                      <w:pPr>
                                        <w:pStyle w:val="NoSpacing"/>
                                        <w:rPr>
                                          <w:color w:val="ED7D31" w:themeColor="accent2"/>
                                          <w:sz w:val="26"/>
                                          <w:szCs w:val="26"/>
                                        </w:rPr>
                                      </w:pPr>
                                      <w:sdt>
                                        <w:sdtPr>
                                          <w:rPr>
                                            <w:color w:val="ED7D31"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Content>
                                          <w:r w:rsidR="006742A6">
                                            <w:rPr>
                                              <w:color w:val="ED7D31" w:themeColor="accent2"/>
                                              <w:sz w:val="26"/>
                                              <w:szCs w:val="26"/>
                                            </w:rPr>
                                            <w:t xml:space="preserve">     </w:t>
                                          </w:r>
                                        </w:sdtContent>
                                      </w:sdt>
                                      <w:r w:rsidR="00175EA0">
                                        <w:rPr>
                                          <w:color w:val="ED7D31" w:themeColor="accent2"/>
                                          <w:sz w:val="26"/>
                                          <w:szCs w:val="26"/>
                                        </w:rPr>
                                        <w:t xml:space="preserve"> </w:t>
                                      </w:r>
                                    </w:p>
                                    <w:p w14:paraId="0C9ADCE9" w14:textId="09838788" w:rsidR="00175EA0" w:rsidRDefault="00175EA0" w:rsidP="00B93268">
                                      <w:pPr>
                                        <w:pStyle w:val="NoSpacing"/>
                                        <w:rPr>
                                          <w:rFonts w:eastAsiaTheme="minorHAnsi"/>
                                          <w:color w:val="ED7D31" w:themeColor="accent2"/>
                                          <w:sz w:val="26"/>
                                          <w:szCs w:val="26"/>
                                          <w:lang w:val="en-GB"/>
                                        </w:rPr>
                                      </w:pPr>
                                      <w:r>
                                        <w:rPr>
                                          <w:rFonts w:eastAsiaTheme="minorHAnsi"/>
                                          <w:color w:val="ED7D31" w:themeColor="accent2"/>
                                          <w:sz w:val="26"/>
                                          <w:szCs w:val="26"/>
                                          <w:lang w:val="en-GB"/>
                                        </w:rPr>
                                        <w:t>Student no 2003716</w:t>
                                      </w:r>
                                    </w:p>
                                    <w:p w14:paraId="26EE53CD" w14:textId="4657E60D" w:rsidR="001E6F0D" w:rsidRDefault="00B93268" w:rsidP="00B93268">
                                      <w:pPr>
                                        <w:rPr>
                                          <w:sz w:val="24"/>
                                          <w:szCs w:val="24"/>
                                        </w:rPr>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75EA0">
                                            <w:rPr>
                                              <w:color w:val="44546A" w:themeColor="text2"/>
                                            </w:rPr>
                                            <w:t xml:space="preserve">Friday </w:t>
                                          </w:r>
                                          <w:r>
                                            <w:rPr>
                                              <w:color w:val="44546A" w:themeColor="text2"/>
                                            </w:rPr>
                                            <w:t>8th July 2022</w:t>
                                          </w:r>
                                        </w:sdtContent>
                                      </w:sdt>
                                    </w:p>
                                  </w:tc>
                                  <w:tc>
                                    <w:tcPr>
                                      <w:tcW w:w="2432" w:type="pct"/>
                                      <w:vAlign w:val="center"/>
                                    </w:tcPr>
                                    <w:p w14:paraId="2011B3D8" w14:textId="77777777" w:rsidR="001E6F0D" w:rsidRDefault="001E6F0D">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22D2D2C" w14:textId="527ABE94" w:rsidR="001E6F0D" w:rsidRDefault="001E6F0D">
                                          <w:pPr>
                                            <w:rPr>
                                              <w:color w:val="000000" w:themeColor="text1"/>
                                            </w:rPr>
                                          </w:pPr>
                                          <w:r>
                                            <w:rPr>
                                              <w:color w:val="000000" w:themeColor="text1"/>
                                            </w:rPr>
                                            <w:t>This report has analysed the knowledge management processes that are implemented within a hospital setting in Wales, critically assessing the effectiveness of the processes and how organisations in the health sector have adapted to challenging conditions. Outlining a brief history of the Welsh hospital sector, before focusing on the Cardiff and Vale University health board specifically. From analysis of the organisation’s strategy, much of the focus over the past five years has been to transition the organisation to a digitally focused business model, which involves the use of a centralised digital hub that is used for communication and educational material. Using the KMVC and SECI models, identifying that whilst this approach is extremely effective for explicit knowledge creation and transfer, the switch towards digital may detrimentally impact tacit knowledge transfer due to a reduction in socialisation. On analysis of the support systems, as well as the internal resources of the organisation, identified the most valuable resource as the skilled and specialist workforce, which attracts patients from outside their geographical region. The report concluded by conducting a SWOT analysis and developing from th</w:t>
                                          </w:r>
                                          <w:r w:rsidR="00B93268">
                                            <w:rPr>
                                              <w:color w:val="000000" w:themeColor="text1"/>
                                            </w:rPr>
                                            <w:t>is</w:t>
                                          </w:r>
                                          <w:r>
                                            <w:rPr>
                                              <w:color w:val="000000" w:themeColor="text1"/>
                                            </w:rPr>
                                            <w:t xml:space="preserve"> noted some recommendations.                                                                                1 Strengths of the organisation are the specialist skills within their large workforce, which should be leveraged to capitalise on the opportunity of further developing their expertise and developing their young workforce, ensuring that this is a sustainable competitive advantage.                                                   2. Ensure the weakness of tacit knowledge transfer is addressed, as this is the most important aspect to achieving the self-motivated creativity outlined by Quinn (1993), which is a crucial component of creating specialist knowledge. To do this, the organisation should seek to ensure that they leverage the knowledge of their specialist employees to deliver high-quality.     Recommended strategy                                                                      1. Introduce in person masterclasses from specialist employees                                                                      2. Produce supporting materials on the internal intranet, while making the specialist contactable through the internal communication system                                                                             3. Create message boards to encourage communication and questions, which will enhance internal collaboration.</w:t>
                                          </w:r>
                                        </w:p>
                                      </w:sdtContent>
                                    </w:sdt>
                                    <w:p w14:paraId="7A2AEAAA" w14:textId="0D480CA3" w:rsidR="001E6F0D" w:rsidRDefault="001E6F0D">
                                      <w:pPr>
                                        <w:pStyle w:val="NoSpacing"/>
                                        <w:rPr>
                                          <w:color w:val="ED7D31" w:themeColor="accent2"/>
                                          <w:sz w:val="26"/>
                                          <w:szCs w:val="26"/>
                                        </w:rPr>
                                      </w:pPr>
                                    </w:p>
                                    <w:p w14:paraId="5B797B5C" w14:textId="0A260E6C" w:rsidR="001E6F0D" w:rsidRDefault="001E6F0D">
                                      <w:pPr>
                                        <w:pStyle w:val="NoSpacing"/>
                                      </w:pPr>
                                    </w:p>
                                  </w:tc>
                                </w:tr>
                              </w:tbl>
                              <w:p w14:paraId="31150FC5" w14:textId="77777777" w:rsidR="001E6F0D" w:rsidRDefault="001E6F0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DF644F1" id="_x0000_t202" coordsize="21600,21600" o:spt="202" path="m,l,21600r21600,l21600,xe">
                    <v:stroke joinstyle="miter"/>
                    <v:path gradientshapeok="t" o:connecttype="rect"/>
                  </v:shapetype>
                  <v:shape id="Text Box 138" o:spid="_x0000_s1026" type="#_x0000_t202" style="position:absolute;margin-left:17.75pt;margin-top:-31.9pt;width:566.45pt;height:884.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8"/>
                            <w:gridCol w:w="5055"/>
                          </w:tblGrid>
                          <w:tr w:rsidR="001E6F0D" w14:paraId="5E7E5F26" w14:textId="77777777">
                            <w:trPr>
                              <w:jc w:val="center"/>
                            </w:trPr>
                            <w:tc>
                              <w:tcPr>
                                <w:tcW w:w="2568" w:type="pct"/>
                                <w:vAlign w:val="center"/>
                              </w:tcPr>
                              <w:p w14:paraId="5786D1E4" w14:textId="5FF4AD5F" w:rsidR="001E6F0D" w:rsidRDefault="00175EA0">
                                <w:pPr>
                                  <w:jc w:val="right"/>
                                </w:pPr>
                                <w:r>
                                  <w:rPr>
                                    <w:noProof/>
                                  </w:rPr>
                                  <w:drawing>
                                    <wp:inline distT="0" distB="0" distL="0" distR="0" wp14:anchorId="342BF4C6" wp14:editId="22E40DE3">
                                      <wp:extent cx="3529628" cy="33041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551491" cy="3324588"/>
                                              </a:xfrm>
                                              <a:prstGeom prst="rect">
                                                <a:avLst/>
                                              </a:prstGeom>
                                            </pic:spPr>
                                          </pic:pic>
                                        </a:graphicData>
                                      </a:graphic>
                                    </wp:inline>
                                  </w:drawing>
                                </w:r>
                              </w:p>
                              <w:p w14:paraId="48ABEEC0" w14:textId="06F32268" w:rsidR="00E8758C" w:rsidRDefault="00E8758C">
                                <w:pPr>
                                  <w:jc w:val="right"/>
                                </w:pPr>
                              </w:p>
                              <w:p w14:paraId="387B9D6A" w14:textId="7952B6BC" w:rsidR="00E8758C" w:rsidRDefault="00E8758C">
                                <w:pPr>
                                  <w:jc w:val="right"/>
                                </w:pPr>
                              </w:p>
                              <w:p w14:paraId="75393238" w14:textId="77777777" w:rsidR="00E8758C" w:rsidRDefault="00E8758C">
                                <w:pPr>
                                  <w:jc w:val="right"/>
                                </w:pPr>
                              </w:p>
                              <w:p w14:paraId="31766B95" w14:textId="270A10DE" w:rsidR="00175EA0" w:rsidRDefault="00175EA0">
                                <w:pPr>
                                  <w:jc w:val="right"/>
                                </w:pPr>
                              </w:p>
                              <w:p w14:paraId="4835D10A" w14:textId="53A155E8" w:rsidR="00175EA0" w:rsidRDefault="00175EA0">
                                <w:pPr>
                                  <w:jc w:val="right"/>
                                </w:pPr>
                              </w:p>
                              <w:p w14:paraId="6F6986FC" w14:textId="77777777" w:rsidR="00175EA0" w:rsidRDefault="00175EA0">
                                <w:pPr>
                                  <w:jc w:val="right"/>
                                </w:pP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A2EF809" w14:textId="2AC7390B" w:rsidR="001E6F0D" w:rsidRPr="00B93268" w:rsidRDefault="001E6F0D">
                                    <w:pPr>
                                      <w:pStyle w:val="NoSpacing"/>
                                      <w:spacing w:line="312" w:lineRule="auto"/>
                                      <w:jc w:val="right"/>
                                      <w:rPr>
                                        <w:caps/>
                                        <w:color w:val="191919" w:themeColor="text1" w:themeTint="E6"/>
                                        <w:sz w:val="40"/>
                                        <w:szCs w:val="40"/>
                                      </w:rPr>
                                    </w:pPr>
                                    <w:r w:rsidRPr="00B93268">
                                      <w:rPr>
                                        <w:caps/>
                                        <w:color w:val="191919" w:themeColor="text1" w:themeTint="E6"/>
                                        <w:sz w:val="40"/>
                                        <w:szCs w:val="40"/>
                                      </w:rPr>
                                      <w:t>A critical analysis report of Knowledge Management within the NHS Hospital Sector in Wales</w:t>
                                    </w:r>
                                  </w:p>
                                </w:sdtContent>
                              </w:sdt>
                              <w:p w14:paraId="43558B76" w14:textId="77777777" w:rsidR="00175EA0" w:rsidRDefault="00175EA0" w:rsidP="00B93268">
                                <w:pPr>
                                  <w:pStyle w:val="NoSpacing"/>
                                  <w:rPr>
                                    <w:color w:val="ED7D31" w:themeColor="accent2"/>
                                    <w:sz w:val="26"/>
                                    <w:szCs w:val="26"/>
                                  </w:rPr>
                                </w:pPr>
                              </w:p>
                              <w:p w14:paraId="3555BDAA" w14:textId="77777777" w:rsidR="00175EA0" w:rsidRDefault="00175EA0" w:rsidP="00B93268">
                                <w:pPr>
                                  <w:pStyle w:val="NoSpacing"/>
                                  <w:rPr>
                                    <w:color w:val="ED7D31" w:themeColor="accent2"/>
                                    <w:sz w:val="26"/>
                                    <w:szCs w:val="26"/>
                                  </w:rPr>
                                </w:pPr>
                              </w:p>
                              <w:p w14:paraId="55E94606" w14:textId="77777777" w:rsidR="00175EA0" w:rsidRDefault="00175EA0" w:rsidP="00B93268">
                                <w:pPr>
                                  <w:pStyle w:val="NoSpacing"/>
                                  <w:rPr>
                                    <w:color w:val="ED7D31" w:themeColor="accent2"/>
                                    <w:sz w:val="26"/>
                                    <w:szCs w:val="26"/>
                                  </w:rPr>
                                </w:pPr>
                              </w:p>
                              <w:p w14:paraId="61ACD89D" w14:textId="77777777" w:rsidR="00175EA0" w:rsidRDefault="00175EA0" w:rsidP="00B93268">
                                <w:pPr>
                                  <w:pStyle w:val="NoSpacing"/>
                                  <w:rPr>
                                    <w:color w:val="ED7D31" w:themeColor="accent2"/>
                                    <w:sz w:val="26"/>
                                    <w:szCs w:val="26"/>
                                  </w:rPr>
                                </w:pPr>
                              </w:p>
                              <w:p w14:paraId="557BF0E3" w14:textId="77777777" w:rsidR="00175EA0" w:rsidRDefault="00175EA0" w:rsidP="00B93268">
                                <w:pPr>
                                  <w:pStyle w:val="NoSpacing"/>
                                  <w:rPr>
                                    <w:color w:val="ED7D31" w:themeColor="accent2"/>
                                    <w:sz w:val="26"/>
                                    <w:szCs w:val="26"/>
                                  </w:rPr>
                                </w:pPr>
                              </w:p>
                              <w:p w14:paraId="1E649A14" w14:textId="77777777" w:rsidR="00175EA0" w:rsidRDefault="00175EA0" w:rsidP="00B93268">
                                <w:pPr>
                                  <w:pStyle w:val="NoSpacing"/>
                                  <w:rPr>
                                    <w:color w:val="ED7D31" w:themeColor="accent2"/>
                                    <w:sz w:val="26"/>
                                    <w:szCs w:val="26"/>
                                  </w:rPr>
                                </w:pPr>
                              </w:p>
                              <w:p w14:paraId="20198D54" w14:textId="223146E1" w:rsidR="00B93268" w:rsidRDefault="00B93268" w:rsidP="00B93268">
                                <w:pPr>
                                  <w:pStyle w:val="NoSpacing"/>
                                  <w:rPr>
                                    <w:color w:val="ED7D31" w:themeColor="accent2"/>
                                    <w:sz w:val="26"/>
                                    <w:szCs w:val="26"/>
                                  </w:rPr>
                                </w:pPr>
                                <w:sdt>
                                  <w:sdtPr>
                                    <w:rPr>
                                      <w:color w:val="ED7D31"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Content>
                                    <w:r w:rsidR="006742A6">
                                      <w:rPr>
                                        <w:color w:val="ED7D31" w:themeColor="accent2"/>
                                        <w:sz w:val="26"/>
                                        <w:szCs w:val="26"/>
                                      </w:rPr>
                                      <w:t xml:space="preserve">     </w:t>
                                    </w:r>
                                  </w:sdtContent>
                                </w:sdt>
                                <w:r w:rsidR="00175EA0">
                                  <w:rPr>
                                    <w:color w:val="ED7D31" w:themeColor="accent2"/>
                                    <w:sz w:val="26"/>
                                    <w:szCs w:val="26"/>
                                  </w:rPr>
                                  <w:t xml:space="preserve"> </w:t>
                                </w:r>
                              </w:p>
                              <w:p w14:paraId="0C9ADCE9" w14:textId="09838788" w:rsidR="00175EA0" w:rsidRDefault="00175EA0" w:rsidP="00B93268">
                                <w:pPr>
                                  <w:pStyle w:val="NoSpacing"/>
                                  <w:rPr>
                                    <w:rFonts w:eastAsiaTheme="minorHAnsi"/>
                                    <w:color w:val="ED7D31" w:themeColor="accent2"/>
                                    <w:sz w:val="26"/>
                                    <w:szCs w:val="26"/>
                                    <w:lang w:val="en-GB"/>
                                  </w:rPr>
                                </w:pPr>
                                <w:r>
                                  <w:rPr>
                                    <w:rFonts w:eastAsiaTheme="minorHAnsi"/>
                                    <w:color w:val="ED7D31" w:themeColor="accent2"/>
                                    <w:sz w:val="26"/>
                                    <w:szCs w:val="26"/>
                                    <w:lang w:val="en-GB"/>
                                  </w:rPr>
                                  <w:t>Student no 2003716</w:t>
                                </w:r>
                              </w:p>
                              <w:p w14:paraId="26EE53CD" w14:textId="4657E60D" w:rsidR="001E6F0D" w:rsidRDefault="00B93268" w:rsidP="00B93268">
                                <w:pPr>
                                  <w:rPr>
                                    <w:sz w:val="24"/>
                                    <w:szCs w:val="24"/>
                                  </w:rPr>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75EA0">
                                      <w:rPr>
                                        <w:color w:val="44546A" w:themeColor="text2"/>
                                      </w:rPr>
                                      <w:t xml:space="preserve">Friday </w:t>
                                    </w:r>
                                    <w:r>
                                      <w:rPr>
                                        <w:color w:val="44546A" w:themeColor="text2"/>
                                      </w:rPr>
                                      <w:t>8th July 2022</w:t>
                                    </w:r>
                                  </w:sdtContent>
                                </w:sdt>
                              </w:p>
                            </w:tc>
                            <w:tc>
                              <w:tcPr>
                                <w:tcW w:w="2432" w:type="pct"/>
                                <w:vAlign w:val="center"/>
                              </w:tcPr>
                              <w:p w14:paraId="2011B3D8" w14:textId="77777777" w:rsidR="001E6F0D" w:rsidRDefault="001E6F0D">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22D2D2C" w14:textId="527ABE94" w:rsidR="001E6F0D" w:rsidRDefault="001E6F0D">
                                    <w:pPr>
                                      <w:rPr>
                                        <w:color w:val="000000" w:themeColor="text1"/>
                                      </w:rPr>
                                    </w:pPr>
                                    <w:r>
                                      <w:rPr>
                                        <w:color w:val="000000" w:themeColor="text1"/>
                                      </w:rPr>
                                      <w:t>This report has analysed the knowledge management processes that are implemented within a hospital setting in Wales, critically assessing the effectiveness of the processes and how organisations in the health sector have adapted to challenging conditions. Outlining a brief history of the Welsh hospital sector, before focusing on the Cardiff and Vale University health board specifically. From analysis of the organisation’s strategy, much of the focus over the past five years has been to transition the organisation to a digitally focused business model, which involves the use of a centralised digital hub that is used for communication and educational material. Using the KMVC and SECI models, identifying that whilst this approach is extremely effective for explicit knowledge creation and transfer, the switch towards digital may detrimentally impact tacit knowledge transfer due to a reduction in socialisation. On analysis of the support systems, as well as the internal resources of the organisation, identified the most valuable resource as the skilled and specialist workforce, which attracts patients from outside their geographical region. The report concluded by conducting a SWOT analysis and developing from th</w:t>
                                    </w:r>
                                    <w:r w:rsidR="00B93268">
                                      <w:rPr>
                                        <w:color w:val="000000" w:themeColor="text1"/>
                                      </w:rPr>
                                      <w:t>is</w:t>
                                    </w:r>
                                    <w:r>
                                      <w:rPr>
                                        <w:color w:val="000000" w:themeColor="text1"/>
                                      </w:rPr>
                                      <w:t xml:space="preserve"> noted some recommendations.                                                                                1 Strengths of the organisation are the specialist skills within their large workforce, which should be leveraged to capitalise on the opportunity of further developing their expertise and developing their young workforce, ensuring that this is a sustainable competitive advantage.                                                   2. Ensure the weakness of tacit knowledge transfer is addressed, as this is the most important aspect to achieving the self-motivated creativity outlined by Quinn (1993), which is a crucial component of creating specialist knowledge. To do this, the organisation should seek to ensure that they leverage the knowledge of their specialist employees to deliver high-quality.     Recommended strategy                                                                      1. Introduce in person masterclasses from specialist employees                                                                      2. Produce supporting materials on the internal intranet, while making the specialist contactable through the internal communication system                                                                             3. Create message boards to encourage communication and questions, which will enhance internal collaboration.</w:t>
                                    </w:r>
                                  </w:p>
                                </w:sdtContent>
                              </w:sdt>
                              <w:p w14:paraId="7A2AEAAA" w14:textId="0D480CA3" w:rsidR="001E6F0D" w:rsidRDefault="001E6F0D">
                                <w:pPr>
                                  <w:pStyle w:val="NoSpacing"/>
                                  <w:rPr>
                                    <w:color w:val="ED7D31" w:themeColor="accent2"/>
                                    <w:sz w:val="26"/>
                                    <w:szCs w:val="26"/>
                                  </w:rPr>
                                </w:pPr>
                              </w:p>
                              <w:p w14:paraId="5B797B5C" w14:textId="0A260E6C" w:rsidR="001E6F0D" w:rsidRDefault="001E6F0D">
                                <w:pPr>
                                  <w:pStyle w:val="NoSpacing"/>
                                </w:pPr>
                              </w:p>
                            </w:tc>
                          </w:tr>
                        </w:tbl>
                        <w:p w14:paraId="31150FC5" w14:textId="77777777" w:rsidR="001E6F0D" w:rsidRDefault="001E6F0D"/>
                      </w:txbxContent>
                    </v:textbox>
                    <w10:wrap anchorx="page" anchory="page"/>
                  </v:shape>
                </w:pict>
              </mc:Fallback>
            </mc:AlternateContent>
          </w:r>
          <w:r>
            <w:rPr>
              <w:rStyle w:val="Hyperlink"/>
              <w:noProof/>
            </w:rPr>
            <w:br w:type="page"/>
          </w:r>
        </w:p>
      </w:sdtContent>
    </w:sdt>
    <w:sdt>
      <w:sdtPr>
        <w:rPr>
          <w:rFonts w:asciiTheme="minorHAnsi" w:eastAsiaTheme="minorHAnsi" w:hAnsiTheme="minorHAnsi" w:cstheme="minorBidi"/>
          <w:color w:val="auto"/>
          <w:sz w:val="22"/>
          <w:szCs w:val="22"/>
          <w:lang w:val="en-GB"/>
        </w:rPr>
        <w:id w:val="1861094285"/>
        <w:docPartObj>
          <w:docPartGallery w:val="Table of Contents"/>
          <w:docPartUnique/>
        </w:docPartObj>
      </w:sdtPr>
      <w:sdtEndPr>
        <w:rPr>
          <w:b/>
          <w:bCs/>
          <w:noProof/>
        </w:rPr>
      </w:sdtEndPr>
      <w:sdtContent>
        <w:p w14:paraId="6C3E63FF" w14:textId="7D74FCCD" w:rsidR="00AD3B5D" w:rsidRDefault="00AD3B5D">
          <w:pPr>
            <w:pStyle w:val="TOCHeading"/>
          </w:pPr>
          <w:r>
            <w:t>Contents</w:t>
          </w:r>
        </w:p>
        <w:p w14:paraId="0A1A37EC" w14:textId="4B4908B0" w:rsidR="00E8758C" w:rsidRDefault="00AD3B5D">
          <w:pPr>
            <w:pStyle w:val="TOC1"/>
            <w:rPr>
              <w:rFonts w:eastAsiaTheme="minorEastAsia"/>
              <w:lang w:eastAsia="en-GB"/>
            </w:rPr>
          </w:pPr>
          <w:r>
            <w:rPr>
              <w:noProof w:val="0"/>
            </w:rPr>
            <w:fldChar w:fldCharType="begin"/>
          </w:r>
          <w:r>
            <w:instrText xml:space="preserve"> TOC \o "1-3" \h \z \u </w:instrText>
          </w:r>
          <w:r>
            <w:rPr>
              <w:noProof w:val="0"/>
            </w:rPr>
            <w:fldChar w:fldCharType="separate"/>
          </w:r>
          <w:hyperlink w:anchor="_Toc107994588" w:history="1">
            <w:r w:rsidR="00E8758C" w:rsidRPr="00AE18B0">
              <w:rPr>
                <w:rStyle w:val="Hyperlink"/>
              </w:rPr>
              <w:t>1.0 Introduction</w:t>
            </w:r>
            <w:r w:rsidR="00E8758C">
              <w:rPr>
                <w:webHidden/>
              </w:rPr>
              <w:tab/>
            </w:r>
            <w:r w:rsidR="00E8758C">
              <w:rPr>
                <w:webHidden/>
              </w:rPr>
              <w:fldChar w:fldCharType="begin"/>
            </w:r>
            <w:r w:rsidR="00E8758C">
              <w:rPr>
                <w:webHidden/>
              </w:rPr>
              <w:instrText xml:space="preserve"> PAGEREF _Toc107994588 \h </w:instrText>
            </w:r>
            <w:r w:rsidR="00E8758C">
              <w:rPr>
                <w:webHidden/>
              </w:rPr>
            </w:r>
            <w:r w:rsidR="00E8758C">
              <w:rPr>
                <w:webHidden/>
              </w:rPr>
              <w:fldChar w:fldCharType="separate"/>
            </w:r>
            <w:r w:rsidR="00E8758C">
              <w:rPr>
                <w:webHidden/>
              </w:rPr>
              <w:t>2</w:t>
            </w:r>
            <w:r w:rsidR="00E8758C">
              <w:rPr>
                <w:webHidden/>
              </w:rPr>
              <w:fldChar w:fldCharType="end"/>
            </w:r>
          </w:hyperlink>
        </w:p>
        <w:p w14:paraId="2ADFFC8D" w14:textId="54E2A8D1" w:rsidR="00E8758C" w:rsidRDefault="00E8758C">
          <w:pPr>
            <w:pStyle w:val="TOC1"/>
            <w:rPr>
              <w:rFonts w:eastAsiaTheme="minorEastAsia"/>
              <w:lang w:eastAsia="en-GB"/>
            </w:rPr>
          </w:pPr>
          <w:hyperlink w:anchor="_Toc107994589" w:history="1">
            <w:r w:rsidRPr="00AE18B0">
              <w:rPr>
                <w:rStyle w:val="Hyperlink"/>
              </w:rPr>
              <w:t>2.0 FINDINGS</w:t>
            </w:r>
            <w:r>
              <w:rPr>
                <w:webHidden/>
              </w:rPr>
              <w:tab/>
            </w:r>
            <w:r>
              <w:rPr>
                <w:webHidden/>
              </w:rPr>
              <w:fldChar w:fldCharType="begin"/>
            </w:r>
            <w:r>
              <w:rPr>
                <w:webHidden/>
              </w:rPr>
              <w:instrText xml:space="preserve"> PAGEREF _Toc107994589 \h </w:instrText>
            </w:r>
            <w:r>
              <w:rPr>
                <w:webHidden/>
              </w:rPr>
            </w:r>
            <w:r>
              <w:rPr>
                <w:webHidden/>
              </w:rPr>
              <w:fldChar w:fldCharType="separate"/>
            </w:r>
            <w:r>
              <w:rPr>
                <w:webHidden/>
              </w:rPr>
              <w:t>3</w:t>
            </w:r>
            <w:r>
              <w:rPr>
                <w:webHidden/>
              </w:rPr>
              <w:fldChar w:fldCharType="end"/>
            </w:r>
          </w:hyperlink>
        </w:p>
        <w:p w14:paraId="6DE88051" w14:textId="3009AE87" w:rsidR="00E8758C" w:rsidRDefault="00E8758C">
          <w:pPr>
            <w:pStyle w:val="TOC1"/>
            <w:rPr>
              <w:rFonts w:eastAsiaTheme="minorEastAsia"/>
              <w:lang w:eastAsia="en-GB"/>
            </w:rPr>
          </w:pPr>
          <w:hyperlink w:anchor="_Toc107994590" w:history="1">
            <w:r w:rsidRPr="00AE18B0">
              <w:rPr>
                <w:rStyle w:val="Hyperlink"/>
              </w:rPr>
              <w:t>2.1 Welsh hospital sector overview</w:t>
            </w:r>
            <w:r>
              <w:rPr>
                <w:webHidden/>
              </w:rPr>
              <w:tab/>
            </w:r>
            <w:r>
              <w:rPr>
                <w:webHidden/>
              </w:rPr>
              <w:fldChar w:fldCharType="begin"/>
            </w:r>
            <w:r>
              <w:rPr>
                <w:webHidden/>
              </w:rPr>
              <w:instrText xml:space="preserve"> PAGEREF _Toc107994590 \h </w:instrText>
            </w:r>
            <w:r>
              <w:rPr>
                <w:webHidden/>
              </w:rPr>
            </w:r>
            <w:r>
              <w:rPr>
                <w:webHidden/>
              </w:rPr>
              <w:fldChar w:fldCharType="separate"/>
            </w:r>
            <w:r>
              <w:rPr>
                <w:webHidden/>
              </w:rPr>
              <w:t>3</w:t>
            </w:r>
            <w:r>
              <w:rPr>
                <w:webHidden/>
              </w:rPr>
              <w:fldChar w:fldCharType="end"/>
            </w:r>
          </w:hyperlink>
        </w:p>
        <w:p w14:paraId="0B8F8E21" w14:textId="560F1DCF" w:rsidR="00E8758C" w:rsidRDefault="00E8758C">
          <w:pPr>
            <w:pStyle w:val="TOC1"/>
            <w:rPr>
              <w:rFonts w:eastAsiaTheme="minorEastAsia"/>
              <w:lang w:eastAsia="en-GB"/>
            </w:rPr>
          </w:pPr>
          <w:hyperlink w:anchor="_Toc107994591" w:history="1">
            <w:r w:rsidRPr="00AE18B0">
              <w:rPr>
                <w:rStyle w:val="Hyperlink"/>
              </w:rPr>
              <w:t>2.2 Cardiff and Value University health board</w:t>
            </w:r>
            <w:r>
              <w:rPr>
                <w:webHidden/>
              </w:rPr>
              <w:tab/>
            </w:r>
            <w:r>
              <w:rPr>
                <w:webHidden/>
              </w:rPr>
              <w:fldChar w:fldCharType="begin"/>
            </w:r>
            <w:r>
              <w:rPr>
                <w:webHidden/>
              </w:rPr>
              <w:instrText xml:space="preserve"> PAGEREF _Toc107994591 \h </w:instrText>
            </w:r>
            <w:r>
              <w:rPr>
                <w:webHidden/>
              </w:rPr>
            </w:r>
            <w:r>
              <w:rPr>
                <w:webHidden/>
              </w:rPr>
              <w:fldChar w:fldCharType="separate"/>
            </w:r>
            <w:r>
              <w:rPr>
                <w:webHidden/>
              </w:rPr>
              <w:t>3</w:t>
            </w:r>
            <w:r>
              <w:rPr>
                <w:webHidden/>
              </w:rPr>
              <w:fldChar w:fldCharType="end"/>
            </w:r>
          </w:hyperlink>
        </w:p>
        <w:p w14:paraId="1D4C2E47" w14:textId="6C3FB648" w:rsidR="00E8758C" w:rsidRDefault="00E8758C">
          <w:pPr>
            <w:pStyle w:val="TOC1"/>
            <w:rPr>
              <w:rFonts w:eastAsiaTheme="minorEastAsia"/>
              <w:lang w:eastAsia="en-GB"/>
            </w:rPr>
          </w:pPr>
          <w:hyperlink w:anchor="_Toc107994592" w:history="1">
            <w:r w:rsidRPr="00AE18B0">
              <w:rPr>
                <w:rStyle w:val="Hyperlink"/>
              </w:rPr>
              <w:t>2.3 KMVC complex model</w:t>
            </w:r>
            <w:r>
              <w:rPr>
                <w:webHidden/>
              </w:rPr>
              <w:tab/>
            </w:r>
            <w:r>
              <w:rPr>
                <w:webHidden/>
              </w:rPr>
              <w:fldChar w:fldCharType="begin"/>
            </w:r>
            <w:r>
              <w:rPr>
                <w:webHidden/>
              </w:rPr>
              <w:instrText xml:space="preserve"> PAGEREF _Toc107994592 \h </w:instrText>
            </w:r>
            <w:r>
              <w:rPr>
                <w:webHidden/>
              </w:rPr>
            </w:r>
            <w:r>
              <w:rPr>
                <w:webHidden/>
              </w:rPr>
              <w:fldChar w:fldCharType="separate"/>
            </w:r>
            <w:r>
              <w:rPr>
                <w:webHidden/>
              </w:rPr>
              <w:t>4</w:t>
            </w:r>
            <w:r>
              <w:rPr>
                <w:webHidden/>
              </w:rPr>
              <w:fldChar w:fldCharType="end"/>
            </w:r>
          </w:hyperlink>
        </w:p>
        <w:p w14:paraId="0E982CAB" w14:textId="36CAB280" w:rsidR="00E8758C" w:rsidRDefault="00E8758C">
          <w:pPr>
            <w:pStyle w:val="TOC1"/>
            <w:rPr>
              <w:rFonts w:eastAsiaTheme="minorEastAsia"/>
              <w:lang w:eastAsia="en-GB"/>
            </w:rPr>
          </w:pPr>
          <w:hyperlink w:anchor="_Toc107994593" w:history="1">
            <w:r w:rsidRPr="00AE18B0">
              <w:rPr>
                <w:rStyle w:val="Hyperlink"/>
              </w:rPr>
              <w:t>2.4 SECI Model</w:t>
            </w:r>
            <w:r>
              <w:rPr>
                <w:webHidden/>
              </w:rPr>
              <w:tab/>
            </w:r>
            <w:r>
              <w:rPr>
                <w:webHidden/>
              </w:rPr>
              <w:fldChar w:fldCharType="begin"/>
            </w:r>
            <w:r>
              <w:rPr>
                <w:webHidden/>
              </w:rPr>
              <w:instrText xml:space="preserve"> PAGEREF _Toc107994593 \h </w:instrText>
            </w:r>
            <w:r>
              <w:rPr>
                <w:webHidden/>
              </w:rPr>
            </w:r>
            <w:r>
              <w:rPr>
                <w:webHidden/>
              </w:rPr>
              <w:fldChar w:fldCharType="separate"/>
            </w:r>
            <w:r>
              <w:rPr>
                <w:webHidden/>
              </w:rPr>
              <w:t>5</w:t>
            </w:r>
            <w:r>
              <w:rPr>
                <w:webHidden/>
              </w:rPr>
              <w:fldChar w:fldCharType="end"/>
            </w:r>
          </w:hyperlink>
        </w:p>
        <w:p w14:paraId="7EF64B8C" w14:textId="4729397E" w:rsidR="00E8758C" w:rsidRDefault="00E8758C">
          <w:pPr>
            <w:pStyle w:val="TOC1"/>
            <w:rPr>
              <w:rFonts w:eastAsiaTheme="minorEastAsia"/>
              <w:lang w:eastAsia="en-GB"/>
            </w:rPr>
          </w:pPr>
          <w:hyperlink w:anchor="_Toc107994594" w:history="1">
            <w:r w:rsidRPr="00AE18B0">
              <w:rPr>
                <w:rStyle w:val="Hyperlink"/>
              </w:rPr>
              <w:t>2.5 Support Systems</w:t>
            </w:r>
            <w:r>
              <w:rPr>
                <w:webHidden/>
              </w:rPr>
              <w:tab/>
            </w:r>
            <w:r>
              <w:rPr>
                <w:webHidden/>
              </w:rPr>
              <w:fldChar w:fldCharType="begin"/>
            </w:r>
            <w:r>
              <w:rPr>
                <w:webHidden/>
              </w:rPr>
              <w:instrText xml:space="preserve"> PAGEREF _Toc107994594 \h </w:instrText>
            </w:r>
            <w:r>
              <w:rPr>
                <w:webHidden/>
              </w:rPr>
            </w:r>
            <w:r>
              <w:rPr>
                <w:webHidden/>
              </w:rPr>
              <w:fldChar w:fldCharType="separate"/>
            </w:r>
            <w:r>
              <w:rPr>
                <w:webHidden/>
              </w:rPr>
              <w:t>6</w:t>
            </w:r>
            <w:r>
              <w:rPr>
                <w:webHidden/>
              </w:rPr>
              <w:fldChar w:fldCharType="end"/>
            </w:r>
          </w:hyperlink>
        </w:p>
        <w:p w14:paraId="49BD393D" w14:textId="0FE5EB4F" w:rsidR="00E8758C" w:rsidRDefault="00E8758C">
          <w:pPr>
            <w:pStyle w:val="TOC1"/>
            <w:rPr>
              <w:rFonts w:eastAsiaTheme="minorEastAsia"/>
              <w:lang w:eastAsia="en-GB"/>
            </w:rPr>
          </w:pPr>
          <w:hyperlink w:anchor="_Toc107994595" w:history="1">
            <w:r w:rsidRPr="00AE18B0">
              <w:rPr>
                <w:rStyle w:val="Hyperlink"/>
              </w:rPr>
              <w:t>2.6 Resource based view &amp; VRIO</w:t>
            </w:r>
            <w:r>
              <w:rPr>
                <w:webHidden/>
              </w:rPr>
              <w:tab/>
            </w:r>
            <w:r>
              <w:rPr>
                <w:webHidden/>
              </w:rPr>
              <w:fldChar w:fldCharType="begin"/>
            </w:r>
            <w:r>
              <w:rPr>
                <w:webHidden/>
              </w:rPr>
              <w:instrText xml:space="preserve"> PAGEREF _Toc107994595 \h </w:instrText>
            </w:r>
            <w:r>
              <w:rPr>
                <w:webHidden/>
              </w:rPr>
            </w:r>
            <w:r>
              <w:rPr>
                <w:webHidden/>
              </w:rPr>
              <w:fldChar w:fldCharType="separate"/>
            </w:r>
            <w:r>
              <w:rPr>
                <w:webHidden/>
              </w:rPr>
              <w:t>6</w:t>
            </w:r>
            <w:r>
              <w:rPr>
                <w:webHidden/>
              </w:rPr>
              <w:fldChar w:fldCharType="end"/>
            </w:r>
          </w:hyperlink>
        </w:p>
        <w:p w14:paraId="7B49AAE7" w14:textId="5D753084" w:rsidR="00E8758C" w:rsidRDefault="00E8758C">
          <w:pPr>
            <w:pStyle w:val="TOC1"/>
            <w:rPr>
              <w:rFonts w:eastAsiaTheme="minorEastAsia"/>
              <w:lang w:eastAsia="en-GB"/>
            </w:rPr>
          </w:pPr>
          <w:hyperlink w:anchor="_Toc107994596" w:history="1">
            <w:r w:rsidRPr="00AE18B0">
              <w:rPr>
                <w:rStyle w:val="Hyperlink"/>
              </w:rPr>
              <w:t>2.7 SWOT</w:t>
            </w:r>
            <w:r>
              <w:rPr>
                <w:webHidden/>
              </w:rPr>
              <w:tab/>
            </w:r>
            <w:r>
              <w:rPr>
                <w:webHidden/>
              </w:rPr>
              <w:fldChar w:fldCharType="begin"/>
            </w:r>
            <w:r>
              <w:rPr>
                <w:webHidden/>
              </w:rPr>
              <w:instrText xml:space="preserve"> PAGEREF _Toc107994596 \h </w:instrText>
            </w:r>
            <w:r>
              <w:rPr>
                <w:webHidden/>
              </w:rPr>
            </w:r>
            <w:r>
              <w:rPr>
                <w:webHidden/>
              </w:rPr>
              <w:fldChar w:fldCharType="separate"/>
            </w:r>
            <w:r>
              <w:rPr>
                <w:webHidden/>
              </w:rPr>
              <w:t>7</w:t>
            </w:r>
            <w:r>
              <w:rPr>
                <w:webHidden/>
              </w:rPr>
              <w:fldChar w:fldCharType="end"/>
            </w:r>
          </w:hyperlink>
        </w:p>
        <w:p w14:paraId="542E66A3" w14:textId="03E16AF2" w:rsidR="00E8758C" w:rsidRDefault="00E8758C">
          <w:pPr>
            <w:pStyle w:val="TOC1"/>
            <w:rPr>
              <w:rFonts w:eastAsiaTheme="minorEastAsia"/>
              <w:lang w:eastAsia="en-GB"/>
            </w:rPr>
          </w:pPr>
          <w:hyperlink w:anchor="_Toc107994597" w:history="1">
            <w:r w:rsidRPr="00AE18B0">
              <w:rPr>
                <w:rStyle w:val="Hyperlink"/>
              </w:rPr>
              <w:t>3.0 Conclusion</w:t>
            </w:r>
            <w:r>
              <w:rPr>
                <w:webHidden/>
              </w:rPr>
              <w:tab/>
            </w:r>
            <w:r>
              <w:rPr>
                <w:webHidden/>
              </w:rPr>
              <w:fldChar w:fldCharType="begin"/>
            </w:r>
            <w:r>
              <w:rPr>
                <w:webHidden/>
              </w:rPr>
              <w:instrText xml:space="preserve"> PAGEREF _Toc107994597 \h </w:instrText>
            </w:r>
            <w:r>
              <w:rPr>
                <w:webHidden/>
              </w:rPr>
            </w:r>
            <w:r>
              <w:rPr>
                <w:webHidden/>
              </w:rPr>
              <w:fldChar w:fldCharType="separate"/>
            </w:r>
            <w:r>
              <w:rPr>
                <w:webHidden/>
              </w:rPr>
              <w:t>8</w:t>
            </w:r>
            <w:r>
              <w:rPr>
                <w:webHidden/>
              </w:rPr>
              <w:fldChar w:fldCharType="end"/>
            </w:r>
          </w:hyperlink>
        </w:p>
        <w:p w14:paraId="13246BD6" w14:textId="7B700700" w:rsidR="00E8758C" w:rsidRDefault="00E8758C">
          <w:pPr>
            <w:pStyle w:val="TOC1"/>
            <w:rPr>
              <w:rFonts w:eastAsiaTheme="minorEastAsia"/>
              <w:lang w:eastAsia="en-GB"/>
            </w:rPr>
          </w:pPr>
          <w:hyperlink w:anchor="_Toc107994598" w:history="1">
            <w:r w:rsidRPr="00AE18B0">
              <w:rPr>
                <w:rStyle w:val="Hyperlink"/>
              </w:rPr>
              <w:t>4.0 Recommendation</w:t>
            </w:r>
            <w:r>
              <w:rPr>
                <w:webHidden/>
              </w:rPr>
              <w:tab/>
            </w:r>
            <w:r>
              <w:rPr>
                <w:webHidden/>
              </w:rPr>
              <w:fldChar w:fldCharType="begin"/>
            </w:r>
            <w:r>
              <w:rPr>
                <w:webHidden/>
              </w:rPr>
              <w:instrText xml:space="preserve"> PAGEREF _Toc107994598 \h </w:instrText>
            </w:r>
            <w:r>
              <w:rPr>
                <w:webHidden/>
              </w:rPr>
            </w:r>
            <w:r>
              <w:rPr>
                <w:webHidden/>
              </w:rPr>
              <w:fldChar w:fldCharType="separate"/>
            </w:r>
            <w:r>
              <w:rPr>
                <w:webHidden/>
              </w:rPr>
              <w:t>9</w:t>
            </w:r>
            <w:r>
              <w:rPr>
                <w:webHidden/>
              </w:rPr>
              <w:fldChar w:fldCharType="end"/>
            </w:r>
          </w:hyperlink>
        </w:p>
        <w:p w14:paraId="7749A471" w14:textId="3DC9EEC5" w:rsidR="00E8758C" w:rsidRDefault="00E8758C">
          <w:pPr>
            <w:pStyle w:val="TOC1"/>
            <w:rPr>
              <w:rFonts w:eastAsiaTheme="minorEastAsia"/>
              <w:lang w:eastAsia="en-GB"/>
            </w:rPr>
          </w:pPr>
          <w:hyperlink w:anchor="_Toc107994599" w:history="1">
            <w:r w:rsidRPr="00AE18B0">
              <w:rPr>
                <w:rStyle w:val="Hyperlink"/>
              </w:rPr>
              <w:t>5.0 References</w:t>
            </w:r>
            <w:r>
              <w:rPr>
                <w:webHidden/>
              </w:rPr>
              <w:tab/>
            </w:r>
            <w:r>
              <w:rPr>
                <w:webHidden/>
              </w:rPr>
              <w:fldChar w:fldCharType="begin"/>
            </w:r>
            <w:r>
              <w:rPr>
                <w:webHidden/>
              </w:rPr>
              <w:instrText xml:space="preserve"> PAGEREF _Toc107994599 \h </w:instrText>
            </w:r>
            <w:r>
              <w:rPr>
                <w:webHidden/>
              </w:rPr>
            </w:r>
            <w:r>
              <w:rPr>
                <w:webHidden/>
              </w:rPr>
              <w:fldChar w:fldCharType="separate"/>
            </w:r>
            <w:r>
              <w:rPr>
                <w:webHidden/>
              </w:rPr>
              <w:t>10</w:t>
            </w:r>
            <w:r>
              <w:rPr>
                <w:webHidden/>
              </w:rPr>
              <w:fldChar w:fldCharType="end"/>
            </w:r>
          </w:hyperlink>
        </w:p>
        <w:p w14:paraId="167B2C6F" w14:textId="5F3669A0" w:rsidR="00AD3B5D" w:rsidRDefault="00AD3B5D" w:rsidP="00AD3B5D">
          <w:r>
            <w:rPr>
              <w:b/>
              <w:bCs/>
              <w:noProof/>
            </w:rPr>
            <w:fldChar w:fldCharType="end"/>
          </w:r>
        </w:p>
      </w:sdtContent>
    </w:sdt>
    <w:p w14:paraId="3DADC896" w14:textId="77777777" w:rsidR="00AD3B5D" w:rsidRDefault="00AD3B5D" w:rsidP="00D10626">
      <w:pPr>
        <w:pStyle w:val="Heading1"/>
      </w:pPr>
    </w:p>
    <w:p w14:paraId="2952C59A" w14:textId="77777777" w:rsidR="00AD3B5D" w:rsidRDefault="00AD3B5D" w:rsidP="00D10626">
      <w:pPr>
        <w:pStyle w:val="Heading1"/>
      </w:pPr>
    </w:p>
    <w:p w14:paraId="28EDA839" w14:textId="77777777" w:rsidR="00AD3B5D" w:rsidRDefault="00AD3B5D" w:rsidP="00D10626">
      <w:pPr>
        <w:pStyle w:val="Heading1"/>
      </w:pPr>
    </w:p>
    <w:p w14:paraId="096C6191" w14:textId="77777777" w:rsidR="00AD3B5D" w:rsidRDefault="00AD3B5D" w:rsidP="00D10626">
      <w:pPr>
        <w:pStyle w:val="Heading1"/>
      </w:pPr>
    </w:p>
    <w:p w14:paraId="5DB190EA" w14:textId="77777777" w:rsidR="00AD3B5D" w:rsidRDefault="00AD3B5D" w:rsidP="00D10626">
      <w:pPr>
        <w:pStyle w:val="Heading1"/>
      </w:pPr>
    </w:p>
    <w:p w14:paraId="30B500E0" w14:textId="77777777" w:rsidR="00AD3B5D" w:rsidRDefault="00AD3B5D" w:rsidP="00D10626">
      <w:pPr>
        <w:pStyle w:val="Heading1"/>
      </w:pPr>
    </w:p>
    <w:p w14:paraId="3BEE7370" w14:textId="77777777" w:rsidR="00AD3B5D" w:rsidRDefault="00AD3B5D" w:rsidP="00D10626">
      <w:pPr>
        <w:pStyle w:val="Heading1"/>
      </w:pPr>
    </w:p>
    <w:p w14:paraId="42A57F7B" w14:textId="7F4899C9" w:rsidR="00AD3B5D" w:rsidRDefault="00AD3B5D" w:rsidP="00D10626">
      <w:pPr>
        <w:pStyle w:val="Heading1"/>
      </w:pPr>
    </w:p>
    <w:p w14:paraId="1F40A949" w14:textId="75364E46" w:rsidR="00B67153" w:rsidRDefault="00B67153" w:rsidP="00B67153"/>
    <w:p w14:paraId="3F65D1D6" w14:textId="6F98898A" w:rsidR="00B67153" w:rsidRDefault="00B67153" w:rsidP="00B67153"/>
    <w:p w14:paraId="49E16F24" w14:textId="77777777" w:rsidR="00B67153" w:rsidRPr="00B67153" w:rsidRDefault="00B67153" w:rsidP="00F87177"/>
    <w:p w14:paraId="30F4A4CB" w14:textId="4A9F9BD2" w:rsidR="00AD3B5D" w:rsidRDefault="00AD3B5D" w:rsidP="00D10626">
      <w:pPr>
        <w:pStyle w:val="Heading1"/>
      </w:pPr>
    </w:p>
    <w:p w14:paraId="6829A2A0" w14:textId="0F50E60F" w:rsidR="00AD3B5D" w:rsidRDefault="00AD3B5D" w:rsidP="00AD3B5D"/>
    <w:p w14:paraId="2D967FE1" w14:textId="77777777" w:rsidR="00CE18DA" w:rsidRPr="00AD3B5D" w:rsidRDefault="00CE18DA" w:rsidP="001506C7"/>
    <w:p w14:paraId="70440F6D" w14:textId="37348536" w:rsidR="003E2AD4" w:rsidRDefault="00FA7BA3" w:rsidP="00D10626">
      <w:pPr>
        <w:pStyle w:val="Heading1"/>
      </w:pPr>
      <w:bookmarkStart w:id="0" w:name="_Toc107994588"/>
      <w:r>
        <w:lastRenderedPageBreak/>
        <w:t xml:space="preserve">1.0 </w:t>
      </w:r>
      <w:r w:rsidR="00A807BE">
        <w:t>Introduction</w:t>
      </w:r>
      <w:bookmarkEnd w:id="0"/>
      <w:r w:rsidR="00ED2735">
        <w:t xml:space="preserve"> </w:t>
      </w:r>
    </w:p>
    <w:p w14:paraId="7FE8D4C5" w14:textId="6A5F376D" w:rsidR="00F65A50" w:rsidRPr="00F65A50" w:rsidRDefault="00F65A50" w:rsidP="00F65A50">
      <w:r>
        <w:t>As</w:t>
      </w:r>
      <w:r w:rsidRPr="00F65A50">
        <w:t xml:space="preserve"> requested by the CEO of the Hospital Sector in Wales</w:t>
      </w:r>
      <w:r w:rsidR="003F3F5B">
        <w:t xml:space="preserve"> this report has been written</w:t>
      </w:r>
      <w:r w:rsidRPr="00F65A50">
        <w:t xml:space="preserve"> to establish Pre and Post Covid</w:t>
      </w:r>
      <w:r w:rsidR="003F3F5B">
        <w:t>,</w:t>
      </w:r>
      <w:r w:rsidRPr="00F65A50">
        <w:t xml:space="preserve"> the suitability of the Hospital Sector in Wales Knowledge Management System. The report</w:t>
      </w:r>
      <w:r w:rsidR="003C6F35">
        <w:t xml:space="preserve"> using secondary information from a broad range of textbooks, academic journals, research papers and websites,</w:t>
      </w:r>
      <w:r w:rsidRPr="00F65A50">
        <w:t xml:space="preserve"> </w:t>
      </w:r>
      <w:r w:rsidR="003F3F5B">
        <w:t>will</w:t>
      </w:r>
      <w:r w:rsidRPr="00F65A50">
        <w:t xml:space="preserve"> examine the </w:t>
      </w:r>
      <w:r w:rsidR="003F3F5B" w:rsidRPr="00F65A50">
        <w:t>sector’s</w:t>
      </w:r>
      <w:r w:rsidRPr="00F65A50">
        <w:t xml:space="preserve"> ability to effectively use resources and to achieve competitive advantage within a Health Care environment</w:t>
      </w:r>
      <w:r w:rsidR="003F3F5B">
        <w:t xml:space="preserve">, the report will be delivered </w:t>
      </w:r>
      <w:r w:rsidR="003C6F35">
        <w:t xml:space="preserve">by the author </w:t>
      </w:r>
      <w:r w:rsidR="003F3F5B">
        <w:t>to the CEO on Friday 8</w:t>
      </w:r>
      <w:r w:rsidR="003F3F5B" w:rsidRPr="003F3F5B">
        <w:rPr>
          <w:vertAlign w:val="superscript"/>
        </w:rPr>
        <w:t>th</w:t>
      </w:r>
      <w:r w:rsidR="003F3F5B">
        <w:t xml:space="preserve"> </w:t>
      </w:r>
      <w:r w:rsidR="001B61DC">
        <w:t>July.</w:t>
      </w:r>
    </w:p>
    <w:p w14:paraId="0910CCA7" w14:textId="7D9E63FE" w:rsidR="00D10626" w:rsidRDefault="00A807BE">
      <w:r>
        <w:t xml:space="preserve">The concept of knowledge management within an organisation is a complex topic that has received widespread attention within academia, as theorists attempt to understand the most effective ways </w:t>
      </w:r>
      <w:r w:rsidR="00B5234C">
        <w:t>of</w:t>
      </w:r>
      <w:r>
        <w:t xml:space="preserve"> managing the tacit and implicit knowledge within an organisation (</w:t>
      </w:r>
      <w:r w:rsidR="00ED1326">
        <w:t>Durst &amp; Zieba, 2019</w:t>
      </w:r>
      <w:r>
        <w:t xml:space="preserve">). As </w:t>
      </w:r>
      <w:r w:rsidR="00ED1326">
        <w:t>Durst &amp; Zieber (2019</w:t>
      </w:r>
      <w:r w:rsidR="00102933">
        <w:t>)</w:t>
      </w:r>
      <w:r>
        <w:t xml:space="preserve"> postulate, the </w:t>
      </w:r>
      <w:r w:rsidR="00102933">
        <w:t xml:space="preserve">intangible nature of knowledge and information dictates that it is difficult to measure the extent to which knowledge is transferred and retained within an organisation, however in organisations where the knowledge management practices are optimised, businesses can generate a long-term strategic advantage. </w:t>
      </w:r>
    </w:p>
    <w:p w14:paraId="55A04EDF" w14:textId="075A43CC" w:rsidR="0095789E" w:rsidRDefault="00D71F45">
      <w:r>
        <w:t xml:space="preserve">As Kothari et al (2011) posit, one of the most challenging organisational settings to maximise knowledge management is in the health sector, particularly, large hospital settings. Kothari et al (2011) argue that whilst knowledge management within this sector is arguably one of the most important factors towards ensuring that hospitals </w:t>
      </w:r>
      <w:r w:rsidR="0095789E">
        <w:t xml:space="preserve">run successfully, the high-pressure nature of the hospital operation is not an environment that is conducive to effective knowledge management. </w:t>
      </w:r>
    </w:p>
    <w:p w14:paraId="2CE7AB1F" w14:textId="77777777" w:rsidR="00F65A50" w:rsidRDefault="00F65A50"/>
    <w:p w14:paraId="0DDAA1CE" w14:textId="622025EB" w:rsidR="007D02F3" w:rsidRDefault="0095789E">
      <w:r>
        <w:t>Th</w:t>
      </w:r>
      <w:r w:rsidR="00850A9C">
        <w:t>e</w:t>
      </w:r>
      <w:r>
        <w:t xml:space="preserve"> report will firstly, provide a brief overview of the hospital sector in Wales, before examining the specific situation of the Cardiff and Value University hea</w:t>
      </w:r>
      <w:r w:rsidR="00B5234C">
        <w:t>l</w:t>
      </w:r>
      <w:r>
        <w:t>th board, which is responsible for the management of ten facilities in the South Wales area. The report will focus on the knowledge management strategies in place at the Cardiff and Vale University health board</w:t>
      </w:r>
      <w:r w:rsidR="00FC446A">
        <w:t xml:space="preserve">. This report has utilised a range of material, including organisational reports and industry analysis as well as using theoretical models </w:t>
      </w:r>
      <w:r>
        <w:t xml:space="preserve">the KMVC </w:t>
      </w:r>
      <w:r w:rsidR="007D02F3">
        <w:t xml:space="preserve">complex </w:t>
      </w:r>
      <w:r>
        <w:t>model</w:t>
      </w:r>
      <w:r w:rsidR="007D02F3">
        <w:t xml:space="preserve"> to assess the extent to which the different stages of the model are addressed within the organisation. The report will also utilise theoretical models such as the SECI model V</w:t>
      </w:r>
      <w:r w:rsidR="00B5234C">
        <w:t>RIO</w:t>
      </w:r>
      <w:r w:rsidR="007D02F3">
        <w:t xml:space="preserve"> Model, and the support systems model to assess how the organisation manages knowledge, before concluding with a SWOT analysis that will inform recommendations about how the organisation can improve their knowledge management going forward. </w:t>
      </w:r>
    </w:p>
    <w:p w14:paraId="24620D1A" w14:textId="609D5DE8" w:rsidR="001B61DC" w:rsidRDefault="001B61DC"/>
    <w:p w14:paraId="102887B8" w14:textId="44C0BF69" w:rsidR="001B61DC" w:rsidRDefault="001B61DC"/>
    <w:p w14:paraId="317BED85" w14:textId="37360980" w:rsidR="001B61DC" w:rsidRDefault="001B61DC"/>
    <w:p w14:paraId="2F17410D" w14:textId="2BDF550C" w:rsidR="001B61DC" w:rsidRDefault="001B61DC"/>
    <w:p w14:paraId="31CE7B36" w14:textId="6C2C9727" w:rsidR="001B61DC" w:rsidRDefault="001B61DC"/>
    <w:p w14:paraId="05AF994D" w14:textId="749457C8" w:rsidR="001B61DC" w:rsidRDefault="001B61DC"/>
    <w:p w14:paraId="79F8840C" w14:textId="61FCC3FB" w:rsidR="001B61DC" w:rsidRDefault="001B61DC"/>
    <w:p w14:paraId="38F77057" w14:textId="77777777" w:rsidR="001B61DC" w:rsidRDefault="001B61DC"/>
    <w:p w14:paraId="5A091546" w14:textId="56F08DC8" w:rsidR="002427FC" w:rsidRDefault="00FA7BA3" w:rsidP="007D02F3">
      <w:pPr>
        <w:pStyle w:val="Heading1"/>
      </w:pPr>
      <w:bookmarkStart w:id="1" w:name="_Toc107994589"/>
      <w:r>
        <w:lastRenderedPageBreak/>
        <w:t xml:space="preserve">2.0 </w:t>
      </w:r>
      <w:r w:rsidR="002427FC">
        <w:t>FINDINGS</w:t>
      </w:r>
      <w:bookmarkEnd w:id="1"/>
    </w:p>
    <w:p w14:paraId="74AEA4CA" w14:textId="329B9CEF" w:rsidR="00D71F45" w:rsidRDefault="002427FC" w:rsidP="007D02F3">
      <w:pPr>
        <w:pStyle w:val="Heading1"/>
      </w:pPr>
      <w:bookmarkStart w:id="2" w:name="_Toc107994590"/>
      <w:r>
        <w:t xml:space="preserve">2.1 </w:t>
      </w:r>
      <w:r w:rsidR="007D02F3">
        <w:t xml:space="preserve">Welsh hospital sector </w:t>
      </w:r>
      <w:r w:rsidR="00ED1326">
        <w:t>o</w:t>
      </w:r>
      <w:r w:rsidR="007D02F3">
        <w:t>verview</w:t>
      </w:r>
      <w:bookmarkEnd w:id="2"/>
      <w:r w:rsidR="007D02F3">
        <w:tab/>
        <w:t xml:space="preserve"> </w:t>
      </w:r>
    </w:p>
    <w:p w14:paraId="6BE1B8B8" w14:textId="32F02254" w:rsidR="00102933" w:rsidRDefault="001C786A">
      <w:r>
        <w:t>Since being founded by a Welshman in 1948, the NHS in Wales has evolved considerably driven by factors such as an ageing population in the country and rapid technological advancement, as well as structural changes included devolved responsibility for NHS Wales (NHS, 20</w:t>
      </w:r>
      <w:r w:rsidR="00C53DA6">
        <w:t>18</w:t>
      </w:r>
      <w:r>
        <w:t xml:space="preserve">). Over the course of the last </w:t>
      </w:r>
      <w:r w:rsidR="00C53DA6">
        <w:t>seventy-five</w:t>
      </w:r>
      <w:r>
        <w:t xml:space="preserve"> years, the structure of the Welsh health system has evolved from a tripartite system consisting of primary care, community care and hospital services which were governed nationally by the UK health </w:t>
      </w:r>
      <w:r w:rsidR="00C53DA6">
        <w:t>system, to an independently governed organisation thanks to the 2006 National Health Services Wales Act (NHS, 2018).</w:t>
      </w:r>
    </w:p>
    <w:p w14:paraId="30DAF237" w14:textId="27C20B80" w:rsidR="00D627A2" w:rsidRDefault="00C53DA6">
      <w:r>
        <w:t>Over the course of the last seventy years, the structure of the organisation has evolved from the tripartite system explained above, to consist of 7 health boards, 3 trusts and 22 local authorities.</w:t>
      </w:r>
      <w:r w:rsidR="00D627A2">
        <w:t xml:space="preserve"> The most recent re-structure was completed in 2009 and ensured that the health boards are responsible for delivering NHS services in their designated geographical region, rather than the two-tiered trust system that existed previously (NHS, 20</w:t>
      </w:r>
      <w:r w:rsidR="00461713">
        <w:t>18</w:t>
      </w:r>
      <w:r w:rsidR="00D627A2">
        <w:t xml:space="preserve">). This restructure has granted much more power to the individual health boards, and each board is responsible for ensuring that the operations of services within their geographical region are delivered effectively.  </w:t>
      </w:r>
    </w:p>
    <w:p w14:paraId="04D9B90F" w14:textId="77241B9E" w:rsidR="00C53DA6" w:rsidRDefault="00FA7BA3" w:rsidP="00D627A2">
      <w:pPr>
        <w:pStyle w:val="Heading1"/>
      </w:pPr>
      <w:bookmarkStart w:id="3" w:name="_Toc107994591"/>
      <w:r>
        <w:t>2.</w:t>
      </w:r>
      <w:r w:rsidR="004B56ED">
        <w:t>2</w:t>
      </w:r>
      <w:r>
        <w:t xml:space="preserve"> </w:t>
      </w:r>
      <w:r w:rsidR="00D627A2" w:rsidRPr="00D627A2">
        <w:t>Cardiff and Value University hea</w:t>
      </w:r>
      <w:r w:rsidR="00B5234C">
        <w:t>l</w:t>
      </w:r>
      <w:r w:rsidR="00D627A2" w:rsidRPr="00D627A2">
        <w:t>th board</w:t>
      </w:r>
      <w:bookmarkEnd w:id="3"/>
    </w:p>
    <w:p w14:paraId="5E7C9F88" w14:textId="4640BAFA" w:rsidR="00712861" w:rsidRDefault="00D627A2" w:rsidP="00712861">
      <w:r>
        <w:t>One of the most prominent health boards in Wales is the Cardiff and Vale University health board</w:t>
      </w:r>
      <w:r w:rsidR="00712861">
        <w:t xml:space="preserve"> (CAVUHB)</w:t>
      </w:r>
      <w:r>
        <w:t xml:space="preserve">, which will be the focus of this report. </w:t>
      </w:r>
      <w:r w:rsidR="00712861">
        <w:t>Within the CAVUHB, there are approximately 14,500 staff making it one of the largest NHS organisations in Europe, with an annual budget of around £1.4bn per year (C</w:t>
      </w:r>
      <w:r w:rsidR="00F64E3C">
        <w:t>AVUHB</w:t>
      </w:r>
      <w:r w:rsidR="00712861">
        <w:t xml:space="preserve">, 2022). The CAVUHB is responsible for delivering services to over 470,000 people living </w:t>
      </w:r>
      <w:r w:rsidR="00B5234C">
        <w:t xml:space="preserve">in </w:t>
      </w:r>
      <w:r w:rsidR="00712861">
        <w:t xml:space="preserve">the region, as well as being the go-to location for specialist services from patients outside the region. </w:t>
      </w:r>
    </w:p>
    <w:p w14:paraId="1B956C89" w14:textId="479169A2" w:rsidR="00712861" w:rsidRDefault="00712861" w:rsidP="00712861">
      <w:r>
        <w:t xml:space="preserve">The CAVUHB has close links to the University and therefore, the staff demographic is younger than other health boards in the country as many </w:t>
      </w:r>
      <w:r w:rsidR="00F64E3C">
        <w:t xml:space="preserve">student </w:t>
      </w:r>
      <w:r>
        <w:t>doctors progress from their studies in the region directly into the health service</w:t>
      </w:r>
      <w:r w:rsidR="00F64E3C">
        <w:t xml:space="preserve"> (CAVUHB, 2022). The organisation structure is split into eight clinical boards which were created in June 2013 and</w:t>
      </w:r>
      <w:r w:rsidR="00E3500C">
        <w:t xml:space="preserve"> who are responsible to the Executive directors of the Welsh board. </w:t>
      </w:r>
    </w:p>
    <w:p w14:paraId="3D58E24D" w14:textId="0C5BADF4" w:rsidR="001919C7" w:rsidRDefault="001919C7" w:rsidP="00D627A2">
      <w:r>
        <w:t xml:space="preserve">The structure of the business </w:t>
      </w:r>
      <w:r w:rsidR="00CC1467">
        <w:t>is outlined below:</w:t>
      </w:r>
    </w:p>
    <w:p w14:paraId="09B654CE" w14:textId="77777777" w:rsidR="00CC1467" w:rsidRDefault="00CC1467" w:rsidP="00CC1467"/>
    <w:p w14:paraId="32E01244" w14:textId="77777777" w:rsidR="00CC1467" w:rsidRPr="00CC1467" w:rsidRDefault="00CC1467" w:rsidP="00CC1467">
      <w:pPr>
        <w:jc w:val="center"/>
        <w:rPr>
          <w:b/>
          <w:bCs/>
        </w:rPr>
      </w:pPr>
      <w:r w:rsidRPr="00CC1467">
        <w:rPr>
          <w:b/>
          <w:bCs/>
        </w:rPr>
        <w:t>Cardiff and Vale University Health Board</w:t>
      </w:r>
    </w:p>
    <w:p w14:paraId="592993B7" w14:textId="77777777" w:rsidR="00CC1467" w:rsidRPr="00CC1467" w:rsidRDefault="00CC1467" w:rsidP="00CC1467">
      <w:pPr>
        <w:jc w:val="center"/>
        <w:rPr>
          <w:b/>
          <w:bCs/>
        </w:rPr>
      </w:pPr>
      <w:r w:rsidRPr="00CC1467">
        <w:rPr>
          <w:b/>
          <w:bCs/>
        </w:rPr>
        <w:t>Public Health</w:t>
      </w:r>
    </w:p>
    <w:p w14:paraId="57D34036" w14:textId="03DB9812" w:rsidR="00CC1467" w:rsidRPr="00CC1467" w:rsidRDefault="00CC1467" w:rsidP="00CC1467">
      <w:pPr>
        <w:jc w:val="center"/>
        <w:rPr>
          <w:b/>
          <w:bCs/>
        </w:rPr>
      </w:pPr>
      <w:r w:rsidRPr="00CC1467">
        <w:rPr>
          <w:b/>
          <w:bCs/>
        </w:rPr>
        <w:t>Corporate Services</w:t>
      </w:r>
    </w:p>
    <w:p w14:paraId="20310ACF" w14:textId="77777777" w:rsidR="00CC1467" w:rsidRDefault="00CC1467" w:rsidP="00CC1467">
      <w:pPr>
        <w:pStyle w:val="ListParagraph"/>
        <w:numPr>
          <w:ilvl w:val="0"/>
          <w:numId w:val="1"/>
        </w:numPr>
      </w:pPr>
      <w:r>
        <w:t>Children and Women Clinical Board;</w:t>
      </w:r>
    </w:p>
    <w:p w14:paraId="7937632D" w14:textId="6C0B04EA" w:rsidR="00CC1467" w:rsidRDefault="00CC1467" w:rsidP="00CC1467">
      <w:pPr>
        <w:pStyle w:val="ListParagraph"/>
        <w:numPr>
          <w:ilvl w:val="0"/>
          <w:numId w:val="1"/>
        </w:numPr>
      </w:pPr>
      <w:r>
        <w:t xml:space="preserve"> Clinical Diagnostics and Therapeutics Clinical Board;</w:t>
      </w:r>
      <w:r>
        <w:tab/>
      </w:r>
    </w:p>
    <w:p w14:paraId="4A8C1132" w14:textId="77777777" w:rsidR="00CC1467" w:rsidRDefault="00CC1467" w:rsidP="00CC1467">
      <w:pPr>
        <w:pStyle w:val="ListParagraph"/>
        <w:numPr>
          <w:ilvl w:val="0"/>
          <w:numId w:val="1"/>
        </w:numPr>
      </w:pPr>
      <w:r>
        <w:t>Dental Clinical Board; Medicine Clinical Board</w:t>
      </w:r>
      <w:r>
        <w:tab/>
      </w:r>
    </w:p>
    <w:p w14:paraId="18998B6C" w14:textId="77777777" w:rsidR="00CC1467" w:rsidRDefault="00CC1467" w:rsidP="00CC1467">
      <w:pPr>
        <w:pStyle w:val="ListParagraph"/>
        <w:numPr>
          <w:ilvl w:val="0"/>
          <w:numId w:val="1"/>
        </w:numPr>
      </w:pPr>
      <w:r>
        <w:t>Mental Health Clinical Board</w:t>
      </w:r>
      <w:r>
        <w:tab/>
      </w:r>
    </w:p>
    <w:p w14:paraId="219E3AED" w14:textId="77777777" w:rsidR="00CC1467" w:rsidRDefault="00CC1467" w:rsidP="00CC1467">
      <w:pPr>
        <w:pStyle w:val="ListParagraph"/>
        <w:numPr>
          <w:ilvl w:val="0"/>
          <w:numId w:val="1"/>
        </w:numPr>
      </w:pPr>
      <w:r>
        <w:t>Specialist Services Clinical Board</w:t>
      </w:r>
      <w:r>
        <w:tab/>
        <w:t xml:space="preserve">Surgery Clinical Board; </w:t>
      </w:r>
    </w:p>
    <w:p w14:paraId="4E72076A" w14:textId="558670B2" w:rsidR="00C53DA6" w:rsidRDefault="00CC1467" w:rsidP="00CC1467">
      <w:pPr>
        <w:pStyle w:val="ListParagraph"/>
        <w:numPr>
          <w:ilvl w:val="0"/>
          <w:numId w:val="1"/>
        </w:numPr>
      </w:pPr>
      <w:r>
        <w:t>Primary, Community and Intermediate Care Clinical Board</w:t>
      </w:r>
    </w:p>
    <w:p w14:paraId="56FF4912" w14:textId="6488EB5B" w:rsidR="00A807BE" w:rsidRDefault="004B56ED" w:rsidP="00CC1467">
      <w:pPr>
        <w:pStyle w:val="Heading1"/>
      </w:pPr>
      <w:bookmarkStart w:id="4" w:name="_Toc107994592"/>
      <w:r>
        <w:lastRenderedPageBreak/>
        <w:t>2.3</w:t>
      </w:r>
      <w:r w:rsidR="00FA7BA3">
        <w:t xml:space="preserve"> </w:t>
      </w:r>
      <w:r w:rsidR="00CC1467">
        <w:t>KMVC complex model</w:t>
      </w:r>
      <w:bookmarkEnd w:id="4"/>
    </w:p>
    <w:p w14:paraId="07F3E772" w14:textId="52DF662C" w:rsidR="009C36F1" w:rsidRPr="009C36F1" w:rsidRDefault="00CC1467" w:rsidP="00F87177">
      <w:r>
        <w:t>In order to ascertain an understanding of the extent to which the CAVUHB implement effective knowledge management processes, in order to maximise the effectiveness of their service delivery, this report will utilise the KMVC complex model to identify aspects of the processes that CAVUHB utilise effectively, and areas where the organisation is underperforming</w:t>
      </w:r>
      <w:r w:rsidR="00ED2CA8">
        <w:t xml:space="preserve"> (Agrawal &amp; Mutki, 2020)</w:t>
      </w:r>
      <w:r>
        <w:t xml:space="preserve">. </w:t>
      </w:r>
    </w:p>
    <w:p w14:paraId="48025E2C" w14:textId="77777777" w:rsidR="00F07EDD" w:rsidRPr="00F07EDD" w:rsidRDefault="00F07EDD" w:rsidP="00F87177">
      <w:pPr>
        <w:pStyle w:val="Heading2"/>
      </w:pPr>
    </w:p>
    <w:p w14:paraId="713F6C8D" w14:textId="60D65DD3" w:rsidR="00F07EDD" w:rsidRDefault="00F07EDD" w:rsidP="00F07EDD">
      <w:r>
        <w:t xml:space="preserve">According to the CAVUHB, the organisation is focusing on </w:t>
      </w:r>
      <w:r w:rsidR="008137F4">
        <w:t xml:space="preserve">a digital transformation strategy over a </w:t>
      </w:r>
      <w:r w:rsidR="002C1F7D">
        <w:t>five-year</w:t>
      </w:r>
      <w:r w:rsidR="008137F4">
        <w:t xml:space="preserve"> period which seeks to centralise all digital services through the </w:t>
      </w:r>
      <w:r w:rsidR="00B5234C">
        <w:t>organisation’s</w:t>
      </w:r>
      <w:r w:rsidR="008137F4">
        <w:t xml:space="preserve"> digital intranet, which will ensure that all staff within the organisation have access to a wealth of internal digital services through their individual portal (CAVUHB, 2022). According to CAVUHB (2022), this digital transformation will form the basis of future knowledge management within the business, </w:t>
      </w:r>
      <w:r w:rsidR="002C1F7D">
        <w:t xml:space="preserve">which is a core reason for the investment in the project as they believe that leveraging digital platforms as the primary element of their knowledge system is the future direction of their organisation. </w:t>
      </w:r>
    </w:p>
    <w:p w14:paraId="20D94514" w14:textId="6909E88A" w:rsidR="00C21910" w:rsidRDefault="002C1F7D" w:rsidP="00F07EDD">
      <w:r>
        <w:t>According to Quinn (1993)</w:t>
      </w:r>
      <w:r w:rsidR="00B5234C">
        <w:t>,</w:t>
      </w:r>
      <w:r>
        <w:t xml:space="preserve"> there are four distinct levels of knowledge which include cognitive </w:t>
      </w:r>
      <w:r w:rsidR="00FC446A">
        <w:t>acquisition, storage, sharing and application</w:t>
      </w:r>
      <w:r w:rsidR="009C36F1">
        <w:t xml:space="preserve"> </w:t>
      </w:r>
      <w:r>
        <w:t xml:space="preserve">Quinn (1993) postulates that </w:t>
      </w:r>
      <w:r w:rsidR="002C3C7A">
        <w:t xml:space="preserve">in order to maximise the capabilities of the workforce, </w:t>
      </w:r>
      <w:r w:rsidR="00330867">
        <w:t>it</w:t>
      </w:r>
      <w:r w:rsidR="002C3C7A">
        <w:t xml:space="preserve"> is important that each of these types of knowledge are</w:t>
      </w:r>
      <w:r w:rsidR="00FC446A">
        <w:t xml:space="preserve"> maximised</w:t>
      </w:r>
      <w:r w:rsidR="002C3C7A">
        <w:t xml:space="preserve"> amongst the workforce and that strategies which focus on developing this</w:t>
      </w:r>
      <w:r w:rsidR="00194689">
        <w:t xml:space="preserve"> area of</w:t>
      </w:r>
      <w:r w:rsidR="002C3C7A">
        <w:t xml:space="preserve"> knowledge are critical. Nevis (1995) builds on the work of Quinn (1993) to outline the three different stages of knowledge management which exist in the process of knowledge management within an organisation, that are essential to ensuring that each of the four types of knowledge are optimised internally. The three stages outlined by Nevis (1995) are knowledge acquisition, knowledge sharing and knowledge utilisation</w:t>
      </w:r>
      <w:r w:rsidR="00C21910">
        <w:t xml:space="preserve">. </w:t>
      </w:r>
      <w:r w:rsidR="00FC5C34">
        <w:t>Despite the evident benefits of utilising models such as those outlined by Quinn (1993) and Nevis (1995) to inform knowledge management strategies, the intangible nature of knowledge dictates that it is difficult to discern which ‘knowledge type’ is the focus of any certain business strategy and therefore, they should be used as guidance rather than a formal approach to knowledge management.</w:t>
      </w:r>
    </w:p>
    <w:p w14:paraId="510CDFE4" w14:textId="2CBAFC76" w:rsidR="002C1F7D" w:rsidRDefault="00C21910" w:rsidP="00F07EDD">
      <w:r>
        <w:t>When analysing the case of CAVUHB (2022), it is clear that the cognitive knowledge that exists within the organisation will be considerably high, as the nature of the workforce demographic and the close links with the universities will ensure that each employee who operates in the hospital, will have passed through the rigorous education system that is in place in the field of medicine</w:t>
      </w:r>
      <w:r w:rsidR="00726F29">
        <w:t xml:space="preserve"> (Pattan</w:t>
      </w:r>
      <w:r w:rsidR="00886C4C">
        <w:t>a</w:t>
      </w:r>
      <w:r w:rsidR="00726F29">
        <w:t>ik &amp; Pradham, 2020)</w:t>
      </w:r>
      <w:r>
        <w:t>.</w:t>
      </w:r>
      <w:r w:rsidR="002C3C7A">
        <w:t xml:space="preserve"> </w:t>
      </w:r>
      <w:r w:rsidR="00726F29">
        <w:t>The nature of the healthcare sector dictates that doctors are constantly undergoing formal knowledge acquisition, through internments and ongoing exams, and therefore it is important that the organisation supports this process by ensuring that the material and content is easily accessible for all employees</w:t>
      </w:r>
      <w:r w:rsidR="00194689">
        <w:t xml:space="preserve">, which satisfies the sharing aspect of the KMVC </w:t>
      </w:r>
      <w:r w:rsidR="00110066">
        <w:t>model (</w:t>
      </w:r>
      <w:r w:rsidR="00726F29">
        <w:t>Pattan</w:t>
      </w:r>
      <w:r w:rsidR="00886C4C">
        <w:t>a</w:t>
      </w:r>
      <w:r w:rsidR="00726F29">
        <w:t xml:space="preserve">ik &amp; Pradham, 2020). </w:t>
      </w:r>
    </w:p>
    <w:p w14:paraId="4A74FE05" w14:textId="006D95C1" w:rsidR="00726F29" w:rsidRDefault="00726F29" w:rsidP="00F07EDD">
      <w:r>
        <w:t xml:space="preserve">As one of the largest NHS organisations in terms of workforce size, CAVUHB identified that </w:t>
      </w:r>
      <w:r w:rsidR="00B5234C">
        <w:t>it</w:t>
      </w:r>
      <w:r>
        <w:t xml:space="preserve"> was important that the requisite processes were in place to ensure that employees had access to learning and development programs </w:t>
      </w:r>
      <w:r w:rsidR="00F16E9D">
        <w:t xml:space="preserve">easily, which would help with knowledge acquisition. This was one of the primary drivers behind the development of their internal intranet, as the organisation viewed this as the perfect platform to code, store and disseminate knowledge, which will enhance knowledge sharing and acquisition across the organisation (CAVUHB, 2022).  </w:t>
      </w:r>
      <w:r w:rsidR="00194689">
        <w:t>This ensures that the knowledge within the organisation is categorised according to the five C’s principles, as it is categorised and calculated effectively, and ensures that is it condensed into content which is easy to understand for employees.</w:t>
      </w:r>
    </w:p>
    <w:p w14:paraId="58B03B62" w14:textId="76A04142" w:rsidR="00F07EDD" w:rsidRDefault="00E26786" w:rsidP="00F07EDD">
      <w:r>
        <w:lastRenderedPageBreak/>
        <w:t>As Sousa &amp; Rocha (2019) posit, the importance of an effective digital knowledge system in the modern workplace i</w:t>
      </w:r>
      <w:r w:rsidR="00B5234C">
        <w:t>s</w:t>
      </w:r>
      <w:r>
        <w:t xml:space="preserve"> vital to modern knowledge management, as younger employees are familiar with </w:t>
      </w:r>
      <w:r w:rsidR="00307967">
        <w:t xml:space="preserve">using digital platforms for the majority of their day-to-day activities. In the case of CAVUHB’s digital strategy, they have created a digital ecosystem which comprises of a messaging facility, a centralised notification system and a vast library of educational content which is created internally and through their partnership with the Universities in their region (CAVUHB, 2022). By creating this digital knowledge system, it allows employees to access material remotely and flexibly, which is crucial to </w:t>
      </w:r>
      <w:r w:rsidR="00535E83">
        <w:t>knowledge acquisition and sharing</w:t>
      </w:r>
      <w:r w:rsidR="00307967">
        <w:t xml:space="preserve">, particularly in a workplace where employees have to be reactive to changing circumstances and time management is more difficult (Krasuka et al, 2020). </w:t>
      </w:r>
      <w:r w:rsidR="00535E83">
        <w:t>Within CAVUHB, employee testimonials have recognised that the</w:t>
      </w:r>
      <w:r w:rsidR="00307967">
        <w:t xml:space="preserve"> that the creation of a digital knowledge system such as this within the health sector has</w:t>
      </w:r>
      <w:r w:rsidR="00535E83">
        <w:t xml:space="preserve"> had</w:t>
      </w:r>
      <w:r w:rsidR="00307967">
        <w:t xml:space="preserve"> a tangible impact on organisational learning as it enable</w:t>
      </w:r>
      <w:r w:rsidR="00535E83">
        <w:t>d</w:t>
      </w:r>
      <w:r w:rsidR="00307967">
        <w:t xml:space="preserve"> knowledge sharing and facilitates intra-organisation communication</w:t>
      </w:r>
      <w:r w:rsidR="00535E83">
        <w:t xml:space="preserve"> (CAVUHB, 2022)</w:t>
      </w:r>
      <w:r w:rsidR="00307967">
        <w:t xml:space="preserve"> </w:t>
      </w:r>
    </w:p>
    <w:p w14:paraId="1A4F41CA" w14:textId="41DF5BF0" w:rsidR="00DF68ED" w:rsidRDefault="002749F0" w:rsidP="00F07EDD">
      <w:r>
        <w:t xml:space="preserve">The development of the digital knowledge system will be particularly beneficial to the stages of knowledge acquisition and knowledge sharing outlined by Nevis (1995), as it will provide a platform where employees can develop their cognitive knowledge, advanced skills and their system understanding, as well as providing a platform where employees can communicate with their peers to </w:t>
      </w:r>
      <w:r w:rsidR="00DF68ED">
        <w:t xml:space="preserve">enhance knowledge sharing (Quinn, 1993). However, despite this, it is also important that CAVUHB create an internal culture that maximises the utility of these knowledge processes. In order to cultivate a culture that promotes self-motivated creativity, it is imperative that a business operates with an organisational learning culture according to Quinn (1993) and while CAVUHB has focused intensely on delivering the digital change, it is inevitable that this culture will have suffered, particularly due to the stress that has been on the services due to the pandemic (Alonazi, 2021). </w:t>
      </w:r>
      <w:r w:rsidR="009C36F1">
        <w:t xml:space="preserve">If a organisational culture is ineffective, it effects the sharing and application elements of the KMVC and this is a potential area of weakness for CAVUHB, if they continue to focus on A DIGITAL STRATEGY. </w:t>
      </w:r>
    </w:p>
    <w:p w14:paraId="1FF51988" w14:textId="77777777" w:rsidR="00FA7BA3" w:rsidRDefault="00FA7BA3" w:rsidP="00F07EDD"/>
    <w:p w14:paraId="070934BB" w14:textId="16DE55FB" w:rsidR="002749F0" w:rsidRDefault="0085737E" w:rsidP="00FA7BA3">
      <w:pPr>
        <w:pStyle w:val="Heading1"/>
      </w:pPr>
      <w:bookmarkStart w:id="5" w:name="_Toc107994593"/>
      <w:r>
        <w:t>2.4</w:t>
      </w:r>
      <w:r w:rsidR="00FA7BA3">
        <w:t xml:space="preserve"> SECI Model</w:t>
      </w:r>
      <w:bookmarkEnd w:id="5"/>
      <w:r w:rsidR="00FA7BA3">
        <w:t xml:space="preserve"> </w:t>
      </w:r>
      <w:r w:rsidR="00DF68ED">
        <w:t xml:space="preserve"> </w:t>
      </w:r>
    </w:p>
    <w:p w14:paraId="50D5D645" w14:textId="62A2EF18" w:rsidR="008707F0" w:rsidRDefault="00FA7BA3" w:rsidP="00F07EDD">
      <w:r>
        <w:t xml:space="preserve">As outlined in section 3.0 above, the digital transformation that has taken place </w:t>
      </w:r>
      <w:r w:rsidR="00D826B9">
        <w:t>at CAVUHB since 2018 has had a transformational impact on the explicit knowledge acquisition and transfer processes at the organisation</w:t>
      </w:r>
      <w:r w:rsidR="00D92E64">
        <w:t>;</w:t>
      </w:r>
      <w:r w:rsidR="00D826B9">
        <w:t xml:space="preserve"> however</w:t>
      </w:r>
      <w:r w:rsidR="00D92E64">
        <w:t>,</w:t>
      </w:r>
      <w:r w:rsidR="00D826B9">
        <w:t xml:space="preserve"> this section will utilise the SECI model to assess the extent to which this has occurred and how the organisation encourages tacit knowledge transfer. </w:t>
      </w:r>
      <w:r w:rsidR="006E45E3">
        <w:t>The SECI model discusses the four modes of knowledge conversion, Socialisation, Externalisation</w:t>
      </w:r>
      <w:r w:rsidR="008707F0">
        <w:t>, Internalisation and Combination, and how tacit knowledge and implicit knowledge are transferred through these methods (Rice &amp; Rice, 2005).</w:t>
      </w:r>
    </w:p>
    <w:p w14:paraId="5A640F97" w14:textId="2834E481" w:rsidR="00D826B9" w:rsidRDefault="00052A0F" w:rsidP="00F07EDD">
      <w:r>
        <w:t xml:space="preserve">When assessing knowledge management at CAVUHB through the prism of the SECI model, </w:t>
      </w:r>
      <w:r w:rsidR="00110066">
        <w:t>much</w:t>
      </w:r>
      <w:r>
        <w:t xml:space="preserve"> of the strategy implemented by the organisation has focused on the externalisation and combination aspect of the process, ensuring that explicit knowledge transfer is encouraged through official learning and development content on the digital platform (CAVUHB, 2022). By utilising internal resources and their partnership with the university, CAVUHB have externalised information by encouraging employees to turn their tacit knowledge into explicit learning material. The creation of explicit knowledge </w:t>
      </w:r>
      <w:r w:rsidR="00B74D05">
        <w:t xml:space="preserve">is further ensured by a combination process, in which the knowledge is organisation and integrated into the digital system, through the library of educational material (CAVUHB, 2022). </w:t>
      </w:r>
    </w:p>
    <w:p w14:paraId="19D75746" w14:textId="1CCB0B99" w:rsidR="00B74D05" w:rsidRDefault="00B74D05" w:rsidP="00F07EDD">
      <w:r>
        <w:lastRenderedPageBreak/>
        <w:t>Despite the eviden</w:t>
      </w:r>
      <w:r w:rsidR="00D92E64">
        <w:t>t</w:t>
      </w:r>
      <w:r>
        <w:t xml:space="preserve"> benefits of the digital strategy for CAVUHB</w:t>
      </w:r>
      <w:r w:rsidR="00625B05">
        <w:t xml:space="preserve"> in creating explicit information through externalisation and combination modes of knowledge management, it can be argued that the focus on digital could have a negative impact on the transfer of tacit knowledge (Hosseini, 2011). As Hosseini (2011) posit</w:t>
      </w:r>
      <w:r w:rsidR="00D92E64">
        <w:t>s</w:t>
      </w:r>
      <w:r w:rsidR="00625B05">
        <w:t>, the digitalisation process will inevitably have a detrimental impact o</w:t>
      </w:r>
      <w:r w:rsidR="00D92E64">
        <w:t>n</w:t>
      </w:r>
      <w:r w:rsidR="00625B05">
        <w:t xml:space="preserve"> face-to-face interaction and in a high-pressure environment</w:t>
      </w:r>
      <w:r w:rsidR="00D92E64">
        <w:t>;</w:t>
      </w:r>
      <w:r w:rsidR="00625B05">
        <w:t xml:space="preserve"> the ability to socialise is already limited. Therefore, the concept</w:t>
      </w:r>
      <w:r w:rsidR="00D92E64">
        <w:t>s</w:t>
      </w:r>
      <w:r w:rsidR="00625B05">
        <w:t xml:space="preserve"> of socialisation and internalisation in the SECI model, which rely on increased human interaction and a conversation, will inevitably be impacted by the digitally focused strategy (Hosseini, 2011). Therefore, it is imperative that CAVUHB seek to encourage continued human interaction, despite pursuing a digitally focused business mode. </w:t>
      </w:r>
    </w:p>
    <w:p w14:paraId="3488A42E" w14:textId="37584C39" w:rsidR="009C36F1" w:rsidRDefault="009C36F1" w:rsidP="00F07EDD">
      <w:r>
        <w:t>While it is important that organisations utilise the SECI model to inform the knowledge management processes within the business, it is also important to note that model has limitations due to the categorisation of knowledge types when the reality is that there is little crossover between each type.</w:t>
      </w:r>
    </w:p>
    <w:p w14:paraId="20B991E5" w14:textId="344B1C1C" w:rsidR="00625B05" w:rsidRDefault="0085737E" w:rsidP="00625B05">
      <w:pPr>
        <w:pStyle w:val="Heading1"/>
      </w:pPr>
      <w:bookmarkStart w:id="6" w:name="_Toc107994594"/>
      <w:r>
        <w:t>2.5</w:t>
      </w:r>
      <w:r w:rsidR="00625B05">
        <w:t xml:space="preserve"> Support Systems</w:t>
      </w:r>
      <w:bookmarkEnd w:id="6"/>
      <w:r w:rsidR="00625B05">
        <w:t xml:space="preserve"> </w:t>
      </w:r>
    </w:p>
    <w:p w14:paraId="717BD693" w14:textId="714C0153" w:rsidR="00625B05" w:rsidRPr="00625B05" w:rsidRDefault="00625B05" w:rsidP="00625B05">
      <w:r>
        <w:t>When analysing the support systems in place as CAVUHB and their interaction with the knowledge management processes</w:t>
      </w:r>
      <w:r w:rsidR="001F409D">
        <w:t xml:space="preserve"> at the organisation, </w:t>
      </w:r>
      <w:r w:rsidR="00110066">
        <w:t>the</w:t>
      </w:r>
      <w:r w:rsidR="001F409D">
        <w:t xml:space="preserve"> centralised nature of these services will have both positives and drawbacks. As depicted in the organisational structure diagram, the commercial services at the organisation are centralised, rather than specific to each of the eight boards (CAUHB, 2022). </w:t>
      </w:r>
    </w:p>
    <w:p w14:paraId="44DEB7EF" w14:textId="0AA6EAB5" w:rsidR="00625B05" w:rsidRDefault="001F409D" w:rsidP="00625B05">
      <w:r>
        <w:t>As Har</w:t>
      </w:r>
      <w:r w:rsidR="00886C4C">
        <w:t>b</w:t>
      </w:r>
      <w:r>
        <w:t xml:space="preserve"> &amp; Abu-Shanab (2020) posit, knowledge management processes should be a part of a wider business strategy, rather than the sole focus of the organisation and therefore, CAVUHB have identified that a centralised system that is also used for HR and finance purposes helps ensure that the operations are aligned. </w:t>
      </w:r>
      <w:r w:rsidR="008F423D">
        <w:t>Har</w:t>
      </w:r>
      <w:r w:rsidR="00886C4C">
        <w:t>b</w:t>
      </w:r>
      <w:r w:rsidR="008F423D">
        <w:t xml:space="preserve"> &amp; Abu-Shanab (2020) note that </w:t>
      </w:r>
      <w:r w:rsidR="00110066">
        <w:t>for</w:t>
      </w:r>
      <w:r w:rsidR="008F423D">
        <w:t xml:space="preserve"> knowledge management systems to be effective, they must compliment other functions within the organisation and CAVUHB have identified that operating these services centrally, rather than on an individual board basis will improve collaboration across the business. </w:t>
      </w:r>
    </w:p>
    <w:p w14:paraId="56524E6F" w14:textId="5C4CC7A6" w:rsidR="008F423D" w:rsidRDefault="008F423D" w:rsidP="00625B05">
      <w:r>
        <w:t xml:space="preserve">Whilst this approach is aimed at improving the culture of collaboration across the whole region, Fernandes (2018) argues that </w:t>
      </w:r>
      <w:r w:rsidR="007F447B">
        <w:t xml:space="preserve">the optimum approach to knowledge management is to ensure that the support services are tailored to the specific needs of employees within a certain function. For example. Fernandes (2018) argue that a HR team that is responsible for a specific area of the business is more likely to implement strategies which support the specific knowledge needs of employees in this function, rather than a centralised approach that is more widespread and diverse. </w:t>
      </w:r>
    </w:p>
    <w:p w14:paraId="089405F9" w14:textId="0D564523" w:rsidR="00813E11" w:rsidRDefault="00813E11" w:rsidP="00625B05">
      <w:r>
        <w:t>In the case of CAVUHB, the strategy has been implemented to ensure that a unified approach</w:t>
      </w:r>
      <w:r w:rsidR="0070760F">
        <w:t xml:space="preserve"> to the commercial running of the organisation</w:t>
      </w:r>
      <w:r>
        <w:t xml:space="preserve"> is taken, whist responsibility for decision making is delegated to </w:t>
      </w:r>
      <w:r w:rsidR="0070760F">
        <w:t xml:space="preserve">the individual boards for their specific area of expertise (CAVUHB, 2022). This has been successful thus far, however as the business becomes more digitally focused it may be pertinent to suggest a more tailored approach to support services could help foster more tacit knowledge transfer.  </w:t>
      </w:r>
      <w:r w:rsidR="002D6EB3">
        <w:t xml:space="preserve">In order to achieve this, the HR department at CAVHUB should seek to liaise with an employee representative from each of the departments to understand the organisational learning needs of each specific </w:t>
      </w:r>
      <w:r w:rsidR="00110066">
        <w:t>board and</w:t>
      </w:r>
      <w:r w:rsidR="002D6EB3">
        <w:t xml:space="preserve"> implement strategies accordingly. </w:t>
      </w:r>
    </w:p>
    <w:p w14:paraId="3D50C4B5" w14:textId="7B16D05F" w:rsidR="00625B05" w:rsidRDefault="00915B4F" w:rsidP="00625B05">
      <w:pPr>
        <w:pStyle w:val="Heading1"/>
      </w:pPr>
      <w:bookmarkStart w:id="7" w:name="_Toc107994595"/>
      <w:r>
        <w:t>2.6</w:t>
      </w:r>
      <w:r w:rsidR="00625B05">
        <w:t xml:space="preserve"> R</w:t>
      </w:r>
      <w:r w:rsidR="00261E13">
        <w:t>esource based view</w:t>
      </w:r>
      <w:r w:rsidR="00625B05">
        <w:t xml:space="preserve"> &amp; VRIO</w:t>
      </w:r>
      <w:bookmarkEnd w:id="7"/>
      <w:r w:rsidR="00625B05">
        <w:t xml:space="preserve"> </w:t>
      </w:r>
    </w:p>
    <w:p w14:paraId="1ED81AFC" w14:textId="1FBB29FA" w:rsidR="00137D5D" w:rsidRDefault="00137D5D" w:rsidP="00137D5D">
      <w:r>
        <w:t xml:space="preserve">The next </w:t>
      </w:r>
      <w:r w:rsidR="003E221E">
        <w:t xml:space="preserve">section of this report is going to utilise the </w:t>
      </w:r>
      <w:r w:rsidR="001B5673">
        <w:t>resource-based</w:t>
      </w:r>
      <w:r w:rsidR="003E221E">
        <w:t xml:space="preserve"> view, and in particular the VRIO model to assess the internal resources and capabilities of CAVUHB</w:t>
      </w:r>
      <w:r w:rsidR="001B5673">
        <w:t xml:space="preserve">. The resource-based view is a </w:t>
      </w:r>
      <w:r w:rsidR="001B5673">
        <w:lastRenderedPageBreak/>
        <w:t xml:space="preserve">theory outlined by </w:t>
      </w:r>
      <w:r w:rsidR="00261E13">
        <w:t xml:space="preserve">Assenoh-Kodua (2019) as a </w:t>
      </w:r>
      <w:r w:rsidR="00FC5C34">
        <w:t xml:space="preserve">concept </w:t>
      </w:r>
      <w:r w:rsidR="00261E13">
        <w:t xml:space="preserve">which focuses on how an organisation can leverage their specific internal capabilities, to create a long-term strategic advantage for the business. The VRIO analysis is a core tool used in the </w:t>
      </w:r>
      <w:r w:rsidR="00886C4C">
        <w:t>resource-based</w:t>
      </w:r>
      <w:r w:rsidR="00261E13">
        <w:t xml:space="preserve"> view and is utilised below. </w:t>
      </w:r>
    </w:p>
    <w:p w14:paraId="6A460DCC" w14:textId="77777777" w:rsidR="009C36F1" w:rsidRDefault="009C36F1" w:rsidP="00137D5D"/>
    <w:tbl>
      <w:tblPr>
        <w:tblStyle w:val="TableGrid"/>
        <w:tblW w:w="0" w:type="auto"/>
        <w:tblLook w:val="04A0" w:firstRow="1" w:lastRow="0" w:firstColumn="1" w:lastColumn="0" w:noHBand="0" w:noVBand="1"/>
      </w:tblPr>
      <w:tblGrid>
        <w:gridCol w:w="2405"/>
        <w:gridCol w:w="1701"/>
        <w:gridCol w:w="1559"/>
        <w:gridCol w:w="1547"/>
        <w:gridCol w:w="1804"/>
      </w:tblGrid>
      <w:tr w:rsidR="00261E13" w14:paraId="2E159F4C" w14:textId="77777777" w:rsidTr="00261E13">
        <w:tc>
          <w:tcPr>
            <w:tcW w:w="2405" w:type="dxa"/>
          </w:tcPr>
          <w:p w14:paraId="16AC4FD8" w14:textId="6451BE41" w:rsidR="00261E13" w:rsidRPr="00261E13" w:rsidRDefault="00261E13" w:rsidP="00137D5D">
            <w:pPr>
              <w:rPr>
                <w:b/>
                <w:bCs/>
              </w:rPr>
            </w:pPr>
            <w:r w:rsidRPr="00261E13">
              <w:rPr>
                <w:b/>
                <w:bCs/>
              </w:rPr>
              <w:t>Internal Capability</w:t>
            </w:r>
          </w:p>
        </w:tc>
        <w:tc>
          <w:tcPr>
            <w:tcW w:w="1701" w:type="dxa"/>
          </w:tcPr>
          <w:p w14:paraId="6B7FC996" w14:textId="2F35FF9F" w:rsidR="00261E13" w:rsidRPr="00261E13" w:rsidRDefault="00261E13" w:rsidP="00137D5D">
            <w:pPr>
              <w:rPr>
                <w:b/>
                <w:bCs/>
              </w:rPr>
            </w:pPr>
            <w:r w:rsidRPr="00261E13">
              <w:rPr>
                <w:b/>
                <w:bCs/>
              </w:rPr>
              <w:t>Valuable</w:t>
            </w:r>
          </w:p>
        </w:tc>
        <w:tc>
          <w:tcPr>
            <w:tcW w:w="1559" w:type="dxa"/>
          </w:tcPr>
          <w:p w14:paraId="20658192" w14:textId="71887E33" w:rsidR="00261E13" w:rsidRPr="00261E13" w:rsidRDefault="00261E13" w:rsidP="00137D5D">
            <w:pPr>
              <w:rPr>
                <w:b/>
                <w:bCs/>
              </w:rPr>
            </w:pPr>
            <w:r w:rsidRPr="00261E13">
              <w:rPr>
                <w:b/>
                <w:bCs/>
              </w:rPr>
              <w:t>Rare</w:t>
            </w:r>
          </w:p>
        </w:tc>
        <w:tc>
          <w:tcPr>
            <w:tcW w:w="1547" w:type="dxa"/>
          </w:tcPr>
          <w:p w14:paraId="71287E1A" w14:textId="482454CB" w:rsidR="00261E13" w:rsidRPr="00261E13" w:rsidRDefault="00261E13" w:rsidP="00137D5D">
            <w:pPr>
              <w:rPr>
                <w:b/>
                <w:bCs/>
              </w:rPr>
            </w:pPr>
            <w:r w:rsidRPr="00261E13">
              <w:rPr>
                <w:b/>
                <w:bCs/>
              </w:rPr>
              <w:t xml:space="preserve">Inimitable </w:t>
            </w:r>
          </w:p>
        </w:tc>
        <w:tc>
          <w:tcPr>
            <w:tcW w:w="1804" w:type="dxa"/>
          </w:tcPr>
          <w:p w14:paraId="397A90E6" w14:textId="359E2197" w:rsidR="00261E13" w:rsidRPr="00261E13" w:rsidRDefault="00261E13" w:rsidP="00137D5D">
            <w:pPr>
              <w:rPr>
                <w:b/>
                <w:bCs/>
              </w:rPr>
            </w:pPr>
            <w:r w:rsidRPr="00261E13">
              <w:rPr>
                <w:b/>
                <w:bCs/>
              </w:rPr>
              <w:t xml:space="preserve">Organisational Specific </w:t>
            </w:r>
          </w:p>
        </w:tc>
      </w:tr>
      <w:tr w:rsidR="00261E13" w14:paraId="1E45D6C9" w14:textId="77777777" w:rsidTr="00261E13">
        <w:tc>
          <w:tcPr>
            <w:tcW w:w="2405" w:type="dxa"/>
          </w:tcPr>
          <w:p w14:paraId="0E8CF4FD" w14:textId="03FA5E41" w:rsidR="00261E13" w:rsidRDefault="00261E13" w:rsidP="00137D5D">
            <w:r>
              <w:t>Digital eco-system</w:t>
            </w:r>
          </w:p>
        </w:tc>
        <w:tc>
          <w:tcPr>
            <w:tcW w:w="1701" w:type="dxa"/>
          </w:tcPr>
          <w:p w14:paraId="509F413C" w14:textId="6EF3F0CD" w:rsidR="00261E13" w:rsidRDefault="00261E13" w:rsidP="00137D5D">
            <w:r>
              <w:t>Yes</w:t>
            </w:r>
          </w:p>
        </w:tc>
        <w:tc>
          <w:tcPr>
            <w:tcW w:w="1559" w:type="dxa"/>
          </w:tcPr>
          <w:p w14:paraId="089684E6" w14:textId="5461E52D" w:rsidR="00261E13" w:rsidRDefault="00261E13" w:rsidP="00137D5D">
            <w:r>
              <w:t>Yes</w:t>
            </w:r>
          </w:p>
        </w:tc>
        <w:tc>
          <w:tcPr>
            <w:tcW w:w="1547" w:type="dxa"/>
          </w:tcPr>
          <w:p w14:paraId="117526D3" w14:textId="09FDC0CC" w:rsidR="00261E13" w:rsidRDefault="00261E13" w:rsidP="00137D5D">
            <w:r>
              <w:t>No</w:t>
            </w:r>
          </w:p>
        </w:tc>
        <w:tc>
          <w:tcPr>
            <w:tcW w:w="1804" w:type="dxa"/>
          </w:tcPr>
          <w:p w14:paraId="565F3A21" w14:textId="4AA1E0B7" w:rsidR="00261E13" w:rsidRDefault="00261E13" w:rsidP="00137D5D">
            <w:r>
              <w:t>Yes</w:t>
            </w:r>
          </w:p>
        </w:tc>
      </w:tr>
      <w:tr w:rsidR="00261E13" w14:paraId="65B3B3A1" w14:textId="77777777" w:rsidTr="00261E13">
        <w:tc>
          <w:tcPr>
            <w:tcW w:w="2405" w:type="dxa"/>
          </w:tcPr>
          <w:p w14:paraId="784DABD7" w14:textId="53091C28" w:rsidR="00261E13" w:rsidRDefault="00261E13" w:rsidP="00137D5D">
            <w:r>
              <w:t>Large workforce</w:t>
            </w:r>
          </w:p>
        </w:tc>
        <w:tc>
          <w:tcPr>
            <w:tcW w:w="1701" w:type="dxa"/>
          </w:tcPr>
          <w:p w14:paraId="56C65A9B" w14:textId="531EEEDF" w:rsidR="00261E13" w:rsidRDefault="00261E13" w:rsidP="00137D5D">
            <w:r>
              <w:t>Yes</w:t>
            </w:r>
          </w:p>
        </w:tc>
        <w:tc>
          <w:tcPr>
            <w:tcW w:w="1559" w:type="dxa"/>
          </w:tcPr>
          <w:p w14:paraId="128EBDC2" w14:textId="0AC217FD" w:rsidR="00261E13" w:rsidRDefault="00261E13" w:rsidP="00137D5D">
            <w:r>
              <w:t>Yes</w:t>
            </w:r>
          </w:p>
        </w:tc>
        <w:tc>
          <w:tcPr>
            <w:tcW w:w="1547" w:type="dxa"/>
          </w:tcPr>
          <w:p w14:paraId="09127FF7" w14:textId="03AC799C" w:rsidR="00261E13" w:rsidRDefault="00261E13" w:rsidP="00137D5D">
            <w:r>
              <w:t>Yes</w:t>
            </w:r>
          </w:p>
        </w:tc>
        <w:tc>
          <w:tcPr>
            <w:tcW w:w="1804" w:type="dxa"/>
          </w:tcPr>
          <w:p w14:paraId="25C3DAF5" w14:textId="64F41A94" w:rsidR="00261E13" w:rsidRDefault="00261E13" w:rsidP="00137D5D">
            <w:r>
              <w:t>Yes</w:t>
            </w:r>
          </w:p>
        </w:tc>
      </w:tr>
      <w:tr w:rsidR="00261E13" w14:paraId="69742FFB" w14:textId="77777777" w:rsidTr="00261E13">
        <w:tc>
          <w:tcPr>
            <w:tcW w:w="2405" w:type="dxa"/>
          </w:tcPr>
          <w:p w14:paraId="39FF2465" w14:textId="63169D10" w:rsidR="00261E13" w:rsidRDefault="00261E13" w:rsidP="00137D5D">
            <w:r>
              <w:t>Large financial resources</w:t>
            </w:r>
          </w:p>
        </w:tc>
        <w:tc>
          <w:tcPr>
            <w:tcW w:w="1701" w:type="dxa"/>
          </w:tcPr>
          <w:p w14:paraId="0C2408AB" w14:textId="64BEB00F" w:rsidR="00261E13" w:rsidRDefault="00261E13" w:rsidP="00137D5D">
            <w:r>
              <w:t>Yes</w:t>
            </w:r>
          </w:p>
        </w:tc>
        <w:tc>
          <w:tcPr>
            <w:tcW w:w="1559" w:type="dxa"/>
          </w:tcPr>
          <w:p w14:paraId="5D6D30A8" w14:textId="0275217F" w:rsidR="00261E13" w:rsidRDefault="00261E13" w:rsidP="00137D5D">
            <w:r>
              <w:t>Yes</w:t>
            </w:r>
          </w:p>
        </w:tc>
        <w:tc>
          <w:tcPr>
            <w:tcW w:w="1547" w:type="dxa"/>
          </w:tcPr>
          <w:p w14:paraId="40F08123" w14:textId="02B89E8A" w:rsidR="00261E13" w:rsidRDefault="00261E13" w:rsidP="00137D5D">
            <w:r>
              <w:t>No</w:t>
            </w:r>
          </w:p>
        </w:tc>
        <w:tc>
          <w:tcPr>
            <w:tcW w:w="1804" w:type="dxa"/>
          </w:tcPr>
          <w:p w14:paraId="6596E8F7" w14:textId="7FA6CAC1" w:rsidR="00261E13" w:rsidRDefault="00261E13" w:rsidP="00137D5D">
            <w:r>
              <w:t>No</w:t>
            </w:r>
          </w:p>
        </w:tc>
      </w:tr>
      <w:tr w:rsidR="00261E13" w14:paraId="07CFA8FA" w14:textId="77777777" w:rsidTr="00261E13">
        <w:tc>
          <w:tcPr>
            <w:tcW w:w="2405" w:type="dxa"/>
          </w:tcPr>
          <w:p w14:paraId="2961B1BC" w14:textId="2EF82A7A" w:rsidR="00261E13" w:rsidRDefault="00261E13" w:rsidP="00137D5D">
            <w:r>
              <w:t>Varied services and expertise</w:t>
            </w:r>
          </w:p>
        </w:tc>
        <w:tc>
          <w:tcPr>
            <w:tcW w:w="1701" w:type="dxa"/>
          </w:tcPr>
          <w:p w14:paraId="23EC5550" w14:textId="6292A3C8" w:rsidR="00261E13" w:rsidRDefault="00261E13" w:rsidP="00137D5D">
            <w:r>
              <w:t>Yes</w:t>
            </w:r>
          </w:p>
        </w:tc>
        <w:tc>
          <w:tcPr>
            <w:tcW w:w="1559" w:type="dxa"/>
          </w:tcPr>
          <w:p w14:paraId="3C9193A3" w14:textId="2EA214AA" w:rsidR="00261E13" w:rsidRDefault="00261E13" w:rsidP="00137D5D">
            <w:r>
              <w:t>Yes</w:t>
            </w:r>
          </w:p>
        </w:tc>
        <w:tc>
          <w:tcPr>
            <w:tcW w:w="1547" w:type="dxa"/>
          </w:tcPr>
          <w:p w14:paraId="37D9A92F" w14:textId="1AFF828B" w:rsidR="00261E13" w:rsidRDefault="00261E13" w:rsidP="00137D5D">
            <w:r>
              <w:t>Yes</w:t>
            </w:r>
          </w:p>
        </w:tc>
        <w:tc>
          <w:tcPr>
            <w:tcW w:w="1804" w:type="dxa"/>
          </w:tcPr>
          <w:p w14:paraId="343C492A" w14:textId="573FDE98" w:rsidR="00261E13" w:rsidRDefault="00261E13" w:rsidP="00137D5D">
            <w:r>
              <w:t>Yes</w:t>
            </w:r>
          </w:p>
        </w:tc>
      </w:tr>
      <w:tr w:rsidR="00261E13" w14:paraId="3E14B25F" w14:textId="77777777" w:rsidTr="00261E13">
        <w:tc>
          <w:tcPr>
            <w:tcW w:w="2405" w:type="dxa"/>
          </w:tcPr>
          <w:p w14:paraId="449234B2" w14:textId="5715AF61" w:rsidR="00261E13" w:rsidRDefault="00261E13" w:rsidP="00137D5D">
            <w:r>
              <w:t>Close links with the University</w:t>
            </w:r>
          </w:p>
        </w:tc>
        <w:tc>
          <w:tcPr>
            <w:tcW w:w="1701" w:type="dxa"/>
          </w:tcPr>
          <w:p w14:paraId="37FC5B25" w14:textId="484B4DBA" w:rsidR="00261E13" w:rsidRDefault="00261E13" w:rsidP="00137D5D">
            <w:r>
              <w:t>Yes</w:t>
            </w:r>
          </w:p>
        </w:tc>
        <w:tc>
          <w:tcPr>
            <w:tcW w:w="1559" w:type="dxa"/>
          </w:tcPr>
          <w:p w14:paraId="6741630B" w14:textId="0BF1B09D" w:rsidR="00261E13" w:rsidRDefault="00261E13" w:rsidP="00137D5D">
            <w:r>
              <w:t>Yes</w:t>
            </w:r>
          </w:p>
        </w:tc>
        <w:tc>
          <w:tcPr>
            <w:tcW w:w="1547" w:type="dxa"/>
          </w:tcPr>
          <w:p w14:paraId="52819D92" w14:textId="7DCADC12" w:rsidR="00261E13" w:rsidRDefault="00261E13" w:rsidP="00137D5D">
            <w:r>
              <w:t>No</w:t>
            </w:r>
          </w:p>
        </w:tc>
        <w:tc>
          <w:tcPr>
            <w:tcW w:w="1804" w:type="dxa"/>
          </w:tcPr>
          <w:p w14:paraId="5186DE8D" w14:textId="52113AEB" w:rsidR="00261E13" w:rsidRDefault="00261E13" w:rsidP="00137D5D">
            <w:r>
              <w:t>Yes</w:t>
            </w:r>
          </w:p>
        </w:tc>
      </w:tr>
      <w:tr w:rsidR="00261E13" w14:paraId="7BBD267C" w14:textId="77777777" w:rsidTr="00261E13">
        <w:tc>
          <w:tcPr>
            <w:tcW w:w="2405" w:type="dxa"/>
          </w:tcPr>
          <w:p w14:paraId="3B0BB69C" w14:textId="33FAEBE7" w:rsidR="00261E13" w:rsidRDefault="00261E13" w:rsidP="00137D5D">
            <w:r>
              <w:t>Young, highly skilled workforce</w:t>
            </w:r>
          </w:p>
        </w:tc>
        <w:tc>
          <w:tcPr>
            <w:tcW w:w="1701" w:type="dxa"/>
          </w:tcPr>
          <w:p w14:paraId="4B695F2E" w14:textId="7A0E38F0" w:rsidR="00261E13" w:rsidRDefault="00261E13" w:rsidP="00137D5D">
            <w:r>
              <w:t>Yes</w:t>
            </w:r>
          </w:p>
        </w:tc>
        <w:tc>
          <w:tcPr>
            <w:tcW w:w="1559" w:type="dxa"/>
          </w:tcPr>
          <w:p w14:paraId="24753FC1" w14:textId="0EAB3ACA" w:rsidR="00261E13" w:rsidRDefault="00261E13" w:rsidP="00137D5D">
            <w:r>
              <w:t>Yes</w:t>
            </w:r>
          </w:p>
        </w:tc>
        <w:tc>
          <w:tcPr>
            <w:tcW w:w="1547" w:type="dxa"/>
          </w:tcPr>
          <w:p w14:paraId="411B9300" w14:textId="4FF3C9AC" w:rsidR="00261E13" w:rsidRDefault="00261E13" w:rsidP="00137D5D">
            <w:r>
              <w:t>No</w:t>
            </w:r>
          </w:p>
        </w:tc>
        <w:tc>
          <w:tcPr>
            <w:tcW w:w="1804" w:type="dxa"/>
          </w:tcPr>
          <w:p w14:paraId="59E33034" w14:textId="3FCAE30D" w:rsidR="00261E13" w:rsidRDefault="00261E13" w:rsidP="00137D5D">
            <w:r>
              <w:t>No</w:t>
            </w:r>
          </w:p>
        </w:tc>
      </w:tr>
      <w:tr w:rsidR="00261E13" w14:paraId="4194AA98" w14:textId="77777777" w:rsidTr="00261E13">
        <w:tc>
          <w:tcPr>
            <w:tcW w:w="2405" w:type="dxa"/>
          </w:tcPr>
          <w:p w14:paraId="0077AD8A" w14:textId="51D43BF3" w:rsidR="00261E13" w:rsidRDefault="00261E13" w:rsidP="00137D5D">
            <w:r>
              <w:t>Strong leadership</w:t>
            </w:r>
          </w:p>
        </w:tc>
        <w:tc>
          <w:tcPr>
            <w:tcW w:w="1701" w:type="dxa"/>
          </w:tcPr>
          <w:p w14:paraId="0A492D46" w14:textId="59FB0490" w:rsidR="00261E13" w:rsidRDefault="00261E13" w:rsidP="00137D5D">
            <w:r>
              <w:t>Yes</w:t>
            </w:r>
          </w:p>
        </w:tc>
        <w:tc>
          <w:tcPr>
            <w:tcW w:w="1559" w:type="dxa"/>
          </w:tcPr>
          <w:p w14:paraId="345A9B5E" w14:textId="5C55A012" w:rsidR="00261E13" w:rsidRDefault="00261E13" w:rsidP="00137D5D">
            <w:r>
              <w:t>No</w:t>
            </w:r>
          </w:p>
        </w:tc>
        <w:tc>
          <w:tcPr>
            <w:tcW w:w="1547" w:type="dxa"/>
          </w:tcPr>
          <w:p w14:paraId="13072853" w14:textId="6D5297F5" w:rsidR="00261E13" w:rsidRDefault="00261E13" w:rsidP="00137D5D">
            <w:r>
              <w:t>No</w:t>
            </w:r>
          </w:p>
        </w:tc>
        <w:tc>
          <w:tcPr>
            <w:tcW w:w="1804" w:type="dxa"/>
          </w:tcPr>
          <w:p w14:paraId="14A2B8B5" w14:textId="24BC7A96" w:rsidR="00261E13" w:rsidRDefault="00261E13" w:rsidP="00137D5D">
            <w:r>
              <w:t>No</w:t>
            </w:r>
          </w:p>
        </w:tc>
      </w:tr>
    </w:tbl>
    <w:p w14:paraId="678BE988" w14:textId="77777777" w:rsidR="00337D27" w:rsidRDefault="00337D27" w:rsidP="00625B05"/>
    <w:p w14:paraId="6EEBC9C4" w14:textId="1FEFDC03" w:rsidR="00395A30" w:rsidRDefault="00261E13" w:rsidP="00625B05">
      <w:r>
        <w:t xml:space="preserve">It is clear from the above VRIO analysis </w:t>
      </w:r>
      <w:r w:rsidR="0083289C">
        <w:t>that the CAVUHB has strong internal capabilities which are relatively unique to the organisation, as it is one of the largest NHS organisations in Europe (CAVUHB, 2022)</w:t>
      </w:r>
      <w:r w:rsidR="00624293">
        <w:t>.</w:t>
      </w:r>
      <w:r w:rsidR="00960563">
        <w:t xml:space="preserve"> </w:t>
      </w:r>
      <w:r w:rsidR="001B61DC">
        <w:t>To</w:t>
      </w:r>
      <w:r w:rsidR="00960563">
        <w:t xml:space="preserve"> maximise their strategic future, it is clear that the digital eco-system is a core capability which the business aims to leverage, however the mo</w:t>
      </w:r>
      <w:r w:rsidR="00BE3C05">
        <w:t>s</w:t>
      </w:r>
      <w:r w:rsidR="00960563">
        <w:t xml:space="preserve">t valuable resources </w:t>
      </w:r>
      <w:r w:rsidR="00BE3C05">
        <w:t xml:space="preserve">that the business can exploit are the large workforce and the varied services that they offer throughout the region. </w:t>
      </w:r>
      <w:r w:rsidR="00395A30">
        <w:t xml:space="preserve">Due to the increasing funding, access to greater resources and connections with the University, CAVHUB have a unique value </w:t>
      </w:r>
      <w:r w:rsidR="001B61DC">
        <w:t>proposition</w:t>
      </w:r>
      <w:r w:rsidR="00395A30">
        <w:t xml:space="preserve"> when compared to other regional health boards in Wales and therefore</w:t>
      </w:r>
      <w:r w:rsidR="00BE3C05">
        <w:t xml:space="preserve">, it is imperative that this is harnessed as part of their knowledge management strategy. </w:t>
      </w:r>
    </w:p>
    <w:p w14:paraId="0B4BFC20" w14:textId="430FFB2B" w:rsidR="00625B05" w:rsidRDefault="00625B05" w:rsidP="00625B05"/>
    <w:p w14:paraId="10EBC4FB" w14:textId="58C5917B" w:rsidR="00BE3C05" w:rsidRDefault="0085737E" w:rsidP="00BE3C05">
      <w:pPr>
        <w:pStyle w:val="Heading1"/>
      </w:pPr>
      <w:bookmarkStart w:id="8" w:name="_Toc107994596"/>
      <w:r>
        <w:t>2.</w:t>
      </w:r>
      <w:r w:rsidR="00915B4F">
        <w:t>7</w:t>
      </w:r>
      <w:r w:rsidR="008F423D">
        <w:t xml:space="preserve"> SWOT</w:t>
      </w:r>
      <w:bookmarkEnd w:id="8"/>
    </w:p>
    <w:tbl>
      <w:tblPr>
        <w:tblStyle w:val="TableGrid"/>
        <w:tblW w:w="0" w:type="auto"/>
        <w:tblLook w:val="04A0" w:firstRow="1" w:lastRow="0" w:firstColumn="1" w:lastColumn="0" w:noHBand="0" w:noVBand="1"/>
      </w:tblPr>
      <w:tblGrid>
        <w:gridCol w:w="4508"/>
        <w:gridCol w:w="4508"/>
      </w:tblGrid>
      <w:tr w:rsidR="00111849" w14:paraId="6BB0D30E" w14:textId="77777777" w:rsidTr="006F0864">
        <w:tc>
          <w:tcPr>
            <w:tcW w:w="4508" w:type="dxa"/>
          </w:tcPr>
          <w:p w14:paraId="0594B56A" w14:textId="77777777" w:rsidR="00111849" w:rsidRPr="00BE3C05" w:rsidRDefault="00111849" w:rsidP="006F0864">
            <w:pPr>
              <w:rPr>
                <w:b/>
                <w:bCs/>
              </w:rPr>
            </w:pPr>
            <w:r w:rsidRPr="00BE3C05">
              <w:rPr>
                <w:b/>
                <w:bCs/>
              </w:rPr>
              <w:t>Strengths</w:t>
            </w:r>
          </w:p>
          <w:p w14:paraId="35004AC5" w14:textId="77777777" w:rsidR="00111849" w:rsidRDefault="00111849" w:rsidP="006F0864">
            <w:pPr>
              <w:pStyle w:val="ListParagraph"/>
              <w:numPr>
                <w:ilvl w:val="0"/>
                <w:numId w:val="2"/>
              </w:numPr>
            </w:pPr>
            <w:r>
              <w:t xml:space="preserve">Digital Systems (CAVUHB, 2022) </w:t>
            </w:r>
          </w:p>
          <w:p w14:paraId="6741484C" w14:textId="77777777" w:rsidR="00111849" w:rsidRDefault="00111849" w:rsidP="006F0864">
            <w:pPr>
              <w:pStyle w:val="ListParagraph"/>
              <w:numPr>
                <w:ilvl w:val="0"/>
                <w:numId w:val="2"/>
              </w:numPr>
            </w:pPr>
            <w:r>
              <w:t>Large workforce (CAVUHB, 2022</w:t>
            </w:r>
          </w:p>
          <w:p w14:paraId="4E7F788E" w14:textId="77777777" w:rsidR="00111849" w:rsidRDefault="00111849" w:rsidP="006F0864">
            <w:pPr>
              <w:pStyle w:val="ListParagraph"/>
              <w:numPr>
                <w:ilvl w:val="0"/>
                <w:numId w:val="2"/>
              </w:numPr>
            </w:pPr>
            <w:r>
              <w:t>Financial resources (CAVUHB, 2022</w:t>
            </w:r>
          </w:p>
          <w:p w14:paraId="0B40BD7A" w14:textId="77777777" w:rsidR="00111849" w:rsidRDefault="00111849" w:rsidP="006F0864">
            <w:pPr>
              <w:pStyle w:val="ListParagraph"/>
              <w:numPr>
                <w:ilvl w:val="0"/>
                <w:numId w:val="2"/>
              </w:numPr>
            </w:pPr>
            <w:r>
              <w:t>Skilled workforce (CAVUHB, 2022</w:t>
            </w:r>
          </w:p>
          <w:p w14:paraId="4DB19549" w14:textId="77777777" w:rsidR="00111849" w:rsidRDefault="00111849" w:rsidP="006F0864">
            <w:pPr>
              <w:pStyle w:val="ListParagraph"/>
              <w:numPr>
                <w:ilvl w:val="0"/>
                <w:numId w:val="2"/>
              </w:numPr>
            </w:pPr>
            <w:r>
              <w:t>University partnerships (CAVUHB, 2022</w:t>
            </w:r>
          </w:p>
          <w:p w14:paraId="30B8F28E" w14:textId="77777777" w:rsidR="00111849" w:rsidRDefault="00111849" w:rsidP="006F0864">
            <w:pPr>
              <w:pStyle w:val="ListParagraph"/>
              <w:numPr>
                <w:ilvl w:val="0"/>
                <w:numId w:val="2"/>
              </w:numPr>
            </w:pPr>
            <w:r>
              <w:t>Explicit knowledge creation and sharing (CAVUHB, 2022).</w:t>
            </w:r>
          </w:p>
          <w:p w14:paraId="423DEDAE" w14:textId="77777777" w:rsidR="00111849" w:rsidRDefault="00111849" w:rsidP="006F0864"/>
        </w:tc>
        <w:tc>
          <w:tcPr>
            <w:tcW w:w="4508" w:type="dxa"/>
          </w:tcPr>
          <w:p w14:paraId="5CD3F99C" w14:textId="77777777" w:rsidR="00111849" w:rsidRDefault="00111849" w:rsidP="006F0864">
            <w:pPr>
              <w:rPr>
                <w:b/>
                <w:bCs/>
              </w:rPr>
            </w:pPr>
            <w:r w:rsidRPr="00BE3C05">
              <w:rPr>
                <w:b/>
                <w:bCs/>
              </w:rPr>
              <w:t>Weaknesses</w:t>
            </w:r>
          </w:p>
          <w:p w14:paraId="4B1BC7DD" w14:textId="77777777" w:rsidR="00111849" w:rsidRPr="00453DC7" w:rsidRDefault="00111849" w:rsidP="006F0864">
            <w:pPr>
              <w:pStyle w:val="ListParagraph"/>
              <w:numPr>
                <w:ilvl w:val="0"/>
                <w:numId w:val="3"/>
              </w:numPr>
            </w:pPr>
            <w:r w:rsidRPr="00453DC7">
              <w:t>Tacit knowledge transfer</w:t>
            </w:r>
            <w:r>
              <w:t xml:space="preserve"> (CAVUHB, 2022)</w:t>
            </w:r>
            <w:r w:rsidRPr="00453DC7">
              <w:t xml:space="preserve"> </w:t>
            </w:r>
          </w:p>
          <w:p w14:paraId="03CF3C3C" w14:textId="77777777" w:rsidR="00111849" w:rsidRDefault="00111849" w:rsidP="006F0864">
            <w:pPr>
              <w:pStyle w:val="ListParagraph"/>
              <w:numPr>
                <w:ilvl w:val="0"/>
                <w:numId w:val="3"/>
              </w:numPr>
            </w:pPr>
            <w:r w:rsidRPr="00F91D1D">
              <w:t>Workload</w:t>
            </w:r>
            <w:r>
              <w:t xml:space="preserve"> and backlog due to Covid-19 pandemic reducing time for learning (BMJ, 2021). </w:t>
            </w:r>
          </w:p>
          <w:p w14:paraId="40468032" w14:textId="77777777" w:rsidR="00111849" w:rsidRPr="00F91D1D" w:rsidRDefault="00111849" w:rsidP="006F0864">
            <w:pPr>
              <w:pStyle w:val="ListParagraph"/>
              <w:numPr>
                <w:ilvl w:val="0"/>
                <w:numId w:val="3"/>
              </w:numPr>
            </w:pPr>
            <w:r>
              <w:t>Ongoing workers disputes (BMJ, 2021)</w:t>
            </w:r>
          </w:p>
        </w:tc>
      </w:tr>
      <w:tr w:rsidR="00111849" w14:paraId="0C9F90C5" w14:textId="77777777" w:rsidTr="006F0864">
        <w:tc>
          <w:tcPr>
            <w:tcW w:w="4508" w:type="dxa"/>
          </w:tcPr>
          <w:p w14:paraId="799DB891" w14:textId="77777777" w:rsidR="00111849" w:rsidRPr="00BE3C05" w:rsidRDefault="00111849" w:rsidP="006F0864">
            <w:pPr>
              <w:rPr>
                <w:b/>
                <w:bCs/>
              </w:rPr>
            </w:pPr>
            <w:r w:rsidRPr="00BE3C05">
              <w:rPr>
                <w:b/>
                <w:bCs/>
              </w:rPr>
              <w:t>Opportunities</w:t>
            </w:r>
          </w:p>
          <w:p w14:paraId="32BE95E0" w14:textId="77777777" w:rsidR="00111849" w:rsidRDefault="00111849" w:rsidP="006F0864">
            <w:pPr>
              <w:pStyle w:val="ListParagraph"/>
              <w:numPr>
                <w:ilvl w:val="0"/>
                <w:numId w:val="4"/>
              </w:numPr>
            </w:pPr>
            <w:r>
              <w:t xml:space="preserve">Expand digital library of services </w:t>
            </w:r>
          </w:p>
          <w:p w14:paraId="54888E50" w14:textId="77777777" w:rsidR="00111849" w:rsidRDefault="00111849" w:rsidP="006F0864">
            <w:pPr>
              <w:pStyle w:val="ListParagraph"/>
              <w:numPr>
                <w:ilvl w:val="0"/>
                <w:numId w:val="4"/>
              </w:numPr>
            </w:pPr>
            <w:r>
              <w:t>Grow expertise in specialist areas</w:t>
            </w:r>
          </w:p>
          <w:p w14:paraId="15C86809" w14:textId="77777777" w:rsidR="00111849" w:rsidRDefault="00111849" w:rsidP="006F0864">
            <w:pPr>
              <w:pStyle w:val="ListParagraph"/>
              <w:numPr>
                <w:ilvl w:val="0"/>
                <w:numId w:val="4"/>
              </w:numPr>
            </w:pPr>
            <w:r>
              <w:t xml:space="preserve">Leverage on young workforce development to improve employee retention. </w:t>
            </w:r>
          </w:p>
          <w:p w14:paraId="444BD3FF" w14:textId="77777777" w:rsidR="00111849" w:rsidRDefault="00111849" w:rsidP="006F0864"/>
        </w:tc>
        <w:tc>
          <w:tcPr>
            <w:tcW w:w="4508" w:type="dxa"/>
          </w:tcPr>
          <w:p w14:paraId="2C10B65A" w14:textId="77777777" w:rsidR="00111849" w:rsidRDefault="00111849" w:rsidP="006F0864">
            <w:pPr>
              <w:rPr>
                <w:b/>
                <w:bCs/>
              </w:rPr>
            </w:pPr>
            <w:r w:rsidRPr="00BE3C05">
              <w:rPr>
                <w:b/>
                <w:bCs/>
              </w:rPr>
              <w:t xml:space="preserve">Threats </w:t>
            </w:r>
          </w:p>
          <w:p w14:paraId="183076EF" w14:textId="77777777" w:rsidR="00111849" w:rsidRPr="00533C56" w:rsidRDefault="00111849" w:rsidP="006F0864">
            <w:pPr>
              <w:pStyle w:val="ListParagraph"/>
              <w:numPr>
                <w:ilvl w:val="0"/>
                <w:numId w:val="5"/>
              </w:numPr>
            </w:pPr>
            <w:r w:rsidRPr="00533C56">
              <w:t xml:space="preserve">Liability to strikes </w:t>
            </w:r>
            <w:r>
              <w:t>(BMJ, 2021)</w:t>
            </w:r>
          </w:p>
          <w:p w14:paraId="164F794E" w14:textId="77777777" w:rsidR="00111849" w:rsidRPr="00533C56" w:rsidRDefault="00111849" w:rsidP="006F0864">
            <w:pPr>
              <w:pStyle w:val="ListParagraph"/>
              <w:numPr>
                <w:ilvl w:val="0"/>
                <w:numId w:val="5"/>
              </w:numPr>
            </w:pPr>
            <w:r w:rsidRPr="00533C56">
              <w:t>Potential of a new wave of the pandemic which could lead to overrun services and staff shortages</w:t>
            </w:r>
            <w:r>
              <w:t xml:space="preserve"> (BMJ, 2021)</w:t>
            </w:r>
            <w:r w:rsidRPr="00533C56">
              <w:t xml:space="preserve"> </w:t>
            </w:r>
          </w:p>
          <w:p w14:paraId="01ED6DF2" w14:textId="77777777" w:rsidR="00111849" w:rsidRPr="003447B8" w:rsidRDefault="00111849" w:rsidP="006F0864">
            <w:pPr>
              <w:pStyle w:val="ListParagraph"/>
              <w:numPr>
                <w:ilvl w:val="0"/>
                <w:numId w:val="5"/>
              </w:numPr>
              <w:rPr>
                <w:b/>
                <w:bCs/>
              </w:rPr>
            </w:pPr>
            <w:r w:rsidRPr="00533C56">
              <w:t>Employee burnout</w:t>
            </w:r>
            <w:r>
              <w:t xml:space="preserve"> (BMJ, 2021)</w:t>
            </w:r>
          </w:p>
        </w:tc>
      </w:tr>
    </w:tbl>
    <w:p w14:paraId="07171DCF" w14:textId="7D6CFD1C" w:rsidR="00625B05" w:rsidRDefault="0085737E" w:rsidP="00625B05">
      <w:pPr>
        <w:pStyle w:val="Heading1"/>
      </w:pPr>
      <w:bookmarkStart w:id="9" w:name="_Toc107994597"/>
      <w:r>
        <w:lastRenderedPageBreak/>
        <w:t>3</w:t>
      </w:r>
      <w:r w:rsidR="00625B05">
        <w:t>.0 Conclusion</w:t>
      </w:r>
      <w:bookmarkEnd w:id="9"/>
      <w:r w:rsidR="00625B05">
        <w:t xml:space="preserve"> </w:t>
      </w:r>
    </w:p>
    <w:p w14:paraId="211C1E17" w14:textId="131C4AF7" w:rsidR="008F423D" w:rsidRDefault="000367BC" w:rsidP="008F423D">
      <w:r>
        <w:t xml:space="preserve">In conclusion, this report has analysed the knowledge management processes that are implemented within a hospital setting in Wales, in order to critically assess the effectiveness of the processes and how organisations in the health sector have adapted to challenging conditions. The report has, firstly, outlined a brief history of the Welsh hospital sector, before focusing on </w:t>
      </w:r>
      <w:r w:rsidR="00FC77C0">
        <w:t xml:space="preserve">the Cardiff and Vale University health board specifically. </w:t>
      </w:r>
      <w:r w:rsidR="000A2ED0">
        <w:t xml:space="preserve">Having outlined the structure and resources available to CAVUHB, the report has then used a variety of theoretical models to critically assess the knowledge management strategy implemented at the organisation. </w:t>
      </w:r>
    </w:p>
    <w:p w14:paraId="0B1E70C5" w14:textId="388F3A1C" w:rsidR="00BE3C05" w:rsidRDefault="00523E59" w:rsidP="008F423D">
      <w:r>
        <w:t xml:space="preserve">From analysis of the </w:t>
      </w:r>
      <w:r w:rsidR="002B25AD">
        <w:t>organisation’s</w:t>
      </w:r>
      <w:r>
        <w:t xml:space="preserve"> strategy, </w:t>
      </w:r>
      <w:r w:rsidR="001B61DC">
        <w:t>much</w:t>
      </w:r>
      <w:r>
        <w:t xml:space="preserve"> of the focus over the past five years has been to transition the organisation to a digitally focused business model, which involves the use of a centralised digital hub that is used for communication and educational material. </w:t>
      </w:r>
      <w:r w:rsidR="001B61DC">
        <w:t>Using</w:t>
      </w:r>
      <w:r>
        <w:t xml:space="preserve"> the KMVC and SECI models, the report has identified that whilst this approach is extremely effective for explicit knowledge creation and transfer, the switch towards digital may detrimentally impact </w:t>
      </w:r>
      <w:r w:rsidR="00713B8C">
        <w:t xml:space="preserve">tacit knowledge transfer due to a reduction in socialisation. </w:t>
      </w:r>
    </w:p>
    <w:p w14:paraId="113FA7CD" w14:textId="078D827C" w:rsidR="008D704E" w:rsidRPr="008F423D" w:rsidRDefault="008D704E" w:rsidP="008F423D">
      <w:r>
        <w:t xml:space="preserve">The report has then </w:t>
      </w:r>
      <w:r w:rsidR="002B25AD">
        <w:t>analysed</w:t>
      </w:r>
      <w:r>
        <w:t xml:space="preserve"> the support systems, as well as the internal resources of the organisation which has identified the most valuable resource as the skilled and specialist workforce, which attracts patients from outside their geographical region. The report has concluded by conducting a SWOT analysis, which is used to develop the recommendation</w:t>
      </w:r>
      <w:r w:rsidR="002B25AD">
        <w:t xml:space="preserve">s which will conclude this report. </w:t>
      </w:r>
    </w:p>
    <w:p w14:paraId="5220BA98" w14:textId="77777777" w:rsidR="001B61DC" w:rsidRDefault="001B61DC" w:rsidP="008F423D">
      <w:pPr>
        <w:pStyle w:val="Heading1"/>
      </w:pPr>
    </w:p>
    <w:p w14:paraId="4289BAD5" w14:textId="164774F5" w:rsidR="00957260" w:rsidRDefault="00957260" w:rsidP="008F423D">
      <w:pPr>
        <w:pStyle w:val="Heading1"/>
      </w:pPr>
    </w:p>
    <w:p w14:paraId="4E5E8676" w14:textId="0FD1964F" w:rsidR="00957260" w:rsidRDefault="00957260" w:rsidP="00957260"/>
    <w:p w14:paraId="768019A1" w14:textId="2B6439E3" w:rsidR="00957260" w:rsidRDefault="00957260" w:rsidP="00957260"/>
    <w:p w14:paraId="3F0D91CE" w14:textId="069F6B99" w:rsidR="00957260" w:rsidRDefault="00957260" w:rsidP="00957260"/>
    <w:p w14:paraId="2CEF854E" w14:textId="7BD9C811" w:rsidR="00957260" w:rsidRDefault="00957260" w:rsidP="00957260"/>
    <w:p w14:paraId="6CDD1FFF" w14:textId="7A216229" w:rsidR="00957260" w:rsidRDefault="00957260" w:rsidP="00957260"/>
    <w:p w14:paraId="6DBFA7B7" w14:textId="6C921C2D" w:rsidR="00957260" w:rsidRDefault="00957260" w:rsidP="00957260"/>
    <w:p w14:paraId="3C4FDE90" w14:textId="5F1A09A9" w:rsidR="00957260" w:rsidRDefault="00957260" w:rsidP="00957260"/>
    <w:p w14:paraId="04F17FF3" w14:textId="3FC641CD" w:rsidR="00957260" w:rsidRDefault="00957260" w:rsidP="00957260"/>
    <w:p w14:paraId="33D73BFA" w14:textId="6324ABE0" w:rsidR="00957260" w:rsidRDefault="00957260" w:rsidP="00957260"/>
    <w:p w14:paraId="10E2AA36" w14:textId="62A89A6E" w:rsidR="00957260" w:rsidRDefault="00957260" w:rsidP="00957260"/>
    <w:p w14:paraId="79394C5E" w14:textId="2633AD42" w:rsidR="00957260" w:rsidRDefault="00957260" w:rsidP="00957260"/>
    <w:p w14:paraId="278A813D" w14:textId="078CC6D9" w:rsidR="00957260" w:rsidRDefault="00957260" w:rsidP="00957260"/>
    <w:p w14:paraId="3EB52376" w14:textId="461E3B49" w:rsidR="00957260" w:rsidRDefault="00957260" w:rsidP="00957260"/>
    <w:p w14:paraId="10D53C0F" w14:textId="77777777" w:rsidR="00957260" w:rsidRPr="00957260" w:rsidRDefault="00957260" w:rsidP="00957260"/>
    <w:p w14:paraId="22DBE5F7" w14:textId="1B594432" w:rsidR="008F423D" w:rsidRPr="008F423D" w:rsidRDefault="0085737E" w:rsidP="008F423D">
      <w:pPr>
        <w:pStyle w:val="Heading1"/>
      </w:pPr>
      <w:bookmarkStart w:id="10" w:name="_Toc107994598"/>
      <w:r>
        <w:lastRenderedPageBreak/>
        <w:t>4</w:t>
      </w:r>
      <w:r w:rsidR="008F423D">
        <w:t>.0 Recommendation</w:t>
      </w:r>
      <w:bookmarkEnd w:id="10"/>
      <w:r w:rsidR="008F423D">
        <w:t xml:space="preserve"> </w:t>
      </w:r>
    </w:p>
    <w:p w14:paraId="45A9157F" w14:textId="77777777" w:rsidR="00BD4349" w:rsidRDefault="00BD4349" w:rsidP="008F423D">
      <w:r>
        <w:t>4.1</w:t>
      </w:r>
    </w:p>
    <w:p w14:paraId="55BC4C22" w14:textId="5DACB503" w:rsidR="008F423D" w:rsidRDefault="002B25AD" w:rsidP="008F423D">
      <w:r>
        <w:t>It is clear from both the VRIO analysis and the SWOT analysis that the main strengths of the organisation are the specialist skills within their large workforce</w:t>
      </w:r>
      <w:r w:rsidR="003F0B3D">
        <w:t xml:space="preserve">, which should be leveraged to </w:t>
      </w:r>
      <w:r w:rsidR="004D1444">
        <w:t>capitalise</w:t>
      </w:r>
      <w:r w:rsidR="003F0B3D">
        <w:t xml:space="preserve"> on the opportunity of further developing thei</w:t>
      </w:r>
      <w:r w:rsidR="004D1444">
        <w:t xml:space="preserve">r expertise and developing their young workforce, to ensure that this is a sustainable competitive advantage. </w:t>
      </w:r>
    </w:p>
    <w:p w14:paraId="70C837A4" w14:textId="77777777" w:rsidR="00BD4349" w:rsidRDefault="00BD4349" w:rsidP="008F423D">
      <w:r>
        <w:t>4.2</w:t>
      </w:r>
    </w:p>
    <w:p w14:paraId="01DCFABF" w14:textId="1EC46E4D" w:rsidR="004D1444" w:rsidRDefault="004D1444" w:rsidP="008F423D">
      <w:r>
        <w:t xml:space="preserve">In order to succeed in this objective, the organisation needs to ensure that the weakness of tacit knowledge transfer is addressed, as this </w:t>
      </w:r>
      <w:r w:rsidR="005B13AD">
        <w:t>is the most important aspect to achieving the self-motivated creativity outlined by Quinn (1993), which is a crucial com</w:t>
      </w:r>
      <w:r w:rsidR="00A841F7">
        <w:t>ponent of creating specialist knowledge.</w:t>
      </w:r>
    </w:p>
    <w:p w14:paraId="6E06B00A" w14:textId="36BC6495" w:rsidR="00A841F7" w:rsidRPr="008F423D" w:rsidRDefault="00A841F7" w:rsidP="008F423D">
      <w:r>
        <w:t xml:space="preserve">In order to do this, the organisation should seek to ensure that they leverage the knowledge of their specialist employees to </w:t>
      </w:r>
      <w:r w:rsidR="00210936">
        <w:t xml:space="preserve">deliver high-quality, in-person </w:t>
      </w:r>
      <w:r w:rsidR="00243E1A">
        <w:t>masterclasses, and ensuring that these are supported by educational material on the internal intranet. By implementing this strategy</w:t>
      </w:r>
      <w:r w:rsidR="00814E40">
        <w:t>, the organisation will ensure that they continue to de</w:t>
      </w:r>
      <w:r w:rsidR="00FA55DB">
        <w:t xml:space="preserve">velop their internal expertise through the promotion of tacit knowledge transfer, whilst having the added benefit of addressing some of the HR threat facing the business, by ensuring that younger employees feel that their development is valued. </w:t>
      </w:r>
    </w:p>
    <w:p w14:paraId="1CAD9C01" w14:textId="6B588949" w:rsidR="00F07EDD" w:rsidRDefault="00915B4F" w:rsidP="00F07EDD">
      <w:r>
        <w:t xml:space="preserve">4.3 </w:t>
      </w:r>
      <w:r w:rsidR="00BD2821">
        <w:t xml:space="preserve">Therefore, the core recommended strategy includes: </w:t>
      </w:r>
    </w:p>
    <w:p w14:paraId="498F5271" w14:textId="117D06DF" w:rsidR="00BD2821" w:rsidRDefault="00BD2821" w:rsidP="00BD2821">
      <w:pPr>
        <w:pStyle w:val="ListParagraph"/>
        <w:numPr>
          <w:ilvl w:val="0"/>
          <w:numId w:val="6"/>
        </w:numPr>
      </w:pPr>
      <w:r>
        <w:t xml:space="preserve">Introduce in person </w:t>
      </w:r>
      <w:r w:rsidR="007F5406">
        <w:t>masterclasses</w:t>
      </w:r>
      <w:r>
        <w:t xml:space="preserve"> from specialist employees </w:t>
      </w:r>
    </w:p>
    <w:p w14:paraId="4FA2A488" w14:textId="0A3DD971" w:rsidR="00BD2821" w:rsidRDefault="00BD2821" w:rsidP="00BD2821">
      <w:pPr>
        <w:pStyle w:val="ListParagraph"/>
        <w:numPr>
          <w:ilvl w:val="0"/>
          <w:numId w:val="6"/>
        </w:numPr>
      </w:pPr>
      <w:r>
        <w:t xml:space="preserve">Produce supporting materials on the internal intranet, while making the specialist contactable through the internal communication system </w:t>
      </w:r>
    </w:p>
    <w:p w14:paraId="01CB79B4" w14:textId="01C30DAC" w:rsidR="00BD2821" w:rsidRDefault="00BD2821" w:rsidP="00BD2821">
      <w:pPr>
        <w:pStyle w:val="ListParagraph"/>
        <w:numPr>
          <w:ilvl w:val="0"/>
          <w:numId w:val="6"/>
        </w:numPr>
      </w:pPr>
      <w:r>
        <w:t xml:space="preserve">Create message boards to encourage communication and questions, which will enhance internal collaboration. </w:t>
      </w:r>
    </w:p>
    <w:p w14:paraId="6C5E1134" w14:textId="6FC6F997" w:rsidR="00F07EDD" w:rsidRDefault="00F07EDD" w:rsidP="00F07EDD"/>
    <w:p w14:paraId="3F61FFE1" w14:textId="2DA2357A" w:rsidR="00F07EDD" w:rsidRDefault="00F07EDD" w:rsidP="00F07EDD"/>
    <w:p w14:paraId="42EA61E3" w14:textId="4E531D7F" w:rsidR="00F07EDD" w:rsidRDefault="00F07EDD" w:rsidP="00F07EDD"/>
    <w:p w14:paraId="659F6D72" w14:textId="3036A63A" w:rsidR="00EE2533" w:rsidRDefault="00EE2533" w:rsidP="00F07EDD"/>
    <w:p w14:paraId="3B93C38E" w14:textId="2EC1F92D" w:rsidR="00EE2533" w:rsidRDefault="00EE2533" w:rsidP="00F07EDD"/>
    <w:p w14:paraId="6280FDF9" w14:textId="099C365E" w:rsidR="00EE2533" w:rsidRDefault="00EE2533" w:rsidP="00F07EDD"/>
    <w:p w14:paraId="48DE5FC2" w14:textId="160C6461" w:rsidR="00EE2533" w:rsidRDefault="00EE2533" w:rsidP="00F07EDD"/>
    <w:p w14:paraId="74739AFA" w14:textId="120D5C70" w:rsidR="00EE2533" w:rsidRDefault="00EE2533" w:rsidP="00F07EDD"/>
    <w:p w14:paraId="259FF2A8" w14:textId="042CD2D4" w:rsidR="00EE2533" w:rsidRDefault="00EE2533" w:rsidP="00F07EDD"/>
    <w:p w14:paraId="46A0C08B" w14:textId="200770CF" w:rsidR="00EE2533" w:rsidRDefault="00EE2533" w:rsidP="00F07EDD"/>
    <w:p w14:paraId="587F86A5" w14:textId="2F5D52CA" w:rsidR="00EE2533" w:rsidRDefault="00EE2533" w:rsidP="00F07EDD"/>
    <w:p w14:paraId="2A3DE9F9" w14:textId="2445C016" w:rsidR="00EE2533" w:rsidRDefault="00EE2533" w:rsidP="00F07EDD"/>
    <w:p w14:paraId="22E6E289" w14:textId="0E8D73BF" w:rsidR="00EE2533" w:rsidRDefault="00EE2533" w:rsidP="00F07EDD"/>
    <w:p w14:paraId="7E0F3A33" w14:textId="0D2490A1" w:rsidR="00A807BE" w:rsidRDefault="00DE12FE" w:rsidP="00A807BE">
      <w:pPr>
        <w:pStyle w:val="Heading1"/>
      </w:pPr>
      <w:bookmarkStart w:id="11" w:name="_Toc107994599"/>
      <w:r>
        <w:lastRenderedPageBreak/>
        <w:t>5</w:t>
      </w:r>
      <w:r w:rsidR="00EE2533">
        <w:t xml:space="preserve">.0 </w:t>
      </w:r>
      <w:r w:rsidR="00A807BE">
        <w:t>References</w:t>
      </w:r>
      <w:bookmarkEnd w:id="11"/>
      <w:r w:rsidR="00A807BE">
        <w:t xml:space="preserve"> </w:t>
      </w:r>
    </w:p>
    <w:p w14:paraId="72450CA9" w14:textId="6AE8C0B1" w:rsidR="00ED2CA8" w:rsidRDefault="00ED2CA8" w:rsidP="00ED2CA8">
      <w:pPr>
        <w:rPr>
          <w:rFonts w:ascii="Arial" w:hAnsi="Arial" w:cs="Arial"/>
          <w:color w:val="222222"/>
          <w:sz w:val="20"/>
          <w:szCs w:val="20"/>
          <w:shd w:val="clear" w:color="auto" w:fill="FFFFFF"/>
        </w:rPr>
      </w:pPr>
      <w:r>
        <w:rPr>
          <w:rFonts w:ascii="Arial" w:hAnsi="Arial" w:cs="Arial"/>
          <w:color w:val="222222"/>
          <w:sz w:val="20"/>
          <w:szCs w:val="20"/>
          <w:shd w:val="clear" w:color="auto" w:fill="FFFFFF"/>
        </w:rPr>
        <w:t>Agrawal, A. and Mukti, S.K., 2020. Knowledge Management &amp; It's Origin, Success Factors, Planning, Tools, Applications, Barriers and Enablers: A Review. </w:t>
      </w:r>
      <w:r>
        <w:rPr>
          <w:rFonts w:ascii="Arial" w:hAnsi="Arial" w:cs="Arial"/>
          <w:i/>
          <w:iCs/>
          <w:color w:val="222222"/>
          <w:sz w:val="20"/>
          <w:szCs w:val="20"/>
          <w:shd w:val="clear" w:color="auto" w:fill="FFFFFF"/>
        </w:rPr>
        <w:t>International Journal of Knowledge Management (IJKM)</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(1), pp.43-82.</w:t>
      </w:r>
    </w:p>
    <w:p w14:paraId="7E352455" w14:textId="60CC1E12" w:rsidR="00461713" w:rsidRDefault="00461713" w:rsidP="00ED2CA8">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Alonazi, W.B., 2021. Building learning organizational culture during COVID-19 outbreak: a national study. </w:t>
      </w:r>
      <w:r>
        <w:rPr>
          <w:rFonts w:ascii="Arial" w:hAnsi="Arial" w:cs="Arial"/>
          <w:i/>
          <w:iCs/>
          <w:color w:val="222222"/>
          <w:sz w:val="20"/>
          <w:szCs w:val="20"/>
          <w:shd w:val="clear" w:color="auto" w:fill="FFFFFF"/>
        </w:rPr>
        <w:t>BMC Health Services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 pp.1-8.</w:t>
      </w:r>
    </w:p>
    <w:p w14:paraId="71A2FB80" w14:textId="78DBD373" w:rsidR="00261E13" w:rsidRDefault="00261E13" w:rsidP="00ED2CA8">
      <w:pPr>
        <w:rPr>
          <w:rFonts w:ascii="Arial" w:hAnsi="Arial" w:cs="Arial"/>
          <w:color w:val="222222"/>
          <w:sz w:val="20"/>
          <w:szCs w:val="20"/>
          <w:shd w:val="clear" w:color="auto" w:fill="FFFFFF"/>
        </w:rPr>
      </w:pPr>
      <w:r>
        <w:rPr>
          <w:rFonts w:ascii="Arial" w:hAnsi="Arial" w:cs="Arial"/>
          <w:color w:val="222222"/>
          <w:sz w:val="20"/>
          <w:szCs w:val="20"/>
          <w:shd w:val="clear" w:color="auto" w:fill="FFFFFF"/>
        </w:rPr>
        <w:t>Assensoh-Kodua, A., 2019. The resource-based view: a tool of key competency for competitive advantage. </w:t>
      </w:r>
      <w:r>
        <w:rPr>
          <w:rFonts w:ascii="Arial" w:hAnsi="Arial" w:cs="Arial"/>
          <w:i/>
          <w:iCs/>
          <w:color w:val="222222"/>
          <w:sz w:val="20"/>
          <w:szCs w:val="20"/>
          <w:shd w:val="clear" w:color="auto" w:fill="FFFFFF"/>
        </w:rPr>
        <w:t>Problems and Perspectives in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(3), p.143.</w:t>
      </w:r>
    </w:p>
    <w:p w14:paraId="244BD652" w14:textId="1056352D" w:rsidR="001600B9" w:rsidRDefault="001600B9" w:rsidP="00ED2CA8">
      <w:pPr>
        <w:rPr>
          <w:rFonts w:ascii="Arial" w:hAnsi="Arial" w:cs="Arial"/>
          <w:color w:val="222222"/>
          <w:sz w:val="20"/>
          <w:szCs w:val="20"/>
          <w:shd w:val="clear" w:color="auto" w:fill="FFFFFF"/>
        </w:rPr>
      </w:pPr>
      <w:r>
        <w:rPr>
          <w:rFonts w:ascii="Arial" w:hAnsi="Arial" w:cs="Arial"/>
          <w:color w:val="222222"/>
          <w:sz w:val="20"/>
          <w:szCs w:val="20"/>
          <w:shd w:val="clear" w:color="auto" w:fill="FFFFFF"/>
        </w:rPr>
        <w:t>BMJ., 2020. The challenges facing the NHS in England in 2021. </w:t>
      </w:r>
      <w:r>
        <w:rPr>
          <w:rFonts w:ascii="Arial" w:hAnsi="Arial" w:cs="Arial"/>
          <w:i/>
          <w:iCs/>
          <w:color w:val="222222"/>
          <w:sz w:val="20"/>
          <w:szCs w:val="20"/>
          <w:shd w:val="clear" w:color="auto" w:fill="FFFFFF"/>
        </w:rPr>
        <w:t>bmj</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371</w:t>
      </w:r>
      <w:r>
        <w:rPr>
          <w:rFonts w:ascii="Arial" w:hAnsi="Arial" w:cs="Arial"/>
          <w:color w:val="222222"/>
          <w:sz w:val="20"/>
          <w:szCs w:val="20"/>
          <w:shd w:val="clear" w:color="auto" w:fill="FFFFFF"/>
        </w:rPr>
        <w:t>.</w:t>
      </w:r>
    </w:p>
    <w:p w14:paraId="5642BD03" w14:textId="15C43CC8" w:rsidR="00EB6BBA" w:rsidRPr="00ED2CA8" w:rsidRDefault="00EB6BBA" w:rsidP="00ED2CA8">
      <w:r>
        <w:rPr>
          <w:rFonts w:ascii="Arial" w:hAnsi="Arial" w:cs="Arial"/>
          <w:color w:val="222222"/>
          <w:sz w:val="20"/>
          <w:szCs w:val="20"/>
          <w:shd w:val="clear" w:color="auto" w:fill="FFFFFF"/>
        </w:rPr>
        <w:t>CAVUHB. 2022</w:t>
      </w:r>
      <w:r w:rsidR="006205E4">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6205E4">
        <w:rPr>
          <w:rFonts w:ascii="Arial" w:hAnsi="Arial" w:cs="Arial"/>
          <w:i/>
          <w:iCs/>
          <w:color w:val="222222"/>
          <w:sz w:val="20"/>
          <w:szCs w:val="20"/>
          <w:shd w:val="clear" w:color="auto" w:fill="FFFFFF"/>
        </w:rPr>
        <w:t>CAVUHB Five Year Strategy</w:t>
      </w:r>
      <w:r w:rsidR="006205E4" w:rsidRPr="006205E4">
        <w:rPr>
          <w:rFonts w:ascii="Arial" w:hAnsi="Arial" w:cs="Arial"/>
          <w:i/>
          <w:iCs/>
          <w:color w:val="222222"/>
          <w:sz w:val="20"/>
          <w:szCs w:val="20"/>
          <w:shd w:val="clear" w:color="auto" w:fill="FFFFFF"/>
        </w:rPr>
        <w:t>.[</w:t>
      </w:r>
      <w:r w:rsidR="006205E4">
        <w:rPr>
          <w:rFonts w:ascii="Arial" w:hAnsi="Arial" w:cs="Arial"/>
          <w:color w:val="222222"/>
          <w:sz w:val="20"/>
          <w:szCs w:val="20"/>
          <w:shd w:val="clear" w:color="auto" w:fill="FFFFFF"/>
        </w:rPr>
        <w:t xml:space="preserve">online] Available at: </w:t>
      </w:r>
      <w:hyperlink r:id="rId11" w:history="1">
        <w:r w:rsidR="006205E4" w:rsidRPr="00D929A8">
          <w:rPr>
            <w:rStyle w:val="Hyperlink"/>
            <w:rFonts w:ascii="Arial" w:hAnsi="Arial" w:cs="Arial"/>
            <w:sz w:val="20"/>
            <w:szCs w:val="20"/>
            <w:shd w:val="clear" w:color="auto" w:fill="FFFFFF"/>
          </w:rPr>
          <w:t>https://cavuhb.nhs.wales/files/publications/cardiff-and-vale-uhb-digital-strategy/</w:t>
        </w:r>
      </w:hyperlink>
      <w:r w:rsidR="006205E4">
        <w:rPr>
          <w:rFonts w:ascii="Arial" w:hAnsi="Arial" w:cs="Arial"/>
          <w:color w:val="222222"/>
          <w:sz w:val="20"/>
          <w:szCs w:val="20"/>
          <w:shd w:val="clear" w:color="auto" w:fill="FFFFFF"/>
        </w:rPr>
        <w:t>. Accessed 26/06/2022.</w:t>
      </w:r>
    </w:p>
    <w:p w14:paraId="5A917FBA" w14:textId="1A39FCE1" w:rsidR="00ED1326" w:rsidRDefault="00ED1326" w:rsidP="00ED1326">
      <w:pPr>
        <w:rPr>
          <w:rFonts w:ascii="Arial" w:hAnsi="Arial" w:cs="Arial"/>
          <w:color w:val="222222"/>
          <w:sz w:val="20"/>
          <w:szCs w:val="20"/>
          <w:shd w:val="clear" w:color="auto" w:fill="FFFFFF"/>
        </w:rPr>
      </w:pPr>
      <w:r>
        <w:rPr>
          <w:rFonts w:ascii="Arial" w:hAnsi="Arial" w:cs="Arial"/>
          <w:color w:val="222222"/>
          <w:sz w:val="20"/>
          <w:szCs w:val="20"/>
          <w:shd w:val="clear" w:color="auto" w:fill="FFFFFF"/>
        </w:rPr>
        <w:t>Durst, S. and Zieba, M., 2019. Mapping knowledge risks: towards a better understanding of knowledge management. </w:t>
      </w:r>
      <w:r>
        <w:rPr>
          <w:rFonts w:ascii="Arial" w:hAnsi="Arial" w:cs="Arial"/>
          <w:i/>
          <w:iCs/>
          <w:color w:val="222222"/>
          <w:sz w:val="20"/>
          <w:szCs w:val="20"/>
          <w:shd w:val="clear" w:color="auto" w:fill="FFFFFF"/>
        </w:rPr>
        <w:t>Knowledge Management Research &amp;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(1), pp.1-13.</w:t>
      </w:r>
    </w:p>
    <w:p w14:paraId="3DA706BA" w14:textId="235DFC55" w:rsidR="008F423D" w:rsidRDefault="008F423D" w:rsidP="00ED1326">
      <w:pPr>
        <w:rPr>
          <w:rFonts w:ascii="Arial" w:hAnsi="Arial" w:cs="Arial"/>
          <w:color w:val="222222"/>
          <w:sz w:val="20"/>
          <w:szCs w:val="20"/>
          <w:shd w:val="clear" w:color="auto" w:fill="FFFFFF"/>
        </w:rPr>
      </w:pPr>
      <w:r>
        <w:rPr>
          <w:rFonts w:ascii="Arial" w:hAnsi="Arial" w:cs="Arial"/>
          <w:color w:val="222222"/>
          <w:sz w:val="20"/>
          <w:szCs w:val="20"/>
          <w:shd w:val="clear" w:color="auto" w:fill="FFFFFF"/>
        </w:rPr>
        <w:t>Fernandes, A.A.R., 2018. The effect of organization culture and technology on motivation, knowledge asset and knowledge management. </w:t>
      </w:r>
      <w:r>
        <w:rPr>
          <w:rFonts w:ascii="Arial" w:hAnsi="Arial" w:cs="Arial"/>
          <w:i/>
          <w:iCs/>
          <w:color w:val="222222"/>
          <w:sz w:val="20"/>
          <w:szCs w:val="20"/>
          <w:shd w:val="clear" w:color="auto" w:fill="FFFFFF"/>
        </w:rPr>
        <w:t>International Journal of Law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60</w:t>
      </w:r>
      <w:r>
        <w:rPr>
          <w:rFonts w:ascii="Arial" w:hAnsi="Arial" w:cs="Arial"/>
          <w:color w:val="222222"/>
          <w:sz w:val="20"/>
          <w:szCs w:val="20"/>
          <w:shd w:val="clear" w:color="auto" w:fill="FFFFFF"/>
        </w:rPr>
        <w:t>(5), pp.1087-1096.</w:t>
      </w:r>
    </w:p>
    <w:p w14:paraId="0D7FFF2C" w14:textId="60BBF0D5" w:rsidR="001F409D" w:rsidRDefault="001F409D" w:rsidP="00ED132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Harb, Y. and Abu-Shanab, E., 2020. A descriptive framework for the field of knowledge management. </w:t>
      </w:r>
      <w:r>
        <w:rPr>
          <w:rFonts w:ascii="Arial" w:hAnsi="Arial" w:cs="Arial"/>
          <w:i/>
          <w:iCs/>
          <w:color w:val="222222"/>
          <w:sz w:val="20"/>
          <w:szCs w:val="20"/>
          <w:shd w:val="clear" w:color="auto" w:fill="FFFFFF"/>
        </w:rPr>
        <w:t>Knowledge and Information Systems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62</w:t>
      </w:r>
      <w:r>
        <w:rPr>
          <w:rFonts w:ascii="Arial" w:hAnsi="Arial" w:cs="Arial"/>
          <w:color w:val="222222"/>
          <w:sz w:val="20"/>
          <w:szCs w:val="20"/>
          <w:shd w:val="clear" w:color="auto" w:fill="FFFFFF"/>
        </w:rPr>
        <w:t>(12), pp.4481-4508.</w:t>
      </w:r>
    </w:p>
    <w:p w14:paraId="7898D446" w14:textId="34110B3A" w:rsidR="00625B05" w:rsidRDefault="00625B05" w:rsidP="00ED132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Hosseini, S.M., 2011. The application of SECI model as a framework of knowledge creation in virtual learning. </w:t>
      </w:r>
      <w:r>
        <w:rPr>
          <w:rFonts w:ascii="Arial" w:hAnsi="Arial" w:cs="Arial"/>
          <w:i/>
          <w:iCs/>
          <w:color w:val="222222"/>
          <w:sz w:val="20"/>
          <w:szCs w:val="20"/>
          <w:shd w:val="clear" w:color="auto" w:fill="FFFFFF"/>
        </w:rPr>
        <w:t>Asia Pacific Education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(2), pp.263-270.</w:t>
      </w:r>
    </w:p>
    <w:p w14:paraId="504A3DF4" w14:textId="7DB9ED9A" w:rsidR="00461713" w:rsidRDefault="00461713" w:rsidP="00461713">
      <w:pPr>
        <w:rPr>
          <w:rFonts w:ascii="Arial" w:hAnsi="Arial" w:cs="Arial"/>
          <w:color w:val="222222"/>
          <w:sz w:val="20"/>
          <w:szCs w:val="20"/>
          <w:shd w:val="clear" w:color="auto" w:fill="FFFFFF"/>
        </w:rPr>
      </w:pPr>
      <w:r>
        <w:rPr>
          <w:rFonts w:ascii="Arial" w:hAnsi="Arial" w:cs="Arial"/>
          <w:color w:val="222222"/>
          <w:sz w:val="20"/>
          <w:szCs w:val="20"/>
          <w:shd w:val="clear" w:color="auto" w:fill="FFFFFF"/>
        </w:rPr>
        <w:t>Kianto, A., Vanhala, M. and Heilmann, P., 2016. The impact of knowledge management on job satisfaction. </w:t>
      </w:r>
      <w:r>
        <w:rPr>
          <w:rFonts w:ascii="Arial" w:hAnsi="Arial" w:cs="Arial"/>
          <w:i/>
          <w:iCs/>
          <w:color w:val="222222"/>
          <w:sz w:val="20"/>
          <w:szCs w:val="20"/>
          <w:shd w:val="clear" w:color="auto" w:fill="FFFFFF"/>
        </w:rPr>
        <w:t>Journal of Knowledge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(4), pp.621-636.</w:t>
      </w:r>
    </w:p>
    <w:p w14:paraId="60DD3371" w14:textId="17DA54A2" w:rsidR="00461713" w:rsidRDefault="00461713" w:rsidP="00461713">
      <w:pPr>
        <w:rPr>
          <w:rFonts w:ascii="Arial" w:hAnsi="Arial" w:cs="Arial"/>
          <w:color w:val="222222"/>
          <w:sz w:val="20"/>
          <w:szCs w:val="20"/>
          <w:shd w:val="clear" w:color="auto" w:fill="FFFFFF"/>
        </w:rPr>
      </w:pPr>
      <w:r>
        <w:rPr>
          <w:rFonts w:ascii="Arial" w:hAnsi="Arial" w:cs="Arial"/>
          <w:color w:val="222222"/>
          <w:sz w:val="20"/>
          <w:szCs w:val="20"/>
          <w:shd w:val="clear" w:color="auto" w:fill="FFFFFF"/>
        </w:rPr>
        <w:t>Kothari, A., Hovanec, N., Hastie, R. and Sibbald, S., 2011. Lessons from the business sector for successful knowledge management in health care: a systematic review. </w:t>
      </w:r>
      <w:r>
        <w:rPr>
          <w:rFonts w:ascii="Arial" w:hAnsi="Arial" w:cs="Arial"/>
          <w:i/>
          <w:iCs/>
          <w:color w:val="222222"/>
          <w:sz w:val="20"/>
          <w:szCs w:val="20"/>
          <w:shd w:val="clear" w:color="auto" w:fill="FFFFFF"/>
        </w:rPr>
        <w:t>BMC health services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 pp.1-11.</w:t>
      </w:r>
    </w:p>
    <w:p w14:paraId="0CE88BDC" w14:textId="55AB8947" w:rsidR="00461713" w:rsidRPr="00ED1326" w:rsidRDefault="00461713" w:rsidP="00ED1326">
      <w:r>
        <w:rPr>
          <w:rFonts w:ascii="Arial" w:hAnsi="Arial" w:cs="Arial"/>
          <w:color w:val="222222"/>
          <w:sz w:val="20"/>
          <w:szCs w:val="20"/>
          <w:shd w:val="clear" w:color="auto" w:fill="FFFFFF"/>
        </w:rPr>
        <w:t>Krasuska, M., Williams, R., Sheikh, A., Franklin, B.D., Heeney, C., Lane, W., Mozaffar, H., Mason, K., Eason, S., Hinder, S. and Dunscombe, R., 2020. Technological capabilities to assess digital excellence in hospitals in high performing health care systems: international eDelphi exercise. </w:t>
      </w:r>
      <w:r>
        <w:rPr>
          <w:rFonts w:ascii="Arial" w:hAnsi="Arial" w:cs="Arial"/>
          <w:i/>
          <w:iCs/>
          <w:color w:val="222222"/>
          <w:sz w:val="20"/>
          <w:szCs w:val="20"/>
          <w:shd w:val="clear" w:color="auto" w:fill="FFFFFF"/>
        </w:rPr>
        <w:t>Journal of medical Internet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(8), p.e17022.</w:t>
      </w:r>
    </w:p>
    <w:p w14:paraId="19805239" w14:textId="0E425D4C" w:rsidR="00337D27" w:rsidRDefault="00337D2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Nevis, E.C.. </w:t>
      </w:r>
      <w:r w:rsidRPr="00550CB7">
        <w:rPr>
          <w:rFonts w:ascii="Arial" w:hAnsi="Arial" w:cs="Arial"/>
          <w:i/>
          <w:iCs/>
          <w:color w:val="222222"/>
          <w:sz w:val="20"/>
          <w:szCs w:val="20"/>
          <w:shd w:val="clear" w:color="auto" w:fill="FFFFFF"/>
        </w:rPr>
        <w:t>Understanding organizations as</w:t>
      </w:r>
      <w:r w:rsidR="00886C4C" w:rsidRPr="00550CB7">
        <w:rPr>
          <w:rFonts w:ascii="Arial" w:hAnsi="Arial" w:cs="Arial"/>
          <w:i/>
          <w:iCs/>
          <w:color w:val="222222"/>
          <w:sz w:val="20"/>
          <w:szCs w:val="20"/>
          <w:shd w:val="clear" w:color="auto" w:fill="FFFFFF"/>
        </w:rPr>
        <w:t xml:space="preserve"> </w:t>
      </w:r>
      <w:r w:rsidRPr="00550CB7">
        <w:rPr>
          <w:rFonts w:ascii="Arial" w:hAnsi="Arial" w:cs="Arial"/>
          <w:i/>
          <w:iCs/>
          <w:color w:val="222222"/>
          <w:sz w:val="20"/>
          <w:szCs w:val="20"/>
          <w:shd w:val="clear" w:color="auto" w:fill="FFFFFF"/>
        </w:rPr>
        <w:t>earning Systems</w:t>
      </w:r>
      <w:r>
        <w:rPr>
          <w:rFonts w:ascii="Arial" w:hAnsi="Arial" w:cs="Arial"/>
          <w:color w:val="222222"/>
          <w:sz w:val="20"/>
          <w:szCs w:val="20"/>
          <w:shd w:val="clear" w:color="auto" w:fill="FFFFFF"/>
        </w:rPr>
        <w:t xml:space="preserve">. </w:t>
      </w:r>
      <w:r w:rsidR="00886C4C">
        <w:rPr>
          <w:rFonts w:ascii="Arial" w:hAnsi="Arial" w:cs="Arial"/>
          <w:color w:val="222222"/>
          <w:sz w:val="20"/>
          <w:szCs w:val="20"/>
          <w:shd w:val="clear" w:color="auto" w:fill="FFFFFF"/>
        </w:rPr>
        <w:t>Palgrave</w:t>
      </w:r>
      <w:r>
        <w:rPr>
          <w:rFonts w:ascii="Arial" w:hAnsi="Arial" w:cs="Arial"/>
          <w:color w:val="222222"/>
          <w:sz w:val="20"/>
          <w:szCs w:val="20"/>
          <w:shd w:val="clear" w:color="auto" w:fill="FFFFFF"/>
        </w:rPr>
        <w:t xml:space="preserve"> Macmillan.</w:t>
      </w:r>
    </w:p>
    <w:p w14:paraId="0CE0A65A" w14:textId="79AA10FE" w:rsidR="006205E4" w:rsidRDefault="006205E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NHS. 2018. </w:t>
      </w:r>
      <w:r w:rsidRPr="007F5406">
        <w:rPr>
          <w:rFonts w:ascii="Arial" w:hAnsi="Arial" w:cs="Arial"/>
          <w:i/>
          <w:iCs/>
          <w:color w:val="222222"/>
          <w:sz w:val="20"/>
          <w:szCs w:val="20"/>
          <w:shd w:val="clear" w:color="auto" w:fill="FFFFFF"/>
        </w:rPr>
        <w:t>NHS Wales Strategic Overview 2018</w:t>
      </w:r>
      <w:r>
        <w:rPr>
          <w:rFonts w:ascii="Arial" w:hAnsi="Arial" w:cs="Arial"/>
          <w:color w:val="222222"/>
          <w:sz w:val="20"/>
          <w:szCs w:val="20"/>
          <w:shd w:val="clear" w:color="auto" w:fill="FFFFFF"/>
        </w:rPr>
        <w:t>. [online</w:t>
      </w:r>
      <w:r w:rsidR="007F5406">
        <w:rPr>
          <w:rFonts w:ascii="Arial" w:hAnsi="Arial" w:cs="Arial"/>
          <w:color w:val="222222"/>
          <w:sz w:val="20"/>
          <w:szCs w:val="20"/>
          <w:shd w:val="clear" w:color="auto" w:fill="FFFFFF"/>
        </w:rPr>
        <w:t>]. Available at:</w:t>
      </w:r>
      <w:r>
        <w:rPr>
          <w:rFonts w:ascii="Arial" w:hAnsi="Arial" w:cs="Arial"/>
          <w:color w:val="222222"/>
          <w:sz w:val="20"/>
          <w:szCs w:val="20"/>
          <w:shd w:val="clear" w:color="auto" w:fill="FFFFFF"/>
        </w:rPr>
        <w:t xml:space="preserve"> </w:t>
      </w:r>
      <w:hyperlink r:id="rId12" w:history="1">
        <w:r w:rsidR="007F5406" w:rsidRPr="00D929A8">
          <w:rPr>
            <w:rStyle w:val="Hyperlink"/>
            <w:rFonts w:ascii="Arial" w:hAnsi="Arial" w:cs="Arial"/>
            <w:sz w:val="20"/>
            <w:szCs w:val="20"/>
            <w:shd w:val="clear" w:color="auto" w:fill="FFFFFF"/>
          </w:rPr>
          <w:t>http://www.wales.nhs.uk/sites3/documents/254/50%20years%20of%20the%20NHS%20in%20Wales.pdf</w:t>
        </w:r>
      </w:hyperlink>
      <w:r w:rsidR="007F5406">
        <w:rPr>
          <w:rFonts w:ascii="Arial" w:hAnsi="Arial" w:cs="Arial"/>
          <w:color w:val="222222"/>
          <w:sz w:val="20"/>
          <w:szCs w:val="20"/>
          <w:shd w:val="clear" w:color="auto" w:fill="FFFFFF"/>
        </w:rPr>
        <w:t>. Accessed 26/06/2022.</w:t>
      </w:r>
    </w:p>
    <w:p w14:paraId="037EA812" w14:textId="6739351D" w:rsidR="00726F29" w:rsidRDefault="00726F29">
      <w:pPr>
        <w:rPr>
          <w:rFonts w:ascii="Arial" w:hAnsi="Arial" w:cs="Arial"/>
          <w:color w:val="222222"/>
          <w:sz w:val="20"/>
          <w:szCs w:val="20"/>
          <w:shd w:val="clear" w:color="auto" w:fill="FFFFFF"/>
        </w:rPr>
      </w:pPr>
      <w:r>
        <w:rPr>
          <w:rFonts w:ascii="Arial" w:hAnsi="Arial" w:cs="Arial"/>
          <w:color w:val="222222"/>
          <w:sz w:val="20"/>
          <w:szCs w:val="20"/>
          <w:shd w:val="clear" w:color="auto" w:fill="FFFFFF"/>
        </w:rPr>
        <w:t>Pattanaik, P. and Pradhan, B.B., 2020. Knowledge Management in the healthcare sector. </w:t>
      </w:r>
      <w:r>
        <w:rPr>
          <w:rFonts w:ascii="Arial" w:hAnsi="Arial" w:cs="Arial"/>
          <w:i/>
          <w:iCs/>
          <w:color w:val="222222"/>
          <w:sz w:val="20"/>
          <w:szCs w:val="20"/>
          <w:shd w:val="clear" w:color="auto" w:fill="FFFFFF"/>
        </w:rPr>
        <w:t>PalArch's Journal of Archaeology of Egypt/Egyptology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(6), pp.5292-5300.</w:t>
      </w:r>
    </w:p>
    <w:p w14:paraId="18B77D91" w14:textId="4CE0CA78" w:rsidR="00407C93" w:rsidRDefault="00407C93">
      <w:r>
        <w:t>Quinn, R.E. (1993) Applications of the competing values framework, Human Resource Management, 32(1), 1-7.</w:t>
      </w:r>
    </w:p>
    <w:p w14:paraId="66C445BE" w14:textId="30E5B28D" w:rsidR="008D0C37" w:rsidRDefault="008D0C37">
      <w:pPr>
        <w:rPr>
          <w:rFonts w:ascii="Arial" w:hAnsi="Arial" w:cs="Arial"/>
          <w:color w:val="222222"/>
          <w:sz w:val="20"/>
          <w:szCs w:val="20"/>
          <w:shd w:val="clear" w:color="auto" w:fill="FFFFFF"/>
        </w:rPr>
      </w:pPr>
      <w:r>
        <w:rPr>
          <w:rFonts w:ascii="Arial" w:hAnsi="Arial" w:cs="Arial"/>
          <w:color w:val="222222"/>
          <w:sz w:val="20"/>
          <w:szCs w:val="20"/>
          <w:shd w:val="clear" w:color="auto" w:fill="FFFFFF"/>
        </w:rPr>
        <w:t>Rice, J.L. and Rice, B.S., 2005. The applicability of the SECI model to multi-organisational endeavours: an integrative review. </w:t>
      </w:r>
      <w:r>
        <w:rPr>
          <w:rFonts w:ascii="Arial" w:hAnsi="Arial" w:cs="Arial"/>
          <w:i/>
          <w:iCs/>
          <w:color w:val="222222"/>
          <w:sz w:val="20"/>
          <w:szCs w:val="20"/>
          <w:shd w:val="clear" w:color="auto" w:fill="FFFFFF"/>
        </w:rPr>
        <w:t>International Journal of Organisational Behaviour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(8), pp.671-682.</w:t>
      </w:r>
    </w:p>
    <w:p w14:paraId="4417D203" w14:textId="045AC06A" w:rsidR="00F16E9D" w:rsidRDefault="00F16E9D">
      <w:r>
        <w:rPr>
          <w:rFonts w:ascii="Arial" w:hAnsi="Arial" w:cs="Arial"/>
          <w:color w:val="222222"/>
          <w:sz w:val="20"/>
          <w:szCs w:val="20"/>
          <w:shd w:val="clear" w:color="auto" w:fill="FFFFFF"/>
        </w:rPr>
        <w:t>Sousa, M.J. and Rocha, Á., 2019. Strategic knowledge management in the digital age: JBR special issue editorial. </w:t>
      </w:r>
      <w:r>
        <w:rPr>
          <w:rFonts w:ascii="Arial" w:hAnsi="Arial" w:cs="Arial"/>
          <w:i/>
          <w:iCs/>
          <w:color w:val="222222"/>
          <w:sz w:val="20"/>
          <w:szCs w:val="20"/>
          <w:shd w:val="clear" w:color="auto" w:fill="FFFFFF"/>
        </w:rPr>
        <w:t>Journal of 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94</w:t>
      </w:r>
      <w:r>
        <w:rPr>
          <w:rFonts w:ascii="Arial" w:hAnsi="Arial" w:cs="Arial"/>
          <w:color w:val="222222"/>
          <w:sz w:val="20"/>
          <w:szCs w:val="20"/>
          <w:shd w:val="clear" w:color="auto" w:fill="FFFFFF"/>
        </w:rPr>
        <w:t>, pp.223-226.</w:t>
      </w:r>
    </w:p>
    <w:sectPr w:rsidR="00F16E9D" w:rsidSect="001506C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8621BD" w14:textId="77777777" w:rsidR="00FC58E8" w:rsidRDefault="00FC58E8" w:rsidP="00A9188B">
      <w:pPr>
        <w:spacing w:after="0" w:line="240" w:lineRule="auto"/>
      </w:pPr>
      <w:r>
        <w:separator/>
      </w:r>
    </w:p>
  </w:endnote>
  <w:endnote w:type="continuationSeparator" w:id="0">
    <w:p w14:paraId="75C3794A" w14:textId="77777777" w:rsidR="00FC58E8" w:rsidRDefault="00FC58E8" w:rsidP="00A91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F2559" w14:textId="77777777" w:rsidR="00FC58E8" w:rsidRDefault="00FC58E8" w:rsidP="00A9188B">
      <w:pPr>
        <w:spacing w:after="0" w:line="240" w:lineRule="auto"/>
      </w:pPr>
      <w:r>
        <w:separator/>
      </w:r>
    </w:p>
  </w:footnote>
  <w:footnote w:type="continuationSeparator" w:id="0">
    <w:p w14:paraId="222C0DEB" w14:textId="77777777" w:rsidR="00FC58E8" w:rsidRDefault="00FC58E8" w:rsidP="00A918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51A02"/>
    <w:multiLevelType w:val="hybridMultilevel"/>
    <w:tmpl w:val="0F383F22"/>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 w15:restartNumberingAfterBreak="0">
    <w:nsid w:val="0DD72A20"/>
    <w:multiLevelType w:val="hybridMultilevel"/>
    <w:tmpl w:val="72D27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AC549F"/>
    <w:multiLevelType w:val="hybridMultilevel"/>
    <w:tmpl w:val="1FA8C040"/>
    <w:lvl w:ilvl="0" w:tplc="CD2EF782">
      <w:start w:val="1"/>
      <w:numFmt w:val="bullet"/>
      <w:lvlText w:val="•"/>
      <w:lvlJc w:val="left"/>
      <w:pPr>
        <w:tabs>
          <w:tab w:val="num" w:pos="720"/>
        </w:tabs>
        <w:ind w:left="720" w:hanging="360"/>
      </w:pPr>
      <w:rPr>
        <w:rFonts w:ascii="Arial" w:hAnsi="Arial" w:hint="default"/>
      </w:rPr>
    </w:lvl>
    <w:lvl w:ilvl="1" w:tplc="CB54D28A" w:tentative="1">
      <w:start w:val="1"/>
      <w:numFmt w:val="bullet"/>
      <w:lvlText w:val="•"/>
      <w:lvlJc w:val="left"/>
      <w:pPr>
        <w:tabs>
          <w:tab w:val="num" w:pos="1440"/>
        </w:tabs>
        <w:ind w:left="1440" w:hanging="360"/>
      </w:pPr>
      <w:rPr>
        <w:rFonts w:ascii="Arial" w:hAnsi="Arial" w:hint="default"/>
      </w:rPr>
    </w:lvl>
    <w:lvl w:ilvl="2" w:tplc="7466EBF4" w:tentative="1">
      <w:start w:val="1"/>
      <w:numFmt w:val="bullet"/>
      <w:lvlText w:val="•"/>
      <w:lvlJc w:val="left"/>
      <w:pPr>
        <w:tabs>
          <w:tab w:val="num" w:pos="2160"/>
        </w:tabs>
        <w:ind w:left="2160" w:hanging="360"/>
      </w:pPr>
      <w:rPr>
        <w:rFonts w:ascii="Arial" w:hAnsi="Arial" w:hint="default"/>
      </w:rPr>
    </w:lvl>
    <w:lvl w:ilvl="3" w:tplc="6D90D090" w:tentative="1">
      <w:start w:val="1"/>
      <w:numFmt w:val="bullet"/>
      <w:lvlText w:val="•"/>
      <w:lvlJc w:val="left"/>
      <w:pPr>
        <w:tabs>
          <w:tab w:val="num" w:pos="2880"/>
        </w:tabs>
        <w:ind w:left="2880" w:hanging="360"/>
      </w:pPr>
      <w:rPr>
        <w:rFonts w:ascii="Arial" w:hAnsi="Arial" w:hint="default"/>
      </w:rPr>
    </w:lvl>
    <w:lvl w:ilvl="4" w:tplc="A3DE0498" w:tentative="1">
      <w:start w:val="1"/>
      <w:numFmt w:val="bullet"/>
      <w:lvlText w:val="•"/>
      <w:lvlJc w:val="left"/>
      <w:pPr>
        <w:tabs>
          <w:tab w:val="num" w:pos="3600"/>
        </w:tabs>
        <w:ind w:left="3600" w:hanging="360"/>
      </w:pPr>
      <w:rPr>
        <w:rFonts w:ascii="Arial" w:hAnsi="Arial" w:hint="default"/>
      </w:rPr>
    </w:lvl>
    <w:lvl w:ilvl="5" w:tplc="9CC23C06" w:tentative="1">
      <w:start w:val="1"/>
      <w:numFmt w:val="bullet"/>
      <w:lvlText w:val="•"/>
      <w:lvlJc w:val="left"/>
      <w:pPr>
        <w:tabs>
          <w:tab w:val="num" w:pos="4320"/>
        </w:tabs>
        <w:ind w:left="4320" w:hanging="360"/>
      </w:pPr>
      <w:rPr>
        <w:rFonts w:ascii="Arial" w:hAnsi="Arial" w:hint="default"/>
      </w:rPr>
    </w:lvl>
    <w:lvl w:ilvl="6" w:tplc="293C405C" w:tentative="1">
      <w:start w:val="1"/>
      <w:numFmt w:val="bullet"/>
      <w:lvlText w:val="•"/>
      <w:lvlJc w:val="left"/>
      <w:pPr>
        <w:tabs>
          <w:tab w:val="num" w:pos="5040"/>
        </w:tabs>
        <w:ind w:left="5040" w:hanging="360"/>
      </w:pPr>
      <w:rPr>
        <w:rFonts w:ascii="Arial" w:hAnsi="Arial" w:hint="default"/>
      </w:rPr>
    </w:lvl>
    <w:lvl w:ilvl="7" w:tplc="69B83D70" w:tentative="1">
      <w:start w:val="1"/>
      <w:numFmt w:val="bullet"/>
      <w:lvlText w:val="•"/>
      <w:lvlJc w:val="left"/>
      <w:pPr>
        <w:tabs>
          <w:tab w:val="num" w:pos="5760"/>
        </w:tabs>
        <w:ind w:left="5760" w:hanging="360"/>
      </w:pPr>
      <w:rPr>
        <w:rFonts w:ascii="Arial" w:hAnsi="Arial" w:hint="default"/>
      </w:rPr>
    </w:lvl>
    <w:lvl w:ilvl="8" w:tplc="85AECA2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26922AA"/>
    <w:multiLevelType w:val="hybridMultilevel"/>
    <w:tmpl w:val="1F52E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3B44D0"/>
    <w:multiLevelType w:val="hybridMultilevel"/>
    <w:tmpl w:val="58CC1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665DF2"/>
    <w:multiLevelType w:val="hybridMultilevel"/>
    <w:tmpl w:val="D1AEA3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92794A"/>
    <w:multiLevelType w:val="hybridMultilevel"/>
    <w:tmpl w:val="A364B136"/>
    <w:lvl w:ilvl="0" w:tplc="D65E8326">
      <w:start w:val="1"/>
      <w:numFmt w:val="bullet"/>
      <w:lvlText w:val="•"/>
      <w:lvlJc w:val="left"/>
      <w:pPr>
        <w:tabs>
          <w:tab w:val="num" w:pos="720"/>
        </w:tabs>
        <w:ind w:left="720" w:hanging="360"/>
      </w:pPr>
      <w:rPr>
        <w:rFonts w:ascii="Arial" w:hAnsi="Arial" w:hint="default"/>
      </w:rPr>
    </w:lvl>
    <w:lvl w:ilvl="1" w:tplc="E22AEFF4" w:tentative="1">
      <w:start w:val="1"/>
      <w:numFmt w:val="bullet"/>
      <w:lvlText w:val="•"/>
      <w:lvlJc w:val="left"/>
      <w:pPr>
        <w:tabs>
          <w:tab w:val="num" w:pos="1440"/>
        </w:tabs>
        <w:ind w:left="1440" w:hanging="360"/>
      </w:pPr>
      <w:rPr>
        <w:rFonts w:ascii="Arial" w:hAnsi="Arial" w:hint="default"/>
      </w:rPr>
    </w:lvl>
    <w:lvl w:ilvl="2" w:tplc="E1CCFB5C" w:tentative="1">
      <w:start w:val="1"/>
      <w:numFmt w:val="bullet"/>
      <w:lvlText w:val="•"/>
      <w:lvlJc w:val="left"/>
      <w:pPr>
        <w:tabs>
          <w:tab w:val="num" w:pos="2160"/>
        </w:tabs>
        <w:ind w:left="2160" w:hanging="360"/>
      </w:pPr>
      <w:rPr>
        <w:rFonts w:ascii="Arial" w:hAnsi="Arial" w:hint="default"/>
      </w:rPr>
    </w:lvl>
    <w:lvl w:ilvl="3" w:tplc="A94C7B4C" w:tentative="1">
      <w:start w:val="1"/>
      <w:numFmt w:val="bullet"/>
      <w:lvlText w:val="•"/>
      <w:lvlJc w:val="left"/>
      <w:pPr>
        <w:tabs>
          <w:tab w:val="num" w:pos="2880"/>
        </w:tabs>
        <w:ind w:left="2880" w:hanging="360"/>
      </w:pPr>
      <w:rPr>
        <w:rFonts w:ascii="Arial" w:hAnsi="Arial" w:hint="default"/>
      </w:rPr>
    </w:lvl>
    <w:lvl w:ilvl="4" w:tplc="ABFC602C" w:tentative="1">
      <w:start w:val="1"/>
      <w:numFmt w:val="bullet"/>
      <w:lvlText w:val="•"/>
      <w:lvlJc w:val="left"/>
      <w:pPr>
        <w:tabs>
          <w:tab w:val="num" w:pos="3600"/>
        </w:tabs>
        <w:ind w:left="3600" w:hanging="360"/>
      </w:pPr>
      <w:rPr>
        <w:rFonts w:ascii="Arial" w:hAnsi="Arial" w:hint="default"/>
      </w:rPr>
    </w:lvl>
    <w:lvl w:ilvl="5" w:tplc="CD42ED2C" w:tentative="1">
      <w:start w:val="1"/>
      <w:numFmt w:val="bullet"/>
      <w:lvlText w:val="•"/>
      <w:lvlJc w:val="left"/>
      <w:pPr>
        <w:tabs>
          <w:tab w:val="num" w:pos="4320"/>
        </w:tabs>
        <w:ind w:left="4320" w:hanging="360"/>
      </w:pPr>
      <w:rPr>
        <w:rFonts w:ascii="Arial" w:hAnsi="Arial" w:hint="default"/>
      </w:rPr>
    </w:lvl>
    <w:lvl w:ilvl="6" w:tplc="46325F46" w:tentative="1">
      <w:start w:val="1"/>
      <w:numFmt w:val="bullet"/>
      <w:lvlText w:val="•"/>
      <w:lvlJc w:val="left"/>
      <w:pPr>
        <w:tabs>
          <w:tab w:val="num" w:pos="5040"/>
        </w:tabs>
        <w:ind w:left="5040" w:hanging="360"/>
      </w:pPr>
      <w:rPr>
        <w:rFonts w:ascii="Arial" w:hAnsi="Arial" w:hint="default"/>
      </w:rPr>
    </w:lvl>
    <w:lvl w:ilvl="7" w:tplc="8AD6D6B0" w:tentative="1">
      <w:start w:val="1"/>
      <w:numFmt w:val="bullet"/>
      <w:lvlText w:val="•"/>
      <w:lvlJc w:val="left"/>
      <w:pPr>
        <w:tabs>
          <w:tab w:val="num" w:pos="5760"/>
        </w:tabs>
        <w:ind w:left="5760" w:hanging="360"/>
      </w:pPr>
      <w:rPr>
        <w:rFonts w:ascii="Arial" w:hAnsi="Arial" w:hint="default"/>
      </w:rPr>
    </w:lvl>
    <w:lvl w:ilvl="8" w:tplc="CCC650E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911555A"/>
    <w:multiLevelType w:val="hybridMultilevel"/>
    <w:tmpl w:val="4AD8C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3075353">
    <w:abstractNumId w:val="0"/>
  </w:num>
  <w:num w:numId="2" w16cid:durableId="183053935">
    <w:abstractNumId w:val="4"/>
  </w:num>
  <w:num w:numId="3" w16cid:durableId="265966521">
    <w:abstractNumId w:val="7"/>
  </w:num>
  <w:num w:numId="4" w16cid:durableId="59136967">
    <w:abstractNumId w:val="3"/>
  </w:num>
  <w:num w:numId="5" w16cid:durableId="1006637137">
    <w:abstractNumId w:val="1"/>
  </w:num>
  <w:num w:numId="6" w16cid:durableId="1261068332">
    <w:abstractNumId w:val="5"/>
  </w:num>
  <w:num w:numId="7" w16cid:durableId="1647398183">
    <w:abstractNumId w:val="6"/>
  </w:num>
  <w:num w:numId="8" w16cid:durableId="1887612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7BE"/>
    <w:rsid w:val="000367BC"/>
    <w:rsid w:val="00052A0F"/>
    <w:rsid w:val="00095677"/>
    <w:rsid w:val="00095E42"/>
    <w:rsid w:val="000A2ED0"/>
    <w:rsid w:val="00102933"/>
    <w:rsid w:val="00110066"/>
    <w:rsid w:val="00111849"/>
    <w:rsid w:val="0012586E"/>
    <w:rsid w:val="00137D5D"/>
    <w:rsid w:val="001506C7"/>
    <w:rsid w:val="001600B9"/>
    <w:rsid w:val="00160404"/>
    <w:rsid w:val="001664C6"/>
    <w:rsid w:val="00175EA0"/>
    <w:rsid w:val="001919C7"/>
    <w:rsid w:val="00194689"/>
    <w:rsid w:val="001B5673"/>
    <w:rsid w:val="001B61DC"/>
    <w:rsid w:val="001C786A"/>
    <w:rsid w:val="001E6F0D"/>
    <w:rsid w:val="001F22D9"/>
    <w:rsid w:val="001F409D"/>
    <w:rsid w:val="00210936"/>
    <w:rsid w:val="00222513"/>
    <w:rsid w:val="002427FC"/>
    <w:rsid w:val="00243E1A"/>
    <w:rsid w:val="00253E13"/>
    <w:rsid w:val="00261E13"/>
    <w:rsid w:val="002749F0"/>
    <w:rsid w:val="002B25AD"/>
    <w:rsid w:val="002C1F7D"/>
    <w:rsid w:val="002C3C7A"/>
    <w:rsid w:val="002C70D3"/>
    <w:rsid w:val="002D6EB3"/>
    <w:rsid w:val="002E1FC1"/>
    <w:rsid w:val="002E266D"/>
    <w:rsid w:val="00307967"/>
    <w:rsid w:val="00312ABB"/>
    <w:rsid w:val="00330867"/>
    <w:rsid w:val="00333FC1"/>
    <w:rsid w:val="00337D27"/>
    <w:rsid w:val="003447B8"/>
    <w:rsid w:val="003916A6"/>
    <w:rsid w:val="00393C81"/>
    <w:rsid w:val="00395A30"/>
    <w:rsid w:val="003C6F35"/>
    <w:rsid w:val="003E221E"/>
    <w:rsid w:val="003E2AD4"/>
    <w:rsid w:val="003F0B3D"/>
    <w:rsid w:val="003F3F5B"/>
    <w:rsid w:val="00407C93"/>
    <w:rsid w:val="00453DC7"/>
    <w:rsid w:val="00461713"/>
    <w:rsid w:val="004668FF"/>
    <w:rsid w:val="004B56ED"/>
    <w:rsid w:val="004C10A6"/>
    <w:rsid w:val="004D1444"/>
    <w:rsid w:val="00523E59"/>
    <w:rsid w:val="00533C56"/>
    <w:rsid w:val="00535E83"/>
    <w:rsid w:val="00541308"/>
    <w:rsid w:val="0054386D"/>
    <w:rsid w:val="00550CB7"/>
    <w:rsid w:val="0057126A"/>
    <w:rsid w:val="005B13AD"/>
    <w:rsid w:val="00615B70"/>
    <w:rsid w:val="006205E4"/>
    <w:rsid w:val="00624293"/>
    <w:rsid w:val="00625B05"/>
    <w:rsid w:val="006742A6"/>
    <w:rsid w:val="006E45E3"/>
    <w:rsid w:val="007045F7"/>
    <w:rsid w:val="00707438"/>
    <w:rsid w:val="0070760F"/>
    <w:rsid w:val="00712861"/>
    <w:rsid w:val="00713B8C"/>
    <w:rsid w:val="00726F29"/>
    <w:rsid w:val="00754BB5"/>
    <w:rsid w:val="007D02F3"/>
    <w:rsid w:val="007F447B"/>
    <w:rsid w:val="007F5406"/>
    <w:rsid w:val="008137F4"/>
    <w:rsid w:val="00813E11"/>
    <w:rsid w:val="00814E40"/>
    <w:rsid w:val="00827AEF"/>
    <w:rsid w:val="0083289C"/>
    <w:rsid w:val="00843041"/>
    <w:rsid w:val="00850A9C"/>
    <w:rsid w:val="0085737E"/>
    <w:rsid w:val="00864918"/>
    <w:rsid w:val="008707F0"/>
    <w:rsid w:val="0088029D"/>
    <w:rsid w:val="00882F8C"/>
    <w:rsid w:val="00886C4C"/>
    <w:rsid w:val="008974F9"/>
    <w:rsid w:val="008A38F8"/>
    <w:rsid w:val="008B688E"/>
    <w:rsid w:val="008C0894"/>
    <w:rsid w:val="008D0C37"/>
    <w:rsid w:val="008D704E"/>
    <w:rsid w:val="008F423D"/>
    <w:rsid w:val="00915B4F"/>
    <w:rsid w:val="00925067"/>
    <w:rsid w:val="009430CF"/>
    <w:rsid w:val="00957260"/>
    <w:rsid w:val="0095789E"/>
    <w:rsid w:val="00960563"/>
    <w:rsid w:val="009760AC"/>
    <w:rsid w:val="009C36F1"/>
    <w:rsid w:val="009D66DA"/>
    <w:rsid w:val="009E7272"/>
    <w:rsid w:val="009F432D"/>
    <w:rsid w:val="009F4708"/>
    <w:rsid w:val="00A43031"/>
    <w:rsid w:val="00A807BE"/>
    <w:rsid w:val="00A841F7"/>
    <w:rsid w:val="00A868DC"/>
    <w:rsid w:val="00A9188B"/>
    <w:rsid w:val="00AD3B5D"/>
    <w:rsid w:val="00AD776F"/>
    <w:rsid w:val="00AF0C06"/>
    <w:rsid w:val="00B16B83"/>
    <w:rsid w:val="00B445B9"/>
    <w:rsid w:val="00B5234C"/>
    <w:rsid w:val="00B630D4"/>
    <w:rsid w:val="00B67153"/>
    <w:rsid w:val="00B74D05"/>
    <w:rsid w:val="00B93268"/>
    <w:rsid w:val="00BA1C60"/>
    <w:rsid w:val="00BD2821"/>
    <w:rsid w:val="00BD4349"/>
    <w:rsid w:val="00BD5FA0"/>
    <w:rsid w:val="00BE3C05"/>
    <w:rsid w:val="00BE6972"/>
    <w:rsid w:val="00C21910"/>
    <w:rsid w:val="00C53DA6"/>
    <w:rsid w:val="00C6197E"/>
    <w:rsid w:val="00C651F6"/>
    <w:rsid w:val="00C83726"/>
    <w:rsid w:val="00C86911"/>
    <w:rsid w:val="00CC1467"/>
    <w:rsid w:val="00CE18DA"/>
    <w:rsid w:val="00CE310C"/>
    <w:rsid w:val="00D10626"/>
    <w:rsid w:val="00D3151B"/>
    <w:rsid w:val="00D42E8F"/>
    <w:rsid w:val="00D61279"/>
    <w:rsid w:val="00D627A2"/>
    <w:rsid w:val="00D71F45"/>
    <w:rsid w:val="00D826B9"/>
    <w:rsid w:val="00D92E64"/>
    <w:rsid w:val="00DE12FE"/>
    <w:rsid w:val="00DF68ED"/>
    <w:rsid w:val="00E1087F"/>
    <w:rsid w:val="00E26786"/>
    <w:rsid w:val="00E3500C"/>
    <w:rsid w:val="00E8758C"/>
    <w:rsid w:val="00EA5CD7"/>
    <w:rsid w:val="00EB6BBA"/>
    <w:rsid w:val="00ED1326"/>
    <w:rsid w:val="00ED2735"/>
    <w:rsid w:val="00ED2CA8"/>
    <w:rsid w:val="00EE07A7"/>
    <w:rsid w:val="00EE2533"/>
    <w:rsid w:val="00F075FC"/>
    <w:rsid w:val="00F07EDD"/>
    <w:rsid w:val="00F16E9D"/>
    <w:rsid w:val="00F17D62"/>
    <w:rsid w:val="00F55FF6"/>
    <w:rsid w:val="00F64E3C"/>
    <w:rsid w:val="00F65A50"/>
    <w:rsid w:val="00F87177"/>
    <w:rsid w:val="00F91D1D"/>
    <w:rsid w:val="00FA55DB"/>
    <w:rsid w:val="00FA7BA3"/>
    <w:rsid w:val="00FC446A"/>
    <w:rsid w:val="00FC58E8"/>
    <w:rsid w:val="00FC5C34"/>
    <w:rsid w:val="00FC77C0"/>
    <w:rsid w:val="00FF13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1453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07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27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7B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27A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C1467"/>
    <w:pPr>
      <w:ind w:left="720"/>
      <w:contextualSpacing/>
    </w:pPr>
  </w:style>
  <w:style w:type="table" w:styleId="TableGrid">
    <w:name w:val="Table Grid"/>
    <w:basedOn w:val="TableNormal"/>
    <w:uiPriority w:val="39"/>
    <w:rsid w:val="00261E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205E4"/>
    <w:rPr>
      <w:color w:val="0563C1" w:themeColor="hyperlink"/>
      <w:u w:val="single"/>
    </w:rPr>
  </w:style>
  <w:style w:type="character" w:styleId="UnresolvedMention">
    <w:name w:val="Unresolved Mention"/>
    <w:basedOn w:val="DefaultParagraphFont"/>
    <w:uiPriority w:val="99"/>
    <w:semiHidden/>
    <w:unhideWhenUsed/>
    <w:rsid w:val="006205E4"/>
    <w:rPr>
      <w:color w:val="605E5C"/>
      <w:shd w:val="clear" w:color="auto" w:fill="E1DFDD"/>
    </w:rPr>
  </w:style>
  <w:style w:type="paragraph" w:styleId="TOCHeading">
    <w:name w:val="TOC Heading"/>
    <w:basedOn w:val="Heading1"/>
    <w:next w:val="Normal"/>
    <w:uiPriority w:val="39"/>
    <w:unhideWhenUsed/>
    <w:qFormat/>
    <w:rsid w:val="00AD3B5D"/>
    <w:pPr>
      <w:outlineLvl w:val="9"/>
    </w:pPr>
    <w:rPr>
      <w:lang w:val="en-US"/>
    </w:rPr>
  </w:style>
  <w:style w:type="paragraph" w:styleId="TOC1">
    <w:name w:val="toc 1"/>
    <w:basedOn w:val="Normal"/>
    <w:next w:val="Normal"/>
    <w:autoRedefine/>
    <w:uiPriority w:val="39"/>
    <w:unhideWhenUsed/>
    <w:rsid w:val="004C10A6"/>
    <w:pPr>
      <w:tabs>
        <w:tab w:val="right" w:leader="dot" w:pos="9016"/>
      </w:tabs>
      <w:spacing w:after="100"/>
    </w:pPr>
    <w:rPr>
      <w:noProof/>
    </w:rPr>
  </w:style>
  <w:style w:type="paragraph" w:styleId="TOC2">
    <w:name w:val="toc 2"/>
    <w:basedOn w:val="Normal"/>
    <w:next w:val="Normal"/>
    <w:autoRedefine/>
    <w:uiPriority w:val="39"/>
    <w:unhideWhenUsed/>
    <w:rsid w:val="00AD3B5D"/>
    <w:pPr>
      <w:spacing w:after="100"/>
      <w:ind w:left="220"/>
    </w:pPr>
  </w:style>
  <w:style w:type="character" w:styleId="CommentReference">
    <w:name w:val="annotation reference"/>
    <w:basedOn w:val="DefaultParagraphFont"/>
    <w:uiPriority w:val="99"/>
    <w:semiHidden/>
    <w:unhideWhenUsed/>
    <w:rsid w:val="00886C4C"/>
    <w:rPr>
      <w:sz w:val="16"/>
      <w:szCs w:val="16"/>
    </w:rPr>
  </w:style>
  <w:style w:type="paragraph" w:styleId="CommentText">
    <w:name w:val="annotation text"/>
    <w:basedOn w:val="Normal"/>
    <w:link w:val="CommentTextChar"/>
    <w:uiPriority w:val="99"/>
    <w:unhideWhenUsed/>
    <w:rsid w:val="00886C4C"/>
    <w:pPr>
      <w:spacing w:line="240" w:lineRule="auto"/>
    </w:pPr>
    <w:rPr>
      <w:sz w:val="20"/>
      <w:szCs w:val="20"/>
    </w:rPr>
  </w:style>
  <w:style w:type="character" w:customStyle="1" w:styleId="CommentTextChar">
    <w:name w:val="Comment Text Char"/>
    <w:basedOn w:val="DefaultParagraphFont"/>
    <w:link w:val="CommentText"/>
    <w:uiPriority w:val="99"/>
    <w:rsid w:val="00886C4C"/>
    <w:rPr>
      <w:sz w:val="20"/>
      <w:szCs w:val="20"/>
    </w:rPr>
  </w:style>
  <w:style w:type="paragraph" w:styleId="CommentSubject">
    <w:name w:val="annotation subject"/>
    <w:basedOn w:val="CommentText"/>
    <w:next w:val="CommentText"/>
    <w:link w:val="CommentSubjectChar"/>
    <w:uiPriority w:val="99"/>
    <w:semiHidden/>
    <w:unhideWhenUsed/>
    <w:rsid w:val="00886C4C"/>
    <w:rPr>
      <w:b/>
      <w:bCs/>
    </w:rPr>
  </w:style>
  <w:style w:type="character" w:customStyle="1" w:styleId="CommentSubjectChar">
    <w:name w:val="Comment Subject Char"/>
    <w:basedOn w:val="CommentTextChar"/>
    <w:link w:val="CommentSubject"/>
    <w:uiPriority w:val="99"/>
    <w:semiHidden/>
    <w:rsid w:val="00886C4C"/>
    <w:rPr>
      <w:b/>
      <w:bCs/>
      <w:sz w:val="20"/>
      <w:szCs w:val="20"/>
    </w:rPr>
  </w:style>
  <w:style w:type="paragraph" w:styleId="Header">
    <w:name w:val="header"/>
    <w:basedOn w:val="Normal"/>
    <w:link w:val="HeaderChar"/>
    <w:uiPriority w:val="99"/>
    <w:unhideWhenUsed/>
    <w:rsid w:val="00A918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88B"/>
  </w:style>
  <w:style w:type="paragraph" w:styleId="Footer">
    <w:name w:val="footer"/>
    <w:basedOn w:val="Normal"/>
    <w:link w:val="FooterChar"/>
    <w:uiPriority w:val="99"/>
    <w:unhideWhenUsed/>
    <w:rsid w:val="00A918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88B"/>
  </w:style>
  <w:style w:type="paragraph" w:styleId="Revision">
    <w:name w:val="Revision"/>
    <w:hidden/>
    <w:uiPriority w:val="99"/>
    <w:semiHidden/>
    <w:rsid w:val="00FC5C34"/>
    <w:pPr>
      <w:spacing w:after="0" w:line="240" w:lineRule="auto"/>
    </w:pPr>
  </w:style>
  <w:style w:type="paragraph" w:styleId="NoSpacing">
    <w:name w:val="No Spacing"/>
    <w:link w:val="NoSpacingChar"/>
    <w:uiPriority w:val="1"/>
    <w:qFormat/>
    <w:rsid w:val="004668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68F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803593">
      <w:bodyDiv w:val="1"/>
      <w:marLeft w:val="0"/>
      <w:marRight w:val="0"/>
      <w:marTop w:val="0"/>
      <w:marBottom w:val="0"/>
      <w:divBdr>
        <w:top w:val="none" w:sz="0" w:space="0" w:color="auto"/>
        <w:left w:val="none" w:sz="0" w:space="0" w:color="auto"/>
        <w:bottom w:val="none" w:sz="0" w:space="0" w:color="auto"/>
        <w:right w:val="none" w:sz="0" w:space="0" w:color="auto"/>
      </w:divBdr>
      <w:divsChild>
        <w:div w:id="1964921549">
          <w:marLeft w:val="360"/>
          <w:marRight w:val="0"/>
          <w:marTop w:val="200"/>
          <w:marBottom w:val="0"/>
          <w:divBdr>
            <w:top w:val="none" w:sz="0" w:space="0" w:color="auto"/>
            <w:left w:val="none" w:sz="0" w:space="0" w:color="auto"/>
            <w:bottom w:val="none" w:sz="0" w:space="0" w:color="auto"/>
            <w:right w:val="none" w:sz="0" w:space="0" w:color="auto"/>
          </w:divBdr>
        </w:div>
      </w:divsChild>
    </w:div>
    <w:div w:id="661128666">
      <w:bodyDiv w:val="1"/>
      <w:marLeft w:val="0"/>
      <w:marRight w:val="0"/>
      <w:marTop w:val="0"/>
      <w:marBottom w:val="0"/>
      <w:divBdr>
        <w:top w:val="none" w:sz="0" w:space="0" w:color="auto"/>
        <w:left w:val="none" w:sz="0" w:space="0" w:color="auto"/>
        <w:bottom w:val="none" w:sz="0" w:space="0" w:color="auto"/>
        <w:right w:val="none" w:sz="0" w:space="0" w:color="auto"/>
      </w:divBdr>
      <w:divsChild>
        <w:div w:id="477654458">
          <w:marLeft w:val="360"/>
          <w:marRight w:val="0"/>
          <w:marTop w:val="200"/>
          <w:marBottom w:val="0"/>
          <w:divBdr>
            <w:top w:val="none" w:sz="0" w:space="0" w:color="auto"/>
            <w:left w:val="none" w:sz="0" w:space="0" w:color="auto"/>
            <w:bottom w:val="none" w:sz="0" w:space="0" w:color="auto"/>
            <w:right w:val="none" w:sz="0" w:space="0" w:color="auto"/>
          </w:divBdr>
        </w:div>
      </w:divsChild>
    </w:div>
    <w:div w:id="1476726191">
      <w:bodyDiv w:val="1"/>
      <w:marLeft w:val="0"/>
      <w:marRight w:val="0"/>
      <w:marTop w:val="0"/>
      <w:marBottom w:val="0"/>
      <w:divBdr>
        <w:top w:val="none" w:sz="0" w:space="0" w:color="auto"/>
        <w:left w:val="none" w:sz="0" w:space="0" w:color="auto"/>
        <w:bottom w:val="none" w:sz="0" w:space="0" w:color="auto"/>
        <w:right w:val="none" w:sz="0" w:space="0" w:color="auto"/>
      </w:divBdr>
    </w:div>
    <w:div w:id="1524051791">
      <w:bodyDiv w:val="1"/>
      <w:marLeft w:val="0"/>
      <w:marRight w:val="0"/>
      <w:marTop w:val="0"/>
      <w:marBottom w:val="0"/>
      <w:divBdr>
        <w:top w:val="none" w:sz="0" w:space="0" w:color="auto"/>
        <w:left w:val="none" w:sz="0" w:space="0" w:color="auto"/>
        <w:bottom w:val="none" w:sz="0" w:space="0" w:color="auto"/>
        <w:right w:val="none" w:sz="0" w:space="0" w:color="auto"/>
      </w:divBdr>
      <w:divsChild>
        <w:div w:id="14616948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wales.nhs.uk/sites3/documents/254/50%20years%20of%20the%20NHS%20in%20Wales.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avuhb.nhs.wales/files/publications/cardiff-and-vale-uhb-digital-strategy/" TargetMode="External"/><Relationship Id="rId5" Type="http://schemas.openxmlformats.org/officeDocument/2006/relationships/settings" Target="settings.xml"/><Relationship Id="rId10" Type="http://schemas.openxmlformats.org/officeDocument/2006/relationships/hyperlink" Target="https://www.leftfutures.org/2014/04/dont-believe-camerons-hype-the-welsh-nhs-has-much-to-teach-the-english/"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has analysed the knowledge management processes that are implemented within a hospital setting in Wales, critically assessing the effectiveness of the processes and how organisations in the health sector have adapted to challenging conditions. Outlining a brief history of the Welsh hospital sector, before focusing on the Cardiff and Vale University health board specifically. From analysis of the organisation’s strategy, much of the focus over the past five years has been to transition the organisation to a digitally focused business model, which involves the use of a centralised digital hub that is used for communication and educational material. Using the KMVC and SECI models, identifying that whilst this approach is extremely effective for explicit knowledge creation and transfer, the switch towards digital may detrimentally impact tacit knowledge transfer due to a reduction in socialisation. On analysis of the support systems, as well as the internal resources of the organisation, identified the most valuable resource as the skilled and specialist workforce, which attracts patients from outside their geographical region. The report concluded by conducting a SWOT analysis and developing from this noted some recommendations.                                                                                1 Strengths of the organisation are the specialist skills within their large workforce, which should be leveraged to capitalise on the opportunity of further developing their expertise and developing their young workforce, ensuring that this is a sustainable competitive advantage.                                                   2. Ensure the weakness of tacit knowledge transfer is addressed, as this is the most important aspect to achieving the self-motivated creativity outlined by Quinn (1993), which is a crucial component of creating specialist knowledge. To do this, the organisation should seek to ensure that they leverage the knowledge of their specialist employees to deliver high-quality.     Recommended strategy                                                                      1. Introduce in person masterclasses from specialist employees                                                                      2. Produce supporting materials on the internal intranet, while making the specialist contactable through the internal communication system                                                                             3. Create message boards to encourage communication and questions, which will enhance internal collaboration.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14770C-43A4-4D64-A547-608CBCD6E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3975</Words>
  <Characters>22659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A critical analysis report of Knowledge Management within the NHS Hospital Sector in Wales</vt:lpstr>
    </vt:vector>
  </TitlesOfParts>
  <Company/>
  <LinksUpToDate>false</LinksUpToDate>
  <CharactersWithSpaces>26581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report of Knowledge Management within the NHS Hospital Sector in Wales</dc:title>
  <dc:subject/>
  <dc:creator/>
  <cp:keywords/>
  <dc:description/>
  <cp:lastModifiedBy/>
  <cp:revision>1</cp:revision>
  <dcterms:created xsi:type="dcterms:W3CDTF">2022-07-05T13:27:00Z</dcterms:created>
  <dcterms:modified xsi:type="dcterms:W3CDTF">2022-07-06T09:12:00Z</dcterms:modified>
  <cp:category>Friday 8th July 2022</cp:category>
</cp:coreProperties>
</file>