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282D3" w14:textId="65C6B615" w:rsidR="0046522B" w:rsidRDefault="00F7052A" w:rsidP="00F7052A">
      <w:r>
        <w:t>Module name:</w:t>
      </w:r>
      <w:r w:rsidR="00DA093C">
        <w:t xml:space="preserve"> </w:t>
      </w:r>
      <w:r w:rsidR="00DA093C" w:rsidRPr="00DA093C">
        <w:t xml:space="preserve">Strategic Management and Sustainability </w:t>
      </w:r>
      <w:r w:rsidR="007B2A8C">
        <w:t xml:space="preserve"> </w:t>
      </w:r>
    </w:p>
    <w:p w14:paraId="37BC54F9" w14:textId="6A9BD86B" w:rsidR="00F7052A" w:rsidRDefault="00F7052A" w:rsidP="00F7052A">
      <w:r>
        <w:t>Module code:</w:t>
      </w:r>
      <w:r w:rsidR="007B2A8C">
        <w:t xml:space="preserve"> </w:t>
      </w:r>
      <w:r w:rsidR="007B2A8C" w:rsidRPr="007B2A8C">
        <w:t xml:space="preserve">LCBB6015 </w:t>
      </w:r>
    </w:p>
    <w:p w14:paraId="4C655705" w14:textId="44CFD748" w:rsidR="00F7052A" w:rsidRDefault="001E0083" w:rsidP="00F7052A">
      <w:r>
        <w:t>Student name:</w:t>
      </w:r>
      <w:r w:rsidR="00107044">
        <w:t xml:space="preserve"> Dragos Marian Piron</w:t>
      </w:r>
    </w:p>
    <w:p w14:paraId="4F47CF87" w14:textId="36E84971" w:rsidR="001E0083" w:rsidRDefault="001E0083" w:rsidP="00F7052A">
      <w:r>
        <w:t xml:space="preserve">Student </w:t>
      </w:r>
      <w:r w:rsidR="005A7155">
        <w:t>number:</w:t>
      </w:r>
      <w:r w:rsidR="00107044">
        <w:t xml:space="preserve"> 2215965</w:t>
      </w:r>
    </w:p>
    <w:p w14:paraId="5352B2DB" w14:textId="26738B13" w:rsidR="005A7155" w:rsidRDefault="005A7155" w:rsidP="00F7052A">
      <w:r>
        <w:t>Lecturer name:</w:t>
      </w:r>
      <w:r w:rsidR="00107044">
        <w:t xml:space="preserve"> </w:t>
      </w:r>
      <w:r w:rsidR="007B2A8C">
        <w:t>Dr.</w:t>
      </w:r>
      <w:r w:rsidR="006D37FE" w:rsidRPr="006D37FE">
        <w:t xml:space="preserve"> Nerys Dosseh </w:t>
      </w:r>
    </w:p>
    <w:p w14:paraId="29F4608D" w14:textId="4F405754" w:rsidR="0046522B" w:rsidRDefault="0046522B" w:rsidP="0025377F">
      <w:pPr>
        <w:rPr>
          <w:rFonts w:asciiTheme="majorHAnsi" w:eastAsiaTheme="majorEastAsia" w:hAnsiTheme="majorHAnsi" w:cstheme="majorBidi"/>
          <w:color w:val="0F4761" w:themeColor="accent1" w:themeShade="BF"/>
          <w:kern w:val="0"/>
          <w:sz w:val="32"/>
          <w:szCs w:val="32"/>
          <w:lang w:eastAsia="en-GB"/>
          <w14:ligatures w14:val="none"/>
        </w:rPr>
      </w:pPr>
      <w:r>
        <w:br w:type="page"/>
      </w:r>
    </w:p>
    <w:sdt>
      <w:sdtPr>
        <w:id w:val="-35257046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36351C9" w14:textId="0551B0B2" w:rsidR="0046522B" w:rsidRDefault="0046522B">
          <w:pPr>
            <w:pStyle w:val="TOCHeading"/>
          </w:pPr>
          <w:r>
            <w:t>Contents</w:t>
          </w:r>
        </w:p>
        <w:p w14:paraId="28E85AF6" w14:textId="682CAE58" w:rsidR="0046522B" w:rsidRDefault="0046522B">
          <w:pPr>
            <w:pStyle w:val="TOC1"/>
            <w:tabs>
              <w:tab w:val="right" w:leader="dot" w:pos="9016"/>
            </w:tabs>
            <w:rPr>
              <w:noProof/>
            </w:rPr>
          </w:pPr>
          <w:r>
            <w:fldChar w:fldCharType="begin"/>
          </w:r>
          <w:r>
            <w:instrText xml:space="preserve"> TOC \o "1-3" \h \z \u </w:instrText>
          </w:r>
          <w:r>
            <w:fldChar w:fldCharType="separate"/>
          </w:r>
          <w:hyperlink w:anchor="_Toc224739570" w:history="1">
            <w:r w:rsidRPr="00B20388">
              <w:rPr>
                <w:rStyle w:val="Hyperlink"/>
                <w:noProof/>
              </w:rPr>
              <w:t>Introduction</w:t>
            </w:r>
            <w:r>
              <w:rPr>
                <w:noProof/>
                <w:webHidden/>
              </w:rPr>
              <w:tab/>
            </w:r>
            <w:r>
              <w:rPr>
                <w:noProof/>
                <w:webHidden/>
              </w:rPr>
              <w:fldChar w:fldCharType="begin"/>
            </w:r>
            <w:r>
              <w:rPr>
                <w:noProof/>
                <w:webHidden/>
              </w:rPr>
              <w:instrText xml:space="preserve"> PAGEREF _Toc224739570 \h </w:instrText>
            </w:r>
            <w:r>
              <w:rPr>
                <w:noProof/>
                <w:webHidden/>
              </w:rPr>
            </w:r>
            <w:r>
              <w:rPr>
                <w:noProof/>
                <w:webHidden/>
              </w:rPr>
              <w:fldChar w:fldCharType="separate"/>
            </w:r>
            <w:r>
              <w:rPr>
                <w:noProof/>
                <w:webHidden/>
              </w:rPr>
              <w:t>2</w:t>
            </w:r>
            <w:r>
              <w:rPr>
                <w:noProof/>
                <w:webHidden/>
              </w:rPr>
              <w:fldChar w:fldCharType="end"/>
            </w:r>
          </w:hyperlink>
        </w:p>
        <w:p w14:paraId="74F647B6" w14:textId="6C02E88A" w:rsidR="0046522B" w:rsidRDefault="0046522B">
          <w:pPr>
            <w:pStyle w:val="TOC1"/>
            <w:tabs>
              <w:tab w:val="right" w:leader="dot" w:pos="9016"/>
            </w:tabs>
            <w:rPr>
              <w:noProof/>
            </w:rPr>
          </w:pPr>
          <w:hyperlink w:anchor="_Toc224739571" w:history="1">
            <w:r w:rsidRPr="00B20388">
              <w:rPr>
                <w:rStyle w:val="Hyperlink"/>
                <w:noProof/>
              </w:rPr>
              <w:t>Company background</w:t>
            </w:r>
            <w:r>
              <w:rPr>
                <w:noProof/>
                <w:webHidden/>
              </w:rPr>
              <w:tab/>
            </w:r>
            <w:r>
              <w:rPr>
                <w:noProof/>
                <w:webHidden/>
              </w:rPr>
              <w:fldChar w:fldCharType="begin"/>
            </w:r>
            <w:r>
              <w:rPr>
                <w:noProof/>
                <w:webHidden/>
              </w:rPr>
              <w:instrText xml:space="preserve"> PAGEREF _Toc224739571 \h </w:instrText>
            </w:r>
            <w:r>
              <w:rPr>
                <w:noProof/>
                <w:webHidden/>
              </w:rPr>
            </w:r>
            <w:r>
              <w:rPr>
                <w:noProof/>
                <w:webHidden/>
              </w:rPr>
              <w:fldChar w:fldCharType="separate"/>
            </w:r>
            <w:r>
              <w:rPr>
                <w:noProof/>
                <w:webHidden/>
              </w:rPr>
              <w:t>2</w:t>
            </w:r>
            <w:r>
              <w:rPr>
                <w:noProof/>
                <w:webHidden/>
              </w:rPr>
              <w:fldChar w:fldCharType="end"/>
            </w:r>
          </w:hyperlink>
        </w:p>
        <w:p w14:paraId="272A01BC" w14:textId="7F642DE3" w:rsidR="0046522B" w:rsidRDefault="0046522B">
          <w:pPr>
            <w:pStyle w:val="TOC1"/>
            <w:tabs>
              <w:tab w:val="right" w:leader="dot" w:pos="9016"/>
            </w:tabs>
            <w:rPr>
              <w:noProof/>
            </w:rPr>
          </w:pPr>
          <w:hyperlink w:anchor="_Toc224739572" w:history="1">
            <w:r w:rsidRPr="00B20388">
              <w:rPr>
                <w:rStyle w:val="Hyperlink"/>
                <w:noProof/>
              </w:rPr>
              <w:t>External factors: PASTLE analysis</w:t>
            </w:r>
            <w:r>
              <w:rPr>
                <w:noProof/>
                <w:webHidden/>
              </w:rPr>
              <w:tab/>
            </w:r>
            <w:r>
              <w:rPr>
                <w:noProof/>
                <w:webHidden/>
              </w:rPr>
              <w:fldChar w:fldCharType="begin"/>
            </w:r>
            <w:r>
              <w:rPr>
                <w:noProof/>
                <w:webHidden/>
              </w:rPr>
              <w:instrText xml:space="preserve"> PAGEREF _Toc224739572 \h </w:instrText>
            </w:r>
            <w:r>
              <w:rPr>
                <w:noProof/>
                <w:webHidden/>
              </w:rPr>
            </w:r>
            <w:r>
              <w:rPr>
                <w:noProof/>
                <w:webHidden/>
              </w:rPr>
              <w:fldChar w:fldCharType="separate"/>
            </w:r>
            <w:r>
              <w:rPr>
                <w:noProof/>
                <w:webHidden/>
              </w:rPr>
              <w:t>3</w:t>
            </w:r>
            <w:r>
              <w:rPr>
                <w:noProof/>
                <w:webHidden/>
              </w:rPr>
              <w:fldChar w:fldCharType="end"/>
            </w:r>
          </w:hyperlink>
        </w:p>
        <w:p w14:paraId="11916370" w14:textId="00E77B26" w:rsidR="0046522B" w:rsidRDefault="0046522B">
          <w:pPr>
            <w:pStyle w:val="TOC2"/>
            <w:tabs>
              <w:tab w:val="right" w:leader="dot" w:pos="9016"/>
            </w:tabs>
            <w:rPr>
              <w:noProof/>
            </w:rPr>
          </w:pPr>
          <w:hyperlink w:anchor="_Toc224739573" w:history="1">
            <w:r w:rsidRPr="00B20388">
              <w:rPr>
                <w:rStyle w:val="Hyperlink"/>
                <w:noProof/>
              </w:rPr>
              <w:t>Political:</w:t>
            </w:r>
            <w:r>
              <w:rPr>
                <w:noProof/>
                <w:webHidden/>
              </w:rPr>
              <w:tab/>
            </w:r>
            <w:r>
              <w:rPr>
                <w:noProof/>
                <w:webHidden/>
              </w:rPr>
              <w:fldChar w:fldCharType="begin"/>
            </w:r>
            <w:r>
              <w:rPr>
                <w:noProof/>
                <w:webHidden/>
              </w:rPr>
              <w:instrText xml:space="preserve"> PAGEREF _Toc224739573 \h </w:instrText>
            </w:r>
            <w:r>
              <w:rPr>
                <w:noProof/>
                <w:webHidden/>
              </w:rPr>
            </w:r>
            <w:r>
              <w:rPr>
                <w:noProof/>
                <w:webHidden/>
              </w:rPr>
              <w:fldChar w:fldCharType="separate"/>
            </w:r>
            <w:r>
              <w:rPr>
                <w:noProof/>
                <w:webHidden/>
              </w:rPr>
              <w:t>4</w:t>
            </w:r>
            <w:r>
              <w:rPr>
                <w:noProof/>
                <w:webHidden/>
              </w:rPr>
              <w:fldChar w:fldCharType="end"/>
            </w:r>
          </w:hyperlink>
        </w:p>
        <w:p w14:paraId="11A086DF" w14:textId="0CE5793D" w:rsidR="0046522B" w:rsidRDefault="0046522B">
          <w:pPr>
            <w:pStyle w:val="TOC2"/>
            <w:tabs>
              <w:tab w:val="right" w:leader="dot" w:pos="9016"/>
            </w:tabs>
            <w:rPr>
              <w:noProof/>
            </w:rPr>
          </w:pPr>
          <w:hyperlink w:anchor="_Toc224739574" w:history="1">
            <w:r w:rsidRPr="00B20388">
              <w:rPr>
                <w:rStyle w:val="Hyperlink"/>
                <w:noProof/>
              </w:rPr>
              <w:t>Economical:</w:t>
            </w:r>
            <w:r>
              <w:rPr>
                <w:noProof/>
                <w:webHidden/>
              </w:rPr>
              <w:tab/>
            </w:r>
            <w:r>
              <w:rPr>
                <w:noProof/>
                <w:webHidden/>
              </w:rPr>
              <w:fldChar w:fldCharType="begin"/>
            </w:r>
            <w:r>
              <w:rPr>
                <w:noProof/>
                <w:webHidden/>
              </w:rPr>
              <w:instrText xml:space="preserve"> PAGEREF _Toc224739574 \h </w:instrText>
            </w:r>
            <w:r>
              <w:rPr>
                <w:noProof/>
                <w:webHidden/>
              </w:rPr>
            </w:r>
            <w:r>
              <w:rPr>
                <w:noProof/>
                <w:webHidden/>
              </w:rPr>
              <w:fldChar w:fldCharType="separate"/>
            </w:r>
            <w:r>
              <w:rPr>
                <w:noProof/>
                <w:webHidden/>
              </w:rPr>
              <w:t>4</w:t>
            </w:r>
            <w:r>
              <w:rPr>
                <w:noProof/>
                <w:webHidden/>
              </w:rPr>
              <w:fldChar w:fldCharType="end"/>
            </w:r>
          </w:hyperlink>
        </w:p>
        <w:p w14:paraId="5662E1EA" w14:textId="0065A791" w:rsidR="0046522B" w:rsidRDefault="0046522B">
          <w:pPr>
            <w:pStyle w:val="TOC2"/>
            <w:tabs>
              <w:tab w:val="right" w:leader="dot" w:pos="9016"/>
            </w:tabs>
            <w:rPr>
              <w:noProof/>
            </w:rPr>
          </w:pPr>
          <w:hyperlink w:anchor="_Toc224739575" w:history="1">
            <w:r w:rsidRPr="00B20388">
              <w:rPr>
                <w:rStyle w:val="Hyperlink"/>
                <w:noProof/>
              </w:rPr>
              <w:t>Social:</w:t>
            </w:r>
            <w:r>
              <w:rPr>
                <w:noProof/>
                <w:webHidden/>
              </w:rPr>
              <w:tab/>
            </w:r>
            <w:r>
              <w:rPr>
                <w:noProof/>
                <w:webHidden/>
              </w:rPr>
              <w:fldChar w:fldCharType="begin"/>
            </w:r>
            <w:r>
              <w:rPr>
                <w:noProof/>
                <w:webHidden/>
              </w:rPr>
              <w:instrText xml:space="preserve"> PAGEREF _Toc224739575 \h </w:instrText>
            </w:r>
            <w:r>
              <w:rPr>
                <w:noProof/>
                <w:webHidden/>
              </w:rPr>
            </w:r>
            <w:r>
              <w:rPr>
                <w:noProof/>
                <w:webHidden/>
              </w:rPr>
              <w:fldChar w:fldCharType="separate"/>
            </w:r>
            <w:r>
              <w:rPr>
                <w:noProof/>
                <w:webHidden/>
              </w:rPr>
              <w:t>4</w:t>
            </w:r>
            <w:r>
              <w:rPr>
                <w:noProof/>
                <w:webHidden/>
              </w:rPr>
              <w:fldChar w:fldCharType="end"/>
            </w:r>
          </w:hyperlink>
        </w:p>
        <w:p w14:paraId="2A81C419" w14:textId="053ADEEB" w:rsidR="0046522B" w:rsidRDefault="0046522B">
          <w:pPr>
            <w:pStyle w:val="TOC2"/>
            <w:tabs>
              <w:tab w:val="right" w:leader="dot" w:pos="9016"/>
            </w:tabs>
            <w:rPr>
              <w:noProof/>
            </w:rPr>
          </w:pPr>
          <w:hyperlink w:anchor="_Toc224739576" w:history="1">
            <w:r w:rsidRPr="00B20388">
              <w:rPr>
                <w:rStyle w:val="Hyperlink"/>
                <w:noProof/>
              </w:rPr>
              <w:t>Technological:</w:t>
            </w:r>
            <w:r>
              <w:rPr>
                <w:noProof/>
                <w:webHidden/>
              </w:rPr>
              <w:tab/>
            </w:r>
            <w:r>
              <w:rPr>
                <w:noProof/>
                <w:webHidden/>
              </w:rPr>
              <w:fldChar w:fldCharType="begin"/>
            </w:r>
            <w:r>
              <w:rPr>
                <w:noProof/>
                <w:webHidden/>
              </w:rPr>
              <w:instrText xml:space="preserve"> PAGEREF _Toc224739576 \h </w:instrText>
            </w:r>
            <w:r>
              <w:rPr>
                <w:noProof/>
                <w:webHidden/>
              </w:rPr>
            </w:r>
            <w:r>
              <w:rPr>
                <w:noProof/>
                <w:webHidden/>
              </w:rPr>
              <w:fldChar w:fldCharType="separate"/>
            </w:r>
            <w:r>
              <w:rPr>
                <w:noProof/>
                <w:webHidden/>
              </w:rPr>
              <w:t>4</w:t>
            </w:r>
            <w:r>
              <w:rPr>
                <w:noProof/>
                <w:webHidden/>
              </w:rPr>
              <w:fldChar w:fldCharType="end"/>
            </w:r>
          </w:hyperlink>
        </w:p>
        <w:p w14:paraId="4F4CB0BF" w14:textId="4B75663F" w:rsidR="0046522B" w:rsidRDefault="0046522B">
          <w:pPr>
            <w:pStyle w:val="TOC2"/>
            <w:tabs>
              <w:tab w:val="right" w:leader="dot" w:pos="9016"/>
            </w:tabs>
            <w:rPr>
              <w:noProof/>
            </w:rPr>
          </w:pPr>
          <w:hyperlink w:anchor="_Toc224739577" w:history="1">
            <w:r w:rsidRPr="00B20388">
              <w:rPr>
                <w:rStyle w:val="Hyperlink"/>
                <w:noProof/>
              </w:rPr>
              <w:t>Legal:</w:t>
            </w:r>
            <w:r>
              <w:rPr>
                <w:noProof/>
                <w:webHidden/>
              </w:rPr>
              <w:tab/>
            </w:r>
            <w:r>
              <w:rPr>
                <w:noProof/>
                <w:webHidden/>
              </w:rPr>
              <w:fldChar w:fldCharType="begin"/>
            </w:r>
            <w:r>
              <w:rPr>
                <w:noProof/>
                <w:webHidden/>
              </w:rPr>
              <w:instrText xml:space="preserve"> PAGEREF _Toc224739577 \h </w:instrText>
            </w:r>
            <w:r>
              <w:rPr>
                <w:noProof/>
                <w:webHidden/>
              </w:rPr>
            </w:r>
            <w:r>
              <w:rPr>
                <w:noProof/>
                <w:webHidden/>
              </w:rPr>
              <w:fldChar w:fldCharType="separate"/>
            </w:r>
            <w:r>
              <w:rPr>
                <w:noProof/>
                <w:webHidden/>
              </w:rPr>
              <w:t>4</w:t>
            </w:r>
            <w:r>
              <w:rPr>
                <w:noProof/>
                <w:webHidden/>
              </w:rPr>
              <w:fldChar w:fldCharType="end"/>
            </w:r>
          </w:hyperlink>
        </w:p>
        <w:p w14:paraId="4C257C08" w14:textId="456B383E" w:rsidR="0046522B" w:rsidRDefault="0046522B">
          <w:pPr>
            <w:pStyle w:val="TOC2"/>
            <w:tabs>
              <w:tab w:val="right" w:leader="dot" w:pos="9016"/>
            </w:tabs>
            <w:rPr>
              <w:noProof/>
            </w:rPr>
          </w:pPr>
          <w:hyperlink w:anchor="_Toc224739578" w:history="1">
            <w:r w:rsidRPr="00B20388">
              <w:rPr>
                <w:rStyle w:val="Hyperlink"/>
                <w:noProof/>
              </w:rPr>
              <w:t>Environmental:</w:t>
            </w:r>
            <w:r>
              <w:rPr>
                <w:noProof/>
                <w:webHidden/>
              </w:rPr>
              <w:tab/>
            </w:r>
            <w:r>
              <w:rPr>
                <w:noProof/>
                <w:webHidden/>
              </w:rPr>
              <w:fldChar w:fldCharType="begin"/>
            </w:r>
            <w:r>
              <w:rPr>
                <w:noProof/>
                <w:webHidden/>
              </w:rPr>
              <w:instrText xml:space="preserve"> PAGEREF _Toc224739578 \h </w:instrText>
            </w:r>
            <w:r>
              <w:rPr>
                <w:noProof/>
                <w:webHidden/>
              </w:rPr>
            </w:r>
            <w:r>
              <w:rPr>
                <w:noProof/>
                <w:webHidden/>
              </w:rPr>
              <w:fldChar w:fldCharType="separate"/>
            </w:r>
            <w:r>
              <w:rPr>
                <w:noProof/>
                <w:webHidden/>
              </w:rPr>
              <w:t>4</w:t>
            </w:r>
            <w:r>
              <w:rPr>
                <w:noProof/>
                <w:webHidden/>
              </w:rPr>
              <w:fldChar w:fldCharType="end"/>
            </w:r>
          </w:hyperlink>
        </w:p>
        <w:p w14:paraId="55142748" w14:textId="2F9FAF74" w:rsidR="0046522B" w:rsidRDefault="0046522B">
          <w:pPr>
            <w:pStyle w:val="TOC1"/>
            <w:tabs>
              <w:tab w:val="right" w:leader="dot" w:pos="9016"/>
            </w:tabs>
            <w:rPr>
              <w:noProof/>
            </w:rPr>
          </w:pPr>
          <w:hyperlink w:anchor="_Toc224739579" w:history="1">
            <w:r w:rsidRPr="00B20388">
              <w:rPr>
                <w:rStyle w:val="Hyperlink"/>
                <w:noProof/>
              </w:rPr>
              <w:t>Porter’s Five Forces</w:t>
            </w:r>
            <w:r>
              <w:rPr>
                <w:noProof/>
                <w:webHidden/>
              </w:rPr>
              <w:tab/>
            </w:r>
            <w:r>
              <w:rPr>
                <w:noProof/>
                <w:webHidden/>
              </w:rPr>
              <w:fldChar w:fldCharType="begin"/>
            </w:r>
            <w:r>
              <w:rPr>
                <w:noProof/>
                <w:webHidden/>
              </w:rPr>
              <w:instrText xml:space="preserve"> PAGEREF _Toc224739579 \h </w:instrText>
            </w:r>
            <w:r>
              <w:rPr>
                <w:noProof/>
                <w:webHidden/>
              </w:rPr>
            </w:r>
            <w:r>
              <w:rPr>
                <w:noProof/>
                <w:webHidden/>
              </w:rPr>
              <w:fldChar w:fldCharType="separate"/>
            </w:r>
            <w:r>
              <w:rPr>
                <w:noProof/>
                <w:webHidden/>
              </w:rPr>
              <w:t>5</w:t>
            </w:r>
            <w:r>
              <w:rPr>
                <w:noProof/>
                <w:webHidden/>
              </w:rPr>
              <w:fldChar w:fldCharType="end"/>
            </w:r>
          </w:hyperlink>
        </w:p>
        <w:p w14:paraId="0133CFF9" w14:textId="4BE50075" w:rsidR="0046522B" w:rsidRDefault="0046522B">
          <w:pPr>
            <w:pStyle w:val="TOC2"/>
            <w:tabs>
              <w:tab w:val="right" w:leader="dot" w:pos="9016"/>
            </w:tabs>
            <w:rPr>
              <w:noProof/>
            </w:rPr>
          </w:pPr>
          <w:hyperlink w:anchor="_Toc224739580" w:history="1">
            <w:r w:rsidRPr="00B20388">
              <w:rPr>
                <w:rStyle w:val="Hyperlink"/>
                <w:noProof/>
              </w:rPr>
              <w:t>Rivalry among existing firms</w:t>
            </w:r>
            <w:r>
              <w:rPr>
                <w:noProof/>
                <w:webHidden/>
              </w:rPr>
              <w:tab/>
            </w:r>
            <w:r>
              <w:rPr>
                <w:noProof/>
                <w:webHidden/>
              </w:rPr>
              <w:fldChar w:fldCharType="begin"/>
            </w:r>
            <w:r>
              <w:rPr>
                <w:noProof/>
                <w:webHidden/>
              </w:rPr>
              <w:instrText xml:space="preserve"> PAGEREF _Toc224739580 \h </w:instrText>
            </w:r>
            <w:r>
              <w:rPr>
                <w:noProof/>
                <w:webHidden/>
              </w:rPr>
            </w:r>
            <w:r>
              <w:rPr>
                <w:noProof/>
                <w:webHidden/>
              </w:rPr>
              <w:fldChar w:fldCharType="separate"/>
            </w:r>
            <w:r>
              <w:rPr>
                <w:noProof/>
                <w:webHidden/>
              </w:rPr>
              <w:t>5</w:t>
            </w:r>
            <w:r>
              <w:rPr>
                <w:noProof/>
                <w:webHidden/>
              </w:rPr>
              <w:fldChar w:fldCharType="end"/>
            </w:r>
          </w:hyperlink>
        </w:p>
        <w:p w14:paraId="3BBE3CA1" w14:textId="216B0566" w:rsidR="0046522B" w:rsidRDefault="0046522B">
          <w:pPr>
            <w:pStyle w:val="TOC2"/>
            <w:tabs>
              <w:tab w:val="right" w:leader="dot" w:pos="9016"/>
            </w:tabs>
            <w:rPr>
              <w:noProof/>
            </w:rPr>
          </w:pPr>
          <w:hyperlink w:anchor="_Toc224739581" w:history="1">
            <w:r w:rsidRPr="00B20388">
              <w:rPr>
                <w:rStyle w:val="Hyperlink"/>
                <w:noProof/>
              </w:rPr>
              <w:t>Threat of new entrants</w:t>
            </w:r>
            <w:r>
              <w:rPr>
                <w:noProof/>
                <w:webHidden/>
              </w:rPr>
              <w:tab/>
            </w:r>
            <w:r>
              <w:rPr>
                <w:noProof/>
                <w:webHidden/>
              </w:rPr>
              <w:fldChar w:fldCharType="begin"/>
            </w:r>
            <w:r>
              <w:rPr>
                <w:noProof/>
                <w:webHidden/>
              </w:rPr>
              <w:instrText xml:space="preserve"> PAGEREF _Toc224739581 \h </w:instrText>
            </w:r>
            <w:r>
              <w:rPr>
                <w:noProof/>
                <w:webHidden/>
              </w:rPr>
            </w:r>
            <w:r>
              <w:rPr>
                <w:noProof/>
                <w:webHidden/>
              </w:rPr>
              <w:fldChar w:fldCharType="separate"/>
            </w:r>
            <w:r>
              <w:rPr>
                <w:noProof/>
                <w:webHidden/>
              </w:rPr>
              <w:t>5</w:t>
            </w:r>
            <w:r>
              <w:rPr>
                <w:noProof/>
                <w:webHidden/>
              </w:rPr>
              <w:fldChar w:fldCharType="end"/>
            </w:r>
          </w:hyperlink>
        </w:p>
        <w:p w14:paraId="0C28B6AC" w14:textId="195CCA33" w:rsidR="0046522B" w:rsidRDefault="0046522B">
          <w:pPr>
            <w:pStyle w:val="TOC2"/>
            <w:tabs>
              <w:tab w:val="right" w:leader="dot" w:pos="9016"/>
            </w:tabs>
            <w:rPr>
              <w:noProof/>
            </w:rPr>
          </w:pPr>
          <w:hyperlink w:anchor="_Toc224739582" w:history="1">
            <w:r w:rsidRPr="00B20388">
              <w:rPr>
                <w:rStyle w:val="Hyperlink"/>
                <w:noProof/>
              </w:rPr>
              <w:t>Buyer power</w:t>
            </w:r>
            <w:r>
              <w:rPr>
                <w:noProof/>
                <w:webHidden/>
              </w:rPr>
              <w:tab/>
            </w:r>
            <w:r>
              <w:rPr>
                <w:noProof/>
                <w:webHidden/>
              </w:rPr>
              <w:fldChar w:fldCharType="begin"/>
            </w:r>
            <w:r>
              <w:rPr>
                <w:noProof/>
                <w:webHidden/>
              </w:rPr>
              <w:instrText xml:space="preserve"> PAGEREF _Toc224739582 \h </w:instrText>
            </w:r>
            <w:r>
              <w:rPr>
                <w:noProof/>
                <w:webHidden/>
              </w:rPr>
            </w:r>
            <w:r>
              <w:rPr>
                <w:noProof/>
                <w:webHidden/>
              </w:rPr>
              <w:fldChar w:fldCharType="separate"/>
            </w:r>
            <w:r>
              <w:rPr>
                <w:noProof/>
                <w:webHidden/>
              </w:rPr>
              <w:t>6</w:t>
            </w:r>
            <w:r>
              <w:rPr>
                <w:noProof/>
                <w:webHidden/>
              </w:rPr>
              <w:fldChar w:fldCharType="end"/>
            </w:r>
          </w:hyperlink>
        </w:p>
        <w:p w14:paraId="10F49CAF" w14:textId="16979462" w:rsidR="0046522B" w:rsidRDefault="0046522B">
          <w:pPr>
            <w:pStyle w:val="TOC2"/>
            <w:tabs>
              <w:tab w:val="right" w:leader="dot" w:pos="9016"/>
            </w:tabs>
            <w:rPr>
              <w:noProof/>
            </w:rPr>
          </w:pPr>
          <w:hyperlink w:anchor="_Toc224739583" w:history="1">
            <w:r w:rsidRPr="00B20388">
              <w:rPr>
                <w:rStyle w:val="Hyperlink"/>
                <w:noProof/>
              </w:rPr>
              <w:t>Threat of substitutes</w:t>
            </w:r>
            <w:r>
              <w:rPr>
                <w:noProof/>
                <w:webHidden/>
              </w:rPr>
              <w:tab/>
            </w:r>
            <w:r>
              <w:rPr>
                <w:noProof/>
                <w:webHidden/>
              </w:rPr>
              <w:fldChar w:fldCharType="begin"/>
            </w:r>
            <w:r>
              <w:rPr>
                <w:noProof/>
                <w:webHidden/>
              </w:rPr>
              <w:instrText xml:space="preserve"> PAGEREF _Toc224739583 \h </w:instrText>
            </w:r>
            <w:r>
              <w:rPr>
                <w:noProof/>
                <w:webHidden/>
              </w:rPr>
            </w:r>
            <w:r>
              <w:rPr>
                <w:noProof/>
                <w:webHidden/>
              </w:rPr>
              <w:fldChar w:fldCharType="separate"/>
            </w:r>
            <w:r>
              <w:rPr>
                <w:noProof/>
                <w:webHidden/>
              </w:rPr>
              <w:t>6</w:t>
            </w:r>
            <w:r>
              <w:rPr>
                <w:noProof/>
                <w:webHidden/>
              </w:rPr>
              <w:fldChar w:fldCharType="end"/>
            </w:r>
          </w:hyperlink>
        </w:p>
        <w:p w14:paraId="132BA1E5" w14:textId="19549567" w:rsidR="0046522B" w:rsidRDefault="0046522B">
          <w:pPr>
            <w:pStyle w:val="TOC1"/>
            <w:tabs>
              <w:tab w:val="right" w:leader="dot" w:pos="9016"/>
            </w:tabs>
            <w:rPr>
              <w:noProof/>
            </w:rPr>
          </w:pPr>
          <w:hyperlink w:anchor="_Toc224739584" w:history="1">
            <w:r w:rsidRPr="00B20388">
              <w:rPr>
                <w:rStyle w:val="Hyperlink"/>
                <w:noProof/>
              </w:rPr>
              <w:t>Value chain analysis</w:t>
            </w:r>
            <w:r>
              <w:rPr>
                <w:noProof/>
                <w:webHidden/>
              </w:rPr>
              <w:tab/>
            </w:r>
            <w:r>
              <w:rPr>
                <w:noProof/>
                <w:webHidden/>
              </w:rPr>
              <w:fldChar w:fldCharType="begin"/>
            </w:r>
            <w:r>
              <w:rPr>
                <w:noProof/>
                <w:webHidden/>
              </w:rPr>
              <w:instrText xml:space="preserve"> PAGEREF _Toc224739584 \h </w:instrText>
            </w:r>
            <w:r>
              <w:rPr>
                <w:noProof/>
                <w:webHidden/>
              </w:rPr>
            </w:r>
            <w:r>
              <w:rPr>
                <w:noProof/>
                <w:webHidden/>
              </w:rPr>
              <w:fldChar w:fldCharType="separate"/>
            </w:r>
            <w:r>
              <w:rPr>
                <w:noProof/>
                <w:webHidden/>
              </w:rPr>
              <w:t>6</w:t>
            </w:r>
            <w:r>
              <w:rPr>
                <w:noProof/>
                <w:webHidden/>
              </w:rPr>
              <w:fldChar w:fldCharType="end"/>
            </w:r>
          </w:hyperlink>
        </w:p>
        <w:p w14:paraId="0BEE8A23" w14:textId="21BAFB6B" w:rsidR="0046522B" w:rsidRDefault="0046522B">
          <w:pPr>
            <w:pStyle w:val="TOC1"/>
            <w:tabs>
              <w:tab w:val="right" w:leader="dot" w:pos="9016"/>
            </w:tabs>
            <w:rPr>
              <w:noProof/>
            </w:rPr>
          </w:pPr>
          <w:hyperlink w:anchor="_Toc224739585" w:history="1">
            <w:r w:rsidRPr="00B20388">
              <w:rPr>
                <w:rStyle w:val="Hyperlink"/>
                <w:noProof/>
              </w:rPr>
              <w:t>VRIO Analysis</w:t>
            </w:r>
            <w:r>
              <w:rPr>
                <w:noProof/>
                <w:webHidden/>
              </w:rPr>
              <w:tab/>
            </w:r>
            <w:r>
              <w:rPr>
                <w:noProof/>
                <w:webHidden/>
              </w:rPr>
              <w:fldChar w:fldCharType="begin"/>
            </w:r>
            <w:r>
              <w:rPr>
                <w:noProof/>
                <w:webHidden/>
              </w:rPr>
              <w:instrText xml:space="preserve"> PAGEREF _Toc224739585 \h </w:instrText>
            </w:r>
            <w:r>
              <w:rPr>
                <w:noProof/>
                <w:webHidden/>
              </w:rPr>
            </w:r>
            <w:r>
              <w:rPr>
                <w:noProof/>
                <w:webHidden/>
              </w:rPr>
              <w:fldChar w:fldCharType="separate"/>
            </w:r>
            <w:r>
              <w:rPr>
                <w:noProof/>
                <w:webHidden/>
              </w:rPr>
              <w:t>7</w:t>
            </w:r>
            <w:r>
              <w:rPr>
                <w:noProof/>
                <w:webHidden/>
              </w:rPr>
              <w:fldChar w:fldCharType="end"/>
            </w:r>
          </w:hyperlink>
        </w:p>
        <w:p w14:paraId="5936202E" w14:textId="0628B4A5" w:rsidR="0046522B" w:rsidRDefault="0046522B">
          <w:pPr>
            <w:pStyle w:val="TOC1"/>
            <w:tabs>
              <w:tab w:val="right" w:leader="dot" w:pos="9016"/>
            </w:tabs>
            <w:rPr>
              <w:noProof/>
            </w:rPr>
          </w:pPr>
          <w:hyperlink w:anchor="_Toc224739586" w:history="1">
            <w:r w:rsidRPr="00B20388">
              <w:rPr>
                <w:rStyle w:val="Hyperlink"/>
                <w:noProof/>
              </w:rPr>
              <w:t>SWOT Analysis</w:t>
            </w:r>
            <w:r>
              <w:rPr>
                <w:noProof/>
                <w:webHidden/>
              </w:rPr>
              <w:tab/>
            </w:r>
            <w:r>
              <w:rPr>
                <w:noProof/>
                <w:webHidden/>
              </w:rPr>
              <w:fldChar w:fldCharType="begin"/>
            </w:r>
            <w:r>
              <w:rPr>
                <w:noProof/>
                <w:webHidden/>
              </w:rPr>
              <w:instrText xml:space="preserve"> PAGEREF _Toc224739586 \h </w:instrText>
            </w:r>
            <w:r>
              <w:rPr>
                <w:noProof/>
                <w:webHidden/>
              </w:rPr>
            </w:r>
            <w:r>
              <w:rPr>
                <w:noProof/>
                <w:webHidden/>
              </w:rPr>
              <w:fldChar w:fldCharType="separate"/>
            </w:r>
            <w:r>
              <w:rPr>
                <w:noProof/>
                <w:webHidden/>
              </w:rPr>
              <w:t>7</w:t>
            </w:r>
            <w:r>
              <w:rPr>
                <w:noProof/>
                <w:webHidden/>
              </w:rPr>
              <w:fldChar w:fldCharType="end"/>
            </w:r>
          </w:hyperlink>
        </w:p>
        <w:p w14:paraId="0C7D58C9" w14:textId="3335D922" w:rsidR="0046522B" w:rsidRDefault="0046522B">
          <w:pPr>
            <w:pStyle w:val="TOC1"/>
            <w:tabs>
              <w:tab w:val="right" w:leader="dot" w:pos="9016"/>
            </w:tabs>
            <w:rPr>
              <w:noProof/>
            </w:rPr>
          </w:pPr>
          <w:hyperlink w:anchor="_Toc224739587" w:history="1">
            <w:r w:rsidRPr="00B20388">
              <w:rPr>
                <w:rStyle w:val="Hyperlink"/>
                <w:noProof/>
              </w:rPr>
              <w:t>Strategy Formulation</w:t>
            </w:r>
            <w:r>
              <w:rPr>
                <w:noProof/>
                <w:webHidden/>
              </w:rPr>
              <w:tab/>
            </w:r>
            <w:r>
              <w:rPr>
                <w:noProof/>
                <w:webHidden/>
              </w:rPr>
              <w:fldChar w:fldCharType="begin"/>
            </w:r>
            <w:r>
              <w:rPr>
                <w:noProof/>
                <w:webHidden/>
              </w:rPr>
              <w:instrText xml:space="preserve"> PAGEREF _Toc224739587 \h </w:instrText>
            </w:r>
            <w:r>
              <w:rPr>
                <w:noProof/>
                <w:webHidden/>
              </w:rPr>
            </w:r>
            <w:r>
              <w:rPr>
                <w:noProof/>
                <w:webHidden/>
              </w:rPr>
              <w:fldChar w:fldCharType="separate"/>
            </w:r>
            <w:r>
              <w:rPr>
                <w:noProof/>
                <w:webHidden/>
              </w:rPr>
              <w:t>8</w:t>
            </w:r>
            <w:r>
              <w:rPr>
                <w:noProof/>
                <w:webHidden/>
              </w:rPr>
              <w:fldChar w:fldCharType="end"/>
            </w:r>
          </w:hyperlink>
        </w:p>
        <w:p w14:paraId="3FC3C2DA" w14:textId="75B14F1C" w:rsidR="0046522B" w:rsidRDefault="0046522B">
          <w:pPr>
            <w:pStyle w:val="TOC1"/>
            <w:tabs>
              <w:tab w:val="right" w:leader="dot" w:pos="9016"/>
            </w:tabs>
            <w:rPr>
              <w:noProof/>
            </w:rPr>
          </w:pPr>
          <w:hyperlink w:anchor="_Toc224739588" w:history="1">
            <w:r w:rsidRPr="00B20388">
              <w:rPr>
                <w:rStyle w:val="Hyperlink"/>
                <w:noProof/>
              </w:rPr>
              <w:t>Recommended Strategy</w:t>
            </w:r>
            <w:r>
              <w:rPr>
                <w:noProof/>
                <w:webHidden/>
              </w:rPr>
              <w:tab/>
            </w:r>
            <w:r>
              <w:rPr>
                <w:noProof/>
                <w:webHidden/>
              </w:rPr>
              <w:fldChar w:fldCharType="begin"/>
            </w:r>
            <w:r>
              <w:rPr>
                <w:noProof/>
                <w:webHidden/>
              </w:rPr>
              <w:instrText xml:space="preserve"> PAGEREF _Toc224739588 \h </w:instrText>
            </w:r>
            <w:r>
              <w:rPr>
                <w:noProof/>
                <w:webHidden/>
              </w:rPr>
            </w:r>
            <w:r>
              <w:rPr>
                <w:noProof/>
                <w:webHidden/>
              </w:rPr>
              <w:fldChar w:fldCharType="separate"/>
            </w:r>
            <w:r>
              <w:rPr>
                <w:noProof/>
                <w:webHidden/>
              </w:rPr>
              <w:t>8</w:t>
            </w:r>
            <w:r>
              <w:rPr>
                <w:noProof/>
                <w:webHidden/>
              </w:rPr>
              <w:fldChar w:fldCharType="end"/>
            </w:r>
          </w:hyperlink>
        </w:p>
        <w:p w14:paraId="54170900" w14:textId="3EFCDDDD" w:rsidR="0046522B" w:rsidRDefault="0046522B">
          <w:pPr>
            <w:pStyle w:val="TOC1"/>
            <w:tabs>
              <w:tab w:val="right" w:leader="dot" w:pos="9016"/>
            </w:tabs>
            <w:rPr>
              <w:noProof/>
            </w:rPr>
          </w:pPr>
          <w:hyperlink w:anchor="_Toc224739589" w:history="1">
            <w:r w:rsidRPr="00B20388">
              <w:rPr>
                <w:rStyle w:val="Hyperlink"/>
                <w:noProof/>
              </w:rPr>
              <w:t>Conclusion and Recommendations</w:t>
            </w:r>
            <w:r>
              <w:rPr>
                <w:noProof/>
                <w:webHidden/>
              </w:rPr>
              <w:tab/>
            </w:r>
            <w:r>
              <w:rPr>
                <w:noProof/>
                <w:webHidden/>
              </w:rPr>
              <w:fldChar w:fldCharType="begin"/>
            </w:r>
            <w:r>
              <w:rPr>
                <w:noProof/>
                <w:webHidden/>
              </w:rPr>
              <w:instrText xml:space="preserve"> PAGEREF _Toc224739589 \h </w:instrText>
            </w:r>
            <w:r>
              <w:rPr>
                <w:noProof/>
                <w:webHidden/>
              </w:rPr>
            </w:r>
            <w:r>
              <w:rPr>
                <w:noProof/>
                <w:webHidden/>
              </w:rPr>
              <w:fldChar w:fldCharType="separate"/>
            </w:r>
            <w:r>
              <w:rPr>
                <w:noProof/>
                <w:webHidden/>
              </w:rPr>
              <w:t>9</w:t>
            </w:r>
            <w:r>
              <w:rPr>
                <w:noProof/>
                <w:webHidden/>
              </w:rPr>
              <w:fldChar w:fldCharType="end"/>
            </w:r>
          </w:hyperlink>
        </w:p>
        <w:p w14:paraId="12C11CBE" w14:textId="52B1EC88" w:rsidR="0046522B" w:rsidRDefault="0046522B">
          <w:pPr>
            <w:pStyle w:val="TOC1"/>
            <w:tabs>
              <w:tab w:val="right" w:leader="dot" w:pos="9016"/>
            </w:tabs>
            <w:rPr>
              <w:noProof/>
            </w:rPr>
          </w:pPr>
          <w:hyperlink w:anchor="_Toc224739590" w:history="1">
            <w:r w:rsidRPr="00B20388">
              <w:rPr>
                <w:rStyle w:val="Hyperlink"/>
                <w:noProof/>
              </w:rPr>
              <w:t>References</w:t>
            </w:r>
            <w:r>
              <w:rPr>
                <w:noProof/>
                <w:webHidden/>
              </w:rPr>
              <w:tab/>
            </w:r>
            <w:r>
              <w:rPr>
                <w:noProof/>
                <w:webHidden/>
              </w:rPr>
              <w:fldChar w:fldCharType="begin"/>
            </w:r>
            <w:r>
              <w:rPr>
                <w:noProof/>
                <w:webHidden/>
              </w:rPr>
              <w:instrText xml:space="preserve"> PAGEREF _Toc224739590 \h </w:instrText>
            </w:r>
            <w:r>
              <w:rPr>
                <w:noProof/>
                <w:webHidden/>
              </w:rPr>
            </w:r>
            <w:r>
              <w:rPr>
                <w:noProof/>
                <w:webHidden/>
              </w:rPr>
              <w:fldChar w:fldCharType="separate"/>
            </w:r>
            <w:r>
              <w:rPr>
                <w:noProof/>
                <w:webHidden/>
              </w:rPr>
              <w:t>10</w:t>
            </w:r>
            <w:r>
              <w:rPr>
                <w:noProof/>
                <w:webHidden/>
              </w:rPr>
              <w:fldChar w:fldCharType="end"/>
            </w:r>
          </w:hyperlink>
        </w:p>
        <w:p w14:paraId="24457BAA" w14:textId="0ECBFC6B" w:rsidR="0046522B" w:rsidRDefault="0046522B">
          <w:r>
            <w:rPr>
              <w:b/>
              <w:bCs/>
            </w:rPr>
            <w:fldChar w:fldCharType="end"/>
          </w:r>
        </w:p>
      </w:sdtContent>
    </w:sdt>
    <w:p w14:paraId="09555CA0" w14:textId="77777777" w:rsidR="0028074B" w:rsidRDefault="0028074B" w:rsidP="00FF433C">
      <w:pPr>
        <w:pStyle w:val="Heading1"/>
      </w:pPr>
    </w:p>
    <w:p w14:paraId="674C6CA6" w14:textId="77777777" w:rsidR="0028074B" w:rsidRDefault="0028074B">
      <w:pPr>
        <w:rPr>
          <w:rFonts w:asciiTheme="majorHAnsi" w:eastAsiaTheme="majorEastAsia" w:hAnsiTheme="majorHAnsi" w:cstheme="majorBidi"/>
          <w:color w:val="0F4761" w:themeColor="accent1" w:themeShade="BF"/>
          <w:sz w:val="40"/>
          <w:szCs w:val="40"/>
        </w:rPr>
      </w:pPr>
      <w:r>
        <w:br w:type="page"/>
      </w:r>
    </w:p>
    <w:p w14:paraId="6C2FAAB0" w14:textId="2ACF21B2" w:rsidR="00017837" w:rsidRPr="00FF433C" w:rsidRDefault="00017837" w:rsidP="00FF433C">
      <w:pPr>
        <w:pStyle w:val="Heading1"/>
      </w:pPr>
      <w:bookmarkStart w:id="0" w:name="_Toc224739570"/>
      <w:r w:rsidRPr="00FF433C">
        <w:lastRenderedPageBreak/>
        <w:t>Introduction</w:t>
      </w:r>
      <w:bookmarkEnd w:id="0"/>
      <w:r w:rsidRPr="00FF433C">
        <w:t xml:space="preserve"> </w:t>
      </w:r>
    </w:p>
    <w:p w14:paraId="7BB41B18" w14:textId="77FB3B30" w:rsidR="00017837" w:rsidRPr="00CF0070" w:rsidRDefault="00017837" w:rsidP="00017837">
      <w:pPr>
        <w:rPr>
          <w:rFonts w:ascii="Arial" w:hAnsi="Arial" w:cs="Arial"/>
        </w:rPr>
      </w:pPr>
      <w:r w:rsidRPr="00CF0070">
        <w:rPr>
          <w:rFonts w:ascii="Arial" w:hAnsi="Arial" w:cs="Arial"/>
        </w:rPr>
        <w:t>The automotive industry is a strategically important part of the UK national economy in terms of manufacturing output, employment, innovation</w:t>
      </w:r>
      <w:r w:rsidR="00AC1A4E" w:rsidRPr="00CF0070">
        <w:rPr>
          <w:rFonts w:ascii="Arial" w:hAnsi="Arial" w:cs="Arial"/>
        </w:rPr>
        <w:t>,</w:t>
      </w:r>
      <w:r w:rsidRPr="00CF0070">
        <w:rPr>
          <w:rFonts w:ascii="Arial" w:hAnsi="Arial" w:cs="Arial"/>
        </w:rPr>
        <w:t xml:space="preserve"> and trade</w:t>
      </w:r>
      <w:r w:rsidR="00003E1C" w:rsidRPr="00CF0070">
        <w:rPr>
          <w:rFonts w:ascii="Arial" w:hAnsi="Arial" w:cs="Arial"/>
        </w:rPr>
        <w:t xml:space="preserve"> </w:t>
      </w:r>
      <w:r w:rsidR="00003E1C" w:rsidRPr="00CF0070">
        <w:rPr>
          <w:rFonts w:ascii="Arial" w:hAnsi="Arial" w:cs="Arial"/>
        </w:rPr>
        <w:t>(OICA, 2024).</w:t>
      </w:r>
      <w:r w:rsidRPr="00CF0070">
        <w:rPr>
          <w:rFonts w:ascii="Arial" w:hAnsi="Arial" w:cs="Arial"/>
        </w:rPr>
        <w:t xml:space="preserve"> And all the while, from decarbonisation of regulatory measures to electrification and digitalisation and reformulating consumers' perceptions, the automotive business is going through a change. It also means that auto companies can no longer fall back on the legacy brand strategy, and even more old-fashioned internal combustion engine production. Therefore, the automotive industry needs a new approach that highlights the connections between efficiency and technological and market flexibility. Vauxhall Motors is having a lot of trouble right now. For example, they </w:t>
      </w:r>
      <w:proofErr w:type="gramStart"/>
      <w:r w:rsidRPr="00CF0070">
        <w:rPr>
          <w:rFonts w:ascii="Arial" w:hAnsi="Arial" w:cs="Arial"/>
        </w:rPr>
        <w:t>have to</w:t>
      </w:r>
      <w:proofErr w:type="gramEnd"/>
      <w:r w:rsidRPr="00CF0070">
        <w:rPr>
          <w:rFonts w:ascii="Arial" w:hAnsi="Arial" w:cs="Arial"/>
        </w:rPr>
        <w:t xml:space="preserve"> deal with an ageing brand in a very competitive market and move towards a future with no emissions. (Johnson et al., 2020; Grant, 2022</w:t>
      </w:r>
    </w:p>
    <w:p w14:paraId="478073E9" w14:textId="77777777" w:rsidR="00017837" w:rsidRPr="00CF0070" w:rsidRDefault="00017837" w:rsidP="00017837">
      <w:pPr>
        <w:rPr>
          <w:rFonts w:ascii="Arial" w:hAnsi="Arial" w:cs="Arial"/>
        </w:rPr>
      </w:pPr>
      <w:r w:rsidRPr="00CF0070">
        <w:rPr>
          <w:rFonts w:ascii="Arial" w:hAnsi="Arial" w:cs="Arial"/>
        </w:rPr>
        <w:t xml:space="preserve">This report evaluates Vauxhall Motors, the British subsidiary of Stellantis, as a key effort for the company's recognition. It analyses the external environment of the company through PESTLE and Porter's Five Forces </w:t>
      </w:r>
      <w:proofErr w:type="spellStart"/>
      <w:r w:rsidRPr="00CF0070">
        <w:rPr>
          <w:rFonts w:ascii="Arial" w:hAnsi="Arial" w:cs="Arial"/>
        </w:rPr>
        <w:t>frameorks</w:t>
      </w:r>
      <w:proofErr w:type="spellEnd"/>
      <w:r w:rsidRPr="00CF0070">
        <w:rPr>
          <w:rFonts w:ascii="Arial" w:hAnsi="Arial" w:cs="Arial"/>
        </w:rPr>
        <w:t xml:space="preserve"> and evaluates internal capabilities via Value Chain analysis, Resource-Based View (RBV), and the VRIO framework. Overall, Vauxhall appears to have opportunities to leverage its strong brand awareness in the UK, access Stellantis' technological resources including electric vehicle (EV) development and offer a range of electrified models. But these chances are limited by strong competition, high costs for strategic projects, weak points in the supply chain, and not much difference between products in mass-market segments. Vauxhall’s strategy to expand its electric vehicle offerings under the Stellantis umbrella aims to produce an electric version of every model in its car and van lineup, particularly as UK policies support biomass vehicle sales through 2035. These factors collectively constitute the most compelling short-term rationale for electrification.</w:t>
      </w:r>
    </w:p>
    <w:p w14:paraId="25EB85CA" w14:textId="77777777" w:rsidR="00017837" w:rsidRPr="00FF433C" w:rsidRDefault="00017837" w:rsidP="00FF433C">
      <w:pPr>
        <w:pStyle w:val="Heading1"/>
      </w:pPr>
      <w:bookmarkStart w:id="1" w:name="_Toc224739571"/>
      <w:r w:rsidRPr="00FF433C">
        <w:t>Company background</w:t>
      </w:r>
      <w:bookmarkEnd w:id="1"/>
      <w:r w:rsidRPr="00FF433C">
        <w:t xml:space="preserve"> </w:t>
      </w:r>
    </w:p>
    <w:p w14:paraId="57786F8C" w14:textId="77777777" w:rsidR="00017837" w:rsidRPr="00CF0070" w:rsidRDefault="00017837" w:rsidP="00017837">
      <w:pPr>
        <w:rPr>
          <w:rFonts w:ascii="Arial" w:hAnsi="Arial" w:cs="Arial"/>
        </w:rPr>
      </w:pPr>
      <w:r w:rsidRPr="00CF0070">
        <w:rPr>
          <w:rFonts w:ascii="Arial" w:hAnsi="Arial" w:cs="Arial"/>
        </w:rPr>
        <w:t>Founded in 1857 by Alexander Wilson as a marine engine company, Vauxhall Motors is one of the UK's oldest vehicle manufacturers and has operated continuously since then (Lynch, 2021). This engineering expertise would later lead Vauxhall into the realm of automobile manufacture. The company finally transitioned into the motor vehicle business in 1903. Vauxhall eventually relocated its headquarters to the market town of Luton in 1905, installing a huge factory that would continue to be important to Vauxhall for decades (Hill, Jones and Schilling, 2019).</w:t>
      </w:r>
    </w:p>
    <w:p w14:paraId="425C2D8B" w14:textId="2B35A2D7" w:rsidR="00017837" w:rsidRPr="00CF0070" w:rsidRDefault="00017837" w:rsidP="00017837">
      <w:pPr>
        <w:rPr>
          <w:rFonts w:ascii="Arial" w:hAnsi="Arial" w:cs="Arial"/>
        </w:rPr>
      </w:pPr>
      <w:r w:rsidRPr="00CF0070">
        <w:rPr>
          <w:rFonts w:ascii="Arial" w:hAnsi="Arial" w:cs="Arial"/>
        </w:rPr>
        <w:t xml:space="preserve">The first major change in ownership took place in 1925 when Vauxhall Motors was acquired by the well-known American car company, General Motors. While part of General Motors, the brand, which was once seen as a luxury, expanded its range to include more affordable mass-market cars, aiming to appeal to a broader audience across the United Kingdom (Johnson et al., 2020). Over the course of the twentieth </w:t>
      </w:r>
      <w:r w:rsidRPr="00CF0070">
        <w:rPr>
          <w:rFonts w:ascii="Arial" w:hAnsi="Arial" w:cs="Arial"/>
        </w:rPr>
        <w:lastRenderedPageBreak/>
        <w:t xml:space="preserve">century, several Vauxhall models, especially the Astra and Cavalier, became well-known and familiar to many British drivers, helping the brand maintain its strong presence in the UK market. General Motors sold Vauxhall and its German counterpart, Opel, to PSA Group in 2017 as part of a strategic reshaping of its European business. PSA merged with Fiat Chrysler Automobiles in 2021 to create Stellantis, one of the largest automotive manufacturers globally (Grant, 2022). </w:t>
      </w:r>
    </w:p>
    <w:p w14:paraId="654C059C" w14:textId="2FB36EDF" w:rsidR="00017837" w:rsidRPr="00CF0070" w:rsidRDefault="00017837" w:rsidP="00017837">
      <w:pPr>
        <w:rPr>
          <w:rFonts w:ascii="Arial" w:hAnsi="Arial" w:cs="Arial"/>
        </w:rPr>
      </w:pPr>
      <w:r w:rsidRPr="00CF0070">
        <w:rPr>
          <w:rFonts w:ascii="Arial" w:hAnsi="Arial" w:cs="Arial"/>
        </w:rPr>
        <w:t xml:space="preserve">No longer producing the iconic line of cars (including their sports ranges), Vauxhall now supports passenger vehicles and commercial vans, while looking to the future through electric vehicle and sustainable mobility solutions; </w:t>
      </w:r>
      <w:r w:rsidR="00094BDC" w:rsidRPr="00CF0070">
        <w:rPr>
          <w:rFonts w:ascii="Arial" w:hAnsi="Arial" w:cs="Arial"/>
        </w:rPr>
        <w:t>(Vauxhall, 2024)</w:t>
      </w:r>
      <w:r w:rsidR="00094BDC" w:rsidRPr="00CF0070">
        <w:rPr>
          <w:rFonts w:ascii="Arial" w:hAnsi="Arial" w:cs="Arial"/>
        </w:rPr>
        <w:t xml:space="preserve">, </w:t>
      </w:r>
      <w:r w:rsidRPr="00CF0070">
        <w:rPr>
          <w:rFonts w:ascii="Arial" w:hAnsi="Arial" w:cs="Arial"/>
        </w:rPr>
        <w:t xml:space="preserve">adapting their products with new eco-friendly pieces, fast becoming a global trend for decarbonisation within </w:t>
      </w:r>
      <w:proofErr w:type="gramStart"/>
      <w:r w:rsidRPr="00CF0070">
        <w:rPr>
          <w:rFonts w:ascii="Arial" w:hAnsi="Arial" w:cs="Arial"/>
        </w:rPr>
        <w:t>transportation(</w:t>
      </w:r>
      <w:proofErr w:type="gramEnd"/>
      <w:r w:rsidRPr="00CF0070">
        <w:rPr>
          <w:rFonts w:ascii="Arial" w:hAnsi="Arial" w:cs="Arial"/>
        </w:rPr>
        <w:t>ACEA, 2024).</w:t>
      </w:r>
    </w:p>
    <w:p w14:paraId="142306E5" w14:textId="77777777" w:rsidR="00085FD9" w:rsidRPr="00CF0070" w:rsidRDefault="00085FD9" w:rsidP="00085FD9">
      <w:pPr>
        <w:rPr>
          <w:rFonts w:ascii="Arial" w:hAnsi="Arial" w:cs="Arial"/>
        </w:rPr>
      </w:pPr>
    </w:p>
    <w:p w14:paraId="382849EA" w14:textId="0A6D09F1" w:rsidR="00284FEA" w:rsidRPr="00FF433C" w:rsidRDefault="00085FD9" w:rsidP="00FF433C">
      <w:pPr>
        <w:pStyle w:val="Heading1"/>
      </w:pPr>
      <w:bookmarkStart w:id="2" w:name="_Toc224739572"/>
      <w:r w:rsidRPr="00FF433C">
        <w:t>External factors: PASTLE analysis</w:t>
      </w:r>
      <w:bookmarkEnd w:id="2"/>
    </w:p>
    <w:p w14:paraId="070BDB98" w14:textId="77777777" w:rsidR="002B76F6" w:rsidRPr="00CF0070" w:rsidRDefault="002B76F6" w:rsidP="00BC43EA">
      <w:pPr>
        <w:rPr>
          <w:rFonts w:ascii="Arial" w:hAnsi="Arial" w:cs="Arial"/>
        </w:rPr>
      </w:pPr>
    </w:p>
    <w:p w14:paraId="7EC82B54" w14:textId="3C6BE4F6" w:rsidR="00CD59E6" w:rsidRPr="00CF0070" w:rsidRDefault="00C91D7F" w:rsidP="00BC43EA">
      <w:pPr>
        <w:rPr>
          <w:rFonts w:ascii="Arial" w:hAnsi="Arial" w:cs="Arial"/>
        </w:rPr>
      </w:pPr>
      <w:r w:rsidRPr="00CF0070">
        <w:rPr>
          <w:rFonts w:ascii="Arial" w:hAnsi="Arial" w:cs="Arial"/>
        </w:rPr>
        <w:t xml:space="preserve">PESTLE analysis is a strategic tool used to examine the macro-environmental factors that can affect an organisation’s performance. It evaluates political, economic, social, technological, legal, and environmental influences </w:t>
      </w:r>
      <w:proofErr w:type="gramStart"/>
      <w:r w:rsidRPr="00CF0070">
        <w:rPr>
          <w:rFonts w:ascii="Arial" w:hAnsi="Arial" w:cs="Arial"/>
        </w:rPr>
        <w:t>in order to</w:t>
      </w:r>
      <w:proofErr w:type="gramEnd"/>
      <w:r w:rsidRPr="00CF0070">
        <w:rPr>
          <w:rFonts w:ascii="Arial" w:hAnsi="Arial" w:cs="Arial"/>
        </w:rPr>
        <w:t xml:space="preserve"> understand external opportunities and threats that may impact business strategy (Johnson et al., 2020).</w:t>
      </w:r>
    </w:p>
    <w:p w14:paraId="6CA78571" w14:textId="5AEBF056" w:rsidR="00100D24" w:rsidRPr="00CF0070" w:rsidRDefault="00100D24" w:rsidP="001D4616">
      <w:pPr>
        <w:rPr>
          <w:rFonts w:ascii="Arial" w:hAnsi="Arial" w:cs="Arial"/>
        </w:rPr>
      </w:pPr>
    </w:p>
    <w:p w14:paraId="348208FF" w14:textId="53E4F141" w:rsidR="007360EC" w:rsidRPr="00CF0070" w:rsidRDefault="00820CA7" w:rsidP="002B5972">
      <w:pPr>
        <w:rPr>
          <w:rFonts w:ascii="Arial" w:hAnsi="Arial" w:cs="Arial"/>
        </w:rPr>
      </w:pPr>
      <w:r w:rsidRPr="00CF0070">
        <w:rPr>
          <w:rFonts w:ascii="Arial" w:hAnsi="Arial" w:cs="Arial"/>
          <w:noProof/>
        </w:rPr>
        <w:drawing>
          <wp:inline distT="0" distB="0" distL="0" distR="0" wp14:anchorId="110827C1" wp14:editId="1AA69A98">
            <wp:extent cx="5731510" cy="3348355"/>
            <wp:effectExtent l="0" t="0" r="2540" b="4445"/>
            <wp:docPr id="754053454" name="Picture 2" descr="The diagram illustrates various factors affecting the strategic implications for Vauxhall, including UK zero-emission policies, economic considerations, social trends, technological innovations, and legal challenges, all under the overarching theme of environmental concerns and decarbon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053454" name="Picture 2" descr="The diagram illustrates various factors affecting the strategic implications for Vauxhall, including UK zero-emission policies, economic considerations, social trends, technological innovations, and legal challenges, all under the overarching theme of environmental concerns and decarboniza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348355"/>
                    </a:xfrm>
                    <a:prstGeom prst="rect">
                      <a:avLst/>
                    </a:prstGeom>
                  </pic:spPr>
                </pic:pic>
              </a:graphicData>
            </a:graphic>
          </wp:inline>
        </w:drawing>
      </w:r>
    </w:p>
    <w:p w14:paraId="484AB7D2" w14:textId="2510C73F" w:rsidR="00DE7605" w:rsidRPr="00FF433C" w:rsidRDefault="00DE7605" w:rsidP="00FF433C">
      <w:pPr>
        <w:pStyle w:val="Heading2"/>
      </w:pPr>
      <w:bookmarkStart w:id="3" w:name="_Toc224739573"/>
      <w:r w:rsidRPr="00FF433C">
        <w:lastRenderedPageBreak/>
        <w:t>Political:</w:t>
      </w:r>
      <w:bookmarkEnd w:id="3"/>
    </w:p>
    <w:p w14:paraId="405D0346" w14:textId="4FBB69F9" w:rsidR="00E836DA" w:rsidRPr="00CF0070" w:rsidRDefault="00E836DA" w:rsidP="00E836DA">
      <w:pPr>
        <w:rPr>
          <w:rFonts w:ascii="Arial" w:hAnsi="Arial" w:cs="Arial"/>
        </w:rPr>
      </w:pPr>
      <w:r w:rsidRPr="00CF0070">
        <w:rPr>
          <w:rFonts w:ascii="Arial" w:hAnsi="Arial" w:cs="Arial"/>
        </w:rPr>
        <w:t>Political factors impact the automotive sector via government policies and regulations. In the UK, efforts to lower carbon emissions and encourage the use of electric vehicles are inspiring manufacturers like Vauxhall Motors to invest more in electric vehicle production</w:t>
      </w:r>
      <w:r w:rsidRPr="00CF0070">
        <w:rPr>
          <w:rFonts w:ascii="Arial" w:hAnsi="Arial" w:cs="Arial"/>
          <w:u w:val="single"/>
        </w:rPr>
        <w:t>, he</w:t>
      </w:r>
      <w:r w:rsidRPr="00CF0070">
        <w:rPr>
          <w:rFonts w:ascii="Arial" w:hAnsi="Arial" w:cs="Arial"/>
        </w:rPr>
        <w:t>lping us move closer to our shared environmental goals (UK Government, 2023).</w:t>
      </w:r>
    </w:p>
    <w:p w14:paraId="2C7E171E" w14:textId="3FCDD175" w:rsidR="00DE7605" w:rsidRPr="00FF433C" w:rsidRDefault="00DE7605" w:rsidP="00FF433C">
      <w:pPr>
        <w:pStyle w:val="Heading2"/>
      </w:pPr>
      <w:bookmarkStart w:id="4" w:name="_Toc224739574"/>
      <w:r w:rsidRPr="00FF433C">
        <w:t>Economical:</w:t>
      </w:r>
      <w:bookmarkEnd w:id="4"/>
    </w:p>
    <w:p w14:paraId="6CEF5A4B" w14:textId="133162BB" w:rsidR="00DE7605" w:rsidRPr="00CF0070" w:rsidRDefault="0015775B" w:rsidP="002B5972">
      <w:pPr>
        <w:rPr>
          <w:rFonts w:ascii="Arial" w:hAnsi="Arial" w:cs="Arial"/>
        </w:rPr>
      </w:pPr>
      <w:r w:rsidRPr="00CF0070">
        <w:rPr>
          <w:rFonts w:ascii="Arial" w:hAnsi="Arial" w:cs="Arial"/>
        </w:rPr>
        <w:t>Economic factors such as fluctuating inflation, interest rates, and overall economic conditions play a big role in the automotive industry. Moreover, automotive companies such as Vauxhall Motors may find the manufacturing of vehicles to be more costly due to supply chain interruptions and increasing production costs (SMMT, 2024).</w:t>
      </w:r>
    </w:p>
    <w:p w14:paraId="7044D291" w14:textId="77777777" w:rsidR="009F4BFE" w:rsidRPr="00FF433C" w:rsidRDefault="009F4BFE" w:rsidP="00FF433C">
      <w:pPr>
        <w:pStyle w:val="Heading2"/>
      </w:pPr>
      <w:bookmarkStart w:id="5" w:name="_Toc224739575"/>
      <w:r w:rsidRPr="00FF433C">
        <w:t>Social:</w:t>
      </w:r>
      <w:bookmarkEnd w:id="5"/>
    </w:p>
    <w:p w14:paraId="60C82A35" w14:textId="74C97971" w:rsidR="002B5972" w:rsidRPr="00CF0070" w:rsidRDefault="001F4CA6" w:rsidP="002B5972">
      <w:pPr>
        <w:rPr>
          <w:rFonts w:ascii="Arial" w:hAnsi="Arial" w:cs="Arial"/>
        </w:rPr>
      </w:pPr>
      <w:r w:rsidRPr="00CF0070">
        <w:rPr>
          <w:rFonts w:ascii="Arial" w:hAnsi="Arial" w:cs="Arial"/>
        </w:rPr>
        <w:t xml:space="preserve">Social factors relate to changes in consumer attitudes and lifestyle trends. Recently, people have become more aware of environmental </w:t>
      </w:r>
      <w:r w:rsidRPr="00CF0070">
        <w:rPr>
          <w:rFonts w:ascii="Arial" w:hAnsi="Arial" w:cs="Arial"/>
          <w:u w:val="single"/>
        </w:rPr>
        <w:t xml:space="preserve">issues </w:t>
      </w:r>
      <w:r w:rsidRPr="00CF0070">
        <w:rPr>
          <w:rFonts w:ascii="Arial" w:hAnsi="Arial" w:cs="Arial"/>
        </w:rPr>
        <w:t xml:space="preserve">such as climate change and air pollution. As a result, many consumers are now more interested in buying vehicles that produce lower emissions. This shift in consumer </w:t>
      </w:r>
      <w:r w:rsidRPr="00CF0070">
        <w:rPr>
          <w:rFonts w:ascii="Arial" w:hAnsi="Arial" w:cs="Arial"/>
          <w:u w:val="single"/>
        </w:rPr>
        <w:t xml:space="preserve">behaviour </w:t>
      </w:r>
      <w:r w:rsidRPr="00CF0070">
        <w:rPr>
          <w:rFonts w:ascii="Arial" w:hAnsi="Arial" w:cs="Arial"/>
        </w:rPr>
        <w:t>is encouraging manufacturers, such as Vauxhall Motors, to develop more electric and environmentally friendly vehicles (ACEA, 2024).</w:t>
      </w:r>
    </w:p>
    <w:p w14:paraId="3FA0A057" w14:textId="7A89AC31" w:rsidR="006C40F6" w:rsidRPr="00FF433C" w:rsidRDefault="006543AE" w:rsidP="00FF433C">
      <w:pPr>
        <w:pStyle w:val="Heading2"/>
      </w:pPr>
      <w:bookmarkStart w:id="6" w:name="_Toc224739576"/>
      <w:r w:rsidRPr="00FF433C">
        <w:t>T</w:t>
      </w:r>
      <w:r w:rsidR="006C40F6" w:rsidRPr="00FF433C">
        <w:t>echnological:</w:t>
      </w:r>
      <w:bookmarkEnd w:id="6"/>
    </w:p>
    <w:p w14:paraId="21BADCF6" w14:textId="2B42BC95" w:rsidR="006C40F6" w:rsidRPr="00CF0070" w:rsidRDefault="006C40F6" w:rsidP="002B5972">
      <w:pPr>
        <w:rPr>
          <w:rFonts w:ascii="Arial" w:hAnsi="Arial" w:cs="Arial"/>
        </w:rPr>
      </w:pPr>
      <w:r w:rsidRPr="00CF0070">
        <w:rPr>
          <w:rFonts w:ascii="Arial" w:hAnsi="Arial" w:cs="Arial"/>
        </w:rPr>
        <w:t xml:space="preserve">Technological factors play an important role in the automotive industry. These exciting improvements are </w:t>
      </w:r>
      <w:proofErr w:type="gramStart"/>
      <w:r w:rsidRPr="00CF0070">
        <w:rPr>
          <w:rFonts w:ascii="Arial" w:hAnsi="Arial" w:cs="Arial"/>
        </w:rPr>
        <w:t>opening up</w:t>
      </w:r>
      <w:proofErr w:type="gramEnd"/>
      <w:r w:rsidRPr="00CF0070">
        <w:rPr>
          <w:rFonts w:ascii="Arial" w:hAnsi="Arial" w:cs="Arial"/>
        </w:rPr>
        <w:t xml:space="preserve"> new opportunities and making our lives easier and more connected to cars. To remain competitive, companies like Vauxhall Motors need to invest in research and development to adopt emerging technologies and enhance their vehicles' performance and efficiency. (Grant, 2022).</w:t>
      </w:r>
    </w:p>
    <w:p w14:paraId="0A87A1D0" w14:textId="3315F1C4" w:rsidR="002B5972" w:rsidRPr="00FF433C" w:rsidRDefault="00EB56A5" w:rsidP="00FF433C">
      <w:pPr>
        <w:pStyle w:val="Heading2"/>
      </w:pPr>
      <w:bookmarkStart w:id="7" w:name="_Toc224739577"/>
      <w:r w:rsidRPr="00FF433C">
        <w:t>Legal:</w:t>
      </w:r>
      <w:bookmarkEnd w:id="7"/>
    </w:p>
    <w:p w14:paraId="26B1548A" w14:textId="77777777" w:rsidR="00EB56A5" w:rsidRPr="00CF0070" w:rsidRDefault="00EB56A5" w:rsidP="00EB56A5">
      <w:pPr>
        <w:rPr>
          <w:rFonts w:ascii="Arial" w:hAnsi="Arial" w:cs="Arial"/>
        </w:rPr>
      </w:pPr>
      <w:r w:rsidRPr="00CF0070">
        <w:rPr>
          <w:rFonts w:ascii="Arial" w:hAnsi="Arial" w:cs="Arial"/>
        </w:rPr>
        <w:t>Legal factors are any laws and regulations that businesses submit to in the automotive industry. Automakers must ensure their cars comply with stringent safety rules, emissions standards and other environmental regulations. Some laws need to be followed, for example, companies like Vauxhall Motors could not have operated in the market and continue servicing their customers without following those laws. While satisfying these requirements may add to production costs, they can also serve to ensure that vehicles are safer and less polluting (Johnson et al., 2020).</w:t>
      </w:r>
    </w:p>
    <w:p w14:paraId="602E2623" w14:textId="294EF974" w:rsidR="00697225" w:rsidRPr="00FF433C" w:rsidRDefault="00697225" w:rsidP="00FF433C">
      <w:pPr>
        <w:pStyle w:val="Heading2"/>
      </w:pPr>
      <w:bookmarkStart w:id="8" w:name="_Toc224739578"/>
      <w:r w:rsidRPr="00FF433C">
        <w:t>Environmental:</w:t>
      </w:r>
      <w:bookmarkEnd w:id="8"/>
    </w:p>
    <w:p w14:paraId="71261423" w14:textId="1DAFA14D" w:rsidR="00697225" w:rsidRPr="00CF0070" w:rsidRDefault="00697225" w:rsidP="001D4616">
      <w:pPr>
        <w:rPr>
          <w:rFonts w:ascii="Arial" w:hAnsi="Arial" w:cs="Arial"/>
        </w:rPr>
      </w:pPr>
      <w:r w:rsidRPr="00CF0070">
        <w:rPr>
          <w:rFonts w:ascii="Arial" w:hAnsi="Arial" w:cs="Arial"/>
        </w:rPr>
        <w:t xml:space="preserve">Increasing environmental issues in the automotive industry: Automakers are facing heightened pressure from governments, groups, and consumers to reduce carbon emissions and build more climate-friendly vehicles. As a result, companies such as </w:t>
      </w:r>
      <w:r w:rsidRPr="00CF0070">
        <w:rPr>
          <w:rFonts w:ascii="Arial" w:hAnsi="Arial" w:cs="Arial"/>
        </w:rPr>
        <w:lastRenderedPageBreak/>
        <w:t xml:space="preserve">Vauxhall Motors are investing more heavily in electric cars and green technologies. By implementing these modifications, they help reduce the environmental impacts </w:t>
      </w:r>
      <w:r w:rsidRPr="00CF0070">
        <w:rPr>
          <w:rFonts w:ascii="Arial" w:hAnsi="Arial" w:cs="Arial"/>
          <w:u w:val="single"/>
        </w:rPr>
        <w:t xml:space="preserve">correlated </w:t>
      </w:r>
      <w:r w:rsidRPr="00CF0070">
        <w:rPr>
          <w:rFonts w:ascii="Arial" w:hAnsi="Arial" w:cs="Arial"/>
        </w:rPr>
        <w:t xml:space="preserve">with transport </w:t>
      </w:r>
      <w:r w:rsidRPr="00CF0070">
        <w:rPr>
          <w:rFonts w:ascii="Arial" w:hAnsi="Arial" w:cs="Arial"/>
          <w:u w:val="single"/>
        </w:rPr>
        <w:t xml:space="preserve">whilst </w:t>
      </w:r>
      <w:r w:rsidRPr="00CF0070">
        <w:rPr>
          <w:rFonts w:ascii="Arial" w:hAnsi="Arial" w:cs="Arial"/>
        </w:rPr>
        <w:t>strengthening international policies to tackle climate action (ACEA, 2024).</w:t>
      </w:r>
    </w:p>
    <w:p w14:paraId="2410B16F" w14:textId="77777777" w:rsidR="00436D47" w:rsidRPr="00CF0070" w:rsidRDefault="00436D47" w:rsidP="001D4616">
      <w:pPr>
        <w:rPr>
          <w:rFonts w:ascii="Arial" w:hAnsi="Arial" w:cs="Arial"/>
        </w:rPr>
      </w:pPr>
    </w:p>
    <w:p w14:paraId="31DF589B" w14:textId="7B22E5EB" w:rsidR="00824BBD" w:rsidRPr="00FF433C" w:rsidRDefault="009E255C" w:rsidP="00FF433C">
      <w:pPr>
        <w:pStyle w:val="Heading1"/>
      </w:pPr>
      <w:bookmarkStart w:id="9" w:name="_Toc224739579"/>
      <w:r w:rsidRPr="00FF433C">
        <w:t>Porter’s Five Forces</w:t>
      </w:r>
      <w:bookmarkEnd w:id="9"/>
    </w:p>
    <w:p w14:paraId="086F22E3" w14:textId="75BD248E" w:rsidR="00820CA7" w:rsidRPr="00CF0070" w:rsidRDefault="00820CA7" w:rsidP="00820CA7">
      <w:pPr>
        <w:rPr>
          <w:rFonts w:ascii="Arial" w:hAnsi="Arial" w:cs="Arial"/>
        </w:rPr>
      </w:pPr>
      <w:r w:rsidRPr="00CF0070">
        <w:rPr>
          <w:rFonts w:ascii="Arial" w:hAnsi="Arial" w:cs="Arial"/>
          <w:noProof/>
        </w:rPr>
        <w:drawing>
          <wp:inline distT="0" distB="0" distL="0" distR="0" wp14:anchorId="74304216" wp14:editId="4ACFA06D">
            <wp:extent cx="5731510" cy="1755775"/>
            <wp:effectExtent l="0" t="0" r="2540" b="0"/>
            <wp:docPr id="75166085" name="Picture 1" descr="The diagram illustrates an assessment of factors influencing the electric vehicle (EV) market, highlighting strong rivalry, pricing pressure, innovation, and the threat of new entrants, while also considering the bargaining power of suppliers, buyers, and the threat of substit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6085" name="Picture 1" descr="The diagram illustrates an assessment of factors influencing the electric vehicle (EV) market, highlighting strong rivalry, pricing pressure, innovation, and the threat of new entrants, while also considering the bargaining power of suppliers, buyers, and the threat of substitut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1755775"/>
                    </a:xfrm>
                    <a:prstGeom prst="rect">
                      <a:avLst/>
                    </a:prstGeom>
                  </pic:spPr>
                </pic:pic>
              </a:graphicData>
            </a:graphic>
          </wp:inline>
        </w:drawing>
      </w:r>
    </w:p>
    <w:p w14:paraId="744AD65E" w14:textId="0924D6F7" w:rsidR="001F2ACE" w:rsidRPr="00FF433C" w:rsidRDefault="001F2ACE" w:rsidP="00FF433C">
      <w:pPr>
        <w:pStyle w:val="Heading2"/>
      </w:pPr>
      <w:bookmarkStart w:id="10" w:name="_Toc224739580"/>
      <w:r w:rsidRPr="00FF433C">
        <w:t>Rivalry among existing firms</w:t>
      </w:r>
      <w:bookmarkEnd w:id="10"/>
    </w:p>
    <w:p w14:paraId="340332BB" w14:textId="77777777" w:rsidR="003866D8" w:rsidRDefault="00375D55" w:rsidP="00375D55">
      <w:pPr>
        <w:rPr>
          <w:rFonts w:ascii="Arial" w:hAnsi="Arial" w:cs="Arial"/>
        </w:rPr>
      </w:pPr>
      <w:r w:rsidRPr="00CF0070">
        <w:rPr>
          <w:rFonts w:ascii="Arial" w:hAnsi="Arial" w:cs="Arial"/>
        </w:rPr>
        <w:t>In a fiercely competitive industry, companies like Vauxhall need to stay on their toes and keep pushing forward. With limited brand equity and no room for premium pricing, they can't afford to rest on their laurels; they must continually prove themselves to succeed. Such competition is exacerbated by the shift to EVs, where firms are both investing heavily and competing for uncertain returns (Porter, 2008; Hill, Jones and Schilling, 2019).</w:t>
      </w:r>
    </w:p>
    <w:p w14:paraId="694B78D1" w14:textId="65A63319" w:rsidR="00375D55" w:rsidRPr="00CF0070" w:rsidRDefault="003866D8" w:rsidP="00375D55">
      <w:pPr>
        <w:rPr>
          <w:rFonts w:ascii="Arial" w:hAnsi="Arial" w:cs="Arial"/>
        </w:rPr>
      </w:pPr>
      <w:r>
        <w:rPr>
          <w:rFonts w:ascii="Arial" w:hAnsi="Arial" w:cs="Arial"/>
        </w:rPr>
        <w:t>This</w:t>
      </w:r>
      <w:r w:rsidR="00375D55" w:rsidRPr="00CF0070">
        <w:rPr>
          <w:rFonts w:ascii="Arial" w:hAnsi="Arial" w:cs="Arial"/>
        </w:rPr>
        <w:t xml:space="preserve"> might have strategic implications: that Vauxhall cannot simply hope to win against much larger rivals by </w:t>
      </w:r>
      <w:proofErr w:type="spellStart"/>
      <w:r w:rsidR="00375D55" w:rsidRPr="00CF0070">
        <w:rPr>
          <w:rFonts w:ascii="Arial" w:hAnsi="Arial" w:cs="Arial"/>
        </w:rPr>
        <w:t>outscaling</w:t>
      </w:r>
      <w:proofErr w:type="spellEnd"/>
      <w:r w:rsidR="00375D55" w:rsidRPr="00CF0070">
        <w:rPr>
          <w:rFonts w:ascii="Arial" w:hAnsi="Arial" w:cs="Arial"/>
        </w:rPr>
        <w:t xml:space="preserve"> them or copying their product lines. It requires a clearer stance, particularly in the UK market, regarding trust, practicality, fleet utility, and lower-friction electrification.</w:t>
      </w:r>
    </w:p>
    <w:p w14:paraId="6A182DF1" w14:textId="77777777" w:rsidR="00375D55" w:rsidRPr="00CF0070" w:rsidRDefault="00375D55" w:rsidP="00375D55">
      <w:pPr>
        <w:rPr>
          <w:rFonts w:ascii="Arial" w:hAnsi="Arial" w:cs="Arial"/>
        </w:rPr>
      </w:pPr>
    </w:p>
    <w:p w14:paraId="2374C689" w14:textId="77777777" w:rsidR="0045450C" w:rsidRPr="00D44142" w:rsidRDefault="0045450C" w:rsidP="00D44142">
      <w:pPr>
        <w:pStyle w:val="Heading2"/>
      </w:pPr>
      <w:bookmarkStart w:id="11" w:name="_Toc224739581"/>
      <w:r w:rsidRPr="00D44142">
        <w:t>Threat of new entrants</w:t>
      </w:r>
      <w:bookmarkEnd w:id="11"/>
    </w:p>
    <w:p w14:paraId="28E2586A" w14:textId="77777777" w:rsidR="0032588B" w:rsidRPr="00CF0070" w:rsidRDefault="0032588B" w:rsidP="0032588B">
      <w:pPr>
        <w:rPr>
          <w:rFonts w:ascii="Arial" w:hAnsi="Arial" w:cs="Arial"/>
        </w:rPr>
      </w:pPr>
      <w:r w:rsidRPr="00CF0070">
        <w:rPr>
          <w:rFonts w:ascii="Arial" w:hAnsi="Arial" w:cs="Arial"/>
        </w:rPr>
        <w:t>Supplier power has risen because advanced batteries, semiconductors and specialist components are not easily replaceable. Recent disruptions in the semiconductor industry have revealed some vulnerabilities in the automotive supply chains, especially when it comes to battery supplies, which are still quite sensitive. This means that companies with less purchasing power or limited insight into their supply could be at greater risk (Christopher, 2016).</w:t>
      </w:r>
    </w:p>
    <w:p w14:paraId="5A3F2087" w14:textId="3E6E0260" w:rsidR="009F6585" w:rsidRPr="00D44142" w:rsidRDefault="0032588B" w:rsidP="00BA4B24">
      <w:pPr>
        <w:rPr>
          <w:rFonts w:ascii="Arial" w:hAnsi="Arial" w:cs="Arial"/>
        </w:rPr>
      </w:pPr>
      <w:r w:rsidRPr="00CF0070">
        <w:rPr>
          <w:rFonts w:ascii="Arial" w:hAnsi="Arial" w:cs="Arial"/>
        </w:rPr>
        <w:t xml:space="preserve">Vauxhall benefits a bit from Stellantis' larger scale, which helps strengthen their purchasing power. That said, being part of a big group doesn’t completely shield them from risks. It lowers some of the threats but doesn’t remove them entirely. So, </w:t>
      </w:r>
      <w:r w:rsidRPr="00CF0070">
        <w:rPr>
          <w:rFonts w:ascii="Arial" w:hAnsi="Arial" w:cs="Arial"/>
        </w:rPr>
        <w:lastRenderedPageBreak/>
        <w:t>having a resilience plan like diversifying suppliers and standardizing platforms continues to be very important.</w:t>
      </w:r>
    </w:p>
    <w:p w14:paraId="26EAA105" w14:textId="469EEEE2" w:rsidR="00E15C73" w:rsidRPr="00D44142" w:rsidRDefault="00E15C73" w:rsidP="00D44142">
      <w:pPr>
        <w:pStyle w:val="Heading2"/>
      </w:pPr>
      <w:bookmarkStart w:id="12" w:name="_Toc224739582"/>
      <w:r w:rsidRPr="00D44142">
        <w:t>Buyer power</w:t>
      </w:r>
      <w:bookmarkEnd w:id="12"/>
    </w:p>
    <w:p w14:paraId="140E56A3" w14:textId="2AFCCF44" w:rsidR="00BA4B24" w:rsidRPr="00CF0070" w:rsidRDefault="00BA4B24" w:rsidP="00BA4B24">
      <w:pPr>
        <w:rPr>
          <w:rFonts w:ascii="Arial" w:hAnsi="Arial" w:cs="Arial"/>
          <w:b/>
          <w:bCs/>
        </w:rPr>
      </w:pPr>
      <w:r w:rsidRPr="00CF0070">
        <w:rPr>
          <w:rFonts w:ascii="Arial" w:hAnsi="Arial" w:cs="Arial"/>
        </w:rPr>
        <w:t>Buyer power is notably robust due to customers' ability to effortlessly compare prices, specifications, reviews, and financing options across various brands. In mass-market segments, the costs associated with switching are relatively minimal</w:t>
      </w:r>
      <w:r w:rsidR="00F7227B" w:rsidRPr="00CF0070">
        <w:rPr>
          <w:rFonts w:ascii="Arial" w:hAnsi="Arial" w:cs="Arial"/>
        </w:rPr>
        <w:t xml:space="preserve"> (Porter, 2008; Johnson et al., 2020).</w:t>
      </w:r>
    </w:p>
    <w:p w14:paraId="36ED81AB" w14:textId="4F249E4D" w:rsidR="009F6585" w:rsidRPr="00CF0070" w:rsidRDefault="00BA4B24" w:rsidP="00BA4B24">
      <w:pPr>
        <w:rPr>
          <w:rFonts w:ascii="Arial" w:hAnsi="Arial" w:cs="Arial"/>
        </w:rPr>
      </w:pPr>
      <w:r w:rsidRPr="00CF0070">
        <w:rPr>
          <w:rFonts w:ascii="Arial" w:hAnsi="Arial" w:cs="Arial"/>
        </w:rPr>
        <w:t xml:space="preserve">This shows that Vauxhall needs to stand out not just with its product features but by offering a complete package. This includes the purchase price, financing options, charging support, easy servicing, and confidence in resale value. In other words, buyer power makes value architecture strategically </w:t>
      </w:r>
      <w:proofErr w:type="gramStart"/>
      <w:r w:rsidRPr="00CF0070">
        <w:rPr>
          <w:rFonts w:ascii="Arial" w:hAnsi="Arial" w:cs="Arial"/>
        </w:rPr>
        <w:t>important</w:t>
      </w:r>
      <w:r w:rsidR="00964581" w:rsidRPr="00CF0070">
        <w:rPr>
          <w:rFonts w:ascii="Arial" w:hAnsi="Arial" w:cs="Arial"/>
        </w:rPr>
        <w:t>(</w:t>
      </w:r>
      <w:proofErr w:type="gramEnd"/>
      <w:r w:rsidR="00964581" w:rsidRPr="00CF0070">
        <w:rPr>
          <w:rFonts w:ascii="Arial" w:hAnsi="Arial" w:cs="Arial"/>
        </w:rPr>
        <w:t>Grant, 2022; Kotler and Keller, 2016).</w:t>
      </w:r>
    </w:p>
    <w:p w14:paraId="5CC1EE8C" w14:textId="77777777" w:rsidR="00CB30ED" w:rsidRPr="00DF4C5A" w:rsidRDefault="00CB30ED" w:rsidP="00DF4C5A">
      <w:pPr>
        <w:pStyle w:val="Heading2"/>
      </w:pPr>
      <w:bookmarkStart w:id="13" w:name="_Toc224739583"/>
      <w:r w:rsidRPr="00DF4C5A">
        <w:t>Threat of substitutes</w:t>
      </w:r>
      <w:bookmarkEnd w:id="13"/>
    </w:p>
    <w:p w14:paraId="6D77D7A9" w14:textId="0A87CBFB" w:rsidR="00037C68" w:rsidRPr="00CF0070" w:rsidRDefault="00037C68" w:rsidP="00037C68">
      <w:pPr>
        <w:rPr>
          <w:rFonts w:ascii="Arial" w:hAnsi="Arial" w:cs="Arial"/>
        </w:rPr>
      </w:pPr>
      <w:r w:rsidRPr="00CF0070">
        <w:rPr>
          <w:rFonts w:ascii="Arial" w:hAnsi="Arial" w:cs="Arial"/>
        </w:rPr>
        <w:t>Public transport, shared mobility, and micromobility are more relevant in densely populated metropolitan areas than elsewhere. They still limit long-term private ownership growth in some segments. In vans and commercial applications, substitution is less of a threat, boosting Vauxhall's commercial vehicle market share. The main point is that market segments develop differently. Instead of treating mobility transformation as homogeneous, the strategy should carefully distinguish between the passenger and commercial markets</w:t>
      </w:r>
      <w:r w:rsidR="00777F68" w:rsidRPr="00CF0070">
        <w:rPr>
          <w:rFonts w:ascii="Arial" w:hAnsi="Arial" w:cs="Arial"/>
        </w:rPr>
        <w:t xml:space="preserve"> (Johnson et al., 2020).</w:t>
      </w:r>
    </w:p>
    <w:p w14:paraId="6F254E49" w14:textId="2A9AC442" w:rsidR="00824BBD" w:rsidRPr="00CF0070" w:rsidRDefault="00797209" w:rsidP="00824BBD">
      <w:pPr>
        <w:rPr>
          <w:rFonts w:ascii="Arial" w:hAnsi="Arial" w:cs="Arial"/>
        </w:rPr>
      </w:pPr>
      <w:r w:rsidRPr="00CF0070">
        <w:rPr>
          <w:rFonts w:ascii="Arial" w:hAnsi="Arial" w:cs="Arial"/>
        </w:rPr>
        <w:t>The Five Forces study highlights that Vauxhall is part of a competitive and challenging industry. Gaining a lasting advantage might be tough, with success often depending on adaptability rather than a fixed position (Porter, 2008; Grant, 2022).</w:t>
      </w:r>
    </w:p>
    <w:p w14:paraId="6BECCDC9" w14:textId="6C16837F" w:rsidR="00C044D9" w:rsidRPr="00DF4C5A" w:rsidRDefault="008F2F43" w:rsidP="00DF4C5A">
      <w:pPr>
        <w:pStyle w:val="Heading1"/>
      </w:pPr>
      <w:bookmarkStart w:id="14" w:name="_Toc224739584"/>
      <w:r>
        <w:t>Value chain</w:t>
      </w:r>
      <w:r w:rsidR="00C90287" w:rsidRPr="00DF4C5A">
        <w:t xml:space="preserve"> </w:t>
      </w:r>
      <w:r>
        <w:t>a</w:t>
      </w:r>
      <w:r w:rsidR="00C90287" w:rsidRPr="00DF4C5A">
        <w:t>nalysis</w:t>
      </w:r>
      <w:bookmarkEnd w:id="14"/>
      <w:r w:rsidR="00C044D9" w:rsidRPr="00DF4C5A">
        <w:tab/>
      </w:r>
    </w:p>
    <w:p w14:paraId="5A595F75" w14:textId="77777777" w:rsidR="007F1135" w:rsidRPr="00CF0070" w:rsidRDefault="00C044D9" w:rsidP="00C044D9">
      <w:pPr>
        <w:tabs>
          <w:tab w:val="left" w:pos="2854"/>
        </w:tabs>
        <w:rPr>
          <w:rFonts w:ascii="Arial" w:hAnsi="Arial" w:cs="Arial"/>
        </w:rPr>
      </w:pPr>
      <w:r w:rsidRPr="00CF0070">
        <w:rPr>
          <w:rFonts w:ascii="Arial" w:hAnsi="Arial" w:cs="Arial"/>
        </w:rPr>
        <w:t xml:space="preserve">Vauxhall's value chain should be perceived not as an independent entity but as integrated within a multinational corporate network. Inbound logistics and procurement benefit from Stellantis' large scale, which boosts their ability to negotiate better deals and enables the use of standardized designs. Meanwhile, operations are boosted by collaborative platforms and electrification technologies, leading to increased cost efficiency. Marketing and sales retain a more </w:t>
      </w:r>
      <w:r w:rsidRPr="00CF0070">
        <w:rPr>
          <w:rFonts w:ascii="Arial" w:hAnsi="Arial" w:cs="Arial"/>
          <w:u w:val="single"/>
        </w:rPr>
        <w:t xml:space="preserve">localised </w:t>
      </w:r>
      <w:r w:rsidRPr="00CF0070">
        <w:rPr>
          <w:rFonts w:ascii="Arial" w:hAnsi="Arial" w:cs="Arial"/>
        </w:rPr>
        <w:t>character due to the significance of Vauxhall's UK identity in consumer and fleet decision-making. Service and aftersales play a crucial role in encouraging the adoption of electric vehicles, as people's confidence in support, maintenance, and customer guidance is essential for their decision to go electric. (Porter, 1985; Kotler and Keller, 2016).</w:t>
      </w:r>
      <w:r w:rsidR="007F1135" w:rsidRPr="00CF0070">
        <w:rPr>
          <w:rFonts w:ascii="Arial" w:hAnsi="Arial" w:cs="Arial"/>
        </w:rPr>
        <w:t xml:space="preserve"> </w:t>
      </w:r>
    </w:p>
    <w:p w14:paraId="1318079D" w14:textId="5184450A" w:rsidR="0074138F" w:rsidRPr="00CF0070" w:rsidRDefault="0074138F" w:rsidP="00C044D9">
      <w:pPr>
        <w:tabs>
          <w:tab w:val="left" w:pos="2854"/>
        </w:tabs>
        <w:rPr>
          <w:rFonts w:ascii="Arial" w:hAnsi="Arial" w:cs="Arial"/>
        </w:rPr>
      </w:pPr>
      <w:r w:rsidRPr="00CF0070">
        <w:rPr>
          <w:rFonts w:ascii="Arial" w:hAnsi="Arial" w:cs="Arial"/>
        </w:rPr>
        <w:t xml:space="preserve">Vauxhall has a wonderful chance to bring together practical yet valuable resources to craft a unique market offering. This approach resonates with the idea of dynamic </w:t>
      </w:r>
      <w:r w:rsidRPr="00CF0070">
        <w:rPr>
          <w:rFonts w:ascii="Arial" w:hAnsi="Arial" w:cs="Arial"/>
        </w:rPr>
        <w:lastRenderedPageBreak/>
        <w:t xml:space="preserve">capabilities, highlighting the importance of integration, reconfiguration, and adapting promptly to changes. (Teece, </w:t>
      </w:r>
      <w:r w:rsidRPr="00CF0070">
        <w:rPr>
          <w:rFonts w:ascii="Arial" w:hAnsi="Arial" w:cs="Arial"/>
          <w:u w:val="single"/>
        </w:rPr>
        <w:t xml:space="preserve">Pisano </w:t>
      </w:r>
      <w:r w:rsidRPr="00CF0070">
        <w:rPr>
          <w:rFonts w:ascii="Arial" w:hAnsi="Arial" w:cs="Arial"/>
        </w:rPr>
        <w:t xml:space="preserve">and </w:t>
      </w:r>
      <w:proofErr w:type="spellStart"/>
      <w:r w:rsidRPr="00CF0070">
        <w:rPr>
          <w:rFonts w:ascii="Arial" w:hAnsi="Arial" w:cs="Arial"/>
        </w:rPr>
        <w:t>Shuen</w:t>
      </w:r>
      <w:proofErr w:type="spellEnd"/>
      <w:r w:rsidRPr="00CF0070">
        <w:rPr>
          <w:rFonts w:ascii="Arial" w:hAnsi="Arial" w:cs="Arial"/>
        </w:rPr>
        <w:t>, 1997; Eisenhardt and Martin, 2000).</w:t>
      </w:r>
    </w:p>
    <w:p w14:paraId="43B9DA59" w14:textId="4BFA6564" w:rsidR="002E5515" w:rsidRPr="00DF4C5A" w:rsidRDefault="002E5515" w:rsidP="00DF4C5A">
      <w:pPr>
        <w:pStyle w:val="Heading1"/>
      </w:pPr>
      <w:bookmarkStart w:id="15" w:name="_Toc224739585"/>
      <w:r w:rsidRPr="00DF4C5A">
        <w:t>VRIO Analysis</w:t>
      </w:r>
      <w:bookmarkEnd w:id="15"/>
    </w:p>
    <w:p w14:paraId="7E71CCDD" w14:textId="3EF629F2" w:rsidR="002E5515" w:rsidRPr="00CF0070" w:rsidRDefault="00F660DC" w:rsidP="002E5515">
      <w:pPr>
        <w:rPr>
          <w:rFonts w:ascii="Arial" w:hAnsi="Arial" w:cs="Arial"/>
        </w:rPr>
      </w:pPr>
      <w:r w:rsidRPr="00CF0070">
        <w:rPr>
          <w:rFonts w:ascii="Arial" w:hAnsi="Arial" w:cs="Arial"/>
          <w:noProof/>
        </w:rPr>
        <w:drawing>
          <wp:inline distT="0" distB="0" distL="0" distR="0" wp14:anchorId="087D70D5" wp14:editId="73E0D40F">
            <wp:extent cx="5832389" cy="1747099"/>
            <wp:effectExtent l="0" t="0" r="0" b="5715"/>
            <wp:docPr id="1974025457" name="Picture 3" descr="The diagram illustrates a comparison matrix of various resources or capabilities, their scarcity, and strategic implications for a company, such as brand recognition, competitive parity, and market segment adva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25457" name="Picture 3" descr="The diagram illustrates a comparison matrix of various resources or capabilities, their scarcity, and strategic implications for a company, such as brand recognition, competitive parity, and market segment advantag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05197" cy="1768909"/>
                    </a:xfrm>
                    <a:prstGeom prst="rect">
                      <a:avLst/>
                    </a:prstGeom>
                  </pic:spPr>
                </pic:pic>
              </a:graphicData>
            </a:graphic>
          </wp:inline>
        </w:drawing>
      </w:r>
    </w:p>
    <w:p w14:paraId="425E583F" w14:textId="77777777" w:rsidR="004407BF" w:rsidRPr="00CF0070" w:rsidRDefault="000B0451" w:rsidP="004407BF">
      <w:pPr>
        <w:rPr>
          <w:rFonts w:ascii="Arial" w:hAnsi="Arial" w:cs="Arial"/>
        </w:rPr>
      </w:pPr>
      <w:r w:rsidRPr="00CF0070">
        <w:rPr>
          <w:rFonts w:ascii="Arial" w:hAnsi="Arial" w:cs="Arial"/>
        </w:rPr>
        <w:t>Vauxhall Motors benefits from its well-known brand in the UK and the cutting-edge technology provided by its parent company, Stellantis. These resources are incredibly helpful because they encourage innovation and support the company's efforts to stay competitiv</w:t>
      </w:r>
      <w:r w:rsidRPr="00CF0070">
        <w:rPr>
          <w:rFonts w:ascii="Arial" w:hAnsi="Arial" w:cs="Arial"/>
          <w:u w:val="single"/>
        </w:rPr>
        <w:t>e ma</w:t>
      </w:r>
      <w:r w:rsidRPr="00CF0070">
        <w:rPr>
          <w:rFonts w:ascii="Arial" w:hAnsi="Arial" w:cs="Arial"/>
        </w:rPr>
        <w:t>rket. However, since many automotive competitors also possess similar technologies and brand strength, these resources mainly provide a temporary competitive advantage rather than a sustained one (Barney, 1991; Johnson et al., 2020)</w:t>
      </w:r>
    </w:p>
    <w:p w14:paraId="357FE202" w14:textId="5237D11E" w:rsidR="00CE16A8" w:rsidRPr="00DF4C5A" w:rsidRDefault="00CE16A8" w:rsidP="00DF4C5A">
      <w:pPr>
        <w:pStyle w:val="Heading1"/>
      </w:pPr>
      <w:bookmarkStart w:id="16" w:name="_Toc224739586"/>
      <w:r w:rsidRPr="00DF4C5A">
        <w:t>SWOT Analysis</w:t>
      </w:r>
      <w:bookmarkEnd w:id="16"/>
    </w:p>
    <w:p w14:paraId="02DEA4BE" w14:textId="77777777" w:rsidR="00903CE1" w:rsidRPr="00CF0070" w:rsidRDefault="00CA2664" w:rsidP="00324F1B">
      <w:pPr>
        <w:rPr>
          <w:rFonts w:ascii="Arial" w:hAnsi="Arial" w:cs="Arial"/>
        </w:rPr>
      </w:pPr>
      <w:r w:rsidRPr="00CF0070">
        <w:rPr>
          <w:rFonts w:ascii="Arial" w:hAnsi="Arial" w:cs="Arial"/>
          <w:noProof/>
        </w:rPr>
        <w:drawing>
          <wp:inline distT="0" distB="0" distL="0" distR="0" wp14:anchorId="133AF65C" wp14:editId="67E87ABC">
            <wp:extent cx="5387340" cy="3509010"/>
            <wp:effectExtent l="0" t="0" r="3810" b="0"/>
            <wp:docPr id="1355336382" name="Picture 4" descr="The diagram outlines a company's internal strengths and weaknesses, external opportunities, and threats, focusing on aspects like brand recognition, market competition, supply chain exposure, and environmental policies affecting electric vehicle (EV) ado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36382" name="Picture 4" descr="The diagram outlines a company's internal strengths and weaknesses, external opportunities, and threats, focusing on aspects like brand recognition, market competition, supply chain exposure, and environmental policies affecting electric vehicle (EV) adoptio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387340" cy="3509010"/>
                    </a:xfrm>
                    <a:prstGeom prst="rect">
                      <a:avLst/>
                    </a:prstGeom>
                  </pic:spPr>
                </pic:pic>
              </a:graphicData>
            </a:graphic>
          </wp:inline>
        </w:drawing>
      </w:r>
    </w:p>
    <w:p w14:paraId="5F7DAF26" w14:textId="5C33AD80" w:rsidR="001F5D40" w:rsidRPr="00CF0070" w:rsidRDefault="00324F1B" w:rsidP="00324F1B">
      <w:pPr>
        <w:rPr>
          <w:rFonts w:ascii="Arial" w:hAnsi="Arial" w:cs="Arial"/>
        </w:rPr>
      </w:pPr>
      <w:r w:rsidRPr="00CF0070">
        <w:rPr>
          <w:rFonts w:ascii="Arial" w:hAnsi="Arial" w:cs="Arial"/>
        </w:rPr>
        <w:lastRenderedPageBreak/>
        <w:t>The SWOT analysis shows that Vauxhall Motors has strengths and opportunities linked to electrification and practical mobility. However, it also faces obstacles related to differentiation and profitability in a highly competitive market. As more companies produce electric vehicles, electrification alone no longer creates a strong competitive advantage. Therefore, Vauxhall should focus on offering practical and accessible electric vehicles for mainstream and fleet customers in the UK (Grant, 2022; Johnson et al., 2020).</w:t>
      </w:r>
    </w:p>
    <w:p w14:paraId="765D8813" w14:textId="73B52323" w:rsidR="00CE16A8" w:rsidRPr="00DF4C5A" w:rsidRDefault="001F5D40" w:rsidP="00DF4C5A">
      <w:pPr>
        <w:pStyle w:val="Heading1"/>
      </w:pPr>
      <w:bookmarkStart w:id="17" w:name="_Toc224739587"/>
      <w:r w:rsidRPr="00DF4C5A">
        <w:t>Strategy Formulation</w:t>
      </w:r>
      <w:bookmarkEnd w:id="17"/>
    </w:p>
    <w:p w14:paraId="074011D6" w14:textId="520150AC" w:rsidR="00A0131B" w:rsidRPr="00CF0070" w:rsidRDefault="005E6354" w:rsidP="005E6354">
      <w:pPr>
        <w:rPr>
          <w:rFonts w:ascii="Arial" w:hAnsi="Arial" w:cs="Arial"/>
        </w:rPr>
      </w:pPr>
      <w:r w:rsidRPr="00CF0070">
        <w:rPr>
          <w:rFonts w:ascii="Arial" w:hAnsi="Arial" w:cs="Arial"/>
        </w:rPr>
        <w:t>Vauxhall Motors has identified three strategic options. The first option involves implementing a "product-led electrification strategy," whereby the company expands its range of electric vehicles to comply with environmental regulations and demand. This approach is necessary, but on its own may not generate a significant competitive advantage, as multiple others take a similar path toward electrification (Grant, 2022; Porter, 2008).</w:t>
      </w:r>
    </w:p>
    <w:p w14:paraId="74F6F6BD" w14:textId="5326816D" w:rsidR="005E6354" w:rsidRPr="00CF0070" w:rsidRDefault="005E6354" w:rsidP="005E6354">
      <w:pPr>
        <w:rPr>
          <w:rFonts w:ascii="Arial" w:hAnsi="Arial" w:cs="Arial"/>
        </w:rPr>
      </w:pPr>
      <w:r w:rsidRPr="00CF0070">
        <w:rPr>
          <w:rFonts w:ascii="Arial" w:hAnsi="Arial" w:cs="Arial"/>
        </w:rPr>
        <w:t>Second option leadership strategy: Vauxhall becomes cheap entry point into EV market. While this corresponds to the brand’s mainstream positioning, a predominant focus on low prices can lower profit margins and accelerate competition based on costs (Porter, 1985; Hill, Jones and Schilling, 2019).</w:t>
      </w:r>
    </w:p>
    <w:p w14:paraId="1559DD3B" w14:textId="252C2604" w:rsidR="005E6354" w:rsidRPr="00CF0070" w:rsidRDefault="005E6354" w:rsidP="00CE16A8">
      <w:pPr>
        <w:rPr>
          <w:rFonts w:ascii="Arial" w:hAnsi="Arial" w:cs="Arial"/>
        </w:rPr>
      </w:pPr>
      <w:r w:rsidRPr="00CF0070">
        <w:rPr>
          <w:rFonts w:ascii="Arial" w:hAnsi="Arial" w:cs="Arial"/>
        </w:rPr>
        <w:t xml:space="preserve">Leveraging the tech resources of parent company Stellantis, Vauxhall </w:t>
      </w:r>
      <w:proofErr w:type="gramStart"/>
      <w:r w:rsidRPr="00CF0070">
        <w:rPr>
          <w:rFonts w:ascii="Arial" w:hAnsi="Arial" w:cs="Arial"/>
        </w:rPr>
        <w:t>is able to</w:t>
      </w:r>
      <w:proofErr w:type="gramEnd"/>
      <w:r w:rsidRPr="00CF0070">
        <w:rPr>
          <w:rFonts w:ascii="Arial" w:hAnsi="Arial" w:cs="Arial"/>
        </w:rPr>
        <w:t xml:space="preserve"> provide practical and well-rounded EVs with strong aftersales support and value for money. This doctrine is designed to meet the needs of diverse and fleet customers, helping to build a stronger and more unique competitive position in the UK market (Johnson et al., 2020; Barney, 1991; Teece, 2018).</w:t>
      </w:r>
    </w:p>
    <w:p w14:paraId="007401C0" w14:textId="1641D649" w:rsidR="00387587" w:rsidRPr="00DF4C5A" w:rsidRDefault="00387587" w:rsidP="00DF4C5A">
      <w:pPr>
        <w:pStyle w:val="Heading1"/>
      </w:pPr>
      <w:bookmarkStart w:id="18" w:name="_Toc224739588"/>
      <w:r w:rsidRPr="00DF4C5A">
        <w:t>Recommended Strategy</w:t>
      </w:r>
      <w:bookmarkEnd w:id="18"/>
    </w:p>
    <w:p w14:paraId="5435A83E" w14:textId="77777777" w:rsidR="00A61A79" w:rsidRPr="00CF0070" w:rsidRDefault="00A61A79" w:rsidP="00A61A79">
      <w:pPr>
        <w:rPr>
          <w:rFonts w:ascii="Arial" w:hAnsi="Arial" w:cs="Arial"/>
        </w:rPr>
      </w:pPr>
      <w:r w:rsidRPr="00CF0070">
        <w:rPr>
          <w:rFonts w:ascii="Arial" w:hAnsi="Arial" w:cs="Arial"/>
        </w:rPr>
        <w:t xml:space="preserve">Based on the analysis, Vauxhall Motors is encouraged to adopt a more tailored approach to value and accessibility, which can help brighten its position in the market. It’s a fantastic opportunity for the company to expand its electric vehicle options, especially in popular segments like small cars and commercial van areas, where Vauxhall already has a solid reputation. </w:t>
      </w:r>
    </w:p>
    <w:p w14:paraId="4E99B47F" w14:textId="38621498" w:rsidR="00A61A79" w:rsidRPr="00CF0070" w:rsidRDefault="00A61A79" w:rsidP="00CE16A8">
      <w:pPr>
        <w:rPr>
          <w:rFonts w:ascii="Arial" w:hAnsi="Arial" w:cs="Arial"/>
        </w:rPr>
      </w:pPr>
      <w:r w:rsidRPr="00CF0070">
        <w:rPr>
          <w:rFonts w:ascii="Arial" w:hAnsi="Arial" w:cs="Arial"/>
        </w:rPr>
        <w:t>Second, Vauxhall should develop a stronger EV ecosystem, including charging partnerships and better digital support for customers, as consumers increasingly consider the overall mobility experience when purchasing electric vehicles (Teece, 2018). Finally, the company should strengthen its fleet market and digital services to improve the customer journey from purchase to after-sales support (Johnson et al., 2020).</w:t>
      </w:r>
    </w:p>
    <w:p w14:paraId="4EA436D4" w14:textId="0CD845C6" w:rsidR="00EA1429" w:rsidRPr="00DF4C5A" w:rsidRDefault="00EA1429" w:rsidP="00DF4C5A">
      <w:pPr>
        <w:pStyle w:val="Heading1"/>
      </w:pPr>
      <w:bookmarkStart w:id="19" w:name="_Toc224739589"/>
      <w:r w:rsidRPr="00DF4C5A">
        <w:lastRenderedPageBreak/>
        <w:t>Conclusion and Recommendations</w:t>
      </w:r>
      <w:bookmarkEnd w:id="19"/>
    </w:p>
    <w:p w14:paraId="5D1B3A86" w14:textId="77777777" w:rsidR="00CD3722" w:rsidRPr="00CF0070" w:rsidRDefault="00CD3722" w:rsidP="00CD3722">
      <w:pPr>
        <w:rPr>
          <w:rFonts w:ascii="Arial" w:hAnsi="Arial" w:cs="Arial"/>
        </w:rPr>
      </w:pPr>
      <w:r w:rsidRPr="00CF0070">
        <w:rPr>
          <w:rFonts w:ascii="Arial" w:hAnsi="Arial" w:cs="Arial"/>
        </w:rPr>
        <w:t xml:space="preserve">The analysis indicates that Vauxhall Motors is situated within a dynamic automotive industry that is undergoing rapid transformation, propelled by innovative technological advancements and evolving consumer preferences. Environmental regulations, technological innovation and consumer expectations are reshaping competition in the sector (Johnson et al., 2020; Grant, 2022). As part of the Stellantis group, Vauxhall benefits from major technological and strategic support, especially </w:t>
      </w:r>
      <w:proofErr w:type="gramStart"/>
      <w:r w:rsidRPr="00CF0070">
        <w:rPr>
          <w:rFonts w:ascii="Arial" w:hAnsi="Arial" w:cs="Arial"/>
        </w:rPr>
        <w:t>in the area of</w:t>
      </w:r>
      <w:proofErr w:type="gramEnd"/>
      <w:r w:rsidRPr="00CF0070">
        <w:rPr>
          <w:rFonts w:ascii="Arial" w:hAnsi="Arial" w:cs="Arial"/>
        </w:rPr>
        <w:t xml:space="preserve"> electric vehicle development. That said, these advantages, by themselves, won’t lead to success over the long term.</w:t>
      </w:r>
    </w:p>
    <w:p w14:paraId="78A10071" w14:textId="77777777" w:rsidR="00CD3722" w:rsidRPr="00CF0070" w:rsidRDefault="00CD3722" w:rsidP="00CD3722">
      <w:pPr>
        <w:rPr>
          <w:rFonts w:ascii="Arial" w:hAnsi="Arial" w:cs="Arial"/>
        </w:rPr>
      </w:pPr>
      <w:r w:rsidRPr="00CF0070">
        <w:rPr>
          <w:rFonts w:ascii="Arial" w:hAnsi="Arial" w:cs="Arial"/>
        </w:rPr>
        <w:t>Vauxhall must deliver the right strategy in 2024 to remain competitive. That involves ramping up electric vehicle production in segment-defining categories, bolstering customer confidence in the managing an electric future for their mobility needs and ensuring more partnership support across the domain of charging and service ecosystem. Moreover, developing a distinctive brand identity in the UK market and reaping the rewards of Stellantis' international resources will be critical for setting up the long-term growth (Porter, 2008; Grant, 2022).</w:t>
      </w:r>
    </w:p>
    <w:p w14:paraId="539AE01E" w14:textId="77777777" w:rsidR="00CD3722" w:rsidRDefault="00CD3722" w:rsidP="00CD3722">
      <w:pPr>
        <w:rPr>
          <w:rFonts w:ascii="Arial" w:hAnsi="Arial" w:cs="Arial"/>
        </w:rPr>
      </w:pPr>
      <w:r w:rsidRPr="00CF0070">
        <w:rPr>
          <w:rFonts w:ascii="Arial" w:hAnsi="Arial" w:cs="Arial"/>
        </w:rPr>
        <w:t>On paper, Vauxhall has what it takes but the test will be how well they can leverage that into pragmatic and viable electric mobility for everyday and fleet customers.</w:t>
      </w:r>
    </w:p>
    <w:p w14:paraId="595B1E32" w14:textId="77777777" w:rsidR="00CF0070" w:rsidRDefault="00CF0070" w:rsidP="00CD3722">
      <w:pPr>
        <w:rPr>
          <w:rFonts w:ascii="Arial" w:hAnsi="Arial" w:cs="Arial"/>
        </w:rPr>
      </w:pPr>
    </w:p>
    <w:p w14:paraId="49AC95F2" w14:textId="77777777" w:rsidR="00CF0070" w:rsidRDefault="00CF0070" w:rsidP="00CD3722">
      <w:pPr>
        <w:rPr>
          <w:rFonts w:ascii="Arial" w:hAnsi="Arial" w:cs="Arial"/>
        </w:rPr>
      </w:pPr>
    </w:p>
    <w:p w14:paraId="3205587A" w14:textId="77777777" w:rsidR="00CF0070" w:rsidRDefault="00CF0070" w:rsidP="00CD3722">
      <w:pPr>
        <w:rPr>
          <w:rFonts w:ascii="Arial" w:hAnsi="Arial" w:cs="Arial"/>
        </w:rPr>
      </w:pPr>
    </w:p>
    <w:p w14:paraId="75A0DCAA" w14:textId="77777777" w:rsidR="00CF0070" w:rsidRDefault="00CF0070" w:rsidP="00CD3722">
      <w:pPr>
        <w:rPr>
          <w:rFonts w:ascii="Arial" w:hAnsi="Arial" w:cs="Arial"/>
        </w:rPr>
      </w:pPr>
    </w:p>
    <w:p w14:paraId="70759921" w14:textId="77777777" w:rsidR="00CF0070" w:rsidRDefault="00CF0070" w:rsidP="00CD3722">
      <w:pPr>
        <w:rPr>
          <w:rFonts w:ascii="Arial" w:hAnsi="Arial" w:cs="Arial"/>
        </w:rPr>
      </w:pPr>
    </w:p>
    <w:p w14:paraId="5C2EBE3E" w14:textId="77777777" w:rsidR="00CF0070" w:rsidRDefault="00CF0070" w:rsidP="00CD3722">
      <w:pPr>
        <w:rPr>
          <w:rFonts w:ascii="Arial" w:hAnsi="Arial" w:cs="Arial"/>
        </w:rPr>
      </w:pPr>
    </w:p>
    <w:p w14:paraId="6467F610" w14:textId="77777777" w:rsidR="00CF0070" w:rsidRDefault="00CF0070" w:rsidP="00CD3722">
      <w:pPr>
        <w:rPr>
          <w:rFonts w:ascii="Arial" w:hAnsi="Arial" w:cs="Arial"/>
        </w:rPr>
      </w:pPr>
    </w:p>
    <w:p w14:paraId="54E8AE96" w14:textId="77777777" w:rsidR="00CF0070" w:rsidRDefault="00CF0070" w:rsidP="00CD3722">
      <w:pPr>
        <w:rPr>
          <w:rFonts w:ascii="Arial" w:hAnsi="Arial" w:cs="Arial"/>
        </w:rPr>
      </w:pPr>
    </w:p>
    <w:p w14:paraId="7CEC3542" w14:textId="77777777" w:rsidR="00CF0070" w:rsidRDefault="00CF0070" w:rsidP="00CD3722">
      <w:pPr>
        <w:rPr>
          <w:rFonts w:ascii="Arial" w:hAnsi="Arial" w:cs="Arial"/>
        </w:rPr>
      </w:pPr>
    </w:p>
    <w:p w14:paraId="5DB051FD" w14:textId="77777777" w:rsidR="00CF0070" w:rsidRDefault="00CF0070" w:rsidP="00CD3722">
      <w:pPr>
        <w:rPr>
          <w:rFonts w:ascii="Arial" w:hAnsi="Arial" w:cs="Arial"/>
        </w:rPr>
      </w:pPr>
    </w:p>
    <w:p w14:paraId="31BA510D" w14:textId="77777777" w:rsidR="00CF0070" w:rsidRDefault="00CF0070" w:rsidP="00CD3722">
      <w:pPr>
        <w:rPr>
          <w:rFonts w:ascii="Arial" w:hAnsi="Arial" w:cs="Arial"/>
        </w:rPr>
      </w:pPr>
    </w:p>
    <w:p w14:paraId="2674626E" w14:textId="77777777" w:rsidR="00CF0070" w:rsidRDefault="00CF0070" w:rsidP="00CD3722">
      <w:pPr>
        <w:rPr>
          <w:rFonts w:ascii="Arial" w:hAnsi="Arial" w:cs="Arial"/>
        </w:rPr>
      </w:pPr>
    </w:p>
    <w:p w14:paraId="29A9B366" w14:textId="77777777" w:rsidR="00CF0070" w:rsidRDefault="00CF0070" w:rsidP="00CD3722">
      <w:pPr>
        <w:rPr>
          <w:rFonts w:ascii="Arial" w:hAnsi="Arial" w:cs="Arial"/>
        </w:rPr>
      </w:pPr>
    </w:p>
    <w:p w14:paraId="2ABBCBB0" w14:textId="77777777" w:rsidR="00CF0070" w:rsidRPr="00CF0070" w:rsidRDefault="00CF0070" w:rsidP="00CD3722">
      <w:pPr>
        <w:rPr>
          <w:rFonts w:ascii="Arial" w:hAnsi="Arial" w:cs="Arial"/>
        </w:rPr>
      </w:pPr>
    </w:p>
    <w:p w14:paraId="4C603D8A" w14:textId="77777777" w:rsidR="00F72BBA" w:rsidRPr="00F72BBA" w:rsidRDefault="00F72BBA" w:rsidP="00CF0070">
      <w:pPr>
        <w:pStyle w:val="Heading1"/>
      </w:pPr>
      <w:bookmarkStart w:id="20" w:name="_Toc224739590"/>
      <w:r w:rsidRPr="00F72BBA">
        <w:lastRenderedPageBreak/>
        <w:t>References</w:t>
      </w:r>
      <w:bookmarkEnd w:id="20"/>
    </w:p>
    <w:p w14:paraId="2325A5BC" w14:textId="6EDFFECA"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ACEA (2024) </w:t>
      </w:r>
      <w:r w:rsidRPr="00CF0070">
        <w:rPr>
          <w:rFonts w:ascii="Arial" w:hAnsi="Arial" w:cs="Arial"/>
          <w:i/>
          <w:iCs/>
        </w:rPr>
        <w:t>Economic and market report: Global and EU auto industry full year 2024</w:t>
      </w:r>
      <w:r w:rsidRPr="00CF0070">
        <w:rPr>
          <w:rFonts w:ascii="Arial" w:hAnsi="Arial" w:cs="Arial"/>
        </w:rPr>
        <w:t xml:space="preserve">. Brussels: European Automobile Manufacturers’ Association. Available at: </w:t>
      </w:r>
      <w:hyperlink r:id="rId12" w:tgtFrame="_new" w:history="1">
        <w:r w:rsidRPr="00CF0070">
          <w:rPr>
            <w:rStyle w:val="Hyperlink"/>
            <w:rFonts w:ascii="Arial" w:hAnsi="Arial" w:cs="Arial"/>
          </w:rPr>
          <w:t>https://www.acea.auto/publication/economic-and-market-report-global-and-eu-auto-industry-full-year-2024/</w:t>
        </w:r>
      </w:hyperlink>
      <w:r w:rsidRPr="00CF0070">
        <w:rPr>
          <w:rFonts w:ascii="Arial" w:hAnsi="Arial" w:cs="Arial"/>
        </w:rPr>
        <w:t xml:space="preserve"> (Accessed: 1</w:t>
      </w:r>
      <w:r w:rsidR="00EE0681" w:rsidRPr="00CF0070">
        <w:rPr>
          <w:rFonts w:ascii="Arial" w:hAnsi="Arial" w:cs="Arial"/>
        </w:rPr>
        <w:t>1</w:t>
      </w:r>
      <w:r w:rsidRPr="00CF0070">
        <w:rPr>
          <w:rFonts w:ascii="Arial" w:hAnsi="Arial" w:cs="Arial"/>
        </w:rPr>
        <w:t xml:space="preserve"> March 2026).</w:t>
      </w:r>
    </w:p>
    <w:p w14:paraId="7653E586" w14:textId="33215C8E"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Barney, J. (1991) ‘Firm resources and sustained competitive advantage’, </w:t>
      </w:r>
      <w:r w:rsidRPr="00CF0070">
        <w:rPr>
          <w:rFonts w:ascii="Arial" w:hAnsi="Arial" w:cs="Arial"/>
          <w:i/>
          <w:iCs/>
        </w:rPr>
        <w:t>Journal of Management</w:t>
      </w:r>
      <w:r w:rsidRPr="00CF0070">
        <w:rPr>
          <w:rFonts w:ascii="Arial" w:hAnsi="Arial" w:cs="Arial"/>
        </w:rPr>
        <w:t xml:space="preserve">, 17(1), pp. 99–120. </w:t>
      </w:r>
      <w:hyperlink r:id="rId13" w:tgtFrame="_new" w:history="1">
        <w:r w:rsidRPr="00CF0070">
          <w:rPr>
            <w:rStyle w:val="Hyperlink"/>
            <w:rFonts w:ascii="Arial" w:hAnsi="Arial" w:cs="Arial"/>
          </w:rPr>
          <w:t>https://doi.org/10.1177/014920639101700108</w:t>
        </w:r>
      </w:hyperlink>
      <w:r w:rsidR="00ED6CA0" w:rsidRPr="00CF0070">
        <w:rPr>
          <w:rFonts w:ascii="Arial" w:hAnsi="Arial" w:cs="Arial"/>
        </w:rPr>
        <w:t xml:space="preserve"> </w:t>
      </w:r>
      <w:r w:rsidR="00ED6CA0" w:rsidRPr="00CF0070">
        <w:rPr>
          <w:rFonts w:ascii="Arial" w:hAnsi="Arial" w:cs="Arial"/>
        </w:rPr>
        <w:t xml:space="preserve">(Accessed: </w:t>
      </w:r>
      <w:r w:rsidR="00ED6CA0" w:rsidRPr="00CF0070">
        <w:rPr>
          <w:rFonts w:ascii="Arial" w:hAnsi="Arial" w:cs="Arial"/>
        </w:rPr>
        <w:t>16</w:t>
      </w:r>
      <w:r w:rsidR="00EE0681" w:rsidRPr="00CF0070">
        <w:rPr>
          <w:rFonts w:ascii="Arial" w:hAnsi="Arial" w:cs="Arial"/>
        </w:rPr>
        <w:t xml:space="preserve"> </w:t>
      </w:r>
      <w:r w:rsidR="00ED6CA0" w:rsidRPr="00CF0070">
        <w:rPr>
          <w:rFonts w:ascii="Arial" w:hAnsi="Arial" w:cs="Arial"/>
        </w:rPr>
        <w:t>March 2026).</w:t>
      </w:r>
    </w:p>
    <w:p w14:paraId="0B9949C8"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Christopher, M. (2016) </w:t>
      </w:r>
      <w:r w:rsidRPr="00CF0070">
        <w:rPr>
          <w:rFonts w:ascii="Arial" w:hAnsi="Arial" w:cs="Arial"/>
          <w:i/>
          <w:iCs/>
        </w:rPr>
        <w:t>Logistics and Supply Chain Management</w:t>
      </w:r>
      <w:r w:rsidRPr="00CF0070">
        <w:rPr>
          <w:rFonts w:ascii="Arial" w:hAnsi="Arial" w:cs="Arial"/>
        </w:rPr>
        <w:t xml:space="preserve">. 5th </w:t>
      </w:r>
      <w:proofErr w:type="spellStart"/>
      <w:r w:rsidRPr="00CF0070">
        <w:rPr>
          <w:rFonts w:ascii="Arial" w:hAnsi="Arial" w:cs="Arial"/>
        </w:rPr>
        <w:t>edn</w:t>
      </w:r>
      <w:proofErr w:type="spellEnd"/>
      <w:r w:rsidRPr="00CF0070">
        <w:rPr>
          <w:rFonts w:ascii="Arial" w:hAnsi="Arial" w:cs="Arial"/>
        </w:rPr>
        <w:t>. Harlow: Pearson.</w:t>
      </w:r>
    </w:p>
    <w:p w14:paraId="12B03A20"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Dess, G., McNamara, G., Eisner, A. and Lee, S. (2019) </w:t>
      </w:r>
      <w:r w:rsidRPr="00CF0070">
        <w:rPr>
          <w:rFonts w:ascii="Arial" w:hAnsi="Arial" w:cs="Arial"/>
          <w:i/>
          <w:iCs/>
        </w:rPr>
        <w:t>Strategic Management: Text and Cases</w:t>
      </w:r>
      <w:r w:rsidRPr="00CF0070">
        <w:rPr>
          <w:rFonts w:ascii="Arial" w:hAnsi="Arial" w:cs="Arial"/>
        </w:rPr>
        <w:t>. New York: McGraw-Hill.</w:t>
      </w:r>
    </w:p>
    <w:p w14:paraId="0DB2A782"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Eisenhardt, K. and Martin, J. (2000) ‘Dynamic capabilities: what are they?’, </w:t>
      </w:r>
      <w:r w:rsidRPr="00CF0070">
        <w:rPr>
          <w:rFonts w:ascii="Arial" w:hAnsi="Arial" w:cs="Arial"/>
          <w:i/>
          <w:iCs/>
        </w:rPr>
        <w:t>Strategic Management Journal</w:t>
      </w:r>
      <w:r w:rsidRPr="00CF0070">
        <w:rPr>
          <w:rFonts w:ascii="Arial" w:hAnsi="Arial" w:cs="Arial"/>
        </w:rPr>
        <w:t>, 21(10–11), pp. 1105–1121. https://doi.org/10.1002/1097-0266</w:t>
      </w:r>
    </w:p>
    <w:p w14:paraId="19D0DD74"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Grant, R. (2022) </w:t>
      </w:r>
      <w:r w:rsidRPr="00CF0070">
        <w:rPr>
          <w:rFonts w:ascii="Arial" w:hAnsi="Arial" w:cs="Arial"/>
          <w:i/>
          <w:iCs/>
        </w:rPr>
        <w:t>Contemporary Strategy Analysis</w:t>
      </w:r>
      <w:r w:rsidRPr="00CF0070">
        <w:rPr>
          <w:rFonts w:ascii="Arial" w:hAnsi="Arial" w:cs="Arial"/>
        </w:rPr>
        <w:t xml:space="preserve">. 11th </w:t>
      </w:r>
      <w:proofErr w:type="spellStart"/>
      <w:r w:rsidRPr="00CF0070">
        <w:rPr>
          <w:rFonts w:ascii="Arial" w:hAnsi="Arial" w:cs="Arial"/>
        </w:rPr>
        <w:t>edn</w:t>
      </w:r>
      <w:proofErr w:type="spellEnd"/>
      <w:r w:rsidRPr="00CF0070">
        <w:rPr>
          <w:rFonts w:ascii="Arial" w:hAnsi="Arial" w:cs="Arial"/>
        </w:rPr>
        <w:t>. Oxford: Wiley.</w:t>
      </w:r>
    </w:p>
    <w:p w14:paraId="7CCC5998"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Hill, C., Jones, G. and Schilling, M. (2019) </w:t>
      </w:r>
      <w:r w:rsidRPr="00CF0070">
        <w:rPr>
          <w:rFonts w:ascii="Arial" w:hAnsi="Arial" w:cs="Arial"/>
          <w:i/>
          <w:iCs/>
        </w:rPr>
        <w:t>Strategic Management: Theory and Cases</w:t>
      </w:r>
      <w:r w:rsidRPr="00CF0070">
        <w:rPr>
          <w:rFonts w:ascii="Arial" w:hAnsi="Arial" w:cs="Arial"/>
        </w:rPr>
        <w:t>. Boston: Cengage Learning.</w:t>
      </w:r>
    </w:p>
    <w:p w14:paraId="46960DBC"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Hitt, M., Ireland, R. and </w:t>
      </w:r>
      <w:proofErr w:type="spellStart"/>
      <w:r w:rsidRPr="00CF0070">
        <w:rPr>
          <w:rFonts w:ascii="Arial" w:hAnsi="Arial" w:cs="Arial"/>
        </w:rPr>
        <w:t>Hoskisson</w:t>
      </w:r>
      <w:proofErr w:type="spellEnd"/>
      <w:r w:rsidRPr="00CF0070">
        <w:rPr>
          <w:rFonts w:ascii="Arial" w:hAnsi="Arial" w:cs="Arial"/>
        </w:rPr>
        <w:t xml:space="preserve">, R. (2020) </w:t>
      </w:r>
      <w:r w:rsidRPr="00CF0070">
        <w:rPr>
          <w:rFonts w:ascii="Arial" w:hAnsi="Arial" w:cs="Arial"/>
          <w:i/>
          <w:iCs/>
        </w:rPr>
        <w:t>Strategic Management: Competitiveness and Globalization</w:t>
      </w:r>
      <w:r w:rsidRPr="00CF0070">
        <w:rPr>
          <w:rFonts w:ascii="Arial" w:hAnsi="Arial" w:cs="Arial"/>
        </w:rPr>
        <w:t>. Boston: Cengage.</w:t>
      </w:r>
    </w:p>
    <w:p w14:paraId="0599C655"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Johnson, G., Whittington, R., </w:t>
      </w:r>
      <w:proofErr w:type="spellStart"/>
      <w:r w:rsidRPr="00CF0070">
        <w:rPr>
          <w:rFonts w:ascii="Arial" w:hAnsi="Arial" w:cs="Arial"/>
        </w:rPr>
        <w:t>Regnér</w:t>
      </w:r>
      <w:proofErr w:type="spellEnd"/>
      <w:r w:rsidRPr="00CF0070">
        <w:rPr>
          <w:rFonts w:ascii="Arial" w:hAnsi="Arial" w:cs="Arial"/>
        </w:rPr>
        <w:t xml:space="preserve">, P., Angwin, D. and Scholes, K. (2020) </w:t>
      </w:r>
      <w:r w:rsidRPr="00CF0070">
        <w:rPr>
          <w:rFonts w:ascii="Arial" w:hAnsi="Arial" w:cs="Arial"/>
          <w:i/>
          <w:iCs/>
        </w:rPr>
        <w:t>Exploring Strategy</w:t>
      </w:r>
      <w:r w:rsidRPr="00CF0070">
        <w:rPr>
          <w:rFonts w:ascii="Arial" w:hAnsi="Arial" w:cs="Arial"/>
        </w:rPr>
        <w:t xml:space="preserve">. 12th </w:t>
      </w:r>
      <w:proofErr w:type="spellStart"/>
      <w:r w:rsidRPr="00CF0070">
        <w:rPr>
          <w:rFonts w:ascii="Arial" w:hAnsi="Arial" w:cs="Arial"/>
        </w:rPr>
        <w:t>edn</w:t>
      </w:r>
      <w:proofErr w:type="spellEnd"/>
      <w:r w:rsidRPr="00CF0070">
        <w:rPr>
          <w:rFonts w:ascii="Arial" w:hAnsi="Arial" w:cs="Arial"/>
        </w:rPr>
        <w:t>. Harlow: Pearson.</w:t>
      </w:r>
    </w:p>
    <w:p w14:paraId="775A66F8"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Kaplan, R. and Norton, D. (2008) </w:t>
      </w:r>
      <w:r w:rsidRPr="00CF0070">
        <w:rPr>
          <w:rFonts w:ascii="Arial" w:hAnsi="Arial" w:cs="Arial"/>
          <w:i/>
          <w:iCs/>
        </w:rPr>
        <w:t>The Execution Premium: Linking Strategy to Operations for Competitive Advantage</w:t>
      </w:r>
      <w:r w:rsidRPr="00CF0070">
        <w:rPr>
          <w:rFonts w:ascii="Arial" w:hAnsi="Arial" w:cs="Arial"/>
        </w:rPr>
        <w:t>. Boston: Harvard Business School Press.</w:t>
      </w:r>
    </w:p>
    <w:p w14:paraId="622D2BDB"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Kotler, P. and Keller, K. (2016) </w:t>
      </w:r>
      <w:r w:rsidRPr="00CF0070">
        <w:rPr>
          <w:rFonts w:ascii="Arial" w:hAnsi="Arial" w:cs="Arial"/>
          <w:i/>
          <w:iCs/>
        </w:rPr>
        <w:t>Marketing Management</w:t>
      </w:r>
      <w:r w:rsidRPr="00CF0070">
        <w:rPr>
          <w:rFonts w:ascii="Arial" w:hAnsi="Arial" w:cs="Arial"/>
        </w:rPr>
        <w:t xml:space="preserve">. 15th </w:t>
      </w:r>
      <w:proofErr w:type="spellStart"/>
      <w:r w:rsidRPr="00CF0070">
        <w:rPr>
          <w:rFonts w:ascii="Arial" w:hAnsi="Arial" w:cs="Arial"/>
        </w:rPr>
        <w:t>edn</w:t>
      </w:r>
      <w:proofErr w:type="spellEnd"/>
      <w:r w:rsidRPr="00CF0070">
        <w:rPr>
          <w:rFonts w:ascii="Arial" w:hAnsi="Arial" w:cs="Arial"/>
        </w:rPr>
        <w:t>. Harlow: Pearson.</w:t>
      </w:r>
    </w:p>
    <w:p w14:paraId="79F862D2"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Lynch, R. (2021) </w:t>
      </w:r>
      <w:r w:rsidRPr="00CF0070">
        <w:rPr>
          <w:rFonts w:ascii="Arial" w:hAnsi="Arial" w:cs="Arial"/>
          <w:i/>
          <w:iCs/>
        </w:rPr>
        <w:t>Strategic Management</w:t>
      </w:r>
      <w:r w:rsidRPr="00CF0070">
        <w:rPr>
          <w:rFonts w:ascii="Arial" w:hAnsi="Arial" w:cs="Arial"/>
        </w:rPr>
        <w:t xml:space="preserve">. 9th </w:t>
      </w:r>
      <w:proofErr w:type="spellStart"/>
      <w:r w:rsidRPr="00CF0070">
        <w:rPr>
          <w:rFonts w:ascii="Arial" w:hAnsi="Arial" w:cs="Arial"/>
        </w:rPr>
        <w:t>edn</w:t>
      </w:r>
      <w:proofErr w:type="spellEnd"/>
      <w:r w:rsidRPr="00CF0070">
        <w:rPr>
          <w:rFonts w:ascii="Arial" w:hAnsi="Arial" w:cs="Arial"/>
        </w:rPr>
        <w:t>. Harlow: Pearson.</w:t>
      </w:r>
    </w:p>
    <w:p w14:paraId="48F41291"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Mintzberg, H., Ahlstrand, B. and Lampel, J. (2009) </w:t>
      </w:r>
      <w:r w:rsidRPr="00CF0070">
        <w:rPr>
          <w:rFonts w:ascii="Arial" w:hAnsi="Arial" w:cs="Arial"/>
          <w:i/>
          <w:iCs/>
        </w:rPr>
        <w:t>Strategy Safari</w:t>
      </w:r>
      <w:r w:rsidRPr="00CF0070">
        <w:rPr>
          <w:rFonts w:ascii="Arial" w:hAnsi="Arial" w:cs="Arial"/>
        </w:rPr>
        <w:t>. Harlow: Pearson.</w:t>
      </w:r>
    </w:p>
    <w:p w14:paraId="56791D51" w14:textId="47E48C6A"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OICA (2024) </w:t>
      </w:r>
      <w:r w:rsidRPr="00CF0070">
        <w:rPr>
          <w:rFonts w:ascii="Arial" w:hAnsi="Arial" w:cs="Arial"/>
          <w:i/>
          <w:iCs/>
        </w:rPr>
        <w:t>World motor vehicle production statistics</w:t>
      </w:r>
      <w:r w:rsidRPr="00CF0070">
        <w:rPr>
          <w:rFonts w:ascii="Arial" w:hAnsi="Arial" w:cs="Arial"/>
        </w:rPr>
        <w:t xml:space="preserve">. Paris: International Organization of Motor Vehicle Manufacturers. Available at: </w:t>
      </w:r>
      <w:hyperlink r:id="rId14" w:tgtFrame="_new" w:history="1">
        <w:r w:rsidRPr="00CF0070">
          <w:rPr>
            <w:rStyle w:val="Hyperlink"/>
            <w:rFonts w:ascii="Arial" w:hAnsi="Arial" w:cs="Arial"/>
          </w:rPr>
          <w:t>https://www.oica.net/</w:t>
        </w:r>
      </w:hyperlink>
      <w:r w:rsidRPr="00CF0070">
        <w:rPr>
          <w:rFonts w:ascii="Arial" w:hAnsi="Arial" w:cs="Arial"/>
        </w:rPr>
        <w:t xml:space="preserve"> (Accessed: 1</w:t>
      </w:r>
      <w:r w:rsidR="00ED6CA0" w:rsidRPr="00CF0070">
        <w:rPr>
          <w:rFonts w:ascii="Arial" w:hAnsi="Arial" w:cs="Arial"/>
        </w:rPr>
        <w:t>5</w:t>
      </w:r>
      <w:r w:rsidRPr="00CF0070">
        <w:rPr>
          <w:rFonts w:ascii="Arial" w:hAnsi="Arial" w:cs="Arial"/>
        </w:rPr>
        <w:t xml:space="preserve"> March 2026).</w:t>
      </w:r>
    </w:p>
    <w:p w14:paraId="7F6681B1"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Peng, M. (2021) </w:t>
      </w:r>
      <w:r w:rsidRPr="00CF0070">
        <w:rPr>
          <w:rFonts w:ascii="Arial" w:hAnsi="Arial" w:cs="Arial"/>
          <w:i/>
          <w:iCs/>
        </w:rPr>
        <w:t>Global Strategy</w:t>
      </w:r>
      <w:r w:rsidRPr="00CF0070">
        <w:rPr>
          <w:rFonts w:ascii="Arial" w:hAnsi="Arial" w:cs="Arial"/>
        </w:rPr>
        <w:t>. Boston: Cengage.</w:t>
      </w:r>
    </w:p>
    <w:p w14:paraId="1A8A5844"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Porter, M. (1985) </w:t>
      </w:r>
      <w:r w:rsidRPr="00CF0070">
        <w:rPr>
          <w:rFonts w:ascii="Arial" w:hAnsi="Arial" w:cs="Arial"/>
          <w:i/>
          <w:iCs/>
        </w:rPr>
        <w:t>Competitive Advantage: Creating and Sustaining Superior Performance</w:t>
      </w:r>
      <w:r w:rsidRPr="00CF0070">
        <w:rPr>
          <w:rFonts w:ascii="Arial" w:hAnsi="Arial" w:cs="Arial"/>
        </w:rPr>
        <w:t>. New York: Free Press.</w:t>
      </w:r>
    </w:p>
    <w:p w14:paraId="4868F102"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Porter, M. (2008) ‘The five competitive forces that shape strategy’, </w:t>
      </w:r>
      <w:r w:rsidRPr="00CF0070">
        <w:rPr>
          <w:rFonts w:ascii="Arial" w:hAnsi="Arial" w:cs="Arial"/>
          <w:i/>
          <w:iCs/>
        </w:rPr>
        <w:t>Harvard Business Review</w:t>
      </w:r>
      <w:r w:rsidRPr="00CF0070">
        <w:rPr>
          <w:rFonts w:ascii="Arial" w:hAnsi="Arial" w:cs="Arial"/>
        </w:rPr>
        <w:t>, 86(1), pp. 78–93.</w:t>
      </w:r>
    </w:p>
    <w:p w14:paraId="7CF2BE6D"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Porter, M. and Kramer, M. (2011) ‘Creating shared value’, </w:t>
      </w:r>
      <w:r w:rsidRPr="00CF0070">
        <w:rPr>
          <w:rFonts w:ascii="Arial" w:hAnsi="Arial" w:cs="Arial"/>
          <w:i/>
          <w:iCs/>
        </w:rPr>
        <w:t>Harvard Business Review</w:t>
      </w:r>
      <w:r w:rsidRPr="00CF0070">
        <w:rPr>
          <w:rFonts w:ascii="Arial" w:hAnsi="Arial" w:cs="Arial"/>
        </w:rPr>
        <w:t>, 89(1), pp. 62–77.</w:t>
      </w:r>
    </w:p>
    <w:p w14:paraId="07806099" w14:textId="6A5F77CF" w:rsidR="00F72BBA" w:rsidRPr="00CF0070" w:rsidRDefault="00F72BBA" w:rsidP="008674CE">
      <w:pPr>
        <w:pStyle w:val="ListParagraph"/>
        <w:numPr>
          <w:ilvl w:val="0"/>
          <w:numId w:val="3"/>
        </w:numPr>
        <w:rPr>
          <w:rFonts w:ascii="Arial" w:hAnsi="Arial" w:cs="Arial"/>
        </w:rPr>
      </w:pPr>
      <w:r w:rsidRPr="00CF0070">
        <w:rPr>
          <w:rFonts w:ascii="Arial" w:hAnsi="Arial" w:cs="Arial"/>
        </w:rPr>
        <w:lastRenderedPageBreak/>
        <w:t xml:space="preserve">SMMT (2024) </w:t>
      </w:r>
      <w:r w:rsidRPr="00CF0070">
        <w:rPr>
          <w:rFonts w:ascii="Arial" w:hAnsi="Arial" w:cs="Arial"/>
          <w:i/>
          <w:iCs/>
        </w:rPr>
        <w:t>Automotive industry insights and reports</w:t>
      </w:r>
      <w:r w:rsidRPr="00CF0070">
        <w:rPr>
          <w:rFonts w:ascii="Arial" w:hAnsi="Arial" w:cs="Arial"/>
        </w:rPr>
        <w:t xml:space="preserve">. London: Society of Motor Manufacturers and Traders. Available at: </w:t>
      </w:r>
      <w:hyperlink r:id="rId15" w:tgtFrame="_new" w:history="1">
        <w:r w:rsidRPr="00CF0070">
          <w:rPr>
            <w:rStyle w:val="Hyperlink"/>
            <w:rFonts w:ascii="Arial" w:hAnsi="Arial" w:cs="Arial"/>
          </w:rPr>
          <w:t>https://www.smmt.co.uk/automotiveinsights/</w:t>
        </w:r>
      </w:hyperlink>
      <w:r w:rsidRPr="00CF0070">
        <w:rPr>
          <w:rFonts w:ascii="Arial" w:hAnsi="Arial" w:cs="Arial"/>
        </w:rPr>
        <w:t xml:space="preserve"> (Accessed: 1</w:t>
      </w:r>
      <w:r w:rsidR="00ED6CA0" w:rsidRPr="00CF0070">
        <w:rPr>
          <w:rFonts w:ascii="Arial" w:hAnsi="Arial" w:cs="Arial"/>
        </w:rPr>
        <w:t>0</w:t>
      </w:r>
      <w:r w:rsidRPr="00CF0070">
        <w:rPr>
          <w:rFonts w:ascii="Arial" w:hAnsi="Arial" w:cs="Arial"/>
        </w:rPr>
        <w:t xml:space="preserve"> March 2026).</w:t>
      </w:r>
    </w:p>
    <w:p w14:paraId="630690F1"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Teece, D., Pisano, G. and </w:t>
      </w:r>
      <w:proofErr w:type="spellStart"/>
      <w:r w:rsidRPr="00CF0070">
        <w:rPr>
          <w:rFonts w:ascii="Arial" w:hAnsi="Arial" w:cs="Arial"/>
        </w:rPr>
        <w:t>Shuen</w:t>
      </w:r>
      <w:proofErr w:type="spellEnd"/>
      <w:r w:rsidRPr="00CF0070">
        <w:rPr>
          <w:rFonts w:ascii="Arial" w:hAnsi="Arial" w:cs="Arial"/>
        </w:rPr>
        <w:t xml:space="preserve">, A. (1997) ‘Dynamic capabilities and strategic management’, </w:t>
      </w:r>
      <w:r w:rsidRPr="00CF0070">
        <w:rPr>
          <w:rFonts w:ascii="Arial" w:hAnsi="Arial" w:cs="Arial"/>
          <w:i/>
          <w:iCs/>
        </w:rPr>
        <w:t>Strategic Management Journal</w:t>
      </w:r>
      <w:r w:rsidRPr="00CF0070">
        <w:rPr>
          <w:rFonts w:ascii="Arial" w:hAnsi="Arial" w:cs="Arial"/>
        </w:rPr>
        <w:t>, 18(7), pp. 509–533. https://doi.org/10.1002/(SICI)1097-0266</w:t>
      </w:r>
    </w:p>
    <w:p w14:paraId="0DF352B5" w14:textId="0C9ED44E"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Teece, D. (2018) ‘Business models and dynamic capabilities’, </w:t>
      </w:r>
      <w:r w:rsidRPr="00CF0070">
        <w:rPr>
          <w:rFonts w:ascii="Arial" w:hAnsi="Arial" w:cs="Arial"/>
          <w:i/>
          <w:iCs/>
        </w:rPr>
        <w:t>Long Range Planning</w:t>
      </w:r>
      <w:r w:rsidRPr="00CF0070">
        <w:rPr>
          <w:rFonts w:ascii="Arial" w:hAnsi="Arial" w:cs="Arial"/>
        </w:rPr>
        <w:t xml:space="preserve">, 51(1), pp. 40–49. </w:t>
      </w:r>
      <w:hyperlink r:id="rId16" w:tgtFrame="_new" w:history="1">
        <w:r w:rsidRPr="00CF0070">
          <w:rPr>
            <w:rStyle w:val="Hyperlink"/>
            <w:rFonts w:ascii="Arial" w:hAnsi="Arial" w:cs="Arial"/>
          </w:rPr>
          <w:t>https://doi.org/10.1016/j.lrp.2017.06.007</w:t>
        </w:r>
      </w:hyperlink>
      <w:r w:rsidR="00ED6CA0" w:rsidRPr="00CF0070">
        <w:rPr>
          <w:rFonts w:ascii="Arial" w:hAnsi="Arial" w:cs="Arial"/>
        </w:rPr>
        <w:t xml:space="preserve"> </w:t>
      </w:r>
      <w:r w:rsidR="00ED6CA0" w:rsidRPr="00CF0070">
        <w:rPr>
          <w:rFonts w:ascii="Arial" w:hAnsi="Arial" w:cs="Arial"/>
        </w:rPr>
        <w:t>(Accessed: 0</w:t>
      </w:r>
      <w:r w:rsidR="00ED6CA0" w:rsidRPr="00CF0070">
        <w:rPr>
          <w:rFonts w:ascii="Arial" w:hAnsi="Arial" w:cs="Arial"/>
        </w:rPr>
        <w:t xml:space="preserve">3 </w:t>
      </w:r>
      <w:r w:rsidR="00ED6CA0" w:rsidRPr="00CF0070">
        <w:rPr>
          <w:rFonts w:ascii="Arial" w:hAnsi="Arial" w:cs="Arial"/>
        </w:rPr>
        <w:t>March 2026).</w:t>
      </w:r>
    </w:p>
    <w:p w14:paraId="4AB8A579" w14:textId="754B52CD"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UK Government (2023) </w:t>
      </w:r>
      <w:r w:rsidRPr="00CF0070">
        <w:rPr>
          <w:rFonts w:ascii="Arial" w:hAnsi="Arial" w:cs="Arial"/>
          <w:i/>
          <w:iCs/>
        </w:rPr>
        <w:t>Transport Decarbonisation Plan</w:t>
      </w:r>
      <w:r w:rsidRPr="00CF0070">
        <w:rPr>
          <w:rFonts w:ascii="Arial" w:hAnsi="Arial" w:cs="Arial"/>
        </w:rPr>
        <w:t xml:space="preserve">. London: Department for Transport. Available at: </w:t>
      </w:r>
      <w:hyperlink r:id="rId17" w:tgtFrame="_new" w:history="1">
        <w:r w:rsidRPr="00CF0070">
          <w:rPr>
            <w:rStyle w:val="Hyperlink"/>
            <w:rFonts w:ascii="Arial" w:hAnsi="Arial" w:cs="Arial"/>
          </w:rPr>
          <w:t>https://www.gov.uk/government/publications/transport-decarbonisation-plan</w:t>
        </w:r>
      </w:hyperlink>
      <w:r w:rsidRPr="00CF0070">
        <w:rPr>
          <w:rFonts w:ascii="Arial" w:hAnsi="Arial" w:cs="Arial"/>
        </w:rPr>
        <w:t xml:space="preserve"> (Accessed: </w:t>
      </w:r>
      <w:r w:rsidR="008674CE" w:rsidRPr="00CF0070">
        <w:rPr>
          <w:rFonts w:ascii="Arial" w:hAnsi="Arial" w:cs="Arial"/>
        </w:rPr>
        <w:t>0</w:t>
      </w:r>
      <w:r w:rsidRPr="00CF0070">
        <w:rPr>
          <w:rFonts w:ascii="Arial" w:hAnsi="Arial" w:cs="Arial"/>
        </w:rPr>
        <w:t>8 March 2026).</w:t>
      </w:r>
    </w:p>
    <w:p w14:paraId="5B4B338C" w14:textId="367AC238" w:rsidR="00D44714" w:rsidRPr="00CF0070" w:rsidRDefault="00D44714" w:rsidP="008674CE">
      <w:pPr>
        <w:pStyle w:val="ListParagraph"/>
        <w:numPr>
          <w:ilvl w:val="0"/>
          <w:numId w:val="3"/>
        </w:numPr>
        <w:rPr>
          <w:rFonts w:ascii="Arial" w:hAnsi="Arial" w:cs="Arial"/>
        </w:rPr>
      </w:pPr>
      <w:r w:rsidRPr="00CF0070">
        <w:rPr>
          <w:rFonts w:ascii="Arial" w:hAnsi="Arial" w:cs="Arial"/>
        </w:rPr>
        <w:t xml:space="preserve">Vauxhall (2024) </w:t>
      </w:r>
      <w:r w:rsidRPr="00CF0070">
        <w:rPr>
          <w:rFonts w:ascii="Arial" w:hAnsi="Arial" w:cs="Arial"/>
          <w:i/>
          <w:iCs/>
        </w:rPr>
        <w:t>Electric vehicles and sustainable mobility</w:t>
      </w:r>
      <w:r w:rsidRPr="00CF0070">
        <w:rPr>
          <w:rFonts w:ascii="Arial" w:hAnsi="Arial" w:cs="Arial"/>
        </w:rPr>
        <w:t>. Available at: https://www.vauxhall.co.uk/electric (Accessed: 18 March 2026).</w:t>
      </w:r>
    </w:p>
    <w:p w14:paraId="28B0E3E2" w14:textId="77777777" w:rsidR="00F72BBA" w:rsidRPr="00CF0070" w:rsidRDefault="00F72BBA" w:rsidP="008674CE">
      <w:pPr>
        <w:pStyle w:val="ListParagraph"/>
        <w:numPr>
          <w:ilvl w:val="0"/>
          <w:numId w:val="3"/>
        </w:numPr>
        <w:rPr>
          <w:rFonts w:ascii="Arial" w:hAnsi="Arial" w:cs="Arial"/>
        </w:rPr>
      </w:pPr>
      <w:r w:rsidRPr="00CF0070">
        <w:rPr>
          <w:rFonts w:ascii="Arial" w:hAnsi="Arial" w:cs="Arial"/>
        </w:rPr>
        <w:t xml:space="preserve">Wheelen, T., Hunger, J., Hoffman, A. and Bamford, C. (2018) </w:t>
      </w:r>
      <w:r w:rsidRPr="00CF0070">
        <w:rPr>
          <w:rFonts w:ascii="Arial" w:hAnsi="Arial" w:cs="Arial"/>
          <w:i/>
          <w:iCs/>
        </w:rPr>
        <w:t>Strategic Management and Business Policy</w:t>
      </w:r>
      <w:r w:rsidRPr="00CF0070">
        <w:rPr>
          <w:rFonts w:ascii="Arial" w:hAnsi="Arial" w:cs="Arial"/>
        </w:rPr>
        <w:t>. Harlow: Pearson.</w:t>
      </w:r>
    </w:p>
    <w:p w14:paraId="6788E5ED" w14:textId="77777777" w:rsidR="009B5009" w:rsidRPr="00CF0070" w:rsidRDefault="009B5009" w:rsidP="00E5048C">
      <w:pPr>
        <w:rPr>
          <w:rFonts w:ascii="Arial" w:hAnsi="Arial" w:cs="Arial"/>
        </w:rPr>
      </w:pPr>
    </w:p>
    <w:sectPr w:rsidR="009B5009" w:rsidRPr="00CF00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86559" w14:textId="77777777" w:rsidR="00627982" w:rsidRDefault="00627982" w:rsidP="00940B84">
      <w:pPr>
        <w:spacing w:after="0" w:line="240" w:lineRule="auto"/>
      </w:pPr>
      <w:r>
        <w:separator/>
      </w:r>
    </w:p>
  </w:endnote>
  <w:endnote w:type="continuationSeparator" w:id="0">
    <w:p w14:paraId="4611D6C4" w14:textId="77777777" w:rsidR="00627982" w:rsidRDefault="00627982" w:rsidP="00940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6259F" w14:textId="77777777" w:rsidR="00627982" w:rsidRDefault="00627982" w:rsidP="00940B84">
      <w:pPr>
        <w:spacing w:after="0" w:line="240" w:lineRule="auto"/>
      </w:pPr>
      <w:r>
        <w:separator/>
      </w:r>
    </w:p>
  </w:footnote>
  <w:footnote w:type="continuationSeparator" w:id="0">
    <w:p w14:paraId="3E57F3F8" w14:textId="77777777" w:rsidR="00627982" w:rsidRDefault="00627982" w:rsidP="00940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93DDB"/>
    <w:multiLevelType w:val="hybridMultilevel"/>
    <w:tmpl w:val="9086D5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3517C8"/>
    <w:multiLevelType w:val="hybridMultilevel"/>
    <w:tmpl w:val="0A92F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7979D7"/>
    <w:multiLevelType w:val="hybridMultilevel"/>
    <w:tmpl w:val="1526B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5921252">
    <w:abstractNumId w:val="2"/>
  </w:num>
  <w:num w:numId="2" w16cid:durableId="1981839926">
    <w:abstractNumId w:val="0"/>
  </w:num>
  <w:num w:numId="3" w16cid:durableId="1586642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708"/>
    <w:rsid w:val="00003E1C"/>
    <w:rsid w:val="00017837"/>
    <w:rsid w:val="00034B0C"/>
    <w:rsid w:val="00037C68"/>
    <w:rsid w:val="00043823"/>
    <w:rsid w:val="00050FE9"/>
    <w:rsid w:val="00085FD9"/>
    <w:rsid w:val="00094BDC"/>
    <w:rsid w:val="000B0451"/>
    <w:rsid w:val="000F54E3"/>
    <w:rsid w:val="00100D24"/>
    <w:rsid w:val="0010147F"/>
    <w:rsid w:val="00107044"/>
    <w:rsid w:val="0015775B"/>
    <w:rsid w:val="00161978"/>
    <w:rsid w:val="001D13E3"/>
    <w:rsid w:val="001D4616"/>
    <w:rsid w:val="001E0083"/>
    <w:rsid w:val="001F2ACE"/>
    <w:rsid w:val="001F4CA6"/>
    <w:rsid w:val="001F5D40"/>
    <w:rsid w:val="002072A9"/>
    <w:rsid w:val="0021498E"/>
    <w:rsid w:val="00220B27"/>
    <w:rsid w:val="00242522"/>
    <w:rsid w:val="00250F07"/>
    <w:rsid w:val="0025377F"/>
    <w:rsid w:val="00253C5E"/>
    <w:rsid w:val="0028074B"/>
    <w:rsid w:val="00284FEA"/>
    <w:rsid w:val="002A17EB"/>
    <w:rsid w:val="002B5972"/>
    <w:rsid w:val="002B76F6"/>
    <w:rsid w:val="002D5BB7"/>
    <w:rsid w:val="002D6493"/>
    <w:rsid w:val="002D7E92"/>
    <w:rsid w:val="002E5515"/>
    <w:rsid w:val="00324F1B"/>
    <w:rsid w:val="0032588B"/>
    <w:rsid w:val="003273E0"/>
    <w:rsid w:val="00341931"/>
    <w:rsid w:val="00375D55"/>
    <w:rsid w:val="003866D8"/>
    <w:rsid w:val="00387587"/>
    <w:rsid w:val="00395708"/>
    <w:rsid w:val="003F6C7A"/>
    <w:rsid w:val="00436D47"/>
    <w:rsid w:val="004407BF"/>
    <w:rsid w:val="0045450C"/>
    <w:rsid w:val="0046522B"/>
    <w:rsid w:val="004D5B05"/>
    <w:rsid w:val="004D6835"/>
    <w:rsid w:val="00507718"/>
    <w:rsid w:val="00527844"/>
    <w:rsid w:val="00576A5E"/>
    <w:rsid w:val="005A7155"/>
    <w:rsid w:val="005E02B5"/>
    <w:rsid w:val="005E6354"/>
    <w:rsid w:val="00627982"/>
    <w:rsid w:val="006543AE"/>
    <w:rsid w:val="00660521"/>
    <w:rsid w:val="00697225"/>
    <w:rsid w:val="006C35FF"/>
    <w:rsid w:val="006C40F6"/>
    <w:rsid w:val="006D37FE"/>
    <w:rsid w:val="006E5F0C"/>
    <w:rsid w:val="00716F10"/>
    <w:rsid w:val="00724935"/>
    <w:rsid w:val="007360EC"/>
    <w:rsid w:val="0074138F"/>
    <w:rsid w:val="00743D5B"/>
    <w:rsid w:val="0074524D"/>
    <w:rsid w:val="00777F68"/>
    <w:rsid w:val="00797209"/>
    <w:rsid w:val="007B2A8C"/>
    <w:rsid w:val="007F1135"/>
    <w:rsid w:val="00820CA7"/>
    <w:rsid w:val="00824BBD"/>
    <w:rsid w:val="008264A6"/>
    <w:rsid w:val="00842AD7"/>
    <w:rsid w:val="00850D4B"/>
    <w:rsid w:val="00866803"/>
    <w:rsid w:val="008674CE"/>
    <w:rsid w:val="008A23DE"/>
    <w:rsid w:val="008D7798"/>
    <w:rsid w:val="008F2F43"/>
    <w:rsid w:val="00903CE1"/>
    <w:rsid w:val="009209C9"/>
    <w:rsid w:val="00932C9D"/>
    <w:rsid w:val="00940B84"/>
    <w:rsid w:val="00964581"/>
    <w:rsid w:val="009A14A5"/>
    <w:rsid w:val="009B5009"/>
    <w:rsid w:val="009D39ED"/>
    <w:rsid w:val="009E255C"/>
    <w:rsid w:val="009F4BFE"/>
    <w:rsid w:val="009F6585"/>
    <w:rsid w:val="00A0131B"/>
    <w:rsid w:val="00A123DB"/>
    <w:rsid w:val="00A26644"/>
    <w:rsid w:val="00A61A79"/>
    <w:rsid w:val="00A867A2"/>
    <w:rsid w:val="00AC1A4E"/>
    <w:rsid w:val="00BA4B24"/>
    <w:rsid w:val="00BB0313"/>
    <w:rsid w:val="00BC43EA"/>
    <w:rsid w:val="00C044D9"/>
    <w:rsid w:val="00C3224F"/>
    <w:rsid w:val="00C45168"/>
    <w:rsid w:val="00C90287"/>
    <w:rsid w:val="00C91D7F"/>
    <w:rsid w:val="00CA1E22"/>
    <w:rsid w:val="00CA2664"/>
    <w:rsid w:val="00CB30ED"/>
    <w:rsid w:val="00CC6BF9"/>
    <w:rsid w:val="00CD3722"/>
    <w:rsid w:val="00CD59E6"/>
    <w:rsid w:val="00CD5D29"/>
    <w:rsid w:val="00CE16A8"/>
    <w:rsid w:val="00CF0070"/>
    <w:rsid w:val="00D12D17"/>
    <w:rsid w:val="00D232CA"/>
    <w:rsid w:val="00D44142"/>
    <w:rsid w:val="00D44714"/>
    <w:rsid w:val="00D638F6"/>
    <w:rsid w:val="00DA093C"/>
    <w:rsid w:val="00DD5985"/>
    <w:rsid w:val="00DE680D"/>
    <w:rsid w:val="00DE7605"/>
    <w:rsid w:val="00DF157A"/>
    <w:rsid w:val="00DF4C5A"/>
    <w:rsid w:val="00E01BF9"/>
    <w:rsid w:val="00E12BCB"/>
    <w:rsid w:val="00E15C73"/>
    <w:rsid w:val="00E24D2F"/>
    <w:rsid w:val="00E5048C"/>
    <w:rsid w:val="00E836DA"/>
    <w:rsid w:val="00EA1429"/>
    <w:rsid w:val="00EB56A5"/>
    <w:rsid w:val="00ED6CA0"/>
    <w:rsid w:val="00EE0681"/>
    <w:rsid w:val="00EF06BA"/>
    <w:rsid w:val="00EF7379"/>
    <w:rsid w:val="00F045BE"/>
    <w:rsid w:val="00F41A6D"/>
    <w:rsid w:val="00F645DB"/>
    <w:rsid w:val="00F660DC"/>
    <w:rsid w:val="00F7052A"/>
    <w:rsid w:val="00F7227B"/>
    <w:rsid w:val="00F72BBA"/>
    <w:rsid w:val="00F81700"/>
    <w:rsid w:val="00FB2C67"/>
    <w:rsid w:val="00FF0F2A"/>
    <w:rsid w:val="00FF4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5AE4"/>
  <w15:chartTrackingRefBased/>
  <w15:docId w15:val="{861A94CF-C48E-4D68-91C8-13998977F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5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5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708"/>
    <w:rPr>
      <w:rFonts w:eastAsiaTheme="majorEastAsia" w:cstheme="majorBidi"/>
      <w:color w:val="272727" w:themeColor="text1" w:themeTint="D8"/>
    </w:rPr>
  </w:style>
  <w:style w:type="paragraph" w:styleId="Title">
    <w:name w:val="Title"/>
    <w:basedOn w:val="Normal"/>
    <w:next w:val="Normal"/>
    <w:link w:val="TitleChar"/>
    <w:uiPriority w:val="10"/>
    <w:qFormat/>
    <w:rsid w:val="00395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708"/>
    <w:pPr>
      <w:spacing w:before="160"/>
      <w:jc w:val="center"/>
    </w:pPr>
    <w:rPr>
      <w:i/>
      <w:iCs/>
      <w:color w:val="404040" w:themeColor="text1" w:themeTint="BF"/>
    </w:rPr>
  </w:style>
  <w:style w:type="character" w:customStyle="1" w:styleId="QuoteChar">
    <w:name w:val="Quote Char"/>
    <w:basedOn w:val="DefaultParagraphFont"/>
    <w:link w:val="Quote"/>
    <w:uiPriority w:val="29"/>
    <w:rsid w:val="00395708"/>
    <w:rPr>
      <w:i/>
      <w:iCs/>
      <w:color w:val="404040" w:themeColor="text1" w:themeTint="BF"/>
    </w:rPr>
  </w:style>
  <w:style w:type="paragraph" w:styleId="ListParagraph">
    <w:name w:val="List Paragraph"/>
    <w:basedOn w:val="Normal"/>
    <w:uiPriority w:val="34"/>
    <w:qFormat/>
    <w:rsid w:val="00395708"/>
    <w:pPr>
      <w:ind w:left="720"/>
      <w:contextualSpacing/>
    </w:pPr>
  </w:style>
  <w:style w:type="character" w:styleId="IntenseEmphasis">
    <w:name w:val="Intense Emphasis"/>
    <w:basedOn w:val="DefaultParagraphFont"/>
    <w:uiPriority w:val="21"/>
    <w:qFormat/>
    <w:rsid w:val="00395708"/>
    <w:rPr>
      <w:i/>
      <w:iCs/>
      <w:color w:val="0F4761" w:themeColor="accent1" w:themeShade="BF"/>
    </w:rPr>
  </w:style>
  <w:style w:type="paragraph" w:styleId="IntenseQuote">
    <w:name w:val="Intense Quote"/>
    <w:basedOn w:val="Normal"/>
    <w:next w:val="Normal"/>
    <w:link w:val="IntenseQuoteChar"/>
    <w:uiPriority w:val="30"/>
    <w:qFormat/>
    <w:rsid w:val="00395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708"/>
    <w:rPr>
      <w:i/>
      <w:iCs/>
      <w:color w:val="0F4761" w:themeColor="accent1" w:themeShade="BF"/>
    </w:rPr>
  </w:style>
  <w:style w:type="character" w:styleId="IntenseReference">
    <w:name w:val="Intense Reference"/>
    <w:basedOn w:val="DefaultParagraphFont"/>
    <w:uiPriority w:val="32"/>
    <w:qFormat/>
    <w:rsid w:val="00395708"/>
    <w:rPr>
      <w:b/>
      <w:bCs/>
      <w:smallCaps/>
      <w:color w:val="0F4761" w:themeColor="accent1" w:themeShade="BF"/>
      <w:spacing w:val="5"/>
    </w:rPr>
  </w:style>
  <w:style w:type="paragraph" w:styleId="NormalWeb">
    <w:name w:val="Normal (Web)"/>
    <w:basedOn w:val="Normal"/>
    <w:uiPriority w:val="99"/>
    <w:semiHidden/>
    <w:unhideWhenUsed/>
    <w:rsid w:val="00BC43EA"/>
    <w:rPr>
      <w:rFonts w:ascii="Times New Roman" w:hAnsi="Times New Roman" w:cs="Times New Roman"/>
    </w:rPr>
  </w:style>
  <w:style w:type="paragraph" w:styleId="Header">
    <w:name w:val="header"/>
    <w:basedOn w:val="Normal"/>
    <w:link w:val="HeaderChar"/>
    <w:uiPriority w:val="99"/>
    <w:unhideWhenUsed/>
    <w:rsid w:val="0094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B84"/>
  </w:style>
  <w:style w:type="paragraph" w:styleId="Footer">
    <w:name w:val="footer"/>
    <w:basedOn w:val="Normal"/>
    <w:link w:val="FooterChar"/>
    <w:uiPriority w:val="99"/>
    <w:unhideWhenUsed/>
    <w:rsid w:val="0094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B84"/>
  </w:style>
  <w:style w:type="character" w:styleId="Hyperlink">
    <w:name w:val="Hyperlink"/>
    <w:basedOn w:val="DefaultParagraphFont"/>
    <w:uiPriority w:val="99"/>
    <w:unhideWhenUsed/>
    <w:rsid w:val="00E5048C"/>
    <w:rPr>
      <w:color w:val="467886" w:themeColor="hyperlink"/>
      <w:u w:val="single"/>
    </w:rPr>
  </w:style>
  <w:style w:type="character" w:styleId="UnresolvedMention">
    <w:name w:val="Unresolved Mention"/>
    <w:basedOn w:val="DefaultParagraphFont"/>
    <w:uiPriority w:val="99"/>
    <w:semiHidden/>
    <w:unhideWhenUsed/>
    <w:rsid w:val="00E5048C"/>
    <w:rPr>
      <w:color w:val="605E5C"/>
      <w:shd w:val="clear" w:color="auto" w:fill="E1DFDD"/>
    </w:rPr>
  </w:style>
  <w:style w:type="paragraph" w:styleId="TOCHeading">
    <w:name w:val="TOC Heading"/>
    <w:basedOn w:val="Heading1"/>
    <w:next w:val="Normal"/>
    <w:uiPriority w:val="39"/>
    <w:unhideWhenUsed/>
    <w:qFormat/>
    <w:rsid w:val="0046522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522B"/>
    <w:pPr>
      <w:spacing w:after="100"/>
    </w:pPr>
  </w:style>
  <w:style w:type="paragraph" w:styleId="TOC2">
    <w:name w:val="toc 2"/>
    <w:basedOn w:val="Normal"/>
    <w:next w:val="Normal"/>
    <w:autoRedefine/>
    <w:uiPriority w:val="39"/>
    <w:unhideWhenUsed/>
    <w:rsid w:val="004652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1492063910170010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ea.auto/publication/economic-and-market-report-global-and-eu-auto-industry-full-year-2024/?utm_source=chatgpt.com" TargetMode="External"/><Relationship Id="rId17" Type="http://schemas.openxmlformats.org/officeDocument/2006/relationships/hyperlink" Target="https://www.gov.uk/government/publications/transport-decarbonisation-plan" TargetMode="External"/><Relationship Id="rId2" Type="http://schemas.openxmlformats.org/officeDocument/2006/relationships/numbering" Target="numbering.xml"/><Relationship Id="rId16" Type="http://schemas.openxmlformats.org/officeDocument/2006/relationships/hyperlink" Target="https://doi.org/10.1016/j.lrp.2017.06.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mmt.co.uk/automotiveinsight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ica.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EE20D-DA9F-4850-9AFB-CC2F7AEB7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2417</TotalTime>
  <Pages>12</Pages>
  <Words>3171</Words>
  <Characters>18080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137</cp:revision>
  <dcterms:created xsi:type="dcterms:W3CDTF">2026-03-14T21:53:00Z</dcterms:created>
  <dcterms:modified xsi:type="dcterms:W3CDTF">2026-03-18T15:35:00Z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5e738375-7bb2-463d-8f74-287f47fda6cc</vt:lpwstr>
  </property>
</Properties>
</file>