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D4E2C" w:rsidRDefault="000657C5">
      <w:r>
        <w:t xml:space="preserve">Wittgenstein says that the peculiar grammar of the word “I”’ is liable to mislead us into thinking that there is a non-bodily entity, a ‘real’ I that ‘lives in my body’ (The Blue Book, p 66) How does it do this? </w:t>
      </w:r>
    </w:p>
    <w:p w14:paraId="00000002" w14:textId="77777777" w:rsidR="002D4E2C" w:rsidRDefault="002D4E2C"/>
    <w:p w14:paraId="00000003" w14:textId="4B51F474" w:rsidR="002D4E2C" w:rsidRDefault="000657C5">
      <w:r>
        <w:t>The main problem with the grammar of “I” is under certain usages, the word “I” does not refer to anything; a problem which Anscombe would regard as ‘referring in absence’. Yet not only do</w:t>
      </w:r>
      <w:r>
        <w:t xml:space="preserve"> we need to know what is meant by “I” depending on its usage, we need to know how philosophers use grammar in the first place to claim certain usages of the word “I” are in fact misleading; especially how Wittgenstein uses grammar.</w:t>
      </w:r>
    </w:p>
    <w:p w14:paraId="00000004" w14:textId="77777777" w:rsidR="002D4E2C" w:rsidRDefault="002D4E2C"/>
    <w:p w14:paraId="00000005" w14:textId="77777777" w:rsidR="002D4E2C" w:rsidRDefault="000657C5">
      <w:r>
        <w:t>Wittgenstein’s use of t</w:t>
      </w:r>
      <w:r>
        <w:t>he word grammar is not an ordinary one. Rather than any specific focus upon syntax and morphology, Wittgenstein gives grammar a rather particular definition; rules/conventions</w:t>
      </w:r>
      <w:r>
        <w:rPr>
          <w:vertAlign w:val="superscript"/>
        </w:rPr>
        <w:footnoteReference w:id="1"/>
      </w:r>
      <w:r>
        <w:t xml:space="preserve"> which dictate the use of words in order to find meaning via the signs and the e</w:t>
      </w:r>
      <w:r>
        <w:t xml:space="preserve">xpressions in a given set of rules. The set of rules in question and their outputs are otherwise known as a language game. Thus, grammar can correctly be described as that which sets the barriers between what can and cannot be meaningfully said. </w:t>
      </w:r>
    </w:p>
    <w:p w14:paraId="00000006" w14:textId="77777777" w:rsidR="002D4E2C" w:rsidRDefault="002D4E2C"/>
    <w:p w14:paraId="00000007" w14:textId="62149575" w:rsidR="002D4E2C" w:rsidRDefault="000657C5">
      <w:r>
        <w:t>Building</w:t>
      </w:r>
      <w:r>
        <w:t xml:space="preserve"> from such a definition of grammar, we must know what types of grammatical rules lumped together can create an adequate language game with any meaning at all. The language game must be factual. A fact, can either be true or false. It is a fact 1+1=2 is tru</w:t>
      </w:r>
      <w:r>
        <w:t>e and it is a fact 1+1=3 is false. A fact cannot fail to convey the truth which it bears. For instance, 2+2=4 is necessarily true. Even facts with a level of contingency, within a given moment, have to necessarily be either true or false. If I roll a dice,</w:t>
      </w:r>
      <w:r>
        <w:t xml:space="preserve"> it will not necessarily land on 6 but if it does then the dice is necessarily 6 in that singular instance. In this sense, Wittgenstein maintains the notion put forward by </w:t>
      </w:r>
      <w:proofErr w:type="spellStart"/>
      <w:r>
        <w:t>Gottlobb</w:t>
      </w:r>
      <w:proofErr w:type="spellEnd"/>
      <w:r>
        <w:t xml:space="preserve"> </w:t>
      </w:r>
      <w:proofErr w:type="spellStart"/>
      <w:r>
        <w:t>Frege</w:t>
      </w:r>
      <w:proofErr w:type="spellEnd"/>
      <w:r>
        <w:t xml:space="preserve"> both in Wittgenstein’s early pre-Blue </w:t>
      </w:r>
      <w:r w:rsidRPr="009C590A">
        <w:rPr>
          <w:i/>
        </w:rPr>
        <w:t>Book</w:t>
      </w:r>
      <w:r w:rsidR="009C590A" w:rsidRPr="009C590A">
        <w:rPr>
          <w:i/>
        </w:rPr>
        <w:t xml:space="preserve"> and Brown Books</w:t>
      </w:r>
      <w:r w:rsidR="009C590A">
        <w:rPr>
          <w:rStyle w:val="FootnoteReference"/>
          <w:i/>
        </w:rPr>
        <w:footnoteReference w:id="2"/>
      </w:r>
      <w:r w:rsidRPr="009C590A">
        <w:rPr>
          <w:i/>
        </w:rPr>
        <w:t xml:space="preserve"> </w:t>
      </w:r>
      <w:r>
        <w:t xml:space="preserve">philosophy of the </w:t>
      </w:r>
      <w:proofErr w:type="spellStart"/>
      <w:r>
        <w:t>Tractatu</w:t>
      </w:r>
      <w:r>
        <w:t>s</w:t>
      </w:r>
      <w:proofErr w:type="spellEnd"/>
      <w:r>
        <w:t xml:space="preserve"> and his later philosophy in which</w:t>
      </w:r>
      <w:r w:rsidR="009C590A">
        <w:t xml:space="preserve">, according to </w:t>
      </w:r>
      <w:proofErr w:type="spellStart"/>
      <w:r w:rsidR="009C590A">
        <w:t>Bhaswati</w:t>
      </w:r>
      <w:proofErr w:type="spellEnd"/>
      <w:r w:rsidR="009C590A">
        <w:t xml:space="preserve"> Bhattacharya Chakrabarti in </w:t>
      </w:r>
      <w:r w:rsidR="009C590A">
        <w:rPr>
          <w:i/>
        </w:rPr>
        <w:t>Language and Grammar</w:t>
      </w:r>
      <w:r w:rsidR="009C590A">
        <w:rPr>
          <w:rStyle w:val="FootnoteReference"/>
          <w:i/>
        </w:rPr>
        <w:footnoteReference w:id="3"/>
      </w:r>
      <w:r w:rsidR="009C590A">
        <w:t>,</w:t>
      </w:r>
      <w:r w:rsidR="009C590A">
        <w:rPr>
          <w:i/>
        </w:rPr>
        <w:t xml:space="preserve"> </w:t>
      </w:r>
      <w:r>
        <w:t>grammatical rules of language are governed by necessity</w:t>
      </w:r>
      <w:r>
        <w:t xml:space="preserve">. </w:t>
      </w:r>
    </w:p>
    <w:p w14:paraId="00000008" w14:textId="77777777" w:rsidR="002D4E2C" w:rsidRDefault="002D4E2C"/>
    <w:p w14:paraId="00000009" w14:textId="482D34E1" w:rsidR="002D4E2C" w:rsidRDefault="000657C5">
      <w:r>
        <w:t xml:space="preserve">Ostensive definitions are able to give us this sense of necessity. Ostensive definitions are definitions made through examples. If I want to define the </w:t>
      </w:r>
      <w:proofErr w:type="spellStart"/>
      <w:r>
        <w:t>colour</w:t>
      </w:r>
      <w:proofErr w:type="spellEnd"/>
      <w:r>
        <w:t xml:space="preserve"> b</w:t>
      </w:r>
      <w:r>
        <w:t xml:space="preserve">lue, I cannot say or express anything about blue other than blue is a </w:t>
      </w:r>
      <w:proofErr w:type="spellStart"/>
      <w:r>
        <w:t>colour</w:t>
      </w:r>
      <w:proofErr w:type="spellEnd"/>
      <w:r>
        <w:t>. Yet I could point towards the sea, the sky, a blue car or a forget-</w:t>
      </w:r>
      <w:r>
        <w:t>me-</w:t>
      </w:r>
      <w:r>
        <w:t>not. The necessity here, is not causal, but comes from the fact there must be something like the sea, the sk</w:t>
      </w:r>
      <w:r>
        <w:t>y, a car,</w:t>
      </w:r>
      <w:r>
        <w:t xml:space="preserve"> or a forget me not, posited before us in order to necessarily make the definition. When the word necessary is used in this sense we are thinking of what is logically necessary. It must be true in all possible worlds. 1+1=2 and 2+2=4 will always be</w:t>
      </w:r>
      <w:r>
        <w:t xml:space="preserve"> true regardless of what world they happen to be in. Likewise, 1+1=3 being untrue in this world, </w:t>
      </w:r>
      <w:r>
        <w:t xml:space="preserve">is also untrue everywhere. </w:t>
      </w:r>
    </w:p>
    <w:p w14:paraId="0000000A" w14:textId="77777777" w:rsidR="002D4E2C" w:rsidRDefault="002D4E2C"/>
    <w:p w14:paraId="0000000B" w14:textId="77777777" w:rsidR="002D4E2C" w:rsidRDefault="002D4E2C"/>
    <w:p w14:paraId="0000000C" w14:textId="77777777" w:rsidR="002D4E2C" w:rsidRDefault="000657C5">
      <w:r>
        <w:lastRenderedPageBreak/>
        <w:t>Here we may begin to see the problem with the grammar of the word “I”. When we think of “I”’ we often think of a sense of self but if we were to</w:t>
      </w:r>
      <w:r>
        <w:t xml:space="preserve"> point to such a sense of self we would only really be pointing at the body. The body is not, however, what we often mean when we say “I”’. Yet there is no factual rule extending meaning to any expressions or signs within a language game to show what we me</w:t>
      </w:r>
      <w:r>
        <w:t>an by “I”’ in this sense. When we use “I” like this, we have no examples of what “I”’ really is at our disposal. It is true that the sea is blue. It is false that the sea is red. Both statements are facts. Though it is neither true or false that beyond a p</w:t>
      </w:r>
      <w:r>
        <w:t xml:space="preserve">erson’s body there is an entity which can be referred to as’ “I”’. </w:t>
      </w:r>
    </w:p>
    <w:p w14:paraId="0000000D" w14:textId="77777777" w:rsidR="002D4E2C" w:rsidRDefault="002D4E2C"/>
    <w:p w14:paraId="0000000E" w14:textId="31559791" w:rsidR="002D4E2C" w:rsidRDefault="000657C5">
      <w:r>
        <w:t xml:space="preserve">Such an “I”’ can be described as the Cartesian Ego. In </w:t>
      </w:r>
      <w:r>
        <w:rPr>
          <w:i/>
        </w:rPr>
        <w:t>Problems of the Self</w:t>
      </w:r>
      <w:r>
        <w:rPr>
          <w:i/>
          <w:vertAlign w:val="superscript"/>
        </w:rPr>
        <w:footnoteReference w:id="4"/>
      </w:r>
      <w:r>
        <w:rPr>
          <w:i/>
        </w:rPr>
        <w:t xml:space="preserve"> </w:t>
      </w:r>
      <w:r>
        <w:t>Bernard Williams gives us a fairly good understanding as to what the Cartesian Ego/Cartesian consciousness con</w:t>
      </w:r>
      <w:r>
        <w:t xml:space="preserve">sists of. An entity which a, could have a space in the world from a different body, b, is still the same entity, c, could have different memories, personalities or ‘bodily development’ </w:t>
      </w:r>
      <w:r>
        <w:t>and d, the space, alongside the memories, personality and bodily devel</w:t>
      </w:r>
      <w:r>
        <w:t xml:space="preserve">opment could have occurred differently in a variety of different ways. Suggesting that a specific body is not necessary to the entity and perhaps </w:t>
      </w:r>
      <w:r>
        <w:rPr>
          <w:i/>
        </w:rPr>
        <w:t>no</w:t>
      </w:r>
      <w:r>
        <w:t xml:space="preserve"> bodily creature at all</w:t>
      </w:r>
      <w:r>
        <w:rPr>
          <w:rFonts w:ascii="Times New Roman" w:eastAsia="Times New Roman" w:hAnsi="Times New Roman" w:cs="Times New Roman"/>
        </w:rPr>
        <w:t xml:space="preserve">. </w:t>
      </w:r>
      <w:r>
        <w:t xml:space="preserve">Another example of what “I” could mean in terms of the Cartesian Ego is found in </w:t>
      </w:r>
      <w:r>
        <w:rPr>
          <w:i/>
        </w:rPr>
        <w:t xml:space="preserve">A </w:t>
      </w:r>
      <w:r>
        <w:rPr>
          <w:i/>
        </w:rPr>
        <w:t>Kantian Critique of Current Approaches to Self-Knowledge 1: Anscombe’s Thought Experiment</w:t>
      </w:r>
      <w:r>
        <w:rPr>
          <w:i/>
          <w:vertAlign w:val="superscript"/>
        </w:rPr>
        <w:footnoteReference w:id="5"/>
      </w:r>
      <w:r>
        <w:rPr>
          <w:i/>
        </w:rPr>
        <w:t xml:space="preserve"> </w:t>
      </w:r>
      <w:r>
        <w:t xml:space="preserve">by Patricia </w:t>
      </w:r>
      <w:proofErr w:type="spellStart"/>
      <w:r>
        <w:t>Kit</w:t>
      </w:r>
      <w:r>
        <w:t>c</w:t>
      </w:r>
      <w:r w:rsidR="009C590A">
        <w:t>h</w:t>
      </w:r>
      <w:r>
        <w:t>er</w:t>
      </w:r>
      <w:proofErr w:type="spellEnd"/>
      <w:r>
        <w:t xml:space="preserve">, in which she explains Elizabeth Anscombe’s sensory deprivation tank hypothetical. Imagine you are inside this sensory deprivation tank. You are </w:t>
      </w:r>
      <w:r>
        <w:t>unable to see, or hear, speak or touch anything. You have also been anaestheti</w:t>
      </w:r>
      <w:r w:rsidR="009C590A">
        <w:t>z</w:t>
      </w:r>
      <w:r>
        <w:t>ed. As you float amid the water you still seem to have this sense of self or sense of “I”. The only problem is there is nothing descriptive you can use in order to talk of “I” i</w:t>
      </w:r>
      <w:r>
        <w:t>n this sense because there is nothing bodily. Building from the descriptions of “I” put forward by Williams and Anscombe we find that under these descriptions “I” is not particularly easy to understand. If nothing physical or bodily is needed to describe “</w:t>
      </w:r>
      <w:r>
        <w:t>I” and whatever “I” happens to inhabit can be different each time, it becomes increasingly hard to give any detailed account as to what makes “I”. To put it another way, if we whittle away all the physical attributes of “I” then we are literally not left w</w:t>
      </w:r>
      <w:r>
        <w:t xml:space="preserve">ith anything to refer back to. It is on this basis, In </w:t>
      </w:r>
      <w:r>
        <w:rPr>
          <w:i/>
        </w:rPr>
        <w:t>Metaphysics and the Philosophy of Mind (Collected Papers Vol 2)</w:t>
      </w:r>
      <w:r>
        <w:rPr>
          <w:vertAlign w:val="superscript"/>
        </w:rPr>
        <w:footnoteReference w:id="6"/>
      </w:r>
      <w:r>
        <w:t xml:space="preserve"> and her paper the First Person, Anscombe eventually concludes</w:t>
      </w:r>
      <w:r>
        <w:t xml:space="preserve"> to abandon “I” as something that refers. Wittgenstein howeve</w:t>
      </w:r>
      <w:r>
        <w:t xml:space="preserve">r, did not reach the same conclusion that “I” simply </w:t>
      </w:r>
      <w:r>
        <w:rPr>
          <w:i/>
        </w:rPr>
        <w:t xml:space="preserve">cannot </w:t>
      </w:r>
      <w:r>
        <w:t xml:space="preserve">refer. </w:t>
      </w:r>
    </w:p>
    <w:p w14:paraId="0000000F" w14:textId="77777777" w:rsidR="002D4E2C" w:rsidRDefault="002D4E2C"/>
    <w:p w14:paraId="00000010" w14:textId="3BA4761C" w:rsidR="002D4E2C" w:rsidRDefault="000657C5">
      <w:r>
        <w:t xml:space="preserve">For Wittgenstein, there are 2 uses of the word “I”. The first is “I” as ‘object’ and the second is “I” as ‘subject’. </w:t>
      </w:r>
      <w:r>
        <w:t>Wittgenstein gives us some examples of “I</w:t>
      </w:r>
      <w:r>
        <w:t>” used as an object such as ‘I have a bump on my forehead’, ‘My arm is broken’, ‘the wind blows my hair about’, ‘I have grown six inches’. Firstly, what these quotes share in common is they all involve a recognition of something. Secondly, they all have th</w:t>
      </w:r>
      <w:r>
        <w:t xml:space="preserve">e possibility of error. The possibility of their error is the grammatical rule itself. For instance, in a game of chess, the rules will determine the moves played within the game. The rules are dependent on being able to change something about the </w:t>
      </w:r>
      <w:r>
        <w:lastRenderedPageBreak/>
        <w:t xml:space="preserve">game of </w:t>
      </w:r>
      <w:r>
        <w:t xml:space="preserve">chess. Wittgenstein’s own example here being a paper crown rested upon the head of the king in a game of chess. If there were such a rule, it would not change the moves of the game in any way like say, moving a pawn or capturing a knight would. </w:t>
      </w:r>
    </w:p>
    <w:p w14:paraId="00000011" w14:textId="77777777" w:rsidR="002D4E2C" w:rsidRDefault="002D4E2C"/>
    <w:p w14:paraId="00000012" w14:textId="77777777" w:rsidR="002D4E2C" w:rsidRDefault="000657C5">
      <w:r>
        <w:t>As stated</w:t>
      </w:r>
      <w:r>
        <w:t xml:space="preserve"> in the second paragraph, a fact can either be true or false. This is why Wittgenstein’s above quotes fit squarely within a factual language game because they could all potentially be wrong. I may not have grown 6 inches or I may not have a bump on my head</w:t>
      </w:r>
      <w:r>
        <w:t>. Suppose I did not have a broken arm, factually speaking, my arm then, is not broken. Like in the case of ostensive definitions, there is something before us we can point to in order to define our terms and whether or not we have pointed correctly will re</w:t>
      </w:r>
      <w:r>
        <w:t xml:space="preserve">gulate our truth claim. When “I” is used in this sense, “I” is used in a meaningful sense because “I” can refer to something physically and it would be a fact that whatever we attach to “I”, would be true or false. </w:t>
      </w:r>
    </w:p>
    <w:p w14:paraId="00000013" w14:textId="77777777" w:rsidR="002D4E2C" w:rsidRDefault="002D4E2C"/>
    <w:p w14:paraId="00000014" w14:textId="083339BB" w:rsidR="002D4E2C" w:rsidRDefault="000657C5">
      <w:r>
        <w:t>Although, “I” as ‘object’ is not the so</w:t>
      </w:r>
      <w:r>
        <w:t>rt of “I” which Wittgenstein claims to be misleading. “I” as ‘subject’ is misleading precisely because there is no possibility of error. If there is no possibility of error then there can be no possibility of it either being true or false. If there is no p</w:t>
      </w:r>
      <w:r>
        <w:t>ossibility of being either true or false then there can be no possibility of using “I” in a meaningful/factually based statement. Consider the two following statements, “Tom has a cut” and “I am in pain”. In the first statement, we must know whether the in</w:t>
      </w:r>
      <w:r>
        <w:t>dividual involved really is Tom and really does have a cut. Luckily, we can do this by simply observing whether the individual in question has Tom’s body and we can scan Tom’s body for a cut. Once again, we could be wrong but the ability to be wrong is exa</w:t>
      </w:r>
      <w:r>
        <w:t xml:space="preserve">ctly what the grammatical rule of this statement requires. We could have the following list of combinations; 1. The individual is Tom and really does have a cut, 2. The individual is not Tom and really does not have a cut, 3. The individual is not Tom but </w:t>
      </w:r>
      <w:r>
        <w:t>does have a cut, and 4. The individual is Tom but does not have a cut. After close</w:t>
      </w:r>
      <w:bookmarkStart w:id="0" w:name="_GoBack"/>
      <w:bookmarkEnd w:id="0"/>
      <w:r>
        <w:t xml:space="preserve"> inspection of the individual and the possible whereabouts of their cut, we may find the third outcome was true. Factually speaking then, ‘Tom has a cut’ is untrue and more specifi</w:t>
      </w:r>
      <w:r>
        <w:t>cally, it is a fact that somebody has a cut albeit that person is not Tom. In contrast, the statement, “I am in pain”, using the ‘subject’ use of the word which is essentially just the Cartesian use of the word, has nothing to refer to “I” and nothing to r</w:t>
      </w:r>
      <w:r>
        <w:t>efer to pain. The claim is not “my body is in pain”. Which would give us 2 distinct outcomes of either the body being mine or not my own. Even if this was the statement being made, we would need to know such variables as which part of the body has the pain</w:t>
      </w:r>
      <w:r>
        <w:t xml:space="preserve">. What the pain is. Is it a scab? An internal pain? An ache? We first have to know whether the “I” in question really is I and whether the pain in question really is pain. If we cannot do so, then we cannot make a meaningful statement because what we will </w:t>
      </w:r>
      <w:r>
        <w:t xml:space="preserve">be referring to in said statement is neither true nor false. </w:t>
      </w:r>
    </w:p>
    <w:p w14:paraId="00000015" w14:textId="77777777" w:rsidR="002D4E2C" w:rsidRDefault="002D4E2C"/>
    <w:p w14:paraId="00000016" w14:textId="77777777" w:rsidR="002D4E2C" w:rsidRDefault="000657C5">
      <w:r>
        <w:t>If pain then, with its relation to “I” in the statement I am in pain cannot be understood via the body, how can it be understood? The way in which the grammatical rules are necessary must chang</w:t>
      </w:r>
      <w:r>
        <w:t xml:space="preserve">e. Instead of being logically necessary, they have to have causal necessity. The pain belongs to some abstract Cartesian sense of self which has a causal relationship with the body. </w:t>
      </w:r>
    </w:p>
    <w:p w14:paraId="00000017" w14:textId="77777777" w:rsidR="002D4E2C" w:rsidRDefault="000657C5">
      <w:r>
        <w:lastRenderedPageBreak/>
        <w:t xml:space="preserve">In </w:t>
      </w:r>
      <w:r>
        <w:rPr>
          <w:i/>
        </w:rPr>
        <w:t>Treatise of Human Nature</w:t>
      </w:r>
      <w:r>
        <w:rPr>
          <w:i/>
          <w:vertAlign w:val="superscript"/>
        </w:rPr>
        <w:footnoteReference w:id="7"/>
      </w:r>
      <w:r>
        <w:rPr>
          <w:i/>
        </w:rPr>
        <w:t xml:space="preserve"> </w:t>
      </w:r>
      <w:r>
        <w:t xml:space="preserve"> David Hume argues on very similar lines to </w:t>
      </w:r>
      <w:r>
        <w:t>that of Wittgenstein, by claiming the way we talk of personal identity is a ’common abuse’. This common abuse is, like for Wittgenstein, coming from the notion that there is an unchanging substance added to the body which is not made of any material. We ar</w:t>
      </w:r>
      <w:r>
        <w:t xml:space="preserve">e imprinting this idea of the Cartesian Ego onto ourselves totally unaware we are doing it. For Hume, this was only a philosophical mistake about personal identity but to </w:t>
      </w:r>
      <w:proofErr w:type="spellStart"/>
      <w:r>
        <w:t>Wittgentstein</w:t>
      </w:r>
      <w:proofErr w:type="spellEnd"/>
      <w:r>
        <w:t xml:space="preserve"> this mistake was also down to the ‘abuse’ of grammar. To use “I” as ‘su</w:t>
      </w:r>
      <w:r>
        <w:t xml:space="preserve">bject’ is not just to make a philosophical mistake but to have bad grammar. </w:t>
      </w:r>
    </w:p>
    <w:p w14:paraId="00000018" w14:textId="77777777" w:rsidR="002D4E2C" w:rsidRDefault="002D4E2C"/>
    <w:p w14:paraId="00000019" w14:textId="77777777" w:rsidR="002D4E2C" w:rsidRDefault="000657C5">
      <w:proofErr w:type="gramStart"/>
      <w:r>
        <w:t>So</w:t>
      </w:r>
      <w:proofErr w:type="gramEnd"/>
      <w:r>
        <w:t xml:space="preserve"> what actually is communicated when a person uses “I” with the wrong type of grammar? According to Wittgenstein, ‘To say, “I have pain” is no more a statement </w:t>
      </w:r>
      <w:r>
        <w:rPr>
          <w:i/>
        </w:rPr>
        <w:t xml:space="preserve">about </w:t>
      </w:r>
      <w:r>
        <w:t>a particula</w:t>
      </w:r>
      <w:r>
        <w:t>r person than moaning is’. The only level of meaning which can come from a moan is we can see and hear the body in question doing the moaning. It tells us very little about the cause of the moaning. Similarly, the statement, “I am in pain” tells us very li</w:t>
      </w:r>
      <w:r>
        <w:t xml:space="preserve">ttle other than the body in question is currently making noise. A grunt, moan or groan does not need to refer to anything because ultimately a grunt, moan or groan is meaningless. As Wittgenstein explains, you could simply raise your hand to show that you </w:t>
      </w:r>
      <w:r>
        <w:t xml:space="preserve">were distressed or point your hand towards the sun in order to convey some information. Yet in the case of the sun, a person is not pointing to </w:t>
      </w:r>
      <w:r>
        <w:rPr>
          <w:i/>
        </w:rPr>
        <w:t>themselves</w:t>
      </w:r>
      <w:r>
        <w:t xml:space="preserve"> simply because as Wittgenstein again puts it’ ‘it is </w:t>
      </w:r>
      <w:r>
        <w:rPr>
          <w:i/>
        </w:rPr>
        <w:t xml:space="preserve">he </w:t>
      </w:r>
      <w:r>
        <w:t>who points’. The gesture refers to nothing an</w:t>
      </w:r>
      <w:r>
        <w:t xml:space="preserve">d therefore can only appear like a feature of the body. </w:t>
      </w:r>
    </w:p>
    <w:p w14:paraId="0000001A" w14:textId="77777777" w:rsidR="002D4E2C" w:rsidRDefault="002D4E2C"/>
    <w:p w14:paraId="0000001B" w14:textId="77777777" w:rsidR="002D4E2C" w:rsidRDefault="000657C5">
      <w:r>
        <w:t>What misleads us into thinking there is a non-bodily entity living within the body is a misunderstanding of grammatical convention. As already stated, grammatical rules are factual and therefore dep</w:t>
      </w:r>
      <w:r>
        <w:t>endent upon being true or false. If, in a given language game I say something untrue, then it is a fact that it is untrue and thus a meaningful claim has been made. If no possibility for the statement to be true or false has been provided then it cannot be</w:t>
      </w:r>
      <w:r>
        <w:t xml:space="preserve"> a factually based statement and a statement can only be factual if it has the ability to refer to something. At first glance, it appears as though the subject use of “I” does refer to something hence the </w:t>
      </w:r>
      <w:r>
        <w:rPr>
          <w:i/>
        </w:rPr>
        <w:t>use</w:t>
      </w:r>
      <w:r>
        <w:t xml:space="preserve"> of the word “I”. Though under closer inspection</w:t>
      </w:r>
      <w:r>
        <w:t xml:space="preserve"> we find that I cannot for instance say, “I am not “I”” because “I” would not be referring to anything to </w:t>
      </w:r>
      <w:r>
        <w:rPr>
          <w:i/>
        </w:rPr>
        <w:t xml:space="preserve">not </w:t>
      </w:r>
      <w:r>
        <w:t>be itself. What we have done is we have confused ‘object’ based uses of “I” with subject uses. Like with ostensive definitions, there is something</w:t>
      </w:r>
      <w:r>
        <w:t xml:space="preserve"> necessarily being referred to, we believe that when we talk of “I” in the more abstract non-bodily sense, we are engaging in the same type of referring but in </w:t>
      </w:r>
      <w:proofErr w:type="gramStart"/>
      <w:r>
        <w:t>reality</w:t>
      </w:r>
      <w:proofErr w:type="gramEnd"/>
      <w:r>
        <w:t xml:space="preserve"> such attempts will just look like actions of the physical body such as groaning or sneez</w:t>
      </w:r>
      <w:r>
        <w:t xml:space="preserve">ing. By both forgetting our grammatical conventions rely upon something physically being referred to and by forgetting that </w:t>
      </w:r>
      <w:r>
        <w:rPr>
          <w:i/>
        </w:rPr>
        <w:t>what</w:t>
      </w:r>
      <w:r>
        <w:t xml:space="preserve"> we refer to with our grammatical conventions either is or is not what we claim it is, we are forced to make the necessity under</w:t>
      </w:r>
      <w:r>
        <w:t>pinning our conventions one of causality in which something immaterial has to exist beyond the body to for instance, feel pain. The moment we have to rely upon something causally beyond the body to feel pain or undergo our mental processes, we have constru</w:t>
      </w:r>
      <w:r>
        <w:t xml:space="preserve">cted the Cartesian self as a form of identity. </w:t>
      </w:r>
    </w:p>
    <w:p w14:paraId="0000001C" w14:textId="77777777" w:rsidR="002D4E2C" w:rsidRDefault="002D4E2C"/>
    <w:p w14:paraId="0000001D" w14:textId="77777777" w:rsidR="002D4E2C" w:rsidRDefault="000657C5">
      <w:pPr>
        <w:jc w:val="center"/>
        <w:rPr>
          <w:b/>
          <w:i/>
          <w:u w:val="single"/>
        </w:rPr>
      </w:pPr>
      <w:r>
        <w:rPr>
          <w:b/>
          <w:i/>
          <w:u w:val="single"/>
        </w:rPr>
        <w:t>Bibliography:</w:t>
      </w:r>
    </w:p>
    <w:p w14:paraId="0000001E" w14:textId="77777777" w:rsidR="002D4E2C" w:rsidRDefault="000657C5">
      <w:pPr>
        <w:spacing w:line="240" w:lineRule="auto"/>
        <w:jc w:val="center"/>
      </w:pPr>
      <w:r>
        <w:lastRenderedPageBreak/>
        <w:t xml:space="preserve"> Anscombe, G.E, </w:t>
      </w:r>
      <w:r>
        <w:rPr>
          <w:i/>
        </w:rPr>
        <w:t xml:space="preserve">Metaphysics and the Philosophy of Mind (Collected Papers Vol 2), </w:t>
      </w:r>
      <w:r>
        <w:t>Oxford: Blackwell, p. 21-36</w:t>
      </w:r>
    </w:p>
    <w:p w14:paraId="0000001F" w14:textId="77777777" w:rsidR="002D4E2C" w:rsidRDefault="000657C5">
      <w:pPr>
        <w:spacing w:line="240" w:lineRule="auto"/>
        <w:jc w:val="center"/>
        <w:rPr>
          <w:sz w:val="20"/>
          <w:szCs w:val="20"/>
        </w:rPr>
      </w:pPr>
      <w:r>
        <w:rPr>
          <w:sz w:val="20"/>
          <w:szCs w:val="20"/>
        </w:rPr>
        <w:t xml:space="preserve">Chakrabarti, </w:t>
      </w:r>
      <w:proofErr w:type="spellStart"/>
      <w:r>
        <w:rPr>
          <w:sz w:val="20"/>
          <w:szCs w:val="20"/>
        </w:rPr>
        <w:t>Bhaswati</w:t>
      </w:r>
      <w:proofErr w:type="spellEnd"/>
      <w:r>
        <w:rPr>
          <w:sz w:val="20"/>
          <w:szCs w:val="20"/>
        </w:rPr>
        <w:t xml:space="preserve"> Bhattacharya, </w:t>
      </w:r>
      <w:r>
        <w:rPr>
          <w:i/>
          <w:sz w:val="20"/>
          <w:szCs w:val="20"/>
        </w:rPr>
        <w:t xml:space="preserve">Language and Grammar, </w:t>
      </w:r>
      <w:r>
        <w:rPr>
          <w:sz w:val="20"/>
          <w:szCs w:val="20"/>
        </w:rPr>
        <w:t>Northern Book Centre, New Delhi, p. 8</w:t>
      </w:r>
    </w:p>
    <w:p w14:paraId="00000020" w14:textId="77777777" w:rsidR="002D4E2C" w:rsidRDefault="000657C5">
      <w:pPr>
        <w:spacing w:line="240" w:lineRule="auto"/>
        <w:jc w:val="center"/>
        <w:rPr>
          <w:sz w:val="20"/>
          <w:szCs w:val="20"/>
        </w:rPr>
      </w:pPr>
      <w:r>
        <w:rPr>
          <w:sz w:val="20"/>
          <w:szCs w:val="20"/>
        </w:rPr>
        <w:t xml:space="preserve">Hume, David, </w:t>
      </w:r>
      <w:r>
        <w:rPr>
          <w:i/>
          <w:sz w:val="20"/>
          <w:szCs w:val="20"/>
        </w:rPr>
        <w:t xml:space="preserve">Treatise of Human Nature, </w:t>
      </w:r>
      <w:r>
        <w:rPr>
          <w:sz w:val="20"/>
          <w:szCs w:val="20"/>
        </w:rPr>
        <w:t>1.4.6.6</w:t>
      </w:r>
    </w:p>
    <w:p w14:paraId="00000021" w14:textId="77777777" w:rsidR="002D4E2C" w:rsidRDefault="000657C5">
      <w:pPr>
        <w:spacing w:line="240" w:lineRule="auto"/>
        <w:jc w:val="center"/>
        <w:rPr>
          <w:sz w:val="20"/>
          <w:szCs w:val="20"/>
        </w:rPr>
      </w:pPr>
      <w:r>
        <w:rPr>
          <w:sz w:val="20"/>
          <w:szCs w:val="20"/>
        </w:rPr>
        <w:t xml:space="preserve"> </w:t>
      </w:r>
      <w:proofErr w:type="spellStart"/>
      <w:r>
        <w:rPr>
          <w:sz w:val="20"/>
          <w:szCs w:val="20"/>
        </w:rPr>
        <w:t>Kitcher</w:t>
      </w:r>
      <w:proofErr w:type="spellEnd"/>
      <w:r>
        <w:rPr>
          <w:sz w:val="20"/>
          <w:szCs w:val="20"/>
        </w:rPr>
        <w:t xml:space="preserve">, </w:t>
      </w:r>
      <w:proofErr w:type="spellStart"/>
      <w:r>
        <w:rPr>
          <w:sz w:val="20"/>
          <w:szCs w:val="20"/>
        </w:rPr>
        <w:t>Patrcia</w:t>
      </w:r>
      <w:proofErr w:type="spellEnd"/>
      <w:r>
        <w:rPr>
          <w:sz w:val="20"/>
          <w:szCs w:val="20"/>
        </w:rPr>
        <w:t xml:space="preserve">, </w:t>
      </w:r>
      <w:r>
        <w:rPr>
          <w:i/>
        </w:rPr>
        <w:t>A Kantian Critique of Current Approaches to Self-Knowledge 1: Anscombe’s Thought Experiment</w:t>
      </w:r>
    </w:p>
    <w:p w14:paraId="00000022" w14:textId="77777777" w:rsidR="002D4E2C" w:rsidRDefault="000657C5">
      <w:pPr>
        <w:spacing w:line="240" w:lineRule="auto"/>
        <w:jc w:val="center"/>
        <w:rPr>
          <w:sz w:val="20"/>
          <w:szCs w:val="20"/>
        </w:rPr>
      </w:pPr>
      <w:r>
        <w:rPr>
          <w:sz w:val="20"/>
          <w:szCs w:val="20"/>
        </w:rPr>
        <w:t xml:space="preserve">Williams, Bernard, </w:t>
      </w:r>
      <w:r>
        <w:rPr>
          <w:i/>
          <w:sz w:val="20"/>
          <w:szCs w:val="20"/>
        </w:rPr>
        <w:t xml:space="preserve">Problems of the Self, </w:t>
      </w:r>
      <w:r>
        <w:rPr>
          <w:sz w:val="20"/>
          <w:szCs w:val="20"/>
        </w:rPr>
        <w:t>Cambridge Universit</w:t>
      </w:r>
      <w:r>
        <w:rPr>
          <w:sz w:val="20"/>
          <w:szCs w:val="20"/>
        </w:rPr>
        <w:t>y Press, p. 40-41</w:t>
      </w:r>
    </w:p>
    <w:p w14:paraId="00000023" w14:textId="77777777" w:rsidR="002D4E2C" w:rsidRDefault="000657C5">
      <w:pPr>
        <w:spacing w:line="240" w:lineRule="auto"/>
        <w:jc w:val="center"/>
        <w:rPr>
          <w:sz w:val="20"/>
          <w:szCs w:val="20"/>
        </w:rPr>
      </w:pPr>
      <w:r>
        <w:rPr>
          <w:sz w:val="20"/>
          <w:szCs w:val="20"/>
        </w:rPr>
        <w:t xml:space="preserve">Wittgenstein, Ludwig, </w:t>
      </w:r>
      <w:r>
        <w:rPr>
          <w:i/>
          <w:sz w:val="20"/>
          <w:szCs w:val="20"/>
        </w:rPr>
        <w:t xml:space="preserve">The Blue and Brown Books, </w:t>
      </w:r>
      <w:r>
        <w:rPr>
          <w:sz w:val="20"/>
          <w:szCs w:val="20"/>
        </w:rPr>
        <w:t>Oxford Blackwell, p. 66-67</w:t>
      </w:r>
    </w:p>
    <w:p w14:paraId="00000024" w14:textId="77777777" w:rsidR="002D4E2C" w:rsidRDefault="002D4E2C">
      <w:pPr>
        <w:spacing w:line="240" w:lineRule="auto"/>
        <w:jc w:val="center"/>
        <w:rPr>
          <w:sz w:val="20"/>
          <w:szCs w:val="20"/>
        </w:rPr>
      </w:pPr>
    </w:p>
    <w:sectPr w:rsidR="002D4E2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10574" w14:textId="77777777" w:rsidR="00000000" w:rsidRDefault="000657C5">
      <w:pPr>
        <w:spacing w:line="240" w:lineRule="auto"/>
      </w:pPr>
      <w:r>
        <w:separator/>
      </w:r>
    </w:p>
  </w:endnote>
  <w:endnote w:type="continuationSeparator" w:id="0">
    <w:p w14:paraId="00174ACB" w14:textId="77777777" w:rsidR="00000000" w:rsidRDefault="000657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D1C4C" w14:textId="77777777" w:rsidR="00000000" w:rsidRDefault="000657C5">
      <w:pPr>
        <w:spacing w:line="240" w:lineRule="auto"/>
      </w:pPr>
      <w:r>
        <w:separator/>
      </w:r>
    </w:p>
  </w:footnote>
  <w:footnote w:type="continuationSeparator" w:id="0">
    <w:p w14:paraId="73E88142" w14:textId="77777777" w:rsidR="00000000" w:rsidRDefault="000657C5">
      <w:pPr>
        <w:spacing w:line="240" w:lineRule="auto"/>
      </w:pPr>
      <w:r>
        <w:continuationSeparator/>
      </w:r>
    </w:p>
  </w:footnote>
  <w:footnote w:id="1">
    <w:p w14:paraId="00000025" w14:textId="77777777" w:rsidR="002D4E2C" w:rsidRDefault="000657C5">
      <w:pPr>
        <w:spacing w:line="240" w:lineRule="auto"/>
        <w:rPr>
          <w:sz w:val="20"/>
          <w:szCs w:val="20"/>
        </w:rPr>
      </w:pPr>
      <w:r>
        <w:rPr>
          <w:vertAlign w:val="superscript"/>
        </w:rPr>
        <w:footnoteRef/>
      </w:r>
      <w:r>
        <w:rPr>
          <w:sz w:val="20"/>
          <w:szCs w:val="20"/>
        </w:rPr>
        <w:t xml:space="preserve"> </w:t>
      </w:r>
      <w:r>
        <w:rPr>
          <w:i/>
          <w:sz w:val="20"/>
          <w:szCs w:val="20"/>
        </w:rPr>
        <w:t xml:space="preserve">Wittgenstein’s Conception of Grammar, </w:t>
      </w:r>
      <w:r>
        <w:rPr>
          <w:sz w:val="20"/>
          <w:szCs w:val="20"/>
        </w:rPr>
        <w:t>Princeton University Press, p. 8-12</w:t>
      </w:r>
    </w:p>
  </w:footnote>
  <w:footnote w:id="2">
    <w:p w14:paraId="3FB3C079" w14:textId="282C962B" w:rsidR="009C590A" w:rsidRPr="009C590A" w:rsidRDefault="009C590A">
      <w:pPr>
        <w:pStyle w:val="FootnoteText"/>
        <w:rPr>
          <w:lang w:val="en-GB"/>
        </w:rPr>
      </w:pPr>
      <w:r>
        <w:rPr>
          <w:rStyle w:val="FootnoteReference"/>
        </w:rPr>
        <w:footnoteRef/>
      </w:r>
      <w:r>
        <w:t xml:space="preserve"> </w:t>
      </w:r>
      <w:r w:rsidRPr="009C590A">
        <w:t>Wittgenstein, Ludwig, The Blue and Brown Books, Oxford Blackwell, p. 66-67</w:t>
      </w:r>
    </w:p>
  </w:footnote>
  <w:footnote w:id="3">
    <w:p w14:paraId="22C8C64B" w14:textId="6831B6DC" w:rsidR="009C590A" w:rsidRPr="009C590A" w:rsidRDefault="009C590A">
      <w:pPr>
        <w:pStyle w:val="FootnoteText"/>
        <w:rPr>
          <w:lang w:val="en-GB"/>
        </w:rPr>
      </w:pPr>
      <w:r>
        <w:rPr>
          <w:rStyle w:val="FootnoteReference"/>
        </w:rPr>
        <w:footnoteRef/>
      </w:r>
      <w:r>
        <w:t xml:space="preserve"> </w:t>
      </w:r>
      <w:r w:rsidRPr="009C590A">
        <w:t xml:space="preserve">Chakrabarti, </w:t>
      </w:r>
      <w:proofErr w:type="spellStart"/>
      <w:r w:rsidRPr="009C590A">
        <w:t>Bhaswati</w:t>
      </w:r>
      <w:proofErr w:type="spellEnd"/>
      <w:r w:rsidRPr="009C590A">
        <w:t xml:space="preserve"> Bhattacharya, Language and Grammar, Northern Book Centre, New Delhi, p. 8</w:t>
      </w:r>
    </w:p>
  </w:footnote>
  <w:footnote w:id="4">
    <w:p w14:paraId="00000027" w14:textId="77777777" w:rsidR="002D4E2C" w:rsidRDefault="000657C5">
      <w:pPr>
        <w:spacing w:line="240" w:lineRule="auto"/>
        <w:rPr>
          <w:sz w:val="20"/>
          <w:szCs w:val="20"/>
        </w:rPr>
      </w:pPr>
      <w:r>
        <w:rPr>
          <w:vertAlign w:val="superscript"/>
        </w:rPr>
        <w:footnoteRef/>
      </w:r>
      <w:r>
        <w:rPr>
          <w:sz w:val="20"/>
          <w:szCs w:val="20"/>
        </w:rPr>
        <w:t xml:space="preserve"> Williams, Bernard, </w:t>
      </w:r>
      <w:r>
        <w:rPr>
          <w:i/>
          <w:sz w:val="20"/>
          <w:szCs w:val="20"/>
        </w:rPr>
        <w:t xml:space="preserve">Problems of the Self, </w:t>
      </w:r>
      <w:r>
        <w:rPr>
          <w:sz w:val="20"/>
          <w:szCs w:val="20"/>
        </w:rPr>
        <w:t>Cambridge University Press, p. 40-41</w:t>
      </w:r>
    </w:p>
  </w:footnote>
  <w:footnote w:id="5">
    <w:p w14:paraId="0000002A" w14:textId="77777777" w:rsidR="002D4E2C" w:rsidRDefault="000657C5">
      <w:pPr>
        <w:spacing w:line="240" w:lineRule="auto"/>
        <w:rPr>
          <w:sz w:val="20"/>
          <w:szCs w:val="20"/>
        </w:rPr>
      </w:pPr>
      <w:r>
        <w:rPr>
          <w:vertAlign w:val="superscript"/>
        </w:rPr>
        <w:footnoteRef/>
      </w:r>
      <w:r>
        <w:rPr>
          <w:sz w:val="20"/>
          <w:szCs w:val="20"/>
        </w:rPr>
        <w:t xml:space="preserve"> </w:t>
      </w:r>
      <w:proofErr w:type="spellStart"/>
      <w:r>
        <w:rPr>
          <w:sz w:val="20"/>
          <w:szCs w:val="20"/>
        </w:rPr>
        <w:t>Kitcher</w:t>
      </w:r>
      <w:proofErr w:type="spellEnd"/>
      <w:r>
        <w:rPr>
          <w:sz w:val="20"/>
          <w:szCs w:val="20"/>
        </w:rPr>
        <w:t xml:space="preserve">, </w:t>
      </w:r>
      <w:proofErr w:type="spellStart"/>
      <w:r>
        <w:rPr>
          <w:sz w:val="20"/>
          <w:szCs w:val="20"/>
        </w:rPr>
        <w:t>Patrcia</w:t>
      </w:r>
      <w:proofErr w:type="spellEnd"/>
      <w:r>
        <w:rPr>
          <w:sz w:val="20"/>
          <w:szCs w:val="20"/>
        </w:rPr>
        <w:t xml:space="preserve">, </w:t>
      </w:r>
      <w:r>
        <w:rPr>
          <w:i/>
        </w:rPr>
        <w:t>A Kantian Critique</w:t>
      </w:r>
      <w:r>
        <w:rPr>
          <w:i/>
        </w:rPr>
        <w:t xml:space="preserve"> of Current Approaches to Self-Knowledge 1: Anscombe’s Thought Experiment</w:t>
      </w:r>
    </w:p>
  </w:footnote>
  <w:footnote w:id="6">
    <w:p w14:paraId="0000002B" w14:textId="77777777" w:rsidR="002D4E2C" w:rsidRDefault="000657C5">
      <w:pPr>
        <w:spacing w:line="240" w:lineRule="auto"/>
        <w:rPr>
          <w:sz w:val="20"/>
          <w:szCs w:val="20"/>
        </w:rPr>
      </w:pPr>
      <w:r>
        <w:rPr>
          <w:vertAlign w:val="superscript"/>
        </w:rPr>
        <w:footnoteRef/>
      </w:r>
      <w:r>
        <w:rPr>
          <w:sz w:val="20"/>
          <w:szCs w:val="20"/>
        </w:rPr>
        <w:t xml:space="preserve"> Anscombe, G.E, </w:t>
      </w:r>
      <w:r>
        <w:rPr>
          <w:i/>
        </w:rPr>
        <w:t xml:space="preserve">Metaphysics and the Philosophy of Mind (Collected Papers Vol 2), </w:t>
      </w:r>
      <w:r>
        <w:t>Oxford: Blackwell, p. 21-36</w:t>
      </w:r>
    </w:p>
  </w:footnote>
  <w:footnote w:id="7">
    <w:p w14:paraId="00000029" w14:textId="77777777" w:rsidR="002D4E2C" w:rsidRDefault="000657C5">
      <w:pPr>
        <w:spacing w:line="240" w:lineRule="auto"/>
        <w:rPr>
          <w:sz w:val="20"/>
          <w:szCs w:val="20"/>
        </w:rPr>
      </w:pPr>
      <w:r>
        <w:rPr>
          <w:vertAlign w:val="superscript"/>
        </w:rPr>
        <w:footnoteRef/>
      </w:r>
      <w:r>
        <w:rPr>
          <w:sz w:val="20"/>
          <w:szCs w:val="20"/>
        </w:rPr>
        <w:t xml:space="preserve"> Hume, David, </w:t>
      </w:r>
      <w:r>
        <w:rPr>
          <w:i/>
          <w:sz w:val="20"/>
          <w:szCs w:val="20"/>
        </w:rPr>
        <w:t xml:space="preserve">Treatise of Human Nature, </w:t>
      </w:r>
      <w:r>
        <w:rPr>
          <w:sz w:val="20"/>
          <w:szCs w:val="20"/>
        </w:rPr>
        <w:t>1.4.6.6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E2C"/>
    <w:rsid w:val="000657C5"/>
    <w:rsid w:val="002D4E2C"/>
    <w:rsid w:val="009C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D8F34"/>
  <w15:docId w15:val="{043C4C3D-BB3A-42C9-8CB9-3D95EDEDE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9C590A"/>
    <w:pPr>
      <w:spacing w:line="240" w:lineRule="auto"/>
    </w:pPr>
    <w:rPr>
      <w:sz w:val="20"/>
      <w:szCs w:val="20"/>
    </w:rPr>
  </w:style>
  <w:style w:type="character" w:customStyle="1" w:styleId="FootnoteTextChar">
    <w:name w:val="Footnote Text Char"/>
    <w:basedOn w:val="DefaultParagraphFont"/>
    <w:link w:val="FootnoteText"/>
    <w:uiPriority w:val="99"/>
    <w:semiHidden/>
    <w:rsid w:val="009C590A"/>
    <w:rPr>
      <w:sz w:val="20"/>
      <w:szCs w:val="20"/>
    </w:rPr>
  </w:style>
  <w:style w:type="character" w:styleId="FootnoteReference">
    <w:name w:val="footnote reference"/>
    <w:basedOn w:val="DefaultParagraphFont"/>
    <w:uiPriority w:val="99"/>
    <w:semiHidden/>
    <w:unhideWhenUsed/>
    <w:rsid w:val="009C59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4" ma:contentTypeDescription="Create a new document." ma:contentTypeScope="" ma:versionID="eda19315659f5d38db233389aefa00ef">
  <xsd:schema xmlns:xsd="http://www.w3.org/2001/XMLSchema" xmlns:xs="http://www.w3.org/2001/XMLSchema" xmlns:p="http://schemas.microsoft.com/office/2006/metadata/properties" xmlns:ns3="ada16477-4a9e-4f32-8a2f-23c8ffb0c900" targetNamespace="http://schemas.microsoft.com/office/2006/metadata/properties" ma:root="true" ma:fieldsID="726443853636746dd81eff02db59d716"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F5747-FAFE-41F6-9688-C2344919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697B4F-67A4-4394-AC42-6D43B22D1694}">
  <ds:schemaRefs>
    <ds:schemaRef ds:uri="http://schemas.microsoft.com/sharepoint/v3/contenttype/forms"/>
  </ds:schemaRefs>
</ds:datastoreItem>
</file>

<file path=customXml/itemProps3.xml><?xml version="1.0" encoding="utf-8"?>
<ds:datastoreItem xmlns:ds="http://schemas.openxmlformats.org/officeDocument/2006/customXml" ds:itemID="{BEAA9F86-3BB2-411D-828E-BE04B926994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da16477-4a9e-4f32-8a2f-23c8ffb0c900"/>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4BE5C36A-A7ED-4364-B384-8214EB588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Dyer (1804962)</dc:creator>
  <cp:lastModifiedBy>Joseph Dyer (1804962)</cp:lastModifiedBy>
  <cp:revision>2</cp:revision>
  <dcterms:created xsi:type="dcterms:W3CDTF">2020-03-08T21:58:00Z</dcterms:created>
  <dcterms:modified xsi:type="dcterms:W3CDTF">2020-03-08T21:58:00Z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