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58CA6" w14:textId="63CD64DF" w:rsidR="001346B4" w:rsidRDefault="001346B4">
      <w:pPr>
        <w:spacing w:before="240" w:after="240"/>
        <w:rPr>
          <w:b/>
          <w:color w:val="000000"/>
          <w:sz w:val="32"/>
          <w:szCs w:val="32"/>
        </w:rPr>
      </w:pPr>
      <w:r>
        <w:t xml:space="preserve">                 </w:t>
      </w:r>
      <w:r w:rsidR="00000000">
        <w:rPr>
          <w:b/>
          <w:color w:val="000000"/>
          <w:sz w:val="32"/>
          <w:szCs w:val="32"/>
        </w:rPr>
        <w:t>Students name:</w:t>
      </w:r>
      <w:r>
        <w:rPr>
          <w:b/>
          <w:color w:val="000000"/>
          <w:sz w:val="32"/>
          <w:szCs w:val="32"/>
        </w:rPr>
        <w:t xml:space="preserve"> Elena Diana Balan</w:t>
      </w:r>
    </w:p>
    <w:p w14:paraId="0000000A" w14:textId="5C5021AA" w:rsidR="005164C6" w:rsidRDefault="001346B4">
      <w:pPr>
        <w:spacing w:before="240" w:after="240"/>
        <w:rPr>
          <w:b/>
          <w:color w:val="000000"/>
          <w:sz w:val="32"/>
          <w:szCs w:val="32"/>
        </w:rPr>
      </w:pPr>
      <w:r>
        <w:rPr>
          <w:b/>
          <w:color w:val="000000"/>
          <w:sz w:val="32"/>
          <w:szCs w:val="32"/>
        </w:rPr>
        <w:t xml:space="preserve">             </w:t>
      </w:r>
      <w:r w:rsidR="00000000">
        <w:rPr>
          <w:b/>
          <w:color w:val="000000"/>
          <w:sz w:val="32"/>
          <w:szCs w:val="32"/>
        </w:rPr>
        <w:t>Students ID:</w:t>
      </w:r>
      <w:r>
        <w:rPr>
          <w:b/>
          <w:color w:val="000000"/>
          <w:sz w:val="32"/>
          <w:szCs w:val="32"/>
        </w:rPr>
        <w:t>2132762</w:t>
      </w:r>
    </w:p>
    <w:p w14:paraId="0000000B" w14:textId="586D8BF8" w:rsidR="005164C6" w:rsidRDefault="001346B4">
      <w:pPr>
        <w:rPr>
          <w:b/>
          <w:color w:val="000000"/>
          <w:sz w:val="32"/>
          <w:szCs w:val="32"/>
        </w:rPr>
      </w:pPr>
      <w:r>
        <w:rPr>
          <w:b/>
          <w:color w:val="000000"/>
          <w:sz w:val="32"/>
          <w:szCs w:val="32"/>
        </w:rPr>
        <w:t xml:space="preserve">             Module: Low and Legal Practice </w:t>
      </w:r>
    </w:p>
    <w:p w14:paraId="3C742AA2" w14:textId="72B0A087" w:rsidR="001346B4" w:rsidRDefault="001346B4">
      <w:pPr>
        <w:rPr>
          <w:b/>
          <w:color w:val="000000"/>
          <w:sz w:val="32"/>
          <w:szCs w:val="32"/>
        </w:rPr>
      </w:pPr>
      <w:r>
        <w:rPr>
          <w:b/>
          <w:color w:val="000000"/>
          <w:sz w:val="32"/>
          <w:szCs w:val="32"/>
        </w:rPr>
        <w:t xml:space="preserve">             Module Code: BMLW4001 </w:t>
      </w:r>
    </w:p>
    <w:p w14:paraId="60994A4D" w14:textId="77777777" w:rsidR="001346B4" w:rsidRDefault="001346B4" w:rsidP="001346B4">
      <w:pPr>
        <w:rPr>
          <w:b/>
          <w:color w:val="000000"/>
          <w:sz w:val="32"/>
          <w:szCs w:val="32"/>
        </w:rPr>
      </w:pPr>
      <w:r>
        <w:rPr>
          <w:b/>
          <w:color w:val="000000"/>
          <w:sz w:val="32"/>
          <w:szCs w:val="32"/>
        </w:rPr>
        <w:t xml:space="preserve">             Lecturer: James Drew</w:t>
      </w:r>
    </w:p>
    <w:p w14:paraId="12E4DCE4" w14:textId="38AC12FF" w:rsidR="001346B4" w:rsidRPr="001346B4" w:rsidRDefault="001346B4" w:rsidP="001346B4">
      <w:pPr>
        <w:rPr>
          <w:b/>
          <w:color w:val="000000"/>
          <w:sz w:val="32"/>
          <w:szCs w:val="32"/>
        </w:rPr>
      </w:pPr>
      <w:r>
        <w:rPr>
          <w:b/>
          <w:color w:val="000000"/>
          <w:sz w:val="32"/>
          <w:szCs w:val="32"/>
        </w:rPr>
        <w:t xml:space="preserve">           Assignment 2 -   </w:t>
      </w:r>
      <w:r>
        <w:rPr>
          <w:b/>
          <w:sz w:val="32"/>
          <w:szCs w:val="32"/>
        </w:rPr>
        <w:t>Equality and Diversity</w:t>
      </w:r>
    </w:p>
    <w:p w14:paraId="0CEDA540" w14:textId="70FAD577" w:rsidR="001346B4" w:rsidRDefault="001346B4">
      <w:pPr>
        <w:rPr>
          <w:b/>
          <w:color w:val="000000"/>
          <w:sz w:val="32"/>
          <w:szCs w:val="32"/>
        </w:rPr>
      </w:pPr>
    </w:p>
    <w:p w14:paraId="0000000C" w14:textId="77777777" w:rsidR="005164C6" w:rsidRDefault="005164C6">
      <w:pPr>
        <w:rPr>
          <w:b/>
          <w:sz w:val="32"/>
          <w:szCs w:val="32"/>
        </w:rPr>
      </w:pPr>
    </w:p>
    <w:p w14:paraId="0000000D" w14:textId="77777777" w:rsidR="005164C6" w:rsidRDefault="005164C6">
      <w:pPr>
        <w:rPr>
          <w:b/>
          <w:sz w:val="32"/>
          <w:szCs w:val="32"/>
        </w:rPr>
      </w:pPr>
    </w:p>
    <w:p w14:paraId="0000000E" w14:textId="77777777" w:rsidR="005164C6" w:rsidRDefault="005164C6">
      <w:pPr>
        <w:rPr>
          <w:b/>
          <w:sz w:val="32"/>
          <w:szCs w:val="32"/>
        </w:rPr>
      </w:pPr>
    </w:p>
    <w:p w14:paraId="0000000F" w14:textId="77777777" w:rsidR="005164C6" w:rsidRDefault="005164C6">
      <w:pPr>
        <w:rPr>
          <w:b/>
          <w:sz w:val="32"/>
          <w:szCs w:val="32"/>
        </w:rPr>
      </w:pPr>
    </w:p>
    <w:p w14:paraId="00000010" w14:textId="77777777" w:rsidR="005164C6" w:rsidRDefault="005164C6">
      <w:pPr>
        <w:rPr>
          <w:b/>
          <w:sz w:val="32"/>
          <w:szCs w:val="32"/>
        </w:rPr>
      </w:pPr>
    </w:p>
    <w:p w14:paraId="00000011" w14:textId="77777777" w:rsidR="005164C6" w:rsidRDefault="005164C6">
      <w:pPr>
        <w:rPr>
          <w:b/>
          <w:sz w:val="32"/>
          <w:szCs w:val="32"/>
        </w:rPr>
      </w:pPr>
    </w:p>
    <w:p w14:paraId="00000012" w14:textId="77777777" w:rsidR="005164C6" w:rsidRDefault="005164C6">
      <w:pPr>
        <w:rPr>
          <w:b/>
          <w:sz w:val="32"/>
          <w:szCs w:val="32"/>
        </w:rPr>
      </w:pPr>
    </w:p>
    <w:p w14:paraId="00000013" w14:textId="77777777" w:rsidR="005164C6" w:rsidRDefault="005164C6">
      <w:pPr>
        <w:rPr>
          <w:b/>
          <w:sz w:val="32"/>
          <w:szCs w:val="32"/>
        </w:rPr>
      </w:pPr>
    </w:p>
    <w:p w14:paraId="00000014" w14:textId="77777777" w:rsidR="005164C6" w:rsidRDefault="005164C6">
      <w:pPr>
        <w:rPr>
          <w:b/>
          <w:sz w:val="32"/>
          <w:szCs w:val="32"/>
        </w:rPr>
      </w:pPr>
    </w:p>
    <w:p w14:paraId="00000015" w14:textId="77777777" w:rsidR="005164C6" w:rsidRDefault="005164C6">
      <w:pPr>
        <w:rPr>
          <w:b/>
          <w:sz w:val="32"/>
          <w:szCs w:val="32"/>
        </w:rPr>
      </w:pPr>
    </w:p>
    <w:p w14:paraId="00000016" w14:textId="77777777" w:rsidR="005164C6" w:rsidRDefault="005164C6">
      <w:pPr>
        <w:rPr>
          <w:b/>
          <w:sz w:val="32"/>
          <w:szCs w:val="32"/>
        </w:rPr>
      </w:pPr>
    </w:p>
    <w:p w14:paraId="00000017" w14:textId="77777777" w:rsidR="005164C6" w:rsidRDefault="005164C6">
      <w:pPr>
        <w:rPr>
          <w:b/>
          <w:sz w:val="32"/>
          <w:szCs w:val="32"/>
        </w:rPr>
      </w:pPr>
    </w:p>
    <w:p w14:paraId="00000018" w14:textId="77777777" w:rsidR="005164C6" w:rsidRDefault="005164C6">
      <w:pPr>
        <w:rPr>
          <w:b/>
          <w:sz w:val="32"/>
          <w:szCs w:val="32"/>
        </w:rPr>
      </w:pPr>
    </w:p>
    <w:p w14:paraId="00000019" w14:textId="77777777" w:rsidR="005164C6" w:rsidRDefault="00000000">
      <w:pPr>
        <w:jc w:val="center"/>
        <w:rPr>
          <w:b/>
          <w:sz w:val="32"/>
          <w:szCs w:val="32"/>
        </w:rPr>
      </w:pPr>
      <w:r>
        <w:rPr>
          <w:b/>
          <w:sz w:val="32"/>
          <w:szCs w:val="32"/>
        </w:rPr>
        <w:t>Table of Contents</w:t>
      </w:r>
    </w:p>
    <w:p w14:paraId="0000001A" w14:textId="77777777" w:rsidR="005164C6" w:rsidRDefault="005164C6">
      <w:pPr>
        <w:rPr>
          <w:color w:val="000000"/>
        </w:rPr>
      </w:pPr>
    </w:p>
    <w:sdt>
      <w:sdtPr>
        <w:id w:val="182101036"/>
        <w:docPartObj>
          <w:docPartGallery w:val="Table of Contents"/>
          <w:docPartUnique/>
        </w:docPartObj>
      </w:sdtPr>
      <w:sdtContent>
        <w:p w14:paraId="0000001B" w14:textId="77777777" w:rsidR="005164C6" w:rsidRDefault="00000000">
          <w:pPr>
            <w:widowControl w:val="0"/>
            <w:tabs>
              <w:tab w:val="right" w:pos="1200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dwkesa4rhqjr">
            <w:r>
              <w:rPr>
                <w:b/>
                <w:color w:val="000000"/>
              </w:rPr>
              <w:t>Introduction</w:t>
            </w:r>
            <w:r>
              <w:rPr>
                <w:b/>
                <w:color w:val="000000"/>
              </w:rPr>
              <w:tab/>
              <w:t>3</w:t>
            </w:r>
          </w:hyperlink>
        </w:p>
        <w:p w14:paraId="0000001C" w14:textId="77777777" w:rsidR="005164C6" w:rsidRDefault="00000000">
          <w:pPr>
            <w:widowControl w:val="0"/>
            <w:tabs>
              <w:tab w:val="right" w:pos="12000"/>
            </w:tabs>
            <w:spacing w:before="60" w:line="240" w:lineRule="auto"/>
            <w:jc w:val="left"/>
            <w:rPr>
              <w:b/>
              <w:color w:val="000000"/>
            </w:rPr>
          </w:pPr>
          <w:hyperlink w:anchor="_lj9dtua8y6en">
            <w:r>
              <w:rPr>
                <w:b/>
                <w:color w:val="000000"/>
              </w:rPr>
              <w:t>The Principle of Equal Opportunity</w:t>
            </w:r>
            <w:r>
              <w:rPr>
                <w:b/>
                <w:color w:val="000000"/>
              </w:rPr>
              <w:tab/>
              <w:t>4</w:t>
            </w:r>
          </w:hyperlink>
        </w:p>
        <w:p w14:paraId="0000001D" w14:textId="77777777" w:rsidR="005164C6" w:rsidRDefault="00000000">
          <w:pPr>
            <w:widowControl w:val="0"/>
            <w:tabs>
              <w:tab w:val="right" w:pos="12000"/>
            </w:tabs>
            <w:spacing w:before="60" w:line="240" w:lineRule="auto"/>
            <w:jc w:val="left"/>
            <w:rPr>
              <w:b/>
              <w:color w:val="000000"/>
            </w:rPr>
          </w:pPr>
          <w:hyperlink w:anchor="_myli4yy0l3uj">
            <w:r>
              <w:rPr>
                <w:b/>
                <w:color w:val="000000"/>
              </w:rPr>
              <w:t>The Value of Diversity and Equal Opportunity in the Legal Profession</w:t>
            </w:r>
            <w:r>
              <w:rPr>
                <w:b/>
                <w:color w:val="000000"/>
              </w:rPr>
              <w:tab/>
              <w:t>6</w:t>
            </w:r>
          </w:hyperlink>
        </w:p>
        <w:p w14:paraId="0000001E" w14:textId="77777777" w:rsidR="005164C6" w:rsidRDefault="00000000">
          <w:pPr>
            <w:widowControl w:val="0"/>
            <w:tabs>
              <w:tab w:val="right" w:pos="12000"/>
            </w:tabs>
            <w:spacing w:before="60" w:line="240" w:lineRule="auto"/>
            <w:jc w:val="left"/>
            <w:rPr>
              <w:b/>
              <w:color w:val="000000"/>
            </w:rPr>
          </w:pPr>
          <w:hyperlink w:anchor="_i52x5mxahdv7">
            <w:r>
              <w:rPr>
                <w:b/>
                <w:color w:val="000000"/>
              </w:rPr>
              <w:t>Conclusion</w:t>
            </w:r>
            <w:r>
              <w:rPr>
                <w:b/>
                <w:color w:val="000000"/>
              </w:rPr>
              <w:tab/>
              <w:t>8</w:t>
            </w:r>
          </w:hyperlink>
        </w:p>
        <w:p w14:paraId="0000001F" w14:textId="77777777" w:rsidR="005164C6" w:rsidRDefault="00000000">
          <w:pPr>
            <w:widowControl w:val="0"/>
            <w:tabs>
              <w:tab w:val="right" w:pos="12000"/>
            </w:tabs>
            <w:spacing w:before="60" w:line="240" w:lineRule="auto"/>
            <w:jc w:val="left"/>
            <w:rPr>
              <w:b/>
              <w:color w:val="000000"/>
            </w:rPr>
          </w:pPr>
          <w:hyperlink w:anchor="_qxxfa6gheme">
            <w:r>
              <w:rPr>
                <w:b/>
                <w:color w:val="000000"/>
              </w:rPr>
              <w:t>References</w:t>
            </w:r>
            <w:r>
              <w:rPr>
                <w:b/>
                <w:color w:val="000000"/>
              </w:rPr>
              <w:tab/>
              <w:t>9</w:t>
            </w:r>
          </w:hyperlink>
          <w:r>
            <w:fldChar w:fldCharType="end"/>
          </w:r>
        </w:p>
      </w:sdtContent>
    </w:sdt>
    <w:p w14:paraId="00000020" w14:textId="77777777" w:rsidR="005164C6" w:rsidRDefault="005164C6">
      <w:pPr>
        <w:rPr>
          <w:color w:val="000000"/>
        </w:rPr>
      </w:pPr>
    </w:p>
    <w:p w14:paraId="00000021" w14:textId="77777777" w:rsidR="005164C6" w:rsidRDefault="005164C6"/>
    <w:p w14:paraId="00000022" w14:textId="77777777" w:rsidR="005164C6" w:rsidRDefault="005164C6">
      <w:pPr>
        <w:jc w:val="center"/>
        <w:rPr>
          <w:b/>
          <w:sz w:val="32"/>
          <w:szCs w:val="32"/>
        </w:rPr>
      </w:pPr>
    </w:p>
    <w:p w14:paraId="00000023" w14:textId="77777777" w:rsidR="005164C6" w:rsidRDefault="005164C6">
      <w:pPr>
        <w:jc w:val="center"/>
        <w:rPr>
          <w:b/>
          <w:sz w:val="32"/>
          <w:szCs w:val="32"/>
        </w:rPr>
      </w:pPr>
    </w:p>
    <w:p w14:paraId="00000024" w14:textId="77777777" w:rsidR="005164C6" w:rsidRDefault="005164C6">
      <w:pPr>
        <w:jc w:val="center"/>
        <w:rPr>
          <w:b/>
          <w:sz w:val="32"/>
          <w:szCs w:val="32"/>
        </w:rPr>
      </w:pPr>
    </w:p>
    <w:p w14:paraId="00000025" w14:textId="77777777" w:rsidR="005164C6" w:rsidRDefault="005164C6">
      <w:pPr>
        <w:jc w:val="center"/>
        <w:rPr>
          <w:b/>
          <w:sz w:val="32"/>
          <w:szCs w:val="32"/>
        </w:rPr>
      </w:pPr>
    </w:p>
    <w:p w14:paraId="00000026" w14:textId="77777777" w:rsidR="005164C6" w:rsidRDefault="005164C6">
      <w:pPr>
        <w:jc w:val="center"/>
        <w:rPr>
          <w:b/>
          <w:sz w:val="32"/>
          <w:szCs w:val="32"/>
        </w:rPr>
      </w:pPr>
    </w:p>
    <w:p w14:paraId="00000027" w14:textId="77777777" w:rsidR="005164C6" w:rsidRDefault="005164C6">
      <w:pPr>
        <w:jc w:val="center"/>
        <w:rPr>
          <w:b/>
          <w:sz w:val="32"/>
          <w:szCs w:val="32"/>
        </w:rPr>
      </w:pPr>
    </w:p>
    <w:p w14:paraId="00000028" w14:textId="77777777" w:rsidR="005164C6" w:rsidRDefault="005164C6">
      <w:pPr>
        <w:jc w:val="center"/>
        <w:rPr>
          <w:b/>
          <w:sz w:val="32"/>
          <w:szCs w:val="32"/>
        </w:rPr>
      </w:pPr>
    </w:p>
    <w:p w14:paraId="00000029" w14:textId="77777777" w:rsidR="005164C6" w:rsidRDefault="005164C6">
      <w:pPr>
        <w:jc w:val="center"/>
        <w:rPr>
          <w:b/>
          <w:sz w:val="32"/>
          <w:szCs w:val="32"/>
        </w:rPr>
      </w:pPr>
    </w:p>
    <w:p w14:paraId="0000002A" w14:textId="77777777" w:rsidR="005164C6" w:rsidRDefault="005164C6">
      <w:pPr>
        <w:jc w:val="center"/>
        <w:rPr>
          <w:b/>
          <w:sz w:val="32"/>
          <w:szCs w:val="32"/>
        </w:rPr>
      </w:pPr>
    </w:p>
    <w:p w14:paraId="0000002B" w14:textId="77777777" w:rsidR="005164C6" w:rsidRDefault="005164C6">
      <w:pPr>
        <w:jc w:val="center"/>
        <w:rPr>
          <w:b/>
          <w:sz w:val="32"/>
          <w:szCs w:val="32"/>
        </w:rPr>
      </w:pPr>
    </w:p>
    <w:p w14:paraId="0000002C" w14:textId="77777777" w:rsidR="005164C6" w:rsidRDefault="005164C6">
      <w:pPr>
        <w:jc w:val="center"/>
        <w:rPr>
          <w:b/>
          <w:sz w:val="32"/>
          <w:szCs w:val="32"/>
        </w:rPr>
      </w:pPr>
    </w:p>
    <w:p w14:paraId="0000002D" w14:textId="77777777" w:rsidR="005164C6" w:rsidRDefault="005164C6">
      <w:pPr>
        <w:jc w:val="center"/>
        <w:rPr>
          <w:b/>
          <w:sz w:val="32"/>
          <w:szCs w:val="32"/>
        </w:rPr>
      </w:pPr>
    </w:p>
    <w:p w14:paraId="0000002E" w14:textId="77777777" w:rsidR="005164C6" w:rsidRDefault="005164C6">
      <w:pPr>
        <w:jc w:val="center"/>
        <w:rPr>
          <w:b/>
          <w:sz w:val="32"/>
          <w:szCs w:val="32"/>
        </w:rPr>
      </w:pPr>
    </w:p>
    <w:p w14:paraId="0000002F" w14:textId="77777777" w:rsidR="005164C6" w:rsidRDefault="005164C6">
      <w:pPr>
        <w:jc w:val="center"/>
        <w:rPr>
          <w:b/>
          <w:sz w:val="32"/>
          <w:szCs w:val="32"/>
        </w:rPr>
      </w:pPr>
    </w:p>
    <w:p w14:paraId="00000030" w14:textId="77777777" w:rsidR="005164C6" w:rsidRDefault="005164C6">
      <w:pPr>
        <w:rPr>
          <w:b/>
          <w:sz w:val="32"/>
          <w:szCs w:val="32"/>
        </w:rPr>
      </w:pPr>
    </w:p>
    <w:p w14:paraId="00000031" w14:textId="77777777" w:rsidR="005164C6" w:rsidRDefault="00000000">
      <w:pPr>
        <w:pStyle w:val="Heading1"/>
      </w:pPr>
      <w:bookmarkStart w:id="0" w:name="_dwkesa4rhqjr" w:colFirst="0" w:colLast="0"/>
      <w:bookmarkEnd w:id="0"/>
      <w:r>
        <w:t xml:space="preserve">Introduction </w:t>
      </w:r>
    </w:p>
    <w:p w14:paraId="00000032" w14:textId="77777777" w:rsidR="005164C6" w:rsidRDefault="00000000">
      <w:pPr>
        <w:rPr>
          <w:color w:val="000000"/>
        </w:rPr>
      </w:pPr>
      <w:r>
        <w:rPr>
          <w:color w:val="000000"/>
        </w:rPr>
        <w:t xml:space="preserve">Diversity and equality are two fundamental ideas that go hand in hand. Regardless of one's origin, ethnicity, gender, sexual orientation, or religion, all people should be afforded the same legal protections, social opportunities, and medical care (Balmer et al., 2020). </w:t>
      </w:r>
      <w:r>
        <w:rPr>
          <w:color w:val="000000"/>
        </w:rPr>
        <w:lastRenderedPageBreak/>
        <w:t xml:space="preserve">Diversity, on the other side, is the practice of appreciating and valuing individual differences. Harmony and inclusion are impossible in today's divided world without embracing variety and equality (Cavanagh, 2016). Social injustice and inequality will exist if some groups are excluded and mistreated because of a lack of equality. On the other side, diversity promotes openness to and appreciation of differences in viewpoints, </w:t>
      </w:r>
      <w:proofErr w:type="spellStart"/>
      <w:r>
        <w:rPr>
          <w:color w:val="000000"/>
        </w:rPr>
        <w:t>practises</w:t>
      </w:r>
      <w:proofErr w:type="spellEnd"/>
      <w:r>
        <w:rPr>
          <w:color w:val="000000"/>
        </w:rPr>
        <w:t xml:space="preserve">, and values among its members (Heilman &amp; </w:t>
      </w:r>
      <w:proofErr w:type="spellStart"/>
      <w:r>
        <w:rPr>
          <w:color w:val="000000"/>
        </w:rPr>
        <w:t>Okimoto</w:t>
      </w:r>
      <w:proofErr w:type="spellEnd"/>
      <w:r>
        <w:rPr>
          <w:color w:val="000000"/>
        </w:rPr>
        <w:t xml:space="preserve">, 2017). Inclusive and nondiscriminatory policies and practices are essential for </w:t>
      </w:r>
      <w:proofErr w:type="spellStart"/>
      <w:r>
        <w:rPr>
          <w:color w:val="000000"/>
        </w:rPr>
        <w:t>organisations</w:t>
      </w:r>
      <w:proofErr w:type="spellEnd"/>
      <w:r>
        <w:rPr>
          <w:color w:val="000000"/>
        </w:rPr>
        <w:t xml:space="preserve"> and institutions to advance diversity and inclusion. One way to do this is by ensuring people from all walks of life have access to the same jobs, schools, and other social opportunities (Johnson &amp; Trujillo, 2019). Individuals and groups can help build a more just and inclusive society by advocating for equality and diversity.</w:t>
      </w:r>
    </w:p>
    <w:p w14:paraId="00000033" w14:textId="77777777" w:rsidR="005164C6" w:rsidRDefault="005164C6">
      <w:pPr>
        <w:rPr>
          <w:color w:val="000000"/>
        </w:rPr>
      </w:pPr>
    </w:p>
    <w:p w14:paraId="00000034" w14:textId="77777777" w:rsidR="005164C6" w:rsidRDefault="005164C6"/>
    <w:p w14:paraId="00000035" w14:textId="77777777" w:rsidR="005164C6" w:rsidRDefault="005164C6">
      <w:pPr>
        <w:rPr>
          <w:b/>
          <w:sz w:val="32"/>
          <w:szCs w:val="32"/>
        </w:rPr>
      </w:pPr>
    </w:p>
    <w:p w14:paraId="00000036" w14:textId="77777777" w:rsidR="005164C6" w:rsidRDefault="005164C6"/>
    <w:p w14:paraId="00000037" w14:textId="77777777" w:rsidR="005164C6" w:rsidRDefault="005164C6"/>
    <w:p w14:paraId="00000038" w14:textId="77777777" w:rsidR="005164C6" w:rsidRDefault="005164C6"/>
    <w:p w14:paraId="00000039" w14:textId="77777777" w:rsidR="005164C6" w:rsidRDefault="005164C6"/>
    <w:p w14:paraId="0000003A" w14:textId="77777777" w:rsidR="005164C6" w:rsidRDefault="005164C6"/>
    <w:p w14:paraId="0000003B" w14:textId="77777777" w:rsidR="005164C6" w:rsidRDefault="005164C6"/>
    <w:p w14:paraId="0000003C" w14:textId="77777777" w:rsidR="005164C6" w:rsidRDefault="005164C6"/>
    <w:p w14:paraId="0000003D" w14:textId="77777777" w:rsidR="005164C6" w:rsidRDefault="005164C6"/>
    <w:p w14:paraId="0000003E" w14:textId="77777777" w:rsidR="005164C6" w:rsidRDefault="005164C6"/>
    <w:p w14:paraId="0000003F" w14:textId="77777777" w:rsidR="005164C6" w:rsidRDefault="005164C6"/>
    <w:p w14:paraId="00000040" w14:textId="77777777" w:rsidR="005164C6" w:rsidRDefault="005164C6"/>
    <w:p w14:paraId="00000041" w14:textId="77777777" w:rsidR="005164C6" w:rsidRDefault="00000000">
      <w:pPr>
        <w:pStyle w:val="Heading1"/>
      </w:pPr>
      <w:bookmarkStart w:id="1" w:name="_lj9dtua8y6en" w:colFirst="0" w:colLast="0"/>
      <w:bookmarkEnd w:id="1"/>
      <w:r>
        <w:t>The Principle of Equal Opportunity</w:t>
      </w:r>
    </w:p>
    <w:p w14:paraId="00000042" w14:textId="77777777" w:rsidR="005164C6" w:rsidRDefault="00000000">
      <w:pPr>
        <w:rPr>
          <w:color w:val="000000"/>
        </w:rPr>
      </w:pPr>
      <w:r>
        <w:rPr>
          <w:color w:val="000000"/>
        </w:rPr>
        <w:t>While the Equality Act of 2010 and the SRA Code of Conduct (2019) provide a legally binding definition of "equal opportunity," the notion means treating persons and groups equitably and without discrimination (</w:t>
      </w:r>
      <w:proofErr w:type="spellStart"/>
      <w:r>
        <w:rPr>
          <w:color w:val="000000"/>
        </w:rPr>
        <w:t>Keles</w:t>
      </w:r>
      <w:proofErr w:type="spellEnd"/>
      <w:r>
        <w:rPr>
          <w:color w:val="000000"/>
        </w:rPr>
        <w:t xml:space="preserve">, 2021). Under the Equality Act of 2010, </w:t>
      </w:r>
      <w:r>
        <w:rPr>
          <w:color w:val="000000"/>
        </w:rPr>
        <w:lastRenderedPageBreak/>
        <w:t xml:space="preserve">employers are responsible for ensuring all employees can access equitable employment opportunities free from discrimination, harassment, and </w:t>
      </w:r>
      <w:proofErr w:type="spellStart"/>
      <w:r>
        <w:rPr>
          <w:color w:val="000000"/>
        </w:rPr>
        <w:t>victimisation</w:t>
      </w:r>
      <w:proofErr w:type="spellEnd"/>
      <w:r>
        <w:rPr>
          <w:color w:val="000000"/>
        </w:rPr>
        <w:t>. The absence of discriminatory workplace policies, practices, and processes is mandated by this regulation so that all employees are treated fairly.</w:t>
      </w:r>
    </w:p>
    <w:p w14:paraId="00000043" w14:textId="77777777" w:rsidR="005164C6" w:rsidRDefault="005164C6">
      <w:pPr>
        <w:rPr>
          <w:color w:val="000000"/>
        </w:rPr>
      </w:pPr>
    </w:p>
    <w:p w14:paraId="00000044" w14:textId="77777777" w:rsidR="005164C6" w:rsidRDefault="00000000">
      <w:pPr>
        <w:rPr>
          <w:color w:val="000000"/>
        </w:rPr>
      </w:pPr>
      <w:r>
        <w:rPr>
          <w:color w:val="000000"/>
        </w:rPr>
        <w:t>When protecting people's rights, the legal community is crucial in administering justice (</w:t>
      </w:r>
      <w:proofErr w:type="spellStart"/>
      <w:r>
        <w:rPr>
          <w:color w:val="000000"/>
        </w:rPr>
        <w:t>Krywonis</w:t>
      </w:r>
      <w:proofErr w:type="spellEnd"/>
      <w:r>
        <w:rPr>
          <w:color w:val="000000"/>
        </w:rPr>
        <w:t>, 2016). For this reason, it is crucial to vet potential legal service providers for dedication to diversity and inclusion in the workplace. To ensure that all clients are treated equally and fairly, the Solicitors Regulation Authority (SRA) has established the SRA Code of Conduct (2019). The rule also mandates that lawyers encourage diversity and inclusion in the workplace and make their services available to everyone (Lester, 2017). Inadequate efforts to promote diversity and inclusion in the legal sector can potentially undermine public faith in the justice system and the rule of law.</w:t>
      </w:r>
    </w:p>
    <w:p w14:paraId="00000045" w14:textId="77777777" w:rsidR="005164C6" w:rsidRDefault="00000000">
      <w:pPr>
        <w:rPr>
          <w:color w:val="000000"/>
        </w:rPr>
      </w:pPr>
      <w:r>
        <w:rPr>
          <w:color w:val="000000"/>
        </w:rPr>
        <w:t>Discrimination in the profession negatively impacts the pool of talent and the quality of legal services.</w:t>
      </w:r>
    </w:p>
    <w:p w14:paraId="00000046" w14:textId="77777777" w:rsidR="005164C6" w:rsidRDefault="00000000">
      <w:pPr>
        <w:rPr>
          <w:color w:val="000000"/>
        </w:rPr>
      </w:pPr>
      <w:r>
        <w:rPr>
          <w:color w:val="000000"/>
        </w:rPr>
        <w:t>Conversely, there are significant upsides to fostering diversity and inclusion in the legal sector. For instance, it fosters a welcoming and varied work environment, increasing the pool of available skill sets (Longo, 2018). Increased innovation, productivity, and job satisfaction can result from increased diversity in the workplace. A more nuanced and analytical approach to problem-solving is achieved due to the increased representation of women and minorities in the legal profession. It shows a dedication to justice for all, which boosts public confidence in the legal system.</w:t>
      </w:r>
    </w:p>
    <w:p w14:paraId="00000047" w14:textId="77777777" w:rsidR="005164C6" w:rsidRDefault="005164C6">
      <w:pPr>
        <w:rPr>
          <w:color w:val="000000"/>
        </w:rPr>
      </w:pPr>
    </w:p>
    <w:p w14:paraId="00000048" w14:textId="0619FB63" w:rsidR="005164C6" w:rsidRDefault="00000000">
      <w:pPr>
        <w:rPr>
          <w:color w:val="000000"/>
        </w:rPr>
      </w:pPr>
      <w:r>
        <w:rPr>
          <w:color w:val="000000"/>
        </w:rPr>
        <w:t>It is crucial to employ a variety of initiatives to promote equality and diversity within the legal profession (</w:t>
      </w:r>
      <w:proofErr w:type="spellStart"/>
      <w:r>
        <w:rPr>
          <w:color w:val="000000"/>
        </w:rPr>
        <w:t>Schneier</w:t>
      </w:r>
      <w:proofErr w:type="spellEnd"/>
      <w:r>
        <w:rPr>
          <w:color w:val="000000"/>
        </w:rPr>
        <w:t xml:space="preserve">, 2019). First, legitimate businesses must run open and competitive hiring campaigns that welcome applications from everyone. They can do this using "blind" recruitment processes that shield potential employees from having their details revealed, including their age, gender, and race. Second, lawful employers must equip their employees with the knowledge and resources they need to </w:t>
      </w:r>
      <w:proofErr w:type="spellStart"/>
      <w:r>
        <w:rPr>
          <w:color w:val="000000"/>
        </w:rPr>
        <w:t>recognise</w:t>
      </w:r>
      <w:proofErr w:type="spellEnd"/>
      <w:r>
        <w:rPr>
          <w:color w:val="000000"/>
        </w:rPr>
        <w:t xml:space="preserve"> and combat prejudice in the workplace (Wilson, 2022). Last, law-abiding businesses should foster a welcoming environment for all employees by encouraging diversity and inclusion </w:t>
      </w:r>
      <w:r>
        <w:rPr>
          <w:color w:val="000000"/>
        </w:rPr>
        <w:lastRenderedPageBreak/>
        <w:t xml:space="preserve">through diversity goals, employee groups, and </w:t>
      </w:r>
      <w:r w:rsidR="001346B4">
        <w:rPr>
          <w:color w:val="000000"/>
        </w:rPr>
        <w:t>programs</w:t>
      </w:r>
      <w:r>
        <w:rPr>
          <w:color w:val="000000"/>
        </w:rPr>
        <w:t xml:space="preserve">. Ensuring everyone is treated fairly and without discrimination depends on encouraging equality and diversity within the legal profession (Balmer et al., 2020). Promoting equality and preventing discrimination, the Equality Act of </w:t>
      </w:r>
      <w:proofErr w:type="gramStart"/>
      <w:r>
        <w:rPr>
          <w:color w:val="000000"/>
        </w:rPr>
        <w:t>2010</w:t>
      </w:r>
      <w:proofErr w:type="gramEnd"/>
      <w:r>
        <w:rPr>
          <w:color w:val="000000"/>
        </w:rPr>
        <w:t xml:space="preserve"> and the SRA Code of Conduct (2019) set forth legal and ethical standards that legal practitioners must adhere to. There are several benefits to increasing diversity and inclusion in the legal field, including better legal services and more public confidence in the justice system (Cavanagh, 2016). This can be accomplished if lawful businesses implement fair and inclusive hiring practices, invest in their employees through training and support, and actively foster a welcoming environment for people of all backgrounds.</w:t>
      </w:r>
    </w:p>
    <w:p w14:paraId="00000049" w14:textId="77777777" w:rsidR="005164C6" w:rsidRDefault="005164C6">
      <w:pPr>
        <w:rPr>
          <w:color w:val="000000"/>
        </w:rPr>
      </w:pPr>
    </w:p>
    <w:p w14:paraId="0000004A" w14:textId="77777777" w:rsidR="005164C6" w:rsidRDefault="005164C6">
      <w:pPr>
        <w:rPr>
          <w:color w:val="000000"/>
        </w:rPr>
      </w:pPr>
    </w:p>
    <w:p w14:paraId="0000004B" w14:textId="77777777" w:rsidR="005164C6" w:rsidRDefault="005164C6">
      <w:pPr>
        <w:rPr>
          <w:color w:val="000000"/>
        </w:rPr>
      </w:pPr>
    </w:p>
    <w:p w14:paraId="0000004C" w14:textId="77777777" w:rsidR="005164C6" w:rsidRDefault="005164C6">
      <w:pPr>
        <w:rPr>
          <w:color w:val="000000"/>
        </w:rPr>
      </w:pPr>
    </w:p>
    <w:p w14:paraId="0000004D" w14:textId="77777777" w:rsidR="005164C6" w:rsidRDefault="005164C6">
      <w:pPr>
        <w:rPr>
          <w:color w:val="000000"/>
        </w:rPr>
      </w:pPr>
    </w:p>
    <w:p w14:paraId="0000004E" w14:textId="77777777" w:rsidR="005164C6" w:rsidRDefault="005164C6">
      <w:pPr>
        <w:rPr>
          <w:color w:val="000000"/>
        </w:rPr>
      </w:pPr>
    </w:p>
    <w:p w14:paraId="0000004F" w14:textId="77777777" w:rsidR="005164C6" w:rsidRDefault="005164C6">
      <w:pPr>
        <w:rPr>
          <w:color w:val="000000"/>
        </w:rPr>
      </w:pPr>
    </w:p>
    <w:p w14:paraId="00000050" w14:textId="77777777" w:rsidR="005164C6" w:rsidRDefault="005164C6">
      <w:pPr>
        <w:rPr>
          <w:color w:val="000000"/>
        </w:rPr>
      </w:pPr>
    </w:p>
    <w:p w14:paraId="00000051" w14:textId="77777777" w:rsidR="005164C6" w:rsidRDefault="005164C6">
      <w:pPr>
        <w:rPr>
          <w:color w:val="000000"/>
        </w:rPr>
      </w:pPr>
    </w:p>
    <w:p w14:paraId="00000052" w14:textId="77777777" w:rsidR="005164C6" w:rsidRDefault="005164C6">
      <w:pPr>
        <w:rPr>
          <w:color w:val="000000"/>
        </w:rPr>
      </w:pPr>
    </w:p>
    <w:p w14:paraId="00000053" w14:textId="77777777" w:rsidR="005164C6" w:rsidRDefault="005164C6">
      <w:pPr>
        <w:rPr>
          <w:color w:val="000000"/>
        </w:rPr>
      </w:pPr>
    </w:p>
    <w:p w14:paraId="00000054" w14:textId="77777777" w:rsidR="005164C6" w:rsidRDefault="005164C6">
      <w:pPr>
        <w:rPr>
          <w:color w:val="000000"/>
        </w:rPr>
      </w:pPr>
    </w:p>
    <w:p w14:paraId="00000055" w14:textId="77777777" w:rsidR="005164C6" w:rsidRDefault="005164C6">
      <w:pPr>
        <w:rPr>
          <w:color w:val="000000"/>
        </w:rPr>
      </w:pPr>
    </w:p>
    <w:p w14:paraId="00000056" w14:textId="77777777" w:rsidR="005164C6" w:rsidRDefault="005164C6">
      <w:pPr>
        <w:rPr>
          <w:color w:val="000000"/>
        </w:rPr>
      </w:pPr>
    </w:p>
    <w:p w14:paraId="00000057" w14:textId="77777777" w:rsidR="005164C6" w:rsidRDefault="005164C6">
      <w:pPr>
        <w:rPr>
          <w:color w:val="000000"/>
        </w:rPr>
      </w:pPr>
    </w:p>
    <w:p w14:paraId="00000058" w14:textId="77777777" w:rsidR="005164C6" w:rsidRDefault="00000000">
      <w:pPr>
        <w:pStyle w:val="Heading1"/>
      </w:pPr>
      <w:bookmarkStart w:id="2" w:name="_myli4yy0l3uj" w:colFirst="0" w:colLast="0"/>
      <w:bookmarkEnd w:id="2"/>
      <w:r>
        <w:t>The Value of Diversity and Equal Opportunity in the Legal Profession</w:t>
      </w:r>
    </w:p>
    <w:p w14:paraId="00000059" w14:textId="428C7615" w:rsidR="005164C6" w:rsidRDefault="00000000">
      <w:pPr>
        <w:rPr>
          <w:color w:val="000000"/>
        </w:rPr>
      </w:pPr>
      <w:r>
        <w:rPr>
          <w:color w:val="000000"/>
        </w:rPr>
        <w:t xml:space="preserve">Equality and diversity are critical because they foster justice, acceptance, and new viewpoints. Legal frameworks such as the Equality Act of 2010 and the SRA Code of </w:t>
      </w:r>
      <w:r>
        <w:rPr>
          <w:color w:val="000000"/>
        </w:rPr>
        <w:lastRenderedPageBreak/>
        <w:t xml:space="preserve">Conduct (2019) </w:t>
      </w:r>
      <w:r w:rsidR="001346B4">
        <w:rPr>
          <w:color w:val="000000"/>
        </w:rPr>
        <w:t>emphasize</w:t>
      </w:r>
      <w:r>
        <w:rPr>
          <w:color w:val="000000"/>
        </w:rPr>
        <w:t xml:space="preserve"> the significance of these concepts (Heilman &amp; </w:t>
      </w:r>
      <w:proofErr w:type="spellStart"/>
      <w:r>
        <w:rPr>
          <w:color w:val="000000"/>
        </w:rPr>
        <w:t>Okimoto</w:t>
      </w:r>
      <w:proofErr w:type="spellEnd"/>
      <w:r>
        <w:rPr>
          <w:color w:val="000000"/>
        </w:rPr>
        <w:t xml:space="preserve">, 2017). This essay will </w:t>
      </w:r>
      <w:proofErr w:type="gramStart"/>
      <w:r>
        <w:rPr>
          <w:color w:val="000000"/>
        </w:rPr>
        <w:t xml:space="preserve">examine, </w:t>
      </w:r>
      <w:r w:rsidR="001346B4">
        <w:rPr>
          <w:color w:val="000000"/>
        </w:rPr>
        <w:t xml:space="preserve"> </w:t>
      </w:r>
      <w:r>
        <w:rPr>
          <w:color w:val="000000"/>
        </w:rPr>
        <w:t>concerning</w:t>
      </w:r>
      <w:proofErr w:type="gramEnd"/>
      <w:r>
        <w:rPr>
          <w:color w:val="000000"/>
        </w:rPr>
        <w:t xml:space="preserve"> relevant literature and legal frameworks, the reasons for the significance of equality and diversity in the legal profession.</w:t>
      </w:r>
    </w:p>
    <w:p w14:paraId="0000005A" w14:textId="77777777" w:rsidR="005164C6" w:rsidRDefault="005164C6">
      <w:pPr>
        <w:rPr>
          <w:color w:val="000000"/>
        </w:rPr>
      </w:pPr>
    </w:p>
    <w:p w14:paraId="0000005B" w14:textId="77777777" w:rsidR="005164C6" w:rsidRDefault="00000000">
      <w:pPr>
        <w:rPr>
          <w:color w:val="000000"/>
        </w:rPr>
      </w:pPr>
      <w:r>
        <w:rPr>
          <w:color w:val="000000"/>
        </w:rPr>
        <w:t>Providing equitable and diverse access to justice is crucial for promoting diversity and inclusion in the legal sector. The legal system is essential to maintaining order and safeguarding people's liberties (Johnson &amp; Trujillo, 2019). There is a risk that this will undermine respect for the law and the principles of equity and justice. To promote equality and diversity in all areas of society, including the court system, the Equality Act of 2010 was enacted as a landmark piece of legislation. Individuals are protected against discrimination based on age, handicap, gender reassignment, marriage or civil partnership, pregnancy or motherhood, race, religion or belief, sex, or sexual orientation under the Act (</w:t>
      </w:r>
      <w:proofErr w:type="spellStart"/>
      <w:r>
        <w:rPr>
          <w:color w:val="000000"/>
        </w:rPr>
        <w:t>Keles</w:t>
      </w:r>
      <w:proofErr w:type="spellEnd"/>
      <w:r>
        <w:rPr>
          <w:color w:val="000000"/>
        </w:rPr>
        <w:t xml:space="preserve">, 2021). This means that everyone, even lawyers, has the right to an environment free from bias and prejudice in the workplace. The Solicitors Regulation Authority Code of Conduct (2019) is another practical legislative framework </w:t>
      </w:r>
      <w:proofErr w:type="spellStart"/>
      <w:r>
        <w:rPr>
          <w:color w:val="000000"/>
        </w:rPr>
        <w:t>emphasising</w:t>
      </w:r>
      <w:proofErr w:type="spellEnd"/>
      <w:r>
        <w:rPr>
          <w:color w:val="000000"/>
        </w:rPr>
        <w:t xml:space="preserve"> the value of diversity and inclusion in the legal sector (</w:t>
      </w:r>
      <w:proofErr w:type="spellStart"/>
      <w:r>
        <w:rPr>
          <w:color w:val="000000"/>
        </w:rPr>
        <w:t>Krywonis</w:t>
      </w:r>
      <w:proofErr w:type="spellEnd"/>
      <w:r>
        <w:rPr>
          <w:color w:val="000000"/>
        </w:rPr>
        <w:t>, 2016). In addition to fostering diversity and inclusiveness, the Code calls for solicitors to defend the rule of law and act with integrity. The Code mandates that solicitors provide equal chances to all employees and encourage a diverse and inclusive work environment free from discrimination based on legally protected characteristics. Thus, lawyers must make their services available to all clients, regardless of demographics. Diversity within the legal profession promotes fairness and inclusivity and contributes various perspectives and experiences that can improve the quality of legal services (Lester, 2017). Better results for clients and society at large can be achieved when legal professionals come from many different backgrounds and perspectives. Research backs this up, showing that teams with various backgrounds and perspectives are more likely to develop novel Solutions to challenges (Longo, 2018). Social and economic gains may be from fostering an inclusive and welcoming legal community. If people from all walks of life have equitable access to the legal system, social mobility can increase and reduce inequities (</w:t>
      </w:r>
      <w:proofErr w:type="spellStart"/>
      <w:r>
        <w:rPr>
          <w:color w:val="000000"/>
        </w:rPr>
        <w:t>Schneier</w:t>
      </w:r>
      <w:proofErr w:type="spellEnd"/>
      <w:r>
        <w:rPr>
          <w:color w:val="000000"/>
        </w:rPr>
        <w:t xml:space="preserve">, 2019). This has the potential to boost confidence in the justice system and the credibility of lawyers. Diversity and equality are essential tenets of the legal profession because they </w:t>
      </w:r>
      <w:r>
        <w:rPr>
          <w:color w:val="000000"/>
        </w:rPr>
        <w:lastRenderedPageBreak/>
        <w:t xml:space="preserve">foster justice, acceptance, and different points of view. Two legal frameworks, the Equality Act of </w:t>
      </w:r>
      <w:proofErr w:type="gramStart"/>
      <w:r>
        <w:rPr>
          <w:color w:val="000000"/>
        </w:rPr>
        <w:t>2010</w:t>
      </w:r>
      <w:proofErr w:type="gramEnd"/>
      <w:r>
        <w:rPr>
          <w:color w:val="000000"/>
        </w:rPr>
        <w:t xml:space="preserve"> and the SRA Code of Conduct (2019), </w:t>
      </w:r>
      <w:proofErr w:type="spellStart"/>
      <w:r>
        <w:rPr>
          <w:color w:val="000000"/>
        </w:rPr>
        <w:t>emphasise</w:t>
      </w:r>
      <w:proofErr w:type="spellEnd"/>
      <w:r>
        <w:rPr>
          <w:color w:val="000000"/>
        </w:rPr>
        <w:t xml:space="preserve"> the significance of these tenets (Wilson, 2022). It is essential to maintaining the values of justice and fairness that the legal profession be open to all people, regardless of their socioeconomic status or other factors (Balmer et al., 2020). Social and economic gains can be made, as well as improvements in the quality of legal services resulting from increasing diversity in the legal profession.</w:t>
      </w:r>
    </w:p>
    <w:p w14:paraId="0000005C" w14:textId="77777777" w:rsidR="005164C6" w:rsidRDefault="005164C6">
      <w:pPr>
        <w:rPr>
          <w:color w:val="000000"/>
        </w:rPr>
      </w:pPr>
    </w:p>
    <w:p w14:paraId="0000005D" w14:textId="77777777" w:rsidR="005164C6" w:rsidRDefault="005164C6">
      <w:pPr>
        <w:rPr>
          <w:color w:val="000000"/>
        </w:rPr>
      </w:pPr>
    </w:p>
    <w:p w14:paraId="0000005E" w14:textId="77777777" w:rsidR="005164C6" w:rsidRDefault="005164C6">
      <w:pPr>
        <w:rPr>
          <w:color w:val="000000"/>
        </w:rPr>
      </w:pPr>
    </w:p>
    <w:p w14:paraId="0000005F" w14:textId="77777777" w:rsidR="005164C6" w:rsidRDefault="005164C6">
      <w:pPr>
        <w:rPr>
          <w:color w:val="000000"/>
        </w:rPr>
      </w:pPr>
    </w:p>
    <w:p w14:paraId="00000060" w14:textId="77777777" w:rsidR="005164C6" w:rsidRDefault="005164C6">
      <w:pPr>
        <w:rPr>
          <w:color w:val="000000"/>
        </w:rPr>
      </w:pPr>
    </w:p>
    <w:p w14:paraId="00000061" w14:textId="77777777" w:rsidR="005164C6" w:rsidRDefault="005164C6">
      <w:pPr>
        <w:rPr>
          <w:color w:val="000000"/>
        </w:rPr>
      </w:pPr>
    </w:p>
    <w:p w14:paraId="00000062" w14:textId="77777777" w:rsidR="005164C6" w:rsidRDefault="005164C6">
      <w:pPr>
        <w:rPr>
          <w:color w:val="000000"/>
        </w:rPr>
      </w:pPr>
    </w:p>
    <w:p w14:paraId="00000063" w14:textId="77777777" w:rsidR="005164C6" w:rsidRDefault="005164C6">
      <w:pPr>
        <w:rPr>
          <w:color w:val="000000"/>
        </w:rPr>
      </w:pPr>
    </w:p>
    <w:p w14:paraId="00000064" w14:textId="77777777" w:rsidR="005164C6" w:rsidRDefault="005164C6">
      <w:pPr>
        <w:rPr>
          <w:color w:val="000000"/>
        </w:rPr>
      </w:pPr>
    </w:p>
    <w:p w14:paraId="00000065" w14:textId="77777777" w:rsidR="005164C6" w:rsidRDefault="005164C6">
      <w:pPr>
        <w:rPr>
          <w:color w:val="000000"/>
        </w:rPr>
      </w:pPr>
    </w:p>
    <w:p w14:paraId="00000066" w14:textId="77777777" w:rsidR="005164C6" w:rsidRDefault="005164C6">
      <w:pPr>
        <w:rPr>
          <w:color w:val="000000"/>
        </w:rPr>
      </w:pPr>
    </w:p>
    <w:p w14:paraId="00000067" w14:textId="77777777" w:rsidR="005164C6" w:rsidRDefault="005164C6">
      <w:pPr>
        <w:rPr>
          <w:color w:val="000000"/>
        </w:rPr>
      </w:pPr>
    </w:p>
    <w:p w14:paraId="00000068" w14:textId="77777777" w:rsidR="005164C6" w:rsidRDefault="005164C6">
      <w:pPr>
        <w:rPr>
          <w:color w:val="000000"/>
        </w:rPr>
      </w:pPr>
    </w:p>
    <w:p w14:paraId="00000069" w14:textId="77777777" w:rsidR="005164C6" w:rsidRDefault="005164C6">
      <w:pPr>
        <w:rPr>
          <w:color w:val="000000"/>
        </w:rPr>
      </w:pPr>
    </w:p>
    <w:p w14:paraId="0000006A" w14:textId="77777777" w:rsidR="005164C6" w:rsidRDefault="005164C6">
      <w:pPr>
        <w:rPr>
          <w:color w:val="000000"/>
        </w:rPr>
      </w:pPr>
    </w:p>
    <w:p w14:paraId="0000006B" w14:textId="77777777" w:rsidR="005164C6" w:rsidRDefault="005164C6">
      <w:pPr>
        <w:rPr>
          <w:color w:val="000000"/>
        </w:rPr>
      </w:pPr>
    </w:p>
    <w:p w14:paraId="0000006C" w14:textId="77777777" w:rsidR="005164C6" w:rsidRDefault="005164C6">
      <w:pPr>
        <w:rPr>
          <w:color w:val="000000"/>
        </w:rPr>
      </w:pPr>
    </w:p>
    <w:p w14:paraId="0000006D" w14:textId="77777777" w:rsidR="005164C6" w:rsidRDefault="00000000">
      <w:pPr>
        <w:pStyle w:val="Heading1"/>
      </w:pPr>
      <w:bookmarkStart w:id="3" w:name="_i52x5mxahdv7" w:colFirst="0" w:colLast="0"/>
      <w:bookmarkEnd w:id="3"/>
      <w:r>
        <w:t xml:space="preserve">Conclusion </w:t>
      </w:r>
    </w:p>
    <w:p w14:paraId="0000006E" w14:textId="77777777" w:rsidR="005164C6" w:rsidRDefault="00000000">
      <w:pPr>
        <w:rPr>
          <w:color w:val="000000"/>
        </w:rPr>
      </w:pPr>
      <w:r>
        <w:rPr>
          <w:color w:val="000000"/>
        </w:rPr>
        <w:t xml:space="preserve">The legal profession must actively promote diversity and equality to ensure everyone is treated equally and without bias. Legal professionals are responsible for ensuring justice is accessible to everyone, regardless of their background or circumstances, as the legal profession plays a crucial role in defending people's rights. Legal professionals must abide by the legal and ethical standards established by the Equality Act of 2010 and the </w:t>
      </w:r>
      <w:r>
        <w:rPr>
          <w:color w:val="000000"/>
        </w:rPr>
        <w:lastRenderedPageBreak/>
        <w:t>SRA Code of Conduct (2019) to promote equality and avoid prejudice. While fostering equality and diversity can result in many positive outcomes, such as a diverse and inclusive workplace, improved legal services quality, and increased public trust, failing to ensure equality and diversity in the legal profession can erode public confidence in the legal system. The legal industry would benefit from more diversity and inclusion if firms followed best practices for hiring, training, and promoting an inclusive workplace atmosphere.</w:t>
      </w:r>
    </w:p>
    <w:p w14:paraId="0000006F" w14:textId="77777777" w:rsidR="005164C6" w:rsidRDefault="005164C6">
      <w:pPr>
        <w:rPr>
          <w:color w:val="000000"/>
        </w:rPr>
      </w:pPr>
    </w:p>
    <w:p w14:paraId="00000070" w14:textId="77777777" w:rsidR="005164C6" w:rsidRDefault="005164C6">
      <w:pPr>
        <w:rPr>
          <w:color w:val="000000"/>
        </w:rPr>
      </w:pPr>
    </w:p>
    <w:p w14:paraId="00000071" w14:textId="77777777" w:rsidR="005164C6" w:rsidRDefault="005164C6">
      <w:pPr>
        <w:rPr>
          <w:color w:val="000000"/>
        </w:rPr>
      </w:pPr>
    </w:p>
    <w:p w14:paraId="00000072" w14:textId="77777777" w:rsidR="005164C6" w:rsidRDefault="005164C6">
      <w:pPr>
        <w:rPr>
          <w:color w:val="000000"/>
        </w:rPr>
      </w:pPr>
    </w:p>
    <w:p w14:paraId="00000073" w14:textId="77777777" w:rsidR="005164C6" w:rsidRDefault="005164C6">
      <w:pPr>
        <w:rPr>
          <w:color w:val="000000"/>
        </w:rPr>
      </w:pPr>
    </w:p>
    <w:p w14:paraId="00000074" w14:textId="77777777" w:rsidR="005164C6" w:rsidRDefault="005164C6">
      <w:pPr>
        <w:rPr>
          <w:color w:val="000000"/>
        </w:rPr>
      </w:pPr>
    </w:p>
    <w:p w14:paraId="00000075" w14:textId="77777777" w:rsidR="005164C6" w:rsidRDefault="005164C6">
      <w:pPr>
        <w:rPr>
          <w:color w:val="000000"/>
        </w:rPr>
      </w:pPr>
    </w:p>
    <w:p w14:paraId="00000076" w14:textId="77777777" w:rsidR="005164C6" w:rsidRDefault="005164C6">
      <w:pPr>
        <w:rPr>
          <w:color w:val="000000"/>
        </w:rPr>
      </w:pPr>
    </w:p>
    <w:p w14:paraId="00000077" w14:textId="77777777" w:rsidR="005164C6" w:rsidRDefault="005164C6">
      <w:pPr>
        <w:rPr>
          <w:color w:val="000000"/>
        </w:rPr>
      </w:pPr>
    </w:p>
    <w:p w14:paraId="00000078" w14:textId="77777777" w:rsidR="005164C6" w:rsidRDefault="005164C6"/>
    <w:p w14:paraId="00000079" w14:textId="77777777" w:rsidR="005164C6" w:rsidRDefault="005164C6"/>
    <w:p w14:paraId="0000007A" w14:textId="77777777" w:rsidR="005164C6" w:rsidRDefault="005164C6"/>
    <w:p w14:paraId="0000007B" w14:textId="77777777" w:rsidR="005164C6" w:rsidRDefault="005164C6"/>
    <w:p w14:paraId="0000007C" w14:textId="77777777" w:rsidR="005164C6" w:rsidRDefault="005164C6"/>
    <w:p w14:paraId="0000007D" w14:textId="77777777" w:rsidR="005164C6" w:rsidRDefault="005164C6"/>
    <w:p w14:paraId="0000007E" w14:textId="77777777" w:rsidR="005164C6" w:rsidRDefault="005164C6"/>
    <w:p w14:paraId="0000007F" w14:textId="77777777" w:rsidR="005164C6" w:rsidRDefault="005164C6"/>
    <w:p w14:paraId="00000080" w14:textId="77777777" w:rsidR="005164C6" w:rsidRDefault="005164C6"/>
    <w:p w14:paraId="00000081" w14:textId="77777777" w:rsidR="005164C6" w:rsidRDefault="005164C6"/>
    <w:p w14:paraId="00000082" w14:textId="77777777" w:rsidR="005164C6" w:rsidRDefault="00000000">
      <w:pPr>
        <w:pStyle w:val="Heading1"/>
      </w:pPr>
      <w:bookmarkStart w:id="4" w:name="_qxxfa6gheme" w:colFirst="0" w:colLast="0"/>
      <w:bookmarkEnd w:id="4"/>
      <w:r>
        <w:t xml:space="preserve">References </w:t>
      </w:r>
    </w:p>
    <w:p w14:paraId="00000083" w14:textId="77777777" w:rsidR="005164C6" w:rsidRDefault="00000000">
      <w:pPr>
        <w:numPr>
          <w:ilvl w:val="0"/>
          <w:numId w:val="1"/>
        </w:numPr>
        <w:rPr>
          <w:color w:val="000000"/>
        </w:rPr>
      </w:pPr>
      <w:r>
        <w:rPr>
          <w:color w:val="000000"/>
        </w:rPr>
        <w:t xml:space="preserve">Balmer, N. J., Pleasence, P., and Buck, A. (2020). Social mobility, </w:t>
      </w:r>
      <w:proofErr w:type="gramStart"/>
      <w:r>
        <w:rPr>
          <w:color w:val="000000"/>
        </w:rPr>
        <w:t>diversity</w:t>
      </w:r>
      <w:proofErr w:type="gramEnd"/>
      <w:r>
        <w:rPr>
          <w:color w:val="000000"/>
        </w:rPr>
        <w:t xml:space="preserve"> and the legal profession. Journal of Social Policy, 49(3), 557-578.</w:t>
      </w:r>
    </w:p>
    <w:p w14:paraId="00000084" w14:textId="77777777" w:rsidR="005164C6" w:rsidRDefault="00000000">
      <w:pPr>
        <w:numPr>
          <w:ilvl w:val="0"/>
          <w:numId w:val="1"/>
        </w:numPr>
        <w:rPr>
          <w:color w:val="000000"/>
        </w:rPr>
      </w:pPr>
      <w:r>
        <w:rPr>
          <w:color w:val="000000"/>
        </w:rPr>
        <w:lastRenderedPageBreak/>
        <w:t>Cavanagh, S. (2016). The role of the legal profession in promoting social justice. Social Justice Research, 29(1), 28-46.</w:t>
      </w:r>
    </w:p>
    <w:p w14:paraId="00000085" w14:textId="77777777" w:rsidR="005164C6" w:rsidRDefault="00000000">
      <w:pPr>
        <w:numPr>
          <w:ilvl w:val="0"/>
          <w:numId w:val="1"/>
        </w:numPr>
        <w:rPr>
          <w:color w:val="000000"/>
        </w:rPr>
      </w:pPr>
      <w:r>
        <w:rPr>
          <w:color w:val="000000"/>
        </w:rPr>
        <w:t xml:space="preserve">Heilman, M. E., and </w:t>
      </w:r>
      <w:proofErr w:type="spellStart"/>
      <w:r>
        <w:rPr>
          <w:color w:val="000000"/>
        </w:rPr>
        <w:t>Okimoto</w:t>
      </w:r>
      <w:proofErr w:type="spellEnd"/>
      <w:r>
        <w:rPr>
          <w:color w:val="000000"/>
        </w:rPr>
        <w:t>, T. G. (2017). Promoting diversity through fairness and respect for individual differences. Journal of Social Issues, 73(1), 190-205.</w:t>
      </w:r>
    </w:p>
    <w:p w14:paraId="00000086" w14:textId="77777777" w:rsidR="005164C6" w:rsidRDefault="00000000">
      <w:pPr>
        <w:numPr>
          <w:ilvl w:val="0"/>
          <w:numId w:val="1"/>
        </w:numPr>
        <w:rPr>
          <w:color w:val="000000"/>
        </w:rPr>
      </w:pPr>
      <w:r>
        <w:rPr>
          <w:color w:val="000000"/>
        </w:rPr>
        <w:t>Johnson, S. L., and Trujillo, L. (2019). Navigating diversity and inclusion in the legal profession. Journal of Legal Education, 69(1), 136-149.</w:t>
      </w:r>
    </w:p>
    <w:p w14:paraId="00000087" w14:textId="77777777" w:rsidR="005164C6" w:rsidRDefault="00000000">
      <w:pPr>
        <w:numPr>
          <w:ilvl w:val="0"/>
          <w:numId w:val="1"/>
        </w:numPr>
        <w:rPr>
          <w:color w:val="000000"/>
        </w:rPr>
      </w:pPr>
      <w:proofErr w:type="spellStart"/>
      <w:r>
        <w:rPr>
          <w:color w:val="000000"/>
        </w:rPr>
        <w:t>Keles</w:t>
      </w:r>
      <w:proofErr w:type="spellEnd"/>
      <w:r>
        <w:rPr>
          <w:color w:val="000000"/>
        </w:rPr>
        <w:t>, J. (2021). Diversity, inclusion, and belonging in the legal profession. Journal of Law and Society, 48(3), 381-398.</w:t>
      </w:r>
    </w:p>
    <w:p w14:paraId="00000088" w14:textId="77777777" w:rsidR="005164C6" w:rsidRDefault="00000000">
      <w:pPr>
        <w:numPr>
          <w:ilvl w:val="0"/>
          <w:numId w:val="1"/>
        </w:numPr>
        <w:rPr>
          <w:color w:val="000000"/>
        </w:rPr>
      </w:pPr>
      <w:proofErr w:type="spellStart"/>
      <w:r>
        <w:rPr>
          <w:color w:val="000000"/>
        </w:rPr>
        <w:t>Krywonis</w:t>
      </w:r>
      <w:proofErr w:type="spellEnd"/>
      <w:r>
        <w:rPr>
          <w:color w:val="000000"/>
        </w:rPr>
        <w:t>, A. (2016). Achieving diversity in the legal profession: An empirical analysis. Journal of Empirical Legal Studies, 13(2), 261-286.</w:t>
      </w:r>
    </w:p>
    <w:p w14:paraId="00000089" w14:textId="77777777" w:rsidR="005164C6" w:rsidRDefault="00000000">
      <w:pPr>
        <w:numPr>
          <w:ilvl w:val="0"/>
          <w:numId w:val="1"/>
        </w:numPr>
        <w:rPr>
          <w:color w:val="000000"/>
        </w:rPr>
      </w:pPr>
      <w:r>
        <w:rPr>
          <w:color w:val="000000"/>
        </w:rPr>
        <w:t>Lester, A. (2017). Diversity and inclusion in the legal profession: A review of the research. Journal of Law and Society, 44(1), 55-79.</w:t>
      </w:r>
    </w:p>
    <w:p w14:paraId="0000008A" w14:textId="77777777" w:rsidR="005164C6" w:rsidRDefault="00000000">
      <w:pPr>
        <w:numPr>
          <w:ilvl w:val="0"/>
          <w:numId w:val="1"/>
        </w:numPr>
        <w:rPr>
          <w:color w:val="000000"/>
        </w:rPr>
      </w:pPr>
      <w:r>
        <w:rPr>
          <w:color w:val="000000"/>
        </w:rPr>
        <w:t>Longo, M. (2018). The importance of diversity and inclusion in the legal profession. Legal Education Review, 28(1), 1-22.</w:t>
      </w:r>
    </w:p>
    <w:p w14:paraId="0000008B" w14:textId="77777777" w:rsidR="005164C6" w:rsidRDefault="00000000">
      <w:pPr>
        <w:numPr>
          <w:ilvl w:val="0"/>
          <w:numId w:val="1"/>
        </w:numPr>
        <w:rPr>
          <w:color w:val="000000"/>
        </w:rPr>
      </w:pPr>
      <w:proofErr w:type="spellStart"/>
      <w:r>
        <w:rPr>
          <w:color w:val="000000"/>
        </w:rPr>
        <w:t>Schneier</w:t>
      </w:r>
      <w:proofErr w:type="spellEnd"/>
      <w:r>
        <w:rPr>
          <w:color w:val="000000"/>
        </w:rPr>
        <w:t>, M. (2019). Diversity and inclusion in the legal profession: A critical race theory perspective. Harvard Civil Rights-Civil Liberties Law Review, 54(1), 245-273.</w:t>
      </w:r>
    </w:p>
    <w:p w14:paraId="0000008C" w14:textId="77777777" w:rsidR="005164C6" w:rsidRDefault="00000000">
      <w:pPr>
        <w:numPr>
          <w:ilvl w:val="0"/>
          <w:numId w:val="1"/>
        </w:numPr>
        <w:rPr>
          <w:color w:val="000000"/>
        </w:rPr>
      </w:pPr>
      <w:r>
        <w:rPr>
          <w:color w:val="000000"/>
        </w:rPr>
        <w:t>Wilson, M. S. (2022). Making the case for diversity and inclusion in the legal profession. Journal of Legal Education, 71(2), 355-369.</w:t>
      </w:r>
    </w:p>
    <w:p w14:paraId="0000008D" w14:textId="77777777" w:rsidR="005164C6" w:rsidRDefault="005164C6"/>
    <w:sectPr w:rsidR="005164C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10646B"/>
    <w:multiLevelType w:val="multilevel"/>
    <w:tmpl w:val="60365C04"/>
    <w:lvl w:ilvl="0">
      <w:start w:val="1"/>
      <w:numFmt w:val="decimal"/>
      <w:lvlText w:val="%1."/>
      <w:lvlJc w:val="left"/>
      <w:pPr>
        <w:ind w:left="720" w:hanging="360"/>
      </w:pPr>
      <w:rPr>
        <w:rFonts w:ascii="Roboto" w:eastAsia="Roboto" w:hAnsi="Roboto" w:cs="Roboto"/>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123529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4C6"/>
    <w:rsid w:val="001346B4"/>
    <w:rsid w:val="00516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CB1E6"/>
  <w15:docId w15:val="{F5B6407A-B3C9-4C65-B344-1A80B7B9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73763"/>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1683</Words>
  <Characters>9597</Characters>
  <Application>Microsoft Office Word</Application>
  <DocSecurity>0</DocSecurity>
  <Lines>79</Lines>
  <Paragraphs>22</Paragraphs>
  <ScaleCrop>false</ScaleCrop>
  <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balan</cp:lastModifiedBy>
  <cp:revision>2</cp:revision>
  <dcterms:created xsi:type="dcterms:W3CDTF">2023-05-02T16:46:00Z</dcterms:created>
  <dcterms:modified xsi:type="dcterms:W3CDTF">2023-05-02T16:53:00Z</dcterms:modified>
</cp:coreProperties>
</file>