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9A683A" w14:textId="25146C90" w:rsidR="00B92125" w:rsidRDefault="00315EF1" w:rsidP="002F348F">
      <w:pPr>
        <w:rPr>
          <w:rFonts w:ascii="Arial" w:eastAsia="DengXian" w:hAnsi="Arial" w:cs="Arial"/>
          <w:b/>
          <w:bCs/>
          <w:kern w:val="0"/>
          <w:sz w:val="24"/>
          <w:szCs w:val="24"/>
          <w:lang w:eastAsia="zh-CN"/>
          <w14:ligatures w14:val="none"/>
        </w:rPr>
      </w:pPr>
      <w:r w:rsidRPr="00315EF1">
        <w:rPr>
          <w:rFonts w:ascii="Arial" w:eastAsia="DengXian" w:hAnsi="Arial" w:cs="Arial"/>
          <w:b/>
          <w:bCs/>
          <w:kern w:val="0"/>
          <w:sz w:val="24"/>
          <w:szCs w:val="24"/>
          <w:lang w:eastAsia="zh-CN"/>
          <w14:ligatures w14:val="none"/>
        </w:rPr>
        <w:t>Amie Handley 2310796 – ECEY</w:t>
      </w:r>
      <w:r>
        <w:rPr>
          <w:rFonts w:ascii="Arial" w:eastAsia="DengXian" w:hAnsi="Arial" w:cs="Arial"/>
          <w:b/>
          <w:bCs/>
          <w:kern w:val="0"/>
          <w:sz w:val="24"/>
          <w:szCs w:val="24"/>
          <w:lang w:eastAsia="zh-CN"/>
          <w14:ligatures w14:val="none"/>
        </w:rPr>
        <w:t>5010</w:t>
      </w:r>
      <w:r w:rsidR="00A223E8">
        <w:rPr>
          <w:rFonts w:ascii="Arial" w:eastAsia="DengXian" w:hAnsi="Arial" w:cs="Arial"/>
          <w:b/>
          <w:bCs/>
          <w:kern w:val="0"/>
          <w:sz w:val="24"/>
          <w:szCs w:val="24"/>
          <w:lang w:eastAsia="zh-CN"/>
          <w14:ligatures w14:val="none"/>
        </w:rPr>
        <w:t xml:space="preserve"> (word count </w:t>
      </w:r>
      <w:r w:rsidR="0053607C">
        <w:rPr>
          <w:rFonts w:ascii="Arial" w:eastAsia="DengXian" w:hAnsi="Arial" w:cs="Arial"/>
          <w:b/>
          <w:bCs/>
          <w:kern w:val="0"/>
          <w:sz w:val="24"/>
          <w:szCs w:val="24"/>
          <w:lang w:eastAsia="zh-CN"/>
          <w14:ligatures w14:val="none"/>
        </w:rPr>
        <w:t>43</w:t>
      </w:r>
      <w:r w:rsidR="004101EC">
        <w:rPr>
          <w:rFonts w:ascii="Arial" w:eastAsia="DengXian" w:hAnsi="Arial" w:cs="Arial"/>
          <w:b/>
          <w:bCs/>
          <w:kern w:val="0"/>
          <w:sz w:val="24"/>
          <w:szCs w:val="24"/>
          <w:lang w:eastAsia="zh-CN"/>
          <w14:ligatures w14:val="none"/>
        </w:rPr>
        <w:t>28</w:t>
      </w:r>
      <w:r w:rsidR="0053607C">
        <w:rPr>
          <w:rFonts w:ascii="Arial" w:eastAsia="DengXian" w:hAnsi="Arial" w:cs="Arial"/>
          <w:b/>
          <w:bCs/>
          <w:kern w:val="0"/>
          <w:sz w:val="24"/>
          <w:szCs w:val="24"/>
          <w:lang w:eastAsia="zh-CN"/>
          <w14:ligatures w14:val="none"/>
        </w:rPr>
        <w:t>)</w:t>
      </w:r>
    </w:p>
    <w:p w14:paraId="0B247A28" w14:textId="32654F27" w:rsidR="002F348F" w:rsidRPr="002F348F" w:rsidRDefault="002F348F" w:rsidP="002F348F">
      <w:pPr>
        <w:rPr>
          <w:rFonts w:ascii="Arial" w:eastAsia="DengXian" w:hAnsi="Arial" w:cs="Arial"/>
          <w:b/>
          <w:bCs/>
          <w:kern w:val="0"/>
          <w:sz w:val="24"/>
          <w:szCs w:val="24"/>
          <w:lang w:eastAsia="zh-CN"/>
          <w14:ligatures w14:val="none"/>
        </w:rPr>
      </w:pPr>
      <w:r w:rsidRPr="002F348F">
        <w:rPr>
          <w:rFonts w:ascii="Arial" w:eastAsia="DengXian" w:hAnsi="Arial" w:cs="Arial"/>
          <w:b/>
          <w:bCs/>
          <w:kern w:val="0"/>
          <w:sz w:val="24"/>
          <w:szCs w:val="24"/>
          <w:lang w:eastAsia="zh-CN"/>
          <w14:ligatures w14:val="none"/>
        </w:rPr>
        <w:t>How do practitioners support children in the Early Years that are working below expected levels for personal, social and emotional development?</w:t>
      </w:r>
    </w:p>
    <w:p w14:paraId="1A395045" w14:textId="103FF70E" w:rsidR="00BA1A85" w:rsidRPr="00BA1A85" w:rsidRDefault="00BA1A85" w:rsidP="00BA1A85">
      <w:pPr>
        <w:rPr>
          <w:rFonts w:ascii="Arial" w:eastAsia="DengXian" w:hAnsi="Arial" w:cs="Arial"/>
          <w:kern w:val="0"/>
          <w:sz w:val="24"/>
          <w:szCs w:val="24"/>
          <w:lang w:eastAsia="zh-CN"/>
          <w14:ligatures w14:val="none"/>
        </w:rPr>
      </w:pPr>
      <w:r w:rsidRPr="00BA1A85">
        <w:rPr>
          <w:rFonts w:ascii="Arial" w:eastAsia="DengXian" w:hAnsi="Arial" w:cs="Arial"/>
          <w:kern w:val="0"/>
          <w:sz w:val="24"/>
          <w:szCs w:val="24"/>
          <w:lang w:eastAsia="zh-CN"/>
          <w14:ligatures w14:val="none"/>
        </w:rPr>
        <w:t xml:space="preserve">Abstract  </w:t>
      </w:r>
    </w:p>
    <w:p w14:paraId="23C93179" w14:textId="77777777" w:rsidR="00BA1A85" w:rsidRDefault="00BA1A85" w:rsidP="00BA1A85">
      <w:pPr>
        <w:spacing w:after="0" w:line="360" w:lineRule="auto"/>
        <w:rPr>
          <w:rFonts w:ascii="Arial" w:eastAsia="DengXian" w:hAnsi="Arial" w:cs="Arial"/>
          <w:kern w:val="0"/>
          <w:sz w:val="24"/>
          <w:szCs w:val="24"/>
          <w:lang w:eastAsia="zh-CN"/>
          <w14:ligatures w14:val="none"/>
        </w:rPr>
      </w:pPr>
      <w:r w:rsidRPr="00BA1A85">
        <w:rPr>
          <w:rFonts w:ascii="Arial" w:eastAsia="DengXian" w:hAnsi="Arial" w:cs="Arial"/>
          <w:kern w:val="0"/>
          <w:sz w:val="24"/>
          <w:szCs w:val="24"/>
          <w:lang w:eastAsia="zh-CN"/>
          <w14:ligatures w14:val="none"/>
        </w:rPr>
        <w:t xml:space="preserve">This project will research current findings in relation to ‘How do practitioners support children in the Early Years that are working below expected levels for personal, social and emotional development?’ and collate information on useful methods and strategies to promote these skills.  Seaman and Giles’s (2019) research found that limited research had been undertaken in exploring the perspectives of early years practitioners on the social-emotional wellness of children in the United Kingdom (UK).  The findings of this project will support other practitioners planning for PSED and supporting and developing PSED skills related to all children (assessed according to the EYFS goals or beyond). As research will be undertaken in an educational setting, with strong reference to EYFS assessment goals, Reception practitioners familiar in recognising PSED underachieving children, along with Year 1 Practitioners supporting ‘emerging’ children (DfE, 2023) will constitute the sample for the project.  In this respect, this qualitative study will focus on interviewing six practitioners from two-year groups trained in assessing the EYFS assessment goals and familiar with the expectations in relation to the Early Years Foundation Stage Profile Handbook (DfE, 2024). Ethical considerations related to interviewing as a data collection tool will involve gaining consent from practitioners, providing clarity on purpose and intent, securing confidentiality and anonymity, considering risks associated with interviewing practitioners and mitigation, and following statutory requirements in relation to the collection and storage of data in line with guidelines and legislation. </w:t>
      </w:r>
    </w:p>
    <w:p w14:paraId="0229560A" w14:textId="77777777" w:rsidR="007A1355" w:rsidRDefault="007A1355" w:rsidP="00C65C46">
      <w:pPr>
        <w:rPr>
          <w:rFonts w:ascii="Arial" w:eastAsia="DengXian" w:hAnsi="Arial" w:cs="Arial"/>
          <w:b/>
          <w:bCs/>
          <w:kern w:val="0"/>
          <w:sz w:val="24"/>
          <w:szCs w:val="24"/>
          <w:lang w:eastAsia="zh-CN"/>
          <w14:ligatures w14:val="none"/>
        </w:rPr>
      </w:pPr>
    </w:p>
    <w:p w14:paraId="3E05B542" w14:textId="74385737" w:rsidR="005D7D09" w:rsidRPr="005D7D09" w:rsidRDefault="005D7D09" w:rsidP="00C65C46">
      <w:pPr>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 xml:space="preserve">A literature </w:t>
      </w:r>
      <w:r w:rsidR="00672ECA" w:rsidRPr="00B46CF3">
        <w:rPr>
          <w:rFonts w:ascii="Arial" w:eastAsia="DengXian" w:hAnsi="Arial" w:cs="Arial"/>
          <w:kern w:val="0"/>
          <w:sz w:val="24"/>
          <w:szCs w:val="24"/>
          <w:lang w:eastAsia="zh-CN"/>
          <w14:ligatures w14:val="none"/>
        </w:rPr>
        <w:t>reviews</w:t>
      </w:r>
      <w:r w:rsidR="007A1355" w:rsidRPr="00B46CF3">
        <w:rPr>
          <w:rFonts w:ascii="Arial" w:eastAsia="DengXian" w:hAnsi="Arial" w:cs="Arial"/>
          <w:kern w:val="0"/>
          <w:sz w:val="24"/>
          <w:szCs w:val="24"/>
          <w:lang w:eastAsia="zh-CN"/>
          <w14:ligatures w14:val="none"/>
        </w:rPr>
        <w:t>.</w:t>
      </w:r>
      <w:r w:rsidRPr="005D7D09">
        <w:rPr>
          <w:rFonts w:ascii="Arial" w:eastAsia="DengXian" w:hAnsi="Arial" w:cs="Arial"/>
          <w:kern w:val="0"/>
          <w:sz w:val="24"/>
          <w:szCs w:val="24"/>
          <w:lang w:eastAsia="zh-CN"/>
          <w14:ligatures w14:val="none"/>
        </w:rPr>
        <w:t xml:space="preserve"> </w:t>
      </w:r>
    </w:p>
    <w:p w14:paraId="7C076FFA" w14:textId="77777777" w:rsidR="005D7D09" w:rsidRPr="005D7D09" w:rsidRDefault="005D7D09" w:rsidP="005D7D09">
      <w:pPr>
        <w:spacing w:after="0" w:line="360" w:lineRule="auto"/>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 xml:space="preserve">According to the Department of Education (DfE) (2023, p. 9), “Children’s personal, social and emotional development (PSED) is crucial for children to lead healthy and happy lives and is fundamental to their cognitive development.” Personal, social and emotional development (PSED) is recognised as one of the key main areas of learning in the Early Years Foundation Stage (Surrey County Council, 2021). </w:t>
      </w:r>
    </w:p>
    <w:p w14:paraId="5E563C99" w14:textId="77777777" w:rsidR="00C65C46" w:rsidRDefault="00C65C46" w:rsidP="005D7D09">
      <w:pPr>
        <w:spacing w:after="0" w:line="360" w:lineRule="auto"/>
        <w:rPr>
          <w:rFonts w:ascii="Arial" w:eastAsia="DengXian" w:hAnsi="Arial" w:cs="Arial"/>
          <w:kern w:val="0"/>
          <w:sz w:val="24"/>
          <w:szCs w:val="24"/>
          <w:lang w:eastAsia="zh-CN"/>
          <w14:ligatures w14:val="none"/>
        </w:rPr>
      </w:pPr>
    </w:p>
    <w:p w14:paraId="28D0859F" w14:textId="3F028287" w:rsidR="005D7D09" w:rsidRPr="005D7D09" w:rsidRDefault="005D7D09" w:rsidP="005D7D09">
      <w:pPr>
        <w:spacing w:after="0" w:line="360" w:lineRule="auto"/>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lastRenderedPageBreak/>
        <w:t xml:space="preserve">This project will research current findings in relation to how early years (EY) practitioners view their role in supporting children’s PSED.  Seaman and Giles (2019, p. 862) suggest that considering the following would be beneficial when gathering data:     </w:t>
      </w:r>
    </w:p>
    <w:p w14:paraId="62A2F588" w14:textId="77777777" w:rsidR="005D7D09" w:rsidRPr="005D7D09" w:rsidRDefault="005D7D09" w:rsidP="005D7D09">
      <w:pPr>
        <w:spacing w:after="0" w:line="240" w:lineRule="auto"/>
        <w:ind w:left="720"/>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 xml:space="preserve">(1) What do EY practitioners understand by the term ‘social and emotional well-being?’ </w:t>
      </w:r>
    </w:p>
    <w:p w14:paraId="20B25B45" w14:textId="77777777" w:rsidR="005D7D09" w:rsidRPr="005D7D09" w:rsidRDefault="005D7D09" w:rsidP="005D7D09">
      <w:pPr>
        <w:spacing w:after="0" w:line="240" w:lineRule="auto"/>
        <w:ind w:left="720"/>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(2) What are EY practitioners’ views on supporting children’s social and emotional well-being and/or behaviour?</w:t>
      </w:r>
    </w:p>
    <w:p w14:paraId="75641904" w14:textId="77777777" w:rsidR="005D7D09" w:rsidRPr="005D7D09" w:rsidRDefault="005D7D09" w:rsidP="005D7D09">
      <w:pPr>
        <w:spacing w:after="0" w:line="240" w:lineRule="auto"/>
        <w:ind w:left="720"/>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 xml:space="preserve"> (3) What training have EY practitioners received to help them in supporting children’s social and emotional well-being? What further support or training would they like in the future?  (Seaman and Giles, 2019, p. 862).</w:t>
      </w:r>
    </w:p>
    <w:p w14:paraId="1C209C13" w14:textId="77777777" w:rsidR="005D7D09" w:rsidRPr="005D7D09" w:rsidRDefault="005D7D09" w:rsidP="005D7D09">
      <w:pPr>
        <w:spacing w:after="0" w:line="360" w:lineRule="auto"/>
        <w:rPr>
          <w:rFonts w:ascii="Arial" w:eastAsia="DengXian" w:hAnsi="Arial" w:cs="Arial"/>
          <w:kern w:val="0"/>
          <w:sz w:val="24"/>
          <w:szCs w:val="24"/>
          <w:highlight w:val="green"/>
          <w:lang w:eastAsia="zh-CN"/>
          <w14:ligatures w14:val="none"/>
        </w:rPr>
      </w:pPr>
    </w:p>
    <w:p w14:paraId="2A1054DA" w14:textId="77777777" w:rsidR="005D7D09" w:rsidRPr="005D7D09" w:rsidRDefault="005D7D09" w:rsidP="005D7D09">
      <w:pPr>
        <w:spacing w:after="0" w:line="360" w:lineRule="auto"/>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Aubrey &amp; Ward (2013) noted, “…there is now strong evidence that the roots of social–emotional difficulties lie in children’s earliest years and that effective early identification and intervention is the most effective strategy, the early stage of such behavioural difficulties is still a relatively unexplored area.”</w:t>
      </w:r>
    </w:p>
    <w:p w14:paraId="4F9401C4" w14:textId="77777777" w:rsidR="005D7D09" w:rsidRPr="005D7D09" w:rsidRDefault="005D7D09" w:rsidP="005D7D09">
      <w:pPr>
        <w:spacing w:after="0" w:line="360" w:lineRule="auto"/>
        <w:rPr>
          <w:rFonts w:ascii="Arial" w:eastAsia="DengXian" w:hAnsi="Arial" w:cs="Arial"/>
          <w:kern w:val="0"/>
          <w:sz w:val="24"/>
          <w:szCs w:val="24"/>
          <w:highlight w:val="green"/>
          <w:lang w:eastAsia="zh-CN"/>
          <w14:ligatures w14:val="none"/>
        </w:rPr>
      </w:pPr>
    </w:p>
    <w:p w14:paraId="7C149C7C" w14:textId="77777777" w:rsidR="005D7D09" w:rsidRPr="005D7D09" w:rsidRDefault="005D7D09" w:rsidP="005D7D09">
      <w:pPr>
        <w:spacing w:after="0" w:line="360" w:lineRule="auto"/>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 xml:space="preserve">EYFS (2023) highlights the three main goals for PSED, namely, self-regulation, managing self and building relationships.  Forming strong associations and relationships is fundamental for shaping social bonds. Facilitating opportunities to interact with peers will support children in forming relationships, developing strong friendships, collaborating and settle misunderstandings. The skills will form sound foundations to support children on their educational journey and during adult life </w:t>
      </w:r>
      <w:bookmarkStart w:id="0" w:name="_Hlk165710791"/>
      <w:r w:rsidRPr="005D7D09">
        <w:rPr>
          <w:rFonts w:ascii="Arial" w:eastAsia="DengXian" w:hAnsi="Arial" w:cs="Arial"/>
          <w:kern w:val="0"/>
          <w:sz w:val="24"/>
          <w:szCs w:val="24"/>
          <w:lang w:eastAsia="zh-CN"/>
          <w14:ligatures w14:val="none"/>
        </w:rPr>
        <w:t>(DfE, 2023).</w:t>
      </w:r>
      <w:bookmarkEnd w:id="0"/>
      <w:r w:rsidRPr="005D7D09">
        <w:rPr>
          <w:rFonts w:ascii="Arial" w:eastAsia="DengXian" w:hAnsi="Arial" w:cs="Arial"/>
          <w:kern w:val="0"/>
          <w:sz w:val="24"/>
          <w:szCs w:val="24"/>
          <w:lang w:eastAsia="zh-CN"/>
          <w14:ligatures w14:val="none"/>
        </w:rPr>
        <w:t xml:space="preserve"> EYFS (2023) defines the expected goals (ELGs) within these three aspects that children in the early learning should fulfil by the end of reception age. </w:t>
      </w:r>
    </w:p>
    <w:p w14:paraId="3DC42A8C" w14:textId="77777777" w:rsidR="005D7D09" w:rsidRPr="005D7D09" w:rsidRDefault="005D7D09" w:rsidP="005D7D09">
      <w:pPr>
        <w:spacing w:after="0" w:line="360" w:lineRule="auto"/>
        <w:rPr>
          <w:rFonts w:ascii="Arial" w:eastAsia="DengXian" w:hAnsi="Arial" w:cs="Arial"/>
          <w:kern w:val="0"/>
          <w:sz w:val="24"/>
          <w:szCs w:val="24"/>
          <w:lang w:eastAsia="zh-CN"/>
          <w14:ligatures w14:val="none"/>
        </w:rPr>
      </w:pPr>
    </w:p>
    <w:p w14:paraId="29A10D1C" w14:textId="486087A4" w:rsidR="005D7D09" w:rsidRPr="005D7D09" w:rsidRDefault="005D7D09" w:rsidP="005D7D09">
      <w:pPr>
        <w:spacing w:after="0" w:line="360" w:lineRule="auto"/>
        <w:rPr>
          <w:rFonts w:ascii="Arial" w:eastAsia="DengXian" w:hAnsi="Arial" w:cs="Arial"/>
          <w:color w:val="111111"/>
          <w:spacing w:val="-4"/>
          <w:kern w:val="0"/>
          <w:sz w:val="24"/>
          <w:szCs w:val="24"/>
          <w:shd w:val="clear" w:color="auto" w:fill="FFFFFF"/>
          <w:lang w:eastAsia="zh-CN"/>
          <w14:ligatures w14:val="none"/>
        </w:rPr>
      </w:pPr>
      <w:r w:rsidRPr="005D7D09">
        <w:rPr>
          <w:rFonts w:ascii="Arial" w:eastAsia="DengXian" w:hAnsi="Arial" w:cs="Arial"/>
          <w:kern w:val="0"/>
          <w:sz w:val="24"/>
          <w:szCs w:val="24"/>
          <w:lang w:eastAsia="zh-CN"/>
          <w14:ligatures w14:val="none"/>
        </w:rPr>
        <w:t xml:space="preserve">According to the DfE (2023) adults in a preschool setting or school should provide an exemplar role model for children in the early years and guide them towards the ELGs. Ho and Funk (2018) noted, “Teachers and caregivers promote children's social and emotional health by establishing trusting relationships, created when teachers express warmth, affection, and respect.” Furthermore, “Teachers can intentionally teach and enhance these skills using evidence-based strategies to teach, model, and reinforce positive behaviours” (Ho and Funk, 2018). </w:t>
      </w:r>
      <w:r w:rsidRPr="005D7D09">
        <w:rPr>
          <w:rFonts w:ascii="Arial" w:eastAsia="DengXian" w:hAnsi="Arial" w:cs="Arial"/>
          <w:spacing w:val="-4"/>
          <w:kern w:val="0"/>
          <w:sz w:val="24"/>
          <w:szCs w:val="24"/>
          <w:shd w:val="clear" w:color="auto" w:fill="FFFFFF"/>
          <w:lang w:eastAsia="zh-CN"/>
          <w14:ligatures w14:val="none"/>
        </w:rPr>
        <w:t>According to</w:t>
      </w:r>
      <w:r w:rsidRPr="005D7D09">
        <w:rPr>
          <w:rFonts w:ascii="Arial" w:eastAsia="Times New Roman" w:hAnsi="Arial" w:cs="Arial"/>
          <w:kern w:val="0"/>
          <w:sz w:val="24"/>
          <w:szCs w:val="24"/>
          <w:lang w:eastAsia="en-GB"/>
          <w14:ligatures w14:val="none"/>
        </w:rPr>
        <w:t xml:space="preserve"> </w:t>
      </w:r>
      <w:r w:rsidRPr="005D7D09">
        <w:rPr>
          <w:rFonts w:ascii="Arial" w:eastAsia="DengXian" w:hAnsi="Arial" w:cs="Arial"/>
          <w:spacing w:val="-4"/>
          <w:kern w:val="0"/>
          <w:sz w:val="24"/>
          <w:szCs w:val="24"/>
          <w:shd w:val="clear" w:color="auto" w:fill="FFFFFF"/>
          <w:lang w:eastAsia="zh-CN"/>
          <w14:ligatures w14:val="none"/>
        </w:rPr>
        <w:t>Brodie (2024)</w:t>
      </w:r>
      <w:r w:rsidRPr="005D7D09">
        <w:rPr>
          <w:rFonts w:ascii="Arial" w:eastAsia="DengXian" w:hAnsi="Arial" w:cs="Arial"/>
          <w:kern w:val="0"/>
          <w:sz w:val="24"/>
          <w:szCs w:val="24"/>
          <w:lang w:eastAsia="zh-CN"/>
          <w14:ligatures w14:val="none"/>
        </w:rPr>
        <w:t xml:space="preserve"> </w:t>
      </w:r>
      <w:r w:rsidRPr="005D7D09">
        <w:rPr>
          <w:rFonts w:ascii="Arial" w:eastAsia="DengXian" w:hAnsi="Arial" w:cs="Arial"/>
          <w:spacing w:val="-4"/>
          <w:kern w:val="0"/>
          <w:sz w:val="24"/>
          <w:szCs w:val="24"/>
          <w:shd w:val="clear" w:color="auto" w:fill="FFFFFF"/>
          <w:lang w:eastAsia="zh-CN"/>
          <w14:ligatures w14:val="none"/>
        </w:rPr>
        <w:t>teachers help students acquire new skills or concepts by using scaffolding techniques, which are based on Vygotsky's theories.</w:t>
      </w:r>
      <w:r w:rsidRPr="005D7D09">
        <w:rPr>
          <w:rFonts w:ascii="Arial" w:eastAsia="DengXian" w:hAnsi="Arial" w:cs="Arial"/>
          <w:kern w:val="0"/>
          <w:sz w:val="24"/>
          <w:szCs w:val="24"/>
          <w:lang w:eastAsia="zh-CN"/>
          <w14:ligatures w14:val="none"/>
        </w:rPr>
        <w:t xml:space="preserve"> Through adult modelling and</w:t>
      </w:r>
      <w:r w:rsidR="00672ECA">
        <w:rPr>
          <w:rFonts w:ascii="Arial" w:eastAsia="DengXian" w:hAnsi="Arial" w:cs="Arial"/>
          <w:kern w:val="0"/>
          <w:sz w:val="24"/>
          <w:szCs w:val="24"/>
          <w:lang w:eastAsia="zh-CN"/>
          <w14:ligatures w14:val="none"/>
        </w:rPr>
        <w:t xml:space="preserve"> </w:t>
      </w:r>
      <w:r w:rsidRPr="005D7D09">
        <w:rPr>
          <w:rFonts w:ascii="Arial" w:eastAsia="DengXian" w:hAnsi="Arial" w:cs="Arial"/>
          <w:kern w:val="0"/>
          <w:sz w:val="24"/>
          <w:szCs w:val="24"/>
          <w:lang w:eastAsia="zh-CN"/>
          <w14:ligatures w14:val="none"/>
        </w:rPr>
        <w:lastRenderedPageBreak/>
        <w:t xml:space="preserve">guidance, they will learn how to look after their bodies, including healthy eating, and manage personal needs independently.  </w:t>
      </w:r>
    </w:p>
    <w:p w14:paraId="2280B341" w14:textId="77777777" w:rsidR="005D7D09" w:rsidRPr="005D7D09" w:rsidRDefault="005D7D09" w:rsidP="005D7D09">
      <w:pPr>
        <w:spacing w:after="0" w:line="240" w:lineRule="auto"/>
        <w:rPr>
          <w:rFonts w:ascii="Arial" w:eastAsia="DengXian" w:hAnsi="Arial" w:cs="Arial"/>
          <w:kern w:val="0"/>
          <w:sz w:val="24"/>
          <w:szCs w:val="24"/>
          <w:lang w:eastAsia="zh-CN"/>
          <w14:ligatures w14:val="none"/>
        </w:rPr>
      </w:pPr>
    </w:p>
    <w:p w14:paraId="3E69946A" w14:textId="68EF3ACA" w:rsidR="005D7D09" w:rsidRPr="005D7D09" w:rsidRDefault="005D7D09" w:rsidP="005D7D09">
      <w:pPr>
        <w:spacing w:after="0" w:line="360" w:lineRule="auto"/>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 xml:space="preserve">Research </w:t>
      </w:r>
      <w:r w:rsidR="007A1355" w:rsidRPr="005D7D09">
        <w:rPr>
          <w:rFonts w:ascii="Arial" w:eastAsia="DengXian" w:hAnsi="Arial" w:cs="Arial"/>
          <w:kern w:val="0"/>
          <w:sz w:val="24"/>
          <w:szCs w:val="24"/>
          <w:lang w:eastAsia="zh-CN"/>
          <w14:ligatures w14:val="none"/>
        </w:rPr>
        <w:t>provides</w:t>
      </w:r>
      <w:r w:rsidRPr="005D7D09">
        <w:rPr>
          <w:rFonts w:ascii="Arial" w:eastAsia="DengXian" w:hAnsi="Arial" w:cs="Arial"/>
          <w:kern w:val="0"/>
          <w:sz w:val="24"/>
          <w:szCs w:val="24"/>
          <w:lang w:eastAsia="zh-CN"/>
          <w14:ligatures w14:val="none"/>
        </w:rPr>
        <w:t xml:space="preserve"> examples of strategies to promote PSED goals. According to Li, (2023) regular emotional conversations between parents and children are crucial for the emotional growth of young children and to develop expressive vocabulary. Emotional expression and understanding in children are significantly influenced by their capacity to grasp and use emotional terminology. Children that have emotional vocabulary are better able to recognise emotions. To encourage children to utilise these terms, practitioners and parents should focus more on how well children comprehend and apply emotional vocabulary. They should also establish a lively, encouraging environment for children. Encouraging children to learn emotion management techniques, demonstrating appropriate verbal emotion expression, and utilising morning chats or meetings are three realistic methods to foster self-positive emotional cognition in everyday routines.</w:t>
      </w:r>
      <w:r w:rsidRPr="005D7D09">
        <w:rPr>
          <w:rFonts w:ascii="Arial" w:eastAsia="Times New Roman" w:hAnsi="Arial" w:cs="Arial"/>
          <w:kern w:val="0"/>
          <w:sz w:val="24"/>
          <w:szCs w:val="24"/>
          <w:lang w:eastAsia="en-GB"/>
          <w14:ligatures w14:val="none"/>
        </w:rPr>
        <w:t xml:space="preserve"> </w:t>
      </w:r>
      <w:r w:rsidRPr="005D7D09">
        <w:rPr>
          <w:rFonts w:ascii="Arial" w:eastAsia="DengXian" w:hAnsi="Arial" w:cs="Arial"/>
          <w:kern w:val="0"/>
          <w:sz w:val="24"/>
          <w:szCs w:val="24"/>
          <w:lang w:eastAsia="zh-CN"/>
          <w14:ligatures w14:val="none"/>
        </w:rPr>
        <w:t xml:space="preserve">Practitioners might also use pictures of people's faces to gauge how well children can recognise emotions, and for children without sufficient </w:t>
      </w:r>
      <w:r w:rsidR="00672ECA" w:rsidRPr="005D7D09">
        <w:rPr>
          <w:rFonts w:ascii="Arial" w:eastAsia="DengXian" w:hAnsi="Arial" w:cs="Arial"/>
          <w:kern w:val="0"/>
          <w:sz w:val="24"/>
          <w:szCs w:val="24"/>
          <w:lang w:eastAsia="zh-CN"/>
          <w14:ligatures w14:val="none"/>
        </w:rPr>
        <w:t>skills, teaching</w:t>
      </w:r>
      <w:r w:rsidRPr="005D7D09">
        <w:rPr>
          <w:rFonts w:ascii="Arial" w:eastAsia="DengXian" w:hAnsi="Arial" w:cs="Arial"/>
          <w:kern w:val="0"/>
          <w:sz w:val="24"/>
          <w:szCs w:val="24"/>
          <w:lang w:eastAsia="zh-CN"/>
          <w14:ligatures w14:val="none"/>
        </w:rPr>
        <w:t xml:space="preserve"> coping mechanisms to help them behave better in class. More complex issues arise from practitioners' lack of theoretical background and time to comprehend children's feelings behind their misbehaviour. </w:t>
      </w:r>
    </w:p>
    <w:p w14:paraId="736F6B24" w14:textId="77777777" w:rsidR="005D7D09" w:rsidRPr="005D7D09" w:rsidRDefault="005D7D09" w:rsidP="005D7D09">
      <w:pPr>
        <w:spacing w:after="0" w:line="360" w:lineRule="auto"/>
        <w:rPr>
          <w:rFonts w:ascii="Arial" w:eastAsia="DengXian" w:hAnsi="Arial" w:cs="Arial"/>
          <w:kern w:val="0"/>
          <w:sz w:val="24"/>
          <w:szCs w:val="24"/>
          <w:lang w:eastAsia="zh-CN"/>
          <w14:ligatures w14:val="none"/>
        </w:rPr>
      </w:pPr>
    </w:p>
    <w:p w14:paraId="146E2C9B" w14:textId="2C9214BF" w:rsidR="005D7D09" w:rsidRPr="005D7D09" w:rsidRDefault="005D7D09" w:rsidP="005D7D09">
      <w:pPr>
        <w:spacing w:after="0" w:line="360" w:lineRule="auto"/>
        <w:rPr>
          <w:rFonts w:ascii="Arial" w:eastAsia="Times New Roman" w:hAnsi="Arial" w:cs="Arial"/>
          <w:color w:val="000000"/>
          <w:spacing w:val="-2"/>
          <w:kern w:val="36"/>
          <w:sz w:val="24"/>
          <w:szCs w:val="24"/>
          <w:lang w:eastAsia="en-GB"/>
          <w14:ligatures w14:val="none"/>
        </w:rPr>
      </w:pPr>
      <w:r w:rsidRPr="005D7D09">
        <w:rPr>
          <w:rFonts w:ascii="Arial" w:eastAsia="DengXian" w:hAnsi="Arial" w:cs="Arial"/>
          <w:kern w:val="0"/>
          <w:sz w:val="24"/>
          <w:szCs w:val="24"/>
          <w:lang w:eastAsia="zh-CN"/>
          <w14:ligatures w14:val="none"/>
        </w:rPr>
        <w:t xml:space="preserve">According to Li (2023), to improve children's emotional knowledge, expression, and regulation, practitioners must invest more time and receive professional training to be able to address emotional problems in children that go beyond the obvious. </w:t>
      </w:r>
      <w:r w:rsidRPr="005D7D09">
        <w:rPr>
          <w:rFonts w:ascii="Arial" w:eastAsia="Times New Roman" w:hAnsi="Arial" w:cs="Arial"/>
          <w:color w:val="000000"/>
          <w:spacing w:val="-2"/>
          <w:kern w:val="36"/>
          <w:sz w:val="24"/>
          <w:szCs w:val="24"/>
          <w:lang w:eastAsia="en-GB"/>
          <w14:ligatures w14:val="none"/>
        </w:rPr>
        <w:t xml:space="preserve">Hofmann </w:t>
      </w:r>
      <w:r w:rsidRPr="005D7D09">
        <w:rPr>
          <w:rFonts w:ascii="Arial" w:eastAsia="Times New Roman" w:hAnsi="Arial" w:cs="Arial"/>
          <w:i/>
          <w:iCs/>
          <w:color w:val="000000"/>
          <w:spacing w:val="-2"/>
          <w:kern w:val="36"/>
          <w:sz w:val="24"/>
          <w:szCs w:val="24"/>
          <w:lang w:eastAsia="en-GB"/>
          <w14:ligatures w14:val="none"/>
        </w:rPr>
        <w:t>et al</w:t>
      </w:r>
      <w:r w:rsidRPr="005D7D09">
        <w:rPr>
          <w:rFonts w:ascii="Arial" w:eastAsia="Times New Roman" w:hAnsi="Arial" w:cs="Arial"/>
          <w:color w:val="000000"/>
          <w:spacing w:val="-2"/>
          <w:kern w:val="36"/>
          <w:sz w:val="24"/>
          <w:szCs w:val="24"/>
          <w:lang w:eastAsia="en-GB"/>
          <w14:ligatures w14:val="none"/>
        </w:rPr>
        <w:t xml:space="preserve">. (2016) </w:t>
      </w:r>
      <w:proofErr w:type="gramStart"/>
      <w:r w:rsidRPr="005D7D09">
        <w:rPr>
          <w:rFonts w:ascii="Arial" w:eastAsia="Times New Roman" w:hAnsi="Arial" w:cs="Arial"/>
          <w:color w:val="000000"/>
          <w:spacing w:val="-2"/>
          <w:kern w:val="36"/>
          <w:sz w:val="24"/>
          <w:szCs w:val="24"/>
          <w:lang w:eastAsia="en-GB"/>
          <w14:ligatures w14:val="none"/>
        </w:rPr>
        <w:t>are in agreement</w:t>
      </w:r>
      <w:proofErr w:type="gramEnd"/>
      <w:r w:rsidRPr="005D7D09">
        <w:rPr>
          <w:rFonts w:ascii="Arial" w:eastAsia="Times New Roman" w:hAnsi="Arial" w:cs="Arial"/>
          <w:color w:val="000000"/>
          <w:spacing w:val="-2"/>
          <w:kern w:val="36"/>
          <w:sz w:val="24"/>
          <w:szCs w:val="24"/>
          <w:lang w:eastAsia="en-GB"/>
          <w14:ligatures w14:val="none"/>
        </w:rPr>
        <w:t xml:space="preserve"> and emphasise, “</w:t>
      </w:r>
      <w:r w:rsidRPr="005D7D09">
        <w:rPr>
          <w:rFonts w:ascii="Arial" w:eastAsia="DengXian" w:hAnsi="Arial" w:cs="Arial"/>
          <w:kern w:val="0"/>
          <w:sz w:val="24"/>
          <w:szCs w:val="24"/>
          <w:lang w:eastAsia="en-GB"/>
          <w14:ligatures w14:val="none"/>
        </w:rPr>
        <w:t>The ability to interpret and understand behaviour in the terms of psychological states is crucial for successful social interactions.” They advocate the Theory-of-mind (</w:t>
      </w:r>
      <w:proofErr w:type="spellStart"/>
      <w:r w:rsidRPr="005D7D09">
        <w:rPr>
          <w:rFonts w:ascii="Arial" w:eastAsia="DengXian" w:hAnsi="Arial" w:cs="Arial"/>
          <w:kern w:val="0"/>
          <w:sz w:val="24"/>
          <w:szCs w:val="24"/>
          <w:lang w:eastAsia="en-GB"/>
          <w14:ligatures w14:val="none"/>
        </w:rPr>
        <w:t>ToM</w:t>
      </w:r>
      <w:proofErr w:type="spellEnd"/>
      <w:r w:rsidRPr="005D7D09">
        <w:rPr>
          <w:rFonts w:ascii="Arial" w:eastAsia="DengXian" w:hAnsi="Arial" w:cs="Arial"/>
          <w:kern w:val="0"/>
          <w:sz w:val="24"/>
          <w:szCs w:val="24"/>
          <w:lang w:eastAsia="en-GB"/>
          <w14:ligatures w14:val="none"/>
        </w:rPr>
        <w:t>) concept which “…refers to knowledge and awareness of mental states, (perceptions, emotions and thoughts) in oneself and others”,</w:t>
      </w:r>
      <w:r w:rsidRPr="005D7D09">
        <w:rPr>
          <w:rFonts w:ascii="Arial" w:eastAsia="Times New Roman" w:hAnsi="Arial" w:cs="Arial"/>
          <w:color w:val="000000"/>
          <w:spacing w:val="-2"/>
          <w:kern w:val="36"/>
          <w:sz w:val="24"/>
          <w:szCs w:val="24"/>
          <w:lang w:eastAsia="en-GB"/>
          <w14:ligatures w14:val="none"/>
        </w:rPr>
        <w:t xml:space="preserve"> which can be “accelerated through training</w:t>
      </w:r>
      <w:r w:rsidR="00672ECA" w:rsidRPr="005D7D09">
        <w:rPr>
          <w:rFonts w:ascii="Arial" w:eastAsia="Times New Roman" w:hAnsi="Arial" w:cs="Arial"/>
          <w:color w:val="000000"/>
          <w:spacing w:val="-2"/>
          <w:kern w:val="36"/>
          <w:sz w:val="24"/>
          <w:szCs w:val="24"/>
          <w:lang w:eastAsia="en-GB"/>
          <w14:ligatures w14:val="none"/>
        </w:rPr>
        <w:t>”.</w:t>
      </w:r>
      <w:r w:rsidRPr="005D7D09">
        <w:rPr>
          <w:rFonts w:ascii="Arial" w:eastAsia="Times New Roman" w:hAnsi="Arial" w:cs="Arial"/>
          <w:color w:val="000000"/>
          <w:spacing w:val="-2"/>
          <w:kern w:val="36"/>
          <w:sz w:val="24"/>
          <w:szCs w:val="24"/>
          <w:lang w:eastAsia="en-GB"/>
          <w14:ligatures w14:val="none"/>
        </w:rPr>
        <w:t xml:space="preserve"> Li (2023) suggests that </w:t>
      </w:r>
      <w:r w:rsidRPr="005D7D09">
        <w:rPr>
          <w:rFonts w:ascii="Arial" w:eastAsia="DengXian" w:hAnsi="Arial" w:cs="Arial"/>
          <w:kern w:val="0"/>
          <w:sz w:val="24"/>
          <w:szCs w:val="24"/>
          <w:lang w:eastAsia="zh-CN"/>
          <w14:ligatures w14:val="none"/>
        </w:rPr>
        <w:t xml:space="preserve">studying children in both home and school settings and comparing the relative contributions of peer and family experiences to the formation of social knowledge will be crucial for future research </w:t>
      </w:r>
      <w:proofErr w:type="gramStart"/>
      <w:r w:rsidRPr="005D7D09">
        <w:rPr>
          <w:rFonts w:ascii="Arial" w:eastAsia="DengXian" w:hAnsi="Arial" w:cs="Arial"/>
          <w:kern w:val="0"/>
          <w:sz w:val="24"/>
          <w:szCs w:val="24"/>
          <w:lang w:eastAsia="zh-CN"/>
          <w14:ligatures w14:val="none"/>
        </w:rPr>
        <w:t>in order to</w:t>
      </w:r>
      <w:proofErr w:type="gramEnd"/>
      <w:r w:rsidRPr="005D7D09">
        <w:rPr>
          <w:rFonts w:ascii="Arial" w:eastAsia="DengXian" w:hAnsi="Arial" w:cs="Arial"/>
          <w:kern w:val="0"/>
          <w:sz w:val="24"/>
          <w:szCs w:val="24"/>
          <w:lang w:eastAsia="zh-CN"/>
          <w14:ligatures w14:val="none"/>
        </w:rPr>
        <w:t xml:space="preserve"> better understand children’s socio-emotional development.  </w:t>
      </w:r>
    </w:p>
    <w:p w14:paraId="61B1F8C5" w14:textId="77777777" w:rsidR="005D7D09" w:rsidRPr="005D7D09" w:rsidRDefault="005D7D09" w:rsidP="005D7D09">
      <w:pPr>
        <w:spacing w:after="0" w:line="240" w:lineRule="auto"/>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t xml:space="preserve"> </w:t>
      </w:r>
    </w:p>
    <w:p w14:paraId="03A17BD5" w14:textId="77777777" w:rsidR="005D7D09" w:rsidRPr="005D7D09" w:rsidRDefault="005D7D09" w:rsidP="005D7D09">
      <w:pPr>
        <w:spacing w:after="0" w:line="240" w:lineRule="auto"/>
        <w:rPr>
          <w:rFonts w:ascii="Arial" w:eastAsia="DengXian" w:hAnsi="Arial" w:cs="Arial"/>
          <w:kern w:val="0"/>
          <w:sz w:val="24"/>
          <w:szCs w:val="24"/>
          <w:lang w:eastAsia="zh-CN"/>
          <w14:ligatures w14:val="none"/>
        </w:rPr>
      </w:pPr>
    </w:p>
    <w:p w14:paraId="65183AD2" w14:textId="77777777" w:rsidR="005D7D09" w:rsidRPr="005D7D09" w:rsidRDefault="005D7D09" w:rsidP="005D7D09">
      <w:pPr>
        <w:spacing w:after="0" w:line="360" w:lineRule="auto"/>
        <w:rPr>
          <w:rFonts w:ascii="Arial" w:eastAsia="DengXian" w:hAnsi="Arial" w:cs="Arial"/>
          <w:kern w:val="0"/>
          <w:sz w:val="24"/>
          <w:szCs w:val="24"/>
          <w:lang w:eastAsia="zh-CN"/>
          <w14:ligatures w14:val="none"/>
        </w:rPr>
      </w:pPr>
      <w:r w:rsidRPr="005D7D09">
        <w:rPr>
          <w:rFonts w:ascii="Arial" w:eastAsia="DengXian" w:hAnsi="Arial" w:cs="Arial"/>
          <w:kern w:val="0"/>
          <w:sz w:val="24"/>
          <w:szCs w:val="24"/>
          <w:lang w:eastAsia="zh-CN"/>
          <w14:ligatures w14:val="none"/>
        </w:rPr>
        <w:lastRenderedPageBreak/>
        <w:t xml:space="preserve">According to Aubrey &amp; Ward (2013), the current EYFS guidelines (2024) for policy emphasise the importance of promptly identifying learning barriers and implementing suitable solutions in relation to PSED. Research into early identification and intervention for young children with PSED suggests examining the relationships between practitioners and children and attachment. Page and Elfer (2013, cited Seaman and Giles, 2019) conducted interviews with early years (EY) practitioners to learn more about how they interpreted the concept of attachment. The study also emphasised the logistical and emotional complexity of working with children, finding that practitioners formed relationships mostly through intuitive means. The study concentrated on children's behaviour. The survey found that while the most common undesirable behaviours were related to children's social skills, including having trouble taking turns, EY practitioners were mostly concerned with low-level disruptive behaviours, such as not listening. Participants also talked about aggressive and violent behaviour. It was discovered that practitioners use a variety of customised, usually successful methods to control conduct. Instead of concentrating on topics like attachment or behaviour, this study sought to expand on the body of research by examining the perspectives of early childhood educators on all facets of children's social-emotional wellbeing. </w:t>
      </w:r>
    </w:p>
    <w:p w14:paraId="6D957D14" w14:textId="77777777" w:rsidR="005D7D09" w:rsidRPr="005D7D09" w:rsidRDefault="005D7D09" w:rsidP="005D7D09">
      <w:pPr>
        <w:spacing w:after="0" w:line="360" w:lineRule="auto"/>
        <w:rPr>
          <w:rFonts w:ascii="Arial" w:eastAsia="DengXian" w:hAnsi="Arial" w:cs="Arial"/>
          <w:kern w:val="0"/>
          <w:sz w:val="24"/>
          <w:szCs w:val="24"/>
          <w:lang w:eastAsia="zh-CN"/>
          <w14:ligatures w14:val="none"/>
        </w:rPr>
      </w:pPr>
    </w:p>
    <w:p w14:paraId="1AEC4C99" w14:textId="77777777" w:rsidR="005D7D09" w:rsidRDefault="005D7D09" w:rsidP="005D7D09">
      <w:pPr>
        <w:spacing w:after="0" w:line="360" w:lineRule="auto"/>
        <w:rPr>
          <w:rFonts w:ascii="Arial" w:eastAsia="DengXian" w:hAnsi="Arial" w:cs="Arial"/>
          <w:color w:val="212121"/>
          <w:kern w:val="0"/>
          <w:shd w:val="clear" w:color="auto" w:fill="FFFFFF"/>
          <w:lang w:eastAsia="zh-CN"/>
          <w14:ligatures w14:val="none"/>
        </w:rPr>
      </w:pPr>
      <w:bookmarkStart w:id="1" w:name="_Hlk166321212"/>
      <w:r w:rsidRPr="005D7D09">
        <w:rPr>
          <w:rFonts w:ascii="Arial" w:eastAsia="DengXian" w:hAnsi="Arial" w:cs="Arial"/>
          <w:color w:val="212121"/>
          <w:kern w:val="0"/>
          <w:sz w:val="24"/>
          <w:szCs w:val="24"/>
          <w:shd w:val="clear" w:color="auto" w:fill="FFFFFF"/>
          <w:lang w:eastAsia="zh-CN"/>
          <w14:ligatures w14:val="none"/>
        </w:rPr>
        <w:t xml:space="preserve">Sprung </w:t>
      </w:r>
      <w:r w:rsidRPr="005D7D09">
        <w:rPr>
          <w:rFonts w:ascii="Arial" w:eastAsia="DengXian" w:hAnsi="Arial" w:cs="Arial"/>
          <w:i/>
          <w:iCs/>
          <w:color w:val="212121"/>
          <w:kern w:val="0"/>
          <w:sz w:val="24"/>
          <w:szCs w:val="24"/>
          <w:shd w:val="clear" w:color="auto" w:fill="FFFFFF"/>
          <w:lang w:eastAsia="zh-CN"/>
          <w14:ligatures w14:val="none"/>
        </w:rPr>
        <w:t>et al</w:t>
      </w:r>
      <w:r w:rsidRPr="005D7D09">
        <w:rPr>
          <w:rFonts w:ascii="Arial" w:eastAsia="DengXian" w:hAnsi="Arial" w:cs="Arial"/>
          <w:color w:val="212121"/>
          <w:kern w:val="0"/>
          <w:sz w:val="24"/>
          <w:szCs w:val="24"/>
          <w:shd w:val="clear" w:color="auto" w:fill="FFFFFF"/>
          <w:lang w:eastAsia="zh-CN"/>
          <w14:ligatures w14:val="none"/>
        </w:rPr>
        <w:t xml:space="preserve">., (2015) highlight </w:t>
      </w:r>
      <w:r w:rsidRPr="005D7D09">
        <w:rPr>
          <w:rFonts w:ascii="Arial" w:eastAsia="DengXian" w:hAnsi="Arial" w:cs="Arial"/>
          <w:kern w:val="0"/>
          <w:sz w:val="24"/>
          <w:szCs w:val="24"/>
          <w:lang w:eastAsia="zh-CN"/>
          <w14:ligatures w14:val="none"/>
        </w:rPr>
        <w:t xml:space="preserve">the limitations of PSED related research in EY </w:t>
      </w:r>
      <w:r w:rsidRPr="005D7D09">
        <w:rPr>
          <w:rFonts w:ascii="Arial" w:eastAsia="DengXian" w:hAnsi="Arial" w:cs="Arial"/>
          <w:color w:val="212121"/>
          <w:kern w:val="0"/>
          <w:sz w:val="24"/>
          <w:szCs w:val="24"/>
          <w:shd w:val="clear" w:color="auto" w:fill="FFFFFF"/>
          <w:lang w:eastAsia="zh-CN"/>
          <w14:ligatures w14:val="none"/>
        </w:rPr>
        <w:t>noting, “Despite the significant number of training studies, no quantitative review of their impact has yet been conducted.” They emphasise, “Given the potential social, clinical and academic benefits to be had with improved emotion understanding skills, it is important to establish the effectiveness of interventions aimed at improving children’s emotion understanding, and to assess whether there are any specific training characteristics that are associated with more favourable outcomes.”</w:t>
      </w:r>
      <w:r w:rsidRPr="005D7D09">
        <w:rPr>
          <w:rFonts w:ascii="Arial" w:eastAsia="DengXian" w:hAnsi="Arial" w:cs="Arial"/>
          <w:color w:val="212121"/>
          <w:kern w:val="0"/>
          <w:shd w:val="clear" w:color="auto" w:fill="FFFFFF"/>
          <w:lang w:eastAsia="zh-CN"/>
          <w14:ligatures w14:val="none"/>
        </w:rPr>
        <w:t xml:space="preserve"> </w:t>
      </w:r>
    </w:p>
    <w:p w14:paraId="634802CB" w14:textId="66E8A995" w:rsidR="006617EA" w:rsidRPr="00755D2F" w:rsidRDefault="00755D2F" w:rsidP="00755D2F">
      <w:pPr>
        <w:keepNext/>
        <w:keepLines/>
        <w:spacing w:before="240" w:after="0"/>
        <w:outlineLvl w:val="0"/>
        <w:rPr>
          <w:rFonts w:ascii="Arial" w:eastAsia="DengXian Light" w:hAnsi="Arial" w:cs="Arial"/>
          <w:color w:val="2F5496"/>
          <w:kern w:val="0"/>
          <w:sz w:val="24"/>
          <w:szCs w:val="24"/>
          <w:lang w:eastAsia="zh-CN"/>
          <w14:ligatures w14:val="none"/>
        </w:rPr>
      </w:pPr>
      <w:r w:rsidRPr="00755D2F">
        <w:rPr>
          <w:rFonts w:ascii="Arial" w:eastAsia="DengXian Light" w:hAnsi="Arial" w:cs="Arial"/>
          <w:kern w:val="0"/>
          <w:sz w:val="24"/>
          <w:szCs w:val="24"/>
          <w:lang w:eastAsia="zh-CN"/>
          <w14:ligatures w14:val="none"/>
        </w:rPr>
        <w:t>Methodological considerations </w:t>
      </w:r>
    </w:p>
    <w:p w14:paraId="2D1C152E" w14:textId="56B61952" w:rsidR="00755D2F" w:rsidRPr="00755D2F" w:rsidRDefault="00755D2F" w:rsidP="00755D2F">
      <w:pPr>
        <w:spacing w:after="0" w:line="360" w:lineRule="auto"/>
        <w:rPr>
          <w:rFonts w:ascii="Arial" w:eastAsia="DengXian" w:hAnsi="Arial" w:cs="Arial"/>
          <w:kern w:val="0"/>
          <w:sz w:val="24"/>
          <w:szCs w:val="24"/>
          <w:lang w:eastAsia="zh-CN"/>
          <w14:ligatures w14:val="none"/>
        </w:rPr>
      </w:pPr>
      <w:r w:rsidRPr="00755D2F">
        <w:rPr>
          <w:rFonts w:ascii="Arial" w:eastAsia="DengXian" w:hAnsi="Arial" w:cs="Arial"/>
          <w:kern w:val="0"/>
          <w:sz w:val="24"/>
          <w:szCs w:val="24"/>
          <w:lang w:eastAsia="zh-CN"/>
          <w14:ligatures w14:val="none"/>
        </w:rPr>
        <w:t xml:space="preserve">When considering methodological considerations, </w:t>
      </w:r>
      <w:r w:rsidR="00B46CF3" w:rsidRPr="00755D2F">
        <w:rPr>
          <w:rFonts w:ascii="Arial" w:eastAsia="DengXian" w:hAnsi="Arial" w:cs="Arial"/>
          <w:kern w:val="0"/>
          <w:sz w:val="24"/>
          <w:szCs w:val="24"/>
          <w:lang w:eastAsia="zh-CN"/>
          <w14:ligatures w14:val="none"/>
        </w:rPr>
        <w:t>scrutiny</w:t>
      </w:r>
      <w:r w:rsidRPr="00755D2F">
        <w:rPr>
          <w:rFonts w:ascii="Arial" w:eastAsia="DengXian" w:hAnsi="Arial" w:cs="Arial"/>
          <w:kern w:val="0"/>
          <w:sz w:val="24"/>
          <w:szCs w:val="24"/>
          <w:lang w:eastAsia="zh-CN"/>
          <w14:ligatures w14:val="none"/>
        </w:rPr>
        <w:t xml:space="preserve"> to the question should be applied.  As this project is school based and considers how practitioners support children in the early years that are working below expected levels for personal, social and emotional development, “the people who are to be included as participants in the study” (Mukherji and Albon, 2023) will consist primarily of early years practitioners. Reception practitioners are required to consider the Early</w:t>
      </w:r>
      <w:r w:rsidR="00B46CF3">
        <w:rPr>
          <w:rFonts w:ascii="Arial" w:eastAsia="DengXian" w:hAnsi="Arial" w:cs="Arial"/>
          <w:kern w:val="0"/>
          <w:sz w:val="24"/>
          <w:szCs w:val="24"/>
          <w:lang w:eastAsia="zh-CN"/>
          <w14:ligatures w14:val="none"/>
        </w:rPr>
        <w:t xml:space="preserve"> </w:t>
      </w:r>
      <w:r w:rsidRPr="00755D2F">
        <w:rPr>
          <w:rFonts w:ascii="Arial" w:eastAsia="DengXian" w:hAnsi="Arial" w:cs="Arial"/>
          <w:kern w:val="0"/>
          <w:sz w:val="24"/>
          <w:szCs w:val="24"/>
          <w:lang w:eastAsia="zh-CN"/>
          <w14:ligatures w14:val="none"/>
        </w:rPr>
        <w:t xml:space="preserve">Learning </w:t>
      </w:r>
      <w:r w:rsidRPr="00755D2F">
        <w:rPr>
          <w:rFonts w:ascii="Arial" w:eastAsia="DengXian" w:hAnsi="Arial" w:cs="Arial"/>
          <w:kern w:val="0"/>
          <w:sz w:val="24"/>
          <w:szCs w:val="24"/>
          <w:lang w:eastAsia="zh-CN"/>
          <w14:ligatures w14:val="none"/>
        </w:rPr>
        <w:lastRenderedPageBreak/>
        <w:t xml:space="preserve">Goals (ELGs) (DfE, 2023) </w:t>
      </w:r>
      <w:proofErr w:type="gramStart"/>
      <w:r w:rsidRPr="00755D2F">
        <w:rPr>
          <w:rFonts w:ascii="Arial" w:eastAsia="DengXian" w:hAnsi="Arial" w:cs="Arial"/>
          <w:kern w:val="0"/>
          <w:sz w:val="24"/>
          <w:szCs w:val="24"/>
          <w:lang w:eastAsia="zh-CN"/>
          <w14:ligatures w14:val="none"/>
        </w:rPr>
        <w:t>in order to</w:t>
      </w:r>
      <w:proofErr w:type="gramEnd"/>
      <w:r w:rsidRPr="00755D2F">
        <w:rPr>
          <w:rFonts w:ascii="Arial" w:eastAsia="DengXian" w:hAnsi="Arial" w:cs="Arial"/>
          <w:kern w:val="0"/>
          <w:sz w:val="24"/>
          <w:szCs w:val="24"/>
          <w:lang w:eastAsia="zh-CN"/>
          <w14:ligatures w14:val="none"/>
        </w:rPr>
        <w:t xml:space="preserve"> complete a profile assessment of every child’s progress in relation to PSED and share the evidence with Year 1 practitioners to establish continuity and progress. According to the Department for Education (DfE) (2023), practitioners must report a child as "emerging" and explain the assessment process to the Year 1 practitioner if they determine that the child has not, for whatever reason, met an ELG. This will guarantee that every child receives the best assistance available during their year-to-year transition.</w:t>
      </w:r>
    </w:p>
    <w:p w14:paraId="29654ADF"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p>
    <w:p w14:paraId="2DF61997"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r w:rsidRPr="00755D2F">
        <w:rPr>
          <w:rFonts w:ascii="Arial" w:eastAsia="DengXian" w:hAnsi="Arial" w:cs="Arial"/>
          <w:kern w:val="0"/>
          <w:sz w:val="24"/>
          <w:szCs w:val="24"/>
          <w:lang w:eastAsia="zh-CN"/>
          <w14:ligatures w14:val="none"/>
        </w:rPr>
        <w:t>However, a child's learning and development cannot be fully understood based just on the assessment of "emerging" for an ELG at the end of reception. Some children may experience this because they are late bloomers, were born outside of the school year, or missed a significant portion of the Early Years Framework Standards (EYFS) for the previous year. Others may associate this with a suspected or confirmed Special Educational Needs and Disabilities (SEND). The teacher's cumulative knowledge of the student makes it likely that they are aware of the specifics underlying this finding.</w:t>
      </w:r>
      <w:r w:rsidRPr="00755D2F">
        <w:rPr>
          <w:rFonts w:ascii="Arial" w:eastAsia="Times New Roman" w:hAnsi="Arial" w:cs="Arial"/>
          <w:kern w:val="0"/>
          <w:sz w:val="24"/>
          <w:szCs w:val="24"/>
          <w:lang w:eastAsia="en-GB"/>
          <w14:ligatures w14:val="none"/>
        </w:rPr>
        <w:t xml:space="preserve"> </w:t>
      </w:r>
      <w:r w:rsidRPr="00755D2F">
        <w:rPr>
          <w:rFonts w:ascii="Arial" w:eastAsia="DengXian" w:hAnsi="Arial" w:cs="Arial"/>
          <w:kern w:val="0"/>
          <w:sz w:val="24"/>
          <w:szCs w:val="24"/>
          <w:lang w:eastAsia="zh-CN"/>
          <w14:ligatures w14:val="none"/>
        </w:rPr>
        <w:t>When a child receives an EYFS Profile judgement for one or more of the ELGs, the Year 1 teacher should be given additional information about the learning obstacles that have been identified, as well as any effective strategies for assisting the child in overcoming these obstacles</w:t>
      </w:r>
      <w:bookmarkStart w:id="2" w:name="_Hlk166609699"/>
      <w:r w:rsidRPr="00755D2F">
        <w:rPr>
          <w:rFonts w:ascii="Arial" w:eastAsia="DengXian" w:hAnsi="Arial" w:cs="Arial"/>
          <w:kern w:val="0"/>
          <w:sz w:val="24"/>
          <w:szCs w:val="24"/>
          <w:lang w:eastAsia="zh-CN"/>
          <w14:ligatures w14:val="none"/>
        </w:rPr>
        <w:t xml:space="preserve"> (DfE, 2023)</w:t>
      </w:r>
      <w:bookmarkEnd w:id="2"/>
      <w:r w:rsidRPr="00755D2F">
        <w:rPr>
          <w:rFonts w:ascii="Arial" w:eastAsia="DengXian" w:hAnsi="Arial" w:cs="Arial"/>
          <w:kern w:val="0"/>
          <w:sz w:val="24"/>
          <w:szCs w:val="24"/>
          <w:lang w:eastAsia="zh-CN"/>
          <w14:ligatures w14:val="none"/>
        </w:rPr>
        <w:t>.</w:t>
      </w:r>
    </w:p>
    <w:p w14:paraId="554081C2"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p>
    <w:p w14:paraId="26BEC964"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r w:rsidRPr="00755D2F">
        <w:rPr>
          <w:rFonts w:ascii="Arial" w:eastAsia="DengXian" w:hAnsi="Arial" w:cs="Arial"/>
          <w:kern w:val="0"/>
          <w:sz w:val="24"/>
          <w:szCs w:val="24"/>
          <w:lang w:eastAsia="zh-CN"/>
          <w14:ligatures w14:val="none"/>
        </w:rPr>
        <w:t xml:space="preserve">As ELGs are not statutory for children below reception age, pre-school practitioners are not required to formally monitor, assess and report on PSED goals. Therefore, the sample will include Reception and Year 1 practitioners supporting children in developing their PSED. In relation to the type of sampling involved with this research a non-probability would be suitable as the sample includes specific people. </w:t>
      </w:r>
    </w:p>
    <w:p w14:paraId="0040D9F9"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p>
    <w:p w14:paraId="52F6D45C"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r w:rsidRPr="00755D2F">
        <w:rPr>
          <w:rFonts w:ascii="Arial" w:eastAsia="DengXian" w:hAnsi="Arial" w:cs="Arial"/>
          <w:kern w:val="0"/>
          <w:sz w:val="24"/>
          <w:szCs w:val="24"/>
          <w:lang w:eastAsia="zh-CN"/>
          <w14:ligatures w14:val="none"/>
        </w:rPr>
        <w:t xml:space="preserve">Qualitative research methodology was selected due to the need to capture the practitioner’s perspective. This type of data could not be captured using quantitative methods as the research question requires practitioners to describe strategies used to support PSED. This data cannot be captured or demonstrated through statistics. Mukherji and Albon (2023) suggest that “In </w:t>
      </w:r>
      <w:r w:rsidRPr="00755D2F">
        <w:rPr>
          <w:rFonts w:ascii="Arial" w:eastAsia="DengXian" w:hAnsi="Arial" w:cs="Arial"/>
          <w:color w:val="000000"/>
          <w:kern w:val="0"/>
          <w:sz w:val="24"/>
          <w:szCs w:val="24"/>
          <w:lang w:eastAsia="zh-CN"/>
          <w14:ligatures w14:val="none"/>
        </w:rPr>
        <w:t>qualitative</w:t>
      </w:r>
      <w:r w:rsidRPr="00755D2F">
        <w:rPr>
          <w:rFonts w:ascii="Arial" w:eastAsia="DengXian" w:hAnsi="Arial" w:cs="Arial"/>
          <w:kern w:val="0"/>
          <w:sz w:val="24"/>
          <w:szCs w:val="24"/>
          <w:lang w:eastAsia="zh-CN"/>
          <w14:ligatures w14:val="none"/>
        </w:rPr>
        <w:t xml:space="preserve"> studies, the population is likely to be relatively small because the findings of these studies are often designed to apply to a restricted group such as early years setting.” </w:t>
      </w:r>
    </w:p>
    <w:p w14:paraId="623DC262"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p>
    <w:p w14:paraId="76572694"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r w:rsidRPr="00755D2F">
        <w:rPr>
          <w:rFonts w:ascii="Arial" w:eastAsia="DengXian" w:hAnsi="Arial" w:cs="Arial"/>
          <w:kern w:val="0"/>
          <w:sz w:val="24"/>
          <w:szCs w:val="24"/>
          <w:lang w:eastAsia="zh-CN"/>
          <w14:ligatures w14:val="none"/>
        </w:rPr>
        <w:lastRenderedPageBreak/>
        <w:t xml:space="preserve">According to George (2022) one qualitative research approach that uses questioning to get data is the interview. This approach would work well with the research question as it requires the researcher to interview a specific sample. In this instance, Reception and Year 1 practitioners supporting children who are underachieving in their PSED goals. </w:t>
      </w:r>
      <w:r w:rsidRPr="00755D2F">
        <w:rPr>
          <w:rFonts w:ascii="Arial" w:eastAsia="Times New Roman" w:hAnsi="Arial" w:cs="Arial"/>
          <w:kern w:val="0"/>
          <w:sz w:val="24"/>
          <w:szCs w:val="24"/>
          <w:lang w:eastAsia="en-GB"/>
          <w14:ligatures w14:val="none"/>
        </w:rPr>
        <w:t>According to</w:t>
      </w:r>
      <w:r w:rsidRPr="00755D2F">
        <w:rPr>
          <w:rFonts w:ascii="Arial" w:eastAsia="DengXian" w:hAnsi="Arial" w:cs="Arial"/>
          <w:kern w:val="0"/>
          <w:sz w:val="24"/>
          <w:szCs w:val="24"/>
          <w:lang w:eastAsia="zh-CN"/>
          <w14:ligatures w14:val="none"/>
        </w:rPr>
        <w:t xml:space="preserve"> </w:t>
      </w:r>
      <w:r w:rsidRPr="00755D2F">
        <w:rPr>
          <w:rFonts w:ascii="Arial" w:eastAsia="Times New Roman" w:hAnsi="Arial" w:cs="Arial"/>
          <w:kern w:val="0"/>
          <w:sz w:val="24"/>
          <w:szCs w:val="24"/>
          <w:lang w:eastAsia="en-GB"/>
          <w14:ligatures w14:val="none"/>
        </w:rPr>
        <w:t>Mac Naughton and Siraj-Blatchford (2010),</w:t>
      </w:r>
      <w:r w:rsidRPr="00755D2F">
        <w:rPr>
          <w:rFonts w:ascii="Arial" w:eastAsia="DengXian" w:hAnsi="Arial" w:cs="Arial"/>
          <w:kern w:val="0"/>
          <w:sz w:val="24"/>
          <w:szCs w:val="24"/>
          <w:lang w:eastAsia="zh-CN"/>
          <w14:ligatures w14:val="none"/>
        </w:rPr>
        <w:t xml:space="preserve"> </w:t>
      </w:r>
      <w:r w:rsidRPr="00755D2F">
        <w:rPr>
          <w:rFonts w:ascii="Arial" w:eastAsia="Times New Roman" w:hAnsi="Arial" w:cs="Arial"/>
          <w:kern w:val="0"/>
          <w:sz w:val="24"/>
          <w:szCs w:val="24"/>
          <w:lang w:eastAsia="en-GB"/>
          <w14:ligatures w14:val="none"/>
        </w:rPr>
        <w:t xml:space="preserve">qualitative data, such as interviews, may entail fewer participants because each participant contributes a considerable amount of data that must be transcribed. </w:t>
      </w:r>
    </w:p>
    <w:p w14:paraId="086FFB13" w14:textId="77777777" w:rsidR="00755D2F" w:rsidRPr="00755D2F" w:rsidRDefault="00755D2F" w:rsidP="00755D2F">
      <w:pPr>
        <w:spacing w:after="0" w:line="360" w:lineRule="auto"/>
        <w:rPr>
          <w:rFonts w:ascii="Arial" w:eastAsia="Times New Roman" w:hAnsi="Arial" w:cs="Arial"/>
          <w:color w:val="BFBFBF"/>
          <w:kern w:val="0"/>
          <w:sz w:val="24"/>
          <w:szCs w:val="24"/>
          <w:lang w:eastAsia="en-GB"/>
          <w14:ligatures w14:val="none"/>
        </w:rPr>
      </w:pPr>
      <w:r w:rsidRPr="00755D2F">
        <w:rPr>
          <w:rFonts w:ascii="Arial" w:eastAsia="Times New Roman" w:hAnsi="Arial" w:cs="Arial"/>
          <w:kern w:val="0"/>
          <w:sz w:val="24"/>
          <w:szCs w:val="24"/>
          <w:lang w:eastAsia="en-GB"/>
          <w14:ligatures w14:val="none"/>
        </w:rPr>
        <w:t xml:space="preserve"> </w:t>
      </w:r>
    </w:p>
    <w:p w14:paraId="4AFFAC64" w14:textId="77777777" w:rsidR="00755D2F" w:rsidRPr="00755D2F" w:rsidRDefault="00755D2F" w:rsidP="00755D2F">
      <w:pPr>
        <w:spacing w:after="0" w:line="360" w:lineRule="auto"/>
        <w:rPr>
          <w:rFonts w:ascii="Arial" w:eastAsia="Times New Roman" w:hAnsi="Arial" w:cs="Arial"/>
          <w:color w:val="0070C0"/>
          <w:kern w:val="0"/>
          <w:sz w:val="24"/>
          <w:szCs w:val="24"/>
          <w:highlight w:val="yellow"/>
          <w:lang w:eastAsia="en-GB"/>
          <w14:ligatures w14:val="none"/>
        </w:rPr>
      </w:pPr>
      <w:proofErr w:type="gramStart"/>
      <w:r w:rsidRPr="00755D2F">
        <w:rPr>
          <w:rFonts w:ascii="Arial" w:eastAsia="Times New Roman" w:hAnsi="Arial" w:cs="Arial"/>
          <w:kern w:val="0"/>
          <w:sz w:val="24"/>
          <w:szCs w:val="24"/>
          <w:lang w:eastAsia="en-GB"/>
          <w14:ligatures w14:val="none"/>
        </w:rPr>
        <w:t>For the purpose of</w:t>
      </w:r>
      <w:proofErr w:type="gramEnd"/>
      <w:r w:rsidRPr="00755D2F">
        <w:rPr>
          <w:rFonts w:ascii="Arial" w:eastAsia="Times New Roman" w:hAnsi="Arial" w:cs="Arial"/>
          <w:kern w:val="0"/>
          <w:sz w:val="24"/>
          <w:szCs w:val="24"/>
          <w:lang w:eastAsia="en-GB"/>
          <w14:ligatures w14:val="none"/>
        </w:rPr>
        <w:t xml:space="preserve"> the project a suitable sample would consist of six practitioners. Mac Naughton and Siraj-Blatchford (2010) suggest</w:t>
      </w:r>
      <w:r w:rsidRPr="00755D2F">
        <w:rPr>
          <w:rFonts w:ascii="Arial" w:eastAsia="DengXian" w:hAnsi="Arial" w:cs="Arial"/>
          <w:kern w:val="0"/>
          <w:sz w:val="24"/>
          <w:szCs w:val="24"/>
          <w:lang w:eastAsia="zh-CN"/>
          <w14:ligatures w14:val="none"/>
        </w:rPr>
        <w:t xml:space="preserve"> if a large amount of data is collected, even if the focus is restricted, the analysis will become overwhelming. For example, a face to face on site interview may take an hour to plan, an hour for travel, thirty minutes for settling in, and one hour for the interview followed by six hours of transcribing and typically several days to analyse. For this purpose, it would be useful to create a timetable for the duration of the research study to determine the time available for interviews and ensure that enough time is set aside for analysis and writing. </w:t>
      </w:r>
    </w:p>
    <w:p w14:paraId="4D8563C6"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p>
    <w:p w14:paraId="11518EE8" w14:textId="77777777" w:rsidR="00755D2F" w:rsidRPr="00755D2F" w:rsidRDefault="00755D2F" w:rsidP="00755D2F">
      <w:pPr>
        <w:spacing w:after="0" w:line="240" w:lineRule="auto"/>
        <w:rPr>
          <w:rFonts w:ascii="Arial" w:eastAsia="Times New Roman" w:hAnsi="Arial" w:cs="Arial"/>
          <w:kern w:val="0"/>
          <w:sz w:val="24"/>
          <w:szCs w:val="24"/>
          <w:lang w:eastAsia="en-GB"/>
          <w14:ligatures w14:val="none"/>
        </w:rPr>
      </w:pPr>
    </w:p>
    <w:p w14:paraId="00E403F2"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bookmarkStart w:id="3" w:name="_Hlk166916702"/>
      <w:r w:rsidRPr="00755D2F">
        <w:rPr>
          <w:rFonts w:ascii="Arial" w:eastAsia="DengXian" w:hAnsi="Arial" w:cs="Arial"/>
          <w:kern w:val="0"/>
          <w:sz w:val="24"/>
          <w:szCs w:val="24"/>
          <w:lang w:eastAsia="zh-CN"/>
          <w14:ligatures w14:val="none"/>
        </w:rPr>
        <w:t>Walker &amp; Solvason (2014)</w:t>
      </w:r>
      <w:bookmarkEnd w:id="3"/>
      <w:r w:rsidRPr="00755D2F">
        <w:rPr>
          <w:rFonts w:ascii="Arial" w:eastAsia="DengXian" w:hAnsi="Arial" w:cs="Arial"/>
          <w:kern w:val="0"/>
          <w:sz w:val="24"/>
          <w:szCs w:val="24"/>
          <w:lang w:eastAsia="zh-CN"/>
          <w14:ligatures w14:val="none"/>
        </w:rPr>
        <w:t xml:space="preserve"> agree and argue, it is crucial to keep in mind time constraints, restricted funding, and familiarity with the setting when conducting research. To design well, it is important to consider these variables. Although the research project will include a small sample, it has been considered that they might all be employed at the same setting. This might support timetabling of interviews. </w:t>
      </w:r>
      <w:bookmarkStart w:id="4" w:name="_Hlk166917748"/>
      <w:r w:rsidRPr="00755D2F">
        <w:rPr>
          <w:rFonts w:ascii="Arial" w:eastAsia="DengXian" w:hAnsi="Arial" w:cs="Arial"/>
          <w:kern w:val="0"/>
          <w:sz w:val="24"/>
          <w:szCs w:val="24"/>
          <w:lang w:eastAsia="zh-CN"/>
          <w14:ligatures w14:val="none"/>
        </w:rPr>
        <w:t>As highlighted by Walker &amp; Solvason, (2014)</w:t>
      </w:r>
      <w:r w:rsidRPr="00755D2F">
        <w:rPr>
          <w:rFonts w:ascii="Arial" w:eastAsia="Times New Roman" w:hAnsi="Arial" w:cs="Arial"/>
          <w:kern w:val="0"/>
          <w:sz w:val="24"/>
          <w:szCs w:val="24"/>
          <w:lang w:eastAsia="en-GB"/>
          <w14:ligatures w14:val="none"/>
        </w:rPr>
        <w:t xml:space="preserve"> </w:t>
      </w:r>
      <w:bookmarkEnd w:id="4"/>
      <w:r w:rsidRPr="00755D2F">
        <w:rPr>
          <w:rFonts w:ascii="Arial" w:eastAsia="Times New Roman" w:hAnsi="Arial" w:cs="Arial"/>
          <w:kern w:val="0"/>
          <w:sz w:val="24"/>
          <w:szCs w:val="24"/>
          <w:lang w:eastAsia="en-GB"/>
          <w14:ligatures w14:val="none"/>
        </w:rPr>
        <w:t>one</w:t>
      </w:r>
      <w:r w:rsidRPr="00755D2F">
        <w:rPr>
          <w:rFonts w:ascii="Arial" w:eastAsia="DengXian" w:hAnsi="Arial" w:cs="Arial"/>
          <w:kern w:val="0"/>
          <w:sz w:val="24"/>
          <w:szCs w:val="24"/>
          <w:lang w:eastAsia="zh-CN"/>
          <w14:ligatures w14:val="none"/>
        </w:rPr>
        <w:t>-on-one interviews offer several benefits, including adaptability, the ability to follow up on answers, minimal equipment needed, a high response rate, immediate validation of data for relevance and accuracy, and a personal element that can demonstrate credibility. Although a small-scale investigation may yield results unique to the location, they can nevertheless be applicable to others. Although limited to a specific setting, insights may provide ideas to illuminate comparable challenges in other circumstances.</w:t>
      </w:r>
    </w:p>
    <w:p w14:paraId="46780E17"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p>
    <w:p w14:paraId="06C16486"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bookmarkStart w:id="5" w:name="_Hlk166918604"/>
      <w:r w:rsidRPr="00755D2F">
        <w:rPr>
          <w:rFonts w:ascii="Arial" w:eastAsia="DengXian" w:hAnsi="Arial" w:cs="Arial"/>
          <w:kern w:val="0"/>
          <w:sz w:val="24"/>
          <w:szCs w:val="24"/>
          <w:lang w:eastAsia="zh-CN"/>
          <w14:ligatures w14:val="none"/>
        </w:rPr>
        <w:t>According to Walker &amp; Solvason (2014)</w:t>
      </w:r>
      <w:bookmarkEnd w:id="5"/>
      <w:r w:rsidRPr="00755D2F">
        <w:rPr>
          <w:rFonts w:ascii="Arial" w:eastAsia="Times New Roman" w:hAnsi="Arial" w:cs="Arial"/>
          <w:kern w:val="0"/>
          <w:sz w:val="24"/>
          <w:szCs w:val="24"/>
          <w:lang w:eastAsia="en-GB"/>
          <w14:ligatures w14:val="none"/>
        </w:rPr>
        <w:t xml:space="preserve">, the greatest disadvantage of interviews is what is known as the "interviewer effect." </w:t>
      </w:r>
      <w:r w:rsidRPr="00755D2F">
        <w:rPr>
          <w:rFonts w:ascii="Arial" w:eastAsia="DengXian" w:hAnsi="Arial" w:cs="Arial"/>
          <w:kern w:val="0"/>
          <w:sz w:val="24"/>
          <w:szCs w:val="24"/>
          <w:lang w:eastAsia="zh-CN"/>
          <w14:ligatures w14:val="none"/>
        </w:rPr>
        <w:t xml:space="preserve">There is an inherent danger of interviewer </w:t>
      </w:r>
      <w:r w:rsidRPr="00755D2F">
        <w:rPr>
          <w:rFonts w:ascii="Arial" w:eastAsia="DengXian" w:hAnsi="Arial" w:cs="Arial"/>
          <w:kern w:val="0"/>
          <w:sz w:val="24"/>
          <w:szCs w:val="24"/>
          <w:lang w:eastAsia="zh-CN"/>
          <w14:ligatures w14:val="none"/>
        </w:rPr>
        <w:lastRenderedPageBreak/>
        <w:t xml:space="preserve">effect resulting from unintentionally guiding questions, and lower sample sizes can compromise their validity and reliability. </w:t>
      </w:r>
      <w:r w:rsidRPr="00755D2F">
        <w:rPr>
          <w:rFonts w:ascii="Arial" w:eastAsia="Times New Roman" w:hAnsi="Arial" w:cs="Arial"/>
          <w:kern w:val="0"/>
          <w:sz w:val="24"/>
          <w:szCs w:val="24"/>
          <w:lang w:eastAsia="en-GB"/>
          <w14:ligatures w14:val="none"/>
        </w:rPr>
        <w:t xml:space="preserve"> While the interviewees statements provide data on the topic, it is important for the interviewer to recognise that the interviewees practices may differ from the facts supplied. </w:t>
      </w:r>
      <w:r w:rsidRPr="00755D2F">
        <w:rPr>
          <w:rFonts w:ascii="Arial" w:eastAsia="DengXian" w:hAnsi="Arial" w:cs="Arial"/>
          <w:kern w:val="0"/>
          <w:sz w:val="24"/>
          <w:szCs w:val="24"/>
          <w:lang w:eastAsia="zh-CN"/>
          <w14:ligatures w14:val="none"/>
        </w:rPr>
        <w:t xml:space="preserve">Taylor &amp; Francis (2023) refers to this bias as the Hawthorne effect. The use of interviews may increase the probability of politeness bias, which occurs when participants deliver comments that they believe interviewers want to hear. </w:t>
      </w:r>
      <w:r w:rsidRPr="00755D2F">
        <w:rPr>
          <w:rFonts w:ascii="Arial" w:eastAsia="Times New Roman" w:hAnsi="Arial" w:cs="Arial"/>
          <w:kern w:val="0"/>
          <w:sz w:val="24"/>
          <w:szCs w:val="24"/>
          <w:lang w:eastAsia="en-GB"/>
          <w14:ligatures w14:val="none"/>
        </w:rPr>
        <w:t xml:space="preserve"> If the interviewer is unfamiliar with the topic, further probing or extended questioning will not be possible, resulting in a structured approach. However, should the interviewer be familiar with the strategies included in the data, </w:t>
      </w:r>
      <w:proofErr w:type="gramStart"/>
      <w:r w:rsidRPr="00755D2F">
        <w:rPr>
          <w:rFonts w:ascii="Arial" w:eastAsia="Times New Roman" w:hAnsi="Arial" w:cs="Arial"/>
          <w:kern w:val="0"/>
          <w:sz w:val="24"/>
          <w:szCs w:val="24"/>
          <w:lang w:eastAsia="en-GB"/>
          <w14:ligatures w14:val="none"/>
        </w:rPr>
        <w:t>as a result of</w:t>
      </w:r>
      <w:proofErr w:type="gramEnd"/>
      <w:r w:rsidRPr="00755D2F">
        <w:rPr>
          <w:rFonts w:ascii="Arial" w:eastAsia="Times New Roman" w:hAnsi="Arial" w:cs="Arial"/>
          <w:kern w:val="0"/>
          <w:sz w:val="24"/>
          <w:szCs w:val="24"/>
          <w:lang w:eastAsia="en-GB"/>
          <w14:ligatures w14:val="none"/>
        </w:rPr>
        <w:t xml:space="preserve"> work-based experience or having observed within the setting, then applying a semi-structured approach would be beneficial. Indeed, </w:t>
      </w:r>
      <w:bookmarkStart w:id="6" w:name="_Hlk166921019"/>
      <w:bookmarkStart w:id="7" w:name="_Hlk166922618"/>
      <w:r w:rsidRPr="00755D2F">
        <w:rPr>
          <w:rFonts w:ascii="Arial" w:eastAsia="Times New Roman" w:hAnsi="Arial" w:cs="Arial"/>
          <w:kern w:val="0"/>
          <w:sz w:val="24"/>
          <w:szCs w:val="24"/>
          <w:lang w:eastAsia="en-GB"/>
          <w14:ligatures w14:val="none"/>
        </w:rPr>
        <w:t>Mac Naughton and Siraj-Blatchford (2010)</w:t>
      </w:r>
      <w:bookmarkEnd w:id="6"/>
      <w:r w:rsidRPr="00755D2F">
        <w:rPr>
          <w:rFonts w:ascii="Arial" w:eastAsia="Times New Roman" w:hAnsi="Arial" w:cs="Arial"/>
          <w:kern w:val="0"/>
          <w:sz w:val="24"/>
          <w:szCs w:val="24"/>
          <w:lang w:eastAsia="en-GB"/>
          <w14:ligatures w14:val="none"/>
        </w:rPr>
        <w:t xml:space="preserve"> suggest </w:t>
      </w:r>
      <w:bookmarkEnd w:id="7"/>
      <w:r w:rsidRPr="00755D2F">
        <w:rPr>
          <w:rFonts w:ascii="Arial" w:eastAsia="Times New Roman" w:hAnsi="Arial" w:cs="Arial"/>
          <w:kern w:val="0"/>
          <w:sz w:val="24"/>
          <w:szCs w:val="24"/>
          <w:lang w:eastAsia="en-GB"/>
          <w14:ligatures w14:val="none"/>
        </w:rPr>
        <w:t>it is usual to use observations as the starting point for interviews. Whilst interviews serve as a primary data source, observations serve well as prompts.</w:t>
      </w:r>
    </w:p>
    <w:p w14:paraId="443A114A"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p>
    <w:p w14:paraId="02B62EF6"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r w:rsidRPr="00755D2F">
        <w:rPr>
          <w:rFonts w:ascii="Arial" w:eastAsia="DengXian" w:hAnsi="Arial" w:cs="Arial"/>
          <w:kern w:val="0"/>
          <w:sz w:val="24"/>
          <w:szCs w:val="24"/>
          <w:lang w:eastAsia="zh-CN"/>
          <w14:ligatures w14:val="none"/>
        </w:rPr>
        <w:t xml:space="preserve">Bell (1999, cited in Walker &amp; Solvason, 2014) implies that a structured approach would be the best method to use for a first-time interviewer. Walker &amp; Solvason (2014) highlight an additional benefit in that a structured interview approach allows the results to be compared as the interviewer has a particular set of identical questions to ask each participant. </w:t>
      </w:r>
      <w:proofErr w:type="spellStart"/>
      <w:r w:rsidRPr="00755D2F">
        <w:rPr>
          <w:rFonts w:ascii="Arial" w:eastAsia="DengXian" w:hAnsi="Arial" w:cs="Arial"/>
          <w:kern w:val="0"/>
          <w:sz w:val="24"/>
          <w:szCs w:val="24"/>
          <w:lang w:eastAsia="zh-CN"/>
          <w14:ligatures w14:val="none"/>
        </w:rPr>
        <w:t>Wallimann</w:t>
      </w:r>
      <w:proofErr w:type="spellEnd"/>
      <w:r w:rsidRPr="00755D2F">
        <w:rPr>
          <w:rFonts w:ascii="Arial" w:eastAsia="DengXian" w:hAnsi="Arial" w:cs="Arial"/>
          <w:kern w:val="0"/>
          <w:sz w:val="24"/>
          <w:szCs w:val="24"/>
          <w:lang w:eastAsia="zh-CN"/>
          <w14:ligatures w14:val="none"/>
        </w:rPr>
        <w:t xml:space="preserve"> and Buckler (2008, cited in Walker &amp; Solvason, 2014) prefers a semi-structured approach, as there is flexibility in the order the interviewer asks a set of questions, and the possibility of asking supplemental questions and allowing the interviewees to expand their answers. </w:t>
      </w:r>
      <w:r w:rsidRPr="00755D2F">
        <w:rPr>
          <w:rFonts w:ascii="Arial" w:eastAsia="Times New Roman" w:hAnsi="Arial" w:cs="Arial"/>
          <w:kern w:val="0"/>
          <w:sz w:val="24"/>
          <w:szCs w:val="24"/>
          <w:lang w:eastAsia="en-GB"/>
          <w14:ligatures w14:val="none"/>
        </w:rPr>
        <w:t xml:space="preserve">Mac Naughton and Siraj-Blatchford (2010) firmly advocate </w:t>
      </w:r>
      <w:r w:rsidRPr="00755D2F">
        <w:rPr>
          <w:rFonts w:ascii="Arial" w:eastAsia="DengXian" w:hAnsi="Arial" w:cs="Arial"/>
          <w:kern w:val="0"/>
          <w:sz w:val="24"/>
          <w:szCs w:val="24"/>
          <w:lang w:eastAsia="zh-CN"/>
          <w14:ligatures w14:val="none"/>
        </w:rPr>
        <w:t>open-ended questions to elicit more detailed information.</w:t>
      </w:r>
    </w:p>
    <w:p w14:paraId="22343623"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p>
    <w:p w14:paraId="480D9AFC" w14:textId="77777777" w:rsidR="00755D2F" w:rsidRPr="00755D2F" w:rsidRDefault="00755D2F" w:rsidP="00755D2F">
      <w:pPr>
        <w:spacing w:after="0" w:line="360" w:lineRule="auto"/>
        <w:rPr>
          <w:rFonts w:ascii="Arial" w:eastAsia="DengXian" w:hAnsi="Arial" w:cs="Arial"/>
          <w:kern w:val="0"/>
          <w:sz w:val="24"/>
          <w:szCs w:val="24"/>
          <w:lang w:eastAsia="zh-CN"/>
          <w14:ligatures w14:val="none"/>
        </w:rPr>
      </w:pPr>
      <w:r w:rsidRPr="00755D2F">
        <w:rPr>
          <w:rFonts w:ascii="Arial" w:eastAsia="Times New Roman" w:hAnsi="Arial" w:cs="Arial"/>
          <w:kern w:val="0"/>
          <w:sz w:val="24"/>
          <w:szCs w:val="24"/>
          <w:lang w:eastAsia="en-GB"/>
          <w14:ligatures w14:val="none"/>
        </w:rPr>
        <w:t xml:space="preserve">Remote methods of interviewing have developed as important research strategies and has its benefits.   O’Connor and Mage, (2017 cited in Mukherji and Albon, 2023) advocate remote methods of interviewing as it allows participants to either respond in real time (synchronous interviewing) or to respond in their own time (asynchronous interviewing). Another benefit of using a remote platform such as Microsoft Teams is </w:t>
      </w:r>
      <w:r w:rsidRPr="00755D2F">
        <w:rPr>
          <w:rFonts w:ascii="Arial" w:eastAsia="DengXian" w:hAnsi="Arial" w:cs="Arial"/>
          <w:kern w:val="0"/>
          <w:sz w:val="24"/>
          <w:szCs w:val="24"/>
          <w:lang w:eastAsia="zh-CN"/>
          <w14:ligatures w14:val="none"/>
        </w:rPr>
        <w:t xml:space="preserve">the option for recordings to have automatic transcription. Transcription allows users to play back meeting recordings with closed captions and review important discussion items in the transcript. Transcription and captions help </w:t>
      </w:r>
      <w:r w:rsidRPr="00755D2F">
        <w:rPr>
          <w:rFonts w:ascii="Arial" w:eastAsia="DengXian" w:hAnsi="Arial" w:cs="Arial"/>
          <w:kern w:val="0"/>
          <w:sz w:val="24"/>
          <w:szCs w:val="24"/>
          <w:lang w:eastAsia="zh-CN"/>
          <w14:ligatures w14:val="none"/>
        </w:rPr>
        <w:lastRenderedPageBreak/>
        <w:t>create inclusive content for viewers. The transcription is </w:t>
      </w:r>
      <w:hyperlink r:id="rId4" w:anchor="bkmk_how-captions-and-transcripts-are-stored" w:history="1">
        <w:r w:rsidRPr="00755D2F">
          <w:rPr>
            <w:rFonts w:ascii="Arial" w:eastAsia="DengXian" w:hAnsi="Arial" w:cs="Arial"/>
            <w:kern w:val="0"/>
            <w:sz w:val="24"/>
            <w:szCs w:val="24"/>
            <w:lang w:eastAsia="zh-CN"/>
            <w14:ligatures w14:val="none"/>
          </w:rPr>
          <w:t>stored together with the meeting recordings in OneDrive and SharePoint storage</w:t>
        </w:r>
      </w:hyperlink>
      <w:r w:rsidRPr="00755D2F">
        <w:rPr>
          <w:rFonts w:ascii="Arial" w:eastAsia="DengXian" w:hAnsi="Arial" w:cs="Arial"/>
          <w:kern w:val="0"/>
          <w:sz w:val="24"/>
          <w:szCs w:val="24"/>
          <w:lang w:eastAsia="zh-CN"/>
          <w14:ligatures w14:val="none"/>
        </w:rPr>
        <w:t xml:space="preserve">. Another copy is stored in the meeting organiser's Exchange Online account, protected by company security measures (Microsoft, (n.d.) </w:t>
      </w:r>
    </w:p>
    <w:p w14:paraId="4CFF7DDA"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p>
    <w:p w14:paraId="008BF8E7" w14:textId="77777777" w:rsidR="00755D2F" w:rsidRPr="00755D2F" w:rsidRDefault="00755D2F" w:rsidP="00755D2F">
      <w:pPr>
        <w:spacing w:after="0" w:line="360" w:lineRule="auto"/>
        <w:rPr>
          <w:rFonts w:ascii="Arial" w:eastAsia="DengXian" w:hAnsi="Arial" w:cs="Arial"/>
          <w:color w:val="00B050"/>
          <w:kern w:val="0"/>
          <w:sz w:val="24"/>
          <w:szCs w:val="24"/>
          <w:lang w:eastAsia="zh-CN"/>
          <w14:ligatures w14:val="none"/>
        </w:rPr>
      </w:pPr>
    </w:p>
    <w:p w14:paraId="14D86E31"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r w:rsidRPr="00755D2F">
        <w:rPr>
          <w:rFonts w:ascii="Arial" w:eastAsia="DengXian" w:hAnsi="Arial" w:cs="Arial"/>
          <w:kern w:val="0"/>
          <w:sz w:val="24"/>
          <w:szCs w:val="24"/>
          <w:lang w:eastAsia="zh-CN"/>
          <w14:ligatures w14:val="none"/>
        </w:rPr>
        <w:t>The</w:t>
      </w:r>
      <w:r w:rsidRPr="00755D2F">
        <w:rPr>
          <w:rFonts w:ascii="Arial" w:eastAsia="DengXian" w:hAnsi="Arial" w:cs="Arial"/>
          <w:color w:val="00B050"/>
          <w:kern w:val="0"/>
          <w:sz w:val="24"/>
          <w:szCs w:val="24"/>
          <w:lang w:eastAsia="zh-CN"/>
          <w14:ligatures w14:val="none"/>
        </w:rPr>
        <w:t xml:space="preserve"> </w:t>
      </w:r>
      <w:r w:rsidRPr="00755D2F">
        <w:rPr>
          <w:rFonts w:ascii="Arial" w:eastAsia="Times New Roman" w:hAnsi="Arial" w:cs="Arial"/>
          <w:kern w:val="0"/>
          <w:sz w:val="24"/>
          <w:szCs w:val="24"/>
          <w:lang w:eastAsia="en-GB"/>
          <w14:ligatures w14:val="none"/>
        </w:rPr>
        <w:t>initial method of data collection considered was questionnaires. This strategy offers advantages such as anonymity, non-partisanship, and cost effectiveness as outlined by</w:t>
      </w:r>
      <w:r w:rsidRPr="00755D2F">
        <w:rPr>
          <w:rFonts w:ascii="Arial" w:eastAsia="DengXian" w:hAnsi="Arial" w:cs="Arial"/>
          <w:kern w:val="0"/>
          <w:sz w:val="24"/>
          <w:szCs w:val="24"/>
          <w:lang w:eastAsia="zh-CN"/>
          <w14:ligatures w14:val="none"/>
        </w:rPr>
        <w:t xml:space="preserve"> Walker &amp; Solvason (2014).</w:t>
      </w:r>
      <w:r w:rsidRPr="00755D2F">
        <w:rPr>
          <w:rFonts w:ascii="Arial" w:eastAsia="Times New Roman" w:hAnsi="Arial" w:cs="Arial"/>
          <w:kern w:val="0"/>
          <w:sz w:val="24"/>
          <w:szCs w:val="24"/>
          <w:lang w:eastAsia="en-GB"/>
          <w14:ligatures w14:val="none"/>
        </w:rPr>
        <w:t xml:space="preserve"> Potential drawbacks include the likelihood of unreturned questionnaires; questions could be inadequately answered or left out. Furthermore, it is not possible to follow up on crucial topics or ensure the accuracy of the participants' responses. Unless participants complete questionnaires in the presence of the researcher, they are rarely returned. </w:t>
      </w:r>
    </w:p>
    <w:p w14:paraId="4E081116" w14:textId="77777777" w:rsidR="00755D2F" w:rsidRPr="00755D2F" w:rsidRDefault="00755D2F" w:rsidP="00755D2F">
      <w:pPr>
        <w:spacing w:after="0" w:line="360" w:lineRule="auto"/>
        <w:rPr>
          <w:rFonts w:ascii="Arial" w:eastAsia="Times New Roman" w:hAnsi="Arial" w:cs="Arial"/>
          <w:color w:val="00B050"/>
          <w:kern w:val="0"/>
          <w:sz w:val="24"/>
          <w:szCs w:val="24"/>
          <w:lang w:eastAsia="en-GB"/>
          <w14:ligatures w14:val="none"/>
        </w:rPr>
      </w:pPr>
    </w:p>
    <w:p w14:paraId="268462AE" w14:textId="77777777" w:rsidR="00755D2F" w:rsidRPr="00755D2F" w:rsidRDefault="00755D2F" w:rsidP="00755D2F">
      <w:pPr>
        <w:spacing w:after="0" w:line="360" w:lineRule="auto"/>
        <w:rPr>
          <w:rFonts w:ascii="Arial" w:eastAsia="Times New Roman" w:hAnsi="Arial" w:cs="Arial"/>
          <w:color w:val="00B050"/>
          <w:kern w:val="0"/>
          <w:sz w:val="24"/>
          <w:szCs w:val="24"/>
          <w:lang w:eastAsia="en-GB"/>
          <w14:ligatures w14:val="none"/>
        </w:rPr>
      </w:pPr>
      <w:r w:rsidRPr="00755D2F">
        <w:rPr>
          <w:rFonts w:ascii="Arial" w:eastAsia="DengXian" w:hAnsi="Arial" w:cs="Arial"/>
          <w:kern w:val="0"/>
          <w:sz w:val="24"/>
          <w:szCs w:val="24"/>
          <w:lang w:eastAsia="zh-CN"/>
          <w14:ligatures w14:val="none"/>
        </w:rPr>
        <w:t>Observation was also a considered</w:t>
      </w:r>
      <w:r w:rsidRPr="00755D2F">
        <w:rPr>
          <w:rFonts w:ascii="Arial" w:eastAsia="Times New Roman" w:hAnsi="Arial" w:cs="Arial"/>
          <w:kern w:val="0"/>
          <w:sz w:val="24"/>
          <w:szCs w:val="24"/>
          <w:lang w:eastAsia="en-GB"/>
          <w14:ligatures w14:val="none"/>
        </w:rPr>
        <w:t xml:space="preserve"> method of data collection for the project. Although observation is a relatively simple strategy and is frequently used in early childhood care and education, it is by no means an easy talent to learn according to Mukherji and Albon (2022).  The methods require the interviewer to write down exactly what they see and hear as it happens. Should observation be considered as part of this project the research question requires the researcher to observe practitioners as the focus is on strategies. Therefore, -the information gleaned would relate to developing a better understanding of the strategies (discussed at interview) rather than any new information. In terms of the ethical consideration involved with gaining consent of all present within the observed setting, this was not considered as a valuable source of research. </w:t>
      </w:r>
    </w:p>
    <w:p w14:paraId="3FCA7BBC"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p>
    <w:p w14:paraId="55EDE1E0" w14:textId="77777777" w:rsidR="00C65C46" w:rsidRDefault="00755D2F" w:rsidP="0038036C">
      <w:pPr>
        <w:spacing w:after="0" w:line="360" w:lineRule="auto"/>
        <w:rPr>
          <w:rFonts w:ascii="Arial" w:eastAsia="Times New Roman" w:hAnsi="Arial" w:cs="Arial"/>
          <w:kern w:val="0"/>
          <w:sz w:val="24"/>
          <w:szCs w:val="24"/>
          <w:lang w:eastAsia="en-GB"/>
          <w14:ligatures w14:val="none"/>
        </w:rPr>
      </w:pPr>
      <w:r w:rsidRPr="00755D2F">
        <w:rPr>
          <w:rFonts w:ascii="Arial" w:eastAsia="DengXian" w:hAnsi="Arial" w:cs="Arial"/>
          <w:kern w:val="0"/>
          <w:sz w:val="24"/>
          <w:szCs w:val="24"/>
          <w:lang w:eastAsia="zh-CN"/>
          <w14:ligatures w14:val="none"/>
        </w:rPr>
        <w:t>Consideration was given to observation and questionnaires as additional research methods which would support triangulation of data. According to Walker &amp; Solvason (2014)</w:t>
      </w:r>
      <w:r w:rsidRPr="00755D2F">
        <w:rPr>
          <w:rFonts w:ascii="Arial" w:eastAsia="Times New Roman" w:hAnsi="Arial" w:cs="Arial"/>
          <w:kern w:val="0"/>
          <w:sz w:val="24"/>
          <w:szCs w:val="24"/>
          <w:lang w:eastAsia="en-GB"/>
          <w14:ligatures w14:val="none"/>
        </w:rPr>
        <w:t xml:space="preserve"> triangulation is beneficial as it uses more than one approach, demonstrating corroboration of evidence hence more likely to be valid. Triangulating methodologies will strengthen study design, allowing outcomes to be perceived as reliable. However, triangulation was not deemed suitable for consideration within this research project as the research methodology was solely based on interviews with practitioners.</w:t>
      </w:r>
    </w:p>
    <w:p w14:paraId="61C3ABB5" w14:textId="1B6DB462"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423AD0">
        <w:rPr>
          <w:rFonts w:ascii="Arial" w:eastAsia="Times New Roman" w:hAnsi="Arial" w:cs="Arial"/>
          <w:kern w:val="0"/>
          <w:sz w:val="24"/>
          <w:szCs w:val="24"/>
          <w:lang w:eastAsia="en-GB"/>
          <w14:ligatures w14:val="none"/>
        </w:rPr>
        <w:lastRenderedPageBreak/>
        <w:t xml:space="preserve">Ethical considerations </w:t>
      </w:r>
    </w:p>
    <w:p w14:paraId="2A9F2C13"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bookmarkStart w:id="8" w:name="_Hlk167300922"/>
      <w:r w:rsidRPr="0038036C">
        <w:rPr>
          <w:rFonts w:ascii="Arial" w:eastAsia="Times New Roman" w:hAnsi="Arial" w:cs="Arial"/>
          <w:kern w:val="0"/>
          <w:sz w:val="24"/>
          <w:szCs w:val="24"/>
          <w:lang w:eastAsia="en-GB"/>
          <w14:ligatures w14:val="none"/>
        </w:rPr>
        <w:t>The British Educational Research Association (BERA) (2024</w:t>
      </w:r>
      <w:bookmarkEnd w:id="8"/>
      <w:r w:rsidRPr="0038036C">
        <w:rPr>
          <w:rFonts w:ascii="Arial" w:eastAsia="Times New Roman" w:hAnsi="Arial" w:cs="Arial"/>
          <w:kern w:val="0"/>
          <w:sz w:val="24"/>
          <w:szCs w:val="24"/>
          <w:lang w:eastAsia="en-GB"/>
          <w14:ligatures w14:val="none"/>
        </w:rPr>
        <w:t xml:space="preserve">) provides guidelines for educational research in general with standards that are straightforward and useful to anybody conducting educational research, including those new to the area, as is the current position of the researcher related to this research project. </w:t>
      </w:r>
    </w:p>
    <w:p w14:paraId="376AAF44"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12D29FCB"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bookmarkStart w:id="9" w:name="_Hlk167463273"/>
      <w:r w:rsidRPr="0038036C">
        <w:rPr>
          <w:rFonts w:ascii="Arial" w:eastAsia="Times New Roman" w:hAnsi="Arial" w:cs="Arial"/>
          <w:kern w:val="0"/>
          <w:sz w:val="24"/>
          <w:szCs w:val="24"/>
          <w:lang w:eastAsia="en-GB"/>
          <w14:ligatures w14:val="none"/>
        </w:rPr>
        <w:t xml:space="preserve">BERA (2024) </w:t>
      </w:r>
      <w:bookmarkEnd w:id="9"/>
      <w:r w:rsidRPr="0038036C">
        <w:rPr>
          <w:rFonts w:ascii="Arial" w:eastAsia="Times New Roman" w:hAnsi="Arial" w:cs="Arial"/>
          <w:kern w:val="0"/>
          <w:sz w:val="24"/>
          <w:szCs w:val="24"/>
          <w:lang w:eastAsia="en-GB"/>
          <w14:ligatures w14:val="none"/>
        </w:rPr>
        <w:t xml:space="preserve">explains the need for consent. </w:t>
      </w:r>
      <w:r w:rsidRPr="0038036C">
        <w:rPr>
          <w:rFonts w:ascii="Arial" w:eastAsia="Times New Roman" w:hAnsi="Arial" w:cs="Arial"/>
          <w:kern w:val="0"/>
          <w:sz w:val="24"/>
          <w:szCs w:val="24"/>
          <w:lang w:val="cy-GB" w:eastAsia="en-GB"/>
          <w14:ligatures w14:val="none"/>
        </w:rPr>
        <w:t>Mac Naughton and Siraj-Blatchford ( 2010)</w:t>
      </w:r>
      <w:r w:rsidRPr="0038036C">
        <w:rPr>
          <w:rFonts w:ascii="Arial" w:eastAsia="Times New Roman" w:hAnsi="Arial" w:cs="Arial"/>
          <w:kern w:val="0"/>
          <w:sz w:val="24"/>
          <w:szCs w:val="24"/>
          <w:lang w:eastAsia="en-GB"/>
          <w14:ligatures w14:val="none"/>
        </w:rPr>
        <w:t xml:space="preserve"> explain not all early childhood research involves the use of children as participants. Much early childhood research focuses on early childhood staff, parents, and other adults, but </w:t>
      </w:r>
      <w:proofErr w:type="gramStart"/>
      <w:r w:rsidRPr="0038036C">
        <w:rPr>
          <w:rFonts w:ascii="Arial" w:eastAsia="Times New Roman" w:hAnsi="Arial" w:cs="Arial"/>
          <w:kern w:val="0"/>
          <w:sz w:val="24"/>
          <w:szCs w:val="24"/>
          <w:lang w:eastAsia="en-GB"/>
          <w14:ligatures w14:val="none"/>
        </w:rPr>
        <w:t>the majority of</w:t>
      </w:r>
      <w:proofErr w:type="gramEnd"/>
      <w:r w:rsidRPr="0038036C">
        <w:rPr>
          <w:rFonts w:ascii="Arial" w:eastAsia="Times New Roman" w:hAnsi="Arial" w:cs="Arial"/>
          <w:kern w:val="0"/>
          <w:sz w:val="24"/>
          <w:szCs w:val="24"/>
          <w:lang w:eastAsia="en-GB"/>
          <w14:ligatures w14:val="none"/>
        </w:rPr>
        <w:t xml:space="preserve"> research does involve children's participation. Children, however, cannot give consent under the legal definition of informed consent, although a child's legal guardian may consent on his or her behalf.</w:t>
      </w:r>
    </w:p>
    <w:p w14:paraId="3548EB4A"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In relation to this research project consent would apply to the sample which will include Reception and Year 1 practitioners. As the project involves researching strategies that practitioners use to support children in the early years that are working below expected levels for personal, social and emotional development, children are not directly involved with the research question, therefore, their consent will not be required. </w:t>
      </w:r>
    </w:p>
    <w:p w14:paraId="497746BB"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bookmarkStart w:id="10" w:name="_Hlk167464780"/>
    </w:p>
    <w:p w14:paraId="7FE14D65"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According to BERA (2024)</w:t>
      </w:r>
      <w:bookmarkEnd w:id="10"/>
      <w:r w:rsidRPr="0038036C">
        <w:rPr>
          <w:rFonts w:ascii="Arial" w:eastAsia="Times New Roman" w:hAnsi="Arial" w:cs="Arial"/>
          <w:kern w:val="0"/>
          <w:sz w:val="24"/>
          <w:szCs w:val="24"/>
          <w:lang w:eastAsia="en-GB"/>
          <w14:ligatures w14:val="none"/>
        </w:rPr>
        <w:t xml:space="preserve"> normally, participants' voluntarily informed agreement to participate in a study is obtained at the beginning of the project; nevertheless, researchers will remain sensitive and open to the possibility that participants may decide to withdraw their consent for any reason and at any time. The Association considers voluntarily informed and ongoing consent to be the condition under which participants understand and agree to their involvement, as well as the terms and practicalities thereof, without compulsion. Participants should understand that they can withdraw at any time without justification. Researchers should be aware of nonverbal cues indicating that people who previously agreed to participate may no longer want to. In such cases, renewed consent should be obtained.</w:t>
      </w:r>
    </w:p>
    <w:p w14:paraId="01631741"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517FB9F5"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Researchers should acknowledge that all participants have the right to withdraw from the study for any reason, and participants should be made aware of this right and how to use it according to BERA (2024). In most cases, the researchers should simply accept a participant's decision to withdraw, but there are some circumstances </w:t>
      </w:r>
      <w:r w:rsidRPr="0038036C">
        <w:rPr>
          <w:rFonts w:ascii="Arial" w:eastAsia="Times New Roman" w:hAnsi="Arial" w:cs="Arial"/>
          <w:kern w:val="0"/>
          <w:sz w:val="24"/>
          <w:szCs w:val="24"/>
          <w:lang w:eastAsia="en-GB"/>
          <w14:ligatures w14:val="none"/>
        </w:rPr>
        <w:lastRenderedPageBreak/>
        <w:t>in which researchers can discuss with the participant whether a course of action that would allow the participant to re-engage is appropriate.</w:t>
      </w:r>
    </w:p>
    <w:p w14:paraId="2C0DBF54"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2671B7DC"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Researchers should respect the privacy of both institutions, the schools in this instance, and individual participants namely the Reception and Year 1 practitioners when undertaking research. Researchers should adequately explain how and why they use anonymization, pseudonymisation, or 'fictionalising' procedures when reporting. In relation to this guidance the researcher will refrain from including names of school or schools within the project and will use the term ‘Participant 1, 2, 3,4, 5, 6’ when referring to the interviewees. This will be explained to the interviewees prior to interviewing.  In certain cases, participants, guardians, or responsible parties may willingly forgo their right to secrecy and anonymity. In an attempt to show </w:t>
      </w:r>
      <w:proofErr w:type="gramStart"/>
      <w:r w:rsidRPr="0038036C">
        <w:rPr>
          <w:rFonts w:ascii="Arial" w:eastAsia="Times New Roman" w:hAnsi="Arial" w:cs="Arial"/>
          <w:kern w:val="0"/>
          <w:sz w:val="24"/>
          <w:szCs w:val="24"/>
          <w:lang w:eastAsia="en-GB"/>
          <w14:ligatures w14:val="none"/>
        </w:rPr>
        <w:t>openness</w:t>
      </w:r>
      <w:proofErr w:type="gramEnd"/>
      <w:r w:rsidRPr="0038036C">
        <w:rPr>
          <w:rFonts w:ascii="Arial" w:eastAsia="Times New Roman" w:hAnsi="Arial" w:cs="Arial"/>
          <w:kern w:val="0"/>
          <w:sz w:val="24"/>
          <w:szCs w:val="24"/>
          <w:lang w:eastAsia="en-GB"/>
          <w14:ligatures w14:val="none"/>
        </w:rPr>
        <w:t xml:space="preserve"> the information sheet or contract, according to BERA (2024) often includes methodology, reporting processes, publication and dissemination strategies, as well as the researcher's name and permission to independently publish findings. However, before publishing research findings, it is important to anticipate predicted outcomes. It would be good practice to offer to share the findings/ results directly with the school once the research process has been completed. </w:t>
      </w:r>
    </w:p>
    <w:p w14:paraId="73A72B31"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6F30E072"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BERA (2024) stress researchers' responsibility to protect and promote the rights of participants, including marginalised and vulnerable groups, to ensure inclusivity. Assent is now included alongside consent. The amended standards recognise the importance of research in promoting environmental sustainability, building on BERA's previous efforts. When an organisation shares data with researchers, they must account for how and with what consent the data was gathered. They must also consider the authorship and ownership of the data, and if necessary, seek consent from relevant individuals before using it. It is important for researchers to stay current on data use policies and guidance, which vary by jurisdiction.</w:t>
      </w:r>
    </w:p>
    <w:p w14:paraId="411F7A1D"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6F9C7862"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To comply with UK data privacy laws, companies must follow the Data Protection Act 2018 and related regulations, including post-Brexit amendments according to BERA (2024). Researchers must obtain participants' explicit permission before collecting, storing, and disclosing personal information to third parties. Ethical research requires proper treatment of participant data. </w:t>
      </w:r>
    </w:p>
    <w:p w14:paraId="60C33D3D"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3D112DE5"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For interviewing purposes, the researcher is required to manage information and knowledge sharing as advised by University of Wales Trinity Saint David (UWTSD) (2022).  All research data and intellectual property must be processed in line with the UWTSD Research Data Management Policy and the Staff IP Policy, with due regard for the need to protect information and knowledge exchange, cyber security, and access control. When using a shared platform for information exchange, such as Microsoft Teams in this instance, sensitive data should be securely stored and logically isolated to ensure only allowed users have access. Access to sensitive data should only be granted to persons who have a clear need for it, and only for the </w:t>
      </w:r>
      <w:proofErr w:type="gramStart"/>
      <w:r w:rsidRPr="0038036C">
        <w:rPr>
          <w:rFonts w:ascii="Arial" w:eastAsia="Times New Roman" w:hAnsi="Arial" w:cs="Arial"/>
          <w:kern w:val="0"/>
          <w:sz w:val="24"/>
          <w:szCs w:val="24"/>
          <w:lang w:eastAsia="en-GB"/>
          <w14:ligatures w14:val="none"/>
        </w:rPr>
        <w:t>time period</w:t>
      </w:r>
      <w:proofErr w:type="gramEnd"/>
      <w:r w:rsidRPr="0038036C">
        <w:rPr>
          <w:rFonts w:ascii="Arial" w:eastAsia="Times New Roman" w:hAnsi="Arial" w:cs="Arial"/>
          <w:kern w:val="0"/>
          <w:sz w:val="24"/>
          <w:szCs w:val="24"/>
          <w:lang w:eastAsia="en-GB"/>
          <w14:ligatures w14:val="none"/>
        </w:rPr>
        <w:t xml:space="preserve"> specified. Clear data management and usage guidelines should be included in a Collaboration Agreement or Data Sharing Agreement to ensure all parties understand and agree before sharing information. </w:t>
      </w:r>
    </w:p>
    <w:p w14:paraId="571A70C6"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2C6539D1" w14:textId="5B6151E8"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According to </w:t>
      </w:r>
      <w:r w:rsidRPr="0038036C">
        <w:rPr>
          <w:rFonts w:ascii="Arial" w:eastAsia="Times New Roman" w:hAnsi="Arial" w:cs="Arial"/>
          <w:kern w:val="0"/>
          <w:sz w:val="24"/>
          <w:szCs w:val="24"/>
          <w:lang w:val="cy-GB" w:eastAsia="en-GB"/>
          <w14:ligatures w14:val="none"/>
        </w:rPr>
        <w:t xml:space="preserve">Mac Naughton and Siraj-Blatchford </w:t>
      </w:r>
      <w:r w:rsidR="00423AD0" w:rsidRPr="0038036C">
        <w:rPr>
          <w:rFonts w:ascii="Arial" w:eastAsia="Times New Roman" w:hAnsi="Arial" w:cs="Arial"/>
          <w:kern w:val="0"/>
          <w:sz w:val="24"/>
          <w:szCs w:val="24"/>
          <w:lang w:val="cy-GB" w:eastAsia="en-GB"/>
          <w14:ligatures w14:val="none"/>
        </w:rPr>
        <w:t>(2010</w:t>
      </w:r>
      <w:r w:rsidRPr="0038036C">
        <w:rPr>
          <w:rFonts w:ascii="Arial" w:eastAsia="Times New Roman" w:hAnsi="Arial" w:cs="Arial"/>
          <w:kern w:val="0"/>
          <w:sz w:val="24"/>
          <w:szCs w:val="24"/>
          <w:lang w:val="cy-GB" w:eastAsia="en-GB"/>
          <w14:ligatures w14:val="none"/>
        </w:rPr>
        <w:t>)</w:t>
      </w:r>
      <w:r w:rsidRPr="0038036C">
        <w:rPr>
          <w:rFonts w:ascii="Arial" w:eastAsia="Times New Roman" w:hAnsi="Arial" w:cs="Arial"/>
          <w:kern w:val="0"/>
          <w:sz w:val="24"/>
          <w:szCs w:val="24"/>
          <w:lang w:eastAsia="en-GB"/>
          <w14:ligatures w14:val="none"/>
        </w:rPr>
        <w:t xml:space="preserve"> when accepting a research study, the risk/benefit equation is an important component to consider when making ethical decisions. The concept is that the greater the value to be achieved from a piece of research, the more risks are acceptable. According to BERA (2024) protecting researchers' physical and psychological well-being is part of the ethical responsibilities of employers, sponsors, and researchers themselves. In general, researchers should follow a code of conduct that includes self-care. Safety can be a major issue in certain scenarios, such as when conducting fieldwork in potentially dangerous areas. Researchers should be aware of their legal responsibilities as well as institutions' moral obligations to ensure the safety of their employees and students. Institutions, sponsors, and independent researchers should consider whether an in-depth risk assessment and ongoing monitoring of researcher safety is necessary, particularly for those conducting fieldwork, working in certain jurisdictions, and/or investigating sensitive issues; this may be required by employers and sponsors. Researchers entering conflict or post-conflict contexts, or locations with high levels of infection or other dangers, should be provided with specialised training.</w:t>
      </w:r>
    </w:p>
    <w:p w14:paraId="4267D141"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23D38BA6"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Psychological dangers associated with children's research range from short to long-term emotional distress, as well as disruptions in family connections. According to NSPCC (2023) researchers should ensure that there is a balance between the </w:t>
      </w:r>
      <w:r w:rsidRPr="0038036C">
        <w:rPr>
          <w:rFonts w:ascii="Arial" w:eastAsia="Times New Roman" w:hAnsi="Arial" w:cs="Arial"/>
          <w:kern w:val="0"/>
          <w:sz w:val="24"/>
          <w:szCs w:val="24"/>
          <w:lang w:eastAsia="en-GB"/>
          <w14:ligatures w14:val="none"/>
        </w:rPr>
        <w:lastRenderedPageBreak/>
        <w:t xml:space="preserve">demands of the study, the need to hear children's voices, and the need to reduce the risk of harm; assess whether the research poses any danger of harm to the children or researchers. Research should not cause any more stress than is frequently experienced in daily life. The research may arouse, activate, or unearth sentiments or memories, and youngsters may be concerned about how the researchers will react to the information they have provided. The impact of these concerns can be influenced by a variety of circumstances, including the children's age and fragility. The sensitivity of the research topic determines how the research is collected. If researchers are affected by what is mentioned during the sessions, they should seek supervision with their management. It may also be beneficial to direct children to the NSPCC helpline to discuss any concerns they may have. Research University course supervisors must guarantee that the researcher's safety is prioritised, especially when working alone. This project does not focus on gathering data from children; therefore, such risks are mitigated. </w:t>
      </w:r>
    </w:p>
    <w:p w14:paraId="05A11B67"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10A4E575" w14:textId="5747AB65"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When considering the element of risk involved with research practice, Howard (2008) emphasises the importance </w:t>
      </w:r>
      <w:r w:rsidR="00423AD0" w:rsidRPr="0038036C">
        <w:rPr>
          <w:rFonts w:ascii="Arial" w:eastAsia="Times New Roman" w:hAnsi="Arial" w:cs="Arial"/>
          <w:kern w:val="0"/>
          <w:sz w:val="24"/>
          <w:szCs w:val="24"/>
          <w:lang w:eastAsia="en-GB"/>
          <w14:ligatures w14:val="none"/>
        </w:rPr>
        <w:t>of validation</w:t>
      </w:r>
      <w:r w:rsidRPr="0038036C">
        <w:rPr>
          <w:rFonts w:ascii="Arial" w:eastAsia="Times New Roman" w:hAnsi="Arial" w:cs="Arial"/>
          <w:kern w:val="0"/>
          <w:sz w:val="24"/>
          <w:szCs w:val="24"/>
          <w:lang w:eastAsia="en-GB"/>
          <w14:ligatures w14:val="none"/>
        </w:rPr>
        <w:t xml:space="preserve">, the process by which any data collection equipment, including questionnaires are evaluated for their dependability. Validating questionnaires is problematic because to their subjective nature, which can be influenced by several factors beyond one's control. There are various aspects to validity, including the degree to which a questionnaire accurately represents reality. </w:t>
      </w:r>
    </w:p>
    <w:p w14:paraId="21038555"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1F1EE0D4"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Research integrity, according to UWTSD (2022), depends on both scientific rigour and ethical appropriateness. Ethical dilemmas are diverse and complex. Human-participant research is conducted across various subjects and institutions. All study should follow ethical guidelines to protect human participants, including those unique to professional groups. Researchers must consider the risks and advantages. While physically invasive techniques are easily described in medical research, defining danger in social research might be more challenging. Questionnaires, observations, and interviews can all be intrusive and cause participants to feel anxious, or worse, put them at risk psychologically. The interpersonal relationship and trust the interviewer develops with respondents, known as "interviewee rapport" (Abbe and Brandon, 2014), is central to successful data collection.  It is the art of creating a </w:t>
      </w:r>
      <w:r w:rsidRPr="0038036C">
        <w:rPr>
          <w:rFonts w:ascii="Arial" w:eastAsia="Times New Roman" w:hAnsi="Arial" w:cs="Arial"/>
          <w:kern w:val="0"/>
          <w:sz w:val="24"/>
          <w:szCs w:val="24"/>
          <w:lang w:eastAsia="en-GB"/>
          <w14:ligatures w14:val="none"/>
        </w:rPr>
        <w:lastRenderedPageBreak/>
        <w:t xml:space="preserve">genuine and comfortable environment in which subjects can open, express their perspectives, and engage in meaningful discourse. </w:t>
      </w:r>
    </w:p>
    <w:p w14:paraId="7EA3DB69"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 xml:space="preserve">Rapport has several good consequences on interviewing. Rapport, defined here as a smooth, good interpersonal contact, can increase the amount of information offered by respondents, build confidence, and result in more cooperation and speedier collection of data. </w:t>
      </w:r>
    </w:p>
    <w:p w14:paraId="6F254666" w14:textId="77777777" w:rsidR="0038036C" w:rsidRPr="0038036C" w:rsidRDefault="0038036C" w:rsidP="0038036C">
      <w:pPr>
        <w:spacing w:after="0" w:line="360" w:lineRule="auto"/>
        <w:rPr>
          <w:rFonts w:ascii="Arial" w:eastAsia="Times New Roman" w:hAnsi="Arial" w:cs="Arial"/>
          <w:kern w:val="0"/>
          <w:sz w:val="24"/>
          <w:szCs w:val="24"/>
          <w:lang w:eastAsia="en-GB"/>
          <w14:ligatures w14:val="none"/>
        </w:rPr>
      </w:pPr>
    </w:p>
    <w:p w14:paraId="040AAF9E" w14:textId="77777777" w:rsidR="0038036C" w:rsidRDefault="0038036C" w:rsidP="0038036C">
      <w:pPr>
        <w:spacing w:after="0" w:line="360" w:lineRule="auto"/>
        <w:rPr>
          <w:rFonts w:ascii="Arial" w:eastAsia="Times New Roman" w:hAnsi="Arial" w:cs="Arial"/>
          <w:kern w:val="0"/>
          <w:sz w:val="24"/>
          <w:szCs w:val="24"/>
          <w:lang w:eastAsia="en-GB"/>
          <w14:ligatures w14:val="none"/>
        </w:rPr>
      </w:pPr>
      <w:r w:rsidRPr="0038036C">
        <w:rPr>
          <w:rFonts w:ascii="Arial" w:eastAsia="Times New Roman" w:hAnsi="Arial" w:cs="Arial"/>
          <w:kern w:val="0"/>
          <w:sz w:val="24"/>
          <w:szCs w:val="24"/>
          <w:lang w:eastAsia="en-GB"/>
          <w14:ligatures w14:val="none"/>
        </w:rPr>
        <w:t>To conclude, researchers have a personal and moral responsibility to respect the rights of the subjects they investigate and protecting participants' physical, social, and psychological well-being throughout study. So, while researchers are committed to the progress of knowledge, the objective of the research does not grant a right to overrule the rights of others</w:t>
      </w:r>
      <w:bookmarkStart w:id="11" w:name="_Hlk167114545"/>
      <w:r w:rsidRPr="0038036C">
        <w:rPr>
          <w:rFonts w:ascii="Arial" w:eastAsia="Times New Roman" w:hAnsi="Arial" w:cs="Arial"/>
          <w:kern w:val="0"/>
          <w:sz w:val="24"/>
          <w:szCs w:val="24"/>
          <w:lang w:eastAsia="en-GB"/>
          <w14:ligatures w14:val="none"/>
        </w:rPr>
        <w:t xml:space="preserve"> (UWTSD, 2022).</w:t>
      </w:r>
      <w:bookmarkEnd w:id="11"/>
    </w:p>
    <w:p w14:paraId="52BF849D" w14:textId="77777777" w:rsidR="004101EC" w:rsidRDefault="004101EC" w:rsidP="0038036C">
      <w:pPr>
        <w:spacing w:after="0" w:line="360" w:lineRule="auto"/>
        <w:rPr>
          <w:rFonts w:ascii="Arial" w:eastAsia="Times New Roman" w:hAnsi="Arial" w:cs="Arial"/>
          <w:kern w:val="0"/>
          <w:sz w:val="24"/>
          <w:szCs w:val="24"/>
          <w:lang w:eastAsia="en-GB"/>
          <w14:ligatures w14:val="none"/>
        </w:rPr>
      </w:pPr>
    </w:p>
    <w:p w14:paraId="374F7D59" w14:textId="77777777" w:rsidR="004101EC" w:rsidRDefault="004101EC" w:rsidP="0038036C">
      <w:pPr>
        <w:spacing w:after="0" w:line="360" w:lineRule="auto"/>
        <w:rPr>
          <w:rFonts w:ascii="Arial" w:eastAsia="Times New Roman" w:hAnsi="Arial" w:cs="Arial"/>
          <w:kern w:val="0"/>
          <w:sz w:val="24"/>
          <w:szCs w:val="24"/>
          <w:lang w:eastAsia="en-GB"/>
          <w14:ligatures w14:val="none"/>
        </w:rPr>
      </w:pPr>
    </w:p>
    <w:p w14:paraId="56911A97"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Reference list</w:t>
      </w:r>
    </w:p>
    <w:p w14:paraId="17B5F5C3"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Abbe, Allison &amp; Brandon, Sussan. (2014). Building and maintaining rapport in investigative interviews. Police Practice and Research.DOI:</w:t>
      </w:r>
      <w:hyperlink r:id="rId5" w:tgtFrame="_blank" w:history="1">
        <w:r w:rsidRPr="00867343">
          <w:rPr>
            <w:rStyle w:val="Hyperlink"/>
            <w:rFonts w:ascii="Arial" w:eastAsia="Times New Roman" w:hAnsi="Arial" w:cs="Arial"/>
            <w:kern w:val="0"/>
            <w:sz w:val="24"/>
            <w:szCs w:val="24"/>
            <w:lang w:eastAsia="en-GB"/>
            <w14:ligatures w14:val="none"/>
          </w:rPr>
          <w:t>10.1080/15614263.2013.827835</w:t>
        </w:r>
      </w:hyperlink>
    </w:p>
    <w:p w14:paraId="43EBE3C0"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p>
    <w:p w14:paraId="3AA20AB0"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Aubrey, C., &amp; Ward, K. (2013). Early years practitioners’ views on early personal, social and emotional development. </w:t>
      </w:r>
      <w:r w:rsidRPr="00867343">
        <w:rPr>
          <w:rFonts w:ascii="Arial" w:eastAsia="Times New Roman" w:hAnsi="Arial" w:cs="Arial"/>
          <w:i/>
          <w:iCs/>
          <w:kern w:val="0"/>
          <w:sz w:val="24"/>
          <w:szCs w:val="24"/>
          <w:lang w:eastAsia="en-GB"/>
          <w14:ligatures w14:val="none"/>
        </w:rPr>
        <w:t>Emotional and Behavioural Difficulties</w:t>
      </w:r>
      <w:r w:rsidRPr="00867343">
        <w:rPr>
          <w:rFonts w:ascii="Arial" w:eastAsia="Times New Roman" w:hAnsi="Arial" w:cs="Arial"/>
          <w:kern w:val="0"/>
          <w:sz w:val="24"/>
          <w:szCs w:val="24"/>
          <w:lang w:eastAsia="en-GB"/>
          <w14:ligatures w14:val="none"/>
        </w:rPr>
        <w:t>, </w:t>
      </w:r>
      <w:r w:rsidRPr="00867343">
        <w:rPr>
          <w:rFonts w:ascii="Arial" w:eastAsia="Times New Roman" w:hAnsi="Arial" w:cs="Arial"/>
          <w:i/>
          <w:iCs/>
          <w:kern w:val="0"/>
          <w:sz w:val="24"/>
          <w:szCs w:val="24"/>
          <w:lang w:eastAsia="en-GB"/>
          <w14:ligatures w14:val="none"/>
        </w:rPr>
        <w:t>18</w:t>
      </w:r>
      <w:r w:rsidRPr="00867343">
        <w:rPr>
          <w:rFonts w:ascii="Arial" w:eastAsia="Times New Roman" w:hAnsi="Arial" w:cs="Arial"/>
          <w:kern w:val="0"/>
          <w:sz w:val="24"/>
          <w:szCs w:val="24"/>
          <w:lang w:eastAsia="en-GB"/>
          <w14:ligatures w14:val="none"/>
        </w:rPr>
        <w:t xml:space="preserve">(4), 435–447. </w:t>
      </w:r>
      <w:hyperlink r:id="rId6" w:history="1">
        <w:r w:rsidRPr="00867343">
          <w:rPr>
            <w:rStyle w:val="Hyperlink"/>
            <w:rFonts w:ascii="Arial" w:eastAsia="Times New Roman" w:hAnsi="Arial" w:cs="Arial"/>
            <w:kern w:val="0"/>
            <w:sz w:val="24"/>
            <w:szCs w:val="24"/>
            <w:lang w:eastAsia="en-GB"/>
            <w14:ligatures w14:val="none"/>
          </w:rPr>
          <w:t>https://doi.org/10.1080/13632752.2013.807541</w:t>
        </w:r>
      </w:hyperlink>
    </w:p>
    <w:p w14:paraId="7BFC4F4E"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p>
    <w:p w14:paraId="7580DB66"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BERA (2024). </w:t>
      </w:r>
      <w:r w:rsidRPr="00867343">
        <w:rPr>
          <w:rFonts w:ascii="Arial" w:eastAsia="Times New Roman" w:hAnsi="Arial" w:cs="Arial"/>
          <w:i/>
          <w:iCs/>
          <w:kern w:val="0"/>
          <w:sz w:val="24"/>
          <w:szCs w:val="24"/>
          <w:lang w:eastAsia="en-GB"/>
          <w14:ligatures w14:val="none"/>
        </w:rPr>
        <w:t>Ethical Guidelines for Educational Research, Fifth Edition (2024)</w:t>
      </w:r>
      <w:r w:rsidRPr="00867343">
        <w:rPr>
          <w:rFonts w:ascii="Arial" w:eastAsia="Times New Roman" w:hAnsi="Arial" w:cs="Arial"/>
          <w:kern w:val="0"/>
          <w:sz w:val="24"/>
          <w:szCs w:val="24"/>
          <w:lang w:eastAsia="en-GB"/>
          <w14:ligatures w14:val="none"/>
        </w:rPr>
        <w:t xml:space="preserve">. [online] www.bera.ac.uk. Available at: </w:t>
      </w:r>
      <w:hyperlink r:id="rId7" w:history="1">
        <w:r w:rsidRPr="00867343">
          <w:rPr>
            <w:rStyle w:val="Hyperlink"/>
            <w:rFonts w:ascii="Arial" w:eastAsia="Times New Roman" w:hAnsi="Arial" w:cs="Arial"/>
            <w:kern w:val="0"/>
            <w:sz w:val="24"/>
            <w:szCs w:val="24"/>
            <w:lang w:eastAsia="en-GB"/>
            <w14:ligatures w14:val="none"/>
          </w:rPr>
          <w:t>https://www.bera.ac.uk/publication/ethical-guidelines-for-educational-research-fifth-edition-2024</w:t>
        </w:r>
      </w:hyperlink>
      <w:r w:rsidRPr="00867343">
        <w:rPr>
          <w:rFonts w:ascii="Arial" w:eastAsia="Times New Roman" w:hAnsi="Arial" w:cs="Arial"/>
          <w:kern w:val="0"/>
          <w:sz w:val="24"/>
          <w:szCs w:val="24"/>
          <w:lang w:eastAsia="en-GB"/>
          <w14:ligatures w14:val="none"/>
        </w:rPr>
        <w:t>.</w:t>
      </w:r>
    </w:p>
    <w:p w14:paraId="2B17145E"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p>
    <w:p w14:paraId="6B6DD39C"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Brodie, K. (2024). </w:t>
      </w:r>
      <w:r w:rsidRPr="00867343">
        <w:rPr>
          <w:rFonts w:ascii="Arial" w:eastAsia="Times New Roman" w:hAnsi="Arial" w:cs="Arial"/>
          <w:i/>
          <w:iCs/>
          <w:kern w:val="0"/>
          <w:sz w:val="24"/>
          <w:szCs w:val="24"/>
          <w:lang w:eastAsia="en-GB"/>
          <w14:ligatures w14:val="none"/>
        </w:rPr>
        <w:t>Lev Vygotsky’s Sociocultural Theory of Cognitive Development</w:t>
      </w:r>
      <w:r w:rsidRPr="00867343">
        <w:rPr>
          <w:rFonts w:ascii="Arial" w:eastAsia="Times New Roman" w:hAnsi="Arial" w:cs="Arial"/>
          <w:kern w:val="0"/>
          <w:sz w:val="24"/>
          <w:szCs w:val="24"/>
          <w:lang w:eastAsia="en-GB"/>
          <w14:ligatures w14:val="none"/>
        </w:rPr>
        <w:t>. [online] https://www.earlyyears.tv/. Available at: https://www.earlyyears.tv/vygotsky-sociocultural-cognitive-development-zpd/ [Accessed 11 May 2024].</w:t>
      </w:r>
    </w:p>
    <w:p w14:paraId="79EDD13A"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6F5BF5BD"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Department for education (2023). </w:t>
      </w:r>
      <w:r w:rsidRPr="00867343">
        <w:rPr>
          <w:rFonts w:ascii="Arial" w:eastAsia="Times New Roman" w:hAnsi="Arial" w:cs="Arial"/>
          <w:i/>
          <w:iCs/>
          <w:kern w:val="0"/>
          <w:sz w:val="24"/>
          <w:szCs w:val="24"/>
          <w:lang w:eastAsia="en-GB"/>
          <w14:ligatures w14:val="none"/>
        </w:rPr>
        <w:t>Early Years Foundation Stage Statutory Framework for Group and school-based Providers Setting the Standards for learning, Development and Care for Children from Birth to Five</w:t>
      </w:r>
      <w:r w:rsidRPr="00867343">
        <w:rPr>
          <w:rFonts w:ascii="Arial" w:eastAsia="Times New Roman" w:hAnsi="Arial" w:cs="Arial"/>
          <w:kern w:val="0"/>
          <w:sz w:val="24"/>
          <w:szCs w:val="24"/>
          <w:lang w:eastAsia="en-GB"/>
          <w14:ligatures w14:val="none"/>
        </w:rPr>
        <w:t xml:space="preserve">. [online] </w:t>
      </w:r>
      <w:r w:rsidRPr="00867343">
        <w:rPr>
          <w:rFonts w:ascii="Arial" w:eastAsia="Times New Roman" w:hAnsi="Arial" w:cs="Arial"/>
          <w:i/>
          <w:iCs/>
          <w:kern w:val="0"/>
          <w:sz w:val="24"/>
          <w:szCs w:val="24"/>
          <w:lang w:eastAsia="en-GB"/>
          <w14:ligatures w14:val="none"/>
        </w:rPr>
        <w:t>GOV.UK</w:t>
      </w:r>
      <w:r w:rsidRPr="00867343">
        <w:rPr>
          <w:rFonts w:ascii="Arial" w:eastAsia="Times New Roman" w:hAnsi="Arial" w:cs="Arial"/>
          <w:kern w:val="0"/>
          <w:sz w:val="24"/>
          <w:szCs w:val="24"/>
          <w:lang w:eastAsia="en-GB"/>
          <w14:ligatures w14:val="none"/>
        </w:rPr>
        <w:t xml:space="preserve">. </w:t>
      </w:r>
      <w:r w:rsidRPr="00867343">
        <w:rPr>
          <w:rFonts w:ascii="Arial" w:eastAsia="Times New Roman" w:hAnsi="Arial" w:cs="Arial"/>
          <w:kern w:val="0"/>
          <w:sz w:val="24"/>
          <w:szCs w:val="24"/>
          <w:lang w:eastAsia="en-GB"/>
          <w14:ligatures w14:val="none"/>
        </w:rPr>
        <w:lastRenderedPageBreak/>
        <w:t xml:space="preserve">Available at: </w:t>
      </w:r>
      <w:hyperlink r:id="rId8" w:history="1">
        <w:r w:rsidRPr="00867343">
          <w:rPr>
            <w:rStyle w:val="Hyperlink"/>
            <w:rFonts w:ascii="Arial" w:eastAsia="Times New Roman" w:hAnsi="Arial" w:cs="Arial"/>
            <w:kern w:val="0"/>
            <w:sz w:val="24"/>
            <w:szCs w:val="24"/>
            <w:lang w:eastAsia="en-GB"/>
            <w14:ligatures w14:val="none"/>
          </w:rPr>
          <w:t>https://assets.publishing.service.gov.uk/media/65aa5e42ed27ca001327b2c7/EYFS_statutory_framework_for_group_and_school_based_providers.pdf</w:t>
        </w:r>
      </w:hyperlink>
      <w:r w:rsidRPr="00867343">
        <w:rPr>
          <w:rFonts w:ascii="Arial" w:eastAsia="Times New Roman" w:hAnsi="Arial" w:cs="Arial"/>
          <w:kern w:val="0"/>
          <w:sz w:val="24"/>
          <w:szCs w:val="24"/>
          <w:lang w:eastAsia="en-GB"/>
          <w14:ligatures w14:val="none"/>
        </w:rPr>
        <w:t>.</w:t>
      </w:r>
    </w:p>
    <w:p w14:paraId="69CBA396"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35EF4D6B"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Department for Education (2023). </w:t>
      </w:r>
      <w:r w:rsidRPr="00867343">
        <w:rPr>
          <w:rFonts w:ascii="Arial" w:eastAsia="Times New Roman" w:hAnsi="Arial" w:cs="Arial"/>
          <w:i/>
          <w:iCs/>
          <w:kern w:val="0"/>
          <w:sz w:val="24"/>
          <w:szCs w:val="24"/>
          <w:lang w:eastAsia="en-GB"/>
          <w14:ligatures w14:val="none"/>
        </w:rPr>
        <w:t>Early Years Foundation Stage Profile</w:t>
      </w:r>
      <w:r w:rsidRPr="00867343">
        <w:rPr>
          <w:rFonts w:ascii="Arial" w:eastAsia="Times New Roman" w:hAnsi="Arial" w:cs="Arial"/>
          <w:kern w:val="0"/>
          <w:sz w:val="24"/>
          <w:szCs w:val="24"/>
          <w:lang w:eastAsia="en-GB"/>
          <w14:ligatures w14:val="none"/>
        </w:rPr>
        <w:t xml:space="preserve">. [online] Available at: </w:t>
      </w:r>
      <w:hyperlink r:id="rId9" w:history="1">
        <w:r w:rsidRPr="00867343">
          <w:rPr>
            <w:rStyle w:val="Hyperlink"/>
            <w:rFonts w:ascii="Arial" w:eastAsia="Times New Roman" w:hAnsi="Arial" w:cs="Arial"/>
            <w:kern w:val="0"/>
            <w:sz w:val="24"/>
            <w:szCs w:val="24"/>
            <w:lang w:eastAsia="en-GB"/>
            <w14:ligatures w14:val="none"/>
          </w:rPr>
          <w:t>https://assets.publishing.service.gov.uk/media/65253bc12548ca000dddf050/EYFSP_2024_handbook.pdf</w:t>
        </w:r>
      </w:hyperlink>
    </w:p>
    <w:p w14:paraId="3DDA086F"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3879E228"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George, T. (2022). </w:t>
      </w:r>
      <w:r w:rsidRPr="00867343">
        <w:rPr>
          <w:rFonts w:ascii="Arial" w:eastAsia="Times New Roman" w:hAnsi="Arial" w:cs="Arial"/>
          <w:i/>
          <w:iCs/>
          <w:kern w:val="0"/>
          <w:sz w:val="24"/>
          <w:szCs w:val="24"/>
          <w:lang w:eastAsia="en-GB"/>
          <w14:ligatures w14:val="none"/>
        </w:rPr>
        <w:t>Types of Interviews in Research | Guide &amp; Examples</w:t>
      </w:r>
      <w:r w:rsidRPr="00867343">
        <w:rPr>
          <w:rFonts w:ascii="Arial" w:eastAsia="Times New Roman" w:hAnsi="Arial" w:cs="Arial"/>
          <w:kern w:val="0"/>
          <w:sz w:val="24"/>
          <w:szCs w:val="24"/>
          <w:lang w:eastAsia="en-GB"/>
          <w14:ligatures w14:val="none"/>
        </w:rPr>
        <w:t xml:space="preserve">. [online] </w:t>
      </w:r>
      <w:proofErr w:type="spellStart"/>
      <w:r w:rsidRPr="00867343">
        <w:rPr>
          <w:rFonts w:ascii="Arial" w:eastAsia="Times New Roman" w:hAnsi="Arial" w:cs="Arial"/>
          <w:kern w:val="0"/>
          <w:sz w:val="24"/>
          <w:szCs w:val="24"/>
          <w:lang w:eastAsia="en-GB"/>
          <w14:ligatures w14:val="none"/>
        </w:rPr>
        <w:t>Scribbr</w:t>
      </w:r>
      <w:proofErr w:type="spellEnd"/>
      <w:r w:rsidRPr="00867343">
        <w:rPr>
          <w:rFonts w:ascii="Arial" w:eastAsia="Times New Roman" w:hAnsi="Arial" w:cs="Arial"/>
          <w:kern w:val="0"/>
          <w:sz w:val="24"/>
          <w:szCs w:val="24"/>
          <w:lang w:eastAsia="en-GB"/>
          <w14:ligatures w14:val="none"/>
        </w:rPr>
        <w:t xml:space="preserve">. Available at: </w:t>
      </w:r>
      <w:hyperlink r:id="rId10" w:history="1">
        <w:r w:rsidRPr="00867343">
          <w:rPr>
            <w:rStyle w:val="Hyperlink"/>
            <w:rFonts w:ascii="Arial" w:eastAsia="Times New Roman" w:hAnsi="Arial" w:cs="Arial"/>
            <w:kern w:val="0"/>
            <w:sz w:val="24"/>
            <w:szCs w:val="24"/>
            <w:lang w:eastAsia="en-GB"/>
            <w14:ligatures w14:val="none"/>
          </w:rPr>
          <w:t>https://www.scribbr.co.uk/research-methods/types-of-interviews/</w:t>
        </w:r>
      </w:hyperlink>
      <w:r w:rsidRPr="00867343">
        <w:rPr>
          <w:rFonts w:ascii="Arial" w:eastAsia="Times New Roman" w:hAnsi="Arial" w:cs="Arial"/>
          <w:kern w:val="0"/>
          <w:sz w:val="24"/>
          <w:szCs w:val="24"/>
          <w:lang w:eastAsia="en-GB"/>
          <w14:ligatures w14:val="none"/>
        </w:rPr>
        <w:t>.</w:t>
      </w:r>
    </w:p>
    <w:p w14:paraId="56324674"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36E5DBAB"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Hofmann, S.G., Doan, S.N., Sprung, M., Wilson, A., </w:t>
      </w:r>
      <w:proofErr w:type="spellStart"/>
      <w:r w:rsidRPr="00867343">
        <w:rPr>
          <w:rFonts w:ascii="Arial" w:eastAsia="Times New Roman" w:hAnsi="Arial" w:cs="Arial"/>
          <w:kern w:val="0"/>
          <w:sz w:val="24"/>
          <w:szCs w:val="24"/>
          <w:lang w:eastAsia="en-GB"/>
          <w14:ligatures w14:val="none"/>
        </w:rPr>
        <w:t>Ebesutani</w:t>
      </w:r>
      <w:proofErr w:type="spellEnd"/>
      <w:r w:rsidRPr="00867343">
        <w:rPr>
          <w:rFonts w:ascii="Arial" w:eastAsia="Times New Roman" w:hAnsi="Arial" w:cs="Arial"/>
          <w:kern w:val="0"/>
          <w:sz w:val="24"/>
          <w:szCs w:val="24"/>
          <w:lang w:eastAsia="en-GB"/>
          <w14:ligatures w14:val="none"/>
        </w:rPr>
        <w:t xml:space="preserve">, C., Andrews, L.A., Curtiss, J. and Harris, P.L. (2016). Training children’s theory-of-mind: A meta-analysis of controlled studies. Cognition, [online] 150, pp.200–212. </w:t>
      </w:r>
      <w:proofErr w:type="spellStart"/>
      <w:r w:rsidRPr="00867343">
        <w:rPr>
          <w:rFonts w:ascii="Arial" w:eastAsia="Times New Roman" w:hAnsi="Arial" w:cs="Arial"/>
          <w:kern w:val="0"/>
          <w:sz w:val="24"/>
          <w:szCs w:val="24"/>
          <w:lang w:eastAsia="en-GB"/>
          <w14:ligatures w14:val="none"/>
        </w:rPr>
        <w:t>doi</w:t>
      </w:r>
      <w:proofErr w:type="spellEnd"/>
      <w:r w:rsidRPr="00867343">
        <w:rPr>
          <w:rFonts w:ascii="Arial" w:eastAsia="Times New Roman" w:hAnsi="Arial" w:cs="Arial"/>
          <w:kern w:val="0"/>
          <w:sz w:val="24"/>
          <w:szCs w:val="24"/>
          <w:lang w:eastAsia="en-GB"/>
          <w14:ligatures w14:val="none"/>
        </w:rPr>
        <w:t xml:space="preserve">: </w:t>
      </w:r>
      <w:hyperlink r:id="rId11" w:history="1">
        <w:r w:rsidRPr="00867343">
          <w:rPr>
            <w:rStyle w:val="Hyperlink"/>
            <w:rFonts w:ascii="Arial" w:eastAsia="Times New Roman" w:hAnsi="Arial" w:cs="Arial"/>
            <w:kern w:val="0"/>
            <w:sz w:val="24"/>
            <w:szCs w:val="24"/>
            <w:lang w:eastAsia="en-GB"/>
            <w14:ligatures w14:val="none"/>
          </w:rPr>
          <w:t>https://doi.org/10.1016/j.cognition.2016.01.006</w:t>
        </w:r>
      </w:hyperlink>
      <w:r w:rsidRPr="00867343">
        <w:rPr>
          <w:rFonts w:ascii="Arial" w:eastAsia="Times New Roman" w:hAnsi="Arial" w:cs="Arial"/>
          <w:kern w:val="0"/>
          <w:sz w:val="24"/>
          <w:szCs w:val="24"/>
          <w:lang w:eastAsia="en-GB"/>
          <w14:ligatures w14:val="none"/>
        </w:rPr>
        <w:t>.</w:t>
      </w:r>
    </w:p>
    <w:p w14:paraId="78C040B6"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2B28FF5F"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Holly Seaman &amp; Pandora Giles (2021) Supporting children’s social and emotional well-being in the early years: an exploration of practitioners’ perceptions, Early Child Development and Care, 191:6, 861-875, DOI: 10.1080/0300440.2019.1649668</w:t>
      </w:r>
    </w:p>
    <w:p w14:paraId="71D50396"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5ED9A797"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Ho, J. and Funk, S. (2018). </w:t>
      </w:r>
      <w:r w:rsidRPr="00867343">
        <w:rPr>
          <w:rFonts w:ascii="Arial" w:eastAsia="Times New Roman" w:hAnsi="Arial" w:cs="Arial"/>
          <w:i/>
          <w:iCs/>
          <w:kern w:val="0"/>
          <w:sz w:val="24"/>
          <w:szCs w:val="24"/>
          <w:lang w:eastAsia="en-GB"/>
          <w14:ligatures w14:val="none"/>
        </w:rPr>
        <w:t>Promoting Young Children’s Social and Emotional Health | NAEYC</w:t>
      </w:r>
      <w:r w:rsidRPr="00867343">
        <w:rPr>
          <w:rFonts w:ascii="Arial" w:eastAsia="Times New Roman" w:hAnsi="Arial" w:cs="Arial"/>
          <w:kern w:val="0"/>
          <w:sz w:val="24"/>
          <w:szCs w:val="24"/>
          <w:lang w:eastAsia="en-GB"/>
          <w14:ligatures w14:val="none"/>
        </w:rPr>
        <w:t xml:space="preserve">. [online] www.naeyc.org. Available at: </w:t>
      </w:r>
      <w:hyperlink r:id="rId12" w:anchor=":~:text=Teachers%20and%20caregivers%20promote%20children" w:history="1">
        <w:r w:rsidRPr="00867343">
          <w:rPr>
            <w:rStyle w:val="Hyperlink"/>
            <w:rFonts w:ascii="Arial" w:eastAsia="Times New Roman" w:hAnsi="Arial" w:cs="Arial"/>
            <w:kern w:val="0"/>
            <w:sz w:val="24"/>
            <w:szCs w:val="24"/>
            <w:lang w:eastAsia="en-GB"/>
            <w14:ligatures w14:val="none"/>
          </w:rPr>
          <w:t>https://www.naeyc.org/resources/pubs/yc/mar2018/promoting-social-and-emotional-health#:~:text=Teachers%20and%20caregivers%20promote%20children</w:t>
        </w:r>
      </w:hyperlink>
    </w:p>
    <w:p w14:paraId="172DD580"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5EFF4204"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Howard, K. (2008). Validating Questionnaires. </w:t>
      </w:r>
    </w:p>
    <w:p w14:paraId="2783CA4F"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01947E74"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Li, </w:t>
      </w:r>
      <w:proofErr w:type="spellStart"/>
      <w:r w:rsidRPr="00867343">
        <w:rPr>
          <w:rFonts w:ascii="Arial" w:eastAsia="Times New Roman" w:hAnsi="Arial" w:cs="Arial"/>
          <w:kern w:val="0"/>
          <w:sz w:val="24"/>
          <w:szCs w:val="24"/>
          <w:lang w:eastAsia="en-GB"/>
          <w14:ligatures w14:val="none"/>
        </w:rPr>
        <w:t>Xinqi</w:t>
      </w:r>
      <w:proofErr w:type="spellEnd"/>
      <w:r w:rsidRPr="00867343">
        <w:rPr>
          <w:rFonts w:ascii="Arial" w:eastAsia="Times New Roman" w:hAnsi="Arial" w:cs="Arial"/>
          <w:kern w:val="0"/>
          <w:sz w:val="24"/>
          <w:szCs w:val="24"/>
          <w:lang w:eastAsia="en-GB"/>
          <w14:ligatures w14:val="none"/>
        </w:rPr>
        <w:t>. (2023). Emotion Understanding, Expression, and Regulation in Early Childhood. Journal of Education, Humanities and Social Sciences. 15. 25-30. 10.54097/</w:t>
      </w:r>
      <w:proofErr w:type="gramStart"/>
      <w:r w:rsidRPr="00867343">
        <w:rPr>
          <w:rFonts w:ascii="Arial" w:eastAsia="Times New Roman" w:hAnsi="Arial" w:cs="Arial"/>
          <w:kern w:val="0"/>
          <w:sz w:val="24"/>
          <w:szCs w:val="24"/>
          <w:lang w:eastAsia="en-GB"/>
          <w14:ligatures w14:val="none"/>
        </w:rPr>
        <w:t>ehss.v</w:t>
      </w:r>
      <w:proofErr w:type="gramEnd"/>
      <w:r w:rsidRPr="00867343">
        <w:rPr>
          <w:rFonts w:ascii="Arial" w:eastAsia="Times New Roman" w:hAnsi="Arial" w:cs="Arial"/>
          <w:kern w:val="0"/>
          <w:sz w:val="24"/>
          <w:szCs w:val="24"/>
          <w:lang w:eastAsia="en-GB"/>
          <w14:ligatures w14:val="none"/>
        </w:rPr>
        <w:t>15i.9055.</w:t>
      </w:r>
    </w:p>
    <w:p w14:paraId="25427067"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38C3EA4E"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lastRenderedPageBreak/>
        <w:t xml:space="preserve">Mac Naughton, G. and Siraj-Blatchford, I. (2010) </w:t>
      </w:r>
      <w:r w:rsidRPr="00867343">
        <w:rPr>
          <w:rFonts w:ascii="Arial" w:eastAsia="Times New Roman" w:hAnsi="Arial" w:cs="Arial"/>
          <w:i/>
          <w:iCs/>
          <w:kern w:val="0"/>
          <w:sz w:val="24"/>
          <w:szCs w:val="24"/>
          <w:lang w:eastAsia="en-GB"/>
          <w14:ligatures w14:val="none"/>
        </w:rPr>
        <w:t xml:space="preserve">Doing Early Childhood Research. </w:t>
      </w:r>
      <w:r w:rsidRPr="00867343">
        <w:rPr>
          <w:rFonts w:ascii="Arial" w:eastAsia="Times New Roman" w:hAnsi="Arial" w:cs="Arial"/>
          <w:kern w:val="0"/>
          <w:sz w:val="24"/>
          <w:szCs w:val="24"/>
          <w:lang w:eastAsia="en-GB"/>
          <w14:ligatures w14:val="none"/>
        </w:rPr>
        <w:t>Berkshire: Open University Press.</w:t>
      </w:r>
    </w:p>
    <w:p w14:paraId="01FC6DF5" w14:textId="77777777" w:rsidR="0009425C" w:rsidRPr="00867343" w:rsidRDefault="0009425C" w:rsidP="00867343">
      <w:pPr>
        <w:spacing w:after="0" w:line="360" w:lineRule="auto"/>
        <w:rPr>
          <w:rFonts w:ascii="Arial" w:eastAsia="Times New Roman" w:hAnsi="Arial" w:cs="Arial"/>
          <w:kern w:val="0"/>
          <w:sz w:val="24"/>
          <w:szCs w:val="24"/>
          <w:lang w:eastAsia="en-GB"/>
          <w14:ligatures w14:val="none"/>
        </w:rPr>
      </w:pPr>
    </w:p>
    <w:p w14:paraId="4F0074B9"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NSPCC (2023). </w:t>
      </w:r>
      <w:r w:rsidRPr="00867343">
        <w:rPr>
          <w:rFonts w:ascii="Arial" w:eastAsia="Times New Roman" w:hAnsi="Arial" w:cs="Arial"/>
          <w:i/>
          <w:iCs/>
          <w:kern w:val="0"/>
          <w:sz w:val="24"/>
          <w:szCs w:val="24"/>
          <w:lang w:eastAsia="en-GB"/>
          <w14:ligatures w14:val="none"/>
        </w:rPr>
        <w:t>Research with Children: Ethics, Safety and Promoting Inclusion</w:t>
      </w:r>
      <w:r w:rsidRPr="00867343">
        <w:rPr>
          <w:rFonts w:ascii="Arial" w:eastAsia="Times New Roman" w:hAnsi="Arial" w:cs="Arial"/>
          <w:kern w:val="0"/>
          <w:sz w:val="24"/>
          <w:szCs w:val="24"/>
          <w:lang w:eastAsia="en-GB"/>
          <w14:ligatures w14:val="none"/>
        </w:rPr>
        <w:t xml:space="preserve">. [online] NSPCC Learning. Available at: </w:t>
      </w:r>
      <w:hyperlink r:id="rId13" w:history="1">
        <w:r w:rsidRPr="00867343">
          <w:rPr>
            <w:rStyle w:val="Hyperlink"/>
            <w:rFonts w:ascii="Arial" w:eastAsia="Times New Roman" w:hAnsi="Arial" w:cs="Arial"/>
            <w:kern w:val="0"/>
            <w:sz w:val="24"/>
            <w:szCs w:val="24"/>
            <w:lang w:eastAsia="en-GB"/>
            <w14:ligatures w14:val="none"/>
          </w:rPr>
          <w:t>https://learning.nspcc.org.uk/research-resources/briefings/research-with-children-ethics-safety-promoting-inclusion</w:t>
        </w:r>
      </w:hyperlink>
      <w:r w:rsidRPr="00867343">
        <w:rPr>
          <w:rFonts w:ascii="Arial" w:eastAsia="Times New Roman" w:hAnsi="Arial" w:cs="Arial"/>
          <w:kern w:val="0"/>
          <w:sz w:val="24"/>
          <w:szCs w:val="24"/>
          <w:lang w:eastAsia="en-GB"/>
          <w14:ligatures w14:val="none"/>
        </w:rPr>
        <w:t>.</w:t>
      </w:r>
    </w:p>
    <w:p w14:paraId="1DC51F65" w14:textId="77777777" w:rsidR="006A753B" w:rsidRPr="00867343" w:rsidRDefault="006A753B" w:rsidP="00867343">
      <w:pPr>
        <w:spacing w:after="0" w:line="360" w:lineRule="auto"/>
        <w:rPr>
          <w:rFonts w:ascii="Arial" w:eastAsia="Times New Roman" w:hAnsi="Arial" w:cs="Arial"/>
          <w:kern w:val="0"/>
          <w:sz w:val="24"/>
          <w:szCs w:val="24"/>
          <w:lang w:eastAsia="en-GB"/>
          <w14:ligatures w14:val="none"/>
        </w:rPr>
      </w:pPr>
    </w:p>
    <w:p w14:paraId="5F8ABFF6"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NSPCC Research Ethics Principles. (2023). Available at: </w:t>
      </w:r>
      <w:hyperlink r:id="rId14" w:history="1">
        <w:r w:rsidRPr="00867343">
          <w:rPr>
            <w:rStyle w:val="Hyperlink"/>
            <w:rFonts w:ascii="Arial" w:eastAsia="Times New Roman" w:hAnsi="Arial" w:cs="Arial"/>
            <w:kern w:val="0"/>
            <w:sz w:val="24"/>
            <w:szCs w:val="24"/>
            <w:lang w:eastAsia="en-GB"/>
            <w14:ligatures w14:val="none"/>
          </w:rPr>
          <w:t>https://learning.nspcc.org.uk/media/3091/nspcc-research-ethics-principles.pdf</w:t>
        </w:r>
      </w:hyperlink>
      <w:r w:rsidRPr="00867343">
        <w:rPr>
          <w:rFonts w:ascii="Arial" w:eastAsia="Times New Roman" w:hAnsi="Arial" w:cs="Arial"/>
          <w:kern w:val="0"/>
          <w:sz w:val="24"/>
          <w:szCs w:val="24"/>
          <w:lang w:eastAsia="en-GB"/>
          <w14:ligatures w14:val="none"/>
        </w:rPr>
        <w:t>.</w:t>
      </w:r>
    </w:p>
    <w:p w14:paraId="2281CB6B" w14:textId="77777777" w:rsidR="006A753B" w:rsidRPr="00867343" w:rsidRDefault="006A753B" w:rsidP="00867343">
      <w:pPr>
        <w:spacing w:after="0" w:line="360" w:lineRule="auto"/>
        <w:rPr>
          <w:rFonts w:ascii="Arial" w:eastAsia="Times New Roman" w:hAnsi="Arial" w:cs="Arial"/>
          <w:kern w:val="0"/>
          <w:sz w:val="24"/>
          <w:szCs w:val="24"/>
          <w:lang w:eastAsia="en-GB"/>
          <w14:ligatures w14:val="none"/>
        </w:rPr>
      </w:pPr>
    </w:p>
    <w:p w14:paraId="68F329A4"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Sprung, M., Münch, H. M., Harris, P. L., </w:t>
      </w:r>
      <w:proofErr w:type="spellStart"/>
      <w:r w:rsidRPr="00867343">
        <w:rPr>
          <w:rFonts w:ascii="Arial" w:eastAsia="Times New Roman" w:hAnsi="Arial" w:cs="Arial"/>
          <w:kern w:val="0"/>
          <w:sz w:val="24"/>
          <w:szCs w:val="24"/>
          <w:lang w:eastAsia="en-GB"/>
          <w14:ligatures w14:val="none"/>
        </w:rPr>
        <w:t>Ebesutani</w:t>
      </w:r>
      <w:proofErr w:type="spellEnd"/>
      <w:r w:rsidRPr="00867343">
        <w:rPr>
          <w:rFonts w:ascii="Arial" w:eastAsia="Times New Roman" w:hAnsi="Arial" w:cs="Arial"/>
          <w:kern w:val="0"/>
          <w:sz w:val="24"/>
          <w:szCs w:val="24"/>
          <w:lang w:eastAsia="en-GB"/>
          <w14:ligatures w14:val="none"/>
        </w:rPr>
        <w:t xml:space="preserve">, C., &amp; Hofmann, S. G. (2015). Children's emotion understanding: A meta-analysis of training studies. Developmental review: DR, 37, 41–65. </w:t>
      </w:r>
      <w:hyperlink r:id="rId15" w:history="1">
        <w:r w:rsidRPr="00867343">
          <w:rPr>
            <w:rStyle w:val="Hyperlink"/>
            <w:rFonts w:ascii="Arial" w:eastAsia="Times New Roman" w:hAnsi="Arial" w:cs="Arial"/>
            <w:kern w:val="0"/>
            <w:sz w:val="24"/>
            <w:szCs w:val="24"/>
            <w:lang w:eastAsia="en-GB"/>
            <w14:ligatures w14:val="none"/>
          </w:rPr>
          <w:t>https://doi.org/10.1016/j.dr.2015.05.001</w:t>
        </w:r>
      </w:hyperlink>
    </w:p>
    <w:p w14:paraId="1C5307CD" w14:textId="77777777" w:rsidR="006A753B" w:rsidRPr="00867343" w:rsidRDefault="006A753B" w:rsidP="00867343">
      <w:pPr>
        <w:spacing w:after="0" w:line="360" w:lineRule="auto"/>
        <w:rPr>
          <w:rFonts w:ascii="Arial" w:eastAsia="Times New Roman" w:hAnsi="Arial" w:cs="Arial"/>
          <w:kern w:val="0"/>
          <w:sz w:val="24"/>
          <w:szCs w:val="24"/>
          <w:lang w:eastAsia="en-GB"/>
          <w14:ligatures w14:val="none"/>
        </w:rPr>
      </w:pPr>
    </w:p>
    <w:p w14:paraId="53915A49"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Surrey County Council (2021). </w:t>
      </w:r>
      <w:r w:rsidRPr="00867343">
        <w:rPr>
          <w:rFonts w:ascii="Arial" w:eastAsia="Times New Roman" w:hAnsi="Arial" w:cs="Arial"/>
          <w:i/>
          <w:iCs/>
          <w:kern w:val="0"/>
          <w:sz w:val="24"/>
          <w:szCs w:val="24"/>
          <w:lang w:eastAsia="en-GB"/>
          <w14:ligatures w14:val="none"/>
        </w:rPr>
        <w:t>Personal Social and Emotional Development in the EYFS</w:t>
      </w:r>
      <w:r w:rsidRPr="00867343">
        <w:rPr>
          <w:rFonts w:ascii="Arial" w:eastAsia="Times New Roman" w:hAnsi="Arial" w:cs="Arial"/>
          <w:kern w:val="0"/>
          <w:sz w:val="24"/>
          <w:szCs w:val="24"/>
          <w:lang w:eastAsia="en-GB"/>
          <w14:ligatures w14:val="none"/>
        </w:rPr>
        <w:t xml:space="preserve">. [online] www.surreycc.gov.uk. Available at: </w:t>
      </w:r>
      <w:hyperlink r:id="rId16" w:history="1">
        <w:r w:rsidRPr="00867343">
          <w:rPr>
            <w:rStyle w:val="Hyperlink"/>
            <w:rFonts w:ascii="Arial" w:eastAsia="Times New Roman" w:hAnsi="Arial" w:cs="Arial"/>
            <w:kern w:val="0"/>
            <w:sz w:val="24"/>
            <w:szCs w:val="24"/>
            <w:lang w:eastAsia="en-GB"/>
            <w14:ligatures w14:val="none"/>
          </w:rPr>
          <w:t>https://www.surreycc.gov.uk/schools-and-learning/childcare-professionals/early-years-foundation-stage/personal-social-and-emotional-development</w:t>
        </w:r>
      </w:hyperlink>
      <w:r w:rsidRPr="00867343">
        <w:rPr>
          <w:rFonts w:ascii="Arial" w:eastAsia="Times New Roman" w:hAnsi="Arial" w:cs="Arial"/>
          <w:kern w:val="0"/>
          <w:sz w:val="24"/>
          <w:szCs w:val="24"/>
          <w:lang w:eastAsia="en-GB"/>
          <w14:ligatures w14:val="none"/>
        </w:rPr>
        <w:t>.</w:t>
      </w:r>
    </w:p>
    <w:p w14:paraId="32AF8659" w14:textId="77777777" w:rsidR="006A753B" w:rsidRPr="00867343" w:rsidRDefault="006A753B" w:rsidP="00867343">
      <w:pPr>
        <w:spacing w:after="0" w:line="360" w:lineRule="auto"/>
        <w:rPr>
          <w:rFonts w:ascii="Arial" w:eastAsia="Times New Roman" w:hAnsi="Arial" w:cs="Arial"/>
          <w:kern w:val="0"/>
          <w:sz w:val="24"/>
          <w:szCs w:val="24"/>
          <w:lang w:eastAsia="en-GB"/>
          <w14:ligatures w14:val="none"/>
        </w:rPr>
      </w:pPr>
    </w:p>
    <w:p w14:paraId="0A4176F8"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support.microsoft.com. (n.d.). </w:t>
      </w:r>
      <w:r w:rsidRPr="00867343">
        <w:rPr>
          <w:rFonts w:ascii="Arial" w:eastAsia="Times New Roman" w:hAnsi="Arial" w:cs="Arial"/>
          <w:i/>
          <w:iCs/>
          <w:kern w:val="0"/>
          <w:sz w:val="24"/>
          <w:szCs w:val="24"/>
          <w:lang w:eastAsia="en-GB"/>
          <w14:ligatures w14:val="none"/>
        </w:rPr>
        <w:t>View live transcription in Microsoft Teams meetings - Microsoft Support</w:t>
      </w:r>
      <w:r w:rsidRPr="00867343">
        <w:rPr>
          <w:rFonts w:ascii="Arial" w:eastAsia="Times New Roman" w:hAnsi="Arial" w:cs="Arial"/>
          <w:kern w:val="0"/>
          <w:sz w:val="24"/>
          <w:szCs w:val="24"/>
          <w:lang w:eastAsia="en-GB"/>
          <w14:ligatures w14:val="none"/>
        </w:rPr>
        <w:t xml:space="preserve">. [online] Available at: </w:t>
      </w:r>
      <w:hyperlink r:id="rId17" w:history="1">
        <w:r w:rsidRPr="00867343">
          <w:rPr>
            <w:rStyle w:val="Hyperlink"/>
            <w:rFonts w:ascii="Arial" w:eastAsia="Times New Roman" w:hAnsi="Arial" w:cs="Arial"/>
            <w:kern w:val="0"/>
            <w:sz w:val="24"/>
            <w:szCs w:val="24"/>
            <w:lang w:eastAsia="en-GB"/>
            <w14:ligatures w14:val="none"/>
          </w:rPr>
          <w:t>https://support.microsoft.com/en-gb/office/view-live-transcription-in-microsoft-teams-meetings-dc1a8f23-2e20-4684-885e-2152e06a4a8b</w:t>
        </w:r>
      </w:hyperlink>
      <w:r w:rsidRPr="00867343">
        <w:rPr>
          <w:rFonts w:ascii="Arial" w:eastAsia="Times New Roman" w:hAnsi="Arial" w:cs="Arial"/>
          <w:kern w:val="0"/>
          <w:sz w:val="24"/>
          <w:szCs w:val="24"/>
          <w:lang w:eastAsia="en-GB"/>
          <w14:ligatures w14:val="none"/>
        </w:rPr>
        <w:t>.</w:t>
      </w:r>
    </w:p>
    <w:p w14:paraId="332FE740" w14:textId="77777777" w:rsidR="006A753B" w:rsidRPr="00867343" w:rsidRDefault="006A753B" w:rsidP="00867343">
      <w:pPr>
        <w:spacing w:after="0" w:line="360" w:lineRule="auto"/>
        <w:rPr>
          <w:rFonts w:ascii="Arial" w:eastAsia="Times New Roman" w:hAnsi="Arial" w:cs="Arial"/>
          <w:kern w:val="0"/>
          <w:sz w:val="24"/>
          <w:szCs w:val="24"/>
          <w:lang w:eastAsia="en-GB"/>
          <w14:ligatures w14:val="none"/>
        </w:rPr>
      </w:pPr>
    </w:p>
    <w:p w14:paraId="2E2D4FA4" w14:textId="77777777" w:rsidR="006A753B"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Taylor &amp; Francis. (2023). </w:t>
      </w:r>
      <w:r w:rsidRPr="00867343">
        <w:rPr>
          <w:rFonts w:ascii="Arial" w:eastAsia="Times New Roman" w:hAnsi="Arial" w:cs="Arial"/>
          <w:i/>
          <w:iCs/>
          <w:kern w:val="0"/>
          <w:sz w:val="24"/>
          <w:szCs w:val="24"/>
          <w:lang w:eastAsia="en-GB"/>
          <w14:ligatures w14:val="none"/>
        </w:rPr>
        <w:t>Hawthorne Effect - Knowledge and References</w:t>
      </w:r>
      <w:r w:rsidRPr="00867343">
        <w:rPr>
          <w:rFonts w:ascii="Arial" w:eastAsia="Times New Roman" w:hAnsi="Arial" w:cs="Arial"/>
          <w:kern w:val="0"/>
          <w:sz w:val="24"/>
          <w:szCs w:val="24"/>
          <w:lang w:eastAsia="en-GB"/>
          <w14:ligatures w14:val="none"/>
        </w:rPr>
        <w:t xml:space="preserve">. [online] Available at: </w:t>
      </w:r>
      <w:hyperlink r:id="rId18" w:anchor=":~:text=Biases%20are%20also%20inherent%20in" w:history="1">
        <w:r w:rsidRPr="00867343">
          <w:rPr>
            <w:rStyle w:val="Hyperlink"/>
            <w:rFonts w:ascii="Arial" w:eastAsia="Times New Roman" w:hAnsi="Arial" w:cs="Arial"/>
            <w:kern w:val="0"/>
            <w:sz w:val="24"/>
            <w:szCs w:val="24"/>
            <w:lang w:eastAsia="en-GB"/>
            <w14:ligatures w14:val="none"/>
          </w:rPr>
          <w:t>https://taylorandfrancis.com/knowledge/medicine-and-healthcare/hawthorne-effect/#:~:text=Biases%20are%20also%20inherent%20in</w:t>
        </w:r>
      </w:hyperlink>
    </w:p>
    <w:p w14:paraId="0C7DB069" w14:textId="4FC75C50" w:rsidR="00867343" w:rsidRP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 </w:t>
      </w:r>
    </w:p>
    <w:p w14:paraId="4CE554FB" w14:textId="77777777" w:rsid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University of Wales Trinity Saint David. (2022). Research Ethics &amp; Integrity Code of Practice. </w:t>
      </w:r>
      <w:hyperlink r:id="rId19" w:history="1">
        <w:r w:rsidRPr="00867343">
          <w:rPr>
            <w:rStyle w:val="Hyperlink"/>
            <w:rFonts w:ascii="Arial" w:eastAsia="Times New Roman" w:hAnsi="Arial" w:cs="Arial"/>
            <w:kern w:val="0"/>
            <w:sz w:val="24"/>
            <w:szCs w:val="24"/>
            <w:lang w:eastAsia="en-GB"/>
            <w14:ligatures w14:val="none"/>
          </w:rPr>
          <w:t>https://www.uwtsd.ac.uk/media/2041/download?attachment</w:t>
        </w:r>
      </w:hyperlink>
      <w:r w:rsidRPr="00867343">
        <w:rPr>
          <w:rFonts w:ascii="Arial" w:eastAsia="Times New Roman" w:hAnsi="Arial" w:cs="Arial"/>
          <w:kern w:val="0"/>
          <w:sz w:val="24"/>
          <w:szCs w:val="24"/>
          <w:lang w:eastAsia="en-GB"/>
          <w14:ligatures w14:val="none"/>
        </w:rPr>
        <w:t>.</w:t>
      </w:r>
    </w:p>
    <w:p w14:paraId="29DDF0A9" w14:textId="77777777" w:rsidR="006A753B" w:rsidRPr="00867343" w:rsidRDefault="006A753B" w:rsidP="00867343">
      <w:pPr>
        <w:spacing w:after="0" w:line="360" w:lineRule="auto"/>
        <w:rPr>
          <w:rFonts w:ascii="Arial" w:eastAsia="Times New Roman" w:hAnsi="Arial" w:cs="Arial"/>
          <w:kern w:val="0"/>
          <w:sz w:val="24"/>
          <w:szCs w:val="24"/>
          <w:lang w:eastAsia="en-GB"/>
          <w14:ligatures w14:val="none"/>
        </w:rPr>
      </w:pPr>
    </w:p>
    <w:p w14:paraId="14F9FACD"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r w:rsidRPr="00867343">
        <w:rPr>
          <w:rFonts w:ascii="Arial" w:eastAsia="Times New Roman" w:hAnsi="Arial" w:cs="Arial"/>
          <w:kern w:val="0"/>
          <w:sz w:val="24"/>
          <w:szCs w:val="24"/>
          <w:lang w:eastAsia="en-GB"/>
          <w14:ligatures w14:val="none"/>
        </w:rPr>
        <w:t xml:space="preserve">Walker, R., &amp; Solvason, C. (n.d.). </w:t>
      </w:r>
      <w:r w:rsidRPr="00867343">
        <w:rPr>
          <w:rFonts w:ascii="Arial" w:eastAsia="Times New Roman" w:hAnsi="Arial" w:cs="Arial"/>
          <w:i/>
          <w:iCs/>
          <w:kern w:val="0"/>
          <w:sz w:val="24"/>
          <w:szCs w:val="24"/>
          <w:lang w:eastAsia="en-GB"/>
          <w14:ligatures w14:val="none"/>
        </w:rPr>
        <w:t>Success with your Early Years Research Project</w:t>
      </w:r>
      <w:r w:rsidRPr="00867343">
        <w:rPr>
          <w:rFonts w:ascii="Arial" w:eastAsia="Times New Roman" w:hAnsi="Arial" w:cs="Arial"/>
          <w:kern w:val="0"/>
          <w:sz w:val="24"/>
          <w:szCs w:val="24"/>
          <w:lang w:eastAsia="en-GB"/>
          <w14:ligatures w14:val="none"/>
        </w:rPr>
        <w:t>. SAGE Publications Ltd.</w:t>
      </w:r>
    </w:p>
    <w:p w14:paraId="5517473D"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p>
    <w:p w14:paraId="7914D4E9"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p>
    <w:p w14:paraId="2F38E21C" w14:textId="77777777" w:rsidR="00867343" w:rsidRPr="00867343" w:rsidRDefault="00867343" w:rsidP="00867343">
      <w:pPr>
        <w:spacing w:after="0" w:line="360" w:lineRule="auto"/>
        <w:rPr>
          <w:rFonts w:ascii="Arial" w:eastAsia="Times New Roman" w:hAnsi="Arial" w:cs="Arial"/>
          <w:kern w:val="0"/>
          <w:sz w:val="24"/>
          <w:szCs w:val="24"/>
          <w:lang w:eastAsia="en-GB"/>
          <w14:ligatures w14:val="none"/>
        </w:rPr>
      </w:pPr>
    </w:p>
    <w:p w14:paraId="3604632F" w14:textId="77777777" w:rsidR="004101EC" w:rsidRDefault="004101EC" w:rsidP="0038036C">
      <w:pPr>
        <w:spacing w:after="0" w:line="360" w:lineRule="auto"/>
        <w:rPr>
          <w:rFonts w:ascii="Arial" w:eastAsia="Times New Roman" w:hAnsi="Arial" w:cs="Arial"/>
          <w:kern w:val="0"/>
          <w:sz w:val="24"/>
          <w:szCs w:val="24"/>
          <w:lang w:eastAsia="en-GB"/>
          <w14:ligatures w14:val="none"/>
        </w:rPr>
      </w:pPr>
    </w:p>
    <w:p w14:paraId="2531944C" w14:textId="77777777" w:rsidR="00423AD0" w:rsidRDefault="00423AD0" w:rsidP="0038036C">
      <w:pPr>
        <w:spacing w:after="0" w:line="360" w:lineRule="auto"/>
        <w:rPr>
          <w:rFonts w:ascii="Arial" w:eastAsia="Times New Roman" w:hAnsi="Arial" w:cs="Arial"/>
          <w:kern w:val="0"/>
          <w:sz w:val="24"/>
          <w:szCs w:val="24"/>
          <w:lang w:eastAsia="en-GB"/>
          <w14:ligatures w14:val="none"/>
        </w:rPr>
      </w:pPr>
    </w:p>
    <w:p w14:paraId="45F1ED09" w14:textId="77777777" w:rsidR="00423AD0" w:rsidRDefault="00423AD0" w:rsidP="0038036C">
      <w:pPr>
        <w:spacing w:after="0" w:line="360" w:lineRule="auto"/>
        <w:rPr>
          <w:rFonts w:ascii="Arial" w:eastAsia="Times New Roman" w:hAnsi="Arial" w:cs="Arial"/>
          <w:kern w:val="0"/>
          <w:sz w:val="24"/>
          <w:szCs w:val="24"/>
          <w:lang w:eastAsia="en-GB"/>
          <w14:ligatures w14:val="none"/>
        </w:rPr>
      </w:pPr>
    </w:p>
    <w:p w14:paraId="65869688" w14:textId="77777777" w:rsidR="00423AD0" w:rsidRPr="0038036C" w:rsidRDefault="00423AD0" w:rsidP="0038036C">
      <w:pPr>
        <w:spacing w:after="0" w:line="360" w:lineRule="auto"/>
        <w:rPr>
          <w:rFonts w:ascii="Arial" w:eastAsia="Times New Roman" w:hAnsi="Arial" w:cs="Arial"/>
          <w:kern w:val="0"/>
          <w:sz w:val="24"/>
          <w:szCs w:val="24"/>
          <w:lang w:eastAsia="en-GB"/>
          <w14:ligatures w14:val="none"/>
        </w:rPr>
      </w:pPr>
    </w:p>
    <w:p w14:paraId="55F9C2EC" w14:textId="28FFFDEB" w:rsidR="00755D2F" w:rsidRDefault="00755D2F" w:rsidP="00755D2F">
      <w:pPr>
        <w:spacing w:after="0" w:line="360" w:lineRule="auto"/>
        <w:rPr>
          <w:rFonts w:ascii="Arial" w:eastAsia="Times New Roman" w:hAnsi="Arial" w:cs="Arial"/>
          <w:kern w:val="0"/>
          <w:sz w:val="24"/>
          <w:szCs w:val="24"/>
          <w:lang w:eastAsia="en-GB"/>
          <w14:ligatures w14:val="none"/>
        </w:rPr>
      </w:pPr>
    </w:p>
    <w:p w14:paraId="2849F388" w14:textId="77777777" w:rsidR="0038036C" w:rsidRDefault="0038036C" w:rsidP="00755D2F">
      <w:pPr>
        <w:spacing w:after="0" w:line="360" w:lineRule="auto"/>
        <w:rPr>
          <w:rFonts w:ascii="Arial" w:eastAsia="Times New Roman" w:hAnsi="Arial" w:cs="Arial"/>
          <w:kern w:val="0"/>
          <w:sz w:val="24"/>
          <w:szCs w:val="24"/>
          <w:lang w:eastAsia="en-GB"/>
          <w14:ligatures w14:val="none"/>
        </w:rPr>
      </w:pPr>
    </w:p>
    <w:p w14:paraId="21979E94" w14:textId="77777777" w:rsidR="00755D2F" w:rsidRPr="00755D2F" w:rsidRDefault="00755D2F" w:rsidP="00755D2F">
      <w:pPr>
        <w:spacing w:after="0" w:line="360" w:lineRule="auto"/>
        <w:rPr>
          <w:rFonts w:ascii="Arial" w:eastAsia="Times New Roman" w:hAnsi="Arial" w:cs="Arial"/>
          <w:kern w:val="0"/>
          <w:sz w:val="24"/>
          <w:szCs w:val="24"/>
          <w:lang w:eastAsia="en-GB"/>
          <w14:ligatures w14:val="none"/>
        </w:rPr>
      </w:pPr>
    </w:p>
    <w:p w14:paraId="49ADC287" w14:textId="77777777" w:rsidR="00F60F15" w:rsidRPr="005D7D09" w:rsidRDefault="00F60F15" w:rsidP="005D7D09">
      <w:pPr>
        <w:spacing w:after="0" w:line="360" w:lineRule="auto"/>
        <w:rPr>
          <w:rFonts w:ascii="Arial" w:eastAsia="DengXian" w:hAnsi="Arial" w:cs="Arial"/>
          <w:color w:val="212121"/>
          <w:kern w:val="0"/>
          <w:shd w:val="clear" w:color="auto" w:fill="FFFFFF"/>
          <w:lang w:eastAsia="zh-CN"/>
          <w14:ligatures w14:val="none"/>
        </w:rPr>
      </w:pPr>
    </w:p>
    <w:bookmarkEnd w:id="1"/>
    <w:p w14:paraId="3C32958E" w14:textId="77777777" w:rsidR="00BA1A85" w:rsidRPr="00BA1A85" w:rsidRDefault="00BA1A85" w:rsidP="00BA1A85">
      <w:pPr>
        <w:spacing w:after="0" w:line="360" w:lineRule="auto"/>
        <w:rPr>
          <w:rFonts w:ascii="Arial" w:eastAsia="DengXian" w:hAnsi="Arial" w:cs="Arial"/>
          <w:kern w:val="0"/>
          <w:sz w:val="24"/>
          <w:szCs w:val="24"/>
          <w:lang w:eastAsia="zh-CN"/>
          <w14:ligatures w14:val="none"/>
        </w:rPr>
      </w:pPr>
    </w:p>
    <w:p w14:paraId="1467912B" w14:textId="77777777" w:rsidR="00F41851" w:rsidRDefault="00F41851"/>
    <w:sectPr w:rsidR="00F418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A85"/>
    <w:rsid w:val="0009425C"/>
    <w:rsid w:val="002F348F"/>
    <w:rsid w:val="00315EF1"/>
    <w:rsid w:val="0038036C"/>
    <w:rsid w:val="004101EC"/>
    <w:rsid w:val="00423AD0"/>
    <w:rsid w:val="0053607C"/>
    <w:rsid w:val="005D7D09"/>
    <w:rsid w:val="006617EA"/>
    <w:rsid w:val="00672ECA"/>
    <w:rsid w:val="006A753B"/>
    <w:rsid w:val="00755D2F"/>
    <w:rsid w:val="007A1355"/>
    <w:rsid w:val="00867343"/>
    <w:rsid w:val="00A223E8"/>
    <w:rsid w:val="00B46CF3"/>
    <w:rsid w:val="00B92125"/>
    <w:rsid w:val="00BA1A85"/>
    <w:rsid w:val="00BF3717"/>
    <w:rsid w:val="00C65C46"/>
    <w:rsid w:val="00CA480B"/>
    <w:rsid w:val="00F41851"/>
    <w:rsid w:val="00F60F15"/>
    <w:rsid w:val="00FB5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ED36C"/>
  <w15:chartTrackingRefBased/>
  <w15:docId w15:val="{4968B745-65A2-4FC1-B020-45B99984A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A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1A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1A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1A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1A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1A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1A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A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A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A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1A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1A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1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1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1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A85"/>
    <w:rPr>
      <w:rFonts w:eastAsiaTheme="majorEastAsia" w:cstheme="majorBidi"/>
      <w:color w:val="272727" w:themeColor="text1" w:themeTint="D8"/>
    </w:rPr>
  </w:style>
  <w:style w:type="paragraph" w:styleId="Title">
    <w:name w:val="Title"/>
    <w:basedOn w:val="Normal"/>
    <w:next w:val="Normal"/>
    <w:link w:val="TitleChar"/>
    <w:uiPriority w:val="10"/>
    <w:qFormat/>
    <w:rsid w:val="00BA1A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A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1A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A85"/>
    <w:pPr>
      <w:spacing w:before="160"/>
      <w:jc w:val="center"/>
    </w:pPr>
    <w:rPr>
      <w:i/>
      <w:iCs/>
      <w:color w:val="404040" w:themeColor="text1" w:themeTint="BF"/>
    </w:rPr>
  </w:style>
  <w:style w:type="character" w:customStyle="1" w:styleId="QuoteChar">
    <w:name w:val="Quote Char"/>
    <w:basedOn w:val="DefaultParagraphFont"/>
    <w:link w:val="Quote"/>
    <w:uiPriority w:val="29"/>
    <w:rsid w:val="00BA1A85"/>
    <w:rPr>
      <w:i/>
      <w:iCs/>
      <w:color w:val="404040" w:themeColor="text1" w:themeTint="BF"/>
    </w:rPr>
  </w:style>
  <w:style w:type="paragraph" w:styleId="ListParagraph">
    <w:name w:val="List Paragraph"/>
    <w:basedOn w:val="Normal"/>
    <w:uiPriority w:val="34"/>
    <w:qFormat/>
    <w:rsid w:val="00BA1A85"/>
    <w:pPr>
      <w:ind w:left="720"/>
      <w:contextualSpacing/>
    </w:pPr>
  </w:style>
  <w:style w:type="character" w:styleId="IntenseEmphasis">
    <w:name w:val="Intense Emphasis"/>
    <w:basedOn w:val="DefaultParagraphFont"/>
    <w:uiPriority w:val="21"/>
    <w:qFormat/>
    <w:rsid w:val="00BA1A85"/>
    <w:rPr>
      <w:i/>
      <w:iCs/>
      <w:color w:val="0F4761" w:themeColor="accent1" w:themeShade="BF"/>
    </w:rPr>
  </w:style>
  <w:style w:type="paragraph" w:styleId="IntenseQuote">
    <w:name w:val="Intense Quote"/>
    <w:basedOn w:val="Normal"/>
    <w:next w:val="Normal"/>
    <w:link w:val="IntenseQuoteChar"/>
    <w:uiPriority w:val="30"/>
    <w:qFormat/>
    <w:rsid w:val="00BA1A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1A85"/>
    <w:rPr>
      <w:i/>
      <w:iCs/>
      <w:color w:val="0F4761" w:themeColor="accent1" w:themeShade="BF"/>
    </w:rPr>
  </w:style>
  <w:style w:type="character" w:styleId="IntenseReference">
    <w:name w:val="Intense Reference"/>
    <w:basedOn w:val="DefaultParagraphFont"/>
    <w:uiPriority w:val="32"/>
    <w:qFormat/>
    <w:rsid w:val="00BA1A85"/>
    <w:rPr>
      <w:b/>
      <w:bCs/>
      <w:smallCaps/>
      <w:color w:val="0F4761" w:themeColor="accent1" w:themeShade="BF"/>
      <w:spacing w:val="5"/>
    </w:rPr>
  </w:style>
  <w:style w:type="character" w:styleId="Hyperlink">
    <w:name w:val="Hyperlink"/>
    <w:basedOn w:val="DefaultParagraphFont"/>
    <w:uiPriority w:val="99"/>
    <w:unhideWhenUsed/>
    <w:rsid w:val="00867343"/>
    <w:rPr>
      <w:color w:val="467886" w:themeColor="hyperlink"/>
      <w:u w:val="single"/>
    </w:rPr>
  </w:style>
  <w:style w:type="character" w:styleId="UnresolvedMention">
    <w:name w:val="Unresolved Mention"/>
    <w:basedOn w:val="DefaultParagraphFont"/>
    <w:uiPriority w:val="99"/>
    <w:semiHidden/>
    <w:unhideWhenUsed/>
    <w:rsid w:val="008673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5aa5e42ed27ca001327b2c7/EYFS_statutory_framework_for_group_and_school_based_providers.pdf" TargetMode="External"/><Relationship Id="rId13" Type="http://schemas.openxmlformats.org/officeDocument/2006/relationships/hyperlink" Target="https://learning.nspcc.org.uk/research-resources/briefings/research-with-children-ethics-safety-promoting-inclusion" TargetMode="External"/><Relationship Id="rId18" Type="http://schemas.openxmlformats.org/officeDocument/2006/relationships/hyperlink" Target="https://taylorandfrancis.com/knowledge/medicine-and-healthcare/hawthorne-effec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era.ac.uk/publication/ethical-guidelines-for-educational-research-fifth-edition-2024" TargetMode="External"/><Relationship Id="rId12" Type="http://schemas.openxmlformats.org/officeDocument/2006/relationships/hyperlink" Target="https://www.naeyc.org/resources/pubs/yc/mar2018/promoting-social-and-emotional-health" TargetMode="External"/><Relationship Id="rId17" Type="http://schemas.openxmlformats.org/officeDocument/2006/relationships/hyperlink" Target="https://support.microsoft.com/en-gb/office/view-live-transcription-in-microsoft-teams-meetings-dc1a8f23-2e20-4684-885e-2152e06a4a8b" TargetMode="External"/><Relationship Id="rId2" Type="http://schemas.openxmlformats.org/officeDocument/2006/relationships/settings" Target="settings.xml"/><Relationship Id="rId16" Type="http://schemas.openxmlformats.org/officeDocument/2006/relationships/hyperlink" Target="https://www.surreycc.gov.uk/schools-and-learning/childcare-professionals/early-years-foundation-stage/personal-social-and-emotional-development"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13632752.2013.807541" TargetMode="External"/><Relationship Id="rId11" Type="http://schemas.openxmlformats.org/officeDocument/2006/relationships/hyperlink" Target="https://doi.org/10.1016/j.cognition.2016.01.006" TargetMode="External"/><Relationship Id="rId5" Type="http://schemas.openxmlformats.org/officeDocument/2006/relationships/hyperlink" Target="http://dx.doi.org/10.1080/15614263.2013.827835" TargetMode="External"/><Relationship Id="rId15" Type="http://schemas.openxmlformats.org/officeDocument/2006/relationships/hyperlink" Target="https://doi.org/10.1016/j.dr.2015.05.001" TargetMode="External"/><Relationship Id="rId10" Type="http://schemas.openxmlformats.org/officeDocument/2006/relationships/hyperlink" Target="https://www.scribbr.co.uk/research-methods/types-of-interviews/" TargetMode="External"/><Relationship Id="rId19" Type="http://schemas.openxmlformats.org/officeDocument/2006/relationships/hyperlink" Target="https://www.uwtsd.ac.uk/media/2041/download?attachment" TargetMode="External"/><Relationship Id="rId4" Type="http://schemas.openxmlformats.org/officeDocument/2006/relationships/hyperlink" Target="https://support.microsoft.com/en-us/office/3cb9acb6-05b2-4f59-a50d-7df61123aa20" TargetMode="External"/><Relationship Id="rId9" Type="http://schemas.openxmlformats.org/officeDocument/2006/relationships/hyperlink" Target="https://assets.publishing.service.gov.uk/media/65253bc12548ca000dddf050/EYFSP_2024_handbook.pdf" TargetMode="External"/><Relationship Id="rId14" Type="http://schemas.openxmlformats.org/officeDocument/2006/relationships/hyperlink" Target="https://learning.nspcc.org.uk/media/3091/nspcc-research-ethics-princip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5380</Words>
  <Characters>30669</Characters>
  <Application>Microsoft Office Word</Application>
  <DocSecurity>0</DocSecurity>
  <Lines>255</Lines>
  <Paragraphs>71</Paragraphs>
  <ScaleCrop>false</ScaleCrop>
  <Company/>
  <LinksUpToDate>false</LinksUpToDate>
  <CharactersWithSpaces>35978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2</cp:revision>
  <dcterms:created xsi:type="dcterms:W3CDTF">2024-05-25T09:31:00Z</dcterms:created>
  <dcterms:modified xsi:type="dcterms:W3CDTF">2024-05-25T09:31:00Z</dcterms:modified>
</cp:coreProperties>
</file>