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color w:val="4472C4" w:themeColor="accent1"/>
          <w:lang w:val="en-GB"/>
        </w:rPr>
        <w:id w:val="-590002224"/>
        <w:docPartObj>
          <w:docPartGallery w:val="Cover Pages"/>
          <w:docPartUnique/>
        </w:docPartObj>
      </w:sdtPr>
      <w:sdtEndPr>
        <w:rPr>
          <w:color w:val="auto"/>
        </w:rPr>
      </w:sdtEndPr>
      <w:sdtContent>
        <w:p w14:paraId="5A447D9A" w14:textId="2638DC61" w:rsidR="00CB142C" w:rsidRDefault="00CB142C">
          <w:pPr>
            <w:pStyle w:val="NoSpacing"/>
            <w:spacing w:before="1540" w:after="240"/>
            <w:jc w:val="center"/>
            <w:rPr>
              <w:color w:val="4472C4" w:themeColor="accent1"/>
            </w:rPr>
          </w:pPr>
          <w:r>
            <w:rPr>
              <w:noProof/>
              <w:color w:val="4472C4" w:themeColor="accent1"/>
            </w:rPr>
            <w:drawing>
              <wp:inline distT="0" distB="0" distL="0" distR="0" wp14:anchorId="23F0A3BE" wp14:editId="61C66D63">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72"/>
              <w:szCs w:val="72"/>
            </w:rPr>
            <w:alias w:val="Title"/>
            <w:tag w:val=""/>
            <w:id w:val="1735040861"/>
            <w:placeholder>
              <w:docPart w:val="6C50617AA2564AAD83A014871149F81A"/>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01217B6D" w14:textId="74A9BA6B" w:rsidR="00CB142C" w:rsidRPr="00CB142C" w:rsidRDefault="009550D9" w:rsidP="00CB142C">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Pr>
                  <w:rFonts w:asciiTheme="majorHAnsi" w:eastAsiaTheme="majorEastAsia" w:hAnsiTheme="majorHAnsi" w:cstheme="majorBidi"/>
                  <w:caps/>
                  <w:color w:val="4472C4" w:themeColor="accent1"/>
                  <w:sz w:val="72"/>
                  <w:szCs w:val="72"/>
                </w:rPr>
                <w:t>Critical Analysis of the implementation of vehicle to grid technology in an automotive setting</w:t>
              </w:r>
            </w:p>
          </w:sdtContent>
        </w:sdt>
        <w:p w14:paraId="7C88B765" w14:textId="3992F402" w:rsidR="00CB142C" w:rsidRDefault="00CB142C">
          <w:pPr>
            <w:pStyle w:val="NoSpacing"/>
            <w:spacing w:before="480"/>
            <w:jc w:val="center"/>
            <w:rPr>
              <w:color w:val="4472C4" w:themeColor="accent1"/>
            </w:rPr>
          </w:pPr>
          <w:r>
            <w:rPr>
              <w:noProof/>
              <w:color w:val="4472C4" w:themeColor="accent1"/>
            </w:rPr>
            <w:drawing>
              <wp:inline distT="0" distB="0" distL="0" distR="0" wp14:anchorId="72A287DD" wp14:editId="5FE19822">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7EE24713" w14:textId="55A7B330" w:rsidR="00CB142C" w:rsidRDefault="00731981">
          <w:r>
            <w:rPr>
              <w:noProof/>
              <w:color w:val="4472C4" w:themeColor="accent1"/>
            </w:rPr>
            <mc:AlternateContent>
              <mc:Choice Requires="wps">
                <w:drawing>
                  <wp:anchor distT="0" distB="0" distL="114300" distR="114300" simplePos="0" relativeHeight="251659264" behindDoc="0" locked="0" layoutInCell="1" allowOverlap="1" wp14:anchorId="145F661B" wp14:editId="1D9216B3">
                    <wp:simplePos x="0" y="0"/>
                    <wp:positionH relativeFrom="margin">
                      <wp:align>right</wp:align>
                    </wp:positionH>
                    <wp:positionV relativeFrom="page">
                      <wp:posOffset>8488045</wp:posOffset>
                    </wp:positionV>
                    <wp:extent cx="6553200" cy="557784"/>
                    <wp:effectExtent l="0" t="0" r="2540" b="127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0A3A0D4" w14:textId="77777777" w:rsidR="00CB142C" w:rsidRPr="00CB142C" w:rsidRDefault="00CB142C" w:rsidP="00CB142C">
                                <w:pPr>
                                  <w:pStyle w:val="NoSpacing"/>
                                  <w:jc w:val="center"/>
                                  <w:rPr>
                                    <w:color w:val="4472C4" w:themeColor="accent1"/>
                                  </w:rPr>
                                </w:pPr>
                                <w:r w:rsidRPr="00CB142C">
                                  <w:rPr>
                                    <w:color w:val="4472C4" w:themeColor="accent1"/>
                                  </w:rPr>
                                  <w:t>University of Wales Trinity Saint David</w:t>
                                </w:r>
                              </w:p>
                              <w:p w14:paraId="505DE7EA" w14:textId="77777777" w:rsidR="00CB142C" w:rsidRPr="00CB142C" w:rsidRDefault="00CB142C" w:rsidP="00CB142C">
                                <w:pPr>
                                  <w:pStyle w:val="NoSpacing"/>
                                  <w:jc w:val="center"/>
                                  <w:rPr>
                                    <w:color w:val="4472C4" w:themeColor="accent1"/>
                                  </w:rPr>
                                </w:pPr>
                                <w:r w:rsidRPr="00CB142C">
                                  <w:rPr>
                                    <w:color w:val="4472C4" w:themeColor="accent1"/>
                                  </w:rPr>
                                  <w:t xml:space="preserve">School of Engineering </w:t>
                                </w:r>
                              </w:p>
                              <w:p w14:paraId="3D96E26F" w14:textId="77777777" w:rsidR="00CB142C" w:rsidRPr="00CB142C" w:rsidRDefault="00CB142C" w:rsidP="00CB142C">
                                <w:pPr>
                                  <w:pStyle w:val="NoSpacing"/>
                                  <w:jc w:val="center"/>
                                  <w:rPr>
                                    <w:color w:val="4472C4" w:themeColor="accent1"/>
                                  </w:rPr>
                                </w:pPr>
                                <w:r w:rsidRPr="00CB142C">
                                  <w:rPr>
                                    <w:color w:val="4472C4" w:themeColor="accent1"/>
                                  </w:rPr>
                                  <w:t>Thomas Crocker</w:t>
                                </w:r>
                              </w:p>
                              <w:p w14:paraId="6079A1C7" w14:textId="77777777" w:rsidR="00CB142C" w:rsidRPr="00CB142C" w:rsidRDefault="00CB142C" w:rsidP="00CB142C">
                                <w:pPr>
                                  <w:pStyle w:val="NoSpacing"/>
                                  <w:jc w:val="center"/>
                                  <w:rPr>
                                    <w:color w:val="4472C4" w:themeColor="accent1"/>
                                  </w:rPr>
                                </w:pPr>
                                <w:r w:rsidRPr="00CB142C">
                                  <w:rPr>
                                    <w:color w:val="4472C4" w:themeColor="accent1"/>
                                  </w:rPr>
                                  <w:t>1801936</w:t>
                                </w:r>
                              </w:p>
                              <w:p w14:paraId="4673E65E" w14:textId="67CF84FB" w:rsidR="00C65F26" w:rsidRDefault="00CB142C" w:rsidP="009550D9">
                                <w:pPr>
                                  <w:pStyle w:val="NoSpacing"/>
                                  <w:jc w:val="center"/>
                                  <w:rPr>
                                    <w:color w:val="4472C4" w:themeColor="accent1"/>
                                  </w:rPr>
                                </w:pPr>
                                <w:r w:rsidRPr="00CB142C">
                                  <w:rPr>
                                    <w:color w:val="4472C4" w:themeColor="accent1"/>
                                  </w:rPr>
                                  <w:t>BEng Motorsport Engineering</w:t>
                                </w:r>
                              </w:p>
                              <w:p w14:paraId="0D4C6431" w14:textId="160B286E" w:rsidR="00C65F26" w:rsidRDefault="009550D9" w:rsidP="00CB142C">
                                <w:pPr>
                                  <w:pStyle w:val="NoSpacing"/>
                                  <w:jc w:val="center"/>
                                  <w:rPr>
                                    <w:color w:val="4472C4" w:themeColor="accent1"/>
                                  </w:rPr>
                                </w:pPr>
                                <w:r>
                                  <w:rPr>
                                    <w:color w:val="4472C4" w:themeColor="accent1"/>
                                  </w:rPr>
                                  <w:t>5/11/21</w:t>
                                </w:r>
                              </w:p>
                              <w:p w14:paraId="451ABFC1" w14:textId="422F6CAF" w:rsidR="009550D9" w:rsidRDefault="009550D9" w:rsidP="00CB142C">
                                <w:pPr>
                                  <w:pStyle w:val="NoSpacing"/>
                                  <w:jc w:val="center"/>
                                  <w:rPr>
                                    <w:color w:val="4472C4" w:themeColor="accent1"/>
                                  </w:rPr>
                                </w:pPr>
                                <w:r>
                                  <w:rPr>
                                    <w:color w:val="4472C4" w:themeColor="accent1"/>
                                  </w:rPr>
                                  <w:t>Materials and Sustainability</w:t>
                                </w:r>
                              </w:p>
                              <w:p w14:paraId="30693FD4" w14:textId="61A67023" w:rsidR="009550D9" w:rsidRDefault="009550D9" w:rsidP="00CB142C">
                                <w:pPr>
                                  <w:pStyle w:val="NoSpacing"/>
                                  <w:jc w:val="center"/>
                                  <w:rPr>
                                    <w:color w:val="4472C4" w:themeColor="accent1"/>
                                  </w:rPr>
                                </w:pPr>
                                <w:r>
                                  <w:rPr>
                                    <w:color w:val="4472C4" w:themeColor="accent1"/>
                                  </w:rPr>
                                  <w:t>ACHA6012</w:t>
                                </w: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145F661B" id="_x0000_t202" coordsize="21600,21600" o:spt="202" path="m,l,21600r21600,l21600,xe">
                    <v:stroke joinstyle="miter"/>
                    <v:path gradientshapeok="t" o:connecttype="rect"/>
                  </v:shapetype>
                  <v:shape id="Text Box 142" o:spid="_x0000_s1026" type="#_x0000_t202" style="position:absolute;margin-left:464.8pt;margin-top:668.35pt;width:516pt;height:43.9pt;z-index:251659264;visibility:visible;mso-wrap-style:square;mso-width-percent:1000;mso-height-percent:0;mso-wrap-distance-left:9pt;mso-wrap-distance-top:0;mso-wrap-distance-right:9pt;mso-wrap-distance-bottom:0;mso-position-horizontal:right;mso-position-horizontal-relative:margin;mso-position-vertical:absolute;mso-position-vertical-relative:page;mso-width-percent:1000;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LfUU2+IAAAAL&#10;AQAADwAAAGRycy9kb3ducmV2LnhtbEyPQU/DMAyF70j8h8hIXBBLaceKStMJoXFASAi2HeCWNqat&#10;1jhVk22BX493gpv9nvX8vXIZ7SAOOPnekYKbWQICqXGmp1bBdvN0fQfCB01GD45QwTd6WFbnZ6Uu&#10;jDvSOx7WoRUcQr7QCroQxkJK33RotZ+5EYm9LzdZHXidWmkmfeRwO8g0SRbS6p74Q6dHfOyw2a33&#10;VsGzf/nx3Sp+vL3mq/qqzs3uMwalLi/iwz2IgDH8HcMJn9GhYqba7cl4MSjgIoHVLFvkIE5+kqWs&#10;1TzN0/ktyKqU/ztUvwAAAP//AwBQSwECLQAUAAYACAAAACEAtoM4kv4AAADhAQAAEwAAAAAAAAAA&#10;AAAAAAAAAAAAW0NvbnRlbnRfVHlwZXNdLnhtbFBLAQItABQABgAIAAAAIQA4/SH/1gAAAJQBAAAL&#10;AAAAAAAAAAAAAAAAAC8BAABfcmVscy8ucmVsc1BLAQItABQABgAIAAAAIQBjTTG0dQIAAFYFAAAO&#10;AAAAAAAAAAAAAAAAAC4CAABkcnMvZTJvRG9jLnhtbFBLAQItABQABgAIAAAAIQAt9RTb4gAAAAsB&#10;AAAPAAAAAAAAAAAAAAAAAM8EAABkcnMvZG93bnJldi54bWxQSwUGAAAAAAQABADzAAAA3gUAAAAA&#10;" filled="f" stroked="f" strokeweight=".5pt">
                    <v:textbox style="mso-fit-shape-to-text:t" inset="0,0,0,0">
                      <w:txbxContent>
                        <w:p w14:paraId="70A3A0D4" w14:textId="77777777" w:rsidR="00CB142C" w:rsidRPr="00CB142C" w:rsidRDefault="00CB142C" w:rsidP="00CB142C">
                          <w:pPr>
                            <w:pStyle w:val="NoSpacing"/>
                            <w:jc w:val="center"/>
                            <w:rPr>
                              <w:color w:val="4472C4" w:themeColor="accent1"/>
                            </w:rPr>
                          </w:pPr>
                          <w:r w:rsidRPr="00CB142C">
                            <w:rPr>
                              <w:color w:val="4472C4" w:themeColor="accent1"/>
                            </w:rPr>
                            <w:t>University of Wales Trinity Saint David</w:t>
                          </w:r>
                        </w:p>
                        <w:p w14:paraId="505DE7EA" w14:textId="77777777" w:rsidR="00CB142C" w:rsidRPr="00CB142C" w:rsidRDefault="00CB142C" w:rsidP="00CB142C">
                          <w:pPr>
                            <w:pStyle w:val="NoSpacing"/>
                            <w:jc w:val="center"/>
                            <w:rPr>
                              <w:color w:val="4472C4" w:themeColor="accent1"/>
                            </w:rPr>
                          </w:pPr>
                          <w:r w:rsidRPr="00CB142C">
                            <w:rPr>
                              <w:color w:val="4472C4" w:themeColor="accent1"/>
                            </w:rPr>
                            <w:t xml:space="preserve">School of Engineering </w:t>
                          </w:r>
                        </w:p>
                        <w:p w14:paraId="3D96E26F" w14:textId="77777777" w:rsidR="00CB142C" w:rsidRPr="00CB142C" w:rsidRDefault="00CB142C" w:rsidP="00CB142C">
                          <w:pPr>
                            <w:pStyle w:val="NoSpacing"/>
                            <w:jc w:val="center"/>
                            <w:rPr>
                              <w:color w:val="4472C4" w:themeColor="accent1"/>
                            </w:rPr>
                          </w:pPr>
                          <w:r w:rsidRPr="00CB142C">
                            <w:rPr>
                              <w:color w:val="4472C4" w:themeColor="accent1"/>
                            </w:rPr>
                            <w:t>Thomas Crocker</w:t>
                          </w:r>
                        </w:p>
                        <w:p w14:paraId="6079A1C7" w14:textId="77777777" w:rsidR="00CB142C" w:rsidRPr="00CB142C" w:rsidRDefault="00CB142C" w:rsidP="00CB142C">
                          <w:pPr>
                            <w:pStyle w:val="NoSpacing"/>
                            <w:jc w:val="center"/>
                            <w:rPr>
                              <w:color w:val="4472C4" w:themeColor="accent1"/>
                            </w:rPr>
                          </w:pPr>
                          <w:r w:rsidRPr="00CB142C">
                            <w:rPr>
                              <w:color w:val="4472C4" w:themeColor="accent1"/>
                            </w:rPr>
                            <w:t>1801936</w:t>
                          </w:r>
                        </w:p>
                        <w:p w14:paraId="4673E65E" w14:textId="67CF84FB" w:rsidR="00C65F26" w:rsidRDefault="00CB142C" w:rsidP="009550D9">
                          <w:pPr>
                            <w:pStyle w:val="NoSpacing"/>
                            <w:jc w:val="center"/>
                            <w:rPr>
                              <w:color w:val="4472C4" w:themeColor="accent1"/>
                            </w:rPr>
                          </w:pPr>
                          <w:r w:rsidRPr="00CB142C">
                            <w:rPr>
                              <w:color w:val="4472C4" w:themeColor="accent1"/>
                            </w:rPr>
                            <w:t>BEng Motorsport Engineering</w:t>
                          </w:r>
                        </w:p>
                        <w:p w14:paraId="0D4C6431" w14:textId="160B286E" w:rsidR="00C65F26" w:rsidRDefault="009550D9" w:rsidP="00CB142C">
                          <w:pPr>
                            <w:pStyle w:val="NoSpacing"/>
                            <w:jc w:val="center"/>
                            <w:rPr>
                              <w:color w:val="4472C4" w:themeColor="accent1"/>
                            </w:rPr>
                          </w:pPr>
                          <w:r>
                            <w:rPr>
                              <w:color w:val="4472C4" w:themeColor="accent1"/>
                            </w:rPr>
                            <w:t>5/11/21</w:t>
                          </w:r>
                        </w:p>
                        <w:p w14:paraId="451ABFC1" w14:textId="422F6CAF" w:rsidR="009550D9" w:rsidRDefault="009550D9" w:rsidP="00CB142C">
                          <w:pPr>
                            <w:pStyle w:val="NoSpacing"/>
                            <w:jc w:val="center"/>
                            <w:rPr>
                              <w:color w:val="4472C4" w:themeColor="accent1"/>
                            </w:rPr>
                          </w:pPr>
                          <w:r>
                            <w:rPr>
                              <w:color w:val="4472C4" w:themeColor="accent1"/>
                            </w:rPr>
                            <w:t>Materials and Sustainability</w:t>
                          </w:r>
                        </w:p>
                        <w:p w14:paraId="30693FD4" w14:textId="61A67023" w:rsidR="009550D9" w:rsidRDefault="009550D9" w:rsidP="00CB142C">
                          <w:pPr>
                            <w:pStyle w:val="NoSpacing"/>
                            <w:jc w:val="center"/>
                            <w:rPr>
                              <w:color w:val="4472C4" w:themeColor="accent1"/>
                            </w:rPr>
                          </w:pPr>
                          <w:r>
                            <w:rPr>
                              <w:color w:val="4472C4" w:themeColor="accent1"/>
                            </w:rPr>
                            <w:t>ACHA6012</w:t>
                          </w:r>
                        </w:p>
                      </w:txbxContent>
                    </v:textbox>
                    <w10:wrap anchorx="margin" anchory="page"/>
                  </v:shape>
                </w:pict>
              </mc:Fallback>
            </mc:AlternateContent>
          </w:r>
          <w:r w:rsidR="00CB142C">
            <w:br w:type="page"/>
          </w:r>
        </w:p>
      </w:sdtContent>
    </w:sdt>
    <w:sdt>
      <w:sdtPr>
        <w:rPr>
          <w:rFonts w:asciiTheme="minorHAnsi" w:eastAsiaTheme="minorHAnsi" w:hAnsiTheme="minorHAnsi" w:cstheme="minorBidi"/>
          <w:color w:val="auto"/>
          <w:sz w:val="22"/>
          <w:szCs w:val="22"/>
          <w:lang w:val="en-GB"/>
        </w:rPr>
        <w:id w:val="-607112222"/>
        <w:docPartObj>
          <w:docPartGallery w:val="Table of Contents"/>
          <w:docPartUnique/>
        </w:docPartObj>
      </w:sdtPr>
      <w:sdtEndPr>
        <w:rPr>
          <w:b/>
          <w:bCs/>
          <w:noProof/>
        </w:rPr>
      </w:sdtEndPr>
      <w:sdtContent>
        <w:p w14:paraId="5C9A7C3D" w14:textId="472EEA8C" w:rsidR="00C65F26" w:rsidRDefault="00C65F26">
          <w:pPr>
            <w:pStyle w:val="TOCHeading"/>
          </w:pPr>
          <w:r>
            <w:t>Table of Contents</w:t>
          </w:r>
        </w:p>
        <w:p w14:paraId="7223B35D" w14:textId="01926014" w:rsidR="0021525B" w:rsidRDefault="00C65F26">
          <w:pPr>
            <w:pStyle w:val="TOC1"/>
            <w:tabs>
              <w:tab w:val="right" w:leader="dot" w:pos="9016"/>
            </w:tabs>
            <w:rPr>
              <w:rFonts w:cstheme="minorBidi"/>
              <w:noProof/>
              <w:lang w:val="en-GB" w:eastAsia="en-GB"/>
            </w:rPr>
          </w:pPr>
          <w:r>
            <w:fldChar w:fldCharType="begin"/>
          </w:r>
          <w:r>
            <w:instrText xml:space="preserve"> TOC \o "1-3" \h \z \u </w:instrText>
          </w:r>
          <w:r>
            <w:fldChar w:fldCharType="separate"/>
          </w:r>
          <w:hyperlink w:anchor="_Toc88494155" w:history="1">
            <w:r w:rsidR="0021525B" w:rsidRPr="0099065D">
              <w:rPr>
                <w:rStyle w:val="Hyperlink"/>
                <w:noProof/>
              </w:rPr>
              <w:t>Section 1 – Introduction</w:t>
            </w:r>
            <w:r w:rsidR="0021525B">
              <w:rPr>
                <w:noProof/>
                <w:webHidden/>
              </w:rPr>
              <w:tab/>
            </w:r>
            <w:r w:rsidR="0021525B">
              <w:rPr>
                <w:noProof/>
                <w:webHidden/>
              </w:rPr>
              <w:fldChar w:fldCharType="begin"/>
            </w:r>
            <w:r w:rsidR="0021525B">
              <w:rPr>
                <w:noProof/>
                <w:webHidden/>
              </w:rPr>
              <w:instrText xml:space="preserve"> PAGEREF _Toc88494155 \h </w:instrText>
            </w:r>
            <w:r w:rsidR="0021525B">
              <w:rPr>
                <w:noProof/>
                <w:webHidden/>
              </w:rPr>
            </w:r>
            <w:r w:rsidR="0021525B">
              <w:rPr>
                <w:noProof/>
                <w:webHidden/>
              </w:rPr>
              <w:fldChar w:fldCharType="separate"/>
            </w:r>
            <w:r w:rsidR="0021525B">
              <w:rPr>
                <w:noProof/>
                <w:webHidden/>
              </w:rPr>
              <w:t>2</w:t>
            </w:r>
            <w:r w:rsidR="0021525B">
              <w:rPr>
                <w:noProof/>
                <w:webHidden/>
              </w:rPr>
              <w:fldChar w:fldCharType="end"/>
            </w:r>
          </w:hyperlink>
        </w:p>
        <w:p w14:paraId="5EA4DDBC" w14:textId="2EBB08AF" w:rsidR="0021525B" w:rsidRDefault="003A487A">
          <w:pPr>
            <w:pStyle w:val="TOC1"/>
            <w:tabs>
              <w:tab w:val="right" w:leader="dot" w:pos="9016"/>
            </w:tabs>
            <w:rPr>
              <w:rFonts w:cstheme="minorBidi"/>
              <w:noProof/>
              <w:lang w:val="en-GB" w:eastAsia="en-GB"/>
            </w:rPr>
          </w:pPr>
          <w:hyperlink w:anchor="_Toc88494156" w:history="1">
            <w:r w:rsidR="0021525B" w:rsidRPr="0099065D">
              <w:rPr>
                <w:rStyle w:val="Hyperlink"/>
                <w:noProof/>
              </w:rPr>
              <w:t>Section 2 – Vehicle to Grid (V2G)</w:t>
            </w:r>
            <w:r w:rsidR="0021525B">
              <w:rPr>
                <w:noProof/>
                <w:webHidden/>
              </w:rPr>
              <w:tab/>
            </w:r>
            <w:r w:rsidR="0021525B">
              <w:rPr>
                <w:noProof/>
                <w:webHidden/>
              </w:rPr>
              <w:fldChar w:fldCharType="begin"/>
            </w:r>
            <w:r w:rsidR="0021525B">
              <w:rPr>
                <w:noProof/>
                <w:webHidden/>
              </w:rPr>
              <w:instrText xml:space="preserve"> PAGEREF _Toc88494156 \h </w:instrText>
            </w:r>
            <w:r w:rsidR="0021525B">
              <w:rPr>
                <w:noProof/>
                <w:webHidden/>
              </w:rPr>
            </w:r>
            <w:r w:rsidR="0021525B">
              <w:rPr>
                <w:noProof/>
                <w:webHidden/>
              </w:rPr>
              <w:fldChar w:fldCharType="separate"/>
            </w:r>
            <w:r w:rsidR="0021525B">
              <w:rPr>
                <w:noProof/>
                <w:webHidden/>
              </w:rPr>
              <w:t>4</w:t>
            </w:r>
            <w:r w:rsidR="0021525B">
              <w:rPr>
                <w:noProof/>
                <w:webHidden/>
              </w:rPr>
              <w:fldChar w:fldCharType="end"/>
            </w:r>
          </w:hyperlink>
        </w:p>
        <w:p w14:paraId="75DB6550" w14:textId="001D1469" w:rsidR="0021525B" w:rsidRDefault="003A487A">
          <w:pPr>
            <w:pStyle w:val="TOC1"/>
            <w:tabs>
              <w:tab w:val="right" w:leader="dot" w:pos="9016"/>
            </w:tabs>
            <w:rPr>
              <w:rFonts w:cstheme="minorBidi"/>
              <w:noProof/>
              <w:lang w:val="en-GB" w:eastAsia="en-GB"/>
            </w:rPr>
          </w:pPr>
          <w:hyperlink w:anchor="_Toc88494157" w:history="1">
            <w:r w:rsidR="0021525B" w:rsidRPr="0099065D">
              <w:rPr>
                <w:rStyle w:val="Hyperlink"/>
                <w:noProof/>
              </w:rPr>
              <w:t>Section 3 – Discussion</w:t>
            </w:r>
            <w:r w:rsidR="0021525B">
              <w:rPr>
                <w:noProof/>
                <w:webHidden/>
              </w:rPr>
              <w:tab/>
            </w:r>
            <w:r w:rsidR="0021525B">
              <w:rPr>
                <w:noProof/>
                <w:webHidden/>
              </w:rPr>
              <w:fldChar w:fldCharType="begin"/>
            </w:r>
            <w:r w:rsidR="0021525B">
              <w:rPr>
                <w:noProof/>
                <w:webHidden/>
              </w:rPr>
              <w:instrText xml:space="preserve"> PAGEREF _Toc88494157 \h </w:instrText>
            </w:r>
            <w:r w:rsidR="0021525B">
              <w:rPr>
                <w:noProof/>
                <w:webHidden/>
              </w:rPr>
            </w:r>
            <w:r w:rsidR="0021525B">
              <w:rPr>
                <w:noProof/>
                <w:webHidden/>
              </w:rPr>
              <w:fldChar w:fldCharType="separate"/>
            </w:r>
            <w:r w:rsidR="0021525B">
              <w:rPr>
                <w:noProof/>
                <w:webHidden/>
              </w:rPr>
              <w:t>5</w:t>
            </w:r>
            <w:r w:rsidR="0021525B">
              <w:rPr>
                <w:noProof/>
                <w:webHidden/>
              </w:rPr>
              <w:fldChar w:fldCharType="end"/>
            </w:r>
          </w:hyperlink>
        </w:p>
        <w:p w14:paraId="7CCA9D1A" w14:textId="138CDD61" w:rsidR="0021525B" w:rsidRDefault="003A487A">
          <w:pPr>
            <w:pStyle w:val="TOC2"/>
            <w:tabs>
              <w:tab w:val="right" w:leader="dot" w:pos="9016"/>
            </w:tabs>
            <w:rPr>
              <w:rFonts w:cstheme="minorBidi"/>
              <w:noProof/>
              <w:lang w:val="en-GB" w:eastAsia="en-GB"/>
            </w:rPr>
          </w:pPr>
          <w:hyperlink w:anchor="_Toc88494158" w:history="1">
            <w:r w:rsidR="0021525B" w:rsidRPr="0099065D">
              <w:rPr>
                <w:rStyle w:val="Hyperlink"/>
                <w:noProof/>
              </w:rPr>
              <w:t>Section 3.1 – Immediate Impact of Vehicle to Grid</w:t>
            </w:r>
            <w:r w:rsidR="0021525B">
              <w:rPr>
                <w:noProof/>
                <w:webHidden/>
              </w:rPr>
              <w:tab/>
            </w:r>
            <w:r w:rsidR="0021525B">
              <w:rPr>
                <w:noProof/>
                <w:webHidden/>
              </w:rPr>
              <w:fldChar w:fldCharType="begin"/>
            </w:r>
            <w:r w:rsidR="0021525B">
              <w:rPr>
                <w:noProof/>
                <w:webHidden/>
              </w:rPr>
              <w:instrText xml:space="preserve"> PAGEREF _Toc88494158 \h </w:instrText>
            </w:r>
            <w:r w:rsidR="0021525B">
              <w:rPr>
                <w:noProof/>
                <w:webHidden/>
              </w:rPr>
            </w:r>
            <w:r w:rsidR="0021525B">
              <w:rPr>
                <w:noProof/>
                <w:webHidden/>
              </w:rPr>
              <w:fldChar w:fldCharType="separate"/>
            </w:r>
            <w:r w:rsidR="0021525B">
              <w:rPr>
                <w:noProof/>
                <w:webHidden/>
              </w:rPr>
              <w:t>5</w:t>
            </w:r>
            <w:r w:rsidR="0021525B">
              <w:rPr>
                <w:noProof/>
                <w:webHidden/>
              </w:rPr>
              <w:fldChar w:fldCharType="end"/>
            </w:r>
          </w:hyperlink>
        </w:p>
        <w:p w14:paraId="03F9F625" w14:textId="21833607" w:rsidR="0021525B" w:rsidRDefault="003A487A">
          <w:pPr>
            <w:pStyle w:val="TOC2"/>
            <w:tabs>
              <w:tab w:val="right" w:leader="dot" w:pos="9016"/>
            </w:tabs>
            <w:rPr>
              <w:rFonts w:cstheme="minorBidi"/>
              <w:noProof/>
              <w:lang w:val="en-GB" w:eastAsia="en-GB"/>
            </w:rPr>
          </w:pPr>
          <w:hyperlink w:anchor="_Toc88494159" w:history="1">
            <w:r w:rsidR="0021525B" w:rsidRPr="0099065D">
              <w:rPr>
                <w:rStyle w:val="Hyperlink"/>
                <w:noProof/>
              </w:rPr>
              <w:t>Section 3.2 – Long Term Impact of Vehicle to Grid</w:t>
            </w:r>
            <w:r w:rsidR="0021525B">
              <w:rPr>
                <w:noProof/>
                <w:webHidden/>
              </w:rPr>
              <w:tab/>
            </w:r>
            <w:r w:rsidR="0021525B">
              <w:rPr>
                <w:noProof/>
                <w:webHidden/>
              </w:rPr>
              <w:fldChar w:fldCharType="begin"/>
            </w:r>
            <w:r w:rsidR="0021525B">
              <w:rPr>
                <w:noProof/>
                <w:webHidden/>
              </w:rPr>
              <w:instrText xml:space="preserve"> PAGEREF _Toc88494159 \h </w:instrText>
            </w:r>
            <w:r w:rsidR="0021525B">
              <w:rPr>
                <w:noProof/>
                <w:webHidden/>
              </w:rPr>
            </w:r>
            <w:r w:rsidR="0021525B">
              <w:rPr>
                <w:noProof/>
                <w:webHidden/>
              </w:rPr>
              <w:fldChar w:fldCharType="separate"/>
            </w:r>
            <w:r w:rsidR="0021525B">
              <w:rPr>
                <w:noProof/>
                <w:webHidden/>
              </w:rPr>
              <w:t>6</w:t>
            </w:r>
            <w:r w:rsidR="0021525B">
              <w:rPr>
                <w:noProof/>
                <w:webHidden/>
              </w:rPr>
              <w:fldChar w:fldCharType="end"/>
            </w:r>
          </w:hyperlink>
        </w:p>
        <w:p w14:paraId="27649B1F" w14:textId="4BF3EBAC" w:rsidR="0021525B" w:rsidRDefault="003A487A">
          <w:pPr>
            <w:pStyle w:val="TOC2"/>
            <w:tabs>
              <w:tab w:val="right" w:leader="dot" w:pos="9016"/>
            </w:tabs>
            <w:rPr>
              <w:rFonts w:cstheme="minorBidi"/>
              <w:noProof/>
              <w:lang w:val="en-GB" w:eastAsia="en-GB"/>
            </w:rPr>
          </w:pPr>
          <w:hyperlink w:anchor="_Toc88494160" w:history="1">
            <w:r w:rsidR="0021525B" w:rsidRPr="0099065D">
              <w:rPr>
                <w:rStyle w:val="Hyperlink"/>
                <w:noProof/>
              </w:rPr>
              <w:t>Section 3.3 – Practicalities</w:t>
            </w:r>
            <w:r w:rsidR="0021525B">
              <w:rPr>
                <w:noProof/>
                <w:webHidden/>
              </w:rPr>
              <w:tab/>
            </w:r>
            <w:r w:rsidR="0021525B">
              <w:rPr>
                <w:noProof/>
                <w:webHidden/>
              </w:rPr>
              <w:fldChar w:fldCharType="begin"/>
            </w:r>
            <w:r w:rsidR="0021525B">
              <w:rPr>
                <w:noProof/>
                <w:webHidden/>
              </w:rPr>
              <w:instrText xml:space="preserve"> PAGEREF _Toc88494160 \h </w:instrText>
            </w:r>
            <w:r w:rsidR="0021525B">
              <w:rPr>
                <w:noProof/>
                <w:webHidden/>
              </w:rPr>
            </w:r>
            <w:r w:rsidR="0021525B">
              <w:rPr>
                <w:noProof/>
                <w:webHidden/>
              </w:rPr>
              <w:fldChar w:fldCharType="separate"/>
            </w:r>
            <w:r w:rsidR="0021525B">
              <w:rPr>
                <w:noProof/>
                <w:webHidden/>
              </w:rPr>
              <w:t>6</w:t>
            </w:r>
            <w:r w:rsidR="0021525B">
              <w:rPr>
                <w:noProof/>
                <w:webHidden/>
              </w:rPr>
              <w:fldChar w:fldCharType="end"/>
            </w:r>
          </w:hyperlink>
        </w:p>
        <w:p w14:paraId="599FB825" w14:textId="24D8FE14" w:rsidR="0021525B" w:rsidRDefault="003A487A">
          <w:pPr>
            <w:pStyle w:val="TOC2"/>
            <w:tabs>
              <w:tab w:val="right" w:leader="dot" w:pos="9016"/>
            </w:tabs>
            <w:rPr>
              <w:rFonts w:cstheme="minorBidi"/>
              <w:noProof/>
              <w:lang w:val="en-GB" w:eastAsia="en-GB"/>
            </w:rPr>
          </w:pPr>
          <w:hyperlink w:anchor="_Toc88494161" w:history="1">
            <w:r w:rsidR="0021525B" w:rsidRPr="0099065D">
              <w:rPr>
                <w:rStyle w:val="Hyperlink"/>
                <w:noProof/>
              </w:rPr>
              <w:t>Section 3.4 – Ethics</w:t>
            </w:r>
            <w:r w:rsidR="0021525B">
              <w:rPr>
                <w:noProof/>
                <w:webHidden/>
              </w:rPr>
              <w:tab/>
            </w:r>
            <w:r w:rsidR="0021525B">
              <w:rPr>
                <w:noProof/>
                <w:webHidden/>
              </w:rPr>
              <w:fldChar w:fldCharType="begin"/>
            </w:r>
            <w:r w:rsidR="0021525B">
              <w:rPr>
                <w:noProof/>
                <w:webHidden/>
              </w:rPr>
              <w:instrText xml:space="preserve"> PAGEREF _Toc88494161 \h </w:instrText>
            </w:r>
            <w:r w:rsidR="0021525B">
              <w:rPr>
                <w:noProof/>
                <w:webHidden/>
              </w:rPr>
            </w:r>
            <w:r w:rsidR="0021525B">
              <w:rPr>
                <w:noProof/>
                <w:webHidden/>
              </w:rPr>
              <w:fldChar w:fldCharType="separate"/>
            </w:r>
            <w:r w:rsidR="0021525B">
              <w:rPr>
                <w:noProof/>
                <w:webHidden/>
              </w:rPr>
              <w:t>7</w:t>
            </w:r>
            <w:r w:rsidR="0021525B">
              <w:rPr>
                <w:noProof/>
                <w:webHidden/>
              </w:rPr>
              <w:fldChar w:fldCharType="end"/>
            </w:r>
          </w:hyperlink>
        </w:p>
        <w:p w14:paraId="5F685302" w14:textId="30AD3E00" w:rsidR="0021525B" w:rsidRDefault="003A487A">
          <w:pPr>
            <w:pStyle w:val="TOC2"/>
            <w:tabs>
              <w:tab w:val="right" w:leader="dot" w:pos="9016"/>
            </w:tabs>
            <w:rPr>
              <w:rFonts w:cstheme="minorBidi"/>
              <w:noProof/>
              <w:lang w:val="en-GB" w:eastAsia="en-GB"/>
            </w:rPr>
          </w:pPr>
          <w:hyperlink w:anchor="_Toc88494162" w:history="1">
            <w:r w:rsidR="0021525B" w:rsidRPr="0099065D">
              <w:rPr>
                <w:rStyle w:val="Hyperlink"/>
                <w:noProof/>
              </w:rPr>
              <w:t>Section 3.5 – Grid Capability</w:t>
            </w:r>
            <w:r w:rsidR="0021525B">
              <w:rPr>
                <w:noProof/>
                <w:webHidden/>
              </w:rPr>
              <w:tab/>
            </w:r>
            <w:r w:rsidR="0021525B">
              <w:rPr>
                <w:noProof/>
                <w:webHidden/>
              </w:rPr>
              <w:fldChar w:fldCharType="begin"/>
            </w:r>
            <w:r w:rsidR="0021525B">
              <w:rPr>
                <w:noProof/>
                <w:webHidden/>
              </w:rPr>
              <w:instrText xml:space="preserve"> PAGEREF _Toc88494162 \h </w:instrText>
            </w:r>
            <w:r w:rsidR="0021525B">
              <w:rPr>
                <w:noProof/>
                <w:webHidden/>
              </w:rPr>
            </w:r>
            <w:r w:rsidR="0021525B">
              <w:rPr>
                <w:noProof/>
                <w:webHidden/>
              </w:rPr>
              <w:fldChar w:fldCharType="separate"/>
            </w:r>
            <w:r w:rsidR="0021525B">
              <w:rPr>
                <w:noProof/>
                <w:webHidden/>
              </w:rPr>
              <w:t>10</w:t>
            </w:r>
            <w:r w:rsidR="0021525B">
              <w:rPr>
                <w:noProof/>
                <w:webHidden/>
              </w:rPr>
              <w:fldChar w:fldCharType="end"/>
            </w:r>
          </w:hyperlink>
        </w:p>
        <w:p w14:paraId="40455F53" w14:textId="362A0652" w:rsidR="0021525B" w:rsidRDefault="003A487A">
          <w:pPr>
            <w:pStyle w:val="TOC1"/>
            <w:tabs>
              <w:tab w:val="right" w:leader="dot" w:pos="9016"/>
            </w:tabs>
            <w:rPr>
              <w:rFonts w:cstheme="minorBidi"/>
              <w:noProof/>
              <w:lang w:val="en-GB" w:eastAsia="en-GB"/>
            </w:rPr>
          </w:pPr>
          <w:hyperlink w:anchor="_Toc88494163" w:history="1">
            <w:r w:rsidR="0021525B" w:rsidRPr="0099065D">
              <w:rPr>
                <w:rStyle w:val="Hyperlink"/>
                <w:noProof/>
              </w:rPr>
              <w:t>Section 4 – Conclusion</w:t>
            </w:r>
            <w:r w:rsidR="0021525B">
              <w:rPr>
                <w:noProof/>
                <w:webHidden/>
              </w:rPr>
              <w:tab/>
            </w:r>
            <w:r w:rsidR="0021525B">
              <w:rPr>
                <w:noProof/>
                <w:webHidden/>
              </w:rPr>
              <w:fldChar w:fldCharType="begin"/>
            </w:r>
            <w:r w:rsidR="0021525B">
              <w:rPr>
                <w:noProof/>
                <w:webHidden/>
              </w:rPr>
              <w:instrText xml:space="preserve"> PAGEREF _Toc88494163 \h </w:instrText>
            </w:r>
            <w:r w:rsidR="0021525B">
              <w:rPr>
                <w:noProof/>
                <w:webHidden/>
              </w:rPr>
            </w:r>
            <w:r w:rsidR="0021525B">
              <w:rPr>
                <w:noProof/>
                <w:webHidden/>
              </w:rPr>
              <w:fldChar w:fldCharType="separate"/>
            </w:r>
            <w:r w:rsidR="0021525B">
              <w:rPr>
                <w:noProof/>
                <w:webHidden/>
              </w:rPr>
              <w:t>12</w:t>
            </w:r>
            <w:r w:rsidR="0021525B">
              <w:rPr>
                <w:noProof/>
                <w:webHidden/>
              </w:rPr>
              <w:fldChar w:fldCharType="end"/>
            </w:r>
          </w:hyperlink>
        </w:p>
        <w:p w14:paraId="4066C6B3" w14:textId="2316B0EE" w:rsidR="0021525B" w:rsidRDefault="003A487A">
          <w:pPr>
            <w:pStyle w:val="TOC1"/>
            <w:tabs>
              <w:tab w:val="right" w:leader="dot" w:pos="9016"/>
            </w:tabs>
            <w:rPr>
              <w:rFonts w:cstheme="minorBidi"/>
              <w:noProof/>
              <w:lang w:val="en-GB" w:eastAsia="en-GB"/>
            </w:rPr>
          </w:pPr>
          <w:hyperlink w:anchor="_Toc88494164" w:history="1">
            <w:r w:rsidR="0021525B" w:rsidRPr="0099065D">
              <w:rPr>
                <w:rStyle w:val="Hyperlink"/>
                <w:noProof/>
              </w:rPr>
              <w:t>Section 5 – References</w:t>
            </w:r>
            <w:r w:rsidR="0021525B">
              <w:rPr>
                <w:noProof/>
                <w:webHidden/>
              </w:rPr>
              <w:tab/>
            </w:r>
            <w:r w:rsidR="0021525B">
              <w:rPr>
                <w:noProof/>
                <w:webHidden/>
              </w:rPr>
              <w:fldChar w:fldCharType="begin"/>
            </w:r>
            <w:r w:rsidR="0021525B">
              <w:rPr>
                <w:noProof/>
                <w:webHidden/>
              </w:rPr>
              <w:instrText xml:space="preserve"> PAGEREF _Toc88494164 \h </w:instrText>
            </w:r>
            <w:r w:rsidR="0021525B">
              <w:rPr>
                <w:noProof/>
                <w:webHidden/>
              </w:rPr>
            </w:r>
            <w:r w:rsidR="0021525B">
              <w:rPr>
                <w:noProof/>
                <w:webHidden/>
              </w:rPr>
              <w:fldChar w:fldCharType="separate"/>
            </w:r>
            <w:r w:rsidR="0021525B">
              <w:rPr>
                <w:noProof/>
                <w:webHidden/>
              </w:rPr>
              <w:t>13</w:t>
            </w:r>
            <w:r w:rsidR="0021525B">
              <w:rPr>
                <w:noProof/>
                <w:webHidden/>
              </w:rPr>
              <w:fldChar w:fldCharType="end"/>
            </w:r>
          </w:hyperlink>
        </w:p>
        <w:p w14:paraId="2D9D298C" w14:textId="41E188CF" w:rsidR="00C65F26" w:rsidRDefault="00C65F26">
          <w:r>
            <w:rPr>
              <w:b/>
              <w:bCs/>
              <w:noProof/>
            </w:rPr>
            <w:fldChar w:fldCharType="end"/>
          </w:r>
        </w:p>
      </w:sdtContent>
    </w:sdt>
    <w:p w14:paraId="04F4A2EB" w14:textId="1B328BC7" w:rsidR="00C65F26" w:rsidRDefault="00C65F26">
      <w:r>
        <w:br w:type="page"/>
      </w:r>
    </w:p>
    <w:p w14:paraId="3CB7551D" w14:textId="0D386B54" w:rsidR="00933DEF" w:rsidRDefault="00C65F26" w:rsidP="00802B35">
      <w:pPr>
        <w:pStyle w:val="Heading1"/>
      </w:pPr>
      <w:bookmarkStart w:id="0" w:name="_Toc88494155"/>
      <w:r>
        <w:lastRenderedPageBreak/>
        <w:t>Section 1 – Introduction</w:t>
      </w:r>
      <w:bookmarkEnd w:id="0"/>
    </w:p>
    <w:p w14:paraId="017A68BE" w14:textId="3F5F0E60" w:rsidR="00B5366A" w:rsidRDefault="002E5844" w:rsidP="00933DEF">
      <w:pPr>
        <w:spacing w:line="360" w:lineRule="auto"/>
        <w:jc w:val="both"/>
      </w:pPr>
      <w:r>
        <w:t xml:space="preserve">With devastating flooding across </w:t>
      </w:r>
      <w:r w:rsidR="00BF4AE7">
        <w:t>most of Mainland Europe</w:t>
      </w:r>
      <w:r w:rsidR="00BB5836">
        <w:t xml:space="preserve"> </w:t>
      </w:r>
      <w:r w:rsidR="00BF4AE7">
        <w:t xml:space="preserve">and a giant polar vortex ripping through Texas, USA </w:t>
      </w:r>
      <w:r w:rsidR="00BB5836">
        <w:t>paralysing the state and resulting in massive power outages</w:t>
      </w:r>
      <w:r w:rsidR="00546A38">
        <w:t xml:space="preserve"> over just one year</w:t>
      </w:r>
      <w:r w:rsidR="00BB5836">
        <w:t>, the world is finally waking up to the climate emergency happening across the globe (</w:t>
      </w:r>
      <w:r w:rsidR="00526735">
        <w:t>Buis,</w:t>
      </w:r>
      <w:r w:rsidR="007952AD">
        <w:t xml:space="preserve"> n.d.</w:t>
      </w:r>
      <w:r w:rsidR="00BB5836">
        <w:t>).</w:t>
      </w:r>
      <w:r w:rsidR="00546A38">
        <w:t xml:space="preserve"> </w:t>
      </w:r>
    </w:p>
    <w:p w14:paraId="414506D3" w14:textId="08751A72" w:rsidR="00315B80" w:rsidRDefault="00315B80" w:rsidP="00933DEF">
      <w:pPr>
        <w:spacing w:line="360" w:lineRule="auto"/>
        <w:jc w:val="both"/>
      </w:pPr>
      <w:r>
        <w:rPr>
          <w:noProof/>
        </w:rPr>
        <w:drawing>
          <wp:anchor distT="0" distB="0" distL="114300" distR="114300" simplePos="0" relativeHeight="251660288" behindDoc="1" locked="0" layoutInCell="1" allowOverlap="1" wp14:anchorId="1FE98E81" wp14:editId="44529646">
            <wp:simplePos x="0" y="0"/>
            <wp:positionH relativeFrom="margin">
              <wp:align>center</wp:align>
            </wp:positionH>
            <wp:positionV relativeFrom="paragraph">
              <wp:posOffset>6985</wp:posOffset>
            </wp:positionV>
            <wp:extent cx="3879850" cy="2586355"/>
            <wp:effectExtent l="0" t="0" r="6350" b="4445"/>
            <wp:wrapTight wrapText="bothSides">
              <wp:wrapPolygon edited="0">
                <wp:start x="0" y="0"/>
                <wp:lineTo x="0" y="21478"/>
                <wp:lineTo x="21529" y="21478"/>
                <wp:lineTo x="21529" y="0"/>
                <wp:lineTo x="0" y="0"/>
              </wp:wrapPolygon>
            </wp:wrapTight>
            <wp:docPr id="1" name="Picture 1" descr="Extreme Cold Killed Texans in Their Bedrooms, Vehicles and Backyards - The  New York Tim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Extreme Cold Killed Texans in Their Bedrooms, Vehicles and Backyards - The  New York Times"/>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879850" cy="258635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09872F59" w14:textId="77777777" w:rsidR="00315B80" w:rsidRDefault="00315B80" w:rsidP="00933DEF">
      <w:pPr>
        <w:spacing w:line="360" w:lineRule="auto"/>
        <w:jc w:val="both"/>
      </w:pPr>
    </w:p>
    <w:p w14:paraId="2B803ADB" w14:textId="77777777" w:rsidR="00315B80" w:rsidRDefault="00315B80" w:rsidP="00933DEF">
      <w:pPr>
        <w:spacing w:line="360" w:lineRule="auto"/>
        <w:jc w:val="both"/>
      </w:pPr>
    </w:p>
    <w:p w14:paraId="56B7F037" w14:textId="77777777" w:rsidR="00315B80" w:rsidRDefault="00315B80" w:rsidP="00933DEF">
      <w:pPr>
        <w:spacing w:line="360" w:lineRule="auto"/>
        <w:jc w:val="both"/>
      </w:pPr>
    </w:p>
    <w:p w14:paraId="058A9896" w14:textId="77777777" w:rsidR="00315B80" w:rsidRDefault="00315B80" w:rsidP="00933DEF">
      <w:pPr>
        <w:spacing w:line="360" w:lineRule="auto"/>
        <w:jc w:val="both"/>
      </w:pPr>
    </w:p>
    <w:p w14:paraId="43AAED06" w14:textId="77777777" w:rsidR="00315B80" w:rsidRDefault="00315B80" w:rsidP="00933DEF">
      <w:pPr>
        <w:spacing w:line="360" w:lineRule="auto"/>
        <w:jc w:val="both"/>
      </w:pPr>
    </w:p>
    <w:p w14:paraId="1FE4590A" w14:textId="77777777" w:rsidR="00315B80" w:rsidRDefault="00315B80" w:rsidP="00933DEF">
      <w:pPr>
        <w:spacing w:line="360" w:lineRule="auto"/>
        <w:jc w:val="both"/>
      </w:pPr>
    </w:p>
    <w:p w14:paraId="167BF5CA" w14:textId="77777777" w:rsidR="00315B80" w:rsidRDefault="00315B80" w:rsidP="00933DEF">
      <w:pPr>
        <w:spacing w:line="360" w:lineRule="auto"/>
        <w:jc w:val="both"/>
      </w:pPr>
    </w:p>
    <w:p w14:paraId="382C5590" w14:textId="436A9688" w:rsidR="00315B80" w:rsidRDefault="007952AD" w:rsidP="00933DEF">
      <w:pPr>
        <w:spacing w:line="360" w:lineRule="auto"/>
        <w:jc w:val="center"/>
      </w:pPr>
      <w:r>
        <w:t>Figure 1.1 – An image of the devastation left behind by the Texas Snowstorm in 2021 (Dias et al, 2021)</w:t>
      </w:r>
    </w:p>
    <w:p w14:paraId="28BBEB97" w14:textId="4B28934D" w:rsidR="00FC30DC" w:rsidRDefault="004B01E1" w:rsidP="00933DEF">
      <w:pPr>
        <w:spacing w:line="360" w:lineRule="auto"/>
        <w:jc w:val="both"/>
      </w:pPr>
      <w:r>
        <w:t>The sixth assessment report (AR6), due to be published by the intergovernmental panel on climate change (IPCC) in 2022, has observed that greenhouse gas emissions as a result of human activity account for an approximate 1.1</w:t>
      </w:r>
      <w:r>
        <w:rPr>
          <w:vertAlign w:val="superscript"/>
        </w:rPr>
        <w:t>o</w:t>
      </w:r>
      <w:r>
        <w:t>C rise in global temperature since the industrial revolution (</w:t>
      </w:r>
      <w:r w:rsidR="00526735">
        <w:t>IPCC, 2021</w:t>
      </w:r>
      <w:r>
        <w:t>)</w:t>
      </w:r>
      <w:r w:rsidR="00B5366A">
        <w:t>. On top of this, the IPCC has discovered that, if current emission trends are to be followed over the next 20 years, that number will exceed 1.5</w:t>
      </w:r>
      <w:r w:rsidR="00B5366A">
        <w:rPr>
          <w:vertAlign w:val="superscript"/>
        </w:rPr>
        <w:t>o</w:t>
      </w:r>
      <w:r w:rsidR="00B5366A">
        <w:t>C of warming (</w:t>
      </w:r>
      <w:r w:rsidR="00526735">
        <w:t>IPCC, 2021</w:t>
      </w:r>
      <w:r w:rsidR="00B5366A">
        <w:t xml:space="preserve">). </w:t>
      </w:r>
      <w:r w:rsidR="00AF02EC">
        <w:t>Similar reports like the IPCC’s AR6</w:t>
      </w:r>
      <w:r w:rsidR="00B3422B">
        <w:t xml:space="preserve"> have prompted </w:t>
      </w:r>
      <w:r w:rsidR="00AF02EC">
        <w:t xml:space="preserve">widespread anger towards worldwide governments and appeals for stricter climate controls to be implemented to kerb the exponential growth of the global temperature, most notably from world renowned nature broadcaster Sir David Attenborough. In a plea to the United Nations Security Council, Attenborough </w:t>
      </w:r>
      <w:r w:rsidR="006A1A08">
        <w:t xml:space="preserve">warned that if the planet </w:t>
      </w:r>
      <w:r w:rsidR="00BC0C25">
        <w:t>continued</w:t>
      </w:r>
      <w:r w:rsidR="006A1A08">
        <w:t xml:space="preserve"> </w:t>
      </w:r>
      <w:r w:rsidR="00BC0C25">
        <w:t>towards its</w:t>
      </w:r>
      <w:r w:rsidR="006A1A08">
        <w:t xml:space="preserve"> current trajectory, the world would ‘face the collapse of everything that gives us our security: food production, access to fresh water, habitable ambient temperature and ocean food chains.’ (</w:t>
      </w:r>
      <w:r w:rsidR="00710513">
        <w:t>UN News, 2021</w:t>
      </w:r>
      <w:r w:rsidR="006A1A08">
        <w:t xml:space="preserve">). </w:t>
      </w:r>
    </w:p>
    <w:p w14:paraId="6811DCE5" w14:textId="2AF9FEEA" w:rsidR="007E169B" w:rsidRDefault="00FC30DC" w:rsidP="00933DEF">
      <w:pPr>
        <w:spacing w:line="360" w:lineRule="auto"/>
        <w:jc w:val="both"/>
      </w:pPr>
      <w:r>
        <w:t>This outcry has prompted</w:t>
      </w:r>
      <w:r w:rsidR="009D253C">
        <w:t xml:space="preserve"> world leaders to take action to kerb their countries’ contribution towards the current climate crisis. At the 26</w:t>
      </w:r>
      <w:r w:rsidR="009D253C" w:rsidRPr="009D253C">
        <w:rPr>
          <w:vertAlign w:val="superscript"/>
        </w:rPr>
        <w:t>th</w:t>
      </w:r>
      <w:r w:rsidR="009D253C">
        <w:t xml:space="preserve"> UN Climate Change Conference of the Parties (COP26), held recently in Glasgow,</w:t>
      </w:r>
      <w:r w:rsidR="00E22CAF">
        <w:t xml:space="preserve"> dignitaries from 180 countries around the world met to discuss the current climate emergency and possible solutions to the crisis.</w:t>
      </w:r>
      <w:r w:rsidR="00CC0F93">
        <w:t xml:space="preserve"> </w:t>
      </w:r>
      <w:r w:rsidR="0020240E">
        <w:t>On the 10</w:t>
      </w:r>
      <w:r w:rsidR="0020240E" w:rsidRPr="0020240E">
        <w:rPr>
          <w:vertAlign w:val="superscript"/>
        </w:rPr>
        <w:t>th</w:t>
      </w:r>
      <w:r w:rsidR="0020240E">
        <w:t xml:space="preserve"> of November 2021, over fifty governments si</w:t>
      </w:r>
      <w:r w:rsidR="004D7DED">
        <w:t xml:space="preserve">gned a declaration to commit to </w:t>
      </w:r>
      <w:r w:rsidR="00023F42">
        <w:t>only having vehicles with</w:t>
      </w:r>
      <w:r w:rsidR="00315B80">
        <w:t xml:space="preserve"> zero tailpipe emissions by </w:t>
      </w:r>
      <w:r w:rsidR="00315B80">
        <w:lastRenderedPageBreak/>
        <w:t>2040 at the latest (</w:t>
      </w:r>
      <w:r w:rsidR="00526735">
        <w:t xml:space="preserve">GOV.UK, 2020) </w:t>
      </w:r>
      <w:r w:rsidR="00760F86">
        <w:t xml:space="preserve">Currently, the only vehicles on the road with completely zero tailpipe emissions are electric and are therefore being pushed as the most viable option for replacing electric vehicles. This switch from the conventional combustion vehicle to an electric alternative has </w:t>
      </w:r>
      <w:r w:rsidR="002909A1">
        <w:t xml:space="preserve">created </w:t>
      </w:r>
      <w:r w:rsidR="00760F86">
        <w:t xml:space="preserve">concerns about how the power grid in its current state would handle the large increase in power load associated with electric vehicle charging. </w:t>
      </w:r>
      <w:r w:rsidR="002909A1">
        <w:t xml:space="preserve">These concerns have prompted global researchers to develop possible solutions </w:t>
      </w:r>
      <w:r w:rsidR="007E169B">
        <w:t xml:space="preserve">with an aim of taking strain off the grid during peak charging times. </w:t>
      </w:r>
    </w:p>
    <w:p w14:paraId="16DA7C39" w14:textId="3724044D" w:rsidR="00C65F26" w:rsidRDefault="007E169B" w:rsidP="00933DEF">
      <w:pPr>
        <w:spacing w:line="360" w:lineRule="auto"/>
        <w:jc w:val="both"/>
      </w:pPr>
      <w:r>
        <w:t xml:space="preserve">One possible solution is the Vehicle to Grid (V2G) concept. This paper will be carrying out a critical analysis of this concept, assessing its viability for solving the overloading of the grid as well as investigating any possible issues that arise as a result of its implementation. </w:t>
      </w:r>
      <w:r w:rsidR="00C65F26">
        <w:br w:type="page"/>
      </w:r>
    </w:p>
    <w:p w14:paraId="3D05CD2C" w14:textId="019E68A8" w:rsidR="009C03ED" w:rsidRDefault="00C65F26" w:rsidP="00802B35">
      <w:pPr>
        <w:pStyle w:val="Heading1"/>
      </w:pPr>
      <w:bookmarkStart w:id="1" w:name="_Toc88494156"/>
      <w:r>
        <w:lastRenderedPageBreak/>
        <w:t xml:space="preserve">Section 2 – </w:t>
      </w:r>
      <w:r w:rsidR="001921F7">
        <w:t>Vehicle to Grid (V2G)</w:t>
      </w:r>
      <w:bookmarkEnd w:id="1"/>
    </w:p>
    <w:p w14:paraId="128372DF" w14:textId="39DDD485" w:rsidR="00A26C42" w:rsidRDefault="00C71F97" w:rsidP="00933DEF">
      <w:pPr>
        <w:spacing w:line="360" w:lineRule="auto"/>
        <w:jc w:val="both"/>
      </w:pPr>
      <w:r>
        <w:rPr>
          <w:noProof/>
        </w:rPr>
        <w:drawing>
          <wp:anchor distT="0" distB="0" distL="114300" distR="114300" simplePos="0" relativeHeight="251661312" behindDoc="1" locked="0" layoutInCell="1" allowOverlap="1" wp14:anchorId="42DE0AA4" wp14:editId="672EA986">
            <wp:simplePos x="0" y="0"/>
            <wp:positionH relativeFrom="margin">
              <wp:align>right</wp:align>
            </wp:positionH>
            <wp:positionV relativeFrom="paragraph">
              <wp:posOffset>972185</wp:posOffset>
            </wp:positionV>
            <wp:extent cx="5731510" cy="1780540"/>
            <wp:effectExtent l="0" t="0" r="2540" b="0"/>
            <wp:wrapTight wrapText="bothSides">
              <wp:wrapPolygon edited="0">
                <wp:start x="0" y="0"/>
                <wp:lineTo x="0" y="21261"/>
                <wp:lineTo x="21538" y="21261"/>
                <wp:lineTo x="21538" y="0"/>
                <wp:lineTo x="0" y="0"/>
              </wp:wrapPolygon>
            </wp:wrapTight>
            <wp:docPr id="2" name="Picture 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Diagram&#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5731510" cy="1780540"/>
                    </a:xfrm>
                    <a:prstGeom prst="rect">
                      <a:avLst/>
                    </a:prstGeom>
                  </pic:spPr>
                </pic:pic>
              </a:graphicData>
            </a:graphic>
          </wp:anchor>
        </w:drawing>
      </w:r>
      <w:r w:rsidR="00512E64">
        <w:t>T</w:t>
      </w:r>
      <w:r w:rsidR="00C44962">
        <w:t>he v</w:t>
      </w:r>
      <w:r w:rsidR="00723A28">
        <w:t xml:space="preserve">ehicle to </w:t>
      </w:r>
      <w:r w:rsidR="00C44962">
        <w:t>g</w:t>
      </w:r>
      <w:r w:rsidR="00723A28">
        <w:t>rid (V2G) concept utilises the</w:t>
      </w:r>
      <w:r w:rsidR="00C34E2B">
        <w:t xml:space="preserve"> power storage capabilities of </w:t>
      </w:r>
      <w:r w:rsidR="00EB5CB7">
        <w:t>an electric vehicle to support the operation of the power grid</w:t>
      </w:r>
      <w:r w:rsidR="00512E64">
        <w:t xml:space="preserve"> </w:t>
      </w:r>
      <w:r w:rsidR="005D616E">
        <w:t>(Pearre and Ribberink, 2019</w:t>
      </w:r>
      <w:r w:rsidR="00512E64">
        <w:t>)</w:t>
      </w:r>
      <w:r w:rsidR="00EB5CB7">
        <w:t xml:space="preserve">. </w:t>
      </w:r>
      <w:r w:rsidR="00F9608A">
        <w:t>As shown in the diagram below, t</w:t>
      </w:r>
      <w:r w:rsidR="00EA0BA2">
        <w:t xml:space="preserve">he concept works </w:t>
      </w:r>
      <w:r w:rsidR="00C570B3">
        <w:t xml:space="preserve">using </w:t>
      </w:r>
      <w:r w:rsidR="00D6195C">
        <w:t>a</w:t>
      </w:r>
      <w:r w:rsidR="003320A5">
        <w:t xml:space="preserve"> consume</w:t>
      </w:r>
      <w:r w:rsidR="00D0670F">
        <w:t>r controlled bi-directional charger. The consumer</w:t>
      </w:r>
      <w:r w:rsidR="000C3677">
        <w:t xml:space="preserve"> can then </w:t>
      </w:r>
      <w:r w:rsidR="00235672">
        <w:t>choose when to discharge their vehicle’s leftover storage back to the grid (</w:t>
      </w:r>
      <w:r w:rsidR="005D616E">
        <w:t>Thompson and Perez, 2020</w:t>
      </w:r>
      <w:r w:rsidR="00235672">
        <w:t>).</w:t>
      </w:r>
    </w:p>
    <w:p w14:paraId="67BE9C62" w14:textId="77777777" w:rsidR="005D616E" w:rsidRDefault="005D616E" w:rsidP="00933DEF">
      <w:pPr>
        <w:spacing w:line="360" w:lineRule="auto"/>
        <w:jc w:val="both"/>
      </w:pPr>
    </w:p>
    <w:p w14:paraId="34C5D4BF" w14:textId="042A59AB" w:rsidR="00235672" w:rsidRDefault="003961E8" w:rsidP="00933DEF">
      <w:pPr>
        <w:spacing w:line="360" w:lineRule="auto"/>
        <w:jc w:val="center"/>
      </w:pPr>
      <w:r>
        <w:t>Figure 2 – A simple diagram of the V2G concept (</w:t>
      </w:r>
      <w:r w:rsidR="00543DD8">
        <w:t>Bibak and Hatice, 2021</w:t>
      </w:r>
      <w:r>
        <w:t>)</w:t>
      </w:r>
    </w:p>
    <w:p w14:paraId="6647C920" w14:textId="3362FA69" w:rsidR="00C725A9" w:rsidRDefault="00575F84" w:rsidP="00933DEF">
      <w:pPr>
        <w:spacing w:line="360" w:lineRule="auto"/>
        <w:jc w:val="both"/>
      </w:pPr>
      <w:r>
        <w:t xml:space="preserve">A very basic </w:t>
      </w:r>
      <w:r w:rsidR="00512E64">
        <w:t>concept</w:t>
      </w:r>
      <w:r w:rsidR="00831303">
        <w:t xml:space="preserve"> of V2G is capable of supporting the grid’s operation in </w:t>
      </w:r>
      <w:r>
        <w:t>the form of a</w:t>
      </w:r>
      <w:r w:rsidR="00512E64">
        <w:t xml:space="preserve"> “spinning reserve”</w:t>
      </w:r>
      <w:r w:rsidR="00831303">
        <w:t xml:space="preserve">. </w:t>
      </w:r>
      <w:r w:rsidR="005D616E">
        <w:t>Pearre and Ribberink (2019)</w:t>
      </w:r>
      <w:r w:rsidR="00831303">
        <w:t xml:space="preserve"> describe spinning reserve as “extra generation available to serve load in case there is an unplanned event such as a loss of generation”</w:t>
      </w:r>
      <w:r w:rsidR="005D616E">
        <w:t xml:space="preserve"> (Pearre and Ribberink, 2019)</w:t>
      </w:r>
      <w:r w:rsidR="00831303">
        <w:t>.</w:t>
      </w:r>
      <w:r w:rsidR="00EC74A2">
        <w:t xml:space="preserve"> </w:t>
      </w:r>
      <w:r>
        <w:t>This support</w:t>
      </w:r>
      <w:r w:rsidR="00E120ED">
        <w:t xml:space="preserve"> is only useful in the event of emergencies, </w:t>
      </w:r>
      <w:r w:rsidR="00B30076">
        <w:t xml:space="preserve">for example a power generator failing. A more comprehensive vehicle to grid concept, as detailed in the </w:t>
      </w:r>
      <w:r w:rsidR="00B30076" w:rsidRPr="000F52ED">
        <w:t>Loisel et al</w:t>
      </w:r>
      <w:r w:rsidR="00B30076">
        <w:t xml:space="preserve"> paper, </w:t>
      </w:r>
      <w:r w:rsidR="007775B4">
        <w:t>uti</w:t>
      </w:r>
      <w:r w:rsidR="0074180E">
        <w:t>lises a</w:t>
      </w:r>
      <w:r w:rsidR="00B21DF1">
        <w:t xml:space="preserve"> more optimal charge/discharge strategy to create a more efficient system. </w:t>
      </w:r>
      <w:r w:rsidR="00C725A9">
        <w:t>Loisel et al use the German power system to create a countrywide vehicle to grid concept, looking to be deployed by 2030.</w:t>
      </w:r>
      <w:r w:rsidR="00406B63">
        <w:t xml:space="preserve"> </w:t>
      </w:r>
      <w:r w:rsidR="00FE37DF">
        <w:t xml:space="preserve">Taking a more analytical approach to the V2G system, Loisel et al’s framework uses a power plant dispatch model, a system that continuously adjusts a power plant’s output to meet </w:t>
      </w:r>
      <w:r w:rsidR="002400F8">
        <w:t>electricity demand (</w:t>
      </w:r>
      <w:r w:rsidR="004E3A9E" w:rsidRPr="004E3A9E">
        <w:t>www.e-education.psu.edu, n.d.</w:t>
      </w:r>
      <w:r w:rsidR="002400F8">
        <w:t>), to create a more in dep</w:t>
      </w:r>
      <w:r w:rsidR="00FA11F1">
        <w:t>th concept tha</w:t>
      </w:r>
      <w:r w:rsidR="008D5B05">
        <w:t xml:space="preserve">t would support the German </w:t>
      </w:r>
      <w:r w:rsidR="005E2B1C">
        <w:t>p</w:t>
      </w:r>
      <w:r w:rsidR="008D5B05">
        <w:t xml:space="preserve">ower </w:t>
      </w:r>
      <w:r w:rsidR="005E2B1C">
        <w:t>s</w:t>
      </w:r>
      <w:r w:rsidR="008D5B05">
        <w:t>ystem in its day to day operation, by improving the grid’s stabilit</w:t>
      </w:r>
      <w:r w:rsidR="004309EA">
        <w:t>y and capacity,</w:t>
      </w:r>
      <w:r w:rsidR="007C684F">
        <w:t xml:space="preserve"> as well as</w:t>
      </w:r>
      <w:r w:rsidR="004309EA">
        <w:t xml:space="preserve"> supporting the grid in the event of emergencies in the form of spinning reserve</w:t>
      </w:r>
      <w:r w:rsidR="007C684F">
        <w:t xml:space="preserve"> (</w:t>
      </w:r>
      <w:r w:rsidR="000F52ED">
        <w:t>Loisel et al, 2014</w:t>
      </w:r>
      <w:r w:rsidR="007C684F">
        <w:t xml:space="preserve">). </w:t>
      </w:r>
    </w:p>
    <w:p w14:paraId="72935ACE" w14:textId="77777777" w:rsidR="003961E8" w:rsidRDefault="003961E8" w:rsidP="003961E8">
      <w:pPr>
        <w:jc w:val="center"/>
      </w:pPr>
    </w:p>
    <w:p w14:paraId="066D148F" w14:textId="77777777" w:rsidR="009C03ED" w:rsidRDefault="009C03ED" w:rsidP="009C03ED"/>
    <w:p w14:paraId="5541DE6B" w14:textId="53A1EF7B" w:rsidR="00C65F26" w:rsidRDefault="00C65F26" w:rsidP="009C03ED">
      <w:r>
        <w:br w:type="page"/>
      </w:r>
    </w:p>
    <w:p w14:paraId="5088289A" w14:textId="226F8FBA" w:rsidR="002F4FC8" w:rsidRPr="002F4FC8" w:rsidRDefault="00C65F26" w:rsidP="002F4FC8">
      <w:pPr>
        <w:pStyle w:val="Heading1"/>
      </w:pPr>
      <w:bookmarkStart w:id="2" w:name="_Toc88494157"/>
      <w:r>
        <w:lastRenderedPageBreak/>
        <w:t xml:space="preserve">Section 3 – </w:t>
      </w:r>
      <w:r w:rsidR="009918ED">
        <w:t>Discussion</w:t>
      </w:r>
      <w:bookmarkEnd w:id="2"/>
    </w:p>
    <w:p w14:paraId="06369F42" w14:textId="5CFA2CB2" w:rsidR="009C03ED" w:rsidRDefault="009918ED" w:rsidP="009918ED">
      <w:pPr>
        <w:pStyle w:val="Heading2"/>
      </w:pPr>
      <w:bookmarkStart w:id="3" w:name="_Toc88494158"/>
      <w:r>
        <w:t>Section 3.1 – Immediate Impact of Vehicle to Grid</w:t>
      </w:r>
      <w:bookmarkEnd w:id="3"/>
    </w:p>
    <w:p w14:paraId="3ADA3D19" w14:textId="22C47868" w:rsidR="006A684D" w:rsidRDefault="006A684D" w:rsidP="00933DEF">
      <w:pPr>
        <w:spacing w:line="360" w:lineRule="auto"/>
        <w:jc w:val="both"/>
      </w:pPr>
      <w:r>
        <w:t>At the time of writing, the only chargers with Vehicle to Grid capability are CHAdeMO chargers (</w:t>
      </w:r>
      <w:r w:rsidR="00732469">
        <w:t>ElectricNation, n.d.</w:t>
      </w:r>
      <w:r>
        <w:t>). As well as this, there are only 8 electric vehicles on the road right now with CHAdeMO plugs fitted</w:t>
      </w:r>
      <w:r w:rsidR="002643E9">
        <w:t xml:space="preserve"> (</w:t>
      </w:r>
      <w:r w:rsidR="00732469">
        <w:t>DrivingElectric, n.d.</w:t>
      </w:r>
      <w:r w:rsidR="002643E9">
        <w:t>)</w:t>
      </w:r>
      <w:r>
        <w:t xml:space="preserve"> and they are:</w:t>
      </w:r>
    </w:p>
    <w:p w14:paraId="310CDA9C" w14:textId="5D61F5A2" w:rsidR="006A684D" w:rsidRDefault="006A684D" w:rsidP="00933DEF">
      <w:pPr>
        <w:pStyle w:val="ListParagraph"/>
        <w:numPr>
          <w:ilvl w:val="0"/>
          <w:numId w:val="3"/>
        </w:numPr>
        <w:tabs>
          <w:tab w:val="left" w:pos="7890"/>
        </w:tabs>
        <w:spacing w:line="360" w:lineRule="auto"/>
        <w:jc w:val="both"/>
      </w:pPr>
      <w:r>
        <w:t>Nissan LEAF 40kWh</w:t>
      </w:r>
    </w:p>
    <w:p w14:paraId="121923B7" w14:textId="5567B20A" w:rsidR="006A684D" w:rsidRDefault="006A684D" w:rsidP="00933DEF">
      <w:pPr>
        <w:pStyle w:val="ListParagraph"/>
        <w:numPr>
          <w:ilvl w:val="0"/>
          <w:numId w:val="3"/>
        </w:numPr>
        <w:tabs>
          <w:tab w:val="left" w:pos="7890"/>
        </w:tabs>
        <w:spacing w:line="360" w:lineRule="auto"/>
        <w:jc w:val="both"/>
      </w:pPr>
      <w:r>
        <w:t xml:space="preserve">Mitsubishi Outlander PHeV </w:t>
      </w:r>
    </w:p>
    <w:p w14:paraId="0625FD7B" w14:textId="26AAA5A5" w:rsidR="006A684D" w:rsidRDefault="006A684D" w:rsidP="00933DEF">
      <w:pPr>
        <w:pStyle w:val="ListParagraph"/>
        <w:numPr>
          <w:ilvl w:val="0"/>
          <w:numId w:val="3"/>
        </w:numPr>
        <w:tabs>
          <w:tab w:val="left" w:pos="7890"/>
        </w:tabs>
        <w:spacing w:line="360" w:lineRule="auto"/>
        <w:jc w:val="both"/>
      </w:pPr>
      <w:r>
        <w:t>Toyota Prius Plug-In</w:t>
      </w:r>
    </w:p>
    <w:p w14:paraId="7BA16695" w14:textId="711370B1" w:rsidR="006A684D" w:rsidRDefault="006A684D" w:rsidP="00933DEF">
      <w:pPr>
        <w:pStyle w:val="ListParagraph"/>
        <w:numPr>
          <w:ilvl w:val="0"/>
          <w:numId w:val="3"/>
        </w:numPr>
        <w:tabs>
          <w:tab w:val="left" w:pos="7890"/>
        </w:tabs>
        <w:spacing w:line="360" w:lineRule="auto"/>
        <w:jc w:val="both"/>
      </w:pPr>
      <w:r>
        <w:t>Nissan e-NV200</w:t>
      </w:r>
    </w:p>
    <w:p w14:paraId="11D72D24" w14:textId="0A20B70E" w:rsidR="006A684D" w:rsidRDefault="006A684D" w:rsidP="00933DEF">
      <w:pPr>
        <w:pStyle w:val="ListParagraph"/>
        <w:numPr>
          <w:ilvl w:val="0"/>
          <w:numId w:val="3"/>
        </w:numPr>
        <w:tabs>
          <w:tab w:val="left" w:pos="7890"/>
        </w:tabs>
        <w:spacing w:line="360" w:lineRule="auto"/>
        <w:jc w:val="both"/>
      </w:pPr>
      <w:r>
        <w:t>Kia Soul</w:t>
      </w:r>
    </w:p>
    <w:p w14:paraId="241B3DF9" w14:textId="59EAB271" w:rsidR="006A684D" w:rsidRDefault="006A684D" w:rsidP="00933DEF">
      <w:pPr>
        <w:pStyle w:val="ListParagraph"/>
        <w:numPr>
          <w:ilvl w:val="0"/>
          <w:numId w:val="3"/>
        </w:numPr>
        <w:tabs>
          <w:tab w:val="left" w:pos="7890"/>
        </w:tabs>
        <w:spacing w:line="360" w:lineRule="auto"/>
        <w:jc w:val="both"/>
      </w:pPr>
      <w:r>
        <w:t xml:space="preserve">Citroen Berlingo </w:t>
      </w:r>
    </w:p>
    <w:p w14:paraId="1BCC7B82" w14:textId="657B3617" w:rsidR="006A684D" w:rsidRDefault="006A684D" w:rsidP="00933DEF">
      <w:pPr>
        <w:pStyle w:val="ListParagraph"/>
        <w:numPr>
          <w:ilvl w:val="0"/>
          <w:numId w:val="3"/>
        </w:numPr>
        <w:tabs>
          <w:tab w:val="left" w:pos="7890"/>
        </w:tabs>
        <w:spacing w:line="360" w:lineRule="auto"/>
        <w:jc w:val="both"/>
      </w:pPr>
      <w:r>
        <w:t>Citroen C-Zero</w:t>
      </w:r>
    </w:p>
    <w:p w14:paraId="42D6F9C8" w14:textId="604E8AB9" w:rsidR="006A684D" w:rsidRDefault="006A684D" w:rsidP="00933DEF">
      <w:pPr>
        <w:pStyle w:val="ListParagraph"/>
        <w:numPr>
          <w:ilvl w:val="0"/>
          <w:numId w:val="3"/>
        </w:numPr>
        <w:tabs>
          <w:tab w:val="left" w:pos="7890"/>
        </w:tabs>
        <w:spacing w:line="360" w:lineRule="auto"/>
        <w:jc w:val="both"/>
      </w:pPr>
      <w:r>
        <w:t>LEVC London Taxi</w:t>
      </w:r>
    </w:p>
    <w:p w14:paraId="5B4A0AE7" w14:textId="3CE89235" w:rsidR="002643E9" w:rsidRDefault="002643E9" w:rsidP="00933DEF">
      <w:pPr>
        <w:tabs>
          <w:tab w:val="left" w:pos="7890"/>
        </w:tabs>
        <w:spacing w:line="360" w:lineRule="auto"/>
        <w:jc w:val="both"/>
      </w:pPr>
      <w:r>
        <w:t xml:space="preserve">With this in mind, </w:t>
      </w:r>
      <w:r w:rsidR="00020F6A">
        <w:t>there should be a common charging technology, with vehicle to grid capabilities, across the whole electric vehicle market in order to avoid co</w:t>
      </w:r>
      <w:r w:rsidR="002173BD">
        <w:t>nsumer confusion that could hamper progress towards a greener automotive industry.</w:t>
      </w:r>
      <w:r w:rsidR="00831840">
        <w:t xml:space="preserve"> </w:t>
      </w:r>
      <w:r w:rsidR="00AD7D8B">
        <w:t xml:space="preserve">A potential option could be the combined charging system (CCS), a much more common charging technology that is capable of up to 350kW </w:t>
      </w:r>
      <w:r w:rsidR="00CC03EB">
        <w:t>(</w:t>
      </w:r>
      <w:r w:rsidR="004E3A9E">
        <w:t>Lilly, 2020</w:t>
      </w:r>
      <w:r w:rsidR="00CC03EB">
        <w:t xml:space="preserve">) </w:t>
      </w:r>
      <w:r w:rsidR="00AD7D8B">
        <w:t xml:space="preserve">of </w:t>
      </w:r>
      <w:r w:rsidR="00FC30B5">
        <w:t xml:space="preserve">DC </w:t>
      </w:r>
      <w:r w:rsidR="00AD7D8B">
        <w:t>charging capacity, compared to CHAdeMO charger’s 50kW</w:t>
      </w:r>
      <w:r w:rsidR="00CC03EB">
        <w:t xml:space="preserve"> (</w:t>
      </w:r>
      <w:r w:rsidR="004E3A9E">
        <w:t>Lilly, 2020</w:t>
      </w:r>
      <w:r w:rsidR="00CC03EB">
        <w:t>)</w:t>
      </w:r>
      <w:r w:rsidR="00AD7D8B">
        <w:t xml:space="preserve"> maximum</w:t>
      </w:r>
      <w:r w:rsidR="00FC30B5">
        <w:t xml:space="preserve"> DC</w:t>
      </w:r>
      <w:r w:rsidR="00AD7D8B">
        <w:t xml:space="preserve"> charging capacity. </w:t>
      </w:r>
      <w:r w:rsidR="00FC30B5">
        <w:t>CCS will be bi-directional compatible by 2025 and can therefore become the standardised charging technolog</w:t>
      </w:r>
      <w:r w:rsidR="00CC03EB">
        <w:t xml:space="preserve">y for the implemented vehicle to grid system. </w:t>
      </w:r>
    </w:p>
    <w:p w14:paraId="0B779D13" w14:textId="0CF8E470" w:rsidR="006203ED" w:rsidRDefault="002173BD" w:rsidP="00933DEF">
      <w:pPr>
        <w:tabs>
          <w:tab w:val="left" w:pos="7890"/>
        </w:tabs>
        <w:spacing w:line="360" w:lineRule="auto"/>
        <w:jc w:val="both"/>
      </w:pPr>
      <w:r>
        <w:t>Furthermore, implementing V2G technology will</w:t>
      </w:r>
      <w:r w:rsidR="005D1AC4">
        <w:t xml:space="preserve"> results in high initial costs for the consumer. A bi-directional charger capable of communicating with the grid, as mentioned in section 2, will need to be </w:t>
      </w:r>
      <w:r w:rsidR="00D12BC9">
        <w:t>fitted, with EDF Energy quoting a potential £1000 for the charger an</w:t>
      </w:r>
      <w:r w:rsidR="008F7126">
        <w:t>d work (</w:t>
      </w:r>
      <w:r w:rsidR="005649B2">
        <w:t>EDF Energy, 2015</w:t>
      </w:r>
      <w:r w:rsidR="008F7126">
        <w:t xml:space="preserve">). </w:t>
      </w:r>
      <w:r w:rsidR="00036C17">
        <w:t>There are, however, government grants to aid in paying for electric chargers</w:t>
      </w:r>
      <w:r w:rsidR="00C46AB5">
        <w:t xml:space="preserve">, like for example the </w:t>
      </w:r>
      <w:r w:rsidR="008F7126">
        <w:t>OLEV</w:t>
      </w:r>
      <w:r w:rsidR="00E97890">
        <w:t xml:space="preserve"> grant (</w:t>
      </w:r>
      <w:r w:rsidR="00D100B7">
        <w:t>pod-point.com, n.d.</w:t>
      </w:r>
      <w:r w:rsidR="00264A57">
        <w:t>)</w:t>
      </w:r>
      <w:r w:rsidR="00C46AB5">
        <w:t xml:space="preserve"> that gives</w:t>
      </w:r>
      <w:r w:rsidR="008F7126">
        <w:t xml:space="preserve"> the public up to £350</w:t>
      </w:r>
      <w:r w:rsidR="00E97890">
        <w:t xml:space="preserve"> towards an electric </w:t>
      </w:r>
      <w:r w:rsidR="00C46AB5">
        <w:t>home charging point</w:t>
      </w:r>
      <w:r w:rsidR="003F08B8">
        <w:t xml:space="preserve"> but d</w:t>
      </w:r>
      <w:r w:rsidR="00892CB6">
        <w:t>espite this, the cost of just fitting the charger is</w:t>
      </w:r>
      <w:r w:rsidR="00D206DB">
        <w:t xml:space="preserve"> still</w:t>
      </w:r>
      <w:r w:rsidR="00892CB6">
        <w:t xml:space="preserve"> a minimum of £650</w:t>
      </w:r>
      <w:r w:rsidR="003F08B8">
        <w:t xml:space="preserve"> with the government grant.</w:t>
      </w:r>
      <w:r w:rsidR="00D206DB">
        <w:t xml:space="preserve"> On top of the cost of fitting the charger, EDF Energy warn that introducing an electric vehicle charger to the home could increase the home’s electricity bill (</w:t>
      </w:r>
      <w:r w:rsidR="005649B2">
        <w:t>EDF Energy, 2015</w:t>
      </w:r>
      <w:r w:rsidR="00D206DB">
        <w:t>), with Pod Point</w:t>
      </w:r>
      <w:r w:rsidR="00212F72">
        <w:t xml:space="preserve"> suggesting that</w:t>
      </w:r>
      <w:r w:rsidR="006C1DC6">
        <w:t xml:space="preserve"> fully charging a 60kWh electric vehicle would result in a £9.90 increase in the occupant’s electricity bill</w:t>
      </w:r>
      <w:r w:rsidR="00047A97">
        <w:t xml:space="preserve"> with every charge (</w:t>
      </w:r>
      <w:r w:rsidR="00D100B7">
        <w:t>pod-point.com, 2018</w:t>
      </w:r>
      <w:r w:rsidR="00047A97">
        <w:t xml:space="preserve">). </w:t>
      </w:r>
      <w:r w:rsidR="00EF50D3">
        <w:t>With this in mind, however, when compared to the conventional combustion engine the running cost of an eV</w:t>
      </w:r>
      <w:r w:rsidR="00352DE6">
        <w:t xml:space="preserve"> are much less than their combustion counterparts, with Drive Electric quoting a £366 decrease in running cost between the VW Golf GTE </w:t>
      </w:r>
      <w:r w:rsidR="00352DE6">
        <w:lastRenderedPageBreak/>
        <w:t xml:space="preserve">PHeV and </w:t>
      </w:r>
      <w:r w:rsidR="0021525B">
        <w:t>its</w:t>
      </w:r>
      <w:r w:rsidR="00352DE6">
        <w:t xml:space="preserve"> petrol alternative (</w:t>
      </w:r>
      <w:r w:rsidR="00D100B7">
        <w:t>DriveElectric, 2021</w:t>
      </w:r>
      <w:r w:rsidR="00352DE6">
        <w:t xml:space="preserve">). This dramatic decrease could </w:t>
      </w:r>
      <w:r w:rsidR="000D7A4C">
        <w:t xml:space="preserve">sway consumer opinion towards the electric car market and promote their uptake. </w:t>
      </w:r>
    </w:p>
    <w:p w14:paraId="287567B4" w14:textId="2C154F3C" w:rsidR="00F15B11" w:rsidRDefault="009918ED" w:rsidP="00933DEF">
      <w:pPr>
        <w:pStyle w:val="Heading2"/>
        <w:spacing w:line="360" w:lineRule="auto"/>
        <w:jc w:val="both"/>
      </w:pPr>
      <w:bookmarkStart w:id="4" w:name="_Toc88494159"/>
      <w:r>
        <w:t>Section 3.2 – Long Term Impact of Vehicle to Grid</w:t>
      </w:r>
      <w:bookmarkEnd w:id="4"/>
    </w:p>
    <w:p w14:paraId="406C645F" w14:textId="7DEB3298" w:rsidR="00F15B11" w:rsidRPr="00F15B11" w:rsidRDefault="00F15B11" w:rsidP="00933DEF">
      <w:pPr>
        <w:spacing w:line="360" w:lineRule="auto"/>
        <w:jc w:val="both"/>
      </w:pPr>
      <w:r>
        <w:t xml:space="preserve">In the long term, after vehicle to grid has been implemented, the concept can be beneficial for the consumer. </w:t>
      </w:r>
      <w:r w:rsidR="00B769DC">
        <w:t>These</w:t>
      </w:r>
      <w:r w:rsidR="006064FC">
        <w:t xml:space="preserve"> benefits can come </w:t>
      </w:r>
      <w:r w:rsidR="00A3137C">
        <w:t>in the form of charging payment scheme</w:t>
      </w:r>
      <w:r w:rsidR="00713E2F">
        <w:t xml:space="preserve">s run by </w:t>
      </w:r>
      <w:r w:rsidR="0021466C">
        <w:t xml:space="preserve">electric companies. Bibak 2021 </w:t>
      </w:r>
      <w:r w:rsidR="00734977">
        <w:t>suggests that in a fully integrated vehicle to grid system, the consumer can man</w:t>
      </w:r>
      <w:r w:rsidR="006D6C2F">
        <w:t xml:space="preserve">age their </w:t>
      </w:r>
      <w:r w:rsidR="009E0AEB">
        <w:t>charging in order to create profit margins for themselves.</w:t>
      </w:r>
      <w:r w:rsidR="00EC75A0">
        <w:t xml:space="preserve"> Bibak recommends </w:t>
      </w:r>
      <w:r w:rsidR="00523E50">
        <w:t xml:space="preserve">the public </w:t>
      </w:r>
      <w:r w:rsidR="0069637C">
        <w:t>charge their vehicles during off-peak times for a cut price, while recharging the grid during peak loading times</w:t>
      </w:r>
      <w:r w:rsidR="00EE6A1B">
        <w:t xml:space="preserve"> for a higher price (</w:t>
      </w:r>
      <w:r w:rsidR="00543DD8">
        <w:t>Bibak and Hatice, 2021</w:t>
      </w:r>
      <w:r w:rsidR="00EE6A1B">
        <w:t>)</w:t>
      </w:r>
      <w:r w:rsidR="00B70F28">
        <w:t>. These pro</w:t>
      </w:r>
      <w:r w:rsidR="003C1457">
        <w:t xml:space="preserve">fits, much like the running cost decrease mentioned in section 3.1, could sway public opinion towards the vehicle to grid technology creating a sustainable support system for the power grid in the future. </w:t>
      </w:r>
    </w:p>
    <w:p w14:paraId="03420AA2" w14:textId="4E45FE05" w:rsidR="00C23EC2" w:rsidRDefault="003C1457" w:rsidP="00933DEF">
      <w:pPr>
        <w:spacing w:line="360" w:lineRule="auto"/>
        <w:jc w:val="both"/>
      </w:pPr>
      <w:r>
        <w:t xml:space="preserve">As discussed in section 2, the vehicle to grid concept involves much more charging and discharging compared to the normal charge/discharge cycle of a typical electric car. </w:t>
      </w:r>
      <w:r w:rsidR="00AF765B">
        <w:t>This increase in the frequency of battery cyclin</w:t>
      </w:r>
      <w:r w:rsidR="00C23EC2">
        <w:t xml:space="preserve">g can drastically decrease the lifespan of the battery, as found </w:t>
      </w:r>
      <w:r w:rsidR="00556A91">
        <w:t>during</w:t>
      </w:r>
      <w:r w:rsidR="001B1E12">
        <w:t xml:space="preserve"> research </w:t>
      </w:r>
      <w:r w:rsidR="00556A91">
        <w:t>by Axon et al.</w:t>
      </w:r>
      <w:r w:rsidR="001B1E12">
        <w:t xml:space="preserve"> They analysed the effects the increased battery cycling had on</w:t>
      </w:r>
      <w:r w:rsidR="00C268A7">
        <w:t xml:space="preserve"> the lifespan of an eV battery using a set of predetermined </w:t>
      </w:r>
      <w:r w:rsidR="005703EE">
        <w:t xml:space="preserve">calculations as well as running the engines through a simulated version of the NEDC cycle. The group found that </w:t>
      </w:r>
      <w:r w:rsidR="000F79F7">
        <w:t xml:space="preserve">the additional charging demands required by the V2G concept ‘introduced additional wear on a vehicle battery and accelerated the </w:t>
      </w:r>
      <w:r w:rsidR="000B5F0E">
        <w:t>frequency of its replacement’ (</w:t>
      </w:r>
      <w:r w:rsidR="00A7002E">
        <w:t>Axon et al, 2013</w:t>
      </w:r>
      <w:r w:rsidR="000B5F0E">
        <w:t xml:space="preserve">). </w:t>
      </w:r>
      <w:r w:rsidR="000C7F8A">
        <w:t xml:space="preserve">This increase in the battery replacement could incur high service cost for the vehicle owner, which could </w:t>
      </w:r>
      <w:r w:rsidR="006038BF">
        <w:t xml:space="preserve">turn the public away from electric vehicles towards a safer, more reliable alternative. </w:t>
      </w:r>
    </w:p>
    <w:p w14:paraId="20EAF01C" w14:textId="226365B2" w:rsidR="009918ED" w:rsidRDefault="009918ED" w:rsidP="00933DEF">
      <w:pPr>
        <w:pStyle w:val="Heading2"/>
        <w:spacing w:line="360" w:lineRule="auto"/>
        <w:jc w:val="both"/>
      </w:pPr>
      <w:bookmarkStart w:id="5" w:name="_Toc88494160"/>
      <w:r>
        <w:t>Section 3.3 – Practicalities</w:t>
      </w:r>
      <w:bookmarkEnd w:id="5"/>
    </w:p>
    <w:p w14:paraId="42584123" w14:textId="7E7AE97D" w:rsidR="008F56A7" w:rsidRDefault="008D07C5" w:rsidP="00933DEF">
      <w:pPr>
        <w:spacing w:line="360" w:lineRule="auto"/>
        <w:jc w:val="both"/>
      </w:pPr>
      <w:r>
        <w:t>In May 2020, the delivery company DPD announced</w:t>
      </w:r>
      <w:r w:rsidR="008F56A7">
        <w:t xml:space="preserve"> they would be introducing a fleet of 300 Nissan e-NV200 vans to create the largest fleet of electric delivery vehicles </w:t>
      </w:r>
      <w:r w:rsidR="00A21E41">
        <w:t>in the UK (</w:t>
      </w:r>
      <w:hyperlink r:id="rId12" w:history="1">
        <w:r w:rsidR="00016C9B" w:rsidRPr="00FD15DD">
          <w:rPr>
            <w:rStyle w:val="Hyperlink"/>
          </w:rPr>
          <w:t>www.dpd.co.uk</w:t>
        </w:r>
      </w:hyperlink>
      <w:r w:rsidR="00016C9B">
        <w:t>, n.d.</w:t>
      </w:r>
      <w:r w:rsidR="00A21E41">
        <w:t>). As mentioned in section 3.1, the Nissan e-NV200 van is fitted with CHAdeMO charging technology</w:t>
      </w:r>
      <w:r w:rsidR="00FE1563">
        <w:t xml:space="preserve"> and therefore vehicle to grid compatible. Using the delivery fleet as a case study, the vehicle to grid system becomes an impractical task for a delivery company</w:t>
      </w:r>
      <w:r w:rsidR="007A4523">
        <w:t xml:space="preserve"> to carry out. </w:t>
      </w:r>
    </w:p>
    <w:p w14:paraId="3C82C89A" w14:textId="525164FC" w:rsidR="00116B22" w:rsidRDefault="00FB35AC" w:rsidP="00933DEF">
      <w:pPr>
        <w:spacing w:line="360" w:lineRule="auto"/>
        <w:jc w:val="both"/>
      </w:pPr>
      <w:r>
        <w:rPr>
          <w:noProof/>
        </w:rPr>
        <w:lastRenderedPageBreak/>
        <w:drawing>
          <wp:anchor distT="0" distB="0" distL="114300" distR="114300" simplePos="0" relativeHeight="251664384" behindDoc="1" locked="0" layoutInCell="1" allowOverlap="1" wp14:anchorId="09B096A5" wp14:editId="320FAB9A">
            <wp:simplePos x="0" y="0"/>
            <wp:positionH relativeFrom="margin">
              <wp:align>center</wp:align>
            </wp:positionH>
            <wp:positionV relativeFrom="paragraph">
              <wp:posOffset>38100</wp:posOffset>
            </wp:positionV>
            <wp:extent cx="4368800" cy="2608889"/>
            <wp:effectExtent l="0" t="0" r="0" b="1270"/>
            <wp:wrapTight wrapText="bothSides">
              <wp:wrapPolygon edited="0">
                <wp:start x="0" y="0"/>
                <wp:lineTo x="0" y="21453"/>
                <wp:lineTo x="21474" y="21453"/>
                <wp:lineTo x="21474" y="0"/>
                <wp:lineTo x="0" y="0"/>
              </wp:wrapPolygon>
            </wp:wrapTight>
            <wp:docPr id="7" name="Picture 7"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Chart, bar chart&#10;&#10;Description automatically generated"/>
                    <pic:cNvPicPr/>
                  </pic:nvPicPr>
                  <pic:blipFill>
                    <a:blip r:embed="rId13" cstate="print">
                      <a:extLst>
                        <a:ext uri="{28A0092B-C50C-407E-A947-70E740481C1C}">
                          <a14:useLocalDpi xmlns:a14="http://schemas.microsoft.com/office/drawing/2010/main" val="0"/>
                        </a:ext>
                      </a:extLst>
                    </a:blip>
                    <a:stretch>
                      <a:fillRect/>
                    </a:stretch>
                  </pic:blipFill>
                  <pic:spPr>
                    <a:xfrm>
                      <a:off x="0" y="0"/>
                      <a:ext cx="4368800" cy="2608889"/>
                    </a:xfrm>
                    <a:prstGeom prst="rect">
                      <a:avLst/>
                    </a:prstGeom>
                  </pic:spPr>
                </pic:pic>
              </a:graphicData>
            </a:graphic>
          </wp:anchor>
        </w:drawing>
      </w:r>
    </w:p>
    <w:p w14:paraId="405713AD" w14:textId="77777777" w:rsidR="00FB35AC" w:rsidRDefault="00FB35AC" w:rsidP="00933DEF">
      <w:pPr>
        <w:spacing w:line="360" w:lineRule="auto"/>
        <w:jc w:val="both"/>
      </w:pPr>
    </w:p>
    <w:p w14:paraId="32CF9894" w14:textId="77777777" w:rsidR="00FB35AC" w:rsidRDefault="00FB35AC" w:rsidP="00933DEF">
      <w:pPr>
        <w:spacing w:line="360" w:lineRule="auto"/>
        <w:jc w:val="both"/>
      </w:pPr>
    </w:p>
    <w:p w14:paraId="37C24A24" w14:textId="29B61929" w:rsidR="00FB35AC" w:rsidRDefault="00FB35AC" w:rsidP="00933DEF">
      <w:pPr>
        <w:spacing w:line="360" w:lineRule="auto"/>
        <w:jc w:val="both"/>
      </w:pPr>
    </w:p>
    <w:p w14:paraId="1197C70D" w14:textId="77777777" w:rsidR="00FB35AC" w:rsidRDefault="00FB35AC" w:rsidP="00933DEF">
      <w:pPr>
        <w:spacing w:line="360" w:lineRule="auto"/>
        <w:jc w:val="both"/>
      </w:pPr>
    </w:p>
    <w:p w14:paraId="729CC925" w14:textId="77777777" w:rsidR="00FB35AC" w:rsidRDefault="00FB35AC" w:rsidP="00933DEF">
      <w:pPr>
        <w:spacing w:line="360" w:lineRule="auto"/>
        <w:jc w:val="both"/>
      </w:pPr>
    </w:p>
    <w:p w14:paraId="659B6058" w14:textId="77777777" w:rsidR="00FB35AC" w:rsidRDefault="00FB35AC" w:rsidP="00933DEF">
      <w:pPr>
        <w:spacing w:line="360" w:lineRule="auto"/>
        <w:jc w:val="both"/>
      </w:pPr>
    </w:p>
    <w:p w14:paraId="372064DD" w14:textId="77777777" w:rsidR="00FB35AC" w:rsidRDefault="00FB35AC" w:rsidP="00933DEF">
      <w:pPr>
        <w:spacing w:line="360" w:lineRule="auto"/>
        <w:jc w:val="both"/>
      </w:pPr>
    </w:p>
    <w:p w14:paraId="1C7B11EE" w14:textId="3FA1100D" w:rsidR="00FB35AC" w:rsidRDefault="00FB35AC" w:rsidP="00933DEF">
      <w:pPr>
        <w:spacing w:line="360" w:lineRule="auto"/>
        <w:jc w:val="center"/>
      </w:pPr>
      <w:r>
        <w:t xml:space="preserve">Figure 3.1 </w:t>
      </w:r>
      <w:r w:rsidR="003936A3">
        <w:t>–</w:t>
      </w:r>
      <w:r>
        <w:t xml:space="preserve"> </w:t>
      </w:r>
      <w:r w:rsidR="003936A3">
        <w:t>A graph showing the most optimal time to charge an electric vehicle (</w:t>
      </w:r>
      <w:r w:rsidR="000B373E">
        <w:t>New Motion, n.d.</w:t>
      </w:r>
      <w:r w:rsidR="003936A3">
        <w:t>)</w:t>
      </w:r>
    </w:p>
    <w:p w14:paraId="33D3F535" w14:textId="1D471226" w:rsidR="007A4523" w:rsidRPr="008D07C5" w:rsidRDefault="007A4523" w:rsidP="00933DEF">
      <w:pPr>
        <w:spacing w:line="360" w:lineRule="auto"/>
        <w:jc w:val="both"/>
      </w:pPr>
      <w:r>
        <w:t xml:space="preserve">As shown in figure 3.1, </w:t>
      </w:r>
      <w:r w:rsidR="00116B22">
        <w:t>New Motion suggests that the optimal time for a vehicle to draw power from the grid to charge an electric vehicle is between 11am and 4pm (</w:t>
      </w:r>
      <w:r w:rsidR="000B373E">
        <w:t>New Motion, n.d.</w:t>
      </w:r>
      <w:r w:rsidR="00116B22">
        <w:t xml:space="preserve">). </w:t>
      </w:r>
      <w:r w:rsidR="00FB35AC">
        <w:t xml:space="preserve">For a delivery fleet, this coincides with the normal time for a delivery company to be out delivering packages, making it impractical for a delivery fleet to operate using vehicle to grid technology. </w:t>
      </w:r>
      <w:r w:rsidR="003936A3">
        <w:t>Using figure 3.1 again, the vehicle to grid technology would be better suited to an office environment. Once employees have arrived at the office, their vehicles will remain stationary for the day and would</w:t>
      </w:r>
      <w:r w:rsidR="000B373E">
        <w:t xml:space="preserve"> </w:t>
      </w:r>
      <w:r w:rsidR="003936A3">
        <w:t xml:space="preserve">therefore be much better suited to the V2G technology. </w:t>
      </w:r>
    </w:p>
    <w:p w14:paraId="6191271B" w14:textId="518F0762" w:rsidR="009918ED" w:rsidRDefault="009918ED" w:rsidP="00933DEF">
      <w:pPr>
        <w:pStyle w:val="Heading2"/>
        <w:spacing w:line="360" w:lineRule="auto"/>
        <w:jc w:val="both"/>
      </w:pPr>
      <w:bookmarkStart w:id="6" w:name="_Toc88494161"/>
      <w:r>
        <w:t>Section 3.4 – Ethics</w:t>
      </w:r>
      <w:bookmarkEnd w:id="6"/>
    </w:p>
    <w:p w14:paraId="76AE4C39" w14:textId="1BC2C64B" w:rsidR="008702C4" w:rsidRDefault="004C7303" w:rsidP="00933DEF">
      <w:pPr>
        <w:spacing w:line="360" w:lineRule="auto"/>
        <w:jc w:val="both"/>
      </w:pPr>
      <w:r>
        <w:t xml:space="preserve">Saber and Venayagamoorthy suggest that the implementation of vehicle to grid will benefit the environment by reducing dependency on the existing forms of power generation. Implementing a system, such as the one detailed in Loisel et al’s paper from section 2, would reduce the need for </w:t>
      </w:r>
      <w:r w:rsidR="00257E4A">
        <w:t xml:space="preserve">power to be generated due to power already being added to the system in the form of eV power. </w:t>
      </w:r>
    </w:p>
    <w:p w14:paraId="32442F1F" w14:textId="3CDD797D" w:rsidR="008702C4" w:rsidRDefault="00933DEF" w:rsidP="00933DEF">
      <w:pPr>
        <w:spacing w:line="360" w:lineRule="auto"/>
        <w:jc w:val="both"/>
      </w:pPr>
      <w:r>
        <w:rPr>
          <w:noProof/>
        </w:rPr>
        <w:lastRenderedPageBreak/>
        <w:drawing>
          <wp:anchor distT="0" distB="0" distL="114300" distR="114300" simplePos="0" relativeHeight="251662336" behindDoc="1" locked="0" layoutInCell="1" allowOverlap="1" wp14:anchorId="39A052E9" wp14:editId="7B494256">
            <wp:simplePos x="0" y="0"/>
            <wp:positionH relativeFrom="margin">
              <wp:align>center</wp:align>
            </wp:positionH>
            <wp:positionV relativeFrom="paragraph">
              <wp:posOffset>24130</wp:posOffset>
            </wp:positionV>
            <wp:extent cx="2973070" cy="3282950"/>
            <wp:effectExtent l="0" t="0" r="0" b="0"/>
            <wp:wrapTight wrapText="bothSides">
              <wp:wrapPolygon edited="0">
                <wp:start x="0" y="0"/>
                <wp:lineTo x="0" y="21405"/>
                <wp:lineTo x="21415" y="21405"/>
                <wp:lineTo x="21415" y="0"/>
                <wp:lineTo x="0" y="0"/>
              </wp:wrapPolygon>
            </wp:wrapTight>
            <wp:docPr id="3" name="Picture 3" descr="Pie chart that shows different types of ga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ie chart that shows different types of gases."/>
                    <pic:cNvPicPr>
                      <a:picLocks noChangeAspect="1" noChangeArrowheads="1"/>
                    </pic:cNvPicPr>
                  </pic:nvPicPr>
                  <pic:blipFill rotWithShape="1">
                    <a:blip r:embed="rId14">
                      <a:extLst>
                        <a:ext uri="{28A0092B-C50C-407E-A947-70E740481C1C}">
                          <a14:useLocalDpi xmlns:a14="http://schemas.microsoft.com/office/drawing/2010/main" val="0"/>
                        </a:ext>
                      </a:extLst>
                    </a:blip>
                    <a:srcRect l="9085" t="15253" r="6714"/>
                    <a:stretch/>
                  </pic:blipFill>
                  <pic:spPr bwMode="auto">
                    <a:xfrm>
                      <a:off x="0" y="0"/>
                      <a:ext cx="2973070" cy="328295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66A77674" w14:textId="40CD464D" w:rsidR="008702C4" w:rsidRDefault="008702C4" w:rsidP="00933DEF">
      <w:pPr>
        <w:spacing w:line="360" w:lineRule="auto"/>
        <w:jc w:val="both"/>
      </w:pPr>
    </w:p>
    <w:p w14:paraId="3BA59486" w14:textId="7029CA66" w:rsidR="008702C4" w:rsidRDefault="008702C4" w:rsidP="00933DEF">
      <w:pPr>
        <w:spacing w:line="360" w:lineRule="auto"/>
        <w:jc w:val="both"/>
      </w:pPr>
    </w:p>
    <w:p w14:paraId="56CD7FB7" w14:textId="77777777" w:rsidR="008702C4" w:rsidRDefault="008702C4" w:rsidP="00933DEF">
      <w:pPr>
        <w:spacing w:line="360" w:lineRule="auto"/>
        <w:jc w:val="both"/>
      </w:pPr>
    </w:p>
    <w:p w14:paraId="126DFE23" w14:textId="77777777" w:rsidR="008702C4" w:rsidRDefault="008702C4" w:rsidP="00933DEF">
      <w:pPr>
        <w:spacing w:line="360" w:lineRule="auto"/>
        <w:jc w:val="both"/>
      </w:pPr>
    </w:p>
    <w:p w14:paraId="49B7FDDA" w14:textId="77777777" w:rsidR="008702C4" w:rsidRDefault="008702C4" w:rsidP="00933DEF">
      <w:pPr>
        <w:spacing w:line="360" w:lineRule="auto"/>
        <w:jc w:val="both"/>
      </w:pPr>
    </w:p>
    <w:p w14:paraId="3677623C" w14:textId="77777777" w:rsidR="008702C4" w:rsidRDefault="008702C4" w:rsidP="00933DEF">
      <w:pPr>
        <w:spacing w:line="360" w:lineRule="auto"/>
        <w:jc w:val="both"/>
      </w:pPr>
    </w:p>
    <w:p w14:paraId="357047C0" w14:textId="77777777" w:rsidR="008702C4" w:rsidRDefault="008702C4" w:rsidP="00933DEF">
      <w:pPr>
        <w:spacing w:line="360" w:lineRule="auto"/>
        <w:jc w:val="both"/>
      </w:pPr>
    </w:p>
    <w:p w14:paraId="76D9D245" w14:textId="62366D40" w:rsidR="008702C4" w:rsidRDefault="008702C4" w:rsidP="00933DEF">
      <w:pPr>
        <w:spacing w:line="360" w:lineRule="auto"/>
        <w:jc w:val="both"/>
      </w:pPr>
    </w:p>
    <w:p w14:paraId="1AC6D436" w14:textId="77777777" w:rsidR="008702C4" w:rsidRDefault="008702C4" w:rsidP="00933DEF">
      <w:pPr>
        <w:spacing w:line="360" w:lineRule="auto"/>
        <w:jc w:val="both"/>
      </w:pPr>
    </w:p>
    <w:p w14:paraId="0429FFDA" w14:textId="3F2BB854" w:rsidR="008702C4" w:rsidRDefault="008702C4" w:rsidP="00933DEF">
      <w:pPr>
        <w:spacing w:line="360" w:lineRule="auto"/>
        <w:jc w:val="center"/>
      </w:pPr>
      <w:r>
        <w:t xml:space="preserve">Figure 3.1 – Pie Chart of the </w:t>
      </w:r>
      <w:r w:rsidR="008D1E05">
        <w:t>spread of gases involved in Global Warming (</w:t>
      </w:r>
      <w:r w:rsidR="00832A2D" w:rsidRPr="00832A2D">
        <w:t>United States Environmental Protection Agency, 2018)</w:t>
      </w:r>
    </w:p>
    <w:p w14:paraId="00421FD9" w14:textId="63B34D1D" w:rsidR="004C7303" w:rsidRDefault="00257E4A" w:rsidP="00933DEF">
      <w:pPr>
        <w:spacing w:line="360" w:lineRule="auto"/>
        <w:jc w:val="both"/>
      </w:pPr>
      <w:r>
        <w:t>At the moment, the most common type of power generation in the United Kingdom</w:t>
      </w:r>
      <w:r w:rsidR="00472960">
        <w:t xml:space="preserve"> is </w:t>
      </w:r>
      <w:r w:rsidR="008A5461">
        <w:t xml:space="preserve">Natural </w:t>
      </w:r>
      <w:r w:rsidR="00472960">
        <w:t xml:space="preserve">Gas, accounting for 51% of the </w:t>
      </w:r>
      <w:r w:rsidR="0021525B">
        <w:t>country’s</w:t>
      </w:r>
      <w:r w:rsidR="00472960">
        <w:t xml:space="preserve"> generators (</w:t>
      </w:r>
      <w:r w:rsidR="004A7E48">
        <w:t>Sky News, n.d.</w:t>
      </w:r>
      <w:r w:rsidR="00472960">
        <w:t xml:space="preserve">). </w:t>
      </w:r>
      <w:r w:rsidR="008A5461">
        <w:t xml:space="preserve">With natural gas being </w:t>
      </w:r>
      <w:r w:rsidR="008702C4">
        <w:t>a fossil fuel,</w:t>
      </w:r>
      <w:r w:rsidR="008A5461">
        <w:t xml:space="preserve"> it releases carbon dioxide (CO</w:t>
      </w:r>
      <w:r w:rsidR="008A5461">
        <w:rPr>
          <w:vertAlign w:val="subscript"/>
        </w:rPr>
        <w:t>2</w:t>
      </w:r>
      <w:r w:rsidR="008A5461">
        <w:t>), a key contributor to global warmin</w:t>
      </w:r>
      <w:r w:rsidR="008D1E05">
        <w:t>g, during the burning process</w:t>
      </w:r>
      <w:r w:rsidR="00B714E4">
        <w:t xml:space="preserve"> (</w:t>
      </w:r>
      <w:r w:rsidR="00832A2D" w:rsidRPr="00832A2D">
        <w:t>United States Environmental Protection Agency, 2018)</w:t>
      </w:r>
      <w:r w:rsidR="00B714E4">
        <w:t>.</w:t>
      </w:r>
      <w:r w:rsidR="003D6F3E">
        <w:t xml:space="preserve"> As well as this, during the drilling process to extract the </w:t>
      </w:r>
      <w:r w:rsidR="008702C4">
        <w:t>gas large quantities of Methane, another key contributor towards global warming</w:t>
      </w:r>
      <w:r w:rsidR="008D1E05">
        <w:t>, as seen in figure 3.1</w:t>
      </w:r>
      <w:r w:rsidR="008702C4">
        <w:t>, are leaked into the atmosphere (</w:t>
      </w:r>
      <w:r w:rsidR="00832A2D" w:rsidRPr="00832A2D">
        <w:t>United States Environmental Protection Agency, 2018)</w:t>
      </w:r>
      <w:r w:rsidR="008702C4">
        <w:t xml:space="preserve">. </w:t>
      </w:r>
      <w:r w:rsidR="00FF2F81">
        <w:t xml:space="preserve">With the recent zero carbon emissions pledges made by countries worldwide during the recent COP26 conference, as mentioned in section 1, it is clear that </w:t>
      </w:r>
      <w:r w:rsidR="00370B3D">
        <w:t xml:space="preserve">a </w:t>
      </w:r>
      <w:r w:rsidR="00FF2F81">
        <w:t xml:space="preserve">V2G </w:t>
      </w:r>
      <w:r w:rsidR="00370B3D">
        <w:t xml:space="preserve">system, specified by Loisel et al in section 2, </w:t>
      </w:r>
      <w:r w:rsidR="00FF2F81">
        <w:t xml:space="preserve">can </w:t>
      </w:r>
      <w:r w:rsidR="00370B3D">
        <w:t>create a net zero carbon emission environment for the future. This net zero environment can change opinions among climate activists about the existing power grid technology.</w:t>
      </w:r>
      <w:r w:rsidR="003D6F3E">
        <w:t xml:space="preserve"> </w:t>
      </w:r>
    </w:p>
    <w:p w14:paraId="70EC2181" w14:textId="762C75D0" w:rsidR="002E0283" w:rsidRDefault="008D1E05" w:rsidP="00933DEF">
      <w:pPr>
        <w:spacing w:line="360" w:lineRule="auto"/>
        <w:jc w:val="both"/>
      </w:pPr>
      <w:r>
        <w:t>A</w:t>
      </w:r>
      <w:r w:rsidR="00D141A1">
        <w:t xml:space="preserve">s discussed in section 3.2 in the Axon et al paper, the increased battery cycling involved in </w:t>
      </w:r>
      <w:r w:rsidR="00131E9B">
        <w:t>the vehicle to grid process will decrease the lifespan of the battery and result in more frequent replacements. Currently, Lithium</w:t>
      </w:r>
      <w:r w:rsidR="00E821AF">
        <w:t>, a raw material mined from the Earth by either breaking hard rock or evaporating saltwater (</w:t>
      </w:r>
      <w:r w:rsidR="00832A2D" w:rsidRPr="00832A2D">
        <w:t>www.volkswagenag.com, n.d.</w:t>
      </w:r>
      <w:r w:rsidR="00E821AF">
        <w:t xml:space="preserve">), </w:t>
      </w:r>
      <w:r w:rsidR="00131E9B">
        <w:t>is the most common battery technology in the electric vehicle market (</w:t>
      </w:r>
      <w:r w:rsidR="004A7E48">
        <w:t>Iclodean et al, 2017</w:t>
      </w:r>
      <w:r w:rsidR="00131E9B">
        <w:t>)</w:t>
      </w:r>
      <w:r w:rsidR="00E821AF">
        <w:t xml:space="preserve">. </w:t>
      </w:r>
      <w:r w:rsidR="002E0283">
        <w:t>The aforementioned mining process</w:t>
      </w:r>
      <w:r w:rsidR="001A4760">
        <w:t xml:space="preserve"> draws concerns from global environmentalists, with water pollution being attributed to lithium mines being based locally. For example, the waters of the Liqi River in</w:t>
      </w:r>
      <w:r w:rsidR="00146016">
        <w:t xml:space="preserve"> Tibet were contaminated with mining-related chemicals</w:t>
      </w:r>
      <w:r w:rsidR="0097228D">
        <w:t xml:space="preserve"> from the local Ganzizhou Rongda Lithium mine</w:t>
      </w:r>
      <w:r w:rsidR="00146016">
        <w:t xml:space="preserve">, resulting in </w:t>
      </w:r>
      <w:r w:rsidR="00A22FC4">
        <w:t>locals finding dead Cow</w:t>
      </w:r>
      <w:r w:rsidR="0097228D">
        <w:t>,</w:t>
      </w:r>
      <w:r w:rsidR="00A22FC4">
        <w:t xml:space="preserve"> Yak</w:t>
      </w:r>
      <w:r w:rsidR="0097228D">
        <w:t xml:space="preserve"> and Fish</w:t>
      </w:r>
      <w:r w:rsidR="00A22FC4">
        <w:t xml:space="preserve"> along the </w:t>
      </w:r>
      <w:r w:rsidR="00A22FC4">
        <w:lastRenderedPageBreak/>
        <w:t>riverside</w:t>
      </w:r>
      <w:r w:rsidR="0097228D">
        <w:t xml:space="preserve"> (</w:t>
      </w:r>
      <w:r w:rsidR="004A7E48">
        <w:t>Institute for Energy Research, 2020</w:t>
      </w:r>
      <w:r w:rsidR="0097228D">
        <w:t>). As well as this, during the refining process, large amounts of Lithium are released into the air posing a potential risk to the refinery workers</w:t>
      </w:r>
      <w:r w:rsidR="005140B7">
        <w:t>, as found by Agusdinata et al in their 2018 investigation into the effects of Lithium mining. They found that a blood concentration of higher than 20mg/L can potentially be fatal (</w:t>
      </w:r>
      <w:r w:rsidR="00A7002E">
        <w:t>Agusdinata et al, 2018</w:t>
      </w:r>
      <w:r w:rsidR="005140B7">
        <w:t xml:space="preserve">), which would therefore pose a large threat to the Lithium refinery workers who, it can be assumed, would be exposed to large quantities of Lithium in the air. </w:t>
      </w:r>
      <w:r w:rsidR="00B35014">
        <w:t xml:space="preserve">With all of this in mind, it is fair to say a much cleaner mining process should be developed to brighten the image of Lithium mining and, as a result, create a cleaner image of electric vehicles in general. </w:t>
      </w:r>
    </w:p>
    <w:p w14:paraId="7C7DF69F" w14:textId="1BA2AE4E" w:rsidR="0012288F" w:rsidRDefault="00933DEF" w:rsidP="00933DEF">
      <w:pPr>
        <w:spacing w:line="360" w:lineRule="auto"/>
        <w:jc w:val="both"/>
      </w:pPr>
      <w:r>
        <w:rPr>
          <w:noProof/>
        </w:rPr>
        <w:drawing>
          <wp:anchor distT="0" distB="0" distL="114300" distR="114300" simplePos="0" relativeHeight="251663360" behindDoc="1" locked="0" layoutInCell="1" allowOverlap="1" wp14:anchorId="314B9C7C" wp14:editId="428D402C">
            <wp:simplePos x="0" y="0"/>
            <wp:positionH relativeFrom="margin">
              <wp:posOffset>-1270</wp:posOffset>
            </wp:positionH>
            <wp:positionV relativeFrom="paragraph">
              <wp:posOffset>4091305</wp:posOffset>
            </wp:positionV>
            <wp:extent cx="5731510" cy="1964690"/>
            <wp:effectExtent l="0" t="0" r="2540" b="0"/>
            <wp:wrapTight wrapText="bothSides">
              <wp:wrapPolygon edited="0">
                <wp:start x="0" y="0"/>
                <wp:lineTo x="0" y="21363"/>
                <wp:lineTo x="21538" y="21363"/>
                <wp:lineTo x="21538" y="0"/>
                <wp:lineTo x="0" y="0"/>
              </wp:wrapPolygon>
            </wp:wrapTight>
            <wp:docPr id="4" name="Picture 4" descr="Multi barrier disposal concept for used nuclear fuel Swedish company Posiv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Multi barrier disposal concept for used nuclear fuel Swedish company Posiva"/>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5731510" cy="1964690"/>
                    </a:xfrm>
                    <a:prstGeom prst="rect">
                      <a:avLst/>
                    </a:prstGeom>
                    <a:noFill/>
                    <a:ln>
                      <a:noFill/>
                    </a:ln>
                  </pic:spPr>
                </pic:pic>
              </a:graphicData>
            </a:graphic>
          </wp:anchor>
        </w:drawing>
      </w:r>
      <w:r w:rsidR="00B3080E">
        <w:t xml:space="preserve">Finally, regardless of the decreased need for power generation systems, mentioned earlier, there </w:t>
      </w:r>
      <w:r w:rsidR="004705A1">
        <w:t>is still a need for more power generation systems to be introduced. As found by virta-global, who calculated that a 1% increase</w:t>
      </w:r>
      <w:r w:rsidR="00E00DCF">
        <w:t xml:space="preserve"> in electric vehicles in Germany would require five gigawatts of extra power generated (</w:t>
      </w:r>
      <w:r w:rsidR="001F06B5">
        <w:t>Virta, n.d.</w:t>
      </w:r>
      <w:r w:rsidR="00E00DCF">
        <w:t xml:space="preserve">). With the previously mentioned zero emission pledges </w:t>
      </w:r>
      <w:r w:rsidR="00AD2902">
        <w:t xml:space="preserve">announced by world leaders at the recent COP26 conference, the move to cleaner power generation sources will be imminent. One option would be </w:t>
      </w:r>
      <w:r w:rsidR="006679D9">
        <w:t>nuclear</w:t>
      </w:r>
      <w:r w:rsidR="00AD2902">
        <w:t xml:space="preserve"> energy, </w:t>
      </w:r>
      <w:r w:rsidR="006679D9">
        <w:t xml:space="preserve">considered a clean source of power due to </w:t>
      </w:r>
      <w:r w:rsidR="0021525B">
        <w:t>its</w:t>
      </w:r>
      <w:r w:rsidR="006679D9">
        <w:t xml:space="preserve"> low greenhouse gas emissions (</w:t>
      </w:r>
      <w:r w:rsidR="007F34F2">
        <w:t>World Nuclear Association, 2021</w:t>
      </w:r>
      <w:r w:rsidR="006679D9">
        <w:t xml:space="preserve">). Recently, the UK government have announced plans to collaborate with Rolls Royce to build sixteen nuclear reactors across the country in order to reach their </w:t>
      </w:r>
      <w:r w:rsidR="001F06B5">
        <w:t>zero-carbon</w:t>
      </w:r>
      <w:r w:rsidR="006679D9">
        <w:t xml:space="preserve"> emission pledge (</w:t>
      </w:r>
      <w:r w:rsidR="001F06B5">
        <w:t>The Guardian, 2021</w:t>
      </w:r>
      <w:r w:rsidR="006679D9">
        <w:t>)</w:t>
      </w:r>
      <w:r w:rsidR="006739F1">
        <w:t xml:space="preserve">. Despite nuclear power’s apparent clean energy generation, there are major concerns surrounding the </w:t>
      </w:r>
      <w:r w:rsidR="0012288F">
        <w:t xml:space="preserve">safety of the power source. One concern being the disposal of dangerous radioactive waste, left after the reaction process. </w:t>
      </w:r>
      <w:r w:rsidR="007C487A">
        <w:t>C</w:t>
      </w:r>
      <w:r w:rsidR="0012288F">
        <w:t>onsumed fuel rods from the heart of the reactor will need to be dispo</w:t>
      </w:r>
      <w:r w:rsidR="007C487A">
        <w:t>sed of and one option for the disposal of spent fuel is burying the rods deep into the ground</w:t>
      </w:r>
      <w:r w:rsidR="005263DB">
        <w:t xml:space="preserve"> for 200,000 years</w:t>
      </w:r>
      <w:r w:rsidR="00C02B0C">
        <w:t>, a diagram of which is shown below in figure 3.2</w:t>
      </w:r>
      <w:r w:rsidR="007C487A">
        <w:t xml:space="preserve"> (</w:t>
      </w:r>
      <w:r w:rsidR="007F34F2">
        <w:t>World Nuclear Association, 2018</w:t>
      </w:r>
      <w:r w:rsidR="007C487A">
        <w:t>). However, in a recent article Jacobsen suggests that with larger accumulations of radioactive waste developing, the risk of radioactive leaks, which would damage surrounding water supplies and crops, increases</w:t>
      </w:r>
      <w:r w:rsidR="00C02B0C">
        <w:t xml:space="preserve"> (</w:t>
      </w:r>
      <w:r w:rsidR="001F06B5" w:rsidRPr="001F06B5">
        <w:t>Heinrich-Böll-Stiftung, n.d.</w:t>
      </w:r>
      <w:r w:rsidR="00C02B0C">
        <w:t xml:space="preserve">). </w:t>
      </w:r>
    </w:p>
    <w:p w14:paraId="1AB435D4" w14:textId="3FE3B2F3" w:rsidR="00ED745C" w:rsidRDefault="00ED745C" w:rsidP="00933DEF">
      <w:pPr>
        <w:spacing w:line="360" w:lineRule="auto"/>
        <w:jc w:val="center"/>
      </w:pPr>
      <w:r>
        <w:t>Figure 3.2 – A diagram of the disposal process for spent nuclear fuel rods (</w:t>
      </w:r>
      <w:r w:rsidR="007F34F2">
        <w:t>World Nuclear Association, 2018</w:t>
      </w:r>
      <w:r>
        <w:t>)</w:t>
      </w:r>
    </w:p>
    <w:p w14:paraId="2CFD92CB" w14:textId="5B7126E7" w:rsidR="001268ED" w:rsidRDefault="00ED745C" w:rsidP="00933DEF">
      <w:pPr>
        <w:spacing w:line="360" w:lineRule="auto"/>
        <w:jc w:val="both"/>
      </w:pPr>
      <w:r>
        <w:lastRenderedPageBreak/>
        <w:t>Another safety concern of nuclear energy is the potential risk of major nuclear meltdown, shown in the catastrophic events of the Chernobyl Nuclear disaster in 1985. After</w:t>
      </w:r>
      <w:r w:rsidR="002174B3">
        <w:t xml:space="preserve"> a control rod failure in Reactor 4 of the Chernobyl Reactor caused a major meltdown and eventual reactor explosion, 190 tons of radioactive uranium, responsible for up to 4000 radiation-related cancer cases (</w:t>
      </w:r>
      <w:r w:rsidR="001F06B5">
        <w:t>Blakemore, 2019</w:t>
      </w:r>
      <w:r w:rsidR="002174B3">
        <w:t>) as well as the complete evacuation of the neighbouring city of Pripyat, was released into the atmosphere.</w:t>
      </w:r>
      <w:r w:rsidR="00A84593">
        <w:t xml:space="preserve"> This major incident</w:t>
      </w:r>
      <w:r w:rsidR="001268ED">
        <w:t xml:space="preserve">, as well as the risk of radiation leaks involved in the fuel disposal, has </w:t>
      </w:r>
      <w:r w:rsidR="00A84593">
        <w:t xml:space="preserve">obviously created an incredibly poor </w:t>
      </w:r>
      <w:r w:rsidR="005263DB">
        <w:t>public opinion of nuclear energy</w:t>
      </w:r>
      <w:r w:rsidR="00406FE5">
        <w:t xml:space="preserve"> that could push consumers away from renewable energy sources. It would be more beneficial for the government to focus on different renewable energy sources, such as solar, wind and hydro-electric power. </w:t>
      </w:r>
    </w:p>
    <w:p w14:paraId="63251975" w14:textId="1EEE3FC4" w:rsidR="00FA57B1" w:rsidRDefault="009918ED" w:rsidP="00933DEF">
      <w:pPr>
        <w:pStyle w:val="Heading2"/>
        <w:spacing w:line="360" w:lineRule="auto"/>
        <w:jc w:val="both"/>
      </w:pPr>
      <w:bookmarkStart w:id="7" w:name="_Toc88494162"/>
      <w:r>
        <w:t>Section 3.5 – Grid Capability</w:t>
      </w:r>
      <w:bookmarkEnd w:id="7"/>
    </w:p>
    <w:p w14:paraId="10A1B697" w14:textId="542A9DF9" w:rsidR="006D38EA" w:rsidRDefault="006D38EA" w:rsidP="00933DEF">
      <w:pPr>
        <w:spacing w:line="360" w:lineRule="auto"/>
        <w:jc w:val="both"/>
      </w:pPr>
      <w:r>
        <w:t>In its current state, the national grid cannot</w:t>
      </w:r>
      <w:r w:rsidR="000C70DF">
        <w:t xml:space="preserve"> support a fully integrated vehicle to grid system like the one mentioned in the Loisel et al paper in section 2. </w:t>
      </w:r>
      <w:r w:rsidR="005E31ED">
        <w:t xml:space="preserve">Cortes et al </w:t>
      </w:r>
      <w:r w:rsidR="00964E46">
        <w:t>suggest</w:t>
      </w:r>
      <w:r w:rsidR="00110BB7">
        <w:t xml:space="preserve"> that in order to mitigate the effects vehicle to grid has on a vehicle’s battery, as detailed in section 3.2,</w:t>
      </w:r>
      <w:r w:rsidR="003F7E8F">
        <w:t xml:space="preserve"> active management systems need to be</w:t>
      </w:r>
      <w:r w:rsidR="00FA57B1">
        <w:t xml:space="preserve"> </w:t>
      </w:r>
      <w:r w:rsidR="00964E46">
        <w:t>added to the system (</w:t>
      </w:r>
      <w:r w:rsidR="005E31ED">
        <w:t>Cortes, 2019</w:t>
      </w:r>
      <w:r w:rsidR="00964E46">
        <w:t>). As well as this, Habib et al find that in order to achieve the financial be</w:t>
      </w:r>
      <w:r w:rsidR="006A0175">
        <w:t>nefits, mentioned in section 3.2,</w:t>
      </w:r>
      <w:r w:rsidR="00B54C31">
        <w:t xml:space="preserve"> optimised charge/discharge strategies should be created to monitor the</w:t>
      </w:r>
      <w:r w:rsidR="003B1A8D">
        <w:t xml:space="preserve"> optimal time periods for charging and discharging an electric vehicle to obtain the most amount of profit for the consumer (</w:t>
      </w:r>
      <w:r w:rsidR="00543DD8">
        <w:t>Habib et al, 2015</w:t>
      </w:r>
      <w:r w:rsidR="003B1A8D">
        <w:t>).</w:t>
      </w:r>
      <w:r w:rsidR="00556FDF">
        <w:t xml:space="preserve"> With these points in mind, it is reasonable to suggest that a major overhaul of the current national grid is needed to support the i</w:t>
      </w:r>
      <w:r w:rsidR="00796BF0">
        <w:t>ntroduction of a fully integrated vehicle to grid system. One potential option is to develop the Smart Grid</w:t>
      </w:r>
      <w:r w:rsidR="00484A6D">
        <w:t xml:space="preserve"> approach. </w:t>
      </w:r>
    </w:p>
    <w:p w14:paraId="2C58D99E" w14:textId="33857C15" w:rsidR="00E97F6B" w:rsidRDefault="00E97F6B" w:rsidP="00933DEF">
      <w:pPr>
        <w:spacing w:line="360" w:lineRule="auto"/>
        <w:jc w:val="both"/>
      </w:pPr>
      <w:r>
        <w:rPr>
          <w:noProof/>
        </w:rPr>
        <w:drawing>
          <wp:inline distT="0" distB="0" distL="0" distR="0" wp14:anchorId="603B5434" wp14:editId="24718EF1">
            <wp:extent cx="5731510" cy="2490470"/>
            <wp:effectExtent l="0" t="0" r="2540" b="5080"/>
            <wp:docPr id="5" name="Picture 5"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Diagram&#10;&#10;Description automatically generated"/>
                    <pic:cNvPicPr/>
                  </pic:nvPicPr>
                  <pic:blipFill>
                    <a:blip r:embed="rId16"/>
                    <a:stretch>
                      <a:fillRect/>
                    </a:stretch>
                  </pic:blipFill>
                  <pic:spPr>
                    <a:xfrm>
                      <a:off x="0" y="0"/>
                      <a:ext cx="5731510" cy="2490470"/>
                    </a:xfrm>
                    <a:prstGeom prst="rect">
                      <a:avLst/>
                    </a:prstGeom>
                  </pic:spPr>
                </pic:pic>
              </a:graphicData>
            </a:graphic>
          </wp:inline>
        </w:drawing>
      </w:r>
    </w:p>
    <w:p w14:paraId="22F604E0" w14:textId="62A6E1A5" w:rsidR="00E97F6B" w:rsidRDefault="00E97F6B" w:rsidP="00933DEF">
      <w:pPr>
        <w:spacing w:line="360" w:lineRule="auto"/>
        <w:jc w:val="center"/>
      </w:pPr>
      <w:r>
        <w:t xml:space="preserve">Figure 3.3 – A diagram of the </w:t>
      </w:r>
      <w:r w:rsidR="0099097C">
        <w:t>Smart Grid concept (</w:t>
      </w:r>
      <w:r w:rsidR="005E31ED">
        <w:t>Ali et al, 2013</w:t>
      </w:r>
      <w:r w:rsidR="0099097C">
        <w:t>)</w:t>
      </w:r>
    </w:p>
    <w:p w14:paraId="682674F0" w14:textId="77777777" w:rsidR="00933DEF" w:rsidRDefault="00933DEF" w:rsidP="00933DEF">
      <w:pPr>
        <w:spacing w:line="360" w:lineRule="auto"/>
        <w:jc w:val="both"/>
      </w:pPr>
    </w:p>
    <w:p w14:paraId="3E90D020" w14:textId="41AC7620" w:rsidR="00484A6D" w:rsidRDefault="00484A6D" w:rsidP="00933DEF">
      <w:pPr>
        <w:spacing w:line="360" w:lineRule="auto"/>
        <w:jc w:val="both"/>
      </w:pPr>
      <w:r>
        <w:lastRenderedPageBreak/>
        <w:t xml:space="preserve">Ali et al describes the smart grid as ‘the transparent, </w:t>
      </w:r>
      <w:r w:rsidR="0021525B">
        <w:t>seamless,</w:t>
      </w:r>
      <w:r>
        <w:t xml:space="preserve"> and instantaneous two-way delivery of energy information, enabling the electricity industry to better manage </w:t>
      </w:r>
      <w:r w:rsidR="00E97F6B">
        <w:t>energy delivery and transmission and empowering consumers to have more control over energy decisions’ (</w:t>
      </w:r>
      <w:r w:rsidR="005E31ED">
        <w:t>Ali et al, 2013</w:t>
      </w:r>
      <w:r w:rsidR="00E97F6B">
        <w:t>).</w:t>
      </w:r>
      <w:r w:rsidR="00B641CC">
        <w:t xml:space="preserve"> Ali et al goes on to </w:t>
      </w:r>
      <w:r w:rsidR="00AA130F">
        <w:t>detail the benefits of a fully integrated smart grid concept stating that the concept would</w:t>
      </w:r>
      <w:r w:rsidR="007F73BA">
        <w:t xml:space="preserve"> ‘provide </w:t>
      </w:r>
      <w:r w:rsidR="001B758F">
        <w:t>consumers with greater information and choice of supply’ (</w:t>
      </w:r>
      <w:r w:rsidR="005E31ED">
        <w:t>Ali et al, 2013</w:t>
      </w:r>
      <w:r w:rsidR="001B758F">
        <w:t>) as well as ‘revolutionising the transportation sector through the integration of electric vehicles as generation and storage devices’ (</w:t>
      </w:r>
      <w:r w:rsidR="005E31ED">
        <w:t>Ali et al, 2013</w:t>
      </w:r>
      <w:r w:rsidR="001B758F">
        <w:t>)</w:t>
      </w:r>
      <w:r w:rsidR="009A6DB7">
        <w:t xml:space="preserve">. </w:t>
      </w:r>
    </w:p>
    <w:p w14:paraId="6E4BA8E1" w14:textId="7C611FD7" w:rsidR="005F1B6D" w:rsidRDefault="009A6DB7" w:rsidP="00933DEF">
      <w:pPr>
        <w:spacing w:line="360" w:lineRule="auto"/>
        <w:jc w:val="both"/>
      </w:pPr>
      <w:r>
        <w:t>Despite all of the benefits mentioned by Ali et al, implementing the smart grid concept</w:t>
      </w:r>
      <w:r w:rsidR="00A931B8">
        <w:t xml:space="preserve"> requires a massive amount of</w:t>
      </w:r>
      <w:r w:rsidR="009D4787">
        <w:t xml:space="preserve"> work being carried out across the country in order to fit the necessary technology required for the system to operate efficiently. </w:t>
      </w:r>
      <w:r w:rsidR="00EE0FF5">
        <w:t xml:space="preserve">For example, high voltage direct current (HVDC) cable, chosen for </w:t>
      </w:r>
      <w:r w:rsidR="0021525B">
        <w:t>its</w:t>
      </w:r>
      <w:r w:rsidR="00EE0FF5">
        <w:t xml:space="preserve"> long-distance capabilities and its minimal transmission losses (</w:t>
      </w:r>
      <w:r w:rsidR="00505524">
        <w:t>Abbsweden, 2012</w:t>
      </w:r>
      <w:r w:rsidR="00EE0FF5">
        <w:t xml:space="preserve">), will need to be laid across the country, </w:t>
      </w:r>
      <w:r w:rsidR="00B731AE">
        <w:t xml:space="preserve">which would cause widespread disruption across the country. </w:t>
      </w:r>
    </w:p>
    <w:p w14:paraId="1DA60D2A" w14:textId="4F35AF00" w:rsidR="00C65F26" w:rsidRDefault="00C65F26" w:rsidP="00933DEF">
      <w:pPr>
        <w:spacing w:line="360" w:lineRule="auto"/>
        <w:jc w:val="both"/>
      </w:pPr>
      <w:r>
        <w:br w:type="page"/>
      </w:r>
    </w:p>
    <w:p w14:paraId="25800BD5" w14:textId="535AFC5C" w:rsidR="00A57BC0" w:rsidRDefault="00C65F26" w:rsidP="00194801">
      <w:pPr>
        <w:pStyle w:val="Heading1"/>
        <w:spacing w:line="360" w:lineRule="auto"/>
        <w:jc w:val="both"/>
      </w:pPr>
      <w:bookmarkStart w:id="8" w:name="_Toc88494163"/>
      <w:r>
        <w:lastRenderedPageBreak/>
        <w:t xml:space="preserve">Section 4 – </w:t>
      </w:r>
      <w:r w:rsidR="001921F7">
        <w:t>Conclusion</w:t>
      </w:r>
      <w:bookmarkEnd w:id="8"/>
    </w:p>
    <w:p w14:paraId="6F275B46" w14:textId="62B2C747" w:rsidR="00A57BC0" w:rsidRDefault="00A57BC0" w:rsidP="00933DEF">
      <w:pPr>
        <w:spacing w:line="360" w:lineRule="auto"/>
        <w:jc w:val="both"/>
      </w:pPr>
      <w:r>
        <w:t>In conclusion, the vehicle to grid technology can be a viable solution to the growing charging issue associated with the rise in electric vehicles but only</w:t>
      </w:r>
      <w:r w:rsidR="00951A32">
        <w:t xml:space="preserve"> if further research is conducted to find solutions to the issues detailed in section 3. For example, </w:t>
      </w:r>
      <w:r w:rsidR="00150B2B">
        <w:t>upgrading to a smart grid to accommodate for the implementation of the V2G system needs to be a much more financially viable option</w:t>
      </w:r>
      <w:r w:rsidR="003F1480">
        <w:t xml:space="preserve"> for any government to consider switching towards a vehicle to grid technology. </w:t>
      </w:r>
    </w:p>
    <w:p w14:paraId="7F93DB6F" w14:textId="52241057" w:rsidR="003F1480" w:rsidRDefault="003F1480" w:rsidP="00933DEF">
      <w:pPr>
        <w:spacing w:line="360" w:lineRule="auto"/>
        <w:jc w:val="both"/>
      </w:pPr>
      <w:r>
        <w:t>Though V2G might need more research to be a viable solution, there are other options better suited to the task at hand. For example, the vehicle to home</w:t>
      </w:r>
      <w:r w:rsidR="00CF36D9">
        <w:t xml:space="preserve"> (V2H)</w:t>
      </w:r>
      <w:r>
        <w:t xml:space="preserve"> system.</w:t>
      </w:r>
      <w:r w:rsidR="00F47970">
        <w:t xml:space="preserve"> </w:t>
      </w:r>
      <w:r w:rsidR="00CF36D9">
        <w:t>The V2H system avoids the infrastructure and financial issues associated with the vehicle to grid and therefore focuses solely on supporting the home in its daily operation</w:t>
      </w:r>
      <w:r w:rsidR="00D276C4">
        <w:t xml:space="preserve"> (</w:t>
      </w:r>
      <w:r w:rsidR="00003052">
        <w:t>Haines et al, 2009</w:t>
      </w:r>
      <w:r w:rsidR="00D276C4">
        <w:t>). Tesla have developed the Powerwall technolog</w:t>
      </w:r>
      <w:r w:rsidR="0003615C">
        <w:t>y, a wall mounted AC battery system developed to ‘provide energy storage for solar self-consumption’ (</w:t>
      </w:r>
      <w:r w:rsidR="00505524">
        <w:t>tesla.com, 2011</w:t>
      </w:r>
      <w:r w:rsidR="0003615C">
        <w:t>).</w:t>
      </w:r>
      <w:r w:rsidR="0076660E">
        <w:t xml:space="preserve"> The Powerwall, a diagram of which is shown in figure 4.1,</w:t>
      </w:r>
      <w:r w:rsidR="004D4135">
        <w:t xml:space="preserve"> runs independently from the grid, generating its power from solar panels mounted to the roof, and only provides support to the national grid in the event of emergencies (</w:t>
      </w:r>
      <w:r w:rsidR="00505524">
        <w:t>tesla.com, 2011</w:t>
      </w:r>
      <w:r w:rsidR="004D4135">
        <w:t xml:space="preserve">). The electric vehicle will operate the same as in the vehicle to grid system, charging and discharging into a bi-directional charger, but </w:t>
      </w:r>
      <w:r w:rsidR="00DF5203">
        <w:t xml:space="preserve">in a V2H system the vehicle will draw and supply energy back to a house mounted battery, like the Powerwall. </w:t>
      </w:r>
    </w:p>
    <w:p w14:paraId="7B809A41" w14:textId="78CD84D7" w:rsidR="00B458AE" w:rsidRDefault="00DA75F0" w:rsidP="00933DEF">
      <w:pPr>
        <w:spacing w:line="360" w:lineRule="auto"/>
        <w:jc w:val="center"/>
      </w:pPr>
      <w:r>
        <w:rPr>
          <w:noProof/>
        </w:rPr>
        <w:drawing>
          <wp:inline distT="0" distB="0" distL="0" distR="0" wp14:anchorId="3E902BA5" wp14:editId="537CE0EB">
            <wp:extent cx="4717975" cy="2527300"/>
            <wp:effectExtent l="0" t="0" r="6985" b="6350"/>
            <wp:docPr id="8" name="Picture 8"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Diagram&#10;&#10;Description automatically generated"/>
                    <pic:cNvPicPr/>
                  </pic:nvPicPr>
                  <pic:blipFill>
                    <a:blip r:embed="rId17"/>
                    <a:stretch>
                      <a:fillRect/>
                    </a:stretch>
                  </pic:blipFill>
                  <pic:spPr>
                    <a:xfrm>
                      <a:off x="0" y="0"/>
                      <a:ext cx="4730693" cy="2534112"/>
                    </a:xfrm>
                    <a:prstGeom prst="rect">
                      <a:avLst/>
                    </a:prstGeom>
                  </pic:spPr>
                </pic:pic>
              </a:graphicData>
            </a:graphic>
          </wp:inline>
        </w:drawing>
      </w:r>
    </w:p>
    <w:p w14:paraId="7F6E1467" w14:textId="318F7ABB" w:rsidR="00DA75F0" w:rsidRDefault="00DA75F0" w:rsidP="00933DEF">
      <w:pPr>
        <w:spacing w:line="360" w:lineRule="auto"/>
        <w:jc w:val="center"/>
      </w:pPr>
      <w:r>
        <w:t>Figure 4.1 – A diagram of the Tesla Powerwall system (</w:t>
      </w:r>
      <w:r w:rsidR="00505524">
        <w:t>tesla.com, 2011</w:t>
      </w:r>
      <w:r>
        <w:t>)</w:t>
      </w:r>
    </w:p>
    <w:p w14:paraId="6322639C" w14:textId="0963BB2C" w:rsidR="00C65F26" w:rsidRDefault="00DF5203" w:rsidP="00194801">
      <w:pPr>
        <w:spacing w:line="360" w:lineRule="auto"/>
        <w:jc w:val="both"/>
      </w:pPr>
      <w:r>
        <w:t xml:space="preserve">To conclude, V2G is capable of supporting the national grid during peak electricity load times but </w:t>
      </w:r>
      <w:r w:rsidR="00B458AE">
        <w:t>is a long way off being implemented. With the support of other options, like vehicle to home and the Tesla Powerwall, it can be developed into a much better system ready to support the surging electricity demand related to the increase in electric vehicle sales.</w:t>
      </w:r>
    </w:p>
    <w:p w14:paraId="1FC47FD5" w14:textId="0F0D8674" w:rsidR="00C65F26" w:rsidRDefault="00C65F26" w:rsidP="00194801">
      <w:pPr>
        <w:pStyle w:val="Heading1"/>
        <w:spacing w:line="360" w:lineRule="auto"/>
        <w:jc w:val="both"/>
      </w:pPr>
      <w:bookmarkStart w:id="9" w:name="_Toc88494164"/>
      <w:r>
        <w:lastRenderedPageBreak/>
        <w:t xml:space="preserve">Section 5 – </w:t>
      </w:r>
      <w:r w:rsidR="001921F7">
        <w:t>References</w:t>
      </w:r>
      <w:bookmarkEnd w:id="9"/>
    </w:p>
    <w:p w14:paraId="61057838" w14:textId="77777777" w:rsidR="00CB2A99" w:rsidRDefault="00CB2A99" w:rsidP="00933DEF">
      <w:pPr>
        <w:spacing w:line="360" w:lineRule="auto"/>
        <w:jc w:val="both"/>
      </w:pPr>
      <w:r w:rsidRPr="00505524">
        <w:t>Abbsweden, O. (</w:t>
      </w:r>
      <w:r>
        <w:t>2012</w:t>
      </w:r>
      <w:r w:rsidRPr="00505524">
        <w:t>). HVDC Technology and Smart Grid. [online] Available at: https://library.e.abb.com/public/7fac66d81be557c0c1257af4003be06f/HVDC%20Technology%20and%20smart%20grid.pdf [Accessed 22 Nov. 2021].</w:t>
      </w:r>
    </w:p>
    <w:p w14:paraId="29E1EA91" w14:textId="77777777" w:rsidR="00CB2A99" w:rsidRDefault="00CB2A99" w:rsidP="00933DEF">
      <w:pPr>
        <w:spacing w:line="360" w:lineRule="auto"/>
        <w:jc w:val="both"/>
      </w:pPr>
      <w:r w:rsidRPr="00A7002E">
        <w:t>Agusdinata, Datu Buyung &amp; Liu, Wenjuan &amp; Eakin, Hallie &amp; Romero, Hugo. (2018). Socio-environmental impacts of lithium mineral extraction: Towards a research agenda. Environmental Research Letters. 13. 10.1088/1748-9326/aae9b1.</w:t>
      </w:r>
    </w:p>
    <w:p w14:paraId="5AF07791" w14:textId="77777777" w:rsidR="00CB2A99" w:rsidRDefault="00CB2A99" w:rsidP="00933DEF">
      <w:pPr>
        <w:spacing w:line="360" w:lineRule="auto"/>
        <w:jc w:val="both"/>
      </w:pPr>
      <w:r>
        <w:t xml:space="preserve">Ahmed Yousuf Saber, Ganesh Kumar Venayagamoorthy, Intelligent unit commitment with vehicle-to-grid —A cost-emission optimization, Journal of Power Sources, Volume 195, Issue 3, 2010, Pages 898-911,  ISSN 0378-7753, </w:t>
      </w:r>
      <w:hyperlink r:id="rId18" w:history="1">
        <w:r w:rsidRPr="00FD15DD">
          <w:rPr>
            <w:rStyle w:val="Hyperlink"/>
          </w:rPr>
          <w:t>https://doi.org/10.1016/j.jpowsour.2009.08.035</w:t>
        </w:r>
      </w:hyperlink>
      <w:r>
        <w:t>. (</w:t>
      </w:r>
      <w:hyperlink r:id="rId19" w:history="1">
        <w:r w:rsidRPr="00FD15DD">
          <w:rPr>
            <w:rStyle w:val="Hyperlink"/>
          </w:rPr>
          <w:t>https://www.sciencedirect.com/science/article/pii/S037877530901341X</w:t>
        </w:r>
      </w:hyperlink>
      <w:r>
        <w:t>)</w:t>
      </w:r>
    </w:p>
    <w:p w14:paraId="5627ED09" w14:textId="77777777" w:rsidR="00CB2A99" w:rsidRDefault="00CB2A99" w:rsidP="00933DEF">
      <w:pPr>
        <w:spacing w:line="360" w:lineRule="auto"/>
        <w:jc w:val="both"/>
      </w:pPr>
      <w:r>
        <w:t xml:space="preserve">Andrew W. Thompson, Yannick Perez, Vehicle-to-Everything (V2X) energy services, value streams, and regulatory policy implications, Energy Policy, Volume 137, 2020, 111136, ISSN 0301-4215, </w:t>
      </w:r>
      <w:hyperlink r:id="rId20" w:history="1">
        <w:r w:rsidRPr="00FD15DD">
          <w:rPr>
            <w:rStyle w:val="Hyperlink"/>
          </w:rPr>
          <w:t>https://doi.org/10.1016/j.enpol.2019.111136</w:t>
        </w:r>
      </w:hyperlink>
      <w:r>
        <w:t>. (</w:t>
      </w:r>
      <w:hyperlink r:id="rId21" w:history="1">
        <w:r w:rsidRPr="00FD15DD">
          <w:rPr>
            <w:rStyle w:val="Hyperlink"/>
          </w:rPr>
          <w:t>https://www.sciencedirect.com/science/article/pii/S0301421519307244</w:t>
        </w:r>
      </w:hyperlink>
      <w:r>
        <w:t>)</w:t>
      </w:r>
    </w:p>
    <w:p w14:paraId="54BD59AB" w14:textId="77777777" w:rsidR="00CB2A99" w:rsidRDefault="00CB2A99" w:rsidP="00933DEF">
      <w:pPr>
        <w:spacing w:line="360" w:lineRule="auto"/>
        <w:jc w:val="both"/>
      </w:pPr>
      <w:r w:rsidRPr="00732469">
        <w:t xml:space="preserve">Anon, (2020). The Future of Vehicle to Grid EV charging | Electric Nation: Electric Nation. [online] Available at: </w:t>
      </w:r>
      <w:hyperlink r:id="rId22" w:history="1">
        <w:r w:rsidRPr="00FD15DD">
          <w:rPr>
            <w:rStyle w:val="Hyperlink"/>
          </w:rPr>
          <w:t>https://electricnation.org.uk/2020/09/02/the-future-of-vehicle-to-grid-ev-charging/</w:t>
        </w:r>
      </w:hyperlink>
      <w:r w:rsidRPr="00732469">
        <w:t>.</w:t>
      </w:r>
    </w:p>
    <w:p w14:paraId="7F25E86F" w14:textId="77777777" w:rsidR="00CB2A99" w:rsidRDefault="00CB2A99" w:rsidP="00933DEF">
      <w:pPr>
        <w:spacing w:line="360" w:lineRule="auto"/>
        <w:jc w:val="both"/>
      </w:pPr>
      <w:r>
        <w:t xml:space="preserve">Bijan Bibak, Hatice Tekiner-Moğulkoç, A comprehensive analysis of Vehicle to Grid (V2G) systems and scholarly literature on the application of such systems, Renewable Energy Focus, Volume 36, 2021, Pages 1-20, ISSN 1755-0084, </w:t>
      </w:r>
      <w:hyperlink r:id="rId23" w:history="1">
        <w:r w:rsidRPr="00FD15DD">
          <w:rPr>
            <w:rStyle w:val="Hyperlink"/>
          </w:rPr>
          <w:t>https://doi.org/10.1016/j.ref.2020.10.001</w:t>
        </w:r>
      </w:hyperlink>
      <w:r>
        <w:t>. (</w:t>
      </w:r>
      <w:hyperlink r:id="rId24" w:history="1">
        <w:r w:rsidRPr="00FD15DD">
          <w:rPr>
            <w:rStyle w:val="Hyperlink"/>
          </w:rPr>
          <w:t>https://www.sciencedirect.com/science/article/pii/S1755008420300533</w:t>
        </w:r>
      </w:hyperlink>
      <w:r>
        <w:t>)</w:t>
      </w:r>
    </w:p>
    <w:p w14:paraId="6C52D911" w14:textId="77777777" w:rsidR="00CB2A99" w:rsidRDefault="00CB2A99" w:rsidP="00933DEF">
      <w:pPr>
        <w:spacing w:line="360" w:lineRule="auto"/>
        <w:jc w:val="both"/>
      </w:pPr>
      <w:r w:rsidRPr="00A7002E">
        <w:t>Bishop, Justin &amp; Axon, Colin &amp; Bonilla, David &amp; Tran, Martino &amp; Banister, David &amp; Mcculloch, Malcolm. (2013). Evaluating the impact of V2G services on the degradation of batteries in PHEV and EV. Applied Energy. 111. 206–218. 10.1016/j.apenergy.2013.04.094.</w:t>
      </w:r>
    </w:p>
    <w:p w14:paraId="415E4CFF" w14:textId="77777777" w:rsidR="00CB2A99" w:rsidRDefault="00CB2A99" w:rsidP="00933DEF">
      <w:pPr>
        <w:spacing w:line="360" w:lineRule="auto"/>
        <w:jc w:val="both"/>
      </w:pPr>
      <w:r w:rsidRPr="001F06B5">
        <w:t xml:space="preserve">Blakemore, E. (2019). The Chernobyl disaster: what happened, and the long-term impact. [online] National Geographic. Available at: </w:t>
      </w:r>
      <w:hyperlink r:id="rId25" w:history="1">
        <w:r w:rsidRPr="00FD15DD">
          <w:rPr>
            <w:rStyle w:val="Hyperlink"/>
          </w:rPr>
          <w:t>https://www.nationalgeographic.co.uk/environment/2019/05/chernobyl-disaster-what-happened-and-long-term-impact</w:t>
        </w:r>
      </w:hyperlink>
      <w:r w:rsidRPr="001F06B5">
        <w:t>.</w:t>
      </w:r>
    </w:p>
    <w:p w14:paraId="59BCBB29" w14:textId="77777777" w:rsidR="00CB2A99" w:rsidRDefault="00CB2A99" w:rsidP="00933DEF">
      <w:pPr>
        <w:spacing w:line="360" w:lineRule="auto"/>
        <w:jc w:val="both"/>
      </w:pPr>
      <w:r w:rsidRPr="00526735">
        <w:t xml:space="preserve">Buis, A. (n.d.). Extreme Makeover: Human Activities Are Making Some Extreme Events More Frequent or Intense. [online] Climate Change: Vital Signs of the Planet. Available at: </w:t>
      </w:r>
      <w:hyperlink r:id="rId26" w:history="1">
        <w:r w:rsidRPr="00FD15DD">
          <w:rPr>
            <w:rStyle w:val="Hyperlink"/>
          </w:rPr>
          <w:t>https://climate.nasa.gov/blog/3125/extreme-makeover-human-activities-are-making-some-extreme-events-more-frequent-or-intense/</w:t>
        </w:r>
      </w:hyperlink>
      <w:r w:rsidRPr="00526735">
        <w:t>.</w:t>
      </w:r>
    </w:p>
    <w:p w14:paraId="3864FCA5" w14:textId="77777777" w:rsidR="00CB2A99" w:rsidRDefault="00CB2A99" w:rsidP="00933DEF">
      <w:pPr>
        <w:spacing w:line="360" w:lineRule="auto"/>
        <w:jc w:val="both"/>
      </w:pPr>
      <w:r w:rsidRPr="004A7E48">
        <w:t>C Iclodean et al 2017 IOP Conf. Ser.: Mater. Sci. Eng. 252 012058</w:t>
      </w:r>
    </w:p>
    <w:p w14:paraId="153D1D3C" w14:textId="77777777" w:rsidR="00CB2A99" w:rsidRDefault="00CB2A99" w:rsidP="00933DEF">
      <w:pPr>
        <w:spacing w:line="360" w:lineRule="auto"/>
        <w:jc w:val="both"/>
      </w:pPr>
      <w:r w:rsidRPr="00D100B7">
        <w:t xml:space="preserve">DriveElectric. (2021). Electric cars vs petrol | EV cost per mile. [online] Available at: </w:t>
      </w:r>
      <w:hyperlink r:id="rId27" w:history="1">
        <w:r w:rsidRPr="00FD15DD">
          <w:rPr>
            <w:rStyle w:val="Hyperlink"/>
          </w:rPr>
          <w:t>https://www.drive-electric.co.uk/electric-vehicles-vs-petrol-diesel-hybrid/</w:t>
        </w:r>
      </w:hyperlink>
      <w:r w:rsidRPr="00D100B7">
        <w:t>.</w:t>
      </w:r>
    </w:p>
    <w:p w14:paraId="649751B9" w14:textId="77777777" w:rsidR="00CB2A99" w:rsidRDefault="00CB2A99" w:rsidP="00933DEF">
      <w:pPr>
        <w:spacing w:line="360" w:lineRule="auto"/>
        <w:jc w:val="both"/>
      </w:pPr>
      <w:r w:rsidRPr="00732469">
        <w:t>DrivingElectric. (n.d.). Nissan Leaf review. [online] Available at: https://www.drivingelectric.com/nissan/leaf [Accessed 22 Nov. 2021].</w:t>
      </w:r>
    </w:p>
    <w:p w14:paraId="1C2718A0" w14:textId="77777777" w:rsidR="00CB2A99" w:rsidRDefault="00CB2A99" w:rsidP="00933DEF">
      <w:pPr>
        <w:spacing w:line="360" w:lineRule="auto"/>
        <w:jc w:val="both"/>
      </w:pPr>
      <w:r w:rsidRPr="004E3A9E">
        <w:t xml:space="preserve">EDF Energy. (2015). EV: Costs. [online] Available at: </w:t>
      </w:r>
      <w:hyperlink r:id="rId28" w:history="1">
        <w:r w:rsidRPr="00FD15DD">
          <w:rPr>
            <w:rStyle w:val="Hyperlink"/>
          </w:rPr>
          <w:t>https://www.edfenergy.com/electric-cars/costs</w:t>
        </w:r>
      </w:hyperlink>
      <w:r w:rsidRPr="004E3A9E">
        <w:t>.</w:t>
      </w:r>
    </w:p>
    <w:p w14:paraId="22E8739D" w14:textId="77777777" w:rsidR="00CB2A99" w:rsidRDefault="00CB2A99" w:rsidP="00933DEF">
      <w:pPr>
        <w:spacing w:line="360" w:lineRule="auto"/>
        <w:jc w:val="both"/>
      </w:pPr>
      <w:r w:rsidRPr="00526735">
        <w:t xml:space="preserve">GOV.UK (2020). Government takes historic step towards net-zero with end of sale of new petrol and diesel cars by 2030. [online] GOV.UK. Available at: </w:t>
      </w:r>
      <w:hyperlink r:id="rId29" w:history="1">
        <w:r w:rsidRPr="00FD15DD">
          <w:rPr>
            <w:rStyle w:val="Hyperlink"/>
          </w:rPr>
          <w:t>https://www.gov.uk/government/news/government-takes-historic-step-towards-net-zero-with-end-of-sale-of-new-petrol-and-diesel-cars-by-2030</w:t>
        </w:r>
      </w:hyperlink>
      <w:r w:rsidRPr="00526735">
        <w:t>.</w:t>
      </w:r>
    </w:p>
    <w:p w14:paraId="4AA81E6F" w14:textId="77777777" w:rsidR="00CB2A99" w:rsidRDefault="00CB2A99" w:rsidP="00933DEF">
      <w:pPr>
        <w:spacing w:line="360" w:lineRule="auto"/>
        <w:jc w:val="both"/>
      </w:pPr>
      <w:r w:rsidRPr="005E31ED">
        <w:t>Guo, Jingli &amp; Yang, Jin &amp; Lin, Zhengyu &amp; Serrano, Clara &amp; Cortes, Ana. (2019). Impact Analysis of V2G Services on EV Battery Degradation -A Review. 1-6. 10.1109/PTC.2019.8810982.</w:t>
      </w:r>
    </w:p>
    <w:p w14:paraId="2EA45E58" w14:textId="77777777" w:rsidR="00CB2A99" w:rsidRDefault="00CB2A99" w:rsidP="00933DEF">
      <w:pPr>
        <w:spacing w:line="360" w:lineRule="auto"/>
        <w:jc w:val="both"/>
      </w:pPr>
      <w:r w:rsidRPr="00003052">
        <w:t>Haines, Gareth &amp; Mcgordon, Andrew &amp; Jennings, Paul &amp; Butcher, Neil. (2009). The Simulation of Vehicle-to-Home Systems–Using Electric Vehicle Battery Storage to Smooth Domestic Electricity Demand. Proc. Ecologic Vehicles/Renewable Energies - EVRE.</w:t>
      </w:r>
    </w:p>
    <w:p w14:paraId="72C41D86" w14:textId="77777777" w:rsidR="00CB2A99" w:rsidRDefault="00CB2A99" w:rsidP="00933DEF">
      <w:pPr>
        <w:spacing w:line="360" w:lineRule="auto"/>
        <w:jc w:val="both"/>
      </w:pPr>
      <w:r w:rsidRPr="001F06B5">
        <w:t xml:space="preserve">Heinrich-Böll-Stiftung. (n.d.). The 7 reasons why nuclear energy is not the answer to solve climate change | Heinrich Böll Stiftung | Brussels office - European Union. [online] Available at: </w:t>
      </w:r>
      <w:hyperlink r:id="rId30" w:history="1">
        <w:r w:rsidRPr="00FD15DD">
          <w:rPr>
            <w:rStyle w:val="Hyperlink"/>
          </w:rPr>
          <w:t>https://eu.boell.org/en/2021/04/26/7-reasons-why-nuclear-energy-not-answer-solve-climate-change</w:t>
        </w:r>
      </w:hyperlink>
      <w:r w:rsidRPr="001F06B5">
        <w:t>.</w:t>
      </w:r>
    </w:p>
    <w:p w14:paraId="68AD896D" w14:textId="77777777" w:rsidR="00CB2A99" w:rsidRDefault="00CB2A99" w:rsidP="00933DEF">
      <w:pPr>
        <w:spacing w:line="360" w:lineRule="auto"/>
        <w:jc w:val="both"/>
      </w:pPr>
      <w:r w:rsidRPr="005E31ED">
        <w:t>Hossain, Rahat &amp; Maung, Amanullah &amp; Than Oo, Aman &amp; Ali, Shawkat. (2013). Smart Grid. 10.1007/978-1-4471-5210-1_2.</w:t>
      </w:r>
    </w:p>
    <w:p w14:paraId="647DFC3A" w14:textId="77777777" w:rsidR="00CB2A99" w:rsidRDefault="00CB2A99" w:rsidP="00933DEF">
      <w:pPr>
        <w:spacing w:line="360" w:lineRule="auto"/>
        <w:jc w:val="both"/>
      </w:pPr>
      <w:r w:rsidRPr="004A7E48">
        <w:t xml:space="preserve">Institute For Energy Research (2020). The Environmental Impact of Lithium Batteries. [online] IER. Available at: </w:t>
      </w:r>
      <w:hyperlink r:id="rId31" w:history="1">
        <w:r w:rsidRPr="00FD15DD">
          <w:rPr>
            <w:rStyle w:val="Hyperlink"/>
          </w:rPr>
          <w:t>https://www.instituteforenergyresearch.org/renewable/the-environmental-impact-of-lithium-batteries/</w:t>
        </w:r>
      </w:hyperlink>
      <w:r w:rsidRPr="004A7E48">
        <w:t>.</w:t>
      </w:r>
    </w:p>
    <w:p w14:paraId="504230E9" w14:textId="77777777" w:rsidR="00CB2A99" w:rsidRDefault="00CB2A99" w:rsidP="00933DEF">
      <w:pPr>
        <w:spacing w:line="360" w:lineRule="auto"/>
        <w:jc w:val="both"/>
      </w:pPr>
      <w:r w:rsidRPr="00526735">
        <w:t xml:space="preserve">IPCC (2021). Climate change widespread, rapid, and intensifying. [online] IPCC. Available at: </w:t>
      </w:r>
      <w:hyperlink r:id="rId32" w:history="1">
        <w:r w:rsidRPr="00FD15DD">
          <w:rPr>
            <w:rStyle w:val="Hyperlink"/>
          </w:rPr>
          <w:t>https://www.ipcc.ch/2021/08/09/ar6-wg1-20210809-pr/</w:t>
        </w:r>
      </w:hyperlink>
      <w:r w:rsidRPr="00526735">
        <w:t>.</w:t>
      </w:r>
    </w:p>
    <w:p w14:paraId="165B2D71" w14:textId="77777777" w:rsidR="00CB2A99" w:rsidRDefault="00CB2A99" w:rsidP="00933DEF">
      <w:pPr>
        <w:spacing w:line="360" w:lineRule="auto"/>
        <w:jc w:val="both"/>
      </w:pPr>
      <w:r>
        <w:t xml:space="preserve">Lilly, Chris (2020) EV Connector Types. Available at: </w:t>
      </w:r>
      <w:hyperlink r:id="rId33" w:history="1">
        <w:r w:rsidRPr="00FD15DD">
          <w:rPr>
            <w:rStyle w:val="Hyperlink"/>
          </w:rPr>
          <w:t>https://www.zap-map.com/charge-points/connectors-speeds/</w:t>
        </w:r>
      </w:hyperlink>
      <w:r>
        <w:t xml:space="preserve"> (Accessed at: 28/10/21)</w:t>
      </w:r>
    </w:p>
    <w:p w14:paraId="42EB16E0" w14:textId="77777777" w:rsidR="00CB2A99" w:rsidRDefault="00CB2A99" w:rsidP="00933DEF">
      <w:pPr>
        <w:spacing w:line="360" w:lineRule="auto"/>
        <w:jc w:val="both"/>
      </w:pPr>
      <w:r>
        <w:lastRenderedPageBreak/>
        <w:t xml:space="preserve">Nathaniel S. Pearre, Hajo Ribberink, Review of research on V2X technologies, strategies, and operations, Renewable and Sustainable Energy Reviews, Volume 105, 2019, Pages 61-70, ISSN 1364-0321, </w:t>
      </w:r>
      <w:hyperlink r:id="rId34" w:history="1">
        <w:r w:rsidRPr="00FD15DD">
          <w:rPr>
            <w:rStyle w:val="Hyperlink"/>
          </w:rPr>
          <w:t>https://doi.org/10.1016/j.rser.2019.01.047</w:t>
        </w:r>
      </w:hyperlink>
      <w:r>
        <w:t>. (</w:t>
      </w:r>
      <w:hyperlink r:id="rId35" w:history="1">
        <w:r w:rsidRPr="00FD15DD">
          <w:rPr>
            <w:rStyle w:val="Hyperlink"/>
          </w:rPr>
          <w:t>https://www.sciencedirect.com/science/article/pii/S1364032119300516</w:t>
        </w:r>
      </w:hyperlink>
      <w:r>
        <w:t>)</w:t>
      </w:r>
    </w:p>
    <w:p w14:paraId="4FD96C83" w14:textId="77777777" w:rsidR="00CB2A99" w:rsidRDefault="00CB2A99" w:rsidP="00933DEF">
      <w:pPr>
        <w:spacing w:line="360" w:lineRule="auto"/>
        <w:jc w:val="both"/>
      </w:pPr>
      <w:r w:rsidRPr="00D100B7">
        <w:t xml:space="preserve">Pod-point.com. (2018). Pod Point. [online] Available at: </w:t>
      </w:r>
      <w:hyperlink r:id="rId36" w:history="1">
        <w:r w:rsidRPr="00FD15DD">
          <w:rPr>
            <w:rStyle w:val="Hyperlink"/>
          </w:rPr>
          <w:t>https://pod-point.com/guides/driver/cost-of-charging-electric-car</w:t>
        </w:r>
      </w:hyperlink>
      <w:r w:rsidRPr="00D100B7">
        <w:t>.</w:t>
      </w:r>
    </w:p>
    <w:p w14:paraId="6324AEF6" w14:textId="77777777" w:rsidR="00CB2A99" w:rsidRDefault="00CB2A99" w:rsidP="00933DEF">
      <w:pPr>
        <w:spacing w:line="360" w:lineRule="auto"/>
        <w:jc w:val="both"/>
      </w:pPr>
      <w:r w:rsidRPr="00D100B7">
        <w:t xml:space="preserve">pod-point.com. (n.d.). OLEV Grant: A Complete Guide | Pod Point. [online] Available at: </w:t>
      </w:r>
      <w:hyperlink r:id="rId37" w:history="1">
        <w:r w:rsidRPr="00FD15DD">
          <w:rPr>
            <w:rStyle w:val="Hyperlink"/>
          </w:rPr>
          <w:t>https://pod-point.com/guides/driver/olev-grant</w:t>
        </w:r>
      </w:hyperlink>
      <w:r w:rsidRPr="00D100B7">
        <w:t>.</w:t>
      </w:r>
    </w:p>
    <w:p w14:paraId="1158F740" w14:textId="77777777" w:rsidR="00CB2A99" w:rsidRDefault="00CB2A99" w:rsidP="00933DEF">
      <w:pPr>
        <w:spacing w:line="360" w:lineRule="auto"/>
        <w:jc w:val="both"/>
      </w:pPr>
      <w:r w:rsidRPr="007952AD">
        <w:t>Rio, G.M.N. del, Fausset, R. and Diaz, J. (2021). Extreme Cold Killed Texans in Their Bedrooms, Vehicles and Backyards. The New York Times. [online] 19 Feb. Available at: https://nytimes.com/2021/02/19/us/texas-deaths-winter-storm.html [Accessed 22 Nov. 2021].</w:t>
      </w:r>
    </w:p>
    <w:p w14:paraId="1D120A99" w14:textId="77777777" w:rsidR="00CB2A99" w:rsidRDefault="00CB2A99" w:rsidP="00933DEF">
      <w:pPr>
        <w:spacing w:line="360" w:lineRule="auto"/>
        <w:jc w:val="both"/>
      </w:pPr>
      <w:r>
        <w:t xml:space="preserve">Rodica Loisel, Guzay Pasaoglu, Christian Thiel, Large-scale deployment of electric vehicles in Germany by 2030: An analysis of grid-to-vehicle and vehicle-to-grid concepts, Energy Policy, Volume 65, 2014, Pages 432-443, ISSN 0301-4215, </w:t>
      </w:r>
      <w:hyperlink r:id="rId38" w:history="1">
        <w:r w:rsidRPr="00FD15DD">
          <w:rPr>
            <w:rStyle w:val="Hyperlink"/>
          </w:rPr>
          <w:t>https://doi.org/10.1016/j.enpol.2013.10.029</w:t>
        </w:r>
      </w:hyperlink>
      <w:r>
        <w:t>. (</w:t>
      </w:r>
      <w:hyperlink r:id="rId39" w:history="1">
        <w:r w:rsidRPr="00FD15DD">
          <w:rPr>
            <w:rStyle w:val="Hyperlink"/>
          </w:rPr>
          <w:t>https://www.sciencedirect.com/science/article/pii/S0301421513010513</w:t>
        </w:r>
      </w:hyperlink>
      <w:r>
        <w:t>)</w:t>
      </w:r>
    </w:p>
    <w:p w14:paraId="582D59D6" w14:textId="77777777" w:rsidR="00CB2A99" w:rsidRPr="00A7002E" w:rsidRDefault="00CB2A99" w:rsidP="00933DEF">
      <w:pPr>
        <w:spacing w:line="360" w:lineRule="auto"/>
        <w:jc w:val="both"/>
      </w:pPr>
      <w:r>
        <w:t xml:space="preserve">Salman Habib, Muhammad Kamran, Umar Rashid, Impact analysis of vehicle-to-grid technology and charging strategies of electric vehicles on distribution networks – A review, Journal of Power Sources, Volume 277, 2015, Pages 205-214, ISSN 0378-7753, </w:t>
      </w:r>
      <w:hyperlink r:id="rId40" w:history="1">
        <w:r w:rsidRPr="00FD15DD">
          <w:rPr>
            <w:rStyle w:val="Hyperlink"/>
          </w:rPr>
          <w:t>https://doi.org/10.1016/j.jpowsour.2014.12.020</w:t>
        </w:r>
      </w:hyperlink>
      <w:r>
        <w:t>. (https://www.sciencedirect.com/science/article/pii/S0378775314020370)</w:t>
      </w:r>
    </w:p>
    <w:p w14:paraId="5EDC40CE" w14:textId="77777777" w:rsidR="00CB2A99" w:rsidRDefault="00CB2A99" w:rsidP="00933DEF">
      <w:pPr>
        <w:spacing w:line="360" w:lineRule="auto"/>
        <w:jc w:val="both"/>
      </w:pPr>
      <w:r w:rsidRPr="004A7E48">
        <w:t>Sky News. (n.d.). Why the UK is producing half its electricity from gas. [online] Available at: https://news.sky.com/story/why-the-uk-producing-half-its-electricity-from-gas-12431632 [Accessed 22 Nov. 2021].</w:t>
      </w:r>
    </w:p>
    <w:p w14:paraId="42AF056A" w14:textId="77777777" w:rsidR="00CB2A99" w:rsidRDefault="00CB2A99" w:rsidP="00933DEF">
      <w:pPr>
        <w:spacing w:line="360" w:lineRule="auto"/>
        <w:jc w:val="both"/>
      </w:pPr>
      <w:r w:rsidRPr="00505524">
        <w:t xml:space="preserve">Tesla.com. (2011). Tesla Powerwall. [online] Available at: </w:t>
      </w:r>
      <w:hyperlink r:id="rId41" w:history="1">
        <w:r w:rsidRPr="00FD15DD">
          <w:rPr>
            <w:rStyle w:val="Hyperlink"/>
          </w:rPr>
          <w:t>https://www.tesla.com/powerwall</w:t>
        </w:r>
      </w:hyperlink>
      <w:r w:rsidRPr="00505524">
        <w:t>.</w:t>
      </w:r>
    </w:p>
    <w:p w14:paraId="4F6F8089" w14:textId="77777777" w:rsidR="00CB2A99" w:rsidRDefault="00CB2A99" w:rsidP="00933DEF">
      <w:pPr>
        <w:spacing w:line="360" w:lineRule="auto"/>
        <w:jc w:val="both"/>
      </w:pPr>
      <w:r w:rsidRPr="000B373E">
        <w:t>The Future of EV Charging with V2X Technology | V2G | NewMotion UK. (n.d.). The Future of EV Charging with V2X Technology | V2G | NewMotion UK. [online] Available at: https://newmotion.com/en/knowledge-center/news-and-updates/the-future-of-ev-charging-with-v-2-x-technology [Accessed 22 Nov. 2021].</w:t>
      </w:r>
    </w:p>
    <w:p w14:paraId="03A2D71F" w14:textId="77777777" w:rsidR="00CB2A99" w:rsidRDefault="00CB2A99" w:rsidP="00933DEF">
      <w:pPr>
        <w:spacing w:line="360" w:lineRule="auto"/>
        <w:jc w:val="both"/>
      </w:pPr>
      <w:r w:rsidRPr="001F06B5">
        <w:t xml:space="preserve">the Guardian. (2021). UK poised to confirm funding for mini nuclear reactors for carbon-free energy. [online] Available at: </w:t>
      </w:r>
      <w:hyperlink r:id="rId42" w:history="1">
        <w:r w:rsidRPr="00FD15DD">
          <w:rPr>
            <w:rStyle w:val="Hyperlink"/>
          </w:rPr>
          <w:t>https://www.theguardian.com/business/2021/oct/15/uk-poised-to-confirm-funding-for-mini-nuclear-reactors-for-green-energy</w:t>
        </w:r>
      </w:hyperlink>
      <w:r w:rsidRPr="001F06B5">
        <w:t>.</w:t>
      </w:r>
    </w:p>
    <w:p w14:paraId="19238174" w14:textId="77777777" w:rsidR="00CB2A99" w:rsidRDefault="00CB2A99" w:rsidP="00933DEF">
      <w:pPr>
        <w:spacing w:line="360" w:lineRule="auto"/>
        <w:jc w:val="both"/>
      </w:pPr>
      <w:r w:rsidRPr="00710513">
        <w:lastRenderedPageBreak/>
        <w:t>UN News. (2021). World risks “collapse of everything” without strong climate action, Attenborough warns Security Council. [online] Available at: https://news.un.org/en/story/2021/02/1085452 [Accessed 22 Nov. 2021].</w:t>
      </w:r>
    </w:p>
    <w:p w14:paraId="0229F3AB" w14:textId="77777777" w:rsidR="00CB2A99" w:rsidRDefault="00CB2A99" w:rsidP="00933DEF">
      <w:pPr>
        <w:spacing w:line="360" w:lineRule="auto"/>
        <w:jc w:val="both"/>
      </w:pPr>
      <w:r w:rsidRPr="00D100B7">
        <w:t xml:space="preserve">United States Environmental Protection Agency (2018). Overview of Greenhouse Gases. [online] US EPA. Available at: </w:t>
      </w:r>
      <w:hyperlink r:id="rId43" w:history="1">
        <w:r w:rsidRPr="00FD15DD">
          <w:rPr>
            <w:rStyle w:val="Hyperlink"/>
          </w:rPr>
          <w:t>https://www.epa.gov/ghgemissions/overview-greenhouse-gases</w:t>
        </w:r>
      </w:hyperlink>
      <w:r w:rsidRPr="00D100B7">
        <w:t>.</w:t>
      </w:r>
    </w:p>
    <w:p w14:paraId="1E75A743" w14:textId="77777777" w:rsidR="00CB2A99" w:rsidRDefault="00CB2A99" w:rsidP="00933DEF">
      <w:pPr>
        <w:spacing w:line="360" w:lineRule="auto"/>
        <w:jc w:val="both"/>
      </w:pPr>
      <w:r w:rsidRPr="001F06B5">
        <w:t xml:space="preserve">Virta (n.d.). Myth buster #2: “Electric vehicles will overload the power grid.” [online] www.virta.global. Available at: </w:t>
      </w:r>
      <w:hyperlink r:id="rId44" w:history="1">
        <w:r w:rsidRPr="00FD15DD">
          <w:rPr>
            <w:rStyle w:val="Hyperlink"/>
          </w:rPr>
          <w:t>https://www.virta.global/blog/myth-buster-electric-vehicles-will-overload-the-power-grid</w:t>
        </w:r>
      </w:hyperlink>
      <w:r w:rsidRPr="001F06B5">
        <w:t>.</w:t>
      </w:r>
    </w:p>
    <w:p w14:paraId="229E7B67" w14:textId="77777777" w:rsidR="00CB2A99" w:rsidRDefault="00CB2A99" w:rsidP="00933DEF">
      <w:pPr>
        <w:spacing w:line="360" w:lineRule="auto"/>
        <w:jc w:val="both"/>
      </w:pPr>
      <w:r w:rsidRPr="007F34F2">
        <w:t xml:space="preserve">World Nuclear Association (2018). Storage and Disposal Options for Radioactive Waste - World Nuclear Association. [online] World-nuclear.org. Available at: </w:t>
      </w:r>
      <w:hyperlink r:id="rId45" w:history="1">
        <w:r w:rsidRPr="00FD15DD">
          <w:rPr>
            <w:rStyle w:val="Hyperlink"/>
          </w:rPr>
          <w:t>https://world-nuclear.org/information-library/nuclear-fuel-cycle/nuclear-waste/storage-and-disposal-of-radioactive-waste.aspx</w:t>
        </w:r>
      </w:hyperlink>
      <w:r w:rsidRPr="007F34F2">
        <w:t>.</w:t>
      </w:r>
    </w:p>
    <w:p w14:paraId="34F0E287" w14:textId="77777777" w:rsidR="00CB2A99" w:rsidRDefault="00CB2A99" w:rsidP="00933DEF">
      <w:pPr>
        <w:spacing w:line="360" w:lineRule="auto"/>
        <w:jc w:val="both"/>
      </w:pPr>
      <w:r w:rsidRPr="007F34F2">
        <w:t xml:space="preserve">World Nuclear Association (2021). Nuclear Energy and Climate Change - World Nuclear Association. [online] world-nuclear.org. Available at: </w:t>
      </w:r>
      <w:hyperlink r:id="rId46" w:history="1">
        <w:r w:rsidRPr="00FD15DD">
          <w:rPr>
            <w:rStyle w:val="Hyperlink"/>
          </w:rPr>
          <w:t>https://world-nuclear.org/nuclear-essentials/how-can-nuclear-combat-climate-change.aspx</w:t>
        </w:r>
      </w:hyperlink>
      <w:r w:rsidRPr="007F34F2">
        <w:t>.</w:t>
      </w:r>
    </w:p>
    <w:p w14:paraId="182F3328" w14:textId="77777777" w:rsidR="00CB2A99" w:rsidRDefault="00CB2A99" w:rsidP="00933DEF">
      <w:pPr>
        <w:spacing w:line="360" w:lineRule="auto"/>
        <w:jc w:val="both"/>
      </w:pPr>
      <w:r w:rsidRPr="00016C9B">
        <w:t>www.dpd.co.uk. (n.d.). DPD (UK) - DPD takes delivery of 300 Nissan e-NV200 vans to create UK’s largest EV parcel delivery fleet. [online] Available at: https://www.dpd.co.uk/content/about_dpd/press_centre/dpd-uk-delivery-of-300-nissan-e-nv200-vans.jsp?fbclid=IwAR35AKh1c3o6k1P2rlrXLUHEgNLitleMsmaC1bqK7skvb_yKIA2hdqPFiEM [Accessed 22 Nov. 2021].</w:t>
      </w:r>
    </w:p>
    <w:p w14:paraId="65CA3E66" w14:textId="77777777" w:rsidR="00CB2A99" w:rsidRDefault="00CB2A99" w:rsidP="00933DEF">
      <w:pPr>
        <w:spacing w:line="360" w:lineRule="auto"/>
        <w:jc w:val="both"/>
      </w:pPr>
      <w:r w:rsidRPr="004E3A9E">
        <w:t>www.e-education.psu.edu. (n.d.). 4.1 The Dispatch of Power Plants by an Electric Utility | EBF 483: Introduction to Electricity Markets. [online] Available at: https://www.e-education.psu.edu/ebf483/node/534 [Accessed 22 Nov. 2021].</w:t>
      </w:r>
    </w:p>
    <w:p w14:paraId="1AC8CA17" w14:textId="77777777" w:rsidR="00CB2A99" w:rsidRDefault="00CB2A99" w:rsidP="00933DEF">
      <w:pPr>
        <w:spacing w:line="360" w:lineRule="auto"/>
        <w:jc w:val="both"/>
      </w:pPr>
      <w:r w:rsidRPr="00832A2D">
        <w:t xml:space="preserve">www.volkswagenag.com. (n.d.). Lithium mining: What you should know about the contentious issue. [online] Available at: </w:t>
      </w:r>
      <w:hyperlink r:id="rId47" w:history="1">
        <w:r w:rsidRPr="00FD15DD">
          <w:rPr>
            <w:rStyle w:val="Hyperlink"/>
          </w:rPr>
          <w:t>https://www.volkswagenag.com/en/news/stories/2020/03/lithium-mining-what-you-should-know-about-the-contentious-issue.html</w:t>
        </w:r>
      </w:hyperlink>
      <w:r w:rsidRPr="00832A2D">
        <w:t>.</w:t>
      </w:r>
    </w:p>
    <w:p w14:paraId="47538AD7" w14:textId="77777777" w:rsidR="004E3A9E" w:rsidRPr="00C65F26" w:rsidRDefault="004E3A9E" w:rsidP="00933DEF">
      <w:pPr>
        <w:spacing w:line="360" w:lineRule="auto"/>
        <w:jc w:val="both"/>
      </w:pPr>
    </w:p>
    <w:sectPr w:rsidR="004E3A9E" w:rsidRPr="00C65F26" w:rsidSect="00CB142C">
      <w:footerReference w:type="default" r:id="rId4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5115354" w14:textId="77777777" w:rsidR="003A487A" w:rsidRDefault="003A487A" w:rsidP="00085DF2">
      <w:pPr>
        <w:spacing w:after="0" w:line="240" w:lineRule="auto"/>
      </w:pPr>
      <w:r>
        <w:separator/>
      </w:r>
    </w:p>
  </w:endnote>
  <w:endnote w:type="continuationSeparator" w:id="0">
    <w:p w14:paraId="5D859C76" w14:textId="77777777" w:rsidR="003A487A" w:rsidRDefault="003A487A" w:rsidP="00085DF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09476048"/>
      <w:docPartObj>
        <w:docPartGallery w:val="Page Numbers (Bottom of Page)"/>
        <w:docPartUnique/>
      </w:docPartObj>
    </w:sdtPr>
    <w:sdtEndPr>
      <w:rPr>
        <w:noProof/>
      </w:rPr>
    </w:sdtEndPr>
    <w:sdtContent>
      <w:p w14:paraId="48F8706C" w14:textId="0C07C4AE" w:rsidR="009551D7" w:rsidRDefault="009551D7">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70853EB" w14:textId="77777777" w:rsidR="009551D7" w:rsidRDefault="009551D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530FDC8" w14:textId="77777777" w:rsidR="003A487A" w:rsidRDefault="003A487A" w:rsidP="00085DF2">
      <w:pPr>
        <w:spacing w:after="0" w:line="240" w:lineRule="auto"/>
      </w:pPr>
      <w:r>
        <w:separator/>
      </w:r>
    </w:p>
  </w:footnote>
  <w:footnote w:type="continuationSeparator" w:id="0">
    <w:p w14:paraId="14ACB93C" w14:textId="77777777" w:rsidR="003A487A" w:rsidRDefault="003A487A" w:rsidP="00085DF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CF6819"/>
    <w:multiLevelType w:val="hybridMultilevel"/>
    <w:tmpl w:val="96747270"/>
    <w:lvl w:ilvl="0" w:tplc="491C0BEC">
      <w:start w:val="3"/>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6AF2D55"/>
    <w:multiLevelType w:val="hybridMultilevel"/>
    <w:tmpl w:val="8C74D5DA"/>
    <w:lvl w:ilvl="0" w:tplc="4BFC5B78">
      <w:start w:val="2"/>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38744A7"/>
    <w:multiLevelType w:val="hybridMultilevel"/>
    <w:tmpl w:val="8DD81524"/>
    <w:lvl w:ilvl="0" w:tplc="08921D76">
      <w:start w:val="1"/>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B142C"/>
    <w:rsid w:val="00002FB2"/>
    <w:rsid w:val="00003052"/>
    <w:rsid w:val="00016C9B"/>
    <w:rsid w:val="00020F6A"/>
    <w:rsid w:val="00023F42"/>
    <w:rsid w:val="0003615C"/>
    <w:rsid w:val="00036C17"/>
    <w:rsid w:val="00040D7D"/>
    <w:rsid w:val="00046D0A"/>
    <w:rsid w:val="00047A97"/>
    <w:rsid w:val="0006458E"/>
    <w:rsid w:val="00082767"/>
    <w:rsid w:val="00085DF2"/>
    <w:rsid w:val="000B373E"/>
    <w:rsid w:val="000B5F0E"/>
    <w:rsid w:val="000C3677"/>
    <w:rsid w:val="000C70DF"/>
    <w:rsid w:val="000C7F8A"/>
    <w:rsid w:val="000D7A4C"/>
    <w:rsid w:val="000F372D"/>
    <w:rsid w:val="000F52ED"/>
    <w:rsid w:val="000F79F7"/>
    <w:rsid w:val="001106E8"/>
    <w:rsid w:val="00110BB7"/>
    <w:rsid w:val="00116B22"/>
    <w:rsid w:val="0012288F"/>
    <w:rsid w:val="001268ED"/>
    <w:rsid w:val="00131E9B"/>
    <w:rsid w:val="001325AF"/>
    <w:rsid w:val="00146016"/>
    <w:rsid w:val="00150B2B"/>
    <w:rsid w:val="001921F7"/>
    <w:rsid w:val="00194801"/>
    <w:rsid w:val="001A4760"/>
    <w:rsid w:val="001B1E12"/>
    <w:rsid w:val="001B758F"/>
    <w:rsid w:val="001F06B5"/>
    <w:rsid w:val="001F1277"/>
    <w:rsid w:val="001F3ED5"/>
    <w:rsid w:val="0020240E"/>
    <w:rsid w:val="00212F72"/>
    <w:rsid w:val="0021466C"/>
    <w:rsid w:val="0021525B"/>
    <w:rsid w:val="002173BD"/>
    <w:rsid w:val="002174B3"/>
    <w:rsid w:val="00232012"/>
    <w:rsid w:val="00235672"/>
    <w:rsid w:val="002400F8"/>
    <w:rsid w:val="00257E4A"/>
    <w:rsid w:val="002618CC"/>
    <w:rsid w:val="002643E9"/>
    <w:rsid w:val="00264A57"/>
    <w:rsid w:val="00270AE7"/>
    <w:rsid w:val="00280990"/>
    <w:rsid w:val="002909A1"/>
    <w:rsid w:val="00293D2B"/>
    <w:rsid w:val="002A7611"/>
    <w:rsid w:val="002C2E79"/>
    <w:rsid w:val="002D3008"/>
    <w:rsid w:val="002E0283"/>
    <w:rsid w:val="002E5844"/>
    <w:rsid w:val="002E5F0A"/>
    <w:rsid w:val="002F4FC8"/>
    <w:rsid w:val="003112CC"/>
    <w:rsid w:val="00315B80"/>
    <w:rsid w:val="003320A5"/>
    <w:rsid w:val="00352DE6"/>
    <w:rsid w:val="00370B3D"/>
    <w:rsid w:val="00371533"/>
    <w:rsid w:val="00374FC7"/>
    <w:rsid w:val="003936A3"/>
    <w:rsid w:val="003961E8"/>
    <w:rsid w:val="003A487A"/>
    <w:rsid w:val="003B1A8D"/>
    <w:rsid w:val="003C1457"/>
    <w:rsid w:val="003D6F3E"/>
    <w:rsid w:val="003E7E77"/>
    <w:rsid w:val="003F08B8"/>
    <w:rsid w:val="003F1480"/>
    <w:rsid w:val="003F7E8F"/>
    <w:rsid w:val="00406469"/>
    <w:rsid w:val="00406B63"/>
    <w:rsid w:val="00406FE5"/>
    <w:rsid w:val="004309EA"/>
    <w:rsid w:val="00435FDC"/>
    <w:rsid w:val="00444333"/>
    <w:rsid w:val="004462A3"/>
    <w:rsid w:val="004705A1"/>
    <w:rsid w:val="00472960"/>
    <w:rsid w:val="00484A6D"/>
    <w:rsid w:val="00496BDA"/>
    <w:rsid w:val="004A7E48"/>
    <w:rsid w:val="004B01E1"/>
    <w:rsid w:val="004C7303"/>
    <w:rsid w:val="004D4135"/>
    <w:rsid w:val="004D7DED"/>
    <w:rsid w:val="004E3A9E"/>
    <w:rsid w:val="004F0CB7"/>
    <w:rsid w:val="00505524"/>
    <w:rsid w:val="00512E64"/>
    <w:rsid w:val="005140B7"/>
    <w:rsid w:val="00523E50"/>
    <w:rsid w:val="005263DB"/>
    <w:rsid w:val="00526735"/>
    <w:rsid w:val="00535559"/>
    <w:rsid w:val="00543DD8"/>
    <w:rsid w:val="00546A38"/>
    <w:rsid w:val="00553D13"/>
    <w:rsid w:val="00555ADC"/>
    <w:rsid w:val="00556A91"/>
    <w:rsid w:val="00556FDF"/>
    <w:rsid w:val="005649B2"/>
    <w:rsid w:val="005703EE"/>
    <w:rsid w:val="00575F84"/>
    <w:rsid w:val="00591625"/>
    <w:rsid w:val="005B7582"/>
    <w:rsid w:val="005D1AC4"/>
    <w:rsid w:val="005D3171"/>
    <w:rsid w:val="005D616E"/>
    <w:rsid w:val="005E069D"/>
    <w:rsid w:val="005E2B1C"/>
    <w:rsid w:val="005E31ED"/>
    <w:rsid w:val="005F1B6D"/>
    <w:rsid w:val="006038BF"/>
    <w:rsid w:val="006064FC"/>
    <w:rsid w:val="00607057"/>
    <w:rsid w:val="0061067B"/>
    <w:rsid w:val="006203ED"/>
    <w:rsid w:val="006679D9"/>
    <w:rsid w:val="006739F1"/>
    <w:rsid w:val="00682516"/>
    <w:rsid w:val="0069637C"/>
    <w:rsid w:val="006A0175"/>
    <w:rsid w:val="006A1A08"/>
    <w:rsid w:val="006A684D"/>
    <w:rsid w:val="006C1DC6"/>
    <w:rsid w:val="006D38EA"/>
    <w:rsid w:val="006D3CD1"/>
    <w:rsid w:val="006D6C2F"/>
    <w:rsid w:val="00700EDE"/>
    <w:rsid w:val="00701327"/>
    <w:rsid w:val="00710513"/>
    <w:rsid w:val="00713E2F"/>
    <w:rsid w:val="0071659D"/>
    <w:rsid w:val="00721046"/>
    <w:rsid w:val="00723A28"/>
    <w:rsid w:val="00724C8B"/>
    <w:rsid w:val="00731981"/>
    <w:rsid w:val="00732469"/>
    <w:rsid w:val="00732CD3"/>
    <w:rsid w:val="00734977"/>
    <w:rsid w:val="0074180E"/>
    <w:rsid w:val="00760F86"/>
    <w:rsid w:val="0076660E"/>
    <w:rsid w:val="007775B4"/>
    <w:rsid w:val="007952AD"/>
    <w:rsid w:val="00796BF0"/>
    <w:rsid w:val="007A4523"/>
    <w:rsid w:val="007C2CFF"/>
    <w:rsid w:val="007C487A"/>
    <w:rsid w:val="007C684F"/>
    <w:rsid w:val="007D09EB"/>
    <w:rsid w:val="007D19CB"/>
    <w:rsid w:val="007E169B"/>
    <w:rsid w:val="007E72CC"/>
    <w:rsid w:val="007F0E43"/>
    <w:rsid w:val="007F34F2"/>
    <w:rsid w:val="007F3845"/>
    <w:rsid w:val="007F73BA"/>
    <w:rsid w:val="00802B35"/>
    <w:rsid w:val="0082003E"/>
    <w:rsid w:val="00831303"/>
    <w:rsid w:val="00831840"/>
    <w:rsid w:val="00832A2D"/>
    <w:rsid w:val="00843D2B"/>
    <w:rsid w:val="008519A0"/>
    <w:rsid w:val="008702C4"/>
    <w:rsid w:val="00870AB6"/>
    <w:rsid w:val="00872C0D"/>
    <w:rsid w:val="00882A9D"/>
    <w:rsid w:val="00892CB6"/>
    <w:rsid w:val="008A5461"/>
    <w:rsid w:val="008D07C5"/>
    <w:rsid w:val="008D1E05"/>
    <w:rsid w:val="008D5B05"/>
    <w:rsid w:val="008E6DE3"/>
    <w:rsid w:val="008E6F60"/>
    <w:rsid w:val="008F56A7"/>
    <w:rsid w:val="008F7126"/>
    <w:rsid w:val="00933DEF"/>
    <w:rsid w:val="00944CA4"/>
    <w:rsid w:val="00951A32"/>
    <w:rsid w:val="009550D9"/>
    <w:rsid w:val="009551D7"/>
    <w:rsid w:val="00964E46"/>
    <w:rsid w:val="0097228D"/>
    <w:rsid w:val="0099097C"/>
    <w:rsid w:val="009918ED"/>
    <w:rsid w:val="009A6DB7"/>
    <w:rsid w:val="009C03ED"/>
    <w:rsid w:val="009C6305"/>
    <w:rsid w:val="009D253C"/>
    <w:rsid w:val="009D4787"/>
    <w:rsid w:val="009E0AEB"/>
    <w:rsid w:val="009E7F93"/>
    <w:rsid w:val="009F3ECD"/>
    <w:rsid w:val="00A17E57"/>
    <w:rsid w:val="00A21E41"/>
    <w:rsid w:val="00A22FC4"/>
    <w:rsid w:val="00A24AE6"/>
    <w:rsid w:val="00A26C42"/>
    <w:rsid w:val="00A3137C"/>
    <w:rsid w:val="00A41C6F"/>
    <w:rsid w:val="00A56D1D"/>
    <w:rsid w:val="00A57BC0"/>
    <w:rsid w:val="00A7002E"/>
    <w:rsid w:val="00A84593"/>
    <w:rsid w:val="00A91A1E"/>
    <w:rsid w:val="00A931B8"/>
    <w:rsid w:val="00A9410C"/>
    <w:rsid w:val="00AA130F"/>
    <w:rsid w:val="00AC1E26"/>
    <w:rsid w:val="00AD2902"/>
    <w:rsid w:val="00AD7D8B"/>
    <w:rsid w:val="00AF02EC"/>
    <w:rsid w:val="00AF765B"/>
    <w:rsid w:val="00B0695F"/>
    <w:rsid w:val="00B21DF1"/>
    <w:rsid w:val="00B30076"/>
    <w:rsid w:val="00B3080E"/>
    <w:rsid w:val="00B3422B"/>
    <w:rsid w:val="00B343AA"/>
    <w:rsid w:val="00B35014"/>
    <w:rsid w:val="00B36867"/>
    <w:rsid w:val="00B458AE"/>
    <w:rsid w:val="00B46C39"/>
    <w:rsid w:val="00B5366A"/>
    <w:rsid w:val="00B54C31"/>
    <w:rsid w:val="00B641CC"/>
    <w:rsid w:val="00B70F28"/>
    <w:rsid w:val="00B714E4"/>
    <w:rsid w:val="00B731AE"/>
    <w:rsid w:val="00B769DC"/>
    <w:rsid w:val="00B83B0C"/>
    <w:rsid w:val="00B95F8D"/>
    <w:rsid w:val="00BA0443"/>
    <w:rsid w:val="00BA3D47"/>
    <w:rsid w:val="00BB30DD"/>
    <w:rsid w:val="00BB5836"/>
    <w:rsid w:val="00BC0C25"/>
    <w:rsid w:val="00BC3A58"/>
    <w:rsid w:val="00BF4AE7"/>
    <w:rsid w:val="00BF5D44"/>
    <w:rsid w:val="00C02B0C"/>
    <w:rsid w:val="00C10A79"/>
    <w:rsid w:val="00C23EC2"/>
    <w:rsid w:val="00C268A7"/>
    <w:rsid w:val="00C34184"/>
    <w:rsid w:val="00C34E2B"/>
    <w:rsid w:val="00C35435"/>
    <w:rsid w:val="00C44962"/>
    <w:rsid w:val="00C46AB5"/>
    <w:rsid w:val="00C50360"/>
    <w:rsid w:val="00C570B3"/>
    <w:rsid w:val="00C63C1D"/>
    <w:rsid w:val="00C65F26"/>
    <w:rsid w:val="00C71F97"/>
    <w:rsid w:val="00C725A9"/>
    <w:rsid w:val="00C84E61"/>
    <w:rsid w:val="00CA0A26"/>
    <w:rsid w:val="00CB142C"/>
    <w:rsid w:val="00CB1D81"/>
    <w:rsid w:val="00CB2A99"/>
    <w:rsid w:val="00CC03EB"/>
    <w:rsid w:val="00CC0F93"/>
    <w:rsid w:val="00CE26E2"/>
    <w:rsid w:val="00CF36D9"/>
    <w:rsid w:val="00D0670F"/>
    <w:rsid w:val="00D100B7"/>
    <w:rsid w:val="00D12BC9"/>
    <w:rsid w:val="00D141A1"/>
    <w:rsid w:val="00D206DB"/>
    <w:rsid w:val="00D226A9"/>
    <w:rsid w:val="00D276C4"/>
    <w:rsid w:val="00D5205C"/>
    <w:rsid w:val="00D55F02"/>
    <w:rsid w:val="00D6195C"/>
    <w:rsid w:val="00D646B3"/>
    <w:rsid w:val="00DA75F0"/>
    <w:rsid w:val="00DD068E"/>
    <w:rsid w:val="00DE349F"/>
    <w:rsid w:val="00DE6F26"/>
    <w:rsid w:val="00DF5203"/>
    <w:rsid w:val="00DF7166"/>
    <w:rsid w:val="00E00DCF"/>
    <w:rsid w:val="00E120ED"/>
    <w:rsid w:val="00E224D1"/>
    <w:rsid w:val="00E22CAF"/>
    <w:rsid w:val="00E667D1"/>
    <w:rsid w:val="00E821AF"/>
    <w:rsid w:val="00E97890"/>
    <w:rsid w:val="00E97F6B"/>
    <w:rsid w:val="00EA0BA2"/>
    <w:rsid w:val="00EA40D2"/>
    <w:rsid w:val="00EB5CB7"/>
    <w:rsid w:val="00EC74A2"/>
    <w:rsid w:val="00EC75A0"/>
    <w:rsid w:val="00ED745C"/>
    <w:rsid w:val="00EE0FF5"/>
    <w:rsid w:val="00EE15BE"/>
    <w:rsid w:val="00EE6A1B"/>
    <w:rsid w:val="00EF50D3"/>
    <w:rsid w:val="00F15B11"/>
    <w:rsid w:val="00F259C2"/>
    <w:rsid w:val="00F47970"/>
    <w:rsid w:val="00F9074C"/>
    <w:rsid w:val="00F9608A"/>
    <w:rsid w:val="00FA0797"/>
    <w:rsid w:val="00FA11F1"/>
    <w:rsid w:val="00FA5644"/>
    <w:rsid w:val="00FA57B1"/>
    <w:rsid w:val="00FB35AC"/>
    <w:rsid w:val="00FB3A56"/>
    <w:rsid w:val="00FC155F"/>
    <w:rsid w:val="00FC30B5"/>
    <w:rsid w:val="00FC30DC"/>
    <w:rsid w:val="00FD4F19"/>
    <w:rsid w:val="00FE1563"/>
    <w:rsid w:val="00FE37DF"/>
    <w:rsid w:val="00FF2F81"/>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73C8FB2"/>
  <w15:chartTrackingRefBased/>
  <w15:docId w15:val="{DBD2ED2E-A3C6-42F0-9CB6-E9B36F4C736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65F2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2F4FC8"/>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CB142C"/>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CB142C"/>
    <w:rPr>
      <w:rFonts w:eastAsiaTheme="minorEastAsia"/>
      <w:lang w:val="en-US"/>
    </w:rPr>
  </w:style>
  <w:style w:type="character" w:customStyle="1" w:styleId="Heading1Char">
    <w:name w:val="Heading 1 Char"/>
    <w:basedOn w:val="DefaultParagraphFont"/>
    <w:link w:val="Heading1"/>
    <w:uiPriority w:val="9"/>
    <w:rsid w:val="00C65F26"/>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C65F26"/>
    <w:pPr>
      <w:outlineLvl w:val="9"/>
    </w:pPr>
    <w:rPr>
      <w:lang w:val="en-US"/>
    </w:rPr>
  </w:style>
  <w:style w:type="paragraph" w:styleId="TOC2">
    <w:name w:val="toc 2"/>
    <w:basedOn w:val="Normal"/>
    <w:next w:val="Normal"/>
    <w:autoRedefine/>
    <w:uiPriority w:val="39"/>
    <w:unhideWhenUsed/>
    <w:rsid w:val="00C65F26"/>
    <w:pPr>
      <w:spacing w:after="100"/>
      <w:ind w:left="220"/>
    </w:pPr>
    <w:rPr>
      <w:rFonts w:eastAsiaTheme="minorEastAsia" w:cs="Times New Roman"/>
      <w:lang w:val="en-US"/>
    </w:rPr>
  </w:style>
  <w:style w:type="paragraph" w:styleId="TOC1">
    <w:name w:val="toc 1"/>
    <w:basedOn w:val="Normal"/>
    <w:next w:val="Normal"/>
    <w:autoRedefine/>
    <w:uiPriority w:val="39"/>
    <w:unhideWhenUsed/>
    <w:rsid w:val="00C65F26"/>
    <w:pPr>
      <w:spacing w:after="100"/>
    </w:pPr>
    <w:rPr>
      <w:rFonts w:eastAsiaTheme="minorEastAsia" w:cs="Times New Roman"/>
      <w:lang w:val="en-US"/>
    </w:rPr>
  </w:style>
  <w:style w:type="paragraph" w:styleId="TOC3">
    <w:name w:val="toc 3"/>
    <w:basedOn w:val="Normal"/>
    <w:next w:val="Normal"/>
    <w:autoRedefine/>
    <w:uiPriority w:val="39"/>
    <w:unhideWhenUsed/>
    <w:rsid w:val="00C65F26"/>
    <w:pPr>
      <w:spacing w:after="100"/>
      <w:ind w:left="440"/>
    </w:pPr>
    <w:rPr>
      <w:rFonts w:eastAsiaTheme="minorEastAsia" w:cs="Times New Roman"/>
      <w:lang w:val="en-US"/>
    </w:rPr>
  </w:style>
  <w:style w:type="character" w:styleId="Hyperlink">
    <w:name w:val="Hyperlink"/>
    <w:basedOn w:val="DefaultParagraphFont"/>
    <w:uiPriority w:val="99"/>
    <w:unhideWhenUsed/>
    <w:rsid w:val="00C65F26"/>
    <w:rPr>
      <w:color w:val="0563C1" w:themeColor="hyperlink"/>
      <w:u w:val="single"/>
    </w:rPr>
  </w:style>
  <w:style w:type="paragraph" w:styleId="Header">
    <w:name w:val="header"/>
    <w:basedOn w:val="Normal"/>
    <w:link w:val="HeaderChar"/>
    <w:uiPriority w:val="99"/>
    <w:unhideWhenUsed/>
    <w:rsid w:val="00085DF2"/>
    <w:pPr>
      <w:tabs>
        <w:tab w:val="center" w:pos="4513"/>
        <w:tab w:val="right" w:pos="9026"/>
      </w:tabs>
      <w:spacing w:after="0" w:line="240" w:lineRule="auto"/>
    </w:pPr>
  </w:style>
  <w:style w:type="character" w:customStyle="1" w:styleId="HeaderChar">
    <w:name w:val="Header Char"/>
    <w:basedOn w:val="DefaultParagraphFont"/>
    <w:link w:val="Header"/>
    <w:uiPriority w:val="99"/>
    <w:rsid w:val="00085DF2"/>
  </w:style>
  <w:style w:type="paragraph" w:styleId="Footer">
    <w:name w:val="footer"/>
    <w:basedOn w:val="Normal"/>
    <w:link w:val="FooterChar"/>
    <w:uiPriority w:val="99"/>
    <w:unhideWhenUsed/>
    <w:rsid w:val="00085DF2"/>
    <w:pPr>
      <w:tabs>
        <w:tab w:val="center" w:pos="4513"/>
        <w:tab w:val="right" w:pos="9026"/>
      </w:tabs>
      <w:spacing w:after="0" w:line="240" w:lineRule="auto"/>
    </w:pPr>
  </w:style>
  <w:style w:type="character" w:customStyle="1" w:styleId="FooterChar">
    <w:name w:val="Footer Char"/>
    <w:basedOn w:val="DefaultParagraphFont"/>
    <w:link w:val="Footer"/>
    <w:uiPriority w:val="99"/>
    <w:rsid w:val="00085DF2"/>
  </w:style>
  <w:style w:type="paragraph" w:styleId="Date">
    <w:name w:val="Date"/>
    <w:basedOn w:val="Normal"/>
    <w:next w:val="Normal"/>
    <w:link w:val="DateChar"/>
    <w:uiPriority w:val="99"/>
    <w:semiHidden/>
    <w:unhideWhenUsed/>
    <w:rsid w:val="009550D9"/>
  </w:style>
  <w:style w:type="character" w:customStyle="1" w:styleId="DateChar">
    <w:name w:val="Date Char"/>
    <w:basedOn w:val="DefaultParagraphFont"/>
    <w:link w:val="Date"/>
    <w:uiPriority w:val="99"/>
    <w:semiHidden/>
    <w:rsid w:val="009550D9"/>
  </w:style>
  <w:style w:type="character" w:customStyle="1" w:styleId="Heading2Char">
    <w:name w:val="Heading 2 Char"/>
    <w:basedOn w:val="DefaultParagraphFont"/>
    <w:link w:val="Heading2"/>
    <w:uiPriority w:val="9"/>
    <w:rsid w:val="002F4FC8"/>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9C03ED"/>
    <w:pPr>
      <w:ind w:left="720"/>
      <w:contextualSpacing/>
    </w:pPr>
  </w:style>
  <w:style w:type="character" w:styleId="UnresolvedMention">
    <w:name w:val="Unresolved Mention"/>
    <w:basedOn w:val="DefaultParagraphFont"/>
    <w:uiPriority w:val="99"/>
    <w:semiHidden/>
    <w:unhideWhenUsed/>
    <w:rsid w:val="008D1E0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3.png"/><Relationship Id="rId18" Type="http://schemas.openxmlformats.org/officeDocument/2006/relationships/hyperlink" Target="https://doi.org/10.1016/j.jpowsour.2009.08.035" TargetMode="External"/><Relationship Id="rId26" Type="http://schemas.openxmlformats.org/officeDocument/2006/relationships/hyperlink" Target="https://climate.nasa.gov/blog/3125/extreme-makeover-human-activities-are-making-some-extreme-events-more-frequent-or-intense/" TargetMode="External"/><Relationship Id="rId39" Type="http://schemas.openxmlformats.org/officeDocument/2006/relationships/hyperlink" Target="https://www.sciencedirect.com/science/article/pii/S0301421513010513" TargetMode="External"/><Relationship Id="rId21" Type="http://schemas.openxmlformats.org/officeDocument/2006/relationships/hyperlink" Target="https://www.sciencedirect.com/science/article/pii/S0301421519307244" TargetMode="External"/><Relationship Id="rId34" Type="http://schemas.openxmlformats.org/officeDocument/2006/relationships/hyperlink" Target="https://doi.org/10.1016/j.rser.2019.01.047" TargetMode="External"/><Relationship Id="rId42" Type="http://schemas.openxmlformats.org/officeDocument/2006/relationships/hyperlink" Target="https://www.theguardian.com/business/2021/oct/15/uk-poised-to-confirm-funding-for-mini-nuclear-reactors-for-green-energy" TargetMode="External"/><Relationship Id="rId47" Type="http://schemas.openxmlformats.org/officeDocument/2006/relationships/hyperlink" Target="https://www.volkswagenag.com/en/news/stories/2020/03/lithium-mining-what-you-should-know-about-the-contentious-issue.html" TargetMode="External"/><Relationship Id="rId50" Type="http://schemas.openxmlformats.org/officeDocument/2006/relationships/glossaryDocument" Target="glossary/document.xml"/><Relationship Id="rId7" Type="http://schemas.openxmlformats.org/officeDocument/2006/relationships/footnotes" Target="footnotes.xml"/><Relationship Id="rId2" Type="http://schemas.openxmlformats.org/officeDocument/2006/relationships/customXml" Target="../customXml/item2.xml"/><Relationship Id="rId16" Type="http://schemas.openxmlformats.org/officeDocument/2006/relationships/image" Target="media/image6.png"/><Relationship Id="rId29" Type="http://schemas.openxmlformats.org/officeDocument/2006/relationships/hyperlink" Target="https://www.gov.uk/government/news/government-takes-historic-step-towards-net-zero-with-end-of-sale-of-new-petrol-and-diesel-cars-by-2030" TargetMode="External"/><Relationship Id="rId11" Type="http://schemas.openxmlformats.org/officeDocument/2006/relationships/image" Target="media/image2.png"/><Relationship Id="rId24" Type="http://schemas.openxmlformats.org/officeDocument/2006/relationships/hyperlink" Target="https://www.sciencedirect.com/science/article/pii/S1755008420300533" TargetMode="External"/><Relationship Id="rId32" Type="http://schemas.openxmlformats.org/officeDocument/2006/relationships/hyperlink" Target="https://www.ipcc.ch/2021/08/09/ar6-wg1-20210809-pr/" TargetMode="External"/><Relationship Id="rId37" Type="http://schemas.openxmlformats.org/officeDocument/2006/relationships/hyperlink" Target="https://pod-point.com/guides/driver/olev-grant" TargetMode="External"/><Relationship Id="rId40" Type="http://schemas.openxmlformats.org/officeDocument/2006/relationships/hyperlink" Target="https://doi.org/10.1016/j.jpowsour.2014.12.020" TargetMode="External"/><Relationship Id="rId45" Type="http://schemas.openxmlformats.org/officeDocument/2006/relationships/hyperlink" Target="https://world-nuclear.org/information-library/nuclear-fuel-cycle/nuclear-waste/storage-and-disposal-of-radioactive-waste.aspx" TargetMode="External"/><Relationship Id="rId5" Type="http://schemas.openxmlformats.org/officeDocument/2006/relationships/settings" Target="settings.xml"/><Relationship Id="rId15" Type="http://schemas.openxmlformats.org/officeDocument/2006/relationships/image" Target="media/image5.jpeg"/><Relationship Id="rId23" Type="http://schemas.openxmlformats.org/officeDocument/2006/relationships/hyperlink" Target="https://doi.org/10.1016/j.ref.2020.10.001" TargetMode="External"/><Relationship Id="rId28" Type="http://schemas.openxmlformats.org/officeDocument/2006/relationships/hyperlink" Target="https://www.edfenergy.com/electric-cars/costs" TargetMode="External"/><Relationship Id="rId36" Type="http://schemas.openxmlformats.org/officeDocument/2006/relationships/hyperlink" Target="https://pod-point.com/guides/driver/cost-of-charging-electric-car" TargetMode="External"/><Relationship Id="rId49" Type="http://schemas.openxmlformats.org/officeDocument/2006/relationships/fontTable" Target="fontTable.xml"/><Relationship Id="rId10" Type="http://schemas.openxmlformats.org/officeDocument/2006/relationships/image" Target="media/image1.jpeg"/><Relationship Id="rId19" Type="http://schemas.openxmlformats.org/officeDocument/2006/relationships/hyperlink" Target="https://www.sciencedirect.com/science/article/pii/S037877530901341X" TargetMode="External"/><Relationship Id="rId31" Type="http://schemas.openxmlformats.org/officeDocument/2006/relationships/hyperlink" Target="https://www.instituteforenergyresearch.org/renewable/the-environmental-impact-of-lithium-batteries/" TargetMode="External"/><Relationship Id="rId44" Type="http://schemas.openxmlformats.org/officeDocument/2006/relationships/hyperlink" Target="https://www.virta.global/blog/myth-buster-electric-vehicles-will-overload-the-power-grid" TargetMode="External"/><Relationship Id="rId4" Type="http://schemas.openxmlformats.org/officeDocument/2006/relationships/styles" Target="styles.xml"/><Relationship Id="rId9" Type="http://schemas.openxmlformats.org/officeDocument/2006/relationships/image" Target="NULL"/><Relationship Id="rId14" Type="http://schemas.openxmlformats.org/officeDocument/2006/relationships/image" Target="media/image4.png"/><Relationship Id="rId22" Type="http://schemas.openxmlformats.org/officeDocument/2006/relationships/hyperlink" Target="https://electricnation.org.uk/2020/09/02/the-future-of-vehicle-to-grid-ev-charging/" TargetMode="External"/><Relationship Id="rId27" Type="http://schemas.openxmlformats.org/officeDocument/2006/relationships/hyperlink" Target="https://www.drive-electric.co.uk/electric-vehicles-vs-petrol-diesel-hybrid/" TargetMode="External"/><Relationship Id="rId30" Type="http://schemas.openxmlformats.org/officeDocument/2006/relationships/hyperlink" Target="https://eu.boell.org/en/2021/04/26/7-reasons-why-nuclear-energy-not-answer-solve-climate-change" TargetMode="External"/><Relationship Id="rId35" Type="http://schemas.openxmlformats.org/officeDocument/2006/relationships/hyperlink" Target="https://www.sciencedirect.com/science/article/pii/S1364032119300516" TargetMode="External"/><Relationship Id="rId43" Type="http://schemas.openxmlformats.org/officeDocument/2006/relationships/hyperlink" Target="https://www.epa.gov/ghgemissions/overview-greenhouse-gases" TargetMode="External"/><Relationship Id="rId48" Type="http://schemas.openxmlformats.org/officeDocument/2006/relationships/footer" Target="footer1.xml"/><Relationship Id="rId8" Type="http://schemas.openxmlformats.org/officeDocument/2006/relationships/endnotes" Target="endnotes.xml"/><Relationship Id="rId51" Type="http://schemas.openxmlformats.org/officeDocument/2006/relationships/theme" Target="theme/theme1.xml"/><Relationship Id="rId3" Type="http://schemas.openxmlformats.org/officeDocument/2006/relationships/numbering" Target="numbering.xml"/><Relationship Id="rId12" Type="http://schemas.openxmlformats.org/officeDocument/2006/relationships/hyperlink" Target="http://www.dpd.co.uk" TargetMode="External"/><Relationship Id="rId17" Type="http://schemas.openxmlformats.org/officeDocument/2006/relationships/image" Target="media/image7.png"/><Relationship Id="rId25" Type="http://schemas.openxmlformats.org/officeDocument/2006/relationships/hyperlink" Target="https://www.nationalgeographic.co.uk/environment/2019/05/chernobyl-disaster-what-happened-and-long-term-impact" TargetMode="External"/><Relationship Id="rId33" Type="http://schemas.openxmlformats.org/officeDocument/2006/relationships/hyperlink" Target="https://www.zap-map.com/charge-points/connectors-speeds/" TargetMode="External"/><Relationship Id="rId38" Type="http://schemas.openxmlformats.org/officeDocument/2006/relationships/hyperlink" Target="https://doi.org/10.1016/j.enpol.2013.10.029" TargetMode="External"/><Relationship Id="rId46" Type="http://schemas.openxmlformats.org/officeDocument/2006/relationships/hyperlink" Target="https://world-nuclear.org/nuclear-essentials/how-can-nuclear-combat-climate-change.aspx" TargetMode="External"/><Relationship Id="rId20" Type="http://schemas.openxmlformats.org/officeDocument/2006/relationships/hyperlink" Target="https://doi.org/10.1016/j.enpol.2019.111136" TargetMode="External"/><Relationship Id="rId41" Type="http://schemas.openxmlformats.org/officeDocument/2006/relationships/hyperlink" Target="https://www.tesla.com/powerwall" TargetMode="External"/><Relationship Id="rId1" Type="http://schemas.openxmlformats.org/officeDocument/2006/relationships/customXml" Target="../customXml/item1.xml"/><Relationship Id="rId6" Type="http://schemas.openxmlformats.org/officeDocument/2006/relationships/webSettings" Target="webSettings.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6C50617AA2564AAD83A014871149F81A"/>
        <w:category>
          <w:name w:val="General"/>
          <w:gallery w:val="placeholder"/>
        </w:category>
        <w:types>
          <w:type w:val="bbPlcHdr"/>
        </w:types>
        <w:behaviors>
          <w:behavior w:val="content"/>
        </w:behaviors>
        <w:guid w:val="{E4B80CC4-9E86-4613-B18F-AA0B71204810}"/>
      </w:docPartPr>
      <w:docPartBody>
        <w:p w:rsidR="009331C3" w:rsidRDefault="00F246F3" w:rsidP="00F246F3">
          <w:pPr>
            <w:pStyle w:val="6C50617AA2564AAD83A014871149F81A"/>
          </w:pPr>
          <w:r>
            <w:rPr>
              <w:rFonts w:asciiTheme="majorHAnsi" w:eastAsiaTheme="majorEastAsia" w:hAnsiTheme="majorHAnsi" w:cstheme="majorBidi"/>
              <w:caps/>
              <w:color w:val="4472C4"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246F3"/>
    <w:rsid w:val="00084204"/>
    <w:rsid w:val="00157257"/>
    <w:rsid w:val="0029613E"/>
    <w:rsid w:val="003710D0"/>
    <w:rsid w:val="004D6072"/>
    <w:rsid w:val="0050765F"/>
    <w:rsid w:val="00681CC8"/>
    <w:rsid w:val="00681D3B"/>
    <w:rsid w:val="00723C84"/>
    <w:rsid w:val="007B439E"/>
    <w:rsid w:val="008267DB"/>
    <w:rsid w:val="009331C3"/>
    <w:rsid w:val="009B39A3"/>
    <w:rsid w:val="00A6686B"/>
    <w:rsid w:val="00A8667D"/>
    <w:rsid w:val="00A94A80"/>
    <w:rsid w:val="00BB7A60"/>
    <w:rsid w:val="00C415E1"/>
    <w:rsid w:val="00C7451E"/>
    <w:rsid w:val="00F246F3"/>
    <w:rsid w:val="00F52BF7"/>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6C50617AA2564AAD83A014871149F81A">
    <w:name w:val="6C50617AA2564AAD83A014871149F81A"/>
    <w:rsid w:val="00F246F3"/>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2019-12-19T00:00:00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01806859-4C25-43F1-A0C3-34A634353FB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3398</TotalTime>
  <Pages>17</Pages>
  <Words>4861</Words>
  <Characters>27711</Characters>
  <Application>Microsoft Office Word</Application>
  <DocSecurity>0</DocSecurity>
  <Lines>230</Lines>
  <Paragraphs>65</Paragraphs>
  <ScaleCrop>false</ScaleCrop>
  <HeadingPairs>
    <vt:vector size="2" baseType="variant">
      <vt:variant>
        <vt:lpstr>Title</vt:lpstr>
      </vt:variant>
      <vt:variant>
        <vt:i4>1</vt:i4>
      </vt:variant>
    </vt:vector>
  </HeadingPairs>
  <TitlesOfParts>
    <vt:vector size="1" baseType="lpstr">
      <vt:lpstr>Critical Analysis of the implementation of vehicle to grid technology in an automotive setting</vt:lpstr>
    </vt:vector>
  </TitlesOfParts>
  <Company/>
  <LinksUpToDate>false</LinksUpToDate>
  <CharactersWithSpaces>32507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Critical Analysis of the implementation of vehicle to grid technology in an automotive setting</dc:title>
  <dc:subject/>
  <dc:creator>Tom Crocker</dc:creator>
  <cp:keywords/>
  <dc:description/>
  <cp:lastModifiedBy>Tom James Crocker (1801936)</cp:lastModifiedBy>
  <cp:revision>66</cp:revision>
  <dcterms:created xsi:type="dcterms:W3CDTF">2021-11-05T12:23:00Z</dcterms:created>
  <dcterms:modified xsi:type="dcterms:W3CDTF">2021-11-22T17:23:00Z</dcterms:modified>
</cp:coreProperties>
</file>