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FA5230" w14:textId="77777777" w:rsidR="00E77831" w:rsidRDefault="00000000">
      <w:pPr>
        <w:rPr>
          <w:color w:val="404040"/>
          <w:sz w:val="36"/>
          <w:szCs w:val="36"/>
        </w:rPr>
      </w:pPr>
      <w:r>
        <w:rPr>
          <w:noProof/>
        </w:rPr>
        <mc:AlternateContent>
          <mc:Choice Requires="wps">
            <w:drawing>
              <wp:anchor distT="0" distB="0" distL="0" distR="0" simplePos="0" relativeHeight="27" behindDoc="0" locked="0" layoutInCell="1" allowOverlap="1" wp14:anchorId="7D313434" wp14:editId="63ACB22A">
                <wp:simplePos x="0" y="0"/>
                <wp:positionH relativeFrom="page">
                  <wp:align>center</wp:align>
                </wp:positionH>
                <wp:positionV relativeFrom="page">
                  <wp:align>center</wp:align>
                </wp:positionV>
                <wp:extent cx="7312025" cy="7774940"/>
                <wp:effectExtent l="635" t="0" r="2540" b="0"/>
                <wp:wrapNone/>
                <wp:docPr id="1026" name="10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12025" cy="7774940"/>
                        </a:xfrm>
                        <a:prstGeom prst="rect">
                          <a:avLst/>
                        </a:prstGeom>
                        <a:solidFill>
                          <a:srgbClr val="FFFFFF"/>
                        </a:solidFill>
                        <a:ln>
                          <a:noFill/>
                        </a:ln>
                      </wps:spPr>
                      <wps:txbx>
                        <w:txbxContent>
                          <w:tbl>
                            <w:tblPr>
                              <w:tblW w:w="5000" w:type="pct"/>
                              <w:jc w:val="center"/>
                              <w:tblBorders>
                                <w:insideV w:val="single" w:sz="12" w:space="0" w:color="ED7D31"/>
                              </w:tblBorders>
                              <w:tblCellMar>
                                <w:top w:w="1296" w:type="dxa"/>
                                <w:left w:w="360" w:type="dxa"/>
                                <w:bottom w:w="1296" w:type="dxa"/>
                                <w:right w:w="360" w:type="dxa"/>
                              </w:tblCellMar>
                              <w:tblLook w:val="04A0" w:firstRow="1" w:lastRow="0" w:firstColumn="1" w:lastColumn="0" w:noHBand="0" w:noVBand="1"/>
                            </w:tblPr>
                            <w:tblGrid>
                              <w:gridCol w:w="5922"/>
                              <w:gridCol w:w="5608"/>
                            </w:tblGrid>
                            <w:tr w:rsidR="00E77831" w14:paraId="13071B52" w14:textId="77777777">
                              <w:trPr>
                                <w:jc w:val="center"/>
                              </w:trPr>
                              <w:tc>
                                <w:tcPr>
                                  <w:tcW w:w="2568" w:type="pct"/>
                                  <w:vAlign w:val="center"/>
                                </w:tcPr>
                                <w:p w14:paraId="0108162A" w14:textId="77777777" w:rsidR="00E77831" w:rsidRDefault="00000000">
                                  <w:pPr>
                                    <w:jc w:val="right"/>
                                  </w:pPr>
                                  <w:r>
                                    <w:rPr>
                                      <w:noProof/>
                                    </w:rPr>
                                    <w:drawing>
                                      <wp:inline distT="0" distB="0" distL="0" distR="0" wp14:anchorId="2F50BB9E" wp14:editId="473A5977">
                                        <wp:extent cx="3213100" cy="1047750"/>
                                        <wp:effectExtent l="0" t="0" r="6350" b="0"/>
                                        <wp:docPr id="2049" name="Picture 3" descr="University of Wales Trinity Saint David – Wales Institute for Digital  Information"/>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1" cstate="print"/>
                                                <a:srcRect/>
                                                <a:stretch/>
                                              </pic:blipFill>
                                              <pic:spPr>
                                                <a:xfrm>
                                                  <a:off x="0" y="0"/>
                                                  <a:ext cx="3213100" cy="1047750"/>
                                                </a:xfrm>
                                                <a:prstGeom prst="rect">
                                                  <a:avLst/>
                                                </a:prstGeom>
                                                <a:ln>
                                                  <a:noFill/>
                                                </a:ln>
                                              </pic:spPr>
                                            </pic:pic>
                                          </a:graphicData>
                                        </a:graphic>
                                      </wp:inline>
                                    </w:drawing>
                                  </w:r>
                                </w:p>
                                <w:p w14:paraId="2E47013B" w14:textId="77777777" w:rsidR="00E77831" w:rsidRDefault="00000000">
                                  <w:pPr>
                                    <w:pStyle w:val="NoSpacing"/>
                                    <w:spacing w:line="312" w:lineRule="auto"/>
                                    <w:jc w:val="right"/>
                                    <w:rPr>
                                      <w:caps/>
                                      <w:color w:val="191919"/>
                                      <w:sz w:val="72"/>
                                      <w:szCs w:val="72"/>
                                    </w:rPr>
                                  </w:pPr>
                                  <w:r>
                                    <w:rPr>
                                      <w:rFonts w:ascii="Arial" w:hAnsi="Arial" w:cs="Arial"/>
                                      <w:caps/>
                                      <w:color w:val="191919"/>
                                      <w:sz w:val="32"/>
                                      <w:szCs w:val="32"/>
                                    </w:rPr>
                                    <w:t>Analysis of Toyota’s marketing strategies and    Marketing position in the UK automobile industry</w:t>
                                  </w:r>
                                </w:p>
                                <w:p w14:paraId="75070235" w14:textId="77777777" w:rsidR="00E77831" w:rsidRDefault="00E77831">
                                  <w:pPr>
                                    <w:jc w:val="right"/>
                                    <w:rPr>
                                      <w:sz w:val="24"/>
                                      <w:szCs w:val="24"/>
                                    </w:rPr>
                                  </w:pPr>
                                </w:p>
                              </w:tc>
                              <w:tc>
                                <w:tcPr>
                                  <w:tcW w:w="2432" w:type="pct"/>
                                  <w:vAlign w:val="center"/>
                                </w:tcPr>
                                <w:p w14:paraId="28ECA56D" w14:textId="77777777" w:rsidR="00E77831" w:rsidRDefault="00000000">
                                  <w:pPr>
                                    <w:spacing w:line="360" w:lineRule="auto"/>
                                    <w:rPr>
                                      <w:rFonts w:ascii="Arial" w:hAnsi="Arial" w:cs="Arial"/>
                                      <w:b/>
                                      <w:bCs/>
                                      <w:sz w:val="32"/>
                                      <w:szCs w:val="32"/>
                                    </w:rPr>
                                  </w:pPr>
                                  <w:r>
                                    <w:rPr>
                                      <w:caps/>
                                      <w:color w:val="ED7D31"/>
                                      <w:sz w:val="32"/>
                                      <w:szCs w:val="32"/>
                                    </w:rPr>
                                    <w:t xml:space="preserve">Supervisor- </w:t>
                                  </w:r>
                                  <w:r>
                                    <w:rPr>
                                      <w:rFonts w:ascii="Arial" w:hAnsi="Arial" w:cs="Arial"/>
                                      <w:b/>
                                      <w:bCs/>
                                      <w:sz w:val="32"/>
                                      <w:szCs w:val="32"/>
                                    </w:rPr>
                                    <w:t>Abdullah Ijaz</w:t>
                                  </w:r>
                                </w:p>
                                <w:p w14:paraId="199313B4" w14:textId="77777777" w:rsidR="00E77831" w:rsidRDefault="00E77831">
                                  <w:pPr>
                                    <w:pStyle w:val="NoSpacing"/>
                                    <w:rPr>
                                      <w:caps/>
                                      <w:color w:val="ED7D31"/>
                                      <w:sz w:val="26"/>
                                      <w:szCs w:val="26"/>
                                    </w:rPr>
                                  </w:pPr>
                                </w:p>
                                <w:p w14:paraId="3A679058" w14:textId="77777777" w:rsidR="00E77831" w:rsidRDefault="00000000">
                                  <w:pPr>
                                    <w:pStyle w:val="NoSpacing"/>
                                    <w:rPr>
                                      <w:rFonts w:ascii="Arial" w:hAnsi="Arial" w:cs="Arial"/>
                                      <w:color w:val="ED7D31"/>
                                      <w:sz w:val="26"/>
                                      <w:szCs w:val="26"/>
                                    </w:rPr>
                                  </w:pPr>
                                  <w:r>
                                    <w:rPr>
                                      <w:rFonts w:ascii="Arial" w:hAnsi="Arial" w:cs="Arial"/>
                                      <w:color w:val="ED7D31"/>
                                      <w:sz w:val="26"/>
                                      <w:szCs w:val="26"/>
                                    </w:rPr>
                                    <w:t>Ajay Thakur (2224974)</w:t>
                                  </w:r>
                                </w:p>
                                <w:p w14:paraId="32196366" w14:textId="77777777" w:rsidR="00E77831" w:rsidRDefault="00000000">
                                  <w:pPr>
                                    <w:pStyle w:val="NoSpacing"/>
                                  </w:pPr>
                                  <w:r>
                                    <w:rPr>
                                      <w:rFonts w:ascii="Arial" w:hAnsi="Arial" w:cs="Arial"/>
                                      <w:color w:val="44546A"/>
                                    </w:rPr>
                                    <w:t>MBA General Management</w:t>
                                  </w:r>
                                </w:p>
                              </w:tc>
                            </w:tr>
                          </w:tbl>
                          <w:p w14:paraId="12AFD569" w14:textId="77777777" w:rsidR="00E77831" w:rsidRDefault="00E77831"/>
                        </w:txbxContent>
                      </wps:txbx>
                      <wps:bodyPr vert="horz" wrap="square" lIns="0" tIns="0" rIns="0" bIns="0" anchor="ctr" upright="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rect w14:anchorId="7D313434" id="1026" o:spid="_x0000_s1026" style="position:absolute;margin-left:0;margin-top:0;width:575.75pt;height:612.2pt;z-index:27;visibility:visible;mso-wrap-style:square;mso-width-percent:941;mso-height-percent:773;mso-wrap-distance-left:0;mso-wrap-distance-top:0;mso-wrap-distance-right:0;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" stroked="f">
                <v:textbox inset="0,0,0,0">
                  <w:txbxContent>
                    <w:tbl>
                      <w:tblPr>
                        <w:tblW w:w="5000" w:type="pct"/>
                        <w:jc w:val="center"/>
                        <w:tblBorders>
                          <w:insideV w:val="single" w:sz="12" w:space="0" w:color="ED7D31"/>
                        </w:tblBorders>
                        <w:tblCellMar>
                          <w:top w:w="1296" w:type="dxa"/>
                          <w:left w:w="360" w:type="dxa"/>
                          <w:bottom w:w="1296" w:type="dxa"/>
                          <w:right w:w="360" w:type="dxa"/>
                        </w:tblCellMar>
                        <w:tblLook w:val="04A0" w:firstRow="1" w:lastRow="0" w:firstColumn="1" w:lastColumn="0" w:noHBand="0" w:noVBand="1"/>
                      </w:tblPr>
                      <w:tblGrid>
                        <w:gridCol w:w="5922"/>
                        <w:gridCol w:w="5608"/>
                      </w:tblGrid>
                      <w:tr w:rsidR="00E77831" w14:paraId="13071B52" w14:textId="77777777">
                        <w:trPr>
                          <w:jc w:val="center"/>
                        </w:trPr>
                        <w:tc>
                          <w:tcPr>
                            <w:tcW w:w="2568" w:type="pct"/>
                            <w:vAlign w:val="center"/>
                          </w:tcPr>
                          <w:p w14:paraId="0108162A" w14:textId="77777777" w:rsidR="00E77831" w:rsidRDefault="00000000">
                            <w:pPr>
                              <w:jc w:val="right"/>
                            </w:pPr>
                            <w:r>
                              <w:rPr>
                                <w:noProof/>
                              </w:rPr>
                              <w:drawing>
                                <wp:inline distT="0" distB="0" distL="0" distR="0" wp14:anchorId="2F50BB9E" wp14:editId="473A5977">
                                  <wp:extent cx="3213100" cy="1047750"/>
                                  <wp:effectExtent l="0" t="0" r="6350" b="0"/>
                                  <wp:docPr id="2049" name="Picture 3" descr="University of Wales Trinity Saint David – Wales Institute for Digital  Information"/>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1" cstate="print"/>
                                          <a:srcRect/>
                                          <a:stretch/>
                                        </pic:blipFill>
                                        <pic:spPr>
                                          <a:xfrm>
                                            <a:off x="0" y="0"/>
                                            <a:ext cx="3213100" cy="1047750"/>
                                          </a:xfrm>
                                          <a:prstGeom prst="rect">
                                            <a:avLst/>
                                          </a:prstGeom>
                                          <a:ln>
                                            <a:noFill/>
                                          </a:ln>
                                        </pic:spPr>
                                      </pic:pic>
                                    </a:graphicData>
                                  </a:graphic>
                                </wp:inline>
                              </w:drawing>
                            </w:r>
                          </w:p>
                          <w:p w14:paraId="2E47013B" w14:textId="77777777" w:rsidR="00E77831" w:rsidRDefault="00000000">
                            <w:pPr>
                              <w:pStyle w:val="NoSpacing"/>
                              <w:spacing w:line="312" w:lineRule="auto"/>
                              <w:jc w:val="right"/>
                              <w:rPr>
                                <w:caps/>
                                <w:color w:val="191919"/>
                                <w:sz w:val="72"/>
                                <w:szCs w:val="72"/>
                              </w:rPr>
                            </w:pPr>
                            <w:r>
                              <w:rPr>
                                <w:rFonts w:ascii="Arial" w:hAnsi="Arial" w:cs="Arial"/>
                                <w:caps/>
                                <w:color w:val="191919"/>
                                <w:sz w:val="32"/>
                                <w:szCs w:val="32"/>
                              </w:rPr>
                              <w:t>Analysis of Toyota’s marketing strategies and    Marketing position in the UK automobile industry</w:t>
                            </w:r>
                          </w:p>
                          <w:p w14:paraId="75070235" w14:textId="77777777" w:rsidR="00E77831" w:rsidRDefault="00E77831">
                            <w:pPr>
                              <w:jc w:val="right"/>
                              <w:rPr>
                                <w:sz w:val="24"/>
                                <w:szCs w:val="24"/>
                              </w:rPr>
                            </w:pPr>
                          </w:p>
                        </w:tc>
                        <w:tc>
                          <w:tcPr>
                            <w:tcW w:w="2432" w:type="pct"/>
                            <w:vAlign w:val="center"/>
                          </w:tcPr>
                          <w:p w14:paraId="28ECA56D" w14:textId="77777777" w:rsidR="00E77831" w:rsidRDefault="00000000">
                            <w:pPr>
                              <w:spacing w:line="360" w:lineRule="auto"/>
                              <w:rPr>
                                <w:rFonts w:ascii="Arial" w:hAnsi="Arial" w:cs="Arial"/>
                                <w:b/>
                                <w:bCs/>
                                <w:sz w:val="32"/>
                                <w:szCs w:val="32"/>
                              </w:rPr>
                            </w:pPr>
                            <w:r>
                              <w:rPr>
                                <w:caps/>
                                <w:color w:val="ED7D31"/>
                                <w:sz w:val="32"/>
                                <w:szCs w:val="32"/>
                              </w:rPr>
                              <w:t xml:space="preserve">Supervisor- </w:t>
                            </w:r>
                            <w:r>
                              <w:rPr>
                                <w:rFonts w:ascii="Arial" w:hAnsi="Arial" w:cs="Arial"/>
                                <w:b/>
                                <w:bCs/>
                                <w:sz w:val="32"/>
                                <w:szCs w:val="32"/>
                              </w:rPr>
                              <w:t>Abdullah Ijaz</w:t>
                            </w:r>
                          </w:p>
                          <w:p w14:paraId="199313B4" w14:textId="77777777" w:rsidR="00E77831" w:rsidRDefault="00E77831">
                            <w:pPr>
                              <w:pStyle w:val="NoSpacing"/>
                              <w:rPr>
                                <w:caps/>
                                <w:color w:val="ED7D31"/>
                                <w:sz w:val="26"/>
                                <w:szCs w:val="26"/>
                              </w:rPr>
                            </w:pPr>
                          </w:p>
                          <w:p w14:paraId="3A679058" w14:textId="77777777" w:rsidR="00E77831" w:rsidRDefault="00000000">
                            <w:pPr>
                              <w:pStyle w:val="NoSpacing"/>
                              <w:rPr>
                                <w:rFonts w:ascii="Arial" w:hAnsi="Arial" w:cs="Arial"/>
                                <w:color w:val="ED7D31"/>
                                <w:sz w:val="26"/>
                                <w:szCs w:val="26"/>
                              </w:rPr>
                            </w:pPr>
                            <w:r>
                              <w:rPr>
                                <w:rFonts w:ascii="Arial" w:hAnsi="Arial" w:cs="Arial"/>
                                <w:color w:val="ED7D31"/>
                                <w:sz w:val="26"/>
                                <w:szCs w:val="26"/>
                              </w:rPr>
                              <w:t>Ajay Thakur (2224974)</w:t>
                            </w:r>
                          </w:p>
                          <w:p w14:paraId="32196366" w14:textId="77777777" w:rsidR="00E77831" w:rsidRDefault="00000000">
                            <w:pPr>
                              <w:pStyle w:val="NoSpacing"/>
                            </w:pPr>
                            <w:r>
                              <w:rPr>
                                <w:rFonts w:ascii="Arial" w:hAnsi="Arial" w:cs="Arial"/>
                                <w:color w:val="44546A"/>
                              </w:rPr>
                              <w:t>MBA General Management</w:t>
                            </w:r>
                          </w:p>
                        </w:tc>
                      </w:tr>
                    </w:tbl>
                    <w:p w14:paraId="12AFD569" w14:textId="77777777" w:rsidR="00E77831" w:rsidRDefault="00E77831"/>
                  </w:txbxContent>
                </v:textbox>
                <w10:wrap anchorx="page" anchory="page"/>
              </v:rect>
            </w:pict>
          </mc:Fallback>
        </mc:AlternateContent>
      </w:r>
      <w:r>
        <w:rPr>
          <w:color w:val="404040"/>
          <w:sz w:val="36"/>
          <w:szCs w:val="36"/>
        </w:rPr>
        <w:br w:type="page"/>
      </w:r>
    </w:p>
    <w:p w14:paraId="49DAE8FD" w14:textId="155A2539" w:rsidR="00684079" w:rsidRPr="00684079" w:rsidRDefault="004F0A7F" w:rsidP="00684079">
      <w:pPr>
        <w:rPr>
          <w:rFonts w:ascii="Arial" w:hAnsi="Arial" w:cs="Arial"/>
          <w:b/>
          <w:bCs/>
          <w:sz w:val="28"/>
          <w:szCs w:val="28"/>
        </w:rPr>
      </w:pPr>
      <w:r>
        <w:rPr>
          <w:rFonts w:ascii="Arial" w:hAnsi="Arial" w:cs="Arial"/>
          <w:b/>
          <w:bCs/>
          <w:sz w:val="28"/>
          <w:szCs w:val="28"/>
        </w:rPr>
        <w:lastRenderedPageBreak/>
        <w:t>Declaration</w:t>
      </w:r>
      <w:r w:rsidR="00684079">
        <w:rPr>
          <w:rFonts w:ascii="Arial" w:hAnsi="Arial" w:cs="Arial"/>
          <w:b/>
          <w:bCs/>
          <w:sz w:val="28"/>
          <w:szCs w:val="28"/>
        </w:rPr>
        <w:t xml:space="preserve"> Form</w:t>
      </w:r>
    </w:p>
    <w:p w14:paraId="2DBB2CE4" w14:textId="04B5B426" w:rsidR="00BE65DD" w:rsidRDefault="004F0A7F" w:rsidP="004F0A7F">
      <w:pPr>
        <w:pStyle w:val="NoSpacing"/>
        <w:spacing w:line="360" w:lineRule="auto"/>
        <w:rPr>
          <w:rFonts w:ascii="Arial" w:hAnsi="Arial" w:cs="Arial"/>
          <w:caps/>
          <w:color w:val="191919"/>
          <w:sz w:val="24"/>
          <w:szCs w:val="24"/>
        </w:rPr>
      </w:pPr>
      <w:r w:rsidRPr="004F0A7F">
        <w:rPr>
          <w:rFonts w:ascii="Arial" w:hAnsi="Arial" w:cs="Arial"/>
          <w:color w:val="191919"/>
          <w:sz w:val="24"/>
          <w:szCs w:val="24"/>
        </w:rPr>
        <w:t xml:space="preserve">I Declare That This Dissertation Has Been Written Solely by Myself </w:t>
      </w:r>
      <w:r>
        <w:rPr>
          <w:rFonts w:ascii="Arial" w:hAnsi="Arial" w:cs="Arial"/>
          <w:color w:val="191919"/>
          <w:sz w:val="24"/>
          <w:szCs w:val="24"/>
        </w:rPr>
        <w:t>a</w:t>
      </w:r>
      <w:r w:rsidRPr="004F0A7F">
        <w:rPr>
          <w:rFonts w:ascii="Arial" w:hAnsi="Arial" w:cs="Arial"/>
          <w:color w:val="191919"/>
          <w:sz w:val="24"/>
          <w:szCs w:val="24"/>
        </w:rPr>
        <w:t xml:space="preserve">nd That It Has Not Been Submitted, </w:t>
      </w:r>
      <w:r>
        <w:rPr>
          <w:rFonts w:ascii="Arial" w:hAnsi="Arial" w:cs="Arial"/>
          <w:color w:val="191919"/>
          <w:sz w:val="24"/>
          <w:szCs w:val="24"/>
        </w:rPr>
        <w:t>i</w:t>
      </w:r>
      <w:r w:rsidRPr="004F0A7F">
        <w:rPr>
          <w:rFonts w:ascii="Arial" w:hAnsi="Arial" w:cs="Arial"/>
          <w:color w:val="191919"/>
          <w:sz w:val="24"/>
          <w:szCs w:val="24"/>
        </w:rPr>
        <w:t xml:space="preserve">n Whole </w:t>
      </w:r>
      <w:r>
        <w:rPr>
          <w:rFonts w:ascii="Arial" w:hAnsi="Arial" w:cs="Arial"/>
          <w:color w:val="191919"/>
          <w:sz w:val="24"/>
          <w:szCs w:val="24"/>
        </w:rPr>
        <w:t>o</w:t>
      </w:r>
      <w:r w:rsidRPr="004F0A7F">
        <w:rPr>
          <w:rFonts w:ascii="Arial" w:hAnsi="Arial" w:cs="Arial"/>
          <w:color w:val="191919"/>
          <w:sz w:val="24"/>
          <w:szCs w:val="24"/>
        </w:rPr>
        <w:t xml:space="preserve">r Part, In Any Previous Application for A Degree </w:t>
      </w:r>
      <w:proofErr w:type="gramStart"/>
      <w:r w:rsidRPr="004F0A7F">
        <w:rPr>
          <w:rFonts w:ascii="Arial" w:hAnsi="Arial" w:cs="Arial"/>
          <w:color w:val="191919"/>
          <w:sz w:val="24"/>
          <w:szCs w:val="24"/>
        </w:rPr>
        <w:t>In</w:t>
      </w:r>
      <w:proofErr w:type="gramEnd"/>
      <w:r w:rsidRPr="004F0A7F">
        <w:rPr>
          <w:rFonts w:ascii="Arial" w:hAnsi="Arial" w:cs="Arial"/>
          <w:color w:val="191919"/>
          <w:sz w:val="24"/>
          <w:szCs w:val="24"/>
        </w:rPr>
        <w:t xml:space="preserve"> This University </w:t>
      </w:r>
      <w:r>
        <w:rPr>
          <w:rFonts w:ascii="Arial" w:hAnsi="Arial" w:cs="Arial"/>
          <w:color w:val="191919"/>
          <w:sz w:val="24"/>
          <w:szCs w:val="24"/>
        </w:rPr>
        <w:t>o</w:t>
      </w:r>
      <w:r w:rsidRPr="004F0A7F">
        <w:rPr>
          <w:rFonts w:ascii="Arial" w:hAnsi="Arial" w:cs="Arial"/>
          <w:color w:val="191919"/>
          <w:sz w:val="24"/>
          <w:szCs w:val="24"/>
        </w:rPr>
        <w:t xml:space="preserve">r Any Other </w:t>
      </w:r>
      <w:r>
        <w:rPr>
          <w:rFonts w:ascii="Arial" w:hAnsi="Arial" w:cs="Arial"/>
          <w:color w:val="191919"/>
          <w:sz w:val="24"/>
          <w:szCs w:val="24"/>
        </w:rPr>
        <w:t>Institution</w:t>
      </w:r>
      <w:r w:rsidRPr="004F0A7F">
        <w:rPr>
          <w:rFonts w:ascii="Arial" w:hAnsi="Arial" w:cs="Arial"/>
          <w:color w:val="191919"/>
          <w:sz w:val="24"/>
          <w:szCs w:val="24"/>
        </w:rPr>
        <w:t xml:space="preserve">. In Addition, I Have Acknowledged All Main Source/S-Author/S Appropriately </w:t>
      </w:r>
      <w:r>
        <w:rPr>
          <w:rFonts w:ascii="Arial" w:hAnsi="Arial" w:cs="Arial"/>
          <w:color w:val="191919"/>
          <w:sz w:val="24"/>
          <w:szCs w:val="24"/>
        </w:rPr>
        <w:t>i</w:t>
      </w:r>
      <w:r w:rsidRPr="004F0A7F">
        <w:rPr>
          <w:rFonts w:ascii="Arial" w:hAnsi="Arial" w:cs="Arial"/>
          <w:color w:val="191919"/>
          <w:sz w:val="24"/>
          <w:szCs w:val="24"/>
        </w:rPr>
        <w:t xml:space="preserve">n Parts </w:t>
      </w:r>
      <w:r>
        <w:rPr>
          <w:rFonts w:ascii="Arial" w:hAnsi="Arial" w:cs="Arial"/>
          <w:color w:val="191919"/>
          <w:sz w:val="24"/>
          <w:szCs w:val="24"/>
        </w:rPr>
        <w:t>o</w:t>
      </w:r>
      <w:r w:rsidRPr="004F0A7F">
        <w:rPr>
          <w:rFonts w:ascii="Arial" w:hAnsi="Arial" w:cs="Arial"/>
          <w:color w:val="191919"/>
          <w:sz w:val="24"/>
          <w:szCs w:val="24"/>
        </w:rPr>
        <w:t>f This Dissertation Where I Have Quoted Work from Others.</w:t>
      </w:r>
    </w:p>
    <w:p w14:paraId="61333291" w14:textId="77777777" w:rsidR="00BE65DD" w:rsidRDefault="00BE65DD" w:rsidP="00056312">
      <w:pPr>
        <w:pStyle w:val="NoSpacing"/>
        <w:spacing w:line="312" w:lineRule="auto"/>
        <w:rPr>
          <w:rFonts w:ascii="Arial" w:hAnsi="Arial" w:cs="Arial"/>
          <w:caps/>
          <w:color w:val="191919"/>
          <w:sz w:val="24"/>
          <w:szCs w:val="24"/>
        </w:rPr>
      </w:pPr>
    </w:p>
    <w:p w14:paraId="0630A509" w14:textId="77777777" w:rsidR="004F0A7F" w:rsidRDefault="004F0A7F">
      <w:pPr>
        <w:rPr>
          <w:rFonts w:ascii="Arial" w:hAnsi="Arial" w:cs="Arial"/>
          <w:b/>
          <w:bCs/>
          <w:sz w:val="28"/>
          <w:szCs w:val="28"/>
        </w:rPr>
      </w:pPr>
    </w:p>
    <w:p w14:paraId="65BDDDAD" w14:textId="77777777" w:rsidR="004F0A7F" w:rsidRDefault="004F0A7F">
      <w:pPr>
        <w:rPr>
          <w:rFonts w:ascii="Arial" w:hAnsi="Arial" w:cs="Arial"/>
          <w:b/>
          <w:bCs/>
          <w:sz w:val="28"/>
          <w:szCs w:val="28"/>
        </w:rPr>
      </w:pPr>
    </w:p>
    <w:p w14:paraId="3096A2A8" w14:textId="77777777" w:rsidR="004F0A7F" w:rsidRDefault="004F0A7F">
      <w:pPr>
        <w:rPr>
          <w:rFonts w:ascii="Arial" w:hAnsi="Arial" w:cs="Arial"/>
          <w:b/>
          <w:bCs/>
          <w:sz w:val="28"/>
          <w:szCs w:val="28"/>
        </w:rPr>
      </w:pPr>
    </w:p>
    <w:p w14:paraId="522CD173" w14:textId="77777777" w:rsidR="004F0A7F" w:rsidRDefault="004F0A7F">
      <w:pPr>
        <w:rPr>
          <w:rFonts w:ascii="Arial" w:hAnsi="Arial" w:cs="Arial"/>
          <w:b/>
          <w:bCs/>
          <w:sz w:val="28"/>
          <w:szCs w:val="28"/>
        </w:rPr>
      </w:pPr>
    </w:p>
    <w:p w14:paraId="759F0539" w14:textId="77777777" w:rsidR="004F0A7F" w:rsidRDefault="004F0A7F">
      <w:pPr>
        <w:rPr>
          <w:rFonts w:ascii="Arial" w:hAnsi="Arial" w:cs="Arial"/>
          <w:b/>
          <w:bCs/>
          <w:sz w:val="28"/>
          <w:szCs w:val="28"/>
        </w:rPr>
      </w:pPr>
    </w:p>
    <w:p w14:paraId="208945B4" w14:textId="77777777" w:rsidR="004F0A7F" w:rsidRDefault="004F0A7F">
      <w:pPr>
        <w:rPr>
          <w:rFonts w:ascii="Arial" w:hAnsi="Arial" w:cs="Arial"/>
          <w:b/>
          <w:bCs/>
          <w:sz w:val="28"/>
          <w:szCs w:val="28"/>
        </w:rPr>
      </w:pPr>
    </w:p>
    <w:p w14:paraId="3D6721D6" w14:textId="77777777" w:rsidR="004F0A7F" w:rsidRDefault="004F0A7F">
      <w:pPr>
        <w:rPr>
          <w:rFonts w:ascii="Arial" w:hAnsi="Arial" w:cs="Arial"/>
          <w:b/>
          <w:bCs/>
          <w:sz w:val="28"/>
          <w:szCs w:val="28"/>
        </w:rPr>
      </w:pPr>
    </w:p>
    <w:p w14:paraId="1AC6CF2B" w14:textId="77777777" w:rsidR="004F0A7F" w:rsidRDefault="004F0A7F">
      <w:pPr>
        <w:rPr>
          <w:rFonts w:ascii="Arial" w:hAnsi="Arial" w:cs="Arial"/>
          <w:b/>
          <w:bCs/>
          <w:sz w:val="28"/>
          <w:szCs w:val="28"/>
        </w:rPr>
      </w:pPr>
    </w:p>
    <w:p w14:paraId="0A795A33" w14:textId="77777777" w:rsidR="004F0A7F" w:rsidRDefault="004F0A7F">
      <w:pPr>
        <w:rPr>
          <w:rFonts w:ascii="Arial" w:hAnsi="Arial" w:cs="Arial"/>
          <w:b/>
          <w:bCs/>
          <w:sz w:val="28"/>
          <w:szCs w:val="28"/>
        </w:rPr>
      </w:pPr>
    </w:p>
    <w:p w14:paraId="6F0C4515" w14:textId="77777777" w:rsidR="004F0A7F" w:rsidRDefault="004F0A7F">
      <w:pPr>
        <w:rPr>
          <w:rFonts w:ascii="Arial" w:hAnsi="Arial" w:cs="Arial"/>
          <w:b/>
          <w:bCs/>
          <w:sz w:val="28"/>
          <w:szCs w:val="28"/>
        </w:rPr>
      </w:pPr>
    </w:p>
    <w:p w14:paraId="0DB9F68C" w14:textId="77777777" w:rsidR="004F0A7F" w:rsidRDefault="004F0A7F">
      <w:pPr>
        <w:rPr>
          <w:rFonts w:ascii="Arial" w:hAnsi="Arial" w:cs="Arial"/>
          <w:b/>
          <w:bCs/>
          <w:sz w:val="28"/>
          <w:szCs w:val="28"/>
        </w:rPr>
      </w:pPr>
    </w:p>
    <w:p w14:paraId="1176B4AB" w14:textId="77777777" w:rsidR="004F0A7F" w:rsidRDefault="004F0A7F">
      <w:pPr>
        <w:rPr>
          <w:rFonts w:ascii="Arial" w:hAnsi="Arial" w:cs="Arial"/>
          <w:b/>
          <w:bCs/>
          <w:sz w:val="28"/>
          <w:szCs w:val="28"/>
        </w:rPr>
      </w:pPr>
    </w:p>
    <w:p w14:paraId="4E119366" w14:textId="77777777" w:rsidR="004F0A7F" w:rsidRDefault="004F0A7F">
      <w:pPr>
        <w:rPr>
          <w:rFonts w:ascii="Arial" w:hAnsi="Arial" w:cs="Arial"/>
          <w:b/>
          <w:bCs/>
          <w:sz w:val="28"/>
          <w:szCs w:val="28"/>
        </w:rPr>
      </w:pPr>
    </w:p>
    <w:p w14:paraId="1578F457" w14:textId="77777777" w:rsidR="004F0A7F" w:rsidRDefault="004F0A7F">
      <w:pPr>
        <w:rPr>
          <w:rFonts w:ascii="Arial" w:hAnsi="Arial" w:cs="Arial"/>
          <w:b/>
          <w:bCs/>
          <w:sz w:val="28"/>
          <w:szCs w:val="28"/>
        </w:rPr>
      </w:pPr>
    </w:p>
    <w:p w14:paraId="783D23B0" w14:textId="77777777" w:rsidR="004F0A7F" w:rsidRDefault="004F0A7F">
      <w:pPr>
        <w:rPr>
          <w:rFonts w:ascii="Arial" w:hAnsi="Arial" w:cs="Arial"/>
          <w:b/>
          <w:bCs/>
          <w:sz w:val="28"/>
          <w:szCs w:val="28"/>
        </w:rPr>
      </w:pPr>
    </w:p>
    <w:p w14:paraId="77274107" w14:textId="77777777" w:rsidR="004F0A7F" w:rsidRDefault="004F0A7F">
      <w:pPr>
        <w:rPr>
          <w:rFonts w:ascii="Arial" w:hAnsi="Arial" w:cs="Arial"/>
          <w:b/>
          <w:bCs/>
          <w:sz w:val="28"/>
          <w:szCs w:val="28"/>
        </w:rPr>
      </w:pPr>
    </w:p>
    <w:p w14:paraId="0C64FB84" w14:textId="77777777" w:rsidR="004F0A7F" w:rsidRDefault="004F0A7F">
      <w:pPr>
        <w:rPr>
          <w:rFonts w:ascii="Arial" w:hAnsi="Arial" w:cs="Arial"/>
          <w:b/>
          <w:bCs/>
          <w:sz w:val="28"/>
          <w:szCs w:val="28"/>
        </w:rPr>
      </w:pPr>
    </w:p>
    <w:p w14:paraId="545CBFCC" w14:textId="77777777" w:rsidR="004F0A7F" w:rsidRDefault="004F0A7F">
      <w:pPr>
        <w:rPr>
          <w:rFonts w:ascii="Arial" w:hAnsi="Arial" w:cs="Arial"/>
          <w:b/>
          <w:bCs/>
          <w:sz w:val="28"/>
          <w:szCs w:val="28"/>
        </w:rPr>
      </w:pPr>
    </w:p>
    <w:p w14:paraId="25125668" w14:textId="77777777" w:rsidR="004F0A7F" w:rsidRDefault="004F0A7F">
      <w:pPr>
        <w:rPr>
          <w:rFonts w:ascii="Arial" w:hAnsi="Arial" w:cs="Arial"/>
          <w:b/>
          <w:bCs/>
          <w:sz w:val="28"/>
          <w:szCs w:val="28"/>
        </w:rPr>
      </w:pPr>
    </w:p>
    <w:p w14:paraId="589C6043" w14:textId="77777777" w:rsidR="00BC5797" w:rsidRDefault="00BC5797">
      <w:pPr>
        <w:rPr>
          <w:rFonts w:ascii="Arial" w:hAnsi="Arial" w:cs="Arial"/>
          <w:b/>
          <w:bCs/>
          <w:sz w:val="28"/>
          <w:szCs w:val="28"/>
        </w:rPr>
      </w:pPr>
    </w:p>
    <w:p w14:paraId="632FBA3A" w14:textId="0DD8FE31" w:rsidR="00E77831" w:rsidRDefault="00684079">
      <w:pPr>
        <w:rPr>
          <w:rFonts w:ascii="Arial" w:hAnsi="Arial" w:cs="Arial"/>
          <w:b/>
          <w:bCs/>
          <w:sz w:val="28"/>
          <w:szCs w:val="28"/>
        </w:rPr>
      </w:pPr>
      <w:r>
        <w:rPr>
          <w:rFonts w:ascii="Arial" w:hAnsi="Arial" w:cs="Arial"/>
          <w:b/>
          <w:bCs/>
          <w:sz w:val="28"/>
          <w:szCs w:val="28"/>
        </w:rPr>
        <w:lastRenderedPageBreak/>
        <w:t xml:space="preserve">Acknowledgement  </w:t>
      </w:r>
    </w:p>
    <w:p w14:paraId="39082527" w14:textId="77777777" w:rsidR="00E77831" w:rsidRDefault="00000000">
      <w:pPr>
        <w:spacing w:line="360" w:lineRule="auto"/>
        <w:rPr>
          <w:rFonts w:ascii="Arial" w:hAnsi="Arial" w:cs="Arial"/>
          <w:sz w:val="24"/>
          <w:szCs w:val="24"/>
        </w:rPr>
      </w:pPr>
      <w:r>
        <w:rPr>
          <w:rFonts w:ascii="Arial" w:hAnsi="Arial" w:cs="Arial"/>
          <w:sz w:val="24"/>
          <w:szCs w:val="24"/>
        </w:rPr>
        <w:t xml:space="preserve">Professionally, I would like to share my deepest gratitude to my respected guide Mr. Abdullah Ijaz for encouraging and motivating me to research the topic “Analysis of Marketing Strategies and Marketing Position of Toyota in the UK Automobile Industry”. I heartily thank You for guiding and motivating me for the above work and always cheering me for the best work. </w:t>
      </w:r>
    </w:p>
    <w:p w14:paraId="08861A18" w14:textId="77777777" w:rsidR="00E77831" w:rsidRDefault="00000000">
      <w:pPr>
        <w:spacing w:line="360" w:lineRule="auto"/>
        <w:rPr>
          <w:rFonts w:ascii="Arial" w:hAnsi="Arial" w:cs="Arial"/>
          <w:sz w:val="24"/>
          <w:szCs w:val="24"/>
        </w:rPr>
      </w:pPr>
      <w:r>
        <w:rPr>
          <w:rFonts w:ascii="Arial" w:hAnsi="Arial" w:cs="Arial"/>
          <w:sz w:val="24"/>
          <w:szCs w:val="24"/>
        </w:rPr>
        <w:t xml:space="preserve">I want to share my deepest gratitude to my family and my friends for always motivating me to complete the work and do my best. Your encouragement and appreciation motivate and help me to carry out the research. </w:t>
      </w:r>
    </w:p>
    <w:p w14:paraId="1BA3C4CA" w14:textId="77777777" w:rsidR="00E77831" w:rsidRDefault="00000000">
      <w:pPr>
        <w:spacing w:line="360" w:lineRule="auto"/>
        <w:rPr>
          <w:rFonts w:ascii="Arial" w:hAnsi="Arial" w:cs="Arial"/>
          <w:sz w:val="24"/>
          <w:szCs w:val="24"/>
        </w:rPr>
      </w:pPr>
      <w:r>
        <w:rPr>
          <w:rFonts w:ascii="Arial" w:hAnsi="Arial" w:cs="Arial"/>
          <w:sz w:val="24"/>
          <w:szCs w:val="24"/>
        </w:rPr>
        <w:t xml:space="preserve">And I would like to thank God for giving me patience, and a way to overcome all the difficulties. Thank you, God, for everything. </w:t>
      </w:r>
    </w:p>
    <w:p w14:paraId="74C14A74" w14:textId="77777777" w:rsidR="00E77831" w:rsidRDefault="00E77831">
      <w:pPr>
        <w:rPr>
          <w:rFonts w:ascii="Arial" w:hAnsi="Arial" w:cs="Arial"/>
          <w:sz w:val="24"/>
          <w:szCs w:val="24"/>
        </w:rPr>
      </w:pPr>
    </w:p>
    <w:p w14:paraId="36523283" w14:textId="77777777" w:rsidR="00E77831" w:rsidRDefault="00E77831">
      <w:pPr>
        <w:rPr>
          <w:rFonts w:ascii="Arial" w:hAnsi="Arial" w:cs="Arial"/>
          <w:sz w:val="24"/>
          <w:szCs w:val="24"/>
        </w:rPr>
      </w:pPr>
    </w:p>
    <w:p w14:paraId="0A689480" w14:textId="77777777" w:rsidR="00E77831" w:rsidRDefault="00E77831">
      <w:pPr>
        <w:rPr>
          <w:rFonts w:ascii="Arial" w:hAnsi="Arial" w:cs="Arial"/>
          <w:sz w:val="24"/>
          <w:szCs w:val="24"/>
        </w:rPr>
      </w:pPr>
    </w:p>
    <w:p w14:paraId="69159BDC" w14:textId="77777777" w:rsidR="00E77831" w:rsidRDefault="00E77831">
      <w:pPr>
        <w:rPr>
          <w:rFonts w:ascii="Arial" w:hAnsi="Arial" w:cs="Arial"/>
          <w:sz w:val="24"/>
          <w:szCs w:val="24"/>
        </w:rPr>
      </w:pPr>
    </w:p>
    <w:p w14:paraId="7D092AF3" w14:textId="77777777" w:rsidR="00E77831" w:rsidRDefault="00E77831">
      <w:pPr>
        <w:rPr>
          <w:rFonts w:ascii="Arial" w:hAnsi="Arial" w:cs="Arial"/>
          <w:sz w:val="24"/>
          <w:szCs w:val="24"/>
        </w:rPr>
      </w:pPr>
    </w:p>
    <w:p w14:paraId="63C198EC" w14:textId="77777777" w:rsidR="00E77831" w:rsidRDefault="00E77831">
      <w:pPr>
        <w:rPr>
          <w:rFonts w:ascii="Arial" w:hAnsi="Arial" w:cs="Arial"/>
          <w:sz w:val="24"/>
          <w:szCs w:val="24"/>
        </w:rPr>
      </w:pPr>
    </w:p>
    <w:p w14:paraId="15147E43" w14:textId="77777777" w:rsidR="00E77831" w:rsidRDefault="00E77831">
      <w:pPr>
        <w:rPr>
          <w:rFonts w:ascii="Arial" w:hAnsi="Arial" w:cs="Arial"/>
          <w:sz w:val="24"/>
          <w:szCs w:val="24"/>
        </w:rPr>
      </w:pPr>
    </w:p>
    <w:p w14:paraId="4E3C92BA" w14:textId="77777777" w:rsidR="00E77831" w:rsidRDefault="00E77831">
      <w:pPr>
        <w:rPr>
          <w:rFonts w:ascii="Arial" w:hAnsi="Arial" w:cs="Arial"/>
          <w:sz w:val="24"/>
          <w:szCs w:val="24"/>
        </w:rPr>
      </w:pPr>
    </w:p>
    <w:p w14:paraId="04D5C0DE" w14:textId="77777777" w:rsidR="00E77831" w:rsidRDefault="00E77831">
      <w:pPr>
        <w:rPr>
          <w:rFonts w:ascii="Arial" w:hAnsi="Arial" w:cs="Arial"/>
          <w:sz w:val="24"/>
          <w:szCs w:val="24"/>
        </w:rPr>
      </w:pPr>
    </w:p>
    <w:p w14:paraId="1754A937" w14:textId="77777777" w:rsidR="00E77831" w:rsidRDefault="00E77831">
      <w:pPr>
        <w:rPr>
          <w:rFonts w:ascii="Arial" w:hAnsi="Arial" w:cs="Arial"/>
          <w:sz w:val="24"/>
          <w:szCs w:val="24"/>
        </w:rPr>
      </w:pPr>
    </w:p>
    <w:p w14:paraId="25EC6F09" w14:textId="77777777" w:rsidR="00E77831" w:rsidRDefault="00E77831">
      <w:pPr>
        <w:rPr>
          <w:rFonts w:ascii="Arial" w:hAnsi="Arial" w:cs="Arial"/>
          <w:sz w:val="24"/>
          <w:szCs w:val="24"/>
        </w:rPr>
      </w:pPr>
    </w:p>
    <w:p w14:paraId="7A6C6DC1" w14:textId="77777777" w:rsidR="00E77831" w:rsidRDefault="00E77831">
      <w:pPr>
        <w:rPr>
          <w:rFonts w:ascii="Arial" w:hAnsi="Arial" w:cs="Arial"/>
          <w:sz w:val="24"/>
          <w:szCs w:val="24"/>
        </w:rPr>
      </w:pPr>
    </w:p>
    <w:p w14:paraId="2CBB7BE0" w14:textId="77777777" w:rsidR="00E77831" w:rsidRDefault="00E77831">
      <w:pPr>
        <w:rPr>
          <w:rFonts w:ascii="Arial" w:hAnsi="Arial" w:cs="Arial"/>
          <w:sz w:val="24"/>
          <w:szCs w:val="24"/>
        </w:rPr>
      </w:pPr>
    </w:p>
    <w:p w14:paraId="2F8C1678" w14:textId="77777777" w:rsidR="00E77831" w:rsidRDefault="00E77831">
      <w:pPr>
        <w:rPr>
          <w:rFonts w:ascii="Arial" w:hAnsi="Arial" w:cs="Arial"/>
          <w:sz w:val="24"/>
          <w:szCs w:val="24"/>
        </w:rPr>
      </w:pPr>
    </w:p>
    <w:p w14:paraId="2C46C81F" w14:textId="77777777" w:rsidR="00E77831" w:rsidRDefault="00E77831">
      <w:pPr>
        <w:rPr>
          <w:rFonts w:ascii="Arial" w:hAnsi="Arial" w:cs="Arial"/>
          <w:sz w:val="24"/>
          <w:szCs w:val="24"/>
        </w:rPr>
      </w:pPr>
    </w:p>
    <w:p w14:paraId="32780E87" w14:textId="77777777" w:rsidR="00E77831" w:rsidRDefault="00E77831">
      <w:pPr>
        <w:rPr>
          <w:rFonts w:ascii="Arial" w:hAnsi="Arial" w:cs="Arial"/>
          <w:sz w:val="24"/>
          <w:szCs w:val="24"/>
        </w:rPr>
      </w:pPr>
    </w:p>
    <w:p w14:paraId="42D20C89" w14:textId="77777777" w:rsidR="00E77831" w:rsidRDefault="00E77831">
      <w:pPr>
        <w:rPr>
          <w:rFonts w:ascii="Arial" w:hAnsi="Arial" w:cs="Arial"/>
          <w:sz w:val="24"/>
          <w:szCs w:val="24"/>
        </w:rPr>
      </w:pPr>
    </w:p>
    <w:p w14:paraId="0F37C627" w14:textId="470E07C4" w:rsidR="00E77831" w:rsidRDefault="00000000">
      <w:pPr>
        <w:rPr>
          <w:rFonts w:ascii="Arial" w:hAnsi="Arial" w:cs="Arial"/>
          <w:b/>
          <w:bCs/>
          <w:sz w:val="28"/>
          <w:szCs w:val="28"/>
        </w:rPr>
      </w:pPr>
      <w:r>
        <w:rPr>
          <w:rFonts w:ascii="Arial" w:hAnsi="Arial" w:cs="Arial"/>
          <w:b/>
          <w:bCs/>
          <w:sz w:val="28"/>
          <w:szCs w:val="28"/>
        </w:rPr>
        <w:lastRenderedPageBreak/>
        <w:t xml:space="preserve">Abstract </w:t>
      </w:r>
    </w:p>
    <w:p w14:paraId="69B98C99" w14:textId="77777777" w:rsidR="00E77831" w:rsidRDefault="00000000">
      <w:pPr>
        <w:spacing w:line="360" w:lineRule="auto"/>
        <w:rPr>
          <w:rFonts w:ascii="Arial" w:hAnsi="Arial" w:cs="Arial"/>
          <w:sz w:val="24"/>
          <w:szCs w:val="24"/>
        </w:rPr>
      </w:pPr>
      <w:r>
        <w:rPr>
          <w:rFonts w:ascii="Arial" w:hAnsi="Arial" w:cs="Arial"/>
          <w:sz w:val="24"/>
          <w:szCs w:val="24"/>
        </w:rPr>
        <w:t xml:space="preserve">This dissertation mainly aims to discuss the marketing strategies of Toyota in the UK and the current marketing share value and position of the Japanese multinational company Toyota in the UK automotive industry. Marketing is an essential strategy that aims to fulfil all the demands of customers, which results in the success of an organization. Green Marketing aims to maintain environmental health in a greener way as well as satisfying customer needs. Sustainable development is the development of products or strategies to meet the demands of the present customer and save for the future. A Green Marketing mix strategy involves the production of green products, Advertising by green promotion method, green supply chain management, and green price settlement to gain a sustainable competitive advantage, reduce traffic pollution, and reduce the emission of greenhouse gases. </w:t>
      </w:r>
    </w:p>
    <w:p w14:paraId="0E53BFE6" w14:textId="77777777" w:rsidR="00E77831" w:rsidRDefault="00000000">
      <w:pPr>
        <w:spacing w:line="360" w:lineRule="auto"/>
        <w:rPr>
          <w:rFonts w:ascii="Arial" w:hAnsi="Arial" w:cs="Arial"/>
          <w:sz w:val="24"/>
          <w:szCs w:val="24"/>
        </w:rPr>
      </w:pPr>
      <w:r>
        <w:rPr>
          <w:rFonts w:ascii="Arial" w:hAnsi="Arial" w:cs="Arial"/>
          <w:sz w:val="24"/>
          <w:szCs w:val="24"/>
        </w:rPr>
        <w:t>It is explanatory research following the systematic review methodology and uses the keyword strategy to address the role of a green Marketing mix to attain a sustainable competitive advantage. It involves the selection of 19 research articles from the journals, 4 case studies, and documentation from the Toyota official website.</w:t>
      </w:r>
    </w:p>
    <w:p w14:paraId="3DF586C3" w14:textId="3FF09F67" w:rsidR="00E77831" w:rsidRDefault="00000000">
      <w:pPr>
        <w:spacing w:line="360" w:lineRule="auto"/>
        <w:rPr>
          <w:rFonts w:ascii="Arial" w:hAnsi="Arial" w:cs="Arial"/>
          <w:sz w:val="24"/>
          <w:szCs w:val="24"/>
        </w:rPr>
      </w:pPr>
      <w:r>
        <w:rPr>
          <w:rFonts w:ascii="Arial" w:hAnsi="Arial" w:cs="Arial"/>
          <w:sz w:val="24"/>
          <w:szCs w:val="24"/>
        </w:rPr>
        <w:t xml:space="preserve">Toyota GB plc is the Toyota manufacturing plant in the UK. It achieves a well-reputable position in the UK Automobile industry with a market share value of 5.8 % in Year 2023 with the highest sale of new Yaris. It faces a lot of challenges and opportunities in the UK automotive industry. </w:t>
      </w:r>
      <w:proofErr w:type="gramStart"/>
      <w:r>
        <w:rPr>
          <w:rFonts w:ascii="Arial" w:hAnsi="Arial" w:cs="Arial"/>
          <w:sz w:val="24"/>
          <w:szCs w:val="24"/>
        </w:rPr>
        <w:t>UK</w:t>
      </w:r>
      <w:proofErr w:type="gramEnd"/>
      <w:r>
        <w:rPr>
          <w:rFonts w:ascii="Arial" w:hAnsi="Arial" w:cs="Arial"/>
          <w:sz w:val="24"/>
          <w:szCs w:val="24"/>
        </w:rPr>
        <w:t xml:space="preserve"> government imposed a ban on vehicles with high greenhouse gas emissions</w:t>
      </w:r>
      <w:r w:rsidR="00D153BF">
        <w:rPr>
          <w:rFonts w:ascii="Arial" w:hAnsi="Arial" w:cs="Arial"/>
          <w:sz w:val="24"/>
          <w:szCs w:val="24"/>
        </w:rPr>
        <w:t>. It shifted</w:t>
      </w:r>
      <w:r>
        <w:rPr>
          <w:rFonts w:ascii="Arial" w:hAnsi="Arial" w:cs="Arial"/>
          <w:sz w:val="24"/>
          <w:szCs w:val="24"/>
        </w:rPr>
        <w:t xml:space="preserve"> to the production of electric vehicles, and plug-in hybrid vehicles and it also removed taxation on the electric vehicles. Toyota GB followed a UK government rule and was restricted to meet the “Toyota 2050 challenge” which includes the reduction of carbon dioxide to zero extent, reduction of greenhouse gas emissions, and management of water and nature.</w:t>
      </w:r>
    </w:p>
    <w:p w14:paraId="0F3FC720" w14:textId="3BF9AAAF" w:rsidR="00E77831" w:rsidRDefault="00000000">
      <w:pPr>
        <w:spacing w:line="360" w:lineRule="auto"/>
        <w:rPr>
          <w:rFonts w:ascii="Arial" w:hAnsi="Arial" w:cs="Arial"/>
          <w:sz w:val="24"/>
          <w:szCs w:val="24"/>
        </w:rPr>
      </w:pPr>
      <w:r>
        <w:rPr>
          <w:rFonts w:ascii="Arial" w:hAnsi="Arial" w:cs="Arial"/>
          <w:sz w:val="24"/>
          <w:szCs w:val="24"/>
        </w:rPr>
        <w:t xml:space="preserve">To meet the challenge and achieve a well-reputed position in the UK, they implemented a Toyota production system that works upon continuous improvement and meets customer demands in a shorter period with less wastage. They produce green products that are made up of (4R 's) materials so that it is easily reusable to useful things. It uses a differential strategy by producing environmentally friendly vehicles to reduce </w:t>
      </w:r>
      <w:r>
        <w:rPr>
          <w:rFonts w:ascii="Arial" w:hAnsi="Arial" w:cs="Arial"/>
          <w:sz w:val="24"/>
          <w:szCs w:val="24"/>
        </w:rPr>
        <w:lastRenderedPageBreak/>
        <w:t xml:space="preserve">environmental pollution. </w:t>
      </w:r>
      <w:r w:rsidR="00684079">
        <w:rPr>
          <w:rFonts w:ascii="Arial" w:hAnsi="Arial" w:cs="Arial"/>
          <w:sz w:val="24"/>
          <w:szCs w:val="24"/>
        </w:rPr>
        <w:t>TPS results</w:t>
      </w:r>
      <w:r>
        <w:rPr>
          <w:rFonts w:ascii="Arial" w:hAnsi="Arial" w:cs="Arial"/>
          <w:sz w:val="24"/>
          <w:szCs w:val="24"/>
        </w:rPr>
        <w:t xml:space="preserve"> in waste management, water management, and inventory management which cause the reduction in cost known as settlement of green price. They adopted the green supply chain management and promoted Toyota products on social media, organized various shows, and advertised in magazines to interact more with customers and engage more customers. A Green Marketing mix leads to differentiation and cost reduction strategy, and it helps the organization to achieve a sustainable competitive advantage in a business. </w:t>
      </w:r>
    </w:p>
    <w:p w14:paraId="1CC6D9C3" w14:textId="77777777" w:rsidR="00E77831" w:rsidRDefault="00E77831">
      <w:pPr>
        <w:spacing w:line="360" w:lineRule="auto"/>
        <w:rPr>
          <w:rFonts w:ascii="Arial" w:hAnsi="Arial" w:cs="Arial"/>
          <w:sz w:val="24"/>
          <w:szCs w:val="24"/>
        </w:rPr>
      </w:pPr>
    </w:p>
    <w:p w14:paraId="139CDE17" w14:textId="77777777" w:rsidR="00E77831" w:rsidRDefault="00000000">
      <w:pPr>
        <w:spacing w:line="360" w:lineRule="auto"/>
        <w:rPr>
          <w:rFonts w:ascii="Arial" w:hAnsi="Arial" w:cs="Arial"/>
          <w:b/>
          <w:bCs/>
          <w:sz w:val="24"/>
          <w:szCs w:val="24"/>
        </w:rPr>
      </w:pPr>
      <w:r>
        <w:rPr>
          <w:rFonts w:ascii="Arial" w:hAnsi="Arial" w:cs="Arial"/>
          <w:b/>
          <w:bCs/>
          <w:sz w:val="24"/>
          <w:szCs w:val="24"/>
        </w:rPr>
        <w:t>Keywords: Green marketing, Toyota, UK, sustainable competitive advantage, UK government, Marketing strategy.</w:t>
      </w:r>
    </w:p>
    <w:p w14:paraId="0400E071" w14:textId="77777777" w:rsidR="00E77831" w:rsidRDefault="00E77831">
      <w:pPr>
        <w:spacing w:line="360" w:lineRule="auto"/>
        <w:rPr>
          <w:rFonts w:ascii="Arial" w:hAnsi="Arial" w:cs="Arial"/>
          <w:sz w:val="24"/>
          <w:szCs w:val="24"/>
        </w:rPr>
      </w:pPr>
    </w:p>
    <w:p w14:paraId="30AEF87D" w14:textId="77777777" w:rsidR="00E77831" w:rsidRDefault="00E77831">
      <w:pPr>
        <w:spacing w:line="360" w:lineRule="auto"/>
        <w:rPr>
          <w:rFonts w:ascii="Arial" w:hAnsi="Arial" w:cs="Arial"/>
          <w:sz w:val="24"/>
          <w:szCs w:val="24"/>
        </w:rPr>
      </w:pPr>
    </w:p>
    <w:p w14:paraId="437F980B" w14:textId="77777777" w:rsidR="00E77831" w:rsidRDefault="00E77831">
      <w:pPr>
        <w:spacing w:line="360" w:lineRule="auto"/>
        <w:rPr>
          <w:rFonts w:ascii="Arial" w:hAnsi="Arial" w:cs="Arial"/>
          <w:sz w:val="24"/>
          <w:szCs w:val="24"/>
        </w:rPr>
      </w:pPr>
    </w:p>
    <w:p w14:paraId="10F8C686" w14:textId="77777777" w:rsidR="00E77831" w:rsidRDefault="00E77831">
      <w:pPr>
        <w:spacing w:line="360" w:lineRule="auto"/>
        <w:rPr>
          <w:rFonts w:ascii="Arial" w:hAnsi="Arial" w:cs="Arial"/>
          <w:sz w:val="24"/>
          <w:szCs w:val="24"/>
        </w:rPr>
      </w:pPr>
    </w:p>
    <w:p w14:paraId="32E4C511" w14:textId="77777777" w:rsidR="00E77831" w:rsidRDefault="00E77831">
      <w:pPr>
        <w:spacing w:line="360" w:lineRule="auto"/>
        <w:rPr>
          <w:rFonts w:ascii="Arial" w:hAnsi="Arial" w:cs="Arial"/>
          <w:sz w:val="24"/>
          <w:szCs w:val="24"/>
        </w:rPr>
      </w:pPr>
    </w:p>
    <w:p w14:paraId="0D68F478" w14:textId="77777777" w:rsidR="00E77831" w:rsidRDefault="00E77831">
      <w:pPr>
        <w:spacing w:line="360" w:lineRule="auto"/>
        <w:rPr>
          <w:rFonts w:ascii="Arial" w:hAnsi="Arial" w:cs="Arial"/>
          <w:sz w:val="24"/>
          <w:szCs w:val="24"/>
        </w:rPr>
      </w:pPr>
    </w:p>
    <w:p w14:paraId="0E776A87" w14:textId="77777777" w:rsidR="00E77831" w:rsidRDefault="00E77831">
      <w:pPr>
        <w:spacing w:line="360" w:lineRule="auto"/>
        <w:rPr>
          <w:rFonts w:ascii="Arial" w:hAnsi="Arial" w:cs="Arial"/>
          <w:b/>
          <w:bCs/>
          <w:sz w:val="24"/>
          <w:szCs w:val="24"/>
        </w:rPr>
      </w:pPr>
    </w:p>
    <w:p w14:paraId="163E62BC" w14:textId="77777777" w:rsidR="00E77831" w:rsidRDefault="00E77831">
      <w:pPr>
        <w:spacing w:line="360" w:lineRule="auto"/>
        <w:rPr>
          <w:rFonts w:ascii="Arial" w:hAnsi="Arial" w:cs="Arial"/>
          <w:b/>
          <w:bCs/>
          <w:sz w:val="28"/>
          <w:szCs w:val="28"/>
        </w:rPr>
      </w:pPr>
    </w:p>
    <w:p w14:paraId="725E87C8" w14:textId="77777777" w:rsidR="00E77831" w:rsidRDefault="00E77831">
      <w:pPr>
        <w:spacing w:line="360" w:lineRule="auto"/>
        <w:rPr>
          <w:rFonts w:ascii="Arial" w:hAnsi="Arial" w:cs="Arial"/>
          <w:b/>
          <w:bCs/>
          <w:sz w:val="28"/>
          <w:szCs w:val="28"/>
        </w:rPr>
      </w:pPr>
    </w:p>
    <w:p w14:paraId="2F8BFA6B" w14:textId="77777777" w:rsidR="00E77831" w:rsidRDefault="00E77831">
      <w:pPr>
        <w:spacing w:line="360" w:lineRule="auto"/>
        <w:rPr>
          <w:rFonts w:ascii="Arial" w:hAnsi="Arial" w:cs="Arial"/>
          <w:b/>
          <w:bCs/>
          <w:sz w:val="28"/>
          <w:szCs w:val="28"/>
        </w:rPr>
      </w:pPr>
    </w:p>
    <w:p w14:paraId="2812B0F7" w14:textId="77777777" w:rsidR="00E77831" w:rsidRDefault="00E77831">
      <w:pPr>
        <w:spacing w:line="360" w:lineRule="auto"/>
        <w:rPr>
          <w:rFonts w:ascii="Arial" w:hAnsi="Arial" w:cs="Arial"/>
          <w:b/>
          <w:bCs/>
          <w:sz w:val="28"/>
          <w:szCs w:val="28"/>
        </w:rPr>
      </w:pPr>
    </w:p>
    <w:p w14:paraId="701BC241" w14:textId="77777777" w:rsidR="00E77831" w:rsidRDefault="00E77831">
      <w:pPr>
        <w:spacing w:line="360" w:lineRule="auto"/>
        <w:rPr>
          <w:rFonts w:ascii="Arial" w:hAnsi="Arial" w:cs="Arial"/>
          <w:b/>
          <w:bCs/>
          <w:sz w:val="28"/>
          <w:szCs w:val="28"/>
        </w:rPr>
      </w:pPr>
    </w:p>
    <w:p w14:paraId="73F81F3C" w14:textId="77777777" w:rsidR="00E77831" w:rsidRDefault="00E77831">
      <w:pPr>
        <w:spacing w:line="360" w:lineRule="auto"/>
        <w:rPr>
          <w:rFonts w:ascii="Arial" w:hAnsi="Arial" w:cs="Arial"/>
          <w:b/>
          <w:bCs/>
          <w:sz w:val="28"/>
          <w:szCs w:val="28"/>
        </w:rPr>
      </w:pPr>
    </w:p>
    <w:p w14:paraId="10D34918" w14:textId="77777777" w:rsidR="00E77831" w:rsidRDefault="00E77831">
      <w:pPr>
        <w:spacing w:line="360" w:lineRule="auto"/>
        <w:rPr>
          <w:rFonts w:ascii="Arial" w:hAnsi="Arial" w:cs="Arial"/>
          <w:b/>
          <w:bCs/>
          <w:sz w:val="28"/>
          <w:szCs w:val="28"/>
        </w:rPr>
      </w:pPr>
    </w:p>
    <w:p w14:paraId="14A7E0C8" w14:textId="004CCED6" w:rsidR="00E77831" w:rsidRDefault="00000000">
      <w:pPr>
        <w:spacing w:line="360" w:lineRule="auto"/>
        <w:rPr>
          <w:rFonts w:ascii="Arial" w:hAnsi="Arial" w:cs="Arial"/>
          <w:b/>
          <w:bCs/>
          <w:sz w:val="28"/>
          <w:szCs w:val="28"/>
        </w:rPr>
      </w:pPr>
      <w:r>
        <w:rPr>
          <w:rFonts w:ascii="Arial" w:hAnsi="Arial" w:cs="Arial"/>
          <w:b/>
          <w:bCs/>
          <w:sz w:val="28"/>
          <w:szCs w:val="28"/>
        </w:rPr>
        <w:lastRenderedPageBreak/>
        <w:t xml:space="preserve">Table of contents  </w:t>
      </w:r>
    </w:p>
    <w:p w14:paraId="5E1492FA" w14:textId="53A1CBC3" w:rsidR="006F05CD" w:rsidRPr="006F05CD" w:rsidRDefault="006F05CD">
      <w:pPr>
        <w:spacing w:line="360" w:lineRule="auto"/>
        <w:rPr>
          <w:rFonts w:ascii="Arial" w:hAnsi="Arial" w:cs="Arial"/>
          <w:b/>
          <w:bCs/>
          <w:sz w:val="24"/>
          <w:szCs w:val="24"/>
        </w:rPr>
      </w:pPr>
      <w:r w:rsidRPr="006F05CD">
        <w:rPr>
          <w:rFonts w:ascii="Arial" w:hAnsi="Arial" w:cs="Arial"/>
          <w:b/>
          <w:bCs/>
          <w:sz w:val="24"/>
          <w:szCs w:val="24"/>
        </w:rPr>
        <w:t>Declaration Form</w:t>
      </w:r>
      <w:r>
        <w:rPr>
          <w:rFonts w:ascii="Arial" w:hAnsi="Arial" w:cs="Arial"/>
          <w:b/>
          <w:bCs/>
          <w:sz w:val="24"/>
          <w:szCs w:val="24"/>
        </w:rPr>
        <w:t>--------------------------------------------------------------1</w:t>
      </w:r>
    </w:p>
    <w:p w14:paraId="076721F1" w14:textId="150DF5F7" w:rsidR="00E77831" w:rsidRDefault="00000000">
      <w:pPr>
        <w:spacing w:line="360" w:lineRule="auto"/>
        <w:rPr>
          <w:rFonts w:ascii="Arial" w:hAnsi="Arial" w:cs="Arial"/>
          <w:b/>
          <w:bCs/>
          <w:sz w:val="24"/>
          <w:szCs w:val="24"/>
        </w:rPr>
      </w:pPr>
      <w:r>
        <w:rPr>
          <w:rFonts w:ascii="Arial" w:hAnsi="Arial" w:cs="Arial"/>
          <w:b/>
          <w:bCs/>
          <w:sz w:val="24"/>
          <w:szCs w:val="24"/>
        </w:rPr>
        <w:t>Acknowledgement</w:t>
      </w:r>
      <w:r w:rsidR="006F05CD">
        <w:rPr>
          <w:rFonts w:ascii="Arial" w:hAnsi="Arial" w:cs="Arial"/>
          <w:b/>
          <w:bCs/>
          <w:sz w:val="24"/>
          <w:szCs w:val="24"/>
        </w:rPr>
        <w:t>------------------------------------------------------------2</w:t>
      </w:r>
    </w:p>
    <w:p w14:paraId="1A8DC064" w14:textId="4F33E611" w:rsidR="00E77831" w:rsidRDefault="00000000">
      <w:pPr>
        <w:spacing w:line="360" w:lineRule="auto"/>
        <w:rPr>
          <w:rFonts w:ascii="Arial" w:hAnsi="Arial" w:cs="Arial"/>
          <w:b/>
          <w:bCs/>
          <w:sz w:val="24"/>
          <w:szCs w:val="24"/>
        </w:rPr>
      </w:pPr>
      <w:r>
        <w:rPr>
          <w:rFonts w:ascii="Arial" w:hAnsi="Arial" w:cs="Arial"/>
          <w:b/>
          <w:bCs/>
          <w:sz w:val="24"/>
          <w:szCs w:val="24"/>
        </w:rPr>
        <w:t>Abstract</w:t>
      </w:r>
      <w:r w:rsidR="006F05CD">
        <w:rPr>
          <w:rFonts w:ascii="Arial" w:hAnsi="Arial" w:cs="Arial"/>
          <w:b/>
          <w:bCs/>
          <w:sz w:val="24"/>
          <w:szCs w:val="24"/>
        </w:rPr>
        <w:t>---------------------------------------------------------------------------3-4</w:t>
      </w:r>
    </w:p>
    <w:p w14:paraId="4B1A8BC0" w14:textId="3FBCA6A6" w:rsidR="00E77831" w:rsidRDefault="00000000">
      <w:pPr>
        <w:spacing w:line="360" w:lineRule="auto"/>
        <w:rPr>
          <w:rFonts w:ascii="Arial" w:hAnsi="Arial" w:cs="Arial"/>
          <w:b/>
          <w:bCs/>
          <w:sz w:val="24"/>
          <w:szCs w:val="24"/>
        </w:rPr>
      </w:pPr>
      <w:r>
        <w:rPr>
          <w:rFonts w:ascii="Arial" w:hAnsi="Arial" w:cs="Arial"/>
          <w:b/>
          <w:bCs/>
          <w:sz w:val="24"/>
          <w:szCs w:val="24"/>
        </w:rPr>
        <w:t>1. Introduction------------------------------------------------------------------</w:t>
      </w:r>
      <w:r w:rsidR="006F05CD">
        <w:rPr>
          <w:rFonts w:ascii="Arial" w:hAnsi="Arial" w:cs="Arial"/>
          <w:b/>
          <w:bCs/>
          <w:sz w:val="24"/>
          <w:szCs w:val="24"/>
        </w:rPr>
        <w:t>8</w:t>
      </w:r>
      <w:r>
        <w:rPr>
          <w:rFonts w:ascii="Arial" w:hAnsi="Arial" w:cs="Arial"/>
          <w:b/>
          <w:bCs/>
          <w:sz w:val="24"/>
          <w:szCs w:val="24"/>
        </w:rPr>
        <w:t>-1</w:t>
      </w:r>
      <w:r w:rsidR="006F05CD">
        <w:rPr>
          <w:rFonts w:ascii="Arial" w:hAnsi="Arial" w:cs="Arial"/>
          <w:b/>
          <w:bCs/>
          <w:sz w:val="24"/>
          <w:szCs w:val="24"/>
        </w:rPr>
        <w:t>4</w:t>
      </w:r>
    </w:p>
    <w:p w14:paraId="54703345" w14:textId="33355335" w:rsidR="00E77831" w:rsidRDefault="00000000">
      <w:pPr>
        <w:spacing w:line="360" w:lineRule="auto"/>
        <w:rPr>
          <w:rFonts w:ascii="Arial" w:hAnsi="Arial" w:cs="Arial"/>
          <w:sz w:val="24"/>
          <w:szCs w:val="24"/>
        </w:rPr>
      </w:pPr>
      <w:r>
        <w:rPr>
          <w:rFonts w:ascii="Arial" w:hAnsi="Arial" w:cs="Arial"/>
          <w:sz w:val="24"/>
          <w:szCs w:val="24"/>
        </w:rPr>
        <w:t xml:space="preserve">    1.1 Background---------------------------------------------------------------</w:t>
      </w:r>
      <w:r w:rsidR="006F05CD">
        <w:rPr>
          <w:rFonts w:ascii="Arial" w:hAnsi="Arial" w:cs="Arial"/>
          <w:sz w:val="24"/>
          <w:szCs w:val="24"/>
        </w:rPr>
        <w:t>8</w:t>
      </w:r>
      <w:r>
        <w:rPr>
          <w:rFonts w:ascii="Arial" w:hAnsi="Arial" w:cs="Arial"/>
          <w:sz w:val="24"/>
          <w:szCs w:val="24"/>
        </w:rPr>
        <w:t>-</w:t>
      </w:r>
      <w:r w:rsidR="006F05CD">
        <w:rPr>
          <w:rFonts w:ascii="Arial" w:hAnsi="Arial" w:cs="Arial"/>
          <w:sz w:val="24"/>
          <w:szCs w:val="24"/>
        </w:rPr>
        <w:t>10</w:t>
      </w:r>
    </w:p>
    <w:p w14:paraId="6F6BB4D5" w14:textId="08107274" w:rsidR="00E77831" w:rsidRDefault="00000000">
      <w:pPr>
        <w:spacing w:line="360" w:lineRule="auto"/>
        <w:rPr>
          <w:rFonts w:ascii="Arial" w:hAnsi="Arial" w:cs="Arial"/>
          <w:sz w:val="24"/>
          <w:szCs w:val="24"/>
        </w:rPr>
      </w:pPr>
      <w:r>
        <w:rPr>
          <w:rFonts w:ascii="Arial" w:hAnsi="Arial" w:cs="Arial"/>
          <w:sz w:val="24"/>
          <w:szCs w:val="24"/>
        </w:rPr>
        <w:t xml:space="preserve">    1.2 Research problem------------------------------------------------------1</w:t>
      </w:r>
      <w:r w:rsidR="006F05CD">
        <w:rPr>
          <w:rFonts w:ascii="Arial" w:hAnsi="Arial" w:cs="Arial"/>
          <w:sz w:val="24"/>
          <w:szCs w:val="24"/>
        </w:rPr>
        <w:t>1</w:t>
      </w:r>
    </w:p>
    <w:p w14:paraId="12053642" w14:textId="25D3B8AB" w:rsidR="00E77831" w:rsidRDefault="00000000">
      <w:pPr>
        <w:spacing w:line="360" w:lineRule="auto"/>
        <w:rPr>
          <w:rFonts w:ascii="Arial" w:hAnsi="Arial" w:cs="Arial"/>
          <w:sz w:val="24"/>
          <w:szCs w:val="24"/>
        </w:rPr>
      </w:pPr>
      <w:r>
        <w:rPr>
          <w:rFonts w:ascii="Arial" w:hAnsi="Arial" w:cs="Arial"/>
          <w:sz w:val="24"/>
          <w:szCs w:val="24"/>
        </w:rPr>
        <w:t xml:space="preserve">    1.3 Aim--------------------------------------------------------------------------1</w:t>
      </w:r>
      <w:r w:rsidR="006F05CD">
        <w:rPr>
          <w:rFonts w:ascii="Arial" w:hAnsi="Arial" w:cs="Arial"/>
          <w:sz w:val="24"/>
          <w:szCs w:val="24"/>
        </w:rPr>
        <w:t>2</w:t>
      </w:r>
    </w:p>
    <w:p w14:paraId="6CFF4496" w14:textId="7782E40E" w:rsidR="00E77831" w:rsidRDefault="00000000">
      <w:pPr>
        <w:spacing w:line="360" w:lineRule="auto"/>
        <w:rPr>
          <w:rFonts w:ascii="Arial" w:hAnsi="Arial" w:cs="Arial"/>
          <w:sz w:val="24"/>
          <w:szCs w:val="24"/>
        </w:rPr>
      </w:pPr>
      <w:r>
        <w:rPr>
          <w:rFonts w:ascii="Arial" w:hAnsi="Arial" w:cs="Arial"/>
          <w:sz w:val="24"/>
          <w:szCs w:val="24"/>
        </w:rPr>
        <w:t xml:space="preserve">    1.4 Objective-------------------------------------------------------------------1</w:t>
      </w:r>
      <w:r w:rsidR="006F05CD">
        <w:rPr>
          <w:rFonts w:ascii="Arial" w:hAnsi="Arial" w:cs="Arial"/>
          <w:sz w:val="24"/>
          <w:szCs w:val="24"/>
        </w:rPr>
        <w:t>2</w:t>
      </w:r>
    </w:p>
    <w:p w14:paraId="17F71AB1" w14:textId="3F5D98E9" w:rsidR="00E77831" w:rsidRDefault="00000000">
      <w:pPr>
        <w:spacing w:line="360" w:lineRule="auto"/>
        <w:rPr>
          <w:rFonts w:ascii="Arial" w:hAnsi="Arial" w:cs="Arial"/>
          <w:sz w:val="24"/>
          <w:szCs w:val="24"/>
        </w:rPr>
      </w:pPr>
      <w:r>
        <w:rPr>
          <w:rFonts w:ascii="Arial" w:hAnsi="Arial" w:cs="Arial"/>
          <w:sz w:val="24"/>
          <w:szCs w:val="24"/>
        </w:rPr>
        <w:t xml:space="preserve">    1.5 Research questions------------------------------------------------------1</w:t>
      </w:r>
      <w:r w:rsidR="006F05CD">
        <w:rPr>
          <w:rFonts w:ascii="Arial" w:hAnsi="Arial" w:cs="Arial"/>
          <w:sz w:val="24"/>
          <w:szCs w:val="24"/>
        </w:rPr>
        <w:t>2</w:t>
      </w:r>
    </w:p>
    <w:p w14:paraId="7DC7B6DD" w14:textId="66659944" w:rsidR="00E77831" w:rsidRDefault="00000000">
      <w:pPr>
        <w:spacing w:line="360" w:lineRule="auto"/>
        <w:rPr>
          <w:rFonts w:ascii="Arial" w:hAnsi="Arial" w:cs="Arial"/>
          <w:sz w:val="24"/>
          <w:szCs w:val="24"/>
        </w:rPr>
      </w:pPr>
      <w:r>
        <w:rPr>
          <w:rFonts w:ascii="Arial" w:hAnsi="Arial" w:cs="Arial"/>
          <w:sz w:val="24"/>
          <w:szCs w:val="24"/>
        </w:rPr>
        <w:t xml:space="preserve">    1.6 Significance of the study-----------------------------------------------1</w:t>
      </w:r>
      <w:r w:rsidR="00A05403">
        <w:rPr>
          <w:rFonts w:ascii="Arial" w:hAnsi="Arial" w:cs="Arial"/>
          <w:sz w:val="24"/>
          <w:szCs w:val="24"/>
        </w:rPr>
        <w:t>2</w:t>
      </w:r>
      <w:r>
        <w:rPr>
          <w:rFonts w:ascii="Arial" w:hAnsi="Arial" w:cs="Arial"/>
          <w:sz w:val="24"/>
          <w:szCs w:val="24"/>
        </w:rPr>
        <w:t>-1</w:t>
      </w:r>
      <w:r w:rsidR="00A05403">
        <w:rPr>
          <w:rFonts w:ascii="Arial" w:hAnsi="Arial" w:cs="Arial"/>
          <w:sz w:val="24"/>
          <w:szCs w:val="24"/>
        </w:rPr>
        <w:t>3</w:t>
      </w:r>
    </w:p>
    <w:p w14:paraId="71BF2FD2" w14:textId="6CFE45EF" w:rsidR="00E77831" w:rsidRDefault="00000000">
      <w:pPr>
        <w:spacing w:line="360" w:lineRule="auto"/>
        <w:rPr>
          <w:rFonts w:ascii="Arial" w:hAnsi="Arial" w:cs="Arial"/>
          <w:sz w:val="24"/>
          <w:szCs w:val="24"/>
        </w:rPr>
      </w:pPr>
      <w:r>
        <w:rPr>
          <w:rFonts w:ascii="Arial" w:hAnsi="Arial" w:cs="Arial"/>
          <w:sz w:val="24"/>
          <w:szCs w:val="24"/>
        </w:rPr>
        <w:t xml:space="preserve">    1.7 Research Methodology-------------------------------------------------1</w:t>
      </w:r>
      <w:r w:rsidR="00A05403">
        <w:rPr>
          <w:rFonts w:ascii="Arial" w:hAnsi="Arial" w:cs="Arial"/>
          <w:sz w:val="24"/>
          <w:szCs w:val="24"/>
        </w:rPr>
        <w:t>3</w:t>
      </w:r>
    </w:p>
    <w:p w14:paraId="4E9A8F16" w14:textId="4AB0F913" w:rsidR="00E77831" w:rsidRDefault="00000000">
      <w:pPr>
        <w:spacing w:line="360" w:lineRule="auto"/>
        <w:rPr>
          <w:rFonts w:ascii="Arial" w:hAnsi="Arial" w:cs="Arial"/>
          <w:sz w:val="24"/>
          <w:szCs w:val="24"/>
        </w:rPr>
      </w:pPr>
      <w:r>
        <w:rPr>
          <w:rFonts w:ascii="Arial" w:hAnsi="Arial" w:cs="Arial"/>
          <w:sz w:val="24"/>
          <w:szCs w:val="24"/>
        </w:rPr>
        <w:t xml:space="preserve">    1.8 Structure--------------------------------------------------------------------1</w:t>
      </w:r>
      <w:r w:rsidR="00A05403">
        <w:rPr>
          <w:rFonts w:ascii="Arial" w:hAnsi="Arial" w:cs="Arial"/>
          <w:sz w:val="24"/>
          <w:szCs w:val="24"/>
        </w:rPr>
        <w:t>3</w:t>
      </w:r>
      <w:r>
        <w:rPr>
          <w:rFonts w:ascii="Arial" w:hAnsi="Arial" w:cs="Arial"/>
          <w:sz w:val="24"/>
          <w:szCs w:val="24"/>
        </w:rPr>
        <w:t>-1</w:t>
      </w:r>
      <w:r w:rsidR="00A05403">
        <w:rPr>
          <w:rFonts w:ascii="Arial" w:hAnsi="Arial" w:cs="Arial"/>
          <w:sz w:val="24"/>
          <w:szCs w:val="24"/>
        </w:rPr>
        <w:t>4</w:t>
      </w:r>
    </w:p>
    <w:p w14:paraId="1A702C51" w14:textId="73686D04" w:rsidR="00E77831" w:rsidRDefault="00000000">
      <w:pPr>
        <w:spacing w:line="360" w:lineRule="auto"/>
        <w:rPr>
          <w:rFonts w:ascii="Arial" w:hAnsi="Arial" w:cs="Arial"/>
          <w:b/>
          <w:bCs/>
          <w:sz w:val="24"/>
          <w:szCs w:val="24"/>
        </w:rPr>
      </w:pPr>
      <w:r>
        <w:rPr>
          <w:rFonts w:ascii="Arial" w:hAnsi="Arial" w:cs="Arial"/>
          <w:b/>
          <w:bCs/>
          <w:sz w:val="24"/>
          <w:szCs w:val="24"/>
        </w:rPr>
        <w:t>2. Literature review--------------------------------------------------------------1</w:t>
      </w:r>
      <w:r w:rsidR="00A05403">
        <w:rPr>
          <w:rFonts w:ascii="Arial" w:hAnsi="Arial" w:cs="Arial"/>
          <w:b/>
          <w:bCs/>
          <w:sz w:val="24"/>
          <w:szCs w:val="24"/>
        </w:rPr>
        <w:t>4</w:t>
      </w:r>
      <w:r>
        <w:rPr>
          <w:rFonts w:ascii="Arial" w:hAnsi="Arial" w:cs="Arial"/>
          <w:b/>
          <w:bCs/>
          <w:sz w:val="24"/>
          <w:szCs w:val="24"/>
        </w:rPr>
        <w:t>-2</w:t>
      </w:r>
      <w:r w:rsidR="00A05403">
        <w:rPr>
          <w:rFonts w:ascii="Arial" w:hAnsi="Arial" w:cs="Arial"/>
          <w:b/>
          <w:bCs/>
          <w:sz w:val="24"/>
          <w:szCs w:val="24"/>
        </w:rPr>
        <w:t>9</w:t>
      </w:r>
    </w:p>
    <w:p w14:paraId="5C60D36D" w14:textId="7C31E98D" w:rsidR="00E77831" w:rsidRDefault="00000000">
      <w:pPr>
        <w:spacing w:line="360" w:lineRule="auto"/>
        <w:rPr>
          <w:rFonts w:ascii="Arial" w:hAnsi="Arial" w:cs="Arial"/>
          <w:sz w:val="24"/>
          <w:szCs w:val="24"/>
        </w:rPr>
      </w:pPr>
      <w:r>
        <w:rPr>
          <w:rFonts w:ascii="Arial" w:hAnsi="Arial" w:cs="Arial"/>
          <w:sz w:val="24"/>
          <w:szCs w:val="24"/>
        </w:rPr>
        <w:t xml:space="preserve">    2.1 Introduction------------------------------------------------------------------1</w:t>
      </w:r>
      <w:r w:rsidR="00A05403">
        <w:rPr>
          <w:rFonts w:ascii="Arial" w:hAnsi="Arial" w:cs="Arial"/>
          <w:sz w:val="24"/>
          <w:szCs w:val="24"/>
        </w:rPr>
        <w:t>4</w:t>
      </w:r>
    </w:p>
    <w:p w14:paraId="099BD8B0" w14:textId="10F88078" w:rsidR="00E77831" w:rsidRDefault="00000000">
      <w:pPr>
        <w:spacing w:line="360" w:lineRule="auto"/>
        <w:rPr>
          <w:rFonts w:ascii="Arial" w:hAnsi="Arial" w:cs="Arial"/>
          <w:sz w:val="24"/>
          <w:szCs w:val="24"/>
        </w:rPr>
      </w:pPr>
      <w:r>
        <w:rPr>
          <w:rFonts w:ascii="Arial" w:hAnsi="Arial" w:cs="Arial"/>
          <w:sz w:val="24"/>
          <w:szCs w:val="24"/>
        </w:rPr>
        <w:t xml:space="preserve">    2.2 Green marketing concept-------------------------------------------------1</w:t>
      </w:r>
      <w:r w:rsidR="00A05403">
        <w:rPr>
          <w:rFonts w:ascii="Arial" w:hAnsi="Arial" w:cs="Arial"/>
          <w:sz w:val="24"/>
          <w:szCs w:val="24"/>
        </w:rPr>
        <w:t>4</w:t>
      </w:r>
      <w:r>
        <w:rPr>
          <w:rFonts w:ascii="Arial" w:hAnsi="Arial" w:cs="Arial"/>
          <w:sz w:val="24"/>
          <w:szCs w:val="24"/>
        </w:rPr>
        <w:t>-1</w:t>
      </w:r>
      <w:r w:rsidR="00A05403">
        <w:rPr>
          <w:rFonts w:ascii="Arial" w:hAnsi="Arial" w:cs="Arial"/>
          <w:sz w:val="24"/>
          <w:szCs w:val="24"/>
        </w:rPr>
        <w:t>8</w:t>
      </w:r>
    </w:p>
    <w:p w14:paraId="3AD4947B" w14:textId="1A8951A5" w:rsidR="00E77831" w:rsidRDefault="00000000">
      <w:pPr>
        <w:spacing w:line="360" w:lineRule="auto"/>
        <w:rPr>
          <w:rFonts w:ascii="Arial" w:hAnsi="Arial" w:cs="Arial"/>
          <w:sz w:val="24"/>
          <w:szCs w:val="24"/>
        </w:rPr>
      </w:pPr>
      <w:r>
        <w:rPr>
          <w:rFonts w:ascii="Arial" w:hAnsi="Arial" w:cs="Arial"/>
          <w:sz w:val="24"/>
          <w:szCs w:val="24"/>
        </w:rPr>
        <w:t xml:space="preserve">    2.3 Toyota in the UK-------------------------------------------------------------1</w:t>
      </w:r>
      <w:r w:rsidR="00A05403">
        <w:rPr>
          <w:rFonts w:ascii="Arial" w:hAnsi="Arial" w:cs="Arial"/>
          <w:sz w:val="24"/>
          <w:szCs w:val="24"/>
        </w:rPr>
        <w:t>8</w:t>
      </w:r>
      <w:r>
        <w:rPr>
          <w:rFonts w:ascii="Arial" w:hAnsi="Arial" w:cs="Arial"/>
          <w:sz w:val="24"/>
          <w:szCs w:val="24"/>
        </w:rPr>
        <w:t>-</w:t>
      </w:r>
      <w:r w:rsidR="00A05403">
        <w:rPr>
          <w:rFonts w:ascii="Arial" w:hAnsi="Arial" w:cs="Arial"/>
          <w:sz w:val="24"/>
          <w:szCs w:val="24"/>
        </w:rPr>
        <w:t>20</w:t>
      </w:r>
    </w:p>
    <w:p w14:paraId="08510389" w14:textId="71B126B1" w:rsidR="00E77831" w:rsidRDefault="00000000">
      <w:pPr>
        <w:spacing w:line="360" w:lineRule="auto"/>
        <w:rPr>
          <w:rFonts w:ascii="Arial" w:hAnsi="Arial" w:cs="Arial"/>
          <w:sz w:val="24"/>
          <w:szCs w:val="24"/>
        </w:rPr>
      </w:pPr>
      <w:r>
        <w:rPr>
          <w:rFonts w:ascii="Arial" w:hAnsi="Arial" w:cs="Arial"/>
          <w:sz w:val="24"/>
          <w:szCs w:val="24"/>
        </w:rPr>
        <w:t xml:space="preserve">    2.4 Green marketing strategy adopted by Toyota in the UK-----------</w:t>
      </w:r>
      <w:r w:rsidR="00A05403">
        <w:rPr>
          <w:rFonts w:ascii="Arial" w:hAnsi="Arial" w:cs="Arial"/>
          <w:sz w:val="24"/>
          <w:szCs w:val="24"/>
        </w:rPr>
        <w:t>20</w:t>
      </w:r>
      <w:r>
        <w:rPr>
          <w:rFonts w:ascii="Arial" w:hAnsi="Arial" w:cs="Arial"/>
          <w:sz w:val="24"/>
          <w:szCs w:val="24"/>
        </w:rPr>
        <w:t>-</w:t>
      </w:r>
      <w:proofErr w:type="gramStart"/>
      <w:r>
        <w:rPr>
          <w:rFonts w:ascii="Arial" w:hAnsi="Arial" w:cs="Arial"/>
          <w:sz w:val="24"/>
          <w:szCs w:val="24"/>
        </w:rPr>
        <w:t>2</w:t>
      </w:r>
      <w:r w:rsidR="00A05403">
        <w:rPr>
          <w:rFonts w:ascii="Arial" w:hAnsi="Arial" w:cs="Arial"/>
          <w:sz w:val="24"/>
          <w:szCs w:val="24"/>
        </w:rPr>
        <w:t>9</w:t>
      </w:r>
      <w:proofErr w:type="gramEnd"/>
    </w:p>
    <w:p w14:paraId="270151DF" w14:textId="3D2E6E7E" w:rsidR="00E77831" w:rsidRDefault="00000000">
      <w:pPr>
        <w:spacing w:line="360" w:lineRule="auto"/>
        <w:rPr>
          <w:rFonts w:ascii="Arial" w:hAnsi="Arial" w:cs="Arial"/>
          <w:sz w:val="24"/>
          <w:szCs w:val="24"/>
        </w:rPr>
      </w:pPr>
      <w:r>
        <w:rPr>
          <w:rFonts w:ascii="Arial" w:hAnsi="Arial" w:cs="Arial"/>
          <w:sz w:val="24"/>
          <w:szCs w:val="24"/>
        </w:rPr>
        <w:t xml:space="preserve">   2.5 Conclusion of the chapter---------------------------------------------------2</w:t>
      </w:r>
      <w:r w:rsidR="00A05403">
        <w:rPr>
          <w:rFonts w:ascii="Arial" w:hAnsi="Arial" w:cs="Arial"/>
          <w:sz w:val="24"/>
          <w:szCs w:val="24"/>
        </w:rPr>
        <w:t>9</w:t>
      </w:r>
    </w:p>
    <w:p w14:paraId="78AEAD34" w14:textId="0A99ADEE" w:rsidR="00E77831" w:rsidRDefault="00000000">
      <w:pPr>
        <w:spacing w:line="360" w:lineRule="auto"/>
        <w:rPr>
          <w:rFonts w:ascii="Arial" w:hAnsi="Arial" w:cs="Arial"/>
          <w:b/>
          <w:bCs/>
          <w:sz w:val="24"/>
          <w:szCs w:val="24"/>
        </w:rPr>
      </w:pPr>
      <w:r>
        <w:rPr>
          <w:rFonts w:ascii="Arial" w:hAnsi="Arial" w:cs="Arial"/>
          <w:b/>
          <w:bCs/>
          <w:sz w:val="24"/>
          <w:szCs w:val="24"/>
        </w:rPr>
        <w:t>3. Research methodology--------------------------------------------------------29-4</w:t>
      </w:r>
      <w:r w:rsidR="00A05403">
        <w:rPr>
          <w:rFonts w:ascii="Arial" w:hAnsi="Arial" w:cs="Arial"/>
          <w:b/>
          <w:bCs/>
          <w:sz w:val="24"/>
          <w:szCs w:val="24"/>
        </w:rPr>
        <w:t>2</w:t>
      </w:r>
    </w:p>
    <w:p w14:paraId="603791E2" w14:textId="7736D71D" w:rsidR="00E77831" w:rsidRDefault="00000000">
      <w:pPr>
        <w:spacing w:line="360" w:lineRule="auto"/>
        <w:rPr>
          <w:rFonts w:ascii="Arial" w:hAnsi="Arial" w:cs="Arial"/>
          <w:sz w:val="24"/>
          <w:szCs w:val="24"/>
        </w:rPr>
      </w:pPr>
      <w:r>
        <w:rPr>
          <w:rFonts w:ascii="Arial" w:hAnsi="Arial" w:cs="Arial"/>
          <w:sz w:val="24"/>
          <w:szCs w:val="24"/>
        </w:rPr>
        <w:t xml:space="preserve">    3.1 Introduction---------------------------------------------------------------------29</w:t>
      </w:r>
      <w:r w:rsidR="00A05403">
        <w:rPr>
          <w:rFonts w:ascii="Arial" w:hAnsi="Arial" w:cs="Arial"/>
          <w:sz w:val="24"/>
          <w:szCs w:val="24"/>
        </w:rPr>
        <w:t>-30</w:t>
      </w:r>
    </w:p>
    <w:p w14:paraId="4EE47DD1" w14:textId="06EAFF13" w:rsidR="00E77831" w:rsidRDefault="00000000">
      <w:pPr>
        <w:spacing w:line="360" w:lineRule="auto"/>
        <w:rPr>
          <w:rFonts w:ascii="Arial" w:hAnsi="Arial" w:cs="Arial"/>
          <w:sz w:val="24"/>
          <w:szCs w:val="24"/>
        </w:rPr>
      </w:pPr>
      <w:r>
        <w:rPr>
          <w:rFonts w:ascii="Arial" w:hAnsi="Arial" w:cs="Arial"/>
          <w:sz w:val="24"/>
          <w:szCs w:val="24"/>
        </w:rPr>
        <w:t xml:space="preserve">    3.2 Research Philosophies and Assumption --------------------------------30</w:t>
      </w:r>
      <w:r w:rsidR="00A05403">
        <w:rPr>
          <w:rFonts w:ascii="Arial" w:hAnsi="Arial" w:cs="Arial"/>
          <w:sz w:val="24"/>
          <w:szCs w:val="24"/>
        </w:rPr>
        <w:t>-31</w:t>
      </w:r>
    </w:p>
    <w:p w14:paraId="2EBB984A" w14:textId="60FB9BFE" w:rsidR="00E77831" w:rsidRDefault="00000000">
      <w:pPr>
        <w:spacing w:line="360" w:lineRule="auto"/>
        <w:rPr>
          <w:rFonts w:ascii="Arial" w:hAnsi="Arial" w:cs="Arial"/>
          <w:sz w:val="24"/>
          <w:szCs w:val="24"/>
        </w:rPr>
      </w:pPr>
      <w:r>
        <w:rPr>
          <w:rFonts w:ascii="Arial" w:hAnsi="Arial" w:cs="Arial"/>
          <w:sz w:val="24"/>
          <w:szCs w:val="24"/>
        </w:rPr>
        <w:lastRenderedPageBreak/>
        <w:t xml:space="preserve">    3.3 Research design--------------------------------------------------------------3</w:t>
      </w:r>
      <w:r w:rsidR="00A05403">
        <w:rPr>
          <w:rFonts w:ascii="Arial" w:hAnsi="Arial" w:cs="Arial"/>
          <w:sz w:val="24"/>
          <w:szCs w:val="24"/>
        </w:rPr>
        <w:t>1</w:t>
      </w:r>
      <w:r>
        <w:rPr>
          <w:rFonts w:ascii="Arial" w:hAnsi="Arial" w:cs="Arial"/>
          <w:sz w:val="24"/>
          <w:szCs w:val="24"/>
        </w:rPr>
        <w:t>-3</w:t>
      </w:r>
      <w:r w:rsidR="00A05403">
        <w:rPr>
          <w:rFonts w:ascii="Arial" w:hAnsi="Arial" w:cs="Arial"/>
          <w:sz w:val="24"/>
          <w:szCs w:val="24"/>
        </w:rPr>
        <w:t>9</w:t>
      </w:r>
    </w:p>
    <w:p w14:paraId="6DCE0ECB" w14:textId="25264C0B" w:rsidR="00E77831" w:rsidRDefault="00000000">
      <w:pPr>
        <w:spacing w:line="360" w:lineRule="auto"/>
        <w:rPr>
          <w:rFonts w:ascii="Arial" w:hAnsi="Arial" w:cs="Arial"/>
          <w:sz w:val="24"/>
          <w:szCs w:val="24"/>
        </w:rPr>
      </w:pPr>
      <w:r>
        <w:rPr>
          <w:rFonts w:ascii="Arial" w:hAnsi="Arial" w:cs="Arial"/>
          <w:sz w:val="24"/>
          <w:szCs w:val="24"/>
        </w:rPr>
        <w:t xml:space="preserve">    3.4 Research approach----------------------------------------------------------3</w:t>
      </w:r>
      <w:r w:rsidR="00A05403">
        <w:rPr>
          <w:rFonts w:ascii="Arial" w:hAnsi="Arial" w:cs="Arial"/>
          <w:sz w:val="24"/>
          <w:szCs w:val="24"/>
        </w:rPr>
        <w:t>9</w:t>
      </w:r>
      <w:r>
        <w:rPr>
          <w:rFonts w:ascii="Arial" w:hAnsi="Arial" w:cs="Arial"/>
          <w:sz w:val="24"/>
          <w:szCs w:val="24"/>
        </w:rPr>
        <w:t>-</w:t>
      </w:r>
      <w:r w:rsidR="00A05403">
        <w:rPr>
          <w:rFonts w:ascii="Arial" w:hAnsi="Arial" w:cs="Arial"/>
          <w:sz w:val="24"/>
          <w:szCs w:val="24"/>
        </w:rPr>
        <w:t>40</w:t>
      </w:r>
    </w:p>
    <w:p w14:paraId="151A7FA1" w14:textId="589E6177" w:rsidR="00E77831" w:rsidRDefault="00000000">
      <w:pPr>
        <w:spacing w:line="360" w:lineRule="auto"/>
        <w:rPr>
          <w:rFonts w:ascii="Arial" w:hAnsi="Arial" w:cs="Arial"/>
          <w:sz w:val="24"/>
          <w:szCs w:val="24"/>
        </w:rPr>
      </w:pPr>
      <w:r>
        <w:rPr>
          <w:rFonts w:ascii="Arial" w:hAnsi="Arial" w:cs="Arial"/>
          <w:sz w:val="24"/>
          <w:szCs w:val="24"/>
        </w:rPr>
        <w:t xml:space="preserve">    3.5 Data collection method------------------------------------------------------</w:t>
      </w:r>
      <w:r w:rsidR="003637F7">
        <w:rPr>
          <w:rFonts w:ascii="Arial" w:hAnsi="Arial" w:cs="Arial"/>
          <w:sz w:val="24"/>
          <w:szCs w:val="24"/>
        </w:rPr>
        <w:t>40</w:t>
      </w:r>
    </w:p>
    <w:p w14:paraId="349EFCF6" w14:textId="4F4C2503" w:rsidR="00E77831" w:rsidRDefault="00000000">
      <w:pPr>
        <w:spacing w:line="360" w:lineRule="auto"/>
        <w:rPr>
          <w:rFonts w:ascii="Arial" w:hAnsi="Arial" w:cs="Arial"/>
          <w:sz w:val="24"/>
          <w:szCs w:val="24"/>
        </w:rPr>
      </w:pPr>
      <w:r>
        <w:rPr>
          <w:rFonts w:ascii="Arial" w:hAnsi="Arial" w:cs="Arial"/>
          <w:sz w:val="24"/>
          <w:szCs w:val="24"/>
        </w:rPr>
        <w:t xml:space="preserve">    3.6 Ethical considerations-------------------------------------------------------</w:t>
      </w:r>
      <w:r w:rsidR="003637F7">
        <w:rPr>
          <w:rFonts w:ascii="Arial" w:hAnsi="Arial" w:cs="Arial"/>
          <w:sz w:val="24"/>
          <w:szCs w:val="24"/>
        </w:rPr>
        <w:t>41</w:t>
      </w:r>
    </w:p>
    <w:p w14:paraId="525B290E" w14:textId="532C89CD" w:rsidR="00E77831" w:rsidRDefault="00000000">
      <w:pPr>
        <w:spacing w:line="360" w:lineRule="auto"/>
        <w:rPr>
          <w:rFonts w:ascii="Arial" w:hAnsi="Arial" w:cs="Arial"/>
          <w:sz w:val="24"/>
          <w:szCs w:val="24"/>
        </w:rPr>
      </w:pPr>
      <w:r>
        <w:rPr>
          <w:rFonts w:ascii="Arial" w:hAnsi="Arial" w:cs="Arial"/>
          <w:sz w:val="24"/>
          <w:szCs w:val="24"/>
        </w:rPr>
        <w:t xml:space="preserve">    3.7 Conclusion---------------------------------------------------------------------4</w:t>
      </w:r>
      <w:r w:rsidR="003637F7">
        <w:rPr>
          <w:rFonts w:ascii="Arial" w:hAnsi="Arial" w:cs="Arial"/>
          <w:sz w:val="24"/>
          <w:szCs w:val="24"/>
        </w:rPr>
        <w:t>1</w:t>
      </w:r>
      <w:r>
        <w:rPr>
          <w:rFonts w:ascii="Arial" w:hAnsi="Arial" w:cs="Arial"/>
          <w:sz w:val="24"/>
          <w:szCs w:val="24"/>
        </w:rPr>
        <w:t>-4</w:t>
      </w:r>
      <w:r w:rsidR="003637F7">
        <w:rPr>
          <w:rFonts w:ascii="Arial" w:hAnsi="Arial" w:cs="Arial"/>
          <w:sz w:val="24"/>
          <w:szCs w:val="24"/>
        </w:rPr>
        <w:t>2</w:t>
      </w:r>
    </w:p>
    <w:p w14:paraId="0E42E710" w14:textId="287BF97E" w:rsidR="00E77831" w:rsidRDefault="00000000">
      <w:pPr>
        <w:spacing w:line="360" w:lineRule="auto"/>
        <w:rPr>
          <w:rFonts w:ascii="Arial" w:hAnsi="Arial" w:cs="Arial"/>
          <w:b/>
          <w:bCs/>
          <w:sz w:val="24"/>
          <w:szCs w:val="24"/>
        </w:rPr>
      </w:pPr>
      <w:r>
        <w:rPr>
          <w:rFonts w:ascii="Arial" w:hAnsi="Arial" w:cs="Arial"/>
          <w:b/>
          <w:bCs/>
          <w:sz w:val="24"/>
          <w:szCs w:val="24"/>
        </w:rPr>
        <w:t>4. Data Analysis and Discussion-----------------------------------------------4</w:t>
      </w:r>
      <w:r w:rsidR="003637F7">
        <w:rPr>
          <w:rFonts w:ascii="Arial" w:hAnsi="Arial" w:cs="Arial"/>
          <w:b/>
          <w:bCs/>
          <w:sz w:val="24"/>
          <w:szCs w:val="24"/>
        </w:rPr>
        <w:t>2</w:t>
      </w:r>
      <w:r>
        <w:rPr>
          <w:rFonts w:ascii="Arial" w:hAnsi="Arial" w:cs="Arial"/>
          <w:b/>
          <w:bCs/>
          <w:sz w:val="24"/>
          <w:szCs w:val="24"/>
        </w:rPr>
        <w:t>-6</w:t>
      </w:r>
      <w:r w:rsidR="003637F7">
        <w:rPr>
          <w:rFonts w:ascii="Arial" w:hAnsi="Arial" w:cs="Arial"/>
          <w:b/>
          <w:bCs/>
          <w:sz w:val="24"/>
          <w:szCs w:val="24"/>
        </w:rPr>
        <w:t>3</w:t>
      </w:r>
    </w:p>
    <w:p w14:paraId="37A716A6" w14:textId="15C695C9" w:rsidR="00E77831" w:rsidRDefault="00000000">
      <w:pPr>
        <w:spacing w:line="360" w:lineRule="auto"/>
        <w:rPr>
          <w:rFonts w:ascii="Arial" w:hAnsi="Arial" w:cs="Arial"/>
          <w:sz w:val="24"/>
          <w:szCs w:val="24"/>
        </w:rPr>
      </w:pPr>
      <w:r>
        <w:rPr>
          <w:rFonts w:ascii="Arial" w:hAnsi="Arial" w:cs="Arial"/>
          <w:sz w:val="24"/>
          <w:szCs w:val="24"/>
        </w:rPr>
        <w:t xml:space="preserve">    4.1 Content Analysis and Finding-----------------------------------------------4</w:t>
      </w:r>
      <w:r w:rsidR="003637F7">
        <w:rPr>
          <w:rFonts w:ascii="Arial" w:hAnsi="Arial" w:cs="Arial"/>
          <w:sz w:val="24"/>
          <w:szCs w:val="24"/>
        </w:rPr>
        <w:t>2</w:t>
      </w:r>
      <w:r>
        <w:rPr>
          <w:rFonts w:ascii="Arial" w:hAnsi="Arial" w:cs="Arial"/>
          <w:sz w:val="24"/>
          <w:szCs w:val="24"/>
        </w:rPr>
        <w:t>-</w:t>
      </w:r>
      <w:proofErr w:type="gramStart"/>
      <w:r>
        <w:rPr>
          <w:rFonts w:ascii="Arial" w:hAnsi="Arial" w:cs="Arial"/>
          <w:sz w:val="24"/>
          <w:szCs w:val="24"/>
        </w:rPr>
        <w:t>6</w:t>
      </w:r>
      <w:r w:rsidR="003637F7">
        <w:rPr>
          <w:rFonts w:ascii="Arial" w:hAnsi="Arial" w:cs="Arial"/>
          <w:sz w:val="24"/>
          <w:szCs w:val="24"/>
        </w:rPr>
        <w:t>2</w:t>
      </w:r>
      <w:proofErr w:type="gramEnd"/>
    </w:p>
    <w:p w14:paraId="201C9CDF" w14:textId="34D1A04B" w:rsidR="00E77831" w:rsidRDefault="00000000">
      <w:pPr>
        <w:spacing w:line="360" w:lineRule="auto"/>
        <w:rPr>
          <w:rFonts w:ascii="Arial" w:hAnsi="Arial" w:cs="Arial"/>
          <w:sz w:val="24"/>
          <w:szCs w:val="24"/>
        </w:rPr>
      </w:pPr>
      <w:r>
        <w:rPr>
          <w:rFonts w:ascii="Arial" w:hAnsi="Arial" w:cs="Arial"/>
          <w:sz w:val="24"/>
          <w:szCs w:val="24"/>
        </w:rPr>
        <w:t xml:space="preserve">    4.1.1 Toyota GB plc market share value----------------------------------------4</w:t>
      </w:r>
      <w:r w:rsidR="003637F7">
        <w:rPr>
          <w:rFonts w:ascii="Arial" w:hAnsi="Arial" w:cs="Arial"/>
          <w:sz w:val="24"/>
          <w:szCs w:val="24"/>
        </w:rPr>
        <w:t>2</w:t>
      </w:r>
      <w:r>
        <w:rPr>
          <w:rFonts w:ascii="Arial" w:hAnsi="Arial" w:cs="Arial"/>
          <w:sz w:val="24"/>
          <w:szCs w:val="24"/>
        </w:rPr>
        <w:t>-46</w:t>
      </w:r>
    </w:p>
    <w:p w14:paraId="04BAE431" w14:textId="528E519C" w:rsidR="00E77831" w:rsidRDefault="00000000">
      <w:pPr>
        <w:spacing w:line="360" w:lineRule="auto"/>
        <w:rPr>
          <w:rFonts w:ascii="Arial" w:hAnsi="Arial" w:cs="Arial"/>
          <w:sz w:val="24"/>
          <w:szCs w:val="24"/>
        </w:rPr>
      </w:pPr>
      <w:r>
        <w:rPr>
          <w:rFonts w:ascii="Arial" w:hAnsi="Arial" w:cs="Arial"/>
          <w:sz w:val="24"/>
          <w:szCs w:val="24"/>
        </w:rPr>
        <w:t xml:space="preserve">    4.1.2 Challenges and opportunities faced by Toyota in the UK-----------46-</w:t>
      </w:r>
      <w:proofErr w:type="gramStart"/>
      <w:r w:rsidR="003637F7">
        <w:rPr>
          <w:rFonts w:ascii="Arial" w:hAnsi="Arial" w:cs="Arial"/>
          <w:sz w:val="24"/>
          <w:szCs w:val="24"/>
        </w:rPr>
        <w:t>49</w:t>
      </w:r>
      <w:proofErr w:type="gramEnd"/>
    </w:p>
    <w:p w14:paraId="10D0E2BA" w14:textId="796FE476" w:rsidR="00E77831" w:rsidRDefault="00000000">
      <w:pPr>
        <w:spacing w:line="360" w:lineRule="auto"/>
        <w:rPr>
          <w:rFonts w:ascii="Arial" w:hAnsi="Arial" w:cs="Arial"/>
          <w:sz w:val="24"/>
          <w:szCs w:val="24"/>
        </w:rPr>
      </w:pPr>
      <w:r>
        <w:rPr>
          <w:rFonts w:ascii="Arial" w:hAnsi="Arial" w:cs="Arial"/>
          <w:sz w:val="24"/>
          <w:szCs w:val="24"/>
        </w:rPr>
        <w:t xml:space="preserve">    4.1.3 Marketing strategies and tactics adopted by Toyota in the UK-----</w:t>
      </w:r>
      <w:r w:rsidR="003637F7">
        <w:rPr>
          <w:rFonts w:ascii="Arial" w:hAnsi="Arial" w:cs="Arial"/>
          <w:sz w:val="24"/>
          <w:szCs w:val="24"/>
        </w:rPr>
        <w:t>49</w:t>
      </w:r>
      <w:r>
        <w:rPr>
          <w:rFonts w:ascii="Arial" w:hAnsi="Arial" w:cs="Arial"/>
          <w:sz w:val="24"/>
          <w:szCs w:val="24"/>
        </w:rPr>
        <w:t>-</w:t>
      </w:r>
      <w:proofErr w:type="gramStart"/>
      <w:r w:rsidR="003637F7">
        <w:rPr>
          <w:rFonts w:ascii="Arial" w:hAnsi="Arial" w:cs="Arial"/>
          <w:sz w:val="24"/>
          <w:szCs w:val="24"/>
        </w:rPr>
        <w:t>58</w:t>
      </w:r>
      <w:proofErr w:type="gramEnd"/>
    </w:p>
    <w:p w14:paraId="3896B284" w14:textId="52022FAC" w:rsidR="00E77831" w:rsidRDefault="00000000">
      <w:pPr>
        <w:spacing w:line="360" w:lineRule="auto"/>
        <w:rPr>
          <w:rFonts w:ascii="Arial" w:hAnsi="Arial" w:cs="Arial"/>
          <w:sz w:val="24"/>
          <w:szCs w:val="24"/>
        </w:rPr>
      </w:pPr>
      <w:r>
        <w:rPr>
          <w:rFonts w:ascii="Arial" w:hAnsi="Arial" w:cs="Arial"/>
          <w:sz w:val="24"/>
          <w:szCs w:val="24"/>
        </w:rPr>
        <w:t xml:space="preserve">    4.1.4 Factors affecting the marketing strategy of Toyota in the UK-------</w:t>
      </w:r>
      <w:r w:rsidR="003637F7">
        <w:rPr>
          <w:rFonts w:ascii="Arial" w:hAnsi="Arial" w:cs="Arial"/>
          <w:sz w:val="24"/>
          <w:szCs w:val="24"/>
        </w:rPr>
        <w:t>58-</w:t>
      </w:r>
      <w:proofErr w:type="gramStart"/>
      <w:r w:rsidR="003637F7">
        <w:rPr>
          <w:rFonts w:ascii="Arial" w:hAnsi="Arial" w:cs="Arial"/>
          <w:sz w:val="24"/>
          <w:szCs w:val="24"/>
        </w:rPr>
        <w:t>62</w:t>
      </w:r>
      <w:proofErr w:type="gramEnd"/>
    </w:p>
    <w:p w14:paraId="084B4D98" w14:textId="436662E0" w:rsidR="00E77831" w:rsidRDefault="00000000">
      <w:pPr>
        <w:spacing w:line="360" w:lineRule="auto"/>
        <w:rPr>
          <w:rFonts w:ascii="Arial" w:hAnsi="Arial" w:cs="Arial"/>
          <w:sz w:val="24"/>
          <w:szCs w:val="24"/>
        </w:rPr>
      </w:pPr>
      <w:r>
        <w:rPr>
          <w:rFonts w:ascii="Arial" w:hAnsi="Arial" w:cs="Arial"/>
          <w:sz w:val="24"/>
          <w:szCs w:val="24"/>
        </w:rPr>
        <w:t xml:space="preserve">    4.2 Discussion--------------------------------------------------------------------------6</w:t>
      </w:r>
      <w:r w:rsidR="003637F7">
        <w:rPr>
          <w:rFonts w:ascii="Arial" w:hAnsi="Arial" w:cs="Arial"/>
          <w:sz w:val="24"/>
          <w:szCs w:val="24"/>
        </w:rPr>
        <w:t>2</w:t>
      </w:r>
      <w:r>
        <w:rPr>
          <w:rFonts w:ascii="Arial" w:hAnsi="Arial" w:cs="Arial"/>
          <w:sz w:val="24"/>
          <w:szCs w:val="24"/>
        </w:rPr>
        <w:t>-6</w:t>
      </w:r>
      <w:r w:rsidR="003637F7">
        <w:rPr>
          <w:rFonts w:ascii="Arial" w:hAnsi="Arial" w:cs="Arial"/>
          <w:sz w:val="24"/>
          <w:szCs w:val="24"/>
        </w:rPr>
        <w:t>3</w:t>
      </w:r>
    </w:p>
    <w:p w14:paraId="4BEC7950" w14:textId="50083974" w:rsidR="00E77831" w:rsidRDefault="00000000">
      <w:pPr>
        <w:spacing w:line="360" w:lineRule="auto"/>
        <w:rPr>
          <w:rFonts w:ascii="Arial" w:hAnsi="Arial" w:cs="Arial"/>
          <w:b/>
          <w:bCs/>
          <w:sz w:val="24"/>
          <w:szCs w:val="24"/>
        </w:rPr>
      </w:pPr>
      <w:r>
        <w:rPr>
          <w:rFonts w:ascii="Arial" w:hAnsi="Arial" w:cs="Arial"/>
          <w:b/>
          <w:bCs/>
          <w:sz w:val="24"/>
          <w:szCs w:val="24"/>
        </w:rPr>
        <w:t>5. Conclusion and Recommendations-------------------------------------------6</w:t>
      </w:r>
      <w:r w:rsidR="003637F7">
        <w:rPr>
          <w:rFonts w:ascii="Arial" w:hAnsi="Arial" w:cs="Arial"/>
          <w:b/>
          <w:bCs/>
          <w:sz w:val="24"/>
          <w:szCs w:val="24"/>
        </w:rPr>
        <w:t>3</w:t>
      </w:r>
      <w:r>
        <w:rPr>
          <w:rFonts w:ascii="Arial" w:hAnsi="Arial" w:cs="Arial"/>
          <w:b/>
          <w:bCs/>
          <w:sz w:val="24"/>
          <w:szCs w:val="24"/>
        </w:rPr>
        <w:t>-6</w:t>
      </w:r>
      <w:r w:rsidR="003637F7">
        <w:rPr>
          <w:rFonts w:ascii="Arial" w:hAnsi="Arial" w:cs="Arial"/>
          <w:b/>
          <w:bCs/>
          <w:sz w:val="24"/>
          <w:szCs w:val="24"/>
        </w:rPr>
        <w:t>7</w:t>
      </w:r>
    </w:p>
    <w:p w14:paraId="49F6DBA3" w14:textId="4F084550" w:rsidR="00E77831" w:rsidRDefault="00000000">
      <w:pPr>
        <w:spacing w:line="360" w:lineRule="auto"/>
        <w:rPr>
          <w:rFonts w:ascii="Arial" w:hAnsi="Arial" w:cs="Arial"/>
          <w:sz w:val="24"/>
          <w:szCs w:val="24"/>
        </w:rPr>
      </w:pPr>
      <w:r>
        <w:rPr>
          <w:rFonts w:ascii="Arial" w:hAnsi="Arial" w:cs="Arial"/>
          <w:sz w:val="24"/>
          <w:szCs w:val="24"/>
        </w:rPr>
        <w:t xml:space="preserve">    5.1 Summary of the main finding--------------------------------------------------6</w:t>
      </w:r>
      <w:r w:rsidR="003637F7">
        <w:rPr>
          <w:rFonts w:ascii="Arial" w:hAnsi="Arial" w:cs="Arial"/>
          <w:sz w:val="24"/>
          <w:szCs w:val="24"/>
        </w:rPr>
        <w:t>3</w:t>
      </w:r>
      <w:r>
        <w:rPr>
          <w:rFonts w:ascii="Arial" w:hAnsi="Arial" w:cs="Arial"/>
          <w:sz w:val="24"/>
          <w:szCs w:val="24"/>
        </w:rPr>
        <w:t>-6</w:t>
      </w:r>
      <w:r w:rsidR="003637F7">
        <w:rPr>
          <w:rFonts w:ascii="Arial" w:hAnsi="Arial" w:cs="Arial"/>
          <w:sz w:val="24"/>
          <w:szCs w:val="24"/>
        </w:rPr>
        <w:t>4</w:t>
      </w:r>
    </w:p>
    <w:p w14:paraId="1E54D36F" w14:textId="7B39AF00" w:rsidR="00E77831" w:rsidRDefault="00000000">
      <w:pPr>
        <w:spacing w:line="360" w:lineRule="auto"/>
        <w:rPr>
          <w:rFonts w:ascii="Arial" w:hAnsi="Arial" w:cs="Arial"/>
          <w:sz w:val="24"/>
          <w:szCs w:val="24"/>
        </w:rPr>
      </w:pPr>
      <w:r>
        <w:rPr>
          <w:rFonts w:ascii="Arial" w:hAnsi="Arial" w:cs="Arial"/>
          <w:sz w:val="24"/>
          <w:szCs w:val="24"/>
        </w:rPr>
        <w:t xml:space="preserve">    5.2 Conclusion According to the research questions--------------------------6</w:t>
      </w:r>
      <w:r w:rsidR="003637F7">
        <w:rPr>
          <w:rFonts w:ascii="Arial" w:hAnsi="Arial" w:cs="Arial"/>
          <w:sz w:val="24"/>
          <w:szCs w:val="24"/>
        </w:rPr>
        <w:t>4</w:t>
      </w:r>
      <w:r>
        <w:rPr>
          <w:rFonts w:ascii="Arial" w:hAnsi="Arial" w:cs="Arial"/>
          <w:sz w:val="24"/>
          <w:szCs w:val="24"/>
        </w:rPr>
        <w:t>-6</w:t>
      </w:r>
      <w:r w:rsidR="003637F7">
        <w:rPr>
          <w:rFonts w:ascii="Arial" w:hAnsi="Arial" w:cs="Arial"/>
          <w:sz w:val="24"/>
          <w:szCs w:val="24"/>
        </w:rPr>
        <w:t>5</w:t>
      </w:r>
    </w:p>
    <w:p w14:paraId="37400D49" w14:textId="24BBF862" w:rsidR="00E77831" w:rsidRDefault="00000000">
      <w:pPr>
        <w:spacing w:line="360" w:lineRule="auto"/>
        <w:rPr>
          <w:rFonts w:ascii="Arial" w:hAnsi="Arial" w:cs="Arial"/>
          <w:sz w:val="24"/>
          <w:szCs w:val="24"/>
        </w:rPr>
      </w:pPr>
      <w:r>
        <w:rPr>
          <w:rFonts w:ascii="Arial" w:hAnsi="Arial" w:cs="Arial"/>
          <w:sz w:val="24"/>
          <w:szCs w:val="24"/>
        </w:rPr>
        <w:t xml:space="preserve">    5.3 Recommendation------------------------------------------------------------------6</w:t>
      </w:r>
      <w:r w:rsidR="003637F7">
        <w:rPr>
          <w:rFonts w:ascii="Arial" w:hAnsi="Arial" w:cs="Arial"/>
          <w:sz w:val="24"/>
          <w:szCs w:val="24"/>
        </w:rPr>
        <w:t>5-66</w:t>
      </w:r>
    </w:p>
    <w:p w14:paraId="2F4A79B2" w14:textId="746BDA81" w:rsidR="00E77831" w:rsidRDefault="00000000">
      <w:pPr>
        <w:spacing w:line="360" w:lineRule="auto"/>
        <w:rPr>
          <w:rFonts w:ascii="Arial" w:hAnsi="Arial" w:cs="Arial"/>
          <w:sz w:val="24"/>
          <w:szCs w:val="24"/>
        </w:rPr>
      </w:pPr>
      <w:r>
        <w:rPr>
          <w:rFonts w:ascii="Arial" w:hAnsi="Arial" w:cs="Arial"/>
          <w:sz w:val="24"/>
          <w:szCs w:val="24"/>
        </w:rPr>
        <w:t xml:space="preserve">    5.4 Limitation of the study ------------------------------------------------------------6</w:t>
      </w:r>
      <w:r w:rsidR="003637F7">
        <w:rPr>
          <w:rFonts w:ascii="Arial" w:hAnsi="Arial" w:cs="Arial"/>
          <w:sz w:val="24"/>
          <w:szCs w:val="24"/>
        </w:rPr>
        <w:t>6</w:t>
      </w:r>
    </w:p>
    <w:p w14:paraId="572B62C7" w14:textId="72039DCC" w:rsidR="00E77831" w:rsidRDefault="00000000">
      <w:pPr>
        <w:spacing w:line="360" w:lineRule="auto"/>
        <w:rPr>
          <w:rFonts w:ascii="Arial" w:hAnsi="Arial" w:cs="Arial"/>
          <w:sz w:val="24"/>
          <w:szCs w:val="24"/>
        </w:rPr>
      </w:pPr>
      <w:r>
        <w:rPr>
          <w:rFonts w:ascii="Arial" w:hAnsi="Arial" w:cs="Arial"/>
          <w:sz w:val="24"/>
          <w:szCs w:val="24"/>
        </w:rPr>
        <w:t xml:space="preserve">    5.5 Recommendation for the future work ------------------------------------------6</w:t>
      </w:r>
      <w:r w:rsidR="003637F7">
        <w:rPr>
          <w:rFonts w:ascii="Arial" w:hAnsi="Arial" w:cs="Arial"/>
          <w:sz w:val="24"/>
          <w:szCs w:val="24"/>
        </w:rPr>
        <w:t>7</w:t>
      </w:r>
    </w:p>
    <w:p w14:paraId="36794037" w14:textId="52959E76" w:rsidR="00E77831" w:rsidRDefault="00000000">
      <w:pPr>
        <w:spacing w:line="360" w:lineRule="auto"/>
        <w:rPr>
          <w:rFonts w:ascii="Arial" w:hAnsi="Arial" w:cs="Arial"/>
          <w:b/>
          <w:bCs/>
          <w:sz w:val="24"/>
          <w:szCs w:val="24"/>
        </w:rPr>
      </w:pPr>
      <w:r>
        <w:rPr>
          <w:rFonts w:ascii="Arial" w:hAnsi="Arial" w:cs="Arial"/>
          <w:b/>
          <w:bCs/>
          <w:sz w:val="24"/>
          <w:szCs w:val="24"/>
        </w:rPr>
        <w:t>6. Reference-----------------------------------------------------------------------------------68-</w:t>
      </w:r>
      <w:r w:rsidR="00684079">
        <w:rPr>
          <w:rFonts w:ascii="Arial" w:hAnsi="Arial" w:cs="Arial"/>
          <w:b/>
          <w:bCs/>
          <w:sz w:val="24"/>
          <w:szCs w:val="24"/>
        </w:rPr>
        <w:t>7</w:t>
      </w:r>
      <w:r w:rsidR="004F0A7F">
        <w:rPr>
          <w:rFonts w:ascii="Arial" w:hAnsi="Arial" w:cs="Arial"/>
          <w:b/>
          <w:bCs/>
          <w:sz w:val="24"/>
          <w:szCs w:val="24"/>
        </w:rPr>
        <w:t>7</w:t>
      </w:r>
    </w:p>
    <w:p w14:paraId="64A1423D" w14:textId="77777777" w:rsidR="00E77831" w:rsidRDefault="00000000">
      <w:pPr>
        <w:spacing w:line="360" w:lineRule="auto"/>
        <w:rPr>
          <w:rFonts w:ascii="Arial" w:hAnsi="Arial" w:cs="Arial"/>
          <w:b/>
          <w:bCs/>
          <w:sz w:val="24"/>
          <w:szCs w:val="24"/>
        </w:rPr>
      </w:pPr>
      <w:r>
        <w:rPr>
          <w:rFonts w:ascii="Arial" w:hAnsi="Arial" w:cs="Arial"/>
          <w:b/>
          <w:bCs/>
          <w:sz w:val="24"/>
          <w:szCs w:val="24"/>
        </w:rPr>
        <w:t>Content of Figures</w:t>
      </w:r>
    </w:p>
    <w:p w14:paraId="19770A36" w14:textId="43F38243" w:rsidR="00E77831" w:rsidRDefault="00000000">
      <w:pPr>
        <w:spacing w:line="360" w:lineRule="auto"/>
        <w:rPr>
          <w:rFonts w:ascii="Arial" w:hAnsi="Arial" w:cs="Arial"/>
          <w:sz w:val="24"/>
          <w:szCs w:val="24"/>
        </w:rPr>
      </w:pPr>
      <w:r>
        <w:rPr>
          <w:rFonts w:ascii="Arial" w:hAnsi="Arial" w:cs="Arial"/>
          <w:sz w:val="24"/>
          <w:szCs w:val="24"/>
        </w:rPr>
        <w:t xml:space="preserve">    Figure 1: Green marketing mix strategies-------------------------------------------1</w:t>
      </w:r>
      <w:r w:rsidR="003637F7">
        <w:rPr>
          <w:rFonts w:ascii="Arial" w:hAnsi="Arial" w:cs="Arial"/>
          <w:sz w:val="24"/>
          <w:szCs w:val="24"/>
        </w:rPr>
        <w:t>5</w:t>
      </w:r>
    </w:p>
    <w:p w14:paraId="06CF6A40" w14:textId="75F4CD10" w:rsidR="00E77831" w:rsidRDefault="00000000">
      <w:pPr>
        <w:spacing w:line="360" w:lineRule="auto"/>
        <w:rPr>
          <w:rFonts w:ascii="Arial" w:hAnsi="Arial" w:cs="Arial"/>
          <w:sz w:val="24"/>
          <w:szCs w:val="24"/>
        </w:rPr>
      </w:pPr>
      <w:r>
        <w:rPr>
          <w:rFonts w:ascii="Arial" w:hAnsi="Arial" w:cs="Arial"/>
          <w:sz w:val="24"/>
          <w:szCs w:val="24"/>
        </w:rPr>
        <w:t xml:space="preserve">    Figure 2: Differentiation and cost reduction strategy of Toyota GB------------1</w:t>
      </w:r>
      <w:r w:rsidR="003637F7">
        <w:rPr>
          <w:rFonts w:ascii="Arial" w:hAnsi="Arial" w:cs="Arial"/>
          <w:sz w:val="24"/>
          <w:szCs w:val="24"/>
        </w:rPr>
        <w:t>9</w:t>
      </w:r>
    </w:p>
    <w:p w14:paraId="5E2BC84E" w14:textId="3677EE43" w:rsidR="00E77831" w:rsidRDefault="00000000">
      <w:pPr>
        <w:spacing w:line="360" w:lineRule="auto"/>
        <w:rPr>
          <w:rFonts w:ascii="Arial" w:hAnsi="Arial" w:cs="Arial"/>
          <w:sz w:val="24"/>
          <w:szCs w:val="24"/>
        </w:rPr>
      </w:pPr>
      <w:r>
        <w:rPr>
          <w:rFonts w:ascii="Arial" w:hAnsi="Arial" w:cs="Arial"/>
          <w:sz w:val="24"/>
          <w:szCs w:val="24"/>
        </w:rPr>
        <w:t xml:space="preserve">    Figure 3: Analysis of articles from the selected journal ---------------------------3</w:t>
      </w:r>
      <w:r w:rsidR="00312F4F">
        <w:rPr>
          <w:rFonts w:ascii="Arial" w:hAnsi="Arial" w:cs="Arial"/>
          <w:sz w:val="24"/>
          <w:szCs w:val="24"/>
        </w:rPr>
        <w:t>4</w:t>
      </w:r>
    </w:p>
    <w:p w14:paraId="50B034DF" w14:textId="77777777" w:rsidR="00E77831" w:rsidRDefault="00000000">
      <w:pPr>
        <w:spacing w:line="360" w:lineRule="auto"/>
        <w:rPr>
          <w:rFonts w:ascii="Arial" w:hAnsi="Arial" w:cs="Arial"/>
          <w:sz w:val="24"/>
          <w:szCs w:val="24"/>
        </w:rPr>
      </w:pPr>
      <w:r>
        <w:rPr>
          <w:rFonts w:ascii="Arial" w:hAnsi="Arial" w:cs="Arial"/>
          <w:sz w:val="24"/>
          <w:szCs w:val="24"/>
        </w:rPr>
        <w:lastRenderedPageBreak/>
        <w:t xml:space="preserve">    Figure 4: Toyota GB plc target for the reduction of CO2---------------------------48</w:t>
      </w:r>
    </w:p>
    <w:p w14:paraId="12E9355E" w14:textId="77777777" w:rsidR="00E77831" w:rsidRDefault="00000000">
      <w:pPr>
        <w:spacing w:line="360" w:lineRule="auto"/>
        <w:rPr>
          <w:rFonts w:ascii="Arial" w:hAnsi="Arial" w:cs="Arial"/>
          <w:sz w:val="24"/>
          <w:szCs w:val="24"/>
        </w:rPr>
      </w:pPr>
      <w:r>
        <w:rPr>
          <w:rFonts w:ascii="Arial" w:hAnsi="Arial" w:cs="Arial"/>
          <w:sz w:val="24"/>
          <w:szCs w:val="24"/>
        </w:rPr>
        <w:t xml:space="preserve">   Figure 5: Working on a hydrogen Hilux project ----------------------------------------</w:t>
      </w:r>
      <w:proofErr w:type="gramStart"/>
      <w:r>
        <w:rPr>
          <w:rFonts w:ascii="Arial" w:hAnsi="Arial" w:cs="Arial"/>
          <w:sz w:val="24"/>
          <w:szCs w:val="24"/>
        </w:rPr>
        <w:t>53</w:t>
      </w:r>
      <w:proofErr w:type="gramEnd"/>
    </w:p>
    <w:p w14:paraId="17B10F46" w14:textId="77777777" w:rsidR="00E77831" w:rsidRDefault="00000000">
      <w:pPr>
        <w:spacing w:line="360" w:lineRule="auto"/>
        <w:rPr>
          <w:rFonts w:ascii="Arial" w:hAnsi="Arial" w:cs="Arial"/>
          <w:sz w:val="24"/>
          <w:szCs w:val="24"/>
        </w:rPr>
      </w:pPr>
      <w:r>
        <w:rPr>
          <w:rFonts w:ascii="Arial" w:hAnsi="Arial" w:cs="Arial"/>
          <w:sz w:val="24"/>
          <w:szCs w:val="24"/>
        </w:rPr>
        <w:t xml:space="preserve">   Figure 6: Picture of a new Yaris car -------------------------------------------------------54</w:t>
      </w:r>
    </w:p>
    <w:p w14:paraId="7EA3A5C6" w14:textId="478FC720" w:rsidR="00E77831" w:rsidRDefault="00000000">
      <w:pPr>
        <w:spacing w:line="360" w:lineRule="auto"/>
        <w:rPr>
          <w:rFonts w:ascii="Arial" w:hAnsi="Arial" w:cs="Arial"/>
          <w:sz w:val="24"/>
          <w:szCs w:val="24"/>
        </w:rPr>
      </w:pPr>
      <w:r>
        <w:rPr>
          <w:rFonts w:ascii="Arial" w:hAnsi="Arial" w:cs="Arial"/>
          <w:sz w:val="24"/>
          <w:szCs w:val="24"/>
        </w:rPr>
        <w:t xml:space="preserve">   Figure 7: Picture of a Mirai car --------------------------------------------------------------5</w:t>
      </w:r>
      <w:r w:rsidR="00312F4F">
        <w:rPr>
          <w:rFonts w:ascii="Arial" w:hAnsi="Arial" w:cs="Arial"/>
          <w:sz w:val="24"/>
          <w:szCs w:val="24"/>
        </w:rPr>
        <w:t>4</w:t>
      </w:r>
    </w:p>
    <w:p w14:paraId="671BA9B8" w14:textId="5D49DD1C" w:rsidR="00E77831" w:rsidRDefault="00000000">
      <w:pPr>
        <w:spacing w:line="360" w:lineRule="auto"/>
        <w:rPr>
          <w:rFonts w:ascii="Arial" w:hAnsi="Arial" w:cs="Arial"/>
          <w:sz w:val="24"/>
          <w:szCs w:val="24"/>
        </w:rPr>
      </w:pPr>
      <w:r>
        <w:rPr>
          <w:rFonts w:ascii="Arial" w:hAnsi="Arial" w:cs="Arial"/>
          <w:sz w:val="24"/>
          <w:szCs w:val="24"/>
        </w:rPr>
        <w:t xml:space="preserve">   Figure 8: Fascination of Toyota with Nature ----------------------------------------------5</w:t>
      </w:r>
      <w:r w:rsidR="00312F4F">
        <w:rPr>
          <w:rFonts w:ascii="Arial" w:hAnsi="Arial" w:cs="Arial"/>
          <w:sz w:val="24"/>
          <w:szCs w:val="24"/>
        </w:rPr>
        <w:t>5</w:t>
      </w:r>
    </w:p>
    <w:p w14:paraId="2B4ADD60" w14:textId="23089BEF" w:rsidR="00E77831" w:rsidRDefault="00000000">
      <w:pPr>
        <w:spacing w:line="360" w:lineRule="auto"/>
        <w:rPr>
          <w:rFonts w:ascii="Arial" w:hAnsi="Arial" w:cs="Arial"/>
          <w:sz w:val="24"/>
          <w:szCs w:val="24"/>
        </w:rPr>
      </w:pPr>
      <w:r>
        <w:rPr>
          <w:rFonts w:ascii="Arial" w:hAnsi="Arial" w:cs="Arial"/>
          <w:sz w:val="24"/>
          <w:szCs w:val="24"/>
        </w:rPr>
        <w:t xml:space="preserve">   Figure 9: Toyota's harmony with nature -----------------------------------------------------5</w:t>
      </w:r>
      <w:r w:rsidR="00312F4F">
        <w:rPr>
          <w:rFonts w:ascii="Arial" w:hAnsi="Arial" w:cs="Arial"/>
          <w:sz w:val="24"/>
          <w:szCs w:val="24"/>
        </w:rPr>
        <w:t>6</w:t>
      </w:r>
    </w:p>
    <w:p w14:paraId="721B6412" w14:textId="3543CBD0" w:rsidR="00E77831" w:rsidRDefault="00000000">
      <w:pPr>
        <w:spacing w:line="360" w:lineRule="auto"/>
        <w:rPr>
          <w:rFonts w:ascii="Arial" w:hAnsi="Arial" w:cs="Arial"/>
          <w:sz w:val="24"/>
          <w:szCs w:val="24"/>
        </w:rPr>
      </w:pPr>
      <w:r>
        <w:rPr>
          <w:rFonts w:ascii="Arial" w:hAnsi="Arial" w:cs="Arial"/>
          <w:sz w:val="24"/>
          <w:szCs w:val="24"/>
        </w:rPr>
        <w:t xml:space="preserve">   Figure 10: Toyota advertisement of Prius -------------------------------------------------5</w:t>
      </w:r>
      <w:r w:rsidR="00312F4F">
        <w:rPr>
          <w:rFonts w:ascii="Arial" w:hAnsi="Arial" w:cs="Arial"/>
          <w:sz w:val="24"/>
          <w:szCs w:val="24"/>
        </w:rPr>
        <w:t>8</w:t>
      </w:r>
    </w:p>
    <w:p w14:paraId="1FDAE939" w14:textId="53BB5A13" w:rsidR="00E77831" w:rsidRDefault="00000000">
      <w:pPr>
        <w:spacing w:line="360" w:lineRule="auto"/>
        <w:rPr>
          <w:rFonts w:ascii="Arial" w:hAnsi="Arial" w:cs="Arial"/>
          <w:sz w:val="24"/>
          <w:szCs w:val="24"/>
        </w:rPr>
      </w:pPr>
      <w:r>
        <w:rPr>
          <w:rFonts w:ascii="Arial" w:hAnsi="Arial" w:cs="Arial"/>
          <w:sz w:val="24"/>
          <w:szCs w:val="24"/>
        </w:rPr>
        <w:t xml:space="preserve">   Figure 11: Graph showing a decline in automotive sales in the UK 2022------------</w:t>
      </w:r>
      <w:proofErr w:type="gramStart"/>
      <w:r>
        <w:rPr>
          <w:rFonts w:ascii="Arial" w:hAnsi="Arial" w:cs="Arial"/>
          <w:sz w:val="24"/>
          <w:szCs w:val="24"/>
        </w:rPr>
        <w:t>6</w:t>
      </w:r>
      <w:r w:rsidR="00312F4F">
        <w:rPr>
          <w:rFonts w:ascii="Arial" w:hAnsi="Arial" w:cs="Arial"/>
          <w:sz w:val="24"/>
          <w:szCs w:val="24"/>
        </w:rPr>
        <w:t>0</w:t>
      </w:r>
      <w:proofErr w:type="gramEnd"/>
    </w:p>
    <w:p w14:paraId="2C31EBBA" w14:textId="77777777" w:rsidR="00E77831" w:rsidRDefault="00000000">
      <w:pPr>
        <w:spacing w:line="360" w:lineRule="auto"/>
        <w:rPr>
          <w:rFonts w:ascii="Arial" w:hAnsi="Arial" w:cs="Arial"/>
          <w:b/>
          <w:bCs/>
          <w:sz w:val="24"/>
          <w:szCs w:val="24"/>
        </w:rPr>
      </w:pPr>
      <w:r>
        <w:rPr>
          <w:rFonts w:ascii="Arial" w:hAnsi="Arial" w:cs="Arial"/>
          <w:b/>
          <w:bCs/>
          <w:sz w:val="24"/>
          <w:szCs w:val="24"/>
        </w:rPr>
        <w:t xml:space="preserve">Content of Tables </w:t>
      </w:r>
    </w:p>
    <w:p w14:paraId="122D0502" w14:textId="11B8FB06" w:rsidR="00E77831" w:rsidRDefault="00000000">
      <w:pPr>
        <w:spacing w:line="360" w:lineRule="auto"/>
        <w:rPr>
          <w:rFonts w:ascii="Arial" w:hAnsi="Arial" w:cs="Arial"/>
          <w:sz w:val="24"/>
          <w:szCs w:val="24"/>
        </w:rPr>
      </w:pPr>
      <w:r>
        <w:rPr>
          <w:rFonts w:ascii="Arial" w:hAnsi="Arial" w:cs="Arial"/>
          <w:sz w:val="24"/>
          <w:szCs w:val="24"/>
        </w:rPr>
        <w:t xml:space="preserve">   Table 1:  Prices of green products of Toyota in the UK--------------------------------------2</w:t>
      </w:r>
      <w:r w:rsidR="00312F4F">
        <w:rPr>
          <w:rFonts w:ascii="Arial" w:hAnsi="Arial" w:cs="Arial"/>
          <w:sz w:val="24"/>
          <w:szCs w:val="24"/>
        </w:rPr>
        <w:t>5</w:t>
      </w:r>
    </w:p>
    <w:p w14:paraId="6425C74F" w14:textId="7DEAEF9E" w:rsidR="00E77831" w:rsidRDefault="00000000">
      <w:pPr>
        <w:spacing w:line="360" w:lineRule="auto"/>
        <w:rPr>
          <w:rFonts w:ascii="Arial" w:hAnsi="Arial" w:cs="Arial"/>
          <w:sz w:val="24"/>
          <w:szCs w:val="24"/>
        </w:rPr>
      </w:pPr>
      <w:r>
        <w:rPr>
          <w:rFonts w:ascii="Arial" w:hAnsi="Arial" w:cs="Arial"/>
          <w:sz w:val="24"/>
          <w:szCs w:val="24"/>
        </w:rPr>
        <w:t xml:space="preserve">   Table 2: Time of inventory, lead, and production time of Toyota UK-----------------------2</w:t>
      </w:r>
      <w:r w:rsidR="00312F4F">
        <w:rPr>
          <w:rFonts w:ascii="Arial" w:hAnsi="Arial" w:cs="Arial"/>
          <w:sz w:val="24"/>
          <w:szCs w:val="24"/>
        </w:rPr>
        <w:t>7</w:t>
      </w:r>
    </w:p>
    <w:p w14:paraId="185C1AA3" w14:textId="430F1A00" w:rsidR="00E77831" w:rsidRDefault="00000000">
      <w:pPr>
        <w:spacing w:line="360" w:lineRule="auto"/>
        <w:rPr>
          <w:rFonts w:ascii="Arial" w:hAnsi="Arial" w:cs="Arial"/>
          <w:sz w:val="24"/>
          <w:szCs w:val="24"/>
        </w:rPr>
      </w:pPr>
      <w:r>
        <w:rPr>
          <w:rFonts w:ascii="Arial" w:hAnsi="Arial" w:cs="Arial"/>
          <w:sz w:val="24"/>
          <w:szCs w:val="24"/>
        </w:rPr>
        <w:t xml:space="preserve">   Table 3: Supplier system of Toyota UK--------------------------------------------------------27</w:t>
      </w:r>
      <w:r w:rsidR="00312F4F">
        <w:rPr>
          <w:rFonts w:ascii="Arial" w:hAnsi="Arial" w:cs="Arial"/>
          <w:sz w:val="24"/>
          <w:szCs w:val="24"/>
        </w:rPr>
        <w:t>-28</w:t>
      </w:r>
    </w:p>
    <w:p w14:paraId="20769923" w14:textId="0A3DC73B" w:rsidR="00E77831" w:rsidRDefault="00000000">
      <w:pPr>
        <w:spacing w:line="360" w:lineRule="auto"/>
        <w:rPr>
          <w:rFonts w:ascii="Arial" w:hAnsi="Arial" w:cs="Arial"/>
          <w:sz w:val="24"/>
          <w:szCs w:val="24"/>
        </w:rPr>
      </w:pPr>
      <w:r>
        <w:rPr>
          <w:rFonts w:ascii="Arial" w:hAnsi="Arial" w:cs="Arial"/>
          <w:sz w:val="24"/>
          <w:szCs w:val="24"/>
        </w:rPr>
        <w:t xml:space="preserve">   Table 4: Selected journals ------------------------------------------------------------------------3</w:t>
      </w:r>
      <w:r w:rsidR="00312F4F">
        <w:rPr>
          <w:rFonts w:ascii="Arial" w:hAnsi="Arial" w:cs="Arial"/>
          <w:sz w:val="24"/>
          <w:szCs w:val="24"/>
        </w:rPr>
        <w:t>5</w:t>
      </w:r>
    </w:p>
    <w:p w14:paraId="00DD96DB" w14:textId="37C231ED" w:rsidR="00E77831" w:rsidRDefault="00000000">
      <w:pPr>
        <w:spacing w:line="360" w:lineRule="auto"/>
        <w:rPr>
          <w:rFonts w:ascii="Arial" w:hAnsi="Arial" w:cs="Arial"/>
          <w:sz w:val="24"/>
          <w:szCs w:val="24"/>
        </w:rPr>
      </w:pPr>
      <w:r>
        <w:rPr>
          <w:rFonts w:ascii="Arial" w:hAnsi="Arial" w:cs="Arial"/>
          <w:sz w:val="24"/>
          <w:szCs w:val="24"/>
        </w:rPr>
        <w:t xml:space="preserve">   Table 5: Selected research articles ------------------------------------------------------------3</w:t>
      </w:r>
      <w:r w:rsidR="00312F4F">
        <w:rPr>
          <w:rFonts w:ascii="Arial" w:hAnsi="Arial" w:cs="Arial"/>
          <w:sz w:val="24"/>
          <w:szCs w:val="24"/>
        </w:rPr>
        <w:t>6</w:t>
      </w:r>
      <w:r>
        <w:rPr>
          <w:rFonts w:ascii="Arial" w:hAnsi="Arial" w:cs="Arial"/>
          <w:sz w:val="24"/>
          <w:szCs w:val="24"/>
        </w:rPr>
        <w:t>-3</w:t>
      </w:r>
      <w:r w:rsidR="00312F4F">
        <w:rPr>
          <w:rFonts w:ascii="Arial" w:hAnsi="Arial" w:cs="Arial"/>
          <w:sz w:val="24"/>
          <w:szCs w:val="24"/>
        </w:rPr>
        <w:t>9</w:t>
      </w:r>
    </w:p>
    <w:p w14:paraId="4FF0F971" w14:textId="5CE2DA1E" w:rsidR="00E77831" w:rsidRDefault="00000000">
      <w:pPr>
        <w:spacing w:line="360" w:lineRule="auto"/>
        <w:rPr>
          <w:rFonts w:ascii="Arial" w:hAnsi="Arial" w:cs="Arial"/>
          <w:sz w:val="24"/>
          <w:szCs w:val="24"/>
        </w:rPr>
      </w:pPr>
      <w:r>
        <w:rPr>
          <w:rFonts w:ascii="Arial" w:hAnsi="Arial" w:cs="Arial"/>
          <w:sz w:val="24"/>
          <w:szCs w:val="24"/>
        </w:rPr>
        <w:t xml:space="preserve">   Table 6: Toyota GB 2022 sales-------------------------------------------------------------------4</w:t>
      </w:r>
      <w:r w:rsidR="00312F4F">
        <w:rPr>
          <w:rFonts w:ascii="Arial" w:hAnsi="Arial" w:cs="Arial"/>
          <w:sz w:val="24"/>
          <w:szCs w:val="24"/>
        </w:rPr>
        <w:t>3</w:t>
      </w:r>
    </w:p>
    <w:p w14:paraId="6A9E527E" w14:textId="16669A5D" w:rsidR="00E77831" w:rsidRDefault="00000000">
      <w:pPr>
        <w:spacing w:line="360" w:lineRule="auto"/>
        <w:rPr>
          <w:rFonts w:ascii="Arial" w:hAnsi="Arial" w:cs="Arial"/>
          <w:sz w:val="24"/>
          <w:szCs w:val="24"/>
        </w:rPr>
      </w:pPr>
      <w:r>
        <w:rPr>
          <w:rFonts w:ascii="Arial" w:hAnsi="Arial" w:cs="Arial"/>
          <w:sz w:val="24"/>
          <w:szCs w:val="24"/>
        </w:rPr>
        <w:t xml:space="preserve">   Table 7: Market share of Toyota in the UK--------------------------------------------------------4</w:t>
      </w:r>
      <w:r w:rsidR="00312F4F">
        <w:rPr>
          <w:rFonts w:ascii="Arial" w:hAnsi="Arial" w:cs="Arial"/>
          <w:sz w:val="24"/>
          <w:szCs w:val="24"/>
        </w:rPr>
        <w:t>4</w:t>
      </w:r>
    </w:p>
    <w:p w14:paraId="56CFAD66" w14:textId="77777777" w:rsidR="00E77831" w:rsidRDefault="00000000">
      <w:pPr>
        <w:spacing w:line="360" w:lineRule="auto"/>
        <w:rPr>
          <w:rFonts w:ascii="Arial" w:hAnsi="Arial" w:cs="Arial"/>
          <w:sz w:val="24"/>
          <w:szCs w:val="24"/>
        </w:rPr>
      </w:pPr>
      <w:r>
        <w:rPr>
          <w:rFonts w:ascii="Arial" w:hAnsi="Arial" w:cs="Arial"/>
          <w:sz w:val="24"/>
          <w:szCs w:val="24"/>
        </w:rPr>
        <w:t xml:space="preserve">   Table 8: Comparison of Market share of Toyota between 1965-2023------------------45 </w:t>
      </w:r>
    </w:p>
    <w:p w14:paraId="783C0508" w14:textId="3640595E" w:rsidR="00E77831" w:rsidRDefault="00000000">
      <w:pPr>
        <w:spacing w:line="360" w:lineRule="auto"/>
        <w:rPr>
          <w:rFonts w:ascii="Arial" w:hAnsi="Arial" w:cs="Arial"/>
          <w:sz w:val="24"/>
          <w:szCs w:val="24"/>
        </w:rPr>
      </w:pPr>
      <w:r>
        <w:rPr>
          <w:rFonts w:ascii="Arial" w:hAnsi="Arial" w:cs="Arial"/>
          <w:sz w:val="24"/>
          <w:szCs w:val="24"/>
        </w:rPr>
        <w:t xml:space="preserve">    Table 9: Material and Recycling Operation of Toyota UK--------------------------------5</w:t>
      </w:r>
      <w:r w:rsidR="00312F4F">
        <w:rPr>
          <w:rFonts w:ascii="Arial" w:hAnsi="Arial" w:cs="Arial"/>
          <w:sz w:val="24"/>
          <w:szCs w:val="24"/>
        </w:rPr>
        <w:t>6</w:t>
      </w:r>
    </w:p>
    <w:p w14:paraId="319A0216" w14:textId="77777777" w:rsidR="00E77831" w:rsidRDefault="00000000">
      <w:pPr>
        <w:spacing w:line="360" w:lineRule="auto"/>
        <w:rPr>
          <w:rFonts w:ascii="Arial" w:hAnsi="Arial" w:cs="Arial"/>
          <w:sz w:val="24"/>
          <w:szCs w:val="24"/>
        </w:rPr>
      </w:pPr>
      <w:r>
        <w:rPr>
          <w:rFonts w:ascii="Arial" w:hAnsi="Arial" w:cs="Arial"/>
          <w:sz w:val="24"/>
          <w:szCs w:val="24"/>
        </w:rPr>
        <w:t xml:space="preserve">               </w:t>
      </w:r>
    </w:p>
    <w:p w14:paraId="7C4EDB55" w14:textId="77777777" w:rsidR="00E77831" w:rsidRDefault="00E77831">
      <w:pPr>
        <w:spacing w:line="360" w:lineRule="auto"/>
        <w:ind w:firstLineChars="200" w:firstLine="480"/>
        <w:rPr>
          <w:rFonts w:ascii="Arial" w:hAnsi="Arial" w:cs="Arial"/>
          <w:sz w:val="24"/>
          <w:szCs w:val="24"/>
        </w:rPr>
      </w:pPr>
    </w:p>
    <w:p w14:paraId="784147CF" w14:textId="77777777" w:rsidR="00E77831" w:rsidRDefault="00E77831">
      <w:pPr>
        <w:spacing w:line="360" w:lineRule="auto"/>
        <w:rPr>
          <w:rFonts w:ascii="Arial" w:hAnsi="Arial" w:cs="Arial"/>
          <w:b/>
          <w:bCs/>
          <w:sz w:val="24"/>
          <w:szCs w:val="24"/>
        </w:rPr>
      </w:pPr>
    </w:p>
    <w:p w14:paraId="7B6CBAD2" w14:textId="77777777" w:rsidR="00E77831" w:rsidRDefault="00E77831">
      <w:pPr>
        <w:spacing w:line="360" w:lineRule="auto"/>
        <w:rPr>
          <w:rFonts w:ascii="Arial" w:hAnsi="Arial" w:cs="Arial"/>
          <w:b/>
          <w:bCs/>
          <w:sz w:val="24"/>
          <w:szCs w:val="24"/>
        </w:rPr>
      </w:pPr>
    </w:p>
    <w:p w14:paraId="1547F66A" w14:textId="77777777" w:rsidR="00E77831" w:rsidRDefault="00E77831">
      <w:pPr>
        <w:spacing w:line="360" w:lineRule="auto"/>
        <w:rPr>
          <w:rFonts w:ascii="Arial" w:hAnsi="Arial" w:cs="Arial"/>
          <w:b/>
          <w:bCs/>
          <w:sz w:val="24"/>
          <w:szCs w:val="24"/>
        </w:rPr>
      </w:pPr>
    </w:p>
    <w:p w14:paraId="04C4F82F" w14:textId="77777777" w:rsidR="00E77831" w:rsidRDefault="00E77831">
      <w:pPr>
        <w:spacing w:line="360" w:lineRule="auto"/>
        <w:rPr>
          <w:rFonts w:ascii="Arial" w:hAnsi="Arial" w:cs="Arial"/>
          <w:b/>
          <w:bCs/>
          <w:sz w:val="24"/>
          <w:szCs w:val="24"/>
        </w:rPr>
      </w:pPr>
    </w:p>
    <w:p w14:paraId="1371D4FB" w14:textId="0D61D4FD" w:rsidR="00E77831" w:rsidRDefault="00000000">
      <w:pPr>
        <w:rPr>
          <w:rFonts w:ascii="Arial" w:hAnsi="Arial" w:cs="Arial"/>
          <w:b/>
          <w:bCs/>
          <w:sz w:val="28"/>
          <w:szCs w:val="28"/>
        </w:rPr>
      </w:pPr>
      <w:r>
        <w:rPr>
          <w:rFonts w:ascii="Arial" w:hAnsi="Arial" w:cs="Arial"/>
          <w:b/>
          <w:bCs/>
          <w:sz w:val="28"/>
          <w:szCs w:val="28"/>
        </w:rPr>
        <w:t xml:space="preserve">                     Chapter 1– Introduction</w:t>
      </w:r>
    </w:p>
    <w:p w14:paraId="792ACCEA" w14:textId="77777777" w:rsidR="00BB6D8B" w:rsidRDefault="00000000">
      <w:pPr>
        <w:rPr>
          <w:rFonts w:ascii="Arial" w:hAnsi="Arial" w:cs="Arial"/>
          <w:b/>
          <w:bCs/>
          <w:sz w:val="28"/>
          <w:szCs w:val="28"/>
        </w:rPr>
      </w:pPr>
      <w:r>
        <w:rPr>
          <w:rFonts w:ascii="Arial" w:hAnsi="Arial" w:cs="Arial"/>
          <w:b/>
          <w:bCs/>
          <w:sz w:val="28"/>
          <w:szCs w:val="28"/>
        </w:rPr>
        <w:t xml:space="preserve"> </w:t>
      </w:r>
    </w:p>
    <w:p w14:paraId="6E086AE0" w14:textId="5E443179" w:rsidR="00E77831" w:rsidRDefault="00000000">
      <w:pPr>
        <w:rPr>
          <w:rFonts w:ascii="Arial" w:hAnsi="Arial" w:cs="Arial"/>
          <w:b/>
          <w:bCs/>
          <w:sz w:val="28"/>
          <w:szCs w:val="28"/>
        </w:rPr>
      </w:pPr>
      <w:r>
        <w:rPr>
          <w:rFonts w:ascii="Arial" w:hAnsi="Arial" w:cs="Arial"/>
          <w:b/>
          <w:bCs/>
          <w:sz w:val="28"/>
          <w:szCs w:val="28"/>
        </w:rPr>
        <w:t>1.1 Background</w:t>
      </w:r>
      <w:r w:rsidR="00733FCF">
        <w:rPr>
          <w:rFonts w:ascii="Arial" w:hAnsi="Arial" w:cs="Arial"/>
          <w:b/>
          <w:bCs/>
          <w:sz w:val="28"/>
          <w:szCs w:val="28"/>
        </w:rPr>
        <w:t>:</w:t>
      </w:r>
      <w:r>
        <w:rPr>
          <w:rFonts w:ascii="Arial" w:hAnsi="Arial" w:cs="Arial"/>
          <w:b/>
          <w:bCs/>
          <w:sz w:val="28"/>
          <w:szCs w:val="28"/>
        </w:rPr>
        <w:t xml:space="preserve"> </w:t>
      </w:r>
    </w:p>
    <w:p w14:paraId="53F90018" w14:textId="77777777" w:rsidR="00E77831" w:rsidRDefault="00000000">
      <w:pPr>
        <w:spacing w:line="360" w:lineRule="auto"/>
        <w:rPr>
          <w:rFonts w:ascii="Arial" w:hAnsi="Arial" w:cs="Arial"/>
          <w:sz w:val="24"/>
          <w:szCs w:val="24"/>
        </w:rPr>
      </w:pPr>
      <w:r>
        <w:rPr>
          <w:rFonts w:ascii="Arial" w:hAnsi="Arial" w:cs="Arial"/>
          <w:sz w:val="24"/>
          <w:szCs w:val="24"/>
        </w:rPr>
        <w:t>Marketing is an organizational function to create, communicate, and deliver value to customers as well as manage customer relationships in a way that benefits the business and its stakeholders. It results in the enhancement of business performance (Park, 2020). There is a particular strategy adopted by the organization for their successful business. Strategy is the pattern of choices made by an organization that establishes and communicates its aims and purposes for achieving the goal. According to Porter, strategy is about taking a competitive stance, standing out in the eyes of the customer, and providing value by combining a variety of tactics that set an organization apart from its rivals (Nickols, 2016, p. 4).</w:t>
      </w:r>
    </w:p>
    <w:p w14:paraId="12858824" w14:textId="77777777" w:rsidR="00E77831" w:rsidRDefault="00000000">
      <w:pPr>
        <w:spacing w:line="360" w:lineRule="auto"/>
        <w:rPr>
          <w:rFonts w:ascii="Arial" w:hAnsi="Arial" w:cs="Arial"/>
          <w:sz w:val="24"/>
          <w:szCs w:val="24"/>
        </w:rPr>
      </w:pPr>
      <w:r>
        <w:rPr>
          <w:rFonts w:ascii="Arial" w:hAnsi="Arial" w:cs="Arial"/>
          <w:sz w:val="24"/>
          <w:szCs w:val="24"/>
        </w:rPr>
        <w:t xml:space="preserve">The main goal of an organization is to gain customer satisfaction and loyalty. To obtain the intended reaction from their target market, marketers employ a variety of techniques. These instruments make up a marketing mix known as the 4P of the marketing mix, which is a conglomeration of the attributes of o, place, price, and promotion. They are designed in such a way that mostly </w:t>
      </w:r>
      <w:proofErr w:type="gramStart"/>
      <w:r>
        <w:rPr>
          <w:rFonts w:ascii="Arial" w:hAnsi="Arial" w:cs="Arial"/>
          <w:sz w:val="24"/>
          <w:szCs w:val="24"/>
        </w:rPr>
        <w:t>attracts</w:t>
      </w:r>
      <w:proofErr w:type="gramEnd"/>
      <w:r>
        <w:rPr>
          <w:rFonts w:ascii="Arial" w:hAnsi="Arial" w:cs="Arial"/>
          <w:sz w:val="24"/>
          <w:szCs w:val="24"/>
        </w:rPr>
        <w:t xml:space="preserve"> the customers. The product must be unique and must be available at a low cost. Effective communication between customers and organizations plays a significant role in gaining customer value. It is attained by the effective promotion of products (Darmawan &amp; Grenier, 2021, p. 76). </w:t>
      </w:r>
    </w:p>
    <w:p w14:paraId="27C48461" w14:textId="0059C5E6" w:rsidR="00E77831" w:rsidRDefault="00000000">
      <w:pPr>
        <w:spacing w:line="360" w:lineRule="auto"/>
        <w:rPr>
          <w:rFonts w:ascii="Arial" w:hAnsi="Arial" w:cs="Arial"/>
          <w:sz w:val="24"/>
          <w:szCs w:val="24"/>
        </w:rPr>
      </w:pPr>
      <w:r>
        <w:rPr>
          <w:rFonts w:ascii="Arial" w:hAnsi="Arial" w:cs="Arial"/>
          <w:sz w:val="24"/>
          <w:szCs w:val="24"/>
        </w:rPr>
        <w:t xml:space="preserve">With the advancement in technology and time, Digital and green marketing techniques result in the effective performance of an organization. A company's digital identity is its digital marketing, which allows it to show itself to a vast audience of online users. Promotion of a product using social media such as Facebook, website, Twitter, etc in a brief period is known as digital marketing (Sawicki, 2016, p. 84). </w:t>
      </w:r>
      <w:r w:rsidR="00802F73" w:rsidRPr="00802F73">
        <w:rPr>
          <w:rFonts w:ascii="Arial" w:hAnsi="Arial" w:cs="Arial"/>
          <w:sz w:val="24"/>
          <w:szCs w:val="24"/>
        </w:rPr>
        <w:t>Green marketing is the practice of promoting goods that are seen to be environmentally safe. It encompasses a range of activities like altering the product, changing the manufacturing procedure, adjusting the packaging, and changing the promotion.</w:t>
      </w:r>
      <w:r>
        <w:rPr>
          <w:rFonts w:ascii="Arial" w:hAnsi="Arial" w:cs="Arial"/>
          <w:sz w:val="24"/>
          <w:szCs w:val="24"/>
        </w:rPr>
        <w:t xml:space="preserve"> (Mishra &amp; Sharma, 2014, p. 78).  </w:t>
      </w:r>
    </w:p>
    <w:p w14:paraId="391732AA" w14:textId="77777777" w:rsidR="00E77831" w:rsidRDefault="00000000">
      <w:pPr>
        <w:spacing w:line="360" w:lineRule="auto"/>
        <w:rPr>
          <w:rFonts w:ascii="Arial" w:hAnsi="Arial" w:cs="Arial"/>
          <w:sz w:val="24"/>
          <w:szCs w:val="24"/>
        </w:rPr>
      </w:pPr>
      <w:r>
        <w:rPr>
          <w:rFonts w:ascii="Arial" w:hAnsi="Arial" w:cs="Arial"/>
          <w:sz w:val="24"/>
          <w:szCs w:val="24"/>
        </w:rPr>
        <w:lastRenderedPageBreak/>
        <w:t>The goal of green Marketing is building a strong relationship with customers, which necessitates a holistic approach because businesses must naturally integrate all their operations into environmental concerns. Green Marketing is a tactic that includes choices like eco-friendly products, eco-friendly packaging, green communication, and green prices. Green products are environmentally friendly products. The term " Green packaging " refers to the specific phenomenon of using packaging that minimizes harm to the environment. Green prices are an intrinsic and transferrable financial representation of environmental concerns for the customer. Green communication promotes a good reputation and converts a company's concern for the public and the environment (Arseculeratna &amp; Yazdanifard, 2013, p. 131).</w:t>
      </w:r>
    </w:p>
    <w:p w14:paraId="49FF6ACA" w14:textId="77777777" w:rsidR="00E77831" w:rsidRDefault="00000000">
      <w:pPr>
        <w:spacing w:line="360" w:lineRule="auto"/>
        <w:rPr>
          <w:rFonts w:ascii="Arial" w:hAnsi="Arial" w:cs="Arial"/>
          <w:sz w:val="24"/>
          <w:szCs w:val="24"/>
        </w:rPr>
      </w:pPr>
      <w:r>
        <w:rPr>
          <w:rFonts w:ascii="Arial" w:hAnsi="Arial" w:cs="Arial"/>
          <w:sz w:val="24"/>
          <w:szCs w:val="24"/>
        </w:rPr>
        <w:t>With the proper marketing management, one can achieve a sustainable competitive advantage. It works on sustainable development. Sustainable competitive advantage can be maintained for an extended period. A high firm quality, distinctive service, products, and value supplied to the clients in comparison to competitors result in attaining competitive advantage (Engert et al, 2015, p. 2840). The degree to which an organization’s corporate culture maximizes and expedites its capabilities will determine its success, and the management process will play an important role in the organization's success (Sharkie et al., 2003, p. 20).</w:t>
      </w:r>
    </w:p>
    <w:p w14:paraId="66B0A8B6" w14:textId="77777777" w:rsidR="00E77831" w:rsidRDefault="00000000">
      <w:pPr>
        <w:spacing w:line="360" w:lineRule="auto"/>
        <w:rPr>
          <w:rFonts w:ascii="Arial" w:hAnsi="Arial" w:cs="Arial"/>
          <w:sz w:val="24"/>
          <w:szCs w:val="24"/>
        </w:rPr>
      </w:pPr>
      <w:r>
        <w:rPr>
          <w:rFonts w:ascii="Arial" w:hAnsi="Arial" w:cs="Arial"/>
          <w:sz w:val="24"/>
          <w:szCs w:val="24"/>
        </w:rPr>
        <w:t>Toyota is one example of an automobile industry that works on green marketing management to gain a sustainable competitive advantage. This thesis analyzed the marketing strategy and Marketing position of Toyota in the UK. A vehicle with wheels and its motor is called an automobile. There are several different kinds of automobiles, but cars are by far the most common. Other types include buses, trucks, vans, and cars (</w:t>
      </w:r>
      <w:proofErr w:type="spellStart"/>
      <w:r>
        <w:rPr>
          <w:rFonts w:ascii="Arial" w:hAnsi="Arial" w:cs="Arial"/>
          <w:sz w:val="24"/>
          <w:szCs w:val="24"/>
        </w:rPr>
        <w:t>Chulvanij</w:t>
      </w:r>
      <w:proofErr w:type="spellEnd"/>
      <w:r>
        <w:rPr>
          <w:rFonts w:ascii="Arial" w:hAnsi="Arial" w:cs="Arial"/>
          <w:sz w:val="24"/>
          <w:szCs w:val="24"/>
        </w:rPr>
        <w:t>, 2006, p. 10).</w:t>
      </w:r>
    </w:p>
    <w:p w14:paraId="22454C73" w14:textId="77777777" w:rsidR="00E77831" w:rsidRDefault="00000000">
      <w:pPr>
        <w:spacing w:line="360" w:lineRule="auto"/>
        <w:rPr>
          <w:rFonts w:ascii="Arial" w:hAnsi="Arial" w:cs="Arial"/>
          <w:sz w:val="24"/>
          <w:szCs w:val="24"/>
        </w:rPr>
      </w:pPr>
      <w:r>
        <w:rPr>
          <w:rFonts w:ascii="Arial" w:hAnsi="Arial" w:cs="Arial"/>
          <w:sz w:val="24"/>
          <w:szCs w:val="24"/>
        </w:rPr>
        <w:t xml:space="preserve">Toyota Kiichiro founded Toyota in 1933 as a division of Toyoda Automatic Loom Works. In 1937 it became Toyota Motor Co. It is headquartered in Japan. The organization has a wide range of models to choose from. It is the second largest automotive company worldwide because it is guided by strong principles to produce the best possible innovative product and service to promote the sustainable development of society. The first car to be produced was the AA sedan in 1936. The Second World War was also a </w:t>
      </w:r>
      <w:r>
        <w:rPr>
          <w:rFonts w:ascii="Arial" w:hAnsi="Arial" w:cs="Arial"/>
          <w:sz w:val="24"/>
          <w:szCs w:val="24"/>
        </w:rPr>
        <w:lastRenderedPageBreak/>
        <w:t xml:space="preserve">difficult moment for Toyota, which stopped its car production, focusing on trucks until 1947. The company grew rapidly by starting to export significant quantities of vehicles abroad and evaluating them in different markets. The real breakthrough came in the last years of the century with various innovations like the introduction of its luxury brand Lexus and the first mass-production hybrid vehicle in the world, Prius (Allera, 2022, p. 54). </w:t>
      </w:r>
    </w:p>
    <w:p w14:paraId="579294B1" w14:textId="77777777" w:rsidR="00E77831" w:rsidRDefault="00000000">
      <w:pPr>
        <w:spacing w:line="360" w:lineRule="auto"/>
        <w:rPr>
          <w:rFonts w:ascii="Arial" w:hAnsi="Arial" w:cs="Arial"/>
          <w:sz w:val="24"/>
          <w:szCs w:val="24"/>
        </w:rPr>
      </w:pPr>
      <w:r>
        <w:rPr>
          <w:rFonts w:ascii="Arial" w:hAnsi="Arial" w:cs="Arial"/>
          <w:sz w:val="24"/>
          <w:szCs w:val="24"/>
        </w:rPr>
        <w:t xml:space="preserve">Today, Toyota is the second largest car manufacturer by market value. It operates in more than 170 countries and all over the world (Allera, 2022, p. 54). </w:t>
      </w:r>
    </w:p>
    <w:p w14:paraId="2D5F3DFE" w14:textId="77777777" w:rsidR="00E77831" w:rsidRDefault="00000000">
      <w:pPr>
        <w:spacing w:line="360" w:lineRule="auto"/>
        <w:rPr>
          <w:rFonts w:ascii="Arial" w:hAnsi="Arial" w:cs="Arial"/>
          <w:sz w:val="24"/>
          <w:szCs w:val="24"/>
        </w:rPr>
      </w:pPr>
      <w:r>
        <w:rPr>
          <w:rFonts w:ascii="Arial" w:hAnsi="Arial" w:cs="Arial"/>
          <w:sz w:val="24"/>
          <w:szCs w:val="24"/>
        </w:rPr>
        <w:t>For Toyota, the United Kingdom has been a crucial market for its European expansion. The Japanese automaker exported its vehicles to the UK by way of an agreement with a small family known as Pride and Clark. Toyota stopped exporting to the UK in 1978 and instead entered a joint venture. In 1967, the small family business changed its name to Toyota GB and began producing different kinds of cars. In 1998, this agreement came to an end when Toyota Motor Corporation, before Toyota Motor Corporation acquired all of Toyota GB in 2000, the corporation decided to buy a 5% share in the company. Toyota Manufacturing UK, a wholly owned subsidiary was established in Europe for the first time in 1992 (Allera, 2022, p. 58).</w:t>
      </w:r>
    </w:p>
    <w:p w14:paraId="39D9FE22" w14:textId="77777777" w:rsidR="00E77831" w:rsidRDefault="00000000">
      <w:pPr>
        <w:spacing w:line="360" w:lineRule="auto"/>
        <w:rPr>
          <w:rFonts w:ascii="Arial" w:hAnsi="Arial" w:cs="Arial"/>
          <w:sz w:val="24"/>
          <w:szCs w:val="24"/>
        </w:rPr>
      </w:pPr>
      <w:r>
        <w:rPr>
          <w:rFonts w:ascii="Arial" w:hAnsi="Arial" w:cs="Arial"/>
          <w:sz w:val="24"/>
          <w:szCs w:val="24"/>
        </w:rPr>
        <w:t>Toyota GB plc is the name of a Toyota UK branch. Toyota established its manufacturing facilities in the UK, close to Derby. This site’s production started in 1992. In addition, components for engine assembly in factories in Turkey, France, and other countries across the world are produced here. It is best known for its Research and Development centres (Hoque et al., 2013, p. 227) Toyota was able to establish new records in a few sectors for UK new car sales in 2022. With a record 6.61 per cent market share, Toyota ranked third among the OEMs in the UK (Media, 2023).</w:t>
      </w:r>
    </w:p>
    <w:p w14:paraId="7AF7356A" w14:textId="77777777" w:rsidR="00E77831" w:rsidRDefault="00000000">
      <w:pPr>
        <w:spacing w:line="360" w:lineRule="auto"/>
        <w:rPr>
          <w:rFonts w:ascii="Arial" w:hAnsi="Arial" w:cs="Arial"/>
          <w:sz w:val="24"/>
          <w:szCs w:val="24"/>
        </w:rPr>
      </w:pPr>
      <w:r>
        <w:rPr>
          <w:rFonts w:ascii="Arial" w:hAnsi="Arial" w:cs="Arial"/>
          <w:sz w:val="24"/>
          <w:szCs w:val="24"/>
        </w:rPr>
        <w:t>Recently, Toyota announced that the Yaris Cross, a new compact SUV built on the same platform as the Yaris, will go on sale in Europe. Additionally, it introduced a new brand for its mobility services in Europe called Kinto. The European Car of the Year award goes to the new Yaris which is a proud movement for the Japanese multinational company Toyota in Europe (Toyota GB media, 2021, p. 25).</w:t>
      </w:r>
    </w:p>
    <w:p w14:paraId="78C92641" w14:textId="77777777" w:rsidR="00E77831" w:rsidRDefault="00E77831">
      <w:pPr>
        <w:rPr>
          <w:rFonts w:ascii="Arial" w:hAnsi="Arial" w:cs="Arial"/>
          <w:sz w:val="24"/>
          <w:szCs w:val="24"/>
        </w:rPr>
      </w:pPr>
    </w:p>
    <w:p w14:paraId="57CD8A77" w14:textId="6184A823" w:rsidR="00E77831" w:rsidRDefault="00000000">
      <w:pPr>
        <w:rPr>
          <w:rFonts w:ascii="Arial" w:hAnsi="Arial" w:cs="Arial"/>
          <w:b/>
          <w:bCs/>
          <w:sz w:val="28"/>
          <w:szCs w:val="28"/>
        </w:rPr>
      </w:pPr>
      <w:r>
        <w:rPr>
          <w:rFonts w:ascii="Arial" w:hAnsi="Arial" w:cs="Arial"/>
          <w:b/>
          <w:bCs/>
          <w:sz w:val="28"/>
          <w:szCs w:val="28"/>
        </w:rPr>
        <w:t>1.2 Research problem</w:t>
      </w:r>
      <w:r w:rsidR="00733FCF">
        <w:rPr>
          <w:rFonts w:ascii="Arial" w:hAnsi="Arial" w:cs="Arial"/>
          <w:b/>
          <w:bCs/>
          <w:sz w:val="28"/>
          <w:szCs w:val="28"/>
        </w:rPr>
        <w:t>:</w:t>
      </w:r>
    </w:p>
    <w:p w14:paraId="0345E501" w14:textId="200548F9" w:rsidR="00E77831" w:rsidRDefault="00802F73">
      <w:pPr>
        <w:spacing w:line="360" w:lineRule="auto"/>
        <w:rPr>
          <w:rFonts w:ascii="Arial" w:hAnsi="Arial" w:cs="Arial"/>
          <w:sz w:val="24"/>
          <w:szCs w:val="24"/>
        </w:rPr>
      </w:pPr>
      <w:r w:rsidRPr="00802F73">
        <w:rPr>
          <w:rFonts w:ascii="Arial" w:hAnsi="Arial" w:cs="Arial"/>
          <w:sz w:val="24"/>
          <w:szCs w:val="24"/>
        </w:rPr>
        <w:t>The term "market mix" refers to the arrangements of products, distribution, promotion, and pricing used to develop and implement exchanges to reach the target markets.</w:t>
      </w:r>
      <w:r w:rsidR="00000000">
        <w:rPr>
          <w:rFonts w:ascii="Arial" w:hAnsi="Arial" w:cs="Arial"/>
          <w:sz w:val="24"/>
          <w:szCs w:val="24"/>
        </w:rPr>
        <w:t xml:space="preserve"> (Isoraite, 2016, p. 26).</w:t>
      </w:r>
    </w:p>
    <w:p w14:paraId="2B6F0ED0" w14:textId="77777777" w:rsidR="00E77831" w:rsidRDefault="00000000">
      <w:pPr>
        <w:spacing w:line="360" w:lineRule="auto"/>
        <w:rPr>
          <w:rFonts w:ascii="Arial" w:hAnsi="Arial" w:cs="Arial"/>
          <w:sz w:val="24"/>
          <w:szCs w:val="24"/>
        </w:rPr>
      </w:pPr>
      <w:r>
        <w:rPr>
          <w:rFonts w:ascii="Arial" w:hAnsi="Arial" w:cs="Arial"/>
          <w:sz w:val="24"/>
          <w:szCs w:val="24"/>
        </w:rPr>
        <w:t>Green Marketing is the promotion of products that are thought to be safe for the environment. It includes a variety of operations such as product modification, modification to the manufacturing process, packaging adjustments, and advertising modification (Mishra &amp; Sharma, p. 2014, p. 73).</w:t>
      </w:r>
    </w:p>
    <w:p w14:paraId="5E9804ED" w14:textId="77777777" w:rsidR="00E77831" w:rsidRDefault="00000000">
      <w:pPr>
        <w:spacing w:line="360" w:lineRule="auto"/>
        <w:rPr>
          <w:rFonts w:ascii="Arial" w:hAnsi="Arial" w:cs="Arial"/>
          <w:sz w:val="24"/>
          <w:szCs w:val="24"/>
        </w:rPr>
      </w:pPr>
      <w:r>
        <w:rPr>
          <w:rFonts w:ascii="Arial" w:hAnsi="Arial" w:cs="Arial"/>
          <w:sz w:val="24"/>
          <w:szCs w:val="24"/>
        </w:rPr>
        <w:t>This will provide research on the role of a green marketing mix in attaining a sustainable competitive advantage for Toyota in the UK. It includes the modification of a Product, Place, Price, and promotion of Toyota products in such a way that benefits both organizations as well as the environment.</w:t>
      </w:r>
    </w:p>
    <w:p w14:paraId="0901CDE5" w14:textId="77777777" w:rsidR="00E77831" w:rsidRDefault="00000000">
      <w:pPr>
        <w:spacing w:line="360" w:lineRule="auto"/>
        <w:rPr>
          <w:rFonts w:ascii="Arial" w:hAnsi="Arial" w:cs="Arial"/>
          <w:sz w:val="24"/>
          <w:szCs w:val="24"/>
        </w:rPr>
      </w:pPr>
      <w:r>
        <w:rPr>
          <w:rFonts w:ascii="Arial" w:hAnsi="Arial" w:cs="Arial"/>
          <w:sz w:val="24"/>
          <w:szCs w:val="24"/>
        </w:rPr>
        <w:t xml:space="preserve">The sustainable development goals are a global call to action that aims to end poverty, safeguard the environment, and guarantee prosperity and peace for all (Larina et al., 2021, p. 185). </w:t>
      </w:r>
    </w:p>
    <w:p w14:paraId="25447CD8" w14:textId="77777777" w:rsidR="00E77831" w:rsidRDefault="00000000">
      <w:pPr>
        <w:spacing w:line="360" w:lineRule="auto"/>
        <w:rPr>
          <w:rFonts w:ascii="Arial" w:hAnsi="Arial" w:cs="Arial"/>
          <w:sz w:val="24"/>
          <w:szCs w:val="24"/>
        </w:rPr>
      </w:pPr>
      <w:r>
        <w:rPr>
          <w:rFonts w:ascii="Arial" w:hAnsi="Arial" w:cs="Arial"/>
          <w:sz w:val="24"/>
          <w:szCs w:val="24"/>
        </w:rPr>
        <w:t>Rather than originating from the production or availability of specific goods or services, or the execution of a specific activity, Competitive advantage arises from how various activities complement and enhance one another. To satisfy customer needs more effectively than competitors. To meet customer demand, an organization must focus on differentiation, and cost leadership strategy to achieve a sustainable competitive advantage (Sharkie et al.  2003, p. 26).</w:t>
      </w:r>
    </w:p>
    <w:p w14:paraId="4F763C37" w14:textId="77777777" w:rsidR="00E77831" w:rsidRDefault="00000000">
      <w:pPr>
        <w:spacing w:line="360" w:lineRule="auto"/>
        <w:rPr>
          <w:rFonts w:ascii="Arial" w:hAnsi="Arial" w:cs="Arial"/>
          <w:sz w:val="24"/>
          <w:szCs w:val="24"/>
        </w:rPr>
      </w:pPr>
      <w:r>
        <w:rPr>
          <w:rFonts w:ascii="Arial" w:hAnsi="Arial" w:cs="Arial"/>
          <w:sz w:val="24"/>
          <w:szCs w:val="24"/>
        </w:rPr>
        <w:t>Hence, this research will be focused on Analyzing how the green marketing mix strategy adopted by Toyota in the UK led to achieving sustainable competitive advantage through the differentiation and cost-leadership strategy.</w:t>
      </w:r>
    </w:p>
    <w:p w14:paraId="05F0EA58" w14:textId="77777777" w:rsidR="00E77831" w:rsidRDefault="00E77831">
      <w:pPr>
        <w:rPr>
          <w:rFonts w:ascii="Arial" w:hAnsi="Arial" w:cs="Arial"/>
          <w:sz w:val="24"/>
          <w:szCs w:val="24"/>
        </w:rPr>
      </w:pPr>
    </w:p>
    <w:p w14:paraId="065AD5B7" w14:textId="77777777" w:rsidR="00E77831" w:rsidRDefault="00E77831">
      <w:pPr>
        <w:rPr>
          <w:rFonts w:ascii="Arial" w:hAnsi="Arial" w:cs="Arial"/>
          <w:b/>
          <w:bCs/>
          <w:sz w:val="24"/>
          <w:szCs w:val="24"/>
        </w:rPr>
      </w:pPr>
    </w:p>
    <w:p w14:paraId="65C5733E" w14:textId="77777777" w:rsidR="00E77831" w:rsidRDefault="00E77831">
      <w:pPr>
        <w:rPr>
          <w:rFonts w:ascii="Arial" w:hAnsi="Arial" w:cs="Arial"/>
          <w:b/>
          <w:bCs/>
          <w:sz w:val="24"/>
          <w:szCs w:val="24"/>
        </w:rPr>
      </w:pPr>
    </w:p>
    <w:p w14:paraId="62E30057" w14:textId="2B74382E" w:rsidR="00E77831" w:rsidRDefault="00000000">
      <w:pPr>
        <w:rPr>
          <w:rFonts w:ascii="Arial" w:hAnsi="Arial" w:cs="Arial"/>
          <w:sz w:val="28"/>
          <w:szCs w:val="28"/>
        </w:rPr>
      </w:pPr>
      <w:r>
        <w:rPr>
          <w:rFonts w:ascii="Arial" w:hAnsi="Arial" w:cs="Arial"/>
          <w:b/>
          <w:bCs/>
          <w:sz w:val="28"/>
          <w:szCs w:val="28"/>
        </w:rPr>
        <w:lastRenderedPageBreak/>
        <w:t>1.3 Aim</w:t>
      </w:r>
      <w:r w:rsidR="00733FCF">
        <w:rPr>
          <w:rFonts w:ascii="Arial" w:hAnsi="Arial" w:cs="Arial"/>
          <w:sz w:val="28"/>
          <w:szCs w:val="28"/>
        </w:rPr>
        <w:t>:</w:t>
      </w:r>
      <w:r>
        <w:rPr>
          <w:rFonts w:ascii="Arial" w:hAnsi="Arial" w:cs="Arial"/>
          <w:sz w:val="28"/>
          <w:szCs w:val="28"/>
        </w:rPr>
        <w:t xml:space="preserve"> </w:t>
      </w:r>
    </w:p>
    <w:p w14:paraId="3990FC3F" w14:textId="77777777" w:rsidR="00E77831" w:rsidRDefault="00000000">
      <w:pPr>
        <w:spacing w:line="360" w:lineRule="auto"/>
        <w:rPr>
          <w:rFonts w:ascii="Arial" w:hAnsi="Arial" w:cs="Arial"/>
          <w:sz w:val="24"/>
          <w:szCs w:val="24"/>
        </w:rPr>
      </w:pPr>
      <w:r>
        <w:rPr>
          <w:rFonts w:ascii="Arial" w:hAnsi="Arial" w:cs="Arial"/>
          <w:sz w:val="24"/>
          <w:szCs w:val="24"/>
        </w:rPr>
        <w:t>The main aim is to analyze the marketing strategies and Marketing position of Toyota in the UK. It focused on the role of a green marketing mix technique to gain a sustainable competitive advantage. It focuses on explaining how green Marketing mix strategy and sustainable competitive advantage are related to each other and how Toyota's green Marketing mix strategy will result in gaining customer loyalty and customer satisfaction. It aims to discuss the various challenges and opportunities faced by Toyota in the UK and how the UK government helped it achieve a reputable position in the UK. It also focused on the green marketing mix strategies analysis of green products, green places, green prices, and green promotion of the Toyota in UK automobile industry.</w:t>
      </w:r>
    </w:p>
    <w:p w14:paraId="0A29D348" w14:textId="7EF5E967" w:rsidR="00E77831" w:rsidRPr="00733FCF" w:rsidRDefault="00000000">
      <w:pPr>
        <w:rPr>
          <w:rFonts w:ascii="Arial" w:hAnsi="Arial" w:cs="Arial"/>
          <w:b/>
          <w:bCs/>
          <w:sz w:val="28"/>
          <w:szCs w:val="28"/>
        </w:rPr>
      </w:pPr>
      <w:r>
        <w:rPr>
          <w:rFonts w:ascii="Arial" w:hAnsi="Arial" w:cs="Arial"/>
          <w:b/>
          <w:bCs/>
          <w:sz w:val="28"/>
          <w:szCs w:val="28"/>
        </w:rPr>
        <w:t>1.4 Objective</w:t>
      </w:r>
      <w:r w:rsidR="00733FCF" w:rsidRPr="00733FCF">
        <w:rPr>
          <w:rFonts w:ascii="Arial" w:hAnsi="Arial" w:cs="Arial"/>
          <w:b/>
          <w:bCs/>
          <w:sz w:val="28"/>
          <w:szCs w:val="28"/>
        </w:rPr>
        <w:t>:</w:t>
      </w:r>
    </w:p>
    <w:p w14:paraId="019B3532" w14:textId="77777777" w:rsidR="00E77831" w:rsidRDefault="00000000">
      <w:pPr>
        <w:spacing w:line="360" w:lineRule="auto"/>
        <w:rPr>
          <w:rFonts w:ascii="Arial" w:hAnsi="Arial" w:cs="Arial"/>
          <w:sz w:val="24"/>
          <w:szCs w:val="24"/>
        </w:rPr>
      </w:pPr>
      <w:r>
        <w:rPr>
          <w:rFonts w:ascii="Arial" w:hAnsi="Arial" w:cs="Arial"/>
          <w:sz w:val="24"/>
          <w:szCs w:val="24"/>
        </w:rPr>
        <w:t>The main objective is to study the role of marketing strategies in achieving the customer value used by Toyota in the UK. It focused on determining the strengths, weaknesses, opportunities, and threats faced by Toyota in the UK automobile industry and what are the tactics used by it to engage more of its customers with itself. It also gathered information about the market share value and marketing position of Toyota in the UK. As market share value of Toyota UK reflects its position in the UK Automotive industry.</w:t>
      </w:r>
    </w:p>
    <w:p w14:paraId="3A546FF1" w14:textId="2E47238C" w:rsidR="00E77831" w:rsidRDefault="00000000">
      <w:pPr>
        <w:rPr>
          <w:rFonts w:ascii="Arial" w:hAnsi="Arial" w:cs="Arial"/>
          <w:sz w:val="28"/>
          <w:szCs w:val="28"/>
        </w:rPr>
      </w:pPr>
      <w:r>
        <w:rPr>
          <w:rFonts w:ascii="Arial" w:hAnsi="Arial" w:cs="Arial"/>
          <w:b/>
          <w:bCs/>
          <w:sz w:val="28"/>
          <w:szCs w:val="28"/>
        </w:rPr>
        <w:t>1.5 Research questions</w:t>
      </w:r>
      <w:r w:rsidR="00733FCF">
        <w:rPr>
          <w:rFonts w:ascii="Arial" w:hAnsi="Arial" w:cs="Arial"/>
          <w:b/>
          <w:bCs/>
          <w:sz w:val="28"/>
          <w:szCs w:val="28"/>
        </w:rPr>
        <w:t>:</w:t>
      </w:r>
      <w:r>
        <w:rPr>
          <w:rFonts w:ascii="Arial" w:hAnsi="Arial" w:cs="Arial"/>
          <w:sz w:val="28"/>
          <w:szCs w:val="28"/>
        </w:rPr>
        <w:t xml:space="preserve"> </w:t>
      </w:r>
    </w:p>
    <w:p w14:paraId="545753E8" w14:textId="77777777" w:rsidR="00E77831" w:rsidRDefault="00000000">
      <w:pPr>
        <w:rPr>
          <w:rFonts w:ascii="Arial" w:hAnsi="Arial" w:cs="Arial"/>
          <w:sz w:val="24"/>
          <w:szCs w:val="24"/>
        </w:rPr>
      </w:pPr>
      <w:r>
        <w:rPr>
          <w:rFonts w:ascii="Arial" w:hAnsi="Arial" w:cs="Arial"/>
          <w:sz w:val="24"/>
          <w:szCs w:val="24"/>
        </w:rPr>
        <w:t>Q) What is Toyota’s current market share and position in the UK automobile industry?</w:t>
      </w:r>
    </w:p>
    <w:p w14:paraId="353ACB0A" w14:textId="77777777" w:rsidR="00E77831" w:rsidRDefault="00000000">
      <w:pPr>
        <w:rPr>
          <w:rFonts w:ascii="Arial" w:hAnsi="Arial" w:cs="Arial"/>
          <w:sz w:val="24"/>
          <w:szCs w:val="24"/>
        </w:rPr>
      </w:pPr>
      <w:r>
        <w:rPr>
          <w:rFonts w:ascii="Arial" w:hAnsi="Arial" w:cs="Arial"/>
          <w:sz w:val="24"/>
          <w:szCs w:val="24"/>
        </w:rPr>
        <w:t>Q) How green Marketing mix strategy be adopted by Toyota in the UK?</w:t>
      </w:r>
    </w:p>
    <w:p w14:paraId="2B8C1DB8" w14:textId="565B11AF" w:rsidR="00E77831" w:rsidRDefault="00000000">
      <w:pPr>
        <w:rPr>
          <w:rFonts w:ascii="Arial" w:hAnsi="Arial" w:cs="Arial"/>
          <w:sz w:val="24"/>
          <w:szCs w:val="24"/>
        </w:rPr>
      </w:pPr>
      <w:r>
        <w:rPr>
          <w:rFonts w:ascii="Arial" w:hAnsi="Arial" w:cs="Arial"/>
          <w:sz w:val="24"/>
          <w:szCs w:val="24"/>
        </w:rPr>
        <w:t xml:space="preserve">Q) What are the key marketing channels and tactics that Toyota employed in the UK </w:t>
      </w:r>
      <w:r w:rsidR="00107FF5">
        <w:rPr>
          <w:rFonts w:ascii="Arial" w:hAnsi="Arial" w:cs="Arial"/>
          <w:sz w:val="24"/>
          <w:szCs w:val="24"/>
        </w:rPr>
        <w:t xml:space="preserve">  </w:t>
      </w:r>
      <w:r>
        <w:rPr>
          <w:rFonts w:ascii="Arial" w:hAnsi="Arial" w:cs="Arial"/>
          <w:sz w:val="24"/>
          <w:szCs w:val="24"/>
        </w:rPr>
        <w:t>market and how effective have they been in reaching and engaging customers?</w:t>
      </w:r>
    </w:p>
    <w:p w14:paraId="395CE294" w14:textId="77777777" w:rsidR="00E77831" w:rsidRDefault="00000000">
      <w:pPr>
        <w:rPr>
          <w:rFonts w:ascii="Arial" w:hAnsi="Arial" w:cs="Arial"/>
          <w:sz w:val="24"/>
          <w:szCs w:val="24"/>
        </w:rPr>
      </w:pPr>
      <w:r>
        <w:rPr>
          <w:rFonts w:ascii="Arial" w:hAnsi="Arial" w:cs="Arial"/>
          <w:sz w:val="24"/>
          <w:szCs w:val="24"/>
        </w:rPr>
        <w:t>Q) What are the challenges and opportunities Toyota faced in the UK market?</w:t>
      </w:r>
    </w:p>
    <w:p w14:paraId="3B6D0D3A" w14:textId="77777777" w:rsidR="00E77831" w:rsidRDefault="00000000">
      <w:pPr>
        <w:rPr>
          <w:rFonts w:ascii="Arial" w:hAnsi="Arial" w:cs="Arial"/>
          <w:sz w:val="24"/>
          <w:szCs w:val="24"/>
        </w:rPr>
      </w:pPr>
      <w:r>
        <w:rPr>
          <w:rFonts w:ascii="Arial" w:hAnsi="Arial" w:cs="Arial"/>
          <w:sz w:val="24"/>
          <w:szCs w:val="24"/>
        </w:rPr>
        <w:t>Q) What are the factors affecting the marketing strategies of Toyota in the UK?</w:t>
      </w:r>
    </w:p>
    <w:p w14:paraId="61A12C28" w14:textId="77777777" w:rsidR="00E77831" w:rsidRDefault="00E77831">
      <w:pPr>
        <w:rPr>
          <w:rFonts w:ascii="Arial" w:hAnsi="Arial" w:cs="Arial"/>
          <w:sz w:val="24"/>
          <w:szCs w:val="24"/>
        </w:rPr>
      </w:pPr>
    </w:p>
    <w:p w14:paraId="7F27DC4F" w14:textId="56E67F08" w:rsidR="00E77831" w:rsidRDefault="00000000">
      <w:pPr>
        <w:rPr>
          <w:rFonts w:ascii="Arial" w:hAnsi="Arial" w:cs="Arial"/>
          <w:sz w:val="28"/>
          <w:szCs w:val="28"/>
        </w:rPr>
      </w:pPr>
      <w:r>
        <w:rPr>
          <w:rFonts w:ascii="Arial" w:hAnsi="Arial" w:cs="Arial"/>
          <w:b/>
          <w:bCs/>
          <w:sz w:val="28"/>
          <w:szCs w:val="28"/>
        </w:rPr>
        <w:t>1.6 Significance of the study</w:t>
      </w:r>
      <w:r w:rsidR="00733FCF">
        <w:rPr>
          <w:rFonts w:ascii="Arial" w:hAnsi="Arial" w:cs="Arial"/>
          <w:b/>
          <w:bCs/>
          <w:sz w:val="28"/>
          <w:szCs w:val="28"/>
        </w:rPr>
        <w:t>:</w:t>
      </w:r>
      <w:r>
        <w:rPr>
          <w:rFonts w:ascii="Arial" w:hAnsi="Arial" w:cs="Arial"/>
          <w:b/>
          <w:bCs/>
          <w:sz w:val="28"/>
          <w:szCs w:val="28"/>
        </w:rPr>
        <w:t xml:space="preserve"> </w:t>
      </w:r>
    </w:p>
    <w:p w14:paraId="373BC47A" w14:textId="2C081A9E" w:rsidR="00E77831" w:rsidRDefault="00000000">
      <w:pPr>
        <w:spacing w:line="360" w:lineRule="auto"/>
        <w:rPr>
          <w:rFonts w:ascii="Arial" w:hAnsi="Arial" w:cs="Arial"/>
          <w:sz w:val="24"/>
          <w:szCs w:val="24"/>
        </w:rPr>
      </w:pPr>
      <w:r>
        <w:rPr>
          <w:rFonts w:ascii="Arial" w:hAnsi="Arial" w:cs="Arial"/>
          <w:sz w:val="24"/>
          <w:szCs w:val="24"/>
        </w:rPr>
        <w:t>The study was significant as the main goal of this research is to address the role of Marketing strategies adopted by Toyota in the UK and the role of a green Mark</w:t>
      </w:r>
      <w:r w:rsidR="00107FF5">
        <w:rPr>
          <w:rFonts w:ascii="Arial" w:hAnsi="Arial" w:cs="Arial"/>
          <w:sz w:val="24"/>
          <w:szCs w:val="24"/>
        </w:rPr>
        <w:t>eting</w:t>
      </w:r>
      <w:r>
        <w:rPr>
          <w:rFonts w:ascii="Arial" w:hAnsi="Arial" w:cs="Arial"/>
          <w:sz w:val="24"/>
          <w:szCs w:val="24"/>
        </w:rPr>
        <w:t xml:space="preserve"> mix strategy to achieve a sustainable competitive advantage for Toyota in the UK. </w:t>
      </w:r>
      <w:r>
        <w:rPr>
          <w:rFonts w:ascii="Arial" w:hAnsi="Arial" w:cs="Arial"/>
          <w:sz w:val="24"/>
          <w:szCs w:val="24"/>
        </w:rPr>
        <w:lastRenderedPageBreak/>
        <w:t>Sustainable competitive advantage plays an important role in achieving the most reputable position in the business environment and meeting customer needs and demands with high-quality products at the lowest price. Differentiation and cost reduction are the main aspects of a sustainable competitive advantage. A Green Marketing mix strategy helped in achieving a sustainable competitive advantage by providing high-quality products at the least green price.</w:t>
      </w:r>
    </w:p>
    <w:p w14:paraId="0AED46E1" w14:textId="7E418952" w:rsidR="00E77831" w:rsidRDefault="00000000">
      <w:pPr>
        <w:spacing w:line="360" w:lineRule="auto"/>
        <w:rPr>
          <w:rFonts w:ascii="Arial" w:hAnsi="Arial" w:cs="Arial"/>
          <w:sz w:val="24"/>
          <w:szCs w:val="24"/>
        </w:rPr>
      </w:pPr>
      <w:r>
        <w:rPr>
          <w:rFonts w:ascii="Arial" w:hAnsi="Arial" w:cs="Arial"/>
          <w:sz w:val="24"/>
          <w:szCs w:val="24"/>
        </w:rPr>
        <w:t xml:space="preserve">This dissertation provides an overview of customer demands in the UK automobile industry and various challenges and opportunities faced by Toyota in the UK. The role of environmentally friendly vehicles of Toyota GB helped in reducing environmental pollution in the UK. </w:t>
      </w:r>
    </w:p>
    <w:p w14:paraId="4BC4CEF3" w14:textId="77777777" w:rsidR="00E77831" w:rsidRDefault="00000000">
      <w:pPr>
        <w:spacing w:line="360" w:lineRule="auto"/>
        <w:rPr>
          <w:rFonts w:ascii="Arial" w:hAnsi="Arial" w:cs="Arial"/>
          <w:sz w:val="24"/>
          <w:szCs w:val="24"/>
        </w:rPr>
      </w:pPr>
      <w:r>
        <w:rPr>
          <w:rFonts w:ascii="Arial" w:hAnsi="Arial" w:cs="Arial"/>
          <w:sz w:val="24"/>
          <w:szCs w:val="24"/>
        </w:rPr>
        <w:t>It is significant as it provides information about the green Marketing and green Marketing mix strategies to reduce environmental pollution and attain a sustainable competitive advantage by satisfying the customer demands of Toyota in the UK.</w:t>
      </w:r>
    </w:p>
    <w:p w14:paraId="5844165E" w14:textId="48F8C1E7" w:rsidR="00E77831" w:rsidRDefault="00000000">
      <w:pPr>
        <w:rPr>
          <w:rFonts w:ascii="Arial" w:hAnsi="Arial" w:cs="Arial"/>
          <w:b/>
          <w:bCs/>
          <w:sz w:val="28"/>
          <w:szCs w:val="28"/>
        </w:rPr>
      </w:pPr>
      <w:r>
        <w:rPr>
          <w:rFonts w:ascii="Arial" w:hAnsi="Arial" w:cs="Arial"/>
          <w:b/>
          <w:bCs/>
          <w:sz w:val="28"/>
          <w:szCs w:val="28"/>
        </w:rPr>
        <w:t>1.7 Research Methodology</w:t>
      </w:r>
      <w:r w:rsidR="00107FF5">
        <w:rPr>
          <w:rFonts w:ascii="Arial" w:hAnsi="Arial" w:cs="Arial"/>
          <w:b/>
          <w:bCs/>
          <w:sz w:val="28"/>
          <w:szCs w:val="28"/>
        </w:rPr>
        <w:t>:</w:t>
      </w:r>
    </w:p>
    <w:p w14:paraId="471B0909" w14:textId="77777777" w:rsidR="00E77831" w:rsidRDefault="00000000">
      <w:pPr>
        <w:spacing w:line="360" w:lineRule="auto"/>
        <w:rPr>
          <w:rFonts w:ascii="Arial" w:hAnsi="Arial" w:cs="Arial"/>
          <w:sz w:val="24"/>
          <w:szCs w:val="24"/>
        </w:rPr>
      </w:pPr>
      <w:r>
        <w:rPr>
          <w:rFonts w:ascii="Arial" w:hAnsi="Arial" w:cs="Arial"/>
          <w:sz w:val="24"/>
          <w:szCs w:val="24"/>
        </w:rPr>
        <w:t>It is explanatory research following the systematic review methodology which involves the Selection of a journal, articles, research papers, and documents from the official website in a sequential manner by using the keyword strategy, that provides relevant information about Toyota UK, green marketing mix strategies, Green Marketing, and sustainability. It involves the Selection of Reputable journals</w:t>
      </w:r>
      <w:r>
        <w:rPr>
          <w:rFonts w:hAnsi="Arial" w:cs="Arial"/>
          <w:sz w:val="24"/>
          <w:szCs w:val="24"/>
        </w:rPr>
        <w:t xml:space="preserve"> </w:t>
      </w:r>
      <w:r>
        <w:rPr>
          <w:rFonts w:ascii="Arial" w:hAnsi="Arial" w:cs="Arial"/>
          <w:sz w:val="24"/>
          <w:szCs w:val="24"/>
        </w:rPr>
        <w:t>such as an international journal, Journal of Engineering Manufacture, etc to address the research problem. 120 research articles were examined through the selected journals and 19 research articles, and 4 case studies were selected to answer the various research questions and analyze the research problem.</w:t>
      </w:r>
    </w:p>
    <w:p w14:paraId="733685E4" w14:textId="0D64743E" w:rsidR="00E77831" w:rsidRDefault="00000000">
      <w:pPr>
        <w:rPr>
          <w:rFonts w:ascii="Arial" w:hAnsi="Arial" w:cs="Arial"/>
          <w:b/>
          <w:bCs/>
          <w:sz w:val="28"/>
          <w:szCs w:val="28"/>
        </w:rPr>
      </w:pPr>
      <w:r>
        <w:rPr>
          <w:rFonts w:ascii="Arial" w:hAnsi="Arial" w:cs="Arial"/>
          <w:b/>
          <w:bCs/>
          <w:sz w:val="28"/>
          <w:szCs w:val="28"/>
        </w:rPr>
        <w:t>1.8 Structure</w:t>
      </w:r>
      <w:r w:rsidR="00107FF5">
        <w:rPr>
          <w:rFonts w:ascii="Arial" w:hAnsi="Arial" w:cs="Arial"/>
          <w:b/>
          <w:bCs/>
          <w:sz w:val="28"/>
          <w:szCs w:val="28"/>
        </w:rPr>
        <w:t>:</w:t>
      </w:r>
    </w:p>
    <w:p w14:paraId="0DBB840D" w14:textId="77777777" w:rsidR="00E77831" w:rsidRDefault="00000000">
      <w:pPr>
        <w:spacing w:line="360" w:lineRule="auto"/>
        <w:rPr>
          <w:rFonts w:ascii="Arial" w:hAnsi="Arial" w:cs="Arial"/>
          <w:sz w:val="24"/>
          <w:szCs w:val="24"/>
        </w:rPr>
      </w:pPr>
      <w:r>
        <w:rPr>
          <w:rFonts w:ascii="Arial" w:hAnsi="Arial" w:cs="Arial"/>
          <w:sz w:val="24"/>
          <w:szCs w:val="24"/>
        </w:rPr>
        <w:t xml:space="preserve">This dissertation mainly consists of Five chapters. The first chapter contains the introduction part, which further discusses the background, Aim, objective, research problem, research questions, and brief methodology of the research. The second chapter has a brief detail about the literature review. The third chapter consists of research methodology, the Fourth chapter focuses on data analysis and discussion of </w:t>
      </w:r>
      <w:r>
        <w:rPr>
          <w:rFonts w:ascii="Arial" w:hAnsi="Arial" w:cs="Arial"/>
          <w:sz w:val="24"/>
          <w:szCs w:val="24"/>
        </w:rPr>
        <w:lastRenderedPageBreak/>
        <w:t>the result. The fifth chapter focused on explaining the Summary of the main finding, conclusion, recommendation, and recommendations for future work.</w:t>
      </w:r>
    </w:p>
    <w:p w14:paraId="6DC5A2E3" w14:textId="77777777" w:rsidR="00E77831" w:rsidRDefault="00000000">
      <w:pPr>
        <w:rPr>
          <w:rFonts w:ascii="Arial" w:hAnsi="Arial" w:cs="Arial"/>
          <w:b/>
          <w:bCs/>
          <w:sz w:val="28"/>
          <w:szCs w:val="28"/>
        </w:rPr>
      </w:pPr>
      <w:r>
        <w:rPr>
          <w:rFonts w:ascii="Arial" w:hAnsi="Arial" w:cs="Arial"/>
          <w:b/>
          <w:bCs/>
          <w:sz w:val="28"/>
          <w:szCs w:val="28"/>
        </w:rPr>
        <w:t>Chapter 2 - Literature review</w:t>
      </w:r>
    </w:p>
    <w:p w14:paraId="5206D932" w14:textId="0F89F9F8" w:rsidR="00E77831" w:rsidRDefault="00000000">
      <w:pPr>
        <w:rPr>
          <w:rFonts w:ascii="Arial" w:hAnsi="Arial" w:cs="Arial"/>
          <w:b/>
          <w:bCs/>
          <w:sz w:val="28"/>
          <w:szCs w:val="28"/>
        </w:rPr>
      </w:pPr>
      <w:r>
        <w:rPr>
          <w:rFonts w:ascii="Arial" w:hAnsi="Arial" w:cs="Arial"/>
          <w:b/>
          <w:bCs/>
          <w:sz w:val="28"/>
          <w:szCs w:val="28"/>
        </w:rPr>
        <w:t>2.1 Introduction</w:t>
      </w:r>
      <w:r w:rsidR="00733FCF">
        <w:rPr>
          <w:rFonts w:ascii="Arial" w:hAnsi="Arial" w:cs="Arial"/>
          <w:b/>
          <w:bCs/>
          <w:sz w:val="28"/>
          <w:szCs w:val="28"/>
        </w:rPr>
        <w:t>:</w:t>
      </w:r>
    </w:p>
    <w:p w14:paraId="6BC74162" w14:textId="77777777" w:rsidR="00E77831" w:rsidRDefault="00000000">
      <w:pPr>
        <w:spacing w:line="360" w:lineRule="auto"/>
        <w:rPr>
          <w:rFonts w:ascii="Arial" w:hAnsi="Arial" w:cs="Arial"/>
          <w:sz w:val="24"/>
          <w:szCs w:val="24"/>
        </w:rPr>
      </w:pPr>
      <w:r>
        <w:rPr>
          <w:rFonts w:ascii="Arial" w:hAnsi="Arial" w:cs="Arial"/>
          <w:sz w:val="24"/>
          <w:szCs w:val="24"/>
        </w:rPr>
        <w:t>Literature review will involve expanding upon and updating the one that was finished during the proposal stage. Its goal is to demonstrate how your conclusion relates to the body of knowledge. It aims to provide an overview of the current state of knowledge on a particular topic (Knopf &amp; Jeffrey W, 2006, p. 128).</w:t>
      </w:r>
    </w:p>
    <w:p w14:paraId="56242DDC" w14:textId="77777777" w:rsidR="00E77831" w:rsidRDefault="00000000">
      <w:pPr>
        <w:spacing w:line="360" w:lineRule="auto"/>
        <w:rPr>
          <w:rFonts w:ascii="Arial" w:hAnsi="Arial" w:cs="Arial"/>
          <w:sz w:val="24"/>
          <w:szCs w:val="24"/>
        </w:rPr>
      </w:pPr>
      <w:r>
        <w:rPr>
          <w:rFonts w:ascii="Arial" w:hAnsi="Arial" w:cs="Arial"/>
          <w:sz w:val="24"/>
          <w:szCs w:val="24"/>
        </w:rPr>
        <w:t>The main aim of the dissertation is to analyze the Marketing strategies, Green Marketing strategies used by Toyota in the UK, and the current marketing position of Toyota in the UK. It contains information about green marketing, Green Marketing mix, Toyota in the UK, and an explanation of how the green Marketing mix strategy adopted by Toyota UK achieves a sustainable competitive advantage.</w:t>
      </w:r>
    </w:p>
    <w:p w14:paraId="45002212" w14:textId="3C65239F" w:rsidR="00E77831" w:rsidRDefault="00000000">
      <w:pPr>
        <w:spacing w:line="360" w:lineRule="auto"/>
        <w:rPr>
          <w:rFonts w:ascii="Arial" w:hAnsi="Arial" w:cs="Arial"/>
          <w:sz w:val="28"/>
          <w:szCs w:val="28"/>
        </w:rPr>
      </w:pPr>
      <w:r>
        <w:rPr>
          <w:rFonts w:ascii="Arial" w:hAnsi="Arial" w:cs="Arial"/>
          <w:b/>
          <w:bCs/>
          <w:sz w:val="28"/>
          <w:szCs w:val="28"/>
        </w:rPr>
        <w:t>2.2 - Green marketing concept</w:t>
      </w:r>
      <w:r w:rsidR="00733FCF" w:rsidRPr="00733FCF">
        <w:rPr>
          <w:rFonts w:ascii="Arial" w:hAnsi="Arial" w:cs="Arial"/>
          <w:b/>
          <w:bCs/>
          <w:sz w:val="28"/>
          <w:szCs w:val="28"/>
        </w:rPr>
        <w:t>:</w:t>
      </w:r>
    </w:p>
    <w:p w14:paraId="3127DB84" w14:textId="24792754" w:rsidR="00E77831" w:rsidRDefault="00000000">
      <w:pPr>
        <w:spacing w:line="360" w:lineRule="auto"/>
        <w:rPr>
          <w:rFonts w:ascii="Arial" w:hAnsi="Arial" w:cs="Arial"/>
          <w:b/>
          <w:bCs/>
          <w:sz w:val="28"/>
          <w:szCs w:val="28"/>
        </w:rPr>
      </w:pPr>
      <w:r>
        <w:rPr>
          <w:rFonts w:ascii="Arial" w:hAnsi="Arial" w:cs="Arial"/>
          <w:sz w:val="24"/>
          <w:szCs w:val="24"/>
        </w:rPr>
        <w:t>An organization's goal to achieve sustainable competitive advantage is concerned with the fulfilment of the needs of customers along with the protection of the environment.</w:t>
      </w:r>
      <w:r>
        <w:rPr>
          <w:rFonts w:ascii="Arial" w:hAnsi="Arial" w:cs="Arial"/>
          <w:b/>
          <w:bCs/>
          <w:sz w:val="28"/>
          <w:szCs w:val="28"/>
        </w:rPr>
        <w:t xml:space="preserve"> </w:t>
      </w:r>
      <w:r>
        <w:rPr>
          <w:rFonts w:ascii="Arial" w:hAnsi="Arial" w:cs="Arial"/>
          <w:sz w:val="24"/>
          <w:szCs w:val="24"/>
        </w:rPr>
        <w:t>Green Marketing is an essential marketing strategy adopted by an organization that benefits the company, customers, and environment.</w:t>
      </w:r>
      <w:r>
        <w:rPr>
          <w:rFonts w:ascii="Arial" w:hAnsi="Arial" w:cs="Arial"/>
          <w:b/>
          <w:bCs/>
          <w:sz w:val="28"/>
          <w:szCs w:val="28"/>
        </w:rPr>
        <w:t xml:space="preserve"> </w:t>
      </w:r>
      <w:r>
        <w:rPr>
          <w:rFonts w:ascii="Arial" w:hAnsi="Arial" w:cs="Arial"/>
          <w:sz w:val="24"/>
          <w:szCs w:val="24"/>
        </w:rPr>
        <w:t>There are various definitions of Green Marketing. According to the American Marketing Association, green Marketing is product marketing that is friendly to the environment. Polonsky (1994) defines green marketing as all functions designed to create and facilitate all planned exchanges to satisfy the needs or desires of people in a way, in which needs and wants are met with minimal inconvenience impact on the natural environment. In simpler words, Green Marketing is defined by Pride and Ferrel (1991) as the targeted development, pricing, promotion, and distribution of goods that are safe for the environment (Mahmoud, 2019, p. 21)</w:t>
      </w:r>
      <w:r w:rsidR="00733FCF">
        <w:rPr>
          <w:rFonts w:ascii="Arial" w:hAnsi="Arial" w:cs="Arial"/>
          <w:sz w:val="24"/>
          <w:szCs w:val="24"/>
        </w:rPr>
        <w:t>.</w:t>
      </w:r>
      <w:r>
        <w:rPr>
          <w:rFonts w:ascii="Arial" w:hAnsi="Arial" w:cs="Arial"/>
          <w:sz w:val="24"/>
          <w:szCs w:val="24"/>
        </w:rPr>
        <w:t xml:space="preserve"> </w:t>
      </w:r>
    </w:p>
    <w:p w14:paraId="611D1BA9" w14:textId="77777777" w:rsidR="00E77831" w:rsidRDefault="00000000">
      <w:pPr>
        <w:spacing w:line="360" w:lineRule="auto"/>
        <w:rPr>
          <w:rFonts w:ascii="Arial" w:hAnsi="Arial" w:cs="Arial"/>
          <w:noProof/>
          <w:sz w:val="24"/>
          <w:szCs w:val="24"/>
        </w:rPr>
      </w:pPr>
      <w:r>
        <w:rPr>
          <w:rFonts w:ascii="Arial" w:hAnsi="Arial" w:cs="Arial"/>
          <w:sz w:val="24"/>
          <w:szCs w:val="24"/>
        </w:rPr>
        <w:t xml:space="preserve">On the other hand, the concept of Green Marketing is new worldwide. According to Polonsky (2011), Green marketing refers to an organization’s effort to create, market, sell, and distribute its product in a way that encourages environmental preservation. </w:t>
      </w:r>
      <w:r>
        <w:rPr>
          <w:rFonts w:ascii="Arial" w:hAnsi="Arial" w:cs="Arial"/>
          <w:sz w:val="24"/>
          <w:szCs w:val="24"/>
        </w:rPr>
        <w:lastRenderedPageBreak/>
        <w:t>According to Rashad Yazdanifard (2011), Green marketing refers to the advertising campaigns that leverage shifting customer perception of a company (Mahmoud, 2019, p. 21).</w:t>
      </w:r>
      <w:r>
        <w:rPr>
          <w:rFonts w:ascii="Arial" w:hAnsi="Arial" w:cs="Arial"/>
          <w:b/>
          <w:bCs/>
          <w:sz w:val="28"/>
          <w:szCs w:val="28"/>
        </w:rPr>
        <w:t xml:space="preserve"> </w:t>
      </w:r>
      <w:r>
        <w:rPr>
          <w:rFonts w:ascii="Arial" w:hAnsi="Arial" w:cs="Arial"/>
          <w:sz w:val="24"/>
          <w:szCs w:val="24"/>
        </w:rPr>
        <w:t>The concept of “Green marketing” arose from the organization’s concern for the environment. These companies came to understand that maintaining their existence and viability requires balancing their interests with those of their customers. A wide range of actions fall under the umbrella of green Marketing including products, packaging, advertising, and production methods (Mahmoud, 2018, p. 127).</w:t>
      </w:r>
      <w:r>
        <w:rPr>
          <w:rFonts w:ascii="Arial" w:hAnsi="Arial" w:cs="Arial"/>
          <w:noProof/>
          <w:sz w:val="24"/>
          <w:szCs w:val="24"/>
        </w:rPr>
        <w:t xml:space="preserve"> </w:t>
      </w:r>
    </w:p>
    <w:p w14:paraId="34BB11E4" w14:textId="77777777" w:rsidR="00E77831" w:rsidRDefault="00000000">
      <w:pPr>
        <w:spacing w:line="360" w:lineRule="auto"/>
        <w:rPr>
          <w:rFonts w:ascii="Arial" w:hAnsi="Arial" w:cs="Arial"/>
          <w:b/>
          <w:bCs/>
          <w:noProof/>
          <w:sz w:val="24"/>
          <w:szCs w:val="24"/>
        </w:rPr>
      </w:pPr>
      <w:r>
        <w:rPr>
          <w:rFonts w:ascii="Arial" w:hAnsi="Arial" w:cs="Arial"/>
          <w:b/>
          <w:bCs/>
          <w:noProof/>
          <w:sz w:val="24"/>
          <w:szCs w:val="24"/>
        </w:rPr>
        <w:t xml:space="preserve">Figure 1.  Green Marketing mix strategies </w:t>
      </w:r>
    </w:p>
    <w:p w14:paraId="07AA1619" w14:textId="77777777" w:rsidR="00E77831" w:rsidRDefault="00E77831">
      <w:pPr>
        <w:spacing w:line="360" w:lineRule="auto"/>
        <w:rPr>
          <w:rFonts w:ascii="Arial" w:hAnsi="Arial" w:cs="Arial"/>
          <w:noProof/>
          <w:sz w:val="24"/>
          <w:szCs w:val="24"/>
        </w:rPr>
      </w:pPr>
    </w:p>
    <w:p w14:paraId="231E6E63" w14:textId="77777777" w:rsidR="00E77831" w:rsidRDefault="00000000">
      <w:pPr>
        <w:spacing w:line="360" w:lineRule="auto"/>
        <w:rPr>
          <w:rFonts w:ascii="Arial" w:hAnsi="Arial" w:cs="Arial"/>
          <w:noProof/>
          <w:sz w:val="24"/>
          <w:szCs w:val="24"/>
        </w:rPr>
      </w:pPr>
      <w:r>
        <w:rPr>
          <w:noProof/>
        </w:rPr>
        <mc:AlternateContent>
          <mc:Choice Requires="wps">
            <w:drawing>
              <wp:anchor distT="0" distB="0" distL="0" distR="0" simplePos="0" relativeHeight="6" behindDoc="0" locked="0" layoutInCell="1" allowOverlap="1" wp14:anchorId="733BD816" wp14:editId="59DDB43C">
                <wp:simplePos x="0" y="0"/>
                <wp:positionH relativeFrom="column">
                  <wp:posOffset>3322320</wp:posOffset>
                </wp:positionH>
                <wp:positionV relativeFrom="paragraph">
                  <wp:posOffset>1874520</wp:posOffset>
                </wp:positionV>
                <wp:extent cx="543559" cy="86995"/>
                <wp:effectExtent l="7620" t="95250" r="1270" b="103504"/>
                <wp:wrapNone/>
                <wp:docPr id="1027" name="10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1320000">
                          <a:off x="0" y="0"/>
                          <a:ext cx="543559" cy="86995"/>
                        </a:xfrm>
                        <a:prstGeom prst="rightArrow">
                          <a:avLst>
                            <a:gd name="adj1" fmla="val 50000"/>
                            <a:gd name="adj2" fmla="val 49783"/>
                          </a:avLst>
                        </a:prstGeom>
                        <a:solidFill>
                          <a:srgbClr val="000000"/>
                        </a:solidFill>
                        <a:ln w="12700" cap="flat" cmpd="sng">
                          <a:solidFill>
                            <a:srgbClr val="000000"/>
                          </a:solidFill>
                          <a:prstDash val="solid"/>
                          <a:miter/>
                          <a:headEnd type="none" w="med" len="med"/>
                          <a:tailEnd type="none" w="med" len="med"/>
                        </a:ln>
                      </wps:spPr>
                      <wps:bodyPr>
                        <a:prstTxWarp prst="textNoShape">
                          <a:avLst/>
                        </a:prstTxWarp>
                      </wps:bodyPr>
                    </wps:wsp>
                  </a:graphicData>
                </a:graphic>
                <wp14:sizeRelH relativeFrom="margin">
                  <wp14:pctWidth>0</wp14:pctWidth>
                </wp14:sizeRelH>
                <wp14:sizeRelV relativeFrom="margin">
                  <wp14:pctHeight>0</wp14:pctHeight>
                </wp14:sizeRelV>
              </wp:anchor>
            </w:drawing>
          </mc:Choice>
          <mc:Fallback xmlns:wpsCustomData="http://www.wps.cn/officeDocument/2013/wpsCustomData">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1027" type="#_x0000_t13" adj="19879,5400," fillcolor="black" style="position:absolute;margin-left:261.6pt;margin-top:147.6pt;width:42.8pt;height:6.85pt;z-index:6;mso-position-horizontal-relative:text;mso-position-vertical-relative:text;mso-width-percent:0;mso-height-percent:0;mso-width-relative:margin;mso-height-relative:margin;mso-wrap-distance-left:0.0pt;mso-wrap-distance-right:0.0pt;visibility:visible;rotation:1441792fd;">
                <v:stroke joinstyle="miter" weight="1.0pt"/>
                <v:fill/>
              </v:shape>
            </w:pict>
          </mc:Fallback>
        </mc:AlternateContent>
      </w:r>
      <w:r>
        <w:rPr>
          <w:noProof/>
        </w:rPr>
        <mc:AlternateContent>
          <mc:Choice Requires="wps">
            <w:drawing>
              <wp:anchor distT="0" distB="0" distL="0" distR="0" simplePos="0" relativeHeight="10" behindDoc="0" locked="0" layoutInCell="1" allowOverlap="1" wp14:anchorId="29583F89" wp14:editId="398A272A">
                <wp:simplePos x="0" y="0"/>
                <wp:positionH relativeFrom="column">
                  <wp:posOffset>3943350</wp:posOffset>
                </wp:positionH>
                <wp:positionV relativeFrom="paragraph">
                  <wp:posOffset>1861820</wp:posOffset>
                </wp:positionV>
                <wp:extent cx="2540000" cy="323850"/>
                <wp:effectExtent l="9525" t="6350" r="12700" b="12700"/>
                <wp:wrapNone/>
                <wp:docPr id="1028" name="10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40000" cy="323850"/>
                        </a:xfrm>
                        <a:prstGeom prst="rect">
                          <a:avLst/>
                        </a:prstGeom>
                        <a:solidFill>
                          <a:srgbClr val="FFFFFF"/>
                        </a:solidFill>
                        <a:ln w="6350" cap="flat" cmpd="sng">
                          <a:solidFill>
                            <a:srgbClr val="000000"/>
                          </a:solidFill>
                          <a:prstDash val="solid"/>
                          <a:miter/>
                          <a:headEnd type="none" w="med" len="med"/>
                          <a:tailEnd type="none" w="med" len="med"/>
                        </a:ln>
                      </wps:spPr>
                      <wps:txbx>
                        <w:txbxContent>
                          <w:p w14:paraId="13F498EE" w14:textId="77777777" w:rsidR="00E77831" w:rsidRDefault="00000000">
                            <w:pPr>
                              <w:rPr>
                                <w:rFonts w:ascii="Arial" w:hAnsi="Arial" w:cs="Arial"/>
                                <w:b/>
                                <w:bCs/>
                              </w:rPr>
                            </w:pPr>
                            <w:r>
                              <w:rPr>
                                <w:rFonts w:ascii="Arial" w:hAnsi="Arial" w:cs="Arial"/>
                                <w:b/>
                                <w:bCs/>
                              </w:rPr>
                              <w:t>Total Quality Management</w:t>
                            </w:r>
                          </w:p>
                        </w:txbxContent>
                      </wps:txbx>
                      <wps:bodyPr vert="horz" wrap="square" lIns="91440" tIns="45720" rIns="91440" bIns="45720" anchor="t" upright="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9583F89" id="1029" o:spid="_x0000_s1027" style="position:absolute;margin-left:310.5pt;margin-top:146.6pt;width:200pt;height:25.5pt;z-index:10;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" strokeweight=".5pt">
                <v:path arrowok="t"/>
                <v:textbox>
                  <w:txbxContent>
                    <w:p w14:paraId="13F498EE" w14:textId="77777777" w:rsidR="00E77831" w:rsidRDefault="00000000">
                      <w:pPr>
                        <w:rPr>
                          <w:rFonts w:ascii="Arial" w:hAnsi="Arial" w:cs="Arial"/>
                          <w:b/>
                          <w:bCs/>
                        </w:rPr>
                      </w:pPr>
                      <w:r>
                        <w:rPr>
                          <w:rFonts w:ascii="Arial" w:hAnsi="Arial" w:cs="Arial"/>
                          <w:b/>
                          <w:bCs/>
                        </w:rPr>
                        <w:t>Total Quality Management</w:t>
                      </w:r>
                    </w:p>
                  </w:txbxContent>
                </v:textbox>
              </v:rect>
            </w:pict>
          </mc:Fallback>
        </mc:AlternateContent>
      </w:r>
      <w:r>
        <w:rPr>
          <w:noProof/>
        </w:rPr>
        <mc:AlternateContent>
          <mc:Choice Requires="wps">
            <w:drawing>
              <wp:anchor distT="0" distB="0" distL="0" distR="0" simplePos="0" relativeHeight="9" behindDoc="0" locked="0" layoutInCell="1" allowOverlap="1" wp14:anchorId="040D392C" wp14:editId="0A570855">
                <wp:simplePos x="0" y="0"/>
                <wp:positionH relativeFrom="margin">
                  <wp:posOffset>3835400</wp:posOffset>
                </wp:positionH>
                <wp:positionV relativeFrom="paragraph">
                  <wp:posOffset>1438910</wp:posOffset>
                </wp:positionV>
                <wp:extent cx="1784350" cy="260349"/>
                <wp:effectExtent l="6350" t="12065" r="9525" b="13334"/>
                <wp:wrapNone/>
                <wp:docPr id="1029" name="10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84350" cy="260349"/>
                        </a:xfrm>
                        <a:prstGeom prst="rect">
                          <a:avLst/>
                        </a:prstGeom>
                        <a:solidFill>
                          <a:srgbClr val="FFFFFF"/>
                        </a:solidFill>
                        <a:ln w="6350" cap="flat" cmpd="sng">
                          <a:solidFill>
                            <a:srgbClr val="000000"/>
                          </a:solidFill>
                          <a:prstDash val="solid"/>
                          <a:miter/>
                          <a:headEnd type="none" w="med" len="med"/>
                          <a:tailEnd type="none" w="med" len="med"/>
                        </a:ln>
                      </wps:spPr>
                      <wps:txbx>
                        <w:txbxContent>
                          <w:p w14:paraId="5032F11A" w14:textId="77777777" w:rsidR="00E77831" w:rsidRDefault="00000000">
                            <w:pPr>
                              <w:rPr>
                                <w:rFonts w:ascii="Arial" w:hAnsi="Arial" w:cs="Arial"/>
                                <w:b/>
                                <w:bCs/>
                              </w:rPr>
                            </w:pPr>
                            <w:r>
                              <w:rPr>
                                <w:rFonts w:ascii="Arial" w:hAnsi="Arial" w:cs="Arial"/>
                                <w:b/>
                                <w:bCs/>
                              </w:rPr>
                              <w:t>Value Chain</w:t>
                            </w:r>
                          </w:p>
                        </w:txbxContent>
                      </wps:txbx>
                      <wps:bodyPr vert="horz" wrap="square" lIns="91440" tIns="45720" rIns="91440" bIns="45720" anchor="t" upright="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040D392C" id="1030" o:spid="_x0000_s1028" style="position:absolute;margin-left:302pt;margin-top:113.3pt;width:140.5pt;height:20.5pt;z-index:9;visibility:visible;mso-wrap-style:square;mso-width-percent:0;mso-height-percent:0;mso-wrap-distance-left:0;mso-wrap-distance-top:0;mso-wrap-distance-right:0;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" strokeweight=".5pt">
                <v:path arrowok="t"/>
                <v:textbox>
                  <w:txbxContent>
                    <w:p w14:paraId="5032F11A" w14:textId="77777777" w:rsidR="00E77831" w:rsidRDefault="00000000">
                      <w:pPr>
                        <w:rPr>
                          <w:rFonts w:ascii="Arial" w:hAnsi="Arial" w:cs="Arial"/>
                          <w:b/>
                          <w:bCs/>
                        </w:rPr>
                      </w:pPr>
                      <w:r>
                        <w:rPr>
                          <w:rFonts w:ascii="Arial" w:hAnsi="Arial" w:cs="Arial"/>
                          <w:b/>
                          <w:bCs/>
                        </w:rPr>
                        <w:t>Value Chain</w:t>
                      </w:r>
                    </w:p>
                  </w:txbxContent>
                </v:textbox>
                <w10:wrap anchorx="margin"/>
              </v:rect>
            </w:pict>
          </mc:Fallback>
        </mc:AlternateContent>
      </w:r>
      <w:r>
        <w:rPr>
          <w:noProof/>
        </w:rPr>
        <mc:AlternateContent>
          <mc:Choice Requires="wps">
            <w:drawing>
              <wp:anchor distT="0" distB="0" distL="0" distR="0" simplePos="0" relativeHeight="8" behindDoc="0" locked="0" layoutInCell="1" allowOverlap="1" wp14:anchorId="47E752F6" wp14:editId="1066760C">
                <wp:simplePos x="0" y="0"/>
                <wp:positionH relativeFrom="column">
                  <wp:posOffset>3823970</wp:posOffset>
                </wp:positionH>
                <wp:positionV relativeFrom="paragraph">
                  <wp:posOffset>1078865</wp:posOffset>
                </wp:positionV>
                <wp:extent cx="1460500" cy="242569"/>
                <wp:effectExtent l="13970" t="13970" r="11430" b="10160"/>
                <wp:wrapNone/>
                <wp:docPr id="1030" name="10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0500" cy="242569"/>
                        </a:xfrm>
                        <a:prstGeom prst="rect">
                          <a:avLst/>
                        </a:prstGeom>
                        <a:solidFill>
                          <a:srgbClr val="FFFFFF"/>
                        </a:solidFill>
                        <a:ln w="6350" cap="flat" cmpd="sng">
                          <a:solidFill>
                            <a:srgbClr val="000000"/>
                          </a:solidFill>
                          <a:prstDash val="solid"/>
                          <a:miter/>
                          <a:headEnd type="none" w="med" len="med"/>
                          <a:tailEnd type="none" w="med" len="med"/>
                        </a:ln>
                      </wps:spPr>
                      <wps:txbx>
                        <w:txbxContent>
                          <w:p w14:paraId="4F791DEF" w14:textId="77777777" w:rsidR="00E77831" w:rsidRDefault="00000000">
                            <w:pPr>
                              <w:rPr>
                                <w:rFonts w:ascii="Arial" w:hAnsi="Arial" w:cs="Arial"/>
                                <w:b/>
                                <w:bCs/>
                              </w:rPr>
                            </w:pPr>
                            <w:r>
                              <w:rPr>
                                <w:rFonts w:ascii="Arial" w:hAnsi="Arial" w:cs="Arial"/>
                                <w:b/>
                                <w:bCs/>
                              </w:rPr>
                              <w:t>Customer Loyalty</w:t>
                            </w:r>
                          </w:p>
                        </w:txbxContent>
                      </wps:txbx>
                      <wps:bodyPr vert="horz" wrap="square" lIns="91440" tIns="45720" rIns="91440" bIns="45720" anchor="t" upright="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47E752F6" id="1031" o:spid="_x0000_s1029" style="position:absolute;margin-left:301.1pt;margin-top:84.95pt;width:115pt;height:19.1pt;z-index:8;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" strokeweight=".5pt">
                <v:path arrowok="t"/>
                <v:textbox>
                  <w:txbxContent>
                    <w:p w14:paraId="4F791DEF" w14:textId="77777777" w:rsidR="00E77831" w:rsidRDefault="00000000">
                      <w:pPr>
                        <w:rPr>
                          <w:rFonts w:ascii="Arial" w:hAnsi="Arial" w:cs="Arial"/>
                          <w:b/>
                          <w:bCs/>
                        </w:rPr>
                      </w:pPr>
                      <w:r>
                        <w:rPr>
                          <w:rFonts w:ascii="Arial" w:hAnsi="Arial" w:cs="Arial"/>
                          <w:b/>
                          <w:bCs/>
                        </w:rPr>
                        <w:t>Customer Loyalty</w:t>
                      </w:r>
                    </w:p>
                  </w:txbxContent>
                </v:textbox>
              </v:rect>
            </w:pict>
          </mc:Fallback>
        </mc:AlternateContent>
      </w:r>
      <w:r>
        <w:rPr>
          <w:noProof/>
        </w:rPr>
        <mc:AlternateContent>
          <mc:Choice Requires="wps">
            <w:drawing>
              <wp:anchor distT="0" distB="0" distL="0" distR="0" simplePos="0" relativeHeight="3" behindDoc="0" locked="0" layoutInCell="1" allowOverlap="1" wp14:anchorId="45CB5332" wp14:editId="24437EC8">
                <wp:simplePos x="0" y="0"/>
                <wp:positionH relativeFrom="column">
                  <wp:posOffset>3047365</wp:posOffset>
                </wp:positionH>
                <wp:positionV relativeFrom="paragraph">
                  <wp:posOffset>1045210</wp:posOffset>
                </wp:positionV>
                <wp:extent cx="471170" cy="97155"/>
                <wp:effectExtent l="0" t="104140" r="0" b="103504"/>
                <wp:wrapNone/>
                <wp:docPr id="1031" name="10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1740000">
                          <a:off x="0" y="0"/>
                          <a:ext cx="471170" cy="97155"/>
                        </a:xfrm>
                        <a:prstGeom prst="rightArrow">
                          <a:avLst>
                            <a:gd name="adj1" fmla="val 50000"/>
                            <a:gd name="adj2" fmla="val 50001"/>
                          </a:avLst>
                        </a:prstGeom>
                        <a:solidFill>
                          <a:srgbClr val="000000"/>
                        </a:solidFill>
                        <a:ln w="12700" cap="flat" cmpd="sng">
                          <a:solidFill>
                            <a:srgbClr val="000000"/>
                          </a:solidFill>
                          <a:prstDash val="solid"/>
                          <a:miter/>
                          <a:headEnd type="none" w="med" len="med"/>
                          <a:tailEnd type="none" w="med" len="med"/>
                        </a:ln>
                      </wps:spPr>
                      <wps:bodyPr>
                        <a:prstTxWarp prst="textNoShape">
                          <a:avLst/>
                        </a:prstTxWarp>
                      </wps:bodyPr>
                    </wps:wsp>
                  </a:graphicData>
                </a:graphic>
                <wp14:sizeRelH relativeFrom="margin">
                  <wp14:pctWidth>0</wp14:pctWidth>
                </wp14:sizeRelH>
                <wp14:sizeRelV relativeFrom="margin">
                  <wp14:pctHeight>0</wp14:pctHeight>
                </wp14:sizeRelV>
              </wp:anchor>
            </w:drawing>
          </mc:Choice>
          <mc:Fallback xmlns:wpsCustomData="http://www.wps.cn/officeDocument/2013/wpsCustomData">
            <w:pict>
              <v:shape id="1031" type="#_x0000_t13" adj="19374,5400," fillcolor="black" style="position:absolute;margin-left:239.95pt;margin-top:82.3pt;width:37.1pt;height:7.65pt;z-index:3;mso-position-horizontal-relative:text;mso-position-vertical-relative:text;mso-width-percent:0;mso-height-percent:0;mso-width-relative:margin;mso-height-relative:margin;mso-wrap-distance-left:0.0pt;mso-wrap-distance-right:0.0pt;visibility:visible;rotation:-1900544fd;">
                <v:stroke joinstyle="miter" weight="1.0pt"/>
                <v:fill/>
              </v:shape>
            </w:pict>
          </mc:Fallback>
        </mc:AlternateContent>
      </w:r>
      <w:r>
        <w:rPr>
          <w:noProof/>
        </w:rPr>
        <mc:AlternateContent>
          <mc:Choice Requires="wps">
            <w:drawing>
              <wp:anchor distT="0" distB="0" distL="0" distR="0" simplePos="0" relativeHeight="7" behindDoc="0" locked="0" layoutInCell="1" allowOverlap="1" wp14:anchorId="4C637B6C" wp14:editId="1F82C3FD">
                <wp:simplePos x="0" y="0"/>
                <wp:positionH relativeFrom="column">
                  <wp:posOffset>3601720</wp:posOffset>
                </wp:positionH>
                <wp:positionV relativeFrom="paragraph">
                  <wp:posOffset>666115</wp:posOffset>
                </wp:positionV>
                <wp:extent cx="2717800" cy="330199"/>
                <wp:effectExtent l="10795" t="10795" r="5080" b="11430"/>
                <wp:wrapNone/>
                <wp:docPr id="1032" name="10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717800" cy="330199"/>
                        </a:xfrm>
                        <a:prstGeom prst="rect">
                          <a:avLst/>
                        </a:prstGeom>
                        <a:solidFill>
                          <a:srgbClr val="FFFFFF"/>
                        </a:solidFill>
                        <a:ln w="6350" cap="flat" cmpd="sng">
                          <a:solidFill>
                            <a:srgbClr val="000000"/>
                          </a:solidFill>
                          <a:prstDash val="solid"/>
                          <a:miter/>
                          <a:headEnd type="none" w="med" len="med"/>
                          <a:tailEnd type="none" w="med" len="med"/>
                        </a:ln>
                      </wps:spPr>
                      <wps:txbx>
                        <w:txbxContent>
                          <w:p w14:paraId="2743616F" w14:textId="77777777" w:rsidR="00E77831" w:rsidRDefault="00000000">
                            <w:pPr>
                              <w:rPr>
                                <w:rFonts w:ascii="Arial" w:hAnsi="Arial" w:cs="Arial"/>
                                <w:b/>
                                <w:bCs/>
                              </w:rPr>
                            </w:pPr>
                            <w:r>
                              <w:rPr>
                                <w:rFonts w:ascii="Arial" w:hAnsi="Arial" w:cs="Arial"/>
                                <w:b/>
                                <w:bCs/>
                              </w:rPr>
                              <w:t>Sustainable Competitive Advantage</w:t>
                            </w:r>
                          </w:p>
                        </w:txbxContent>
                      </wps:txbx>
                      <wps:bodyPr vert="horz" wrap="square" lIns="91440" tIns="45720" rIns="91440" bIns="45720" anchor="t" upright="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C637B6C" id="1033" o:spid="_x0000_s1030" style="position:absolute;margin-left:283.6pt;margin-top:52.45pt;width:214pt;height:26pt;z-index:7;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" strokeweight=".5pt">
                <v:path arrowok="t"/>
                <v:textbox>
                  <w:txbxContent>
                    <w:p w14:paraId="2743616F" w14:textId="77777777" w:rsidR="00E77831" w:rsidRDefault="00000000">
                      <w:pPr>
                        <w:rPr>
                          <w:rFonts w:ascii="Arial" w:hAnsi="Arial" w:cs="Arial"/>
                          <w:b/>
                          <w:bCs/>
                        </w:rPr>
                      </w:pPr>
                      <w:r>
                        <w:rPr>
                          <w:rFonts w:ascii="Arial" w:hAnsi="Arial" w:cs="Arial"/>
                          <w:b/>
                          <w:bCs/>
                        </w:rPr>
                        <w:t>Sustainable Competitive Advantage</w:t>
                      </w:r>
                    </w:p>
                  </w:txbxContent>
                </v:textbox>
              </v:rect>
            </w:pict>
          </mc:Fallback>
        </mc:AlternateContent>
      </w:r>
      <w:r>
        <w:rPr>
          <w:noProof/>
        </w:rPr>
        <mc:AlternateContent>
          <mc:Choice Requires="wps">
            <w:drawing>
              <wp:anchor distT="0" distB="0" distL="0" distR="0" simplePos="0" relativeHeight="5" behindDoc="0" locked="0" layoutInCell="1" allowOverlap="1" wp14:anchorId="76A58E02" wp14:editId="4845DF68">
                <wp:simplePos x="0" y="0"/>
                <wp:positionH relativeFrom="column">
                  <wp:posOffset>3340100</wp:posOffset>
                </wp:positionH>
                <wp:positionV relativeFrom="paragraph">
                  <wp:posOffset>1510665</wp:posOffset>
                </wp:positionV>
                <wp:extent cx="459104" cy="106680"/>
                <wp:effectExtent l="6350" t="26669" r="20320" b="28575"/>
                <wp:wrapNone/>
                <wp:docPr id="1033" name="10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9104" cy="106680"/>
                        </a:xfrm>
                        <a:prstGeom prst="rightArrow">
                          <a:avLst>
                            <a:gd name="adj1" fmla="val 50000"/>
                            <a:gd name="adj2" fmla="val 50049"/>
                          </a:avLst>
                        </a:prstGeom>
                        <a:solidFill>
                          <a:srgbClr val="000000"/>
                        </a:solidFill>
                        <a:ln w="12700" cap="flat" cmpd="sng">
                          <a:solidFill>
                            <a:srgbClr val="000000"/>
                          </a:solidFill>
                          <a:prstDash val="solid"/>
                          <a:miter/>
                          <a:headEnd type="none" w="med" len="med"/>
                          <a:tailEnd type="none" w="med" len="med"/>
                        </a:ln>
                      </wps:spPr>
                      <wps:bodyPr>
                        <a:prstTxWarp prst="textNoShape">
                          <a:avLst/>
                        </a:prstTxWarp>
                      </wps:bodyPr>
                    </wps:wsp>
                  </a:graphicData>
                </a:graphic>
                <wp14:sizeRelH relativeFrom="margin">
                  <wp14:pctWidth>0</wp14:pctWidth>
                </wp14:sizeRelH>
                <wp14:sizeRelV relativeFrom="margin">
                  <wp14:pctHeight>0</wp14:pctHeight>
                </wp14:sizeRelV>
              </wp:anchor>
            </w:drawing>
          </mc:Choice>
          <mc:Fallback xmlns:wpsCustomData="http://www.wps.cn/officeDocument/2013/wpsCustomData">
            <w:pict>
              <v:shape id="1033" type="#_x0000_t13" adj="19088,5400," fillcolor="black" style="position:absolute;margin-left:263.0pt;margin-top:118.95pt;width:36.15pt;height:8.4pt;z-index:5;mso-position-horizontal-relative:text;mso-position-vertical-relative:text;mso-width-percent:0;mso-height-percent:0;mso-width-relative:margin;mso-height-relative:margin;mso-wrap-distance-left:0.0pt;mso-wrap-distance-right:0.0pt;visibility:visible;">
                <v:stroke joinstyle="miter" weight="1.0pt"/>
                <v:fill/>
              </v:shape>
            </w:pict>
          </mc:Fallback>
        </mc:AlternateContent>
      </w:r>
      <w:r>
        <w:rPr>
          <w:noProof/>
        </w:rPr>
        <mc:AlternateContent>
          <mc:Choice Requires="wps">
            <w:drawing>
              <wp:anchor distT="0" distB="0" distL="0" distR="0" simplePos="0" relativeHeight="4" behindDoc="0" locked="0" layoutInCell="1" allowOverlap="1" wp14:anchorId="3B987C36" wp14:editId="63E1FEE1">
                <wp:simplePos x="0" y="0"/>
                <wp:positionH relativeFrom="column">
                  <wp:posOffset>3346450</wp:posOffset>
                </wp:positionH>
                <wp:positionV relativeFrom="paragraph">
                  <wp:posOffset>1212215</wp:posOffset>
                </wp:positionV>
                <wp:extent cx="420370" cy="102869"/>
                <wp:effectExtent l="22225" t="61594" r="14605" b="45085"/>
                <wp:wrapNone/>
                <wp:docPr id="1034" name="10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840000">
                          <a:off x="0" y="0"/>
                          <a:ext cx="420370" cy="102869"/>
                        </a:xfrm>
                        <a:prstGeom prst="rightArrow">
                          <a:avLst>
                            <a:gd name="adj1" fmla="val 50000"/>
                            <a:gd name="adj2" fmla="val 49926"/>
                          </a:avLst>
                        </a:prstGeom>
                        <a:solidFill>
                          <a:srgbClr val="000000"/>
                        </a:solidFill>
                        <a:ln w="12700" cap="flat" cmpd="sng">
                          <a:solidFill>
                            <a:srgbClr val="000000"/>
                          </a:solidFill>
                          <a:prstDash val="solid"/>
                          <a:miter/>
                          <a:headEnd type="none" w="med" len="med"/>
                          <a:tailEnd type="none" w="med" len="med"/>
                        </a:ln>
                      </wps:spPr>
                      <wps:bodyPr>
                        <a:prstTxWarp prst="textNoShape">
                          <a:avLst/>
                        </a:prstTxWarp>
                      </wps:bodyPr>
                    </wps:wsp>
                  </a:graphicData>
                </a:graphic>
                <wp14:sizeRelH relativeFrom="margin">
                  <wp14:pctWidth>0</wp14:pctWidth>
                </wp14:sizeRelH>
                <wp14:sizeRelV relativeFrom="margin">
                  <wp14:pctHeight>0</wp14:pctHeight>
                </wp14:sizeRelV>
              </wp:anchor>
            </w:drawing>
          </mc:Choice>
          <mc:Fallback xmlns:wpsCustomData="http://www.wps.cn/officeDocument/2013/wpsCustomData">
            <w:pict>
              <v:shape id="1034" type="#_x0000_t13" adj="18962,5400," fillcolor="black" style="position:absolute;margin-left:263.5pt;margin-top:95.45pt;width:33.1pt;height:8.1pt;z-index:4;mso-position-horizontal-relative:text;mso-position-vertical-relative:text;mso-width-percent:0;mso-height-percent:0;mso-width-relative:margin;mso-height-relative:margin;mso-wrap-distance-left:0.0pt;mso-wrap-distance-right:0.0pt;visibility:visible;rotation:-917504fd;">
                <v:stroke joinstyle="miter" weight="1.0pt"/>
                <v:fill/>
              </v:shape>
            </w:pict>
          </mc:Fallback>
        </mc:AlternateContent>
      </w:r>
      <w:r>
        <w:rPr>
          <w:rFonts w:ascii="Arial" w:hAnsi="Arial" w:cs="Arial"/>
          <w:noProof/>
          <w:sz w:val="24"/>
          <w:szCs w:val="24"/>
        </w:rPr>
        <w:drawing>
          <wp:inline distT="0" distB="0" distL="0" distR="0" wp14:anchorId="6FFBE0B7" wp14:editId="2CE8CAA9">
            <wp:extent cx="5486400" cy="3200400"/>
            <wp:effectExtent l="0" t="0" r="0" b="19050"/>
            <wp:docPr id="1035" name="Diagram 1"/>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617D935F" w14:textId="77777777" w:rsidR="00E77831" w:rsidRDefault="00000000">
      <w:pPr>
        <w:spacing w:line="360" w:lineRule="auto"/>
        <w:rPr>
          <w:rFonts w:ascii="Arial" w:hAnsi="Arial" w:cs="Arial"/>
          <w:sz w:val="24"/>
          <w:szCs w:val="24"/>
        </w:rPr>
      </w:pPr>
      <w:r>
        <w:rPr>
          <w:rFonts w:ascii="Arial" w:hAnsi="Arial" w:cs="Arial"/>
          <w:sz w:val="24"/>
          <w:szCs w:val="24"/>
        </w:rPr>
        <w:t>Green Marketing mix involves a marketing mix technique in a greener way. It includes Green Management of product, price, place, and promotion in such a way that benefits the environment, customers, and organizations. It has become a managerial concept to enhance the image and reputation of a company by casing its environmentally friendly operations, which are guided by upholding moral principles, conducting social and environmental obligations, and interacting with stakeholders in the business and community (Kumar &amp; Ghodeswar, 2015, p. 50).</w:t>
      </w:r>
    </w:p>
    <w:p w14:paraId="298B8153" w14:textId="2DC15205" w:rsidR="00E77831" w:rsidRDefault="00000000">
      <w:pPr>
        <w:spacing w:line="360" w:lineRule="auto"/>
        <w:rPr>
          <w:rFonts w:ascii="Arial" w:hAnsi="Arial" w:cs="Arial"/>
          <w:b/>
          <w:bCs/>
          <w:sz w:val="28"/>
          <w:szCs w:val="28"/>
        </w:rPr>
      </w:pPr>
      <w:r>
        <w:rPr>
          <w:rFonts w:ascii="Arial" w:hAnsi="Arial" w:cs="Arial"/>
          <w:b/>
          <w:bCs/>
          <w:sz w:val="28"/>
          <w:szCs w:val="28"/>
        </w:rPr>
        <w:t>Green product</w:t>
      </w:r>
      <w:r w:rsidR="00733FCF">
        <w:rPr>
          <w:rFonts w:ascii="Arial" w:hAnsi="Arial" w:cs="Arial"/>
          <w:b/>
          <w:bCs/>
          <w:sz w:val="28"/>
          <w:szCs w:val="28"/>
        </w:rPr>
        <w:t>:</w:t>
      </w:r>
    </w:p>
    <w:p w14:paraId="67ED1083" w14:textId="77777777" w:rsidR="00E77831" w:rsidRDefault="00000000">
      <w:pPr>
        <w:spacing w:line="360" w:lineRule="auto"/>
        <w:rPr>
          <w:rFonts w:ascii="Arial" w:hAnsi="Arial" w:cs="Arial"/>
          <w:sz w:val="24"/>
          <w:szCs w:val="24"/>
        </w:rPr>
      </w:pPr>
      <w:r>
        <w:rPr>
          <w:rFonts w:ascii="Arial" w:hAnsi="Arial" w:cs="Arial"/>
          <w:sz w:val="24"/>
          <w:szCs w:val="24"/>
        </w:rPr>
        <w:lastRenderedPageBreak/>
        <w:t xml:space="preserve">Green products are minimally packaged, long-lasting, non-toxic, and composed of recycled materials (Durif et al., 2010, p. 25) Product is the core and the biggest part of a green Marketing strategy. It is not only limited to the final object but includes all elements which include green elements used in product formation, packaging, etc. </w:t>
      </w:r>
    </w:p>
    <w:p w14:paraId="0C9F56BF" w14:textId="77777777" w:rsidR="00E77831" w:rsidRDefault="00000000">
      <w:pPr>
        <w:spacing w:line="360" w:lineRule="auto"/>
        <w:rPr>
          <w:rFonts w:ascii="Arial" w:hAnsi="Arial" w:cs="Arial"/>
          <w:sz w:val="24"/>
          <w:szCs w:val="24"/>
        </w:rPr>
      </w:pPr>
      <w:r>
        <w:rPr>
          <w:rFonts w:ascii="Arial" w:hAnsi="Arial" w:cs="Arial"/>
          <w:sz w:val="24"/>
          <w:szCs w:val="24"/>
        </w:rPr>
        <w:t>A green product can be considered as one that fulfils the same functions as the corresponding traditional product but causes less damage to the environment (Mahmoud, 2019, p. 22). It is the major factor that is responsible for the organization's success. The term “Green product” in business is often used to describe those who strive while saving to protect or improve the natural environment (Mahmoud, 2019 p. 22).</w:t>
      </w:r>
    </w:p>
    <w:p w14:paraId="57CF991A" w14:textId="3CB9072C" w:rsidR="00E77831" w:rsidRDefault="00000000">
      <w:pPr>
        <w:spacing w:line="360" w:lineRule="auto"/>
        <w:rPr>
          <w:rFonts w:ascii="Arial" w:hAnsi="Arial" w:cs="Arial"/>
          <w:sz w:val="28"/>
          <w:szCs w:val="28"/>
        </w:rPr>
      </w:pPr>
      <w:r>
        <w:rPr>
          <w:rFonts w:ascii="Arial" w:hAnsi="Arial" w:cs="Arial"/>
          <w:b/>
          <w:bCs/>
          <w:sz w:val="28"/>
          <w:szCs w:val="28"/>
        </w:rPr>
        <w:t>Green price</w:t>
      </w:r>
      <w:r w:rsidR="00733FCF">
        <w:rPr>
          <w:rFonts w:ascii="Arial" w:hAnsi="Arial" w:cs="Arial"/>
          <w:b/>
          <w:bCs/>
          <w:sz w:val="28"/>
          <w:szCs w:val="28"/>
        </w:rPr>
        <w:t>:</w:t>
      </w:r>
      <w:r>
        <w:rPr>
          <w:rFonts w:ascii="Arial" w:hAnsi="Arial" w:cs="Arial"/>
          <w:b/>
          <w:bCs/>
          <w:sz w:val="28"/>
          <w:szCs w:val="28"/>
        </w:rPr>
        <w:t xml:space="preserve"> </w:t>
      </w:r>
    </w:p>
    <w:p w14:paraId="523171BB" w14:textId="77777777" w:rsidR="00E77831" w:rsidRDefault="00000000">
      <w:pPr>
        <w:spacing w:line="360" w:lineRule="auto"/>
        <w:rPr>
          <w:rFonts w:ascii="Arial" w:hAnsi="Arial" w:cs="Arial"/>
          <w:sz w:val="24"/>
          <w:szCs w:val="24"/>
        </w:rPr>
      </w:pPr>
      <w:r>
        <w:rPr>
          <w:rFonts w:ascii="Arial" w:hAnsi="Arial" w:cs="Arial"/>
          <w:sz w:val="24"/>
          <w:szCs w:val="24"/>
        </w:rPr>
        <w:t>Green price is the most essential element of the green marketing mix. Green products that are responsible for maintaining the health of committees, employees, organizations, surroundings, and the environment must have additional value in them. The price set up According to the rules and regulations is known as a Green Price. Going green involves high costs for the installation of new machinery and technology, employer training, external cost absorption, and waste conversion into recycled products. Costs are inextricably included in a product's final price. Thus, the green price is a premium price that goes up even more when the cost of promotion is factored in (Eneizan et al., 2016, p. 16).</w:t>
      </w:r>
    </w:p>
    <w:p w14:paraId="4DE4F35E" w14:textId="77777777" w:rsidR="00E77831" w:rsidRDefault="00000000">
      <w:pPr>
        <w:spacing w:line="360" w:lineRule="auto"/>
        <w:rPr>
          <w:rFonts w:ascii="Arial" w:hAnsi="Arial" w:cs="Arial"/>
          <w:sz w:val="24"/>
          <w:szCs w:val="24"/>
        </w:rPr>
      </w:pPr>
      <w:r>
        <w:rPr>
          <w:rFonts w:ascii="Arial" w:hAnsi="Arial" w:cs="Arial"/>
          <w:sz w:val="24"/>
          <w:szCs w:val="24"/>
        </w:rPr>
        <w:t>Mostly customers are attracted by the green product not taking care of the inflated cost. Cost reduction strategy According to Porter helps in achieving sustainable competitive advantage as this provides the most suitable product at a low cost (Boztepe, 2012, p. 11).</w:t>
      </w:r>
    </w:p>
    <w:p w14:paraId="63592E38" w14:textId="62C63868" w:rsidR="00E77831" w:rsidRDefault="00000000">
      <w:pPr>
        <w:spacing w:line="360" w:lineRule="auto"/>
        <w:rPr>
          <w:rFonts w:ascii="Arial" w:hAnsi="Arial" w:cs="Arial"/>
          <w:b/>
          <w:bCs/>
          <w:sz w:val="28"/>
          <w:szCs w:val="28"/>
        </w:rPr>
      </w:pPr>
      <w:r>
        <w:rPr>
          <w:rFonts w:ascii="Arial" w:hAnsi="Arial" w:cs="Arial"/>
          <w:b/>
          <w:bCs/>
          <w:sz w:val="28"/>
          <w:szCs w:val="28"/>
        </w:rPr>
        <w:t>Green Place</w:t>
      </w:r>
      <w:r w:rsidR="00733FCF">
        <w:rPr>
          <w:rFonts w:ascii="Arial" w:hAnsi="Arial" w:cs="Arial"/>
          <w:b/>
          <w:bCs/>
          <w:sz w:val="28"/>
          <w:szCs w:val="28"/>
        </w:rPr>
        <w:t>:</w:t>
      </w:r>
      <w:r>
        <w:rPr>
          <w:rFonts w:ascii="Arial" w:hAnsi="Arial" w:cs="Arial"/>
          <w:b/>
          <w:bCs/>
          <w:sz w:val="28"/>
          <w:szCs w:val="28"/>
        </w:rPr>
        <w:t xml:space="preserve"> </w:t>
      </w:r>
    </w:p>
    <w:p w14:paraId="6F4F08B6" w14:textId="77777777" w:rsidR="00E77831" w:rsidRDefault="00000000">
      <w:pPr>
        <w:spacing w:line="360" w:lineRule="auto"/>
        <w:rPr>
          <w:rFonts w:ascii="Arial" w:hAnsi="Arial" w:cs="Arial"/>
          <w:b/>
          <w:bCs/>
          <w:sz w:val="28"/>
          <w:szCs w:val="28"/>
        </w:rPr>
      </w:pPr>
      <w:r>
        <w:rPr>
          <w:rFonts w:ascii="Arial" w:hAnsi="Arial" w:cs="Arial"/>
          <w:sz w:val="24"/>
          <w:szCs w:val="24"/>
        </w:rPr>
        <w:t xml:space="preserve">Place indicates the location where an organization supplies its products. Green location means logistics management that reduces traffic emissions, which means an effect </w:t>
      </w:r>
      <w:r>
        <w:rPr>
          <w:rFonts w:ascii="Arial" w:hAnsi="Arial" w:cs="Arial"/>
          <w:sz w:val="24"/>
          <w:szCs w:val="24"/>
        </w:rPr>
        <w:lastRenderedPageBreak/>
        <w:t>aimed at reducing the carbon footprint. It includes a cycling procedure to protect the environment (Mahmoud, 2019, p. 128).</w:t>
      </w:r>
    </w:p>
    <w:p w14:paraId="460E1D50" w14:textId="1B5983E2" w:rsidR="00E77831" w:rsidRDefault="00000000">
      <w:pPr>
        <w:spacing w:line="360" w:lineRule="auto"/>
        <w:rPr>
          <w:rFonts w:ascii="Arial" w:hAnsi="Arial" w:cs="Arial"/>
          <w:b/>
          <w:bCs/>
          <w:sz w:val="28"/>
          <w:szCs w:val="28"/>
        </w:rPr>
      </w:pPr>
      <w:r>
        <w:rPr>
          <w:rFonts w:ascii="Arial" w:hAnsi="Arial" w:cs="Arial"/>
          <w:b/>
          <w:bCs/>
          <w:sz w:val="28"/>
          <w:szCs w:val="28"/>
        </w:rPr>
        <w:t>Green promotion</w:t>
      </w:r>
      <w:r w:rsidR="00733FCF">
        <w:rPr>
          <w:rFonts w:ascii="Arial" w:hAnsi="Arial" w:cs="Arial"/>
          <w:b/>
          <w:bCs/>
          <w:sz w:val="28"/>
          <w:szCs w:val="28"/>
        </w:rPr>
        <w:t>:</w:t>
      </w:r>
    </w:p>
    <w:p w14:paraId="26874ED2" w14:textId="77777777" w:rsidR="00E77831" w:rsidRDefault="00000000">
      <w:pPr>
        <w:spacing w:line="360" w:lineRule="auto"/>
        <w:rPr>
          <w:rFonts w:ascii="Arial" w:hAnsi="Arial" w:cs="Arial"/>
          <w:sz w:val="24"/>
          <w:szCs w:val="24"/>
        </w:rPr>
      </w:pPr>
      <w:r>
        <w:rPr>
          <w:rFonts w:ascii="Arial" w:hAnsi="Arial" w:cs="Arial"/>
          <w:sz w:val="24"/>
          <w:szCs w:val="24"/>
        </w:rPr>
        <w:t>Green promotion plays a significant role in achieving sustainable competitive advantage. It includes promoting and advertising a product in a greener way. Green advertising is a form of advertising that discusses either directly or indirectly how a good or service interacts with the biophysical environment and encourages a green lifestyle that shows a company's environmental responsibilities. Green advertising aims to appeal to consumers' needs and aspirations regarding health and environmental concerns from a variety of angles, such as ecology, sustainability, and a polluted environment (Mahmoud, 2019, p. 128).</w:t>
      </w:r>
    </w:p>
    <w:p w14:paraId="2FE79014" w14:textId="77777777" w:rsidR="00E77831" w:rsidRDefault="00000000">
      <w:pPr>
        <w:spacing w:line="360" w:lineRule="auto"/>
        <w:rPr>
          <w:rFonts w:ascii="Arial" w:hAnsi="Arial" w:cs="Arial"/>
          <w:sz w:val="24"/>
          <w:szCs w:val="24"/>
        </w:rPr>
      </w:pPr>
      <w:r>
        <w:rPr>
          <w:rFonts w:ascii="Arial" w:hAnsi="Arial" w:cs="Arial"/>
          <w:sz w:val="24"/>
          <w:szCs w:val="24"/>
        </w:rPr>
        <w:t>Planet, people, surroundings, and organization health are considered in green promotion. It includes the use of social media apps such as YouTube, Facebook, Twitter, etc, white papers, websites, and marketing collateral that have a positive impact on the environment. Green advertising is the use of promotional messaging to appeal the people who care about the environment (Mahmoud, 2018, p.129).</w:t>
      </w:r>
    </w:p>
    <w:p w14:paraId="618F152C" w14:textId="77777777" w:rsidR="00E77831" w:rsidRDefault="00000000">
      <w:pPr>
        <w:spacing w:line="360" w:lineRule="auto"/>
        <w:rPr>
          <w:rFonts w:ascii="Arial" w:hAnsi="Arial" w:cs="Arial"/>
          <w:sz w:val="24"/>
          <w:szCs w:val="24"/>
        </w:rPr>
      </w:pPr>
      <w:r>
        <w:rPr>
          <w:rFonts w:ascii="Arial" w:hAnsi="Arial" w:cs="Arial"/>
          <w:sz w:val="24"/>
          <w:szCs w:val="24"/>
        </w:rPr>
        <w:t>A Green Marketing mix strategy is responsible for achieving a sustainable competitive advantage. Sustainable competitiveness involves sustainable development. Sustainable development works upon the sustainable strategy. It involves meeting the customer needs presently along with saving for the future generation. It involves protecting the environment, surroundings, and planet. Sustainable competitive advantage is the key factor for an organization’s success. It results in gaining customer loyalty and the value chain of the customers. A green Marketing mix is responsible for increasing the purchase intention of the customer (Maravcikova et al., 2017, p. 2).</w:t>
      </w:r>
    </w:p>
    <w:p w14:paraId="492C24E2" w14:textId="77777777" w:rsidR="00E77831" w:rsidRDefault="00000000">
      <w:pPr>
        <w:spacing w:line="360" w:lineRule="auto"/>
        <w:rPr>
          <w:rFonts w:ascii="Arial" w:hAnsi="Arial" w:cs="Arial"/>
          <w:sz w:val="24"/>
          <w:szCs w:val="24"/>
        </w:rPr>
      </w:pPr>
      <w:r>
        <w:rPr>
          <w:rFonts w:ascii="Arial" w:hAnsi="Arial" w:cs="Arial"/>
          <w:sz w:val="24"/>
          <w:szCs w:val="24"/>
        </w:rPr>
        <w:t xml:space="preserve">Toyota is an automobile industry that gained huge importance in the business. It adopted a green marketing mix strategy to gain a sustainable competitive advantage. </w:t>
      </w:r>
    </w:p>
    <w:p w14:paraId="3D8FBB28" w14:textId="77777777" w:rsidR="00E77831" w:rsidRDefault="00000000">
      <w:pPr>
        <w:spacing w:line="360" w:lineRule="auto"/>
        <w:rPr>
          <w:rFonts w:ascii="Arial" w:hAnsi="Arial" w:cs="Arial"/>
          <w:sz w:val="24"/>
          <w:szCs w:val="24"/>
        </w:rPr>
      </w:pPr>
      <w:r>
        <w:rPr>
          <w:rFonts w:ascii="Arial" w:hAnsi="Arial" w:cs="Arial"/>
          <w:sz w:val="24"/>
          <w:szCs w:val="24"/>
        </w:rPr>
        <w:t xml:space="preserve">According to Michael Porter, when a company engages in similar activities as rival companies and generates economic value in a market or industry, it enjoys a competitive advantage. In 1991, Barney claimed that a company can gain a competitive </w:t>
      </w:r>
      <w:r>
        <w:rPr>
          <w:rFonts w:ascii="Arial" w:hAnsi="Arial" w:cs="Arial"/>
          <w:sz w:val="24"/>
          <w:szCs w:val="24"/>
        </w:rPr>
        <w:lastRenderedPageBreak/>
        <w:t>advantage by implementing a value-creating strategy at a time when no existing or potential competitors are doing so. Sustainable competitive advantage works upon sustainable development. Differentiation strategy and cost reduction strategy are the main reasons for an organization to gain a sustainable competitive advantage (Shannassy, 2008, p. 169).</w:t>
      </w:r>
    </w:p>
    <w:p w14:paraId="4E0BCB31" w14:textId="77777777" w:rsidR="00E77831" w:rsidRDefault="00000000">
      <w:pPr>
        <w:spacing w:line="360" w:lineRule="auto"/>
        <w:rPr>
          <w:rFonts w:ascii="Arial" w:hAnsi="Arial" w:cs="Arial"/>
          <w:sz w:val="24"/>
          <w:szCs w:val="24"/>
        </w:rPr>
      </w:pPr>
      <w:r>
        <w:rPr>
          <w:rFonts w:ascii="Arial" w:hAnsi="Arial" w:cs="Arial"/>
          <w:sz w:val="24"/>
          <w:szCs w:val="24"/>
        </w:rPr>
        <w:t>Toyota in the UK adopted the green marketing mix strategy. A green Marketing mix is responsible for the differentiation of products, design, manufacturing, and cost reduction activities which in turn are responsible for gaining customer loyalty, and customer satisfaction, and attaining the sustainable development advantage.</w:t>
      </w:r>
    </w:p>
    <w:p w14:paraId="357EF297" w14:textId="33ABE3BF" w:rsidR="00E77831" w:rsidRDefault="00000000">
      <w:pPr>
        <w:spacing w:line="360" w:lineRule="auto"/>
        <w:rPr>
          <w:rFonts w:ascii="Arial" w:hAnsi="Arial" w:cs="Arial"/>
          <w:sz w:val="28"/>
          <w:szCs w:val="28"/>
        </w:rPr>
      </w:pPr>
      <w:r>
        <w:rPr>
          <w:rFonts w:ascii="Arial" w:hAnsi="Arial" w:cs="Arial"/>
          <w:b/>
          <w:bCs/>
          <w:sz w:val="28"/>
          <w:szCs w:val="28"/>
        </w:rPr>
        <w:t xml:space="preserve"> 2.3 - Toyota in the UK</w:t>
      </w:r>
      <w:r w:rsidR="00733FCF">
        <w:rPr>
          <w:rFonts w:ascii="Arial" w:hAnsi="Arial" w:cs="Arial"/>
          <w:b/>
          <w:bCs/>
          <w:sz w:val="28"/>
          <w:szCs w:val="28"/>
        </w:rPr>
        <w:t>:</w:t>
      </w:r>
      <w:r>
        <w:rPr>
          <w:rFonts w:ascii="Arial" w:hAnsi="Arial" w:cs="Arial"/>
          <w:b/>
          <w:bCs/>
          <w:sz w:val="28"/>
          <w:szCs w:val="28"/>
        </w:rPr>
        <w:t xml:space="preserve"> </w:t>
      </w:r>
    </w:p>
    <w:p w14:paraId="622D51E3" w14:textId="77777777" w:rsidR="00E77831" w:rsidRDefault="00000000">
      <w:pPr>
        <w:spacing w:line="360" w:lineRule="auto"/>
        <w:rPr>
          <w:rFonts w:ascii="Arial" w:hAnsi="Arial" w:cs="Arial"/>
          <w:sz w:val="24"/>
          <w:szCs w:val="24"/>
        </w:rPr>
      </w:pPr>
      <w:r>
        <w:rPr>
          <w:rFonts w:ascii="Arial" w:hAnsi="Arial" w:cs="Arial"/>
          <w:sz w:val="24"/>
          <w:szCs w:val="24"/>
        </w:rPr>
        <w:t>The Toyota production system in the UK is known as the Global production system. With two manufacturing facilities in the UK, the company has invested a total of £2.75 billion and employs about 3,000 people (including the Agency). The engine manufacturing facility is in Deeside, North Wales, and the car manufacturing facility is in Burnaston, Derbyshire.</w:t>
      </w:r>
    </w:p>
    <w:p w14:paraId="7FAB52CB" w14:textId="77777777" w:rsidR="00E77831" w:rsidRDefault="00000000">
      <w:pPr>
        <w:spacing w:line="360" w:lineRule="auto"/>
        <w:rPr>
          <w:rFonts w:ascii="Arial" w:hAnsi="Arial" w:cs="Arial"/>
          <w:sz w:val="24"/>
          <w:szCs w:val="24"/>
        </w:rPr>
      </w:pPr>
      <w:r>
        <w:rPr>
          <w:rFonts w:ascii="Arial" w:hAnsi="Arial" w:cs="Arial"/>
          <w:sz w:val="24"/>
          <w:szCs w:val="24"/>
        </w:rPr>
        <w:t xml:space="preserve">On December 16, 1992, the first vehicle, a Carina E, rolled off the Burnaston assembly line. This was later replaced in 1997 by the Avensis, which went through three generations of ownership. 1,936,572nd Toyota Avensis in July 2018 is the last vehicle to leave the factory. The Corolla's 1998 debut helped prepare the way for the 2001 release of the Corolla's new generation. Then, the Corolla was replaced in 2007 by the Auris, a new Toyota hatchback. The Auris Touring Sport was produced in 2013 and the Auris Hybrid, the first fully mass-produced hybrid in Europe, in 2010. </w:t>
      </w:r>
    </w:p>
    <w:p w14:paraId="6A943413" w14:textId="77777777" w:rsidR="00E77831" w:rsidRDefault="00000000">
      <w:pPr>
        <w:spacing w:line="360" w:lineRule="auto"/>
        <w:rPr>
          <w:noProof/>
        </w:rPr>
      </w:pPr>
      <w:r>
        <w:rPr>
          <w:rFonts w:ascii="Arial" w:hAnsi="Arial" w:cs="Arial"/>
          <w:sz w:val="24"/>
          <w:szCs w:val="24"/>
        </w:rPr>
        <w:t xml:space="preserve">The future of TMUK is the new Corolla with its Touring Sports variant, which replaced the Auris as the first model to deploy Toyota's dual hybrid approach. Toyota is the industry leader in the development of hybrid vehicles. The new Corolla began rolling off our production lines in January 2019 (Home, 2023).                                     </w:t>
      </w:r>
    </w:p>
    <w:p w14:paraId="529EA055" w14:textId="77777777" w:rsidR="00E77831" w:rsidRDefault="00000000">
      <w:pPr>
        <w:spacing w:line="360" w:lineRule="auto"/>
        <w:rPr>
          <w:rFonts w:ascii="Arial" w:hAnsi="Arial" w:cs="Arial"/>
          <w:sz w:val="24"/>
          <w:szCs w:val="24"/>
        </w:rPr>
      </w:pPr>
      <w:r>
        <w:rPr>
          <w:rFonts w:ascii="Arial" w:hAnsi="Arial" w:cs="Arial"/>
          <w:sz w:val="24"/>
          <w:szCs w:val="24"/>
        </w:rPr>
        <w:t xml:space="preserve">A green Marketing strategy must address several essential areas to gain a competitive edge, including product development, positioning, pricing, application of green logistics, </w:t>
      </w:r>
      <w:r>
        <w:rPr>
          <w:rFonts w:ascii="Arial" w:hAnsi="Arial" w:cs="Arial"/>
          <w:sz w:val="24"/>
          <w:szCs w:val="24"/>
        </w:rPr>
        <w:lastRenderedPageBreak/>
        <w:t>appropriate waste management, prompt launch, and green partnership formation (Arseculeratne &amp; Yazdanifard, 2013, p. 131).</w:t>
      </w:r>
    </w:p>
    <w:p w14:paraId="2A79B825" w14:textId="77777777" w:rsidR="00E77831" w:rsidRDefault="00000000">
      <w:pPr>
        <w:spacing w:line="360" w:lineRule="auto"/>
        <w:rPr>
          <w:rFonts w:ascii="Arial" w:hAnsi="Arial" w:cs="Arial"/>
          <w:sz w:val="24"/>
          <w:szCs w:val="24"/>
        </w:rPr>
      </w:pPr>
      <w:r>
        <w:rPr>
          <w:rFonts w:ascii="Arial" w:hAnsi="Arial" w:cs="Arial"/>
          <w:sz w:val="24"/>
          <w:szCs w:val="24"/>
        </w:rPr>
        <w:t>Green Marketing mix leads to the differentiation and cost reduction of products.</w:t>
      </w:r>
    </w:p>
    <w:p w14:paraId="1A9A2010" w14:textId="77777777" w:rsidR="00E77831" w:rsidRDefault="00000000">
      <w:pPr>
        <w:spacing w:line="360" w:lineRule="auto"/>
        <w:rPr>
          <w:rFonts w:ascii="Arial" w:hAnsi="Arial" w:cs="Arial"/>
          <w:b/>
          <w:bCs/>
          <w:sz w:val="24"/>
          <w:szCs w:val="24"/>
        </w:rPr>
      </w:pPr>
      <w:r>
        <w:rPr>
          <w:rFonts w:ascii="Arial" w:hAnsi="Arial" w:cs="Arial"/>
          <w:b/>
          <w:bCs/>
          <w:sz w:val="24"/>
          <w:szCs w:val="24"/>
        </w:rPr>
        <w:t xml:space="preserve">Figure 2: Differentiation and Cost-Reduction Strategy of Toyota GB. </w:t>
      </w:r>
    </w:p>
    <w:p w14:paraId="399F810C" w14:textId="69A7DEB0" w:rsidR="00E77831" w:rsidRDefault="00000000">
      <w:pPr>
        <w:spacing w:line="360" w:lineRule="auto"/>
        <w:rPr>
          <w:rFonts w:ascii="Arial" w:hAnsi="Arial" w:cs="Arial"/>
          <w:sz w:val="24"/>
          <w:szCs w:val="24"/>
        </w:rPr>
      </w:pPr>
      <w:r>
        <w:rPr>
          <w:noProof/>
        </w:rPr>
        <mc:AlternateContent>
          <mc:Choice Requires="wps">
            <w:drawing>
              <wp:anchor distT="0" distB="0" distL="0" distR="0" simplePos="0" relativeHeight="12" behindDoc="0" locked="0" layoutInCell="1" allowOverlap="1" wp14:anchorId="79B38ABC" wp14:editId="602234FB">
                <wp:simplePos x="0" y="0"/>
                <wp:positionH relativeFrom="column">
                  <wp:posOffset>1612900</wp:posOffset>
                </wp:positionH>
                <wp:positionV relativeFrom="paragraph">
                  <wp:posOffset>336550</wp:posOffset>
                </wp:positionV>
                <wp:extent cx="1181100" cy="685800"/>
                <wp:effectExtent l="12700" t="20955" r="15875" b="26669"/>
                <wp:wrapNone/>
                <wp:docPr id="1036" name="10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81100" cy="685800"/>
                        </a:xfrm>
                        <a:custGeom>
                          <a:avLst/>
                          <a:gdLst/>
                          <a:ahLst/>
                          <a:cxnLst/>
                          <a:rect l="l" t="t" r="r" b="b"/>
                          <a:pathLst>
                            <a:path w="43200" h="43200">
                              <a:moveTo>
                                <a:pt x="3900" y="14370"/>
                              </a:moveTo>
                              <a:cubicBezTo>
                                <a:pt x="3629" y="11657"/>
                                <a:pt x="4261" y="8921"/>
                                <a:pt x="5623" y="6907"/>
                              </a:cubicBezTo>
                              <a:cubicBezTo>
                                <a:pt x="7775" y="3726"/>
                                <a:pt x="11264" y="3017"/>
                                <a:pt x="14005" y="5202"/>
                              </a:cubicBezTo>
                              <a:cubicBezTo>
                                <a:pt x="15678" y="909"/>
                                <a:pt x="19914" y="22"/>
                                <a:pt x="22456" y="3432"/>
                              </a:cubicBezTo>
                              <a:cubicBezTo>
                                <a:pt x="23097" y="1683"/>
                                <a:pt x="24328" y="474"/>
                                <a:pt x="25749" y="200"/>
                              </a:cubicBezTo>
                              <a:cubicBezTo>
                                <a:pt x="27313" y="-102"/>
                                <a:pt x="28875" y="770"/>
                                <a:pt x="29833" y="2481"/>
                              </a:cubicBezTo>
                              <a:cubicBezTo>
                                <a:pt x="31215" y="267"/>
                                <a:pt x="33501" y="-460"/>
                                <a:pt x="35463" y="690"/>
                              </a:cubicBezTo>
                              <a:cubicBezTo>
                                <a:pt x="36958" y="1566"/>
                                <a:pt x="38030" y="3400"/>
                                <a:pt x="38318" y="5576"/>
                              </a:cubicBezTo>
                              <a:cubicBezTo>
                                <a:pt x="40046" y="6218"/>
                                <a:pt x="41422" y="7998"/>
                                <a:pt x="41982" y="10318"/>
                              </a:cubicBezTo>
                              <a:cubicBezTo>
                                <a:pt x="42389" y="12002"/>
                                <a:pt x="42331" y="13831"/>
                                <a:pt x="41818" y="15460"/>
                              </a:cubicBezTo>
                              <a:cubicBezTo>
                                <a:pt x="43079" y="17694"/>
                                <a:pt x="43520" y="20590"/>
                                <a:pt x="43016" y="23322"/>
                              </a:cubicBezTo>
                              <a:cubicBezTo>
                                <a:pt x="42346" y="26954"/>
                                <a:pt x="40128" y="29674"/>
                                <a:pt x="37404" y="30204"/>
                              </a:cubicBezTo>
                              <a:cubicBezTo>
                                <a:pt x="37391" y="32471"/>
                                <a:pt x="36658" y="34621"/>
                                <a:pt x="35395" y="36101"/>
                              </a:cubicBezTo>
                              <a:cubicBezTo>
                                <a:pt x="33476" y="38350"/>
                                <a:pt x="30704" y="38639"/>
                                <a:pt x="28555" y="36815"/>
                              </a:cubicBezTo>
                              <a:cubicBezTo>
                                <a:pt x="27860" y="39948"/>
                                <a:pt x="25999" y="42343"/>
                                <a:pt x="23667" y="43106"/>
                              </a:cubicBezTo>
                              <a:cubicBezTo>
                                <a:pt x="20919" y="44005"/>
                                <a:pt x="18051" y="42473"/>
                                <a:pt x="16480" y="39266"/>
                              </a:cubicBezTo>
                              <a:cubicBezTo>
                                <a:pt x="12772" y="42310"/>
                                <a:pt x="7956" y="40599"/>
                                <a:pt x="5804" y="35472"/>
                              </a:cubicBezTo>
                              <a:cubicBezTo>
                                <a:pt x="3690" y="35809"/>
                                <a:pt x="1705" y="34024"/>
                                <a:pt x="1110" y="31250"/>
                              </a:cubicBezTo>
                              <a:cubicBezTo>
                                <a:pt x="679" y="29243"/>
                                <a:pt x="1060" y="27077"/>
                                <a:pt x="2113" y="25551"/>
                              </a:cubicBezTo>
                              <a:cubicBezTo>
                                <a:pt x="619" y="24354"/>
                                <a:pt x="-213" y="22057"/>
                                <a:pt x="-5" y="19704"/>
                              </a:cubicBezTo>
                              <a:cubicBezTo>
                                <a:pt x="239" y="16949"/>
                                <a:pt x="1845" y="14791"/>
                                <a:pt x="3863" y="14507"/>
                              </a:cubicBezTo>
                              <a:cubicBezTo>
                                <a:pt x="3875" y="14461"/>
                                <a:pt x="3888" y="14416"/>
                                <a:pt x="3900" y="14370"/>
                              </a:cubicBezTo>
                              <a:close/>
                            </a:path>
                            <a:path w="43200" h="43200">
                              <a:moveTo>
                                <a:pt x="4693" y="26177"/>
                              </a:moveTo>
                              <a:cubicBezTo>
                                <a:pt x="3809" y="26271"/>
                                <a:pt x="2925" y="25993"/>
                                <a:pt x="2160" y="25380"/>
                              </a:cubicBezTo>
                              <a:moveTo>
                                <a:pt x="6928" y="34899"/>
                              </a:moveTo>
                              <a:cubicBezTo>
                                <a:pt x="6573" y="35092"/>
                                <a:pt x="6200" y="35220"/>
                                <a:pt x="5820" y="35280"/>
                              </a:cubicBezTo>
                              <a:moveTo>
                                <a:pt x="16478" y="39090"/>
                              </a:moveTo>
                              <a:cubicBezTo>
                                <a:pt x="16211" y="38544"/>
                                <a:pt x="15987" y="37961"/>
                                <a:pt x="15810" y="37350"/>
                              </a:cubicBezTo>
                              <a:moveTo>
                                <a:pt x="28827" y="34751"/>
                              </a:moveTo>
                              <a:cubicBezTo>
                                <a:pt x="28788" y="35398"/>
                                <a:pt x="28698" y="36038"/>
                                <a:pt x="28560" y="36660"/>
                              </a:cubicBezTo>
                              <a:moveTo>
                                <a:pt x="34129" y="22954"/>
                              </a:moveTo>
                              <a:cubicBezTo>
                                <a:pt x="36133" y="24282"/>
                                <a:pt x="37398" y="27058"/>
                                <a:pt x="37380" y="30090"/>
                              </a:cubicBezTo>
                              <a:moveTo>
                                <a:pt x="41798" y="15354"/>
                              </a:moveTo>
                              <a:cubicBezTo>
                                <a:pt x="41473" y="16386"/>
                                <a:pt x="40978" y="17302"/>
                                <a:pt x="40350" y="18030"/>
                              </a:cubicBezTo>
                              <a:moveTo>
                                <a:pt x="38324" y="5426"/>
                              </a:moveTo>
                              <a:cubicBezTo>
                                <a:pt x="38379" y="5843"/>
                                <a:pt x="38405" y="6266"/>
                                <a:pt x="38400" y="6690"/>
                              </a:cubicBezTo>
                              <a:moveTo>
                                <a:pt x="29078" y="3952"/>
                              </a:moveTo>
                              <a:cubicBezTo>
                                <a:pt x="29267" y="3369"/>
                                <a:pt x="29516" y="2826"/>
                                <a:pt x="29820" y="2340"/>
                              </a:cubicBezTo>
                              <a:moveTo>
                                <a:pt x="22141" y="4720"/>
                              </a:moveTo>
                              <a:cubicBezTo>
                                <a:pt x="22218" y="4238"/>
                                <a:pt x="22339" y="3771"/>
                                <a:pt x="22500" y="3330"/>
                              </a:cubicBezTo>
                              <a:moveTo>
                                <a:pt x="14000" y="5192"/>
                              </a:moveTo>
                              <a:cubicBezTo>
                                <a:pt x="14472" y="5568"/>
                                <a:pt x="14908" y="6021"/>
                                <a:pt x="15300" y="6540"/>
                              </a:cubicBezTo>
                              <a:moveTo>
                                <a:pt x="4127" y="15789"/>
                              </a:moveTo>
                              <a:cubicBezTo>
                                <a:pt x="4024" y="15325"/>
                                <a:pt x="3948" y="14851"/>
                                <a:pt x="3900" y="14370"/>
                              </a:cubicBezTo>
                            </a:path>
                          </a:pathLst>
                        </a:custGeom>
                        <a:solidFill>
                          <a:srgbClr val="F7CAAC"/>
                        </a:solidFill>
                        <a:ln w="12700" cap="flat" cmpd="sng">
                          <a:solidFill>
                            <a:srgbClr val="1C3053"/>
                          </a:solidFill>
                          <a:prstDash val="solid"/>
                          <a:miter/>
                          <a:headEnd type="none" w="med" len="med"/>
                          <a:tailEnd type="none" w="med" len="med"/>
                        </a:ln>
                      </wps:spPr>
                      <wps:txbx>
                        <w:txbxContent>
                          <w:p w14:paraId="43907624" w14:textId="77777777" w:rsidR="00E77831" w:rsidRDefault="00000000">
                            <w:pPr>
                              <w:jc w:val="center"/>
                              <w:rPr>
                                <w:rFonts w:ascii="Arial" w:hAnsi="Arial" w:cs="Arial"/>
                                <w:b/>
                                <w:bCs/>
                                <w:color w:val="000000"/>
                              </w:rPr>
                            </w:pPr>
                            <w:r>
                              <w:rPr>
                                <w:rFonts w:ascii="Arial" w:hAnsi="Arial" w:cs="Arial"/>
                                <w:b/>
                                <w:bCs/>
                                <w:color w:val="000000"/>
                              </w:rPr>
                              <w:t>Recycle</w:t>
                            </w:r>
                          </w:p>
                        </w:txbxContent>
                      </wps:txbx>
                      <wps:bodyPr vert="horz" wrap="square" lIns="91440" tIns="45720" rIns="91440" bIns="45720" anchor="ctr" upright="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79B38ABC" id="1037" o:spid="_x0000_s1031" style="position:absolute;margin-left:127pt;margin-top:26.5pt;width:93pt;height:54pt;z-index:12;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middle" coordsize="43200,432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" adj="-11796480,,540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v-884,94,-1768,-184,-2533,-797m6928,34899v-355,193,-728,321,-1108,381m16478,39090v-267,-546,-491,-1129,-668,-1740m28827,34751v-39,647,-129,1287,-267,1909m34129,22954v2004,1328,3269,4104,3251,7136m41798,15354v-325,1032,-820,1948,-1448,2676m38324,5426v55,417,81,840,76,1264m29078,3952v189,-583,438,-1126,742,-1612m22141,4720v77,-482,198,-949,359,-1390m14000,5192v472,376,908,829,1300,1348m4127,15789v-103,-464,-179,-938,-227,-1419e" fillcolor="#f7caac" strokecolor="#1c3053" strokeweight="1pt">
                <v:stroke joinstyle="miter"/>
                <v:formulas/>
                <v:path arrowok="t" o:connecttype="custom" textboxrect="0,0,43200,43200"/>
                <v:textbox>
                  <w:txbxContent>
                    <w:p w14:paraId="43907624" w14:textId="77777777" w:rsidR="00E77831" w:rsidRDefault="00000000">
                      <w:pPr>
                        <w:jc w:val="center"/>
                        <w:rPr>
                          <w:rFonts w:ascii="Arial" w:hAnsi="Arial" w:cs="Arial"/>
                          <w:b/>
                          <w:bCs/>
                          <w:color w:val="000000"/>
                        </w:rPr>
                      </w:pPr>
                      <w:r>
                        <w:rPr>
                          <w:rFonts w:ascii="Arial" w:hAnsi="Arial" w:cs="Arial"/>
                          <w:b/>
                          <w:bCs/>
                          <w:color w:val="000000"/>
                        </w:rPr>
                        <w:t>Recycle</w:t>
                      </w:r>
                    </w:p>
                  </w:txbxContent>
                </v:textbox>
              </v:shape>
            </w:pict>
          </mc:Fallback>
        </mc:AlternateContent>
      </w:r>
      <w:r>
        <w:rPr>
          <w:noProof/>
        </w:rPr>
        <mc:AlternateContent>
          <mc:Choice Requires="wps">
            <w:drawing>
              <wp:anchor distT="0" distB="0" distL="0" distR="0" simplePos="0" relativeHeight="11" behindDoc="0" locked="0" layoutInCell="1" allowOverlap="1" wp14:anchorId="25D27DB2" wp14:editId="172CDB6D">
                <wp:simplePos x="0" y="0"/>
                <wp:positionH relativeFrom="column">
                  <wp:posOffset>101600</wp:posOffset>
                </wp:positionH>
                <wp:positionV relativeFrom="paragraph">
                  <wp:posOffset>317500</wp:posOffset>
                </wp:positionV>
                <wp:extent cx="1022350" cy="603250"/>
                <wp:effectExtent l="15875" t="20955" r="19050" b="23495"/>
                <wp:wrapNone/>
                <wp:docPr id="1037" name="10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22350" cy="603250"/>
                        </a:xfrm>
                        <a:custGeom>
                          <a:avLst/>
                          <a:gdLst/>
                          <a:ahLst/>
                          <a:cxnLst/>
                          <a:rect l="l" t="t" r="r" b="b"/>
                          <a:pathLst>
                            <a:path w="43200" h="43200">
                              <a:moveTo>
                                <a:pt x="3900" y="14370"/>
                              </a:moveTo>
                              <a:cubicBezTo>
                                <a:pt x="3629" y="11657"/>
                                <a:pt x="4261" y="8921"/>
                                <a:pt x="5623" y="6907"/>
                              </a:cubicBezTo>
                              <a:cubicBezTo>
                                <a:pt x="7775" y="3726"/>
                                <a:pt x="11264" y="3017"/>
                                <a:pt x="14005" y="5202"/>
                              </a:cubicBezTo>
                              <a:cubicBezTo>
                                <a:pt x="15678" y="909"/>
                                <a:pt x="19914" y="22"/>
                                <a:pt x="22456" y="3432"/>
                              </a:cubicBezTo>
                              <a:cubicBezTo>
                                <a:pt x="23097" y="1683"/>
                                <a:pt x="24328" y="474"/>
                                <a:pt x="25749" y="200"/>
                              </a:cubicBezTo>
                              <a:cubicBezTo>
                                <a:pt x="27313" y="-102"/>
                                <a:pt x="28875" y="770"/>
                                <a:pt x="29833" y="2481"/>
                              </a:cubicBezTo>
                              <a:cubicBezTo>
                                <a:pt x="31215" y="267"/>
                                <a:pt x="33501" y="-460"/>
                                <a:pt x="35463" y="690"/>
                              </a:cubicBezTo>
                              <a:cubicBezTo>
                                <a:pt x="36958" y="1566"/>
                                <a:pt x="38030" y="3400"/>
                                <a:pt x="38318" y="5576"/>
                              </a:cubicBezTo>
                              <a:cubicBezTo>
                                <a:pt x="40046" y="6218"/>
                                <a:pt x="41422" y="7998"/>
                                <a:pt x="41982" y="10318"/>
                              </a:cubicBezTo>
                              <a:cubicBezTo>
                                <a:pt x="42389" y="12002"/>
                                <a:pt x="42331" y="13831"/>
                                <a:pt x="41818" y="15460"/>
                              </a:cubicBezTo>
                              <a:cubicBezTo>
                                <a:pt x="43079" y="17694"/>
                                <a:pt x="43520" y="20590"/>
                                <a:pt x="43016" y="23322"/>
                              </a:cubicBezTo>
                              <a:cubicBezTo>
                                <a:pt x="42346" y="26954"/>
                                <a:pt x="40128" y="29674"/>
                                <a:pt x="37404" y="30204"/>
                              </a:cubicBezTo>
                              <a:cubicBezTo>
                                <a:pt x="37391" y="32471"/>
                                <a:pt x="36658" y="34621"/>
                                <a:pt x="35395" y="36101"/>
                              </a:cubicBezTo>
                              <a:cubicBezTo>
                                <a:pt x="33476" y="38350"/>
                                <a:pt x="30704" y="38639"/>
                                <a:pt x="28555" y="36815"/>
                              </a:cubicBezTo>
                              <a:cubicBezTo>
                                <a:pt x="27860" y="39948"/>
                                <a:pt x="25999" y="42343"/>
                                <a:pt x="23667" y="43106"/>
                              </a:cubicBezTo>
                              <a:cubicBezTo>
                                <a:pt x="20919" y="44005"/>
                                <a:pt x="18051" y="42473"/>
                                <a:pt x="16480" y="39266"/>
                              </a:cubicBezTo>
                              <a:cubicBezTo>
                                <a:pt x="12772" y="42310"/>
                                <a:pt x="7956" y="40599"/>
                                <a:pt x="5804" y="35472"/>
                              </a:cubicBezTo>
                              <a:cubicBezTo>
                                <a:pt x="3690" y="35809"/>
                                <a:pt x="1705" y="34024"/>
                                <a:pt x="1110" y="31250"/>
                              </a:cubicBezTo>
                              <a:cubicBezTo>
                                <a:pt x="679" y="29243"/>
                                <a:pt x="1060" y="27077"/>
                                <a:pt x="2113" y="25551"/>
                              </a:cubicBezTo>
                              <a:cubicBezTo>
                                <a:pt x="619" y="24354"/>
                                <a:pt x="-213" y="22057"/>
                                <a:pt x="-5" y="19704"/>
                              </a:cubicBezTo>
                              <a:cubicBezTo>
                                <a:pt x="239" y="16949"/>
                                <a:pt x="1845" y="14791"/>
                                <a:pt x="3863" y="14507"/>
                              </a:cubicBezTo>
                              <a:cubicBezTo>
                                <a:pt x="3875" y="14461"/>
                                <a:pt x="3888" y="14416"/>
                                <a:pt x="3900" y="14370"/>
                              </a:cubicBezTo>
                              <a:close/>
                            </a:path>
                            <a:path w="43200" h="43200">
                              <a:moveTo>
                                <a:pt x="4693" y="26177"/>
                              </a:moveTo>
                              <a:cubicBezTo>
                                <a:pt x="3809" y="26271"/>
                                <a:pt x="2925" y="25993"/>
                                <a:pt x="2160" y="25380"/>
                              </a:cubicBezTo>
                              <a:moveTo>
                                <a:pt x="6928" y="34899"/>
                              </a:moveTo>
                              <a:cubicBezTo>
                                <a:pt x="6573" y="35092"/>
                                <a:pt x="6200" y="35220"/>
                                <a:pt x="5820" y="35280"/>
                              </a:cubicBezTo>
                              <a:moveTo>
                                <a:pt x="16478" y="39090"/>
                              </a:moveTo>
                              <a:cubicBezTo>
                                <a:pt x="16211" y="38544"/>
                                <a:pt x="15987" y="37961"/>
                                <a:pt x="15810" y="37350"/>
                              </a:cubicBezTo>
                              <a:moveTo>
                                <a:pt x="28827" y="34751"/>
                              </a:moveTo>
                              <a:cubicBezTo>
                                <a:pt x="28788" y="35398"/>
                                <a:pt x="28698" y="36038"/>
                                <a:pt x="28560" y="36660"/>
                              </a:cubicBezTo>
                              <a:moveTo>
                                <a:pt x="34129" y="22954"/>
                              </a:moveTo>
                              <a:cubicBezTo>
                                <a:pt x="36133" y="24282"/>
                                <a:pt x="37398" y="27058"/>
                                <a:pt x="37380" y="30090"/>
                              </a:cubicBezTo>
                              <a:moveTo>
                                <a:pt x="41798" y="15354"/>
                              </a:moveTo>
                              <a:cubicBezTo>
                                <a:pt x="41473" y="16386"/>
                                <a:pt x="40978" y="17302"/>
                                <a:pt x="40350" y="18030"/>
                              </a:cubicBezTo>
                              <a:moveTo>
                                <a:pt x="38324" y="5426"/>
                              </a:moveTo>
                              <a:cubicBezTo>
                                <a:pt x="38379" y="5843"/>
                                <a:pt x="38405" y="6266"/>
                                <a:pt x="38400" y="6690"/>
                              </a:cubicBezTo>
                              <a:moveTo>
                                <a:pt x="29078" y="3952"/>
                              </a:moveTo>
                              <a:cubicBezTo>
                                <a:pt x="29267" y="3369"/>
                                <a:pt x="29516" y="2826"/>
                                <a:pt x="29820" y="2340"/>
                              </a:cubicBezTo>
                              <a:moveTo>
                                <a:pt x="22141" y="4720"/>
                              </a:moveTo>
                              <a:cubicBezTo>
                                <a:pt x="22218" y="4238"/>
                                <a:pt x="22339" y="3771"/>
                                <a:pt x="22500" y="3330"/>
                              </a:cubicBezTo>
                              <a:moveTo>
                                <a:pt x="14000" y="5192"/>
                              </a:moveTo>
                              <a:cubicBezTo>
                                <a:pt x="14472" y="5568"/>
                                <a:pt x="14908" y="6021"/>
                                <a:pt x="15300" y="6540"/>
                              </a:cubicBezTo>
                              <a:moveTo>
                                <a:pt x="4127" y="15789"/>
                              </a:moveTo>
                              <a:cubicBezTo>
                                <a:pt x="4024" y="15325"/>
                                <a:pt x="3948" y="14851"/>
                                <a:pt x="3900" y="14370"/>
                              </a:cubicBezTo>
                            </a:path>
                          </a:pathLst>
                        </a:custGeom>
                        <a:solidFill>
                          <a:srgbClr val="F7CAAC"/>
                        </a:solidFill>
                        <a:ln w="12700" cap="flat" cmpd="sng">
                          <a:solidFill>
                            <a:srgbClr val="1C3053"/>
                          </a:solidFill>
                          <a:prstDash val="solid"/>
                          <a:miter/>
                          <a:headEnd type="none" w="med" len="med"/>
                          <a:tailEnd type="none" w="med" len="med"/>
                        </a:ln>
                      </wps:spPr>
                      <wps:txbx>
                        <w:txbxContent>
                          <w:p w14:paraId="63F0F0A5" w14:textId="77777777" w:rsidR="00E77831" w:rsidRDefault="00000000">
                            <w:pPr>
                              <w:jc w:val="center"/>
                              <w:rPr>
                                <w:rFonts w:ascii="Arial" w:hAnsi="Arial" w:cs="Arial"/>
                                <w:b/>
                                <w:bCs/>
                                <w:color w:val="000000"/>
                              </w:rPr>
                            </w:pPr>
                            <w:r>
                              <w:rPr>
                                <w:rFonts w:ascii="Arial" w:hAnsi="Arial" w:cs="Arial"/>
                                <w:b/>
                                <w:bCs/>
                                <w:color w:val="000000"/>
                              </w:rPr>
                              <w:t xml:space="preserve">Resuse </w:t>
                            </w:r>
                          </w:p>
                        </w:txbxContent>
                      </wps:txbx>
                      <wps:bodyPr vert="horz" wrap="square" lIns="91440" tIns="45720" rIns="91440" bIns="45720" anchor="ctr" upright="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25D27DB2" id="1038" o:spid="_x0000_s1032" style="position:absolute;margin-left:8pt;margin-top:25pt;width:80.5pt;height:47.5pt;z-index:11;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middle" coordsize="43200,432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" adj="-11796480,,540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v-884,94,-1768,-184,-2533,-797m6928,34899v-355,193,-728,321,-1108,381m16478,39090v-267,-546,-491,-1129,-668,-1740m28827,34751v-39,647,-129,1287,-267,1909m34129,22954v2004,1328,3269,4104,3251,7136m41798,15354v-325,1032,-820,1948,-1448,2676m38324,5426v55,417,81,840,76,1264m29078,3952v189,-583,438,-1126,742,-1612m22141,4720v77,-482,198,-949,359,-1390m14000,5192v472,376,908,829,1300,1348m4127,15789v-103,-464,-179,-938,-227,-1419e" fillcolor="#f7caac" strokecolor="#1c3053" strokeweight="1pt">
                <v:stroke joinstyle="miter"/>
                <v:formulas/>
                <v:path arrowok="t" o:connecttype="custom" textboxrect="0,0,43200,43200"/>
                <v:textbox>
                  <w:txbxContent>
                    <w:p w14:paraId="63F0F0A5" w14:textId="77777777" w:rsidR="00E77831" w:rsidRDefault="00000000">
                      <w:pPr>
                        <w:jc w:val="center"/>
                        <w:rPr>
                          <w:rFonts w:ascii="Arial" w:hAnsi="Arial" w:cs="Arial"/>
                          <w:b/>
                          <w:bCs/>
                          <w:color w:val="000000"/>
                        </w:rPr>
                      </w:pPr>
                      <w:r>
                        <w:rPr>
                          <w:rFonts w:ascii="Arial" w:hAnsi="Arial" w:cs="Arial"/>
                          <w:b/>
                          <w:bCs/>
                          <w:color w:val="000000"/>
                        </w:rPr>
                        <w:t xml:space="preserve">Resuse </w:t>
                      </w:r>
                    </w:p>
                  </w:txbxContent>
                </v:textbox>
              </v:shape>
            </w:pict>
          </mc:Fallback>
        </mc:AlternateContent>
      </w:r>
    </w:p>
    <w:p w14:paraId="37267EEE" w14:textId="786ECBA8" w:rsidR="00E77831" w:rsidRDefault="00000000">
      <w:pPr>
        <w:spacing w:line="360" w:lineRule="auto"/>
        <w:rPr>
          <w:rFonts w:ascii="Arial" w:hAnsi="Arial" w:cs="Arial"/>
          <w:sz w:val="24"/>
          <w:szCs w:val="24"/>
        </w:rPr>
      </w:pPr>
      <w:r>
        <w:rPr>
          <w:noProof/>
        </w:rPr>
        <mc:AlternateContent>
          <mc:Choice Requires="wps">
            <w:drawing>
              <wp:anchor distT="0" distB="0" distL="0" distR="0" simplePos="0" relativeHeight="18" behindDoc="0" locked="0" layoutInCell="1" allowOverlap="1" wp14:anchorId="6499BAC7" wp14:editId="4D87D694">
                <wp:simplePos x="0" y="0"/>
                <wp:positionH relativeFrom="column">
                  <wp:posOffset>4162425</wp:posOffset>
                </wp:positionH>
                <wp:positionV relativeFrom="paragraph">
                  <wp:posOffset>100965</wp:posOffset>
                </wp:positionV>
                <wp:extent cx="120015" cy="1441450"/>
                <wp:effectExtent l="0" t="324485" r="0" b="327025"/>
                <wp:wrapNone/>
                <wp:docPr id="1039" name="10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3720000">
                          <a:off x="0" y="0"/>
                          <a:ext cx="120015" cy="1441450"/>
                        </a:xfrm>
                        <a:prstGeom prst="upArrow">
                          <a:avLst>
                            <a:gd name="adj1" fmla="val 50000"/>
                            <a:gd name="adj2" fmla="val 49766"/>
                          </a:avLst>
                        </a:prstGeom>
                        <a:solidFill>
                          <a:srgbClr val="000000"/>
                        </a:solidFill>
                        <a:ln w="12700" cap="flat" cmpd="sng">
                          <a:solidFill>
                            <a:srgbClr val="000000"/>
                          </a:solidFill>
                          <a:prstDash val="solid"/>
                          <a:miter/>
                          <a:headEnd type="none" w="med" len="med"/>
                          <a:tailEnd type="none" w="med" len="med"/>
                        </a:ln>
                      </wps:spPr>
                      <wps:bodyPr>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type w14:anchorId="0DCD3C7D"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1040" o:spid="_x0000_s1026" type="#_x0000_t68" style="position:absolute;margin-left:327.75pt;margin-top:7.95pt;width:9.45pt;height:113.5pt;rotation:62;z-index:18;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" adj="895" fillcolor="black" strokeweight="1pt">
                <v:path arrowok="t"/>
              </v:shape>
            </w:pict>
          </mc:Fallback>
        </mc:AlternateContent>
      </w:r>
      <w:r>
        <w:rPr>
          <w:noProof/>
        </w:rPr>
        <mc:AlternateContent>
          <mc:Choice Requires="wps">
            <w:drawing>
              <wp:anchor distT="0" distB="0" distL="0" distR="0" simplePos="0" relativeHeight="17" behindDoc="0" locked="0" layoutInCell="1" allowOverlap="1" wp14:anchorId="11786082" wp14:editId="521B1299">
                <wp:simplePos x="0" y="0"/>
                <wp:positionH relativeFrom="column">
                  <wp:posOffset>1423670</wp:posOffset>
                </wp:positionH>
                <wp:positionV relativeFrom="paragraph">
                  <wp:posOffset>259715</wp:posOffset>
                </wp:positionV>
                <wp:extent cx="117475" cy="1104900"/>
                <wp:effectExtent l="0" t="306705" r="0" b="328295"/>
                <wp:wrapNone/>
                <wp:docPr id="1040" name="10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3120000">
                          <a:off x="0" y="0"/>
                          <a:ext cx="117475" cy="1104900"/>
                        </a:xfrm>
                        <a:prstGeom prst="upArrow">
                          <a:avLst>
                            <a:gd name="adj1" fmla="val 50000"/>
                            <a:gd name="adj2" fmla="val 49727"/>
                          </a:avLst>
                        </a:prstGeom>
                        <a:solidFill>
                          <a:srgbClr val="000000"/>
                        </a:solidFill>
                        <a:ln w="12700" cap="flat" cmpd="sng">
                          <a:solidFill>
                            <a:srgbClr val="000000"/>
                          </a:solidFill>
                          <a:prstDash val="solid"/>
                          <a:miter/>
                          <a:headEnd type="none" w="med" len="med"/>
                          <a:tailEnd type="none" w="med" len="med"/>
                        </a:ln>
                      </wps:spPr>
                      <wps:bodyPr>
                        <a:prstTxWarp prst="textNoShape">
                          <a:avLst/>
                        </a:prstTxWarp>
                      </wps:bodyPr>
                    </wps:wsp>
                  </a:graphicData>
                </a:graphic>
                <wp14:sizeRelH relativeFrom="margin">
                  <wp14:pctWidth>0</wp14:pctWidth>
                </wp14:sizeRelH>
                <wp14:sizeRelV relativeFrom="margin">
                  <wp14:pctHeight>0</wp14:pctHeight>
                </wp14:sizeRelV>
              </wp:anchor>
            </w:drawing>
          </mc:Choice>
          <mc:Fallback xmlns:wpsCustomData="http://www.wps.cn/officeDocument/2013/wpsCustomData">
            <w:pict>
              <v:shape id="1040" type="#_x0000_t68" adj="1142,5400," fillcolor="black" style="position:absolute;margin-left:112.1pt;margin-top:20.45pt;width:9.25pt;height:87.0pt;z-index:17;mso-position-horizontal-relative:text;mso-position-vertical-relative:text;mso-width-percent:0;mso-height-percent:0;mso-width-relative:margin;mso-height-relative:margin;mso-wrap-distance-left:0.0pt;mso-wrap-distance-right:0.0pt;visibility:visible;rotation:-3407872fd;">
                <v:stroke joinstyle="miter" weight="1.0pt"/>
                <v:fill/>
              </v:shape>
            </w:pict>
          </mc:Fallback>
        </mc:AlternateContent>
      </w:r>
      <w:r>
        <w:rPr>
          <w:noProof/>
        </w:rPr>
        <mc:AlternateContent>
          <mc:Choice Requires="wps">
            <w:drawing>
              <wp:anchor distT="0" distB="0" distL="0" distR="0" simplePos="0" relativeHeight="14" behindDoc="0" locked="0" layoutInCell="1" allowOverlap="1" wp14:anchorId="73A55A56" wp14:editId="29877E85">
                <wp:simplePos x="0" y="0"/>
                <wp:positionH relativeFrom="column">
                  <wp:posOffset>5010150</wp:posOffset>
                </wp:positionH>
                <wp:positionV relativeFrom="paragraph">
                  <wp:posOffset>3810</wp:posOffset>
                </wp:positionV>
                <wp:extent cx="1079500" cy="571500"/>
                <wp:effectExtent l="19050" t="14605" r="15875" b="23495"/>
                <wp:wrapNone/>
                <wp:docPr id="1041" name="10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79500" cy="571500"/>
                        </a:xfrm>
                        <a:custGeom>
                          <a:avLst/>
                          <a:gdLst/>
                          <a:ahLst/>
                          <a:cxnLst/>
                          <a:rect l="l" t="t" r="r" b="b"/>
                          <a:pathLst>
                            <a:path w="43200" h="43200">
                              <a:moveTo>
                                <a:pt x="3900" y="14370"/>
                              </a:moveTo>
                              <a:cubicBezTo>
                                <a:pt x="3629" y="11657"/>
                                <a:pt x="4261" y="8921"/>
                                <a:pt x="5623" y="6907"/>
                              </a:cubicBezTo>
                              <a:cubicBezTo>
                                <a:pt x="7775" y="3726"/>
                                <a:pt x="11264" y="3017"/>
                                <a:pt x="14005" y="5202"/>
                              </a:cubicBezTo>
                              <a:cubicBezTo>
                                <a:pt x="15678" y="909"/>
                                <a:pt x="19914" y="22"/>
                                <a:pt x="22456" y="3432"/>
                              </a:cubicBezTo>
                              <a:cubicBezTo>
                                <a:pt x="23097" y="1683"/>
                                <a:pt x="24328" y="474"/>
                                <a:pt x="25749" y="200"/>
                              </a:cubicBezTo>
                              <a:cubicBezTo>
                                <a:pt x="27313" y="-102"/>
                                <a:pt x="28875" y="770"/>
                                <a:pt x="29833" y="2481"/>
                              </a:cubicBezTo>
                              <a:cubicBezTo>
                                <a:pt x="31215" y="267"/>
                                <a:pt x="33501" y="-460"/>
                                <a:pt x="35463" y="690"/>
                              </a:cubicBezTo>
                              <a:cubicBezTo>
                                <a:pt x="36958" y="1566"/>
                                <a:pt x="38030" y="3400"/>
                                <a:pt x="38318" y="5576"/>
                              </a:cubicBezTo>
                              <a:cubicBezTo>
                                <a:pt x="40046" y="6218"/>
                                <a:pt x="41422" y="7998"/>
                                <a:pt x="41982" y="10318"/>
                              </a:cubicBezTo>
                              <a:cubicBezTo>
                                <a:pt x="42389" y="12002"/>
                                <a:pt x="42331" y="13831"/>
                                <a:pt x="41818" y="15460"/>
                              </a:cubicBezTo>
                              <a:cubicBezTo>
                                <a:pt x="43079" y="17694"/>
                                <a:pt x="43520" y="20590"/>
                                <a:pt x="43016" y="23322"/>
                              </a:cubicBezTo>
                              <a:cubicBezTo>
                                <a:pt x="42346" y="26954"/>
                                <a:pt x="40128" y="29674"/>
                                <a:pt x="37404" y="30204"/>
                              </a:cubicBezTo>
                              <a:cubicBezTo>
                                <a:pt x="37391" y="32471"/>
                                <a:pt x="36658" y="34621"/>
                                <a:pt x="35395" y="36101"/>
                              </a:cubicBezTo>
                              <a:cubicBezTo>
                                <a:pt x="33476" y="38350"/>
                                <a:pt x="30704" y="38639"/>
                                <a:pt x="28555" y="36815"/>
                              </a:cubicBezTo>
                              <a:cubicBezTo>
                                <a:pt x="27860" y="39948"/>
                                <a:pt x="25999" y="42343"/>
                                <a:pt x="23667" y="43106"/>
                              </a:cubicBezTo>
                              <a:cubicBezTo>
                                <a:pt x="20919" y="44005"/>
                                <a:pt x="18051" y="42473"/>
                                <a:pt x="16480" y="39266"/>
                              </a:cubicBezTo>
                              <a:cubicBezTo>
                                <a:pt x="12772" y="42310"/>
                                <a:pt x="7956" y="40599"/>
                                <a:pt x="5804" y="35472"/>
                              </a:cubicBezTo>
                              <a:cubicBezTo>
                                <a:pt x="3690" y="35809"/>
                                <a:pt x="1705" y="34024"/>
                                <a:pt x="1110" y="31250"/>
                              </a:cubicBezTo>
                              <a:cubicBezTo>
                                <a:pt x="679" y="29243"/>
                                <a:pt x="1060" y="27077"/>
                                <a:pt x="2113" y="25551"/>
                              </a:cubicBezTo>
                              <a:cubicBezTo>
                                <a:pt x="619" y="24354"/>
                                <a:pt x="-213" y="22057"/>
                                <a:pt x="-5" y="19704"/>
                              </a:cubicBezTo>
                              <a:cubicBezTo>
                                <a:pt x="239" y="16949"/>
                                <a:pt x="1845" y="14791"/>
                                <a:pt x="3863" y="14507"/>
                              </a:cubicBezTo>
                              <a:cubicBezTo>
                                <a:pt x="3875" y="14461"/>
                                <a:pt x="3888" y="14416"/>
                                <a:pt x="3900" y="14370"/>
                              </a:cubicBezTo>
                              <a:close/>
                            </a:path>
                            <a:path w="43200" h="43200">
                              <a:moveTo>
                                <a:pt x="4693" y="26177"/>
                              </a:moveTo>
                              <a:cubicBezTo>
                                <a:pt x="3809" y="26271"/>
                                <a:pt x="2925" y="25993"/>
                                <a:pt x="2160" y="25380"/>
                              </a:cubicBezTo>
                              <a:moveTo>
                                <a:pt x="6928" y="34899"/>
                              </a:moveTo>
                              <a:cubicBezTo>
                                <a:pt x="6573" y="35092"/>
                                <a:pt x="6200" y="35220"/>
                                <a:pt x="5820" y="35280"/>
                              </a:cubicBezTo>
                              <a:moveTo>
                                <a:pt x="16478" y="39090"/>
                              </a:moveTo>
                              <a:cubicBezTo>
                                <a:pt x="16211" y="38544"/>
                                <a:pt x="15987" y="37961"/>
                                <a:pt x="15810" y="37350"/>
                              </a:cubicBezTo>
                              <a:moveTo>
                                <a:pt x="28827" y="34751"/>
                              </a:moveTo>
                              <a:cubicBezTo>
                                <a:pt x="28788" y="35398"/>
                                <a:pt x="28698" y="36038"/>
                                <a:pt x="28560" y="36660"/>
                              </a:cubicBezTo>
                              <a:moveTo>
                                <a:pt x="34129" y="22954"/>
                              </a:moveTo>
                              <a:cubicBezTo>
                                <a:pt x="36133" y="24282"/>
                                <a:pt x="37398" y="27058"/>
                                <a:pt x="37380" y="30090"/>
                              </a:cubicBezTo>
                              <a:moveTo>
                                <a:pt x="41798" y="15354"/>
                              </a:moveTo>
                              <a:cubicBezTo>
                                <a:pt x="41473" y="16386"/>
                                <a:pt x="40978" y="17302"/>
                                <a:pt x="40350" y="18030"/>
                              </a:cubicBezTo>
                              <a:moveTo>
                                <a:pt x="38324" y="5426"/>
                              </a:moveTo>
                              <a:cubicBezTo>
                                <a:pt x="38379" y="5843"/>
                                <a:pt x="38405" y="6266"/>
                                <a:pt x="38400" y="6690"/>
                              </a:cubicBezTo>
                              <a:moveTo>
                                <a:pt x="29078" y="3952"/>
                              </a:moveTo>
                              <a:cubicBezTo>
                                <a:pt x="29267" y="3369"/>
                                <a:pt x="29516" y="2826"/>
                                <a:pt x="29820" y="2340"/>
                              </a:cubicBezTo>
                              <a:moveTo>
                                <a:pt x="22141" y="4720"/>
                              </a:moveTo>
                              <a:cubicBezTo>
                                <a:pt x="22218" y="4238"/>
                                <a:pt x="22339" y="3771"/>
                                <a:pt x="22500" y="3330"/>
                              </a:cubicBezTo>
                              <a:moveTo>
                                <a:pt x="14000" y="5192"/>
                              </a:moveTo>
                              <a:cubicBezTo>
                                <a:pt x="14472" y="5568"/>
                                <a:pt x="14908" y="6021"/>
                                <a:pt x="15300" y="6540"/>
                              </a:cubicBezTo>
                              <a:moveTo>
                                <a:pt x="4127" y="15789"/>
                              </a:moveTo>
                              <a:cubicBezTo>
                                <a:pt x="4024" y="15325"/>
                                <a:pt x="3948" y="14851"/>
                                <a:pt x="3900" y="14370"/>
                              </a:cubicBezTo>
                            </a:path>
                          </a:pathLst>
                        </a:custGeom>
                        <a:solidFill>
                          <a:srgbClr val="F7CAAC"/>
                        </a:solidFill>
                        <a:ln w="12700" cap="flat" cmpd="sng">
                          <a:solidFill>
                            <a:srgbClr val="1C3053"/>
                          </a:solidFill>
                          <a:prstDash val="solid"/>
                          <a:miter/>
                          <a:headEnd type="none" w="med" len="med"/>
                          <a:tailEnd type="none" w="med" len="med"/>
                        </a:ln>
                      </wps:spPr>
                      <wps:txbx>
                        <w:txbxContent>
                          <w:p w14:paraId="76EE0B15" w14:textId="77777777" w:rsidR="00E77831" w:rsidRDefault="00000000">
                            <w:pPr>
                              <w:jc w:val="center"/>
                              <w:rPr>
                                <w:rFonts w:ascii="Arial" w:hAnsi="Arial" w:cs="Arial"/>
                                <w:b/>
                                <w:bCs/>
                                <w:color w:val="000000"/>
                              </w:rPr>
                            </w:pPr>
                            <w:r>
                              <w:rPr>
                                <w:rFonts w:ascii="Arial" w:hAnsi="Arial" w:cs="Arial"/>
                                <w:b/>
                                <w:bCs/>
                                <w:color w:val="000000"/>
                              </w:rPr>
                              <w:t>Return</w:t>
                            </w:r>
                          </w:p>
                        </w:txbxContent>
                      </wps:txbx>
                      <wps:bodyPr vert="horz" wrap="square" lIns="91440" tIns="45720" rIns="91440" bIns="45720" anchor="ctr" upright="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73A55A56" id="1042" o:spid="_x0000_s1033" style="position:absolute;margin-left:394.5pt;margin-top:.3pt;width:85pt;height:45pt;z-index:1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middle" coordsize="43200,432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" adj="-11796480,,540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v-884,94,-1768,-184,-2533,-797m6928,34899v-355,193,-728,321,-1108,381m16478,39090v-267,-546,-491,-1129,-668,-1740m28827,34751v-39,647,-129,1287,-267,1909m34129,22954v2004,1328,3269,4104,3251,7136m41798,15354v-325,1032,-820,1948,-1448,2676m38324,5426v55,417,81,840,76,1264m29078,3952v189,-583,438,-1126,742,-1612m22141,4720v77,-482,198,-949,359,-1390m14000,5192v472,376,908,829,1300,1348m4127,15789v-103,-464,-179,-938,-227,-1419e" fillcolor="#f7caac" strokecolor="#1c3053" strokeweight="1pt">
                <v:stroke joinstyle="miter"/>
                <v:formulas/>
                <v:path arrowok="t" o:connecttype="custom" textboxrect="0,0,43200,43200"/>
                <v:textbox>
                  <w:txbxContent>
                    <w:p w14:paraId="76EE0B15" w14:textId="77777777" w:rsidR="00E77831" w:rsidRDefault="00000000">
                      <w:pPr>
                        <w:jc w:val="center"/>
                        <w:rPr>
                          <w:rFonts w:ascii="Arial" w:hAnsi="Arial" w:cs="Arial"/>
                          <w:b/>
                          <w:bCs/>
                          <w:color w:val="000000"/>
                        </w:rPr>
                      </w:pPr>
                      <w:r>
                        <w:rPr>
                          <w:rFonts w:ascii="Arial" w:hAnsi="Arial" w:cs="Arial"/>
                          <w:b/>
                          <w:bCs/>
                          <w:color w:val="000000"/>
                        </w:rPr>
                        <w:t>Return</w:t>
                      </w:r>
                    </w:p>
                  </w:txbxContent>
                </v:textbox>
              </v:shape>
            </w:pict>
          </mc:Fallback>
        </mc:AlternateContent>
      </w:r>
      <w:r>
        <w:rPr>
          <w:noProof/>
        </w:rPr>
        <mc:AlternateContent>
          <mc:Choice Requires="wps">
            <w:drawing>
              <wp:anchor distT="0" distB="0" distL="0" distR="0" simplePos="0" relativeHeight="13" behindDoc="0" locked="0" layoutInCell="1" allowOverlap="1" wp14:anchorId="4E0D6FBC" wp14:editId="74845AB5">
                <wp:simplePos x="0" y="0"/>
                <wp:positionH relativeFrom="column">
                  <wp:posOffset>3378200</wp:posOffset>
                </wp:positionH>
                <wp:positionV relativeFrom="paragraph">
                  <wp:posOffset>3810</wp:posOffset>
                </wp:positionV>
                <wp:extent cx="1085850" cy="660400"/>
                <wp:effectExtent l="15875" t="14605" r="22225" b="20320"/>
                <wp:wrapNone/>
                <wp:docPr id="1042" name="10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85850" cy="660400"/>
                        </a:xfrm>
                        <a:custGeom>
                          <a:avLst/>
                          <a:gdLst/>
                          <a:ahLst/>
                          <a:cxnLst/>
                          <a:rect l="l" t="t" r="r" b="b"/>
                          <a:pathLst>
                            <a:path w="43200" h="43200">
                              <a:moveTo>
                                <a:pt x="3900" y="14370"/>
                              </a:moveTo>
                              <a:cubicBezTo>
                                <a:pt x="3629" y="11657"/>
                                <a:pt x="4261" y="8921"/>
                                <a:pt x="5623" y="6907"/>
                              </a:cubicBezTo>
                              <a:cubicBezTo>
                                <a:pt x="7775" y="3726"/>
                                <a:pt x="11264" y="3017"/>
                                <a:pt x="14005" y="5202"/>
                              </a:cubicBezTo>
                              <a:cubicBezTo>
                                <a:pt x="15678" y="909"/>
                                <a:pt x="19914" y="22"/>
                                <a:pt x="22456" y="3432"/>
                              </a:cubicBezTo>
                              <a:cubicBezTo>
                                <a:pt x="23097" y="1683"/>
                                <a:pt x="24328" y="474"/>
                                <a:pt x="25749" y="200"/>
                              </a:cubicBezTo>
                              <a:cubicBezTo>
                                <a:pt x="27313" y="-102"/>
                                <a:pt x="28875" y="770"/>
                                <a:pt x="29833" y="2481"/>
                              </a:cubicBezTo>
                              <a:cubicBezTo>
                                <a:pt x="31215" y="267"/>
                                <a:pt x="33501" y="-460"/>
                                <a:pt x="35463" y="690"/>
                              </a:cubicBezTo>
                              <a:cubicBezTo>
                                <a:pt x="36958" y="1566"/>
                                <a:pt x="38030" y="3400"/>
                                <a:pt x="38318" y="5576"/>
                              </a:cubicBezTo>
                              <a:cubicBezTo>
                                <a:pt x="40046" y="6218"/>
                                <a:pt x="41422" y="7998"/>
                                <a:pt x="41982" y="10318"/>
                              </a:cubicBezTo>
                              <a:cubicBezTo>
                                <a:pt x="42389" y="12002"/>
                                <a:pt x="42331" y="13831"/>
                                <a:pt x="41818" y="15460"/>
                              </a:cubicBezTo>
                              <a:cubicBezTo>
                                <a:pt x="43079" y="17694"/>
                                <a:pt x="43520" y="20590"/>
                                <a:pt x="43016" y="23322"/>
                              </a:cubicBezTo>
                              <a:cubicBezTo>
                                <a:pt x="42346" y="26954"/>
                                <a:pt x="40128" y="29674"/>
                                <a:pt x="37404" y="30204"/>
                              </a:cubicBezTo>
                              <a:cubicBezTo>
                                <a:pt x="37391" y="32471"/>
                                <a:pt x="36658" y="34621"/>
                                <a:pt x="35395" y="36101"/>
                              </a:cubicBezTo>
                              <a:cubicBezTo>
                                <a:pt x="33476" y="38350"/>
                                <a:pt x="30704" y="38639"/>
                                <a:pt x="28555" y="36815"/>
                              </a:cubicBezTo>
                              <a:cubicBezTo>
                                <a:pt x="27860" y="39948"/>
                                <a:pt x="25999" y="42343"/>
                                <a:pt x="23667" y="43106"/>
                              </a:cubicBezTo>
                              <a:cubicBezTo>
                                <a:pt x="20919" y="44005"/>
                                <a:pt x="18051" y="42473"/>
                                <a:pt x="16480" y="39266"/>
                              </a:cubicBezTo>
                              <a:cubicBezTo>
                                <a:pt x="12772" y="42310"/>
                                <a:pt x="7956" y="40599"/>
                                <a:pt x="5804" y="35472"/>
                              </a:cubicBezTo>
                              <a:cubicBezTo>
                                <a:pt x="3690" y="35809"/>
                                <a:pt x="1705" y="34024"/>
                                <a:pt x="1110" y="31250"/>
                              </a:cubicBezTo>
                              <a:cubicBezTo>
                                <a:pt x="679" y="29243"/>
                                <a:pt x="1060" y="27077"/>
                                <a:pt x="2113" y="25551"/>
                              </a:cubicBezTo>
                              <a:cubicBezTo>
                                <a:pt x="619" y="24354"/>
                                <a:pt x="-213" y="22057"/>
                                <a:pt x="-5" y="19704"/>
                              </a:cubicBezTo>
                              <a:cubicBezTo>
                                <a:pt x="239" y="16949"/>
                                <a:pt x="1845" y="14791"/>
                                <a:pt x="3863" y="14507"/>
                              </a:cubicBezTo>
                              <a:cubicBezTo>
                                <a:pt x="3875" y="14461"/>
                                <a:pt x="3888" y="14416"/>
                                <a:pt x="3900" y="14370"/>
                              </a:cubicBezTo>
                              <a:close/>
                            </a:path>
                            <a:path w="43200" h="43200">
                              <a:moveTo>
                                <a:pt x="4693" y="26177"/>
                              </a:moveTo>
                              <a:cubicBezTo>
                                <a:pt x="3809" y="26271"/>
                                <a:pt x="2925" y="25993"/>
                                <a:pt x="2160" y="25380"/>
                              </a:cubicBezTo>
                              <a:moveTo>
                                <a:pt x="6928" y="34899"/>
                              </a:moveTo>
                              <a:cubicBezTo>
                                <a:pt x="6573" y="35092"/>
                                <a:pt x="6200" y="35220"/>
                                <a:pt x="5820" y="35280"/>
                              </a:cubicBezTo>
                              <a:moveTo>
                                <a:pt x="16478" y="39090"/>
                              </a:moveTo>
                              <a:cubicBezTo>
                                <a:pt x="16211" y="38544"/>
                                <a:pt x="15987" y="37961"/>
                                <a:pt x="15810" y="37350"/>
                              </a:cubicBezTo>
                              <a:moveTo>
                                <a:pt x="28827" y="34751"/>
                              </a:moveTo>
                              <a:cubicBezTo>
                                <a:pt x="28788" y="35398"/>
                                <a:pt x="28698" y="36038"/>
                                <a:pt x="28560" y="36660"/>
                              </a:cubicBezTo>
                              <a:moveTo>
                                <a:pt x="34129" y="22954"/>
                              </a:moveTo>
                              <a:cubicBezTo>
                                <a:pt x="36133" y="24282"/>
                                <a:pt x="37398" y="27058"/>
                                <a:pt x="37380" y="30090"/>
                              </a:cubicBezTo>
                              <a:moveTo>
                                <a:pt x="41798" y="15354"/>
                              </a:moveTo>
                              <a:cubicBezTo>
                                <a:pt x="41473" y="16386"/>
                                <a:pt x="40978" y="17302"/>
                                <a:pt x="40350" y="18030"/>
                              </a:cubicBezTo>
                              <a:moveTo>
                                <a:pt x="38324" y="5426"/>
                              </a:moveTo>
                              <a:cubicBezTo>
                                <a:pt x="38379" y="5843"/>
                                <a:pt x="38405" y="6266"/>
                                <a:pt x="38400" y="6690"/>
                              </a:cubicBezTo>
                              <a:moveTo>
                                <a:pt x="29078" y="3952"/>
                              </a:moveTo>
                              <a:cubicBezTo>
                                <a:pt x="29267" y="3369"/>
                                <a:pt x="29516" y="2826"/>
                                <a:pt x="29820" y="2340"/>
                              </a:cubicBezTo>
                              <a:moveTo>
                                <a:pt x="22141" y="4720"/>
                              </a:moveTo>
                              <a:cubicBezTo>
                                <a:pt x="22218" y="4238"/>
                                <a:pt x="22339" y="3771"/>
                                <a:pt x="22500" y="3330"/>
                              </a:cubicBezTo>
                              <a:moveTo>
                                <a:pt x="14000" y="5192"/>
                              </a:moveTo>
                              <a:cubicBezTo>
                                <a:pt x="14472" y="5568"/>
                                <a:pt x="14908" y="6021"/>
                                <a:pt x="15300" y="6540"/>
                              </a:cubicBezTo>
                              <a:moveTo>
                                <a:pt x="4127" y="15789"/>
                              </a:moveTo>
                              <a:cubicBezTo>
                                <a:pt x="4024" y="15325"/>
                                <a:pt x="3948" y="14851"/>
                                <a:pt x="3900" y="14370"/>
                              </a:cubicBezTo>
                            </a:path>
                          </a:pathLst>
                        </a:custGeom>
                        <a:solidFill>
                          <a:srgbClr val="F7CAAC"/>
                        </a:solidFill>
                        <a:ln w="12700" cap="flat" cmpd="sng">
                          <a:solidFill>
                            <a:srgbClr val="1C3053"/>
                          </a:solidFill>
                          <a:prstDash val="solid"/>
                          <a:miter/>
                          <a:headEnd type="none" w="med" len="med"/>
                          <a:tailEnd type="none" w="med" len="med"/>
                        </a:ln>
                      </wps:spPr>
                      <wps:txbx>
                        <w:txbxContent>
                          <w:p w14:paraId="26BF3176" w14:textId="77777777" w:rsidR="00E77831" w:rsidRDefault="00000000">
                            <w:pPr>
                              <w:jc w:val="center"/>
                              <w:rPr>
                                <w:rFonts w:ascii="Arial" w:hAnsi="Arial" w:cs="Arial"/>
                                <w:b/>
                                <w:bCs/>
                                <w:color w:val="000000"/>
                              </w:rPr>
                            </w:pPr>
                            <w:r>
                              <w:rPr>
                                <w:rFonts w:ascii="Arial" w:hAnsi="Arial" w:cs="Arial"/>
                                <w:b/>
                                <w:bCs/>
                                <w:color w:val="000000"/>
                              </w:rPr>
                              <w:t>Reduce</w:t>
                            </w:r>
                          </w:p>
                        </w:txbxContent>
                      </wps:txbx>
                      <wps:bodyPr vert="horz" wrap="square" lIns="91440" tIns="45720" rIns="91440" bIns="45720" anchor="ctr" upright="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4E0D6FBC" id="1043" o:spid="_x0000_s1034" style="position:absolute;margin-left:266pt;margin-top:.3pt;width:85.5pt;height:52pt;z-index:13;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middle" coordsize="43200,432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" adj="-11796480,,540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v-884,94,-1768,-184,-2533,-797m6928,34899v-355,193,-728,321,-1108,381m16478,39090v-267,-546,-491,-1129,-668,-1740m28827,34751v-39,647,-129,1287,-267,1909m34129,22954v2004,1328,3269,4104,3251,7136m41798,15354v-325,1032,-820,1948,-1448,2676m38324,5426v55,417,81,840,76,1264m29078,3952v189,-583,438,-1126,742,-1612m22141,4720v77,-482,198,-949,359,-1390m14000,5192v472,376,908,829,1300,1348m4127,15789v-103,-464,-179,-938,-227,-1419e" fillcolor="#f7caac" strokecolor="#1c3053" strokeweight="1pt">
                <v:stroke joinstyle="miter"/>
                <v:formulas/>
                <v:path arrowok="t" o:connecttype="custom" textboxrect="0,0,43200,43200"/>
                <v:textbox>
                  <w:txbxContent>
                    <w:p w14:paraId="26BF3176" w14:textId="77777777" w:rsidR="00E77831" w:rsidRDefault="00000000">
                      <w:pPr>
                        <w:jc w:val="center"/>
                        <w:rPr>
                          <w:rFonts w:ascii="Arial" w:hAnsi="Arial" w:cs="Arial"/>
                          <w:b/>
                          <w:bCs/>
                          <w:color w:val="000000"/>
                        </w:rPr>
                      </w:pPr>
                      <w:r>
                        <w:rPr>
                          <w:rFonts w:ascii="Arial" w:hAnsi="Arial" w:cs="Arial"/>
                          <w:b/>
                          <w:bCs/>
                          <w:color w:val="000000"/>
                        </w:rPr>
                        <w:t>Reduce</w:t>
                      </w:r>
                    </w:p>
                  </w:txbxContent>
                </v:textbox>
              </v:shape>
            </w:pict>
          </mc:Fallback>
        </mc:AlternateContent>
      </w:r>
    </w:p>
    <w:p w14:paraId="5AE03492" w14:textId="77777777" w:rsidR="00E77831" w:rsidRDefault="00000000">
      <w:pPr>
        <w:spacing w:line="360" w:lineRule="auto"/>
        <w:rPr>
          <w:rFonts w:ascii="Arial" w:hAnsi="Arial" w:cs="Arial"/>
          <w:sz w:val="24"/>
          <w:szCs w:val="24"/>
        </w:rPr>
      </w:pPr>
      <w:r>
        <w:rPr>
          <w:noProof/>
        </w:rPr>
        <mc:AlternateContent>
          <mc:Choice Requires="wps">
            <w:drawing>
              <wp:anchor distT="0" distB="0" distL="0" distR="0" simplePos="0" relativeHeight="15" behindDoc="0" locked="0" layoutInCell="1" allowOverlap="1" wp14:anchorId="1498C2AC" wp14:editId="43711022">
                <wp:simplePos x="0" y="0"/>
                <wp:positionH relativeFrom="column">
                  <wp:posOffset>2393950</wp:posOffset>
                </wp:positionH>
                <wp:positionV relativeFrom="paragraph">
                  <wp:posOffset>287020</wp:posOffset>
                </wp:positionV>
                <wp:extent cx="107950" cy="387350"/>
                <wp:effectExtent l="22225" t="24130" r="22225" b="7620"/>
                <wp:wrapNone/>
                <wp:docPr id="1043" name="10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7950" cy="387350"/>
                        </a:xfrm>
                        <a:prstGeom prst="upArrow">
                          <a:avLst>
                            <a:gd name="adj1" fmla="val 50000"/>
                            <a:gd name="adj2" fmla="val 49936"/>
                          </a:avLst>
                        </a:prstGeom>
                        <a:solidFill>
                          <a:srgbClr val="000000"/>
                        </a:solidFill>
                        <a:ln w="12700" cap="flat" cmpd="sng">
                          <a:solidFill>
                            <a:srgbClr val="000000"/>
                          </a:solidFill>
                          <a:prstDash val="solid"/>
                          <a:miter/>
                          <a:headEnd type="none" w="med" len="med"/>
                          <a:tailEnd type="none" w="med" len="med"/>
                        </a:ln>
                      </wps:spPr>
                      <wps:bodyPr>
                        <a:prstTxWarp prst="textNoShape">
                          <a:avLst/>
                        </a:prstTxWarp>
                      </wps:bodyPr>
                    </wps:wsp>
                  </a:graphicData>
                </a:graphic>
                <wp14:sizeRelH relativeFrom="margin">
                  <wp14:pctWidth>0</wp14:pctWidth>
                </wp14:sizeRelH>
                <wp14:sizeRelV relativeFrom="margin">
                  <wp14:pctHeight>0</wp14:pctHeight>
                </wp14:sizeRelV>
              </wp:anchor>
            </w:drawing>
          </mc:Choice>
          <mc:Fallback xmlns:wpsCustomData="http://www.wps.cn/officeDocument/2013/wpsCustomData">
            <w:pict>
              <v:shape id="1043" type="#_x0000_t68" adj="3005,5400," fillcolor="black" style="position:absolute;margin-left:188.5pt;margin-top:22.6pt;width:8.5pt;height:30.5pt;z-index:15;mso-position-horizontal-relative:text;mso-position-vertical-relative:text;mso-width-percent:0;mso-height-percent:0;mso-width-relative:margin;mso-height-relative:margin;mso-wrap-distance-left:0.0pt;mso-wrap-distance-right:0.0pt;visibility:visible;">
                <v:stroke joinstyle="miter" weight="1.0pt"/>
                <v:fill/>
              </v:shape>
            </w:pict>
          </mc:Fallback>
        </mc:AlternateContent>
      </w:r>
      <w:r>
        <w:rPr>
          <w:noProof/>
        </w:rPr>
        <mc:AlternateContent>
          <mc:Choice Requires="wps">
            <w:drawing>
              <wp:anchor distT="0" distB="0" distL="0" distR="0" simplePos="0" relativeHeight="16" behindDoc="0" locked="0" layoutInCell="1" allowOverlap="1" wp14:anchorId="6384C569" wp14:editId="77963DE9">
                <wp:simplePos x="0" y="0"/>
                <wp:positionH relativeFrom="column">
                  <wp:posOffset>3200400</wp:posOffset>
                </wp:positionH>
                <wp:positionV relativeFrom="paragraph">
                  <wp:posOffset>229869</wp:posOffset>
                </wp:positionV>
                <wp:extent cx="127000" cy="488950"/>
                <wp:effectExtent l="133350" t="0" r="120650" b="0"/>
                <wp:wrapNone/>
                <wp:docPr id="1044" name="10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2280000">
                          <a:off x="0" y="0"/>
                          <a:ext cx="127000" cy="488950"/>
                        </a:xfrm>
                        <a:prstGeom prst="upArrow">
                          <a:avLst>
                            <a:gd name="adj1" fmla="val 50000"/>
                            <a:gd name="adj2" fmla="val 49925"/>
                          </a:avLst>
                        </a:prstGeom>
                        <a:solidFill>
                          <a:srgbClr val="000000"/>
                        </a:solidFill>
                        <a:ln w="12700" cap="flat" cmpd="sng">
                          <a:solidFill>
                            <a:srgbClr val="000000"/>
                          </a:solidFill>
                          <a:prstDash val="solid"/>
                          <a:miter/>
                          <a:headEnd type="none" w="med" len="med"/>
                          <a:tailEnd type="none" w="med" len="med"/>
                        </a:ln>
                      </wps:spPr>
                      <wps:bodyPr>
                        <a:prstTxWarp prst="textNoShape">
                          <a:avLst/>
                        </a:prstTxWarp>
                      </wps:bodyPr>
                    </wps:wsp>
                  </a:graphicData>
                </a:graphic>
                <wp14:sizeRelH relativeFrom="margin">
                  <wp14:pctWidth>0</wp14:pctWidth>
                </wp14:sizeRelH>
                <wp14:sizeRelV relativeFrom="margin">
                  <wp14:pctHeight>0</wp14:pctHeight>
                </wp14:sizeRelV>
              </wp:anchor>
            </w:drawing>
          </mc:Choice>
          <mc:Fallback xmlns:wpsCustomData="http://www.wps.cn/officeDocument/2013/wpsCustomData">
            <w:pict>
              <v:shape id="1044" type="#_x0000_t68" adj="2800,5400," fillcolor="black" style="position:absolute;margin-left:252.0pt;margin-top:18.1pt;width:10.0pt;height:38.5pt;z-index:16;mso-position-horizontal-relative:text;mso-position-vertical-relative:text;mso-width-percent:0;mso-height-percent:0;mso-width-relative:margin;mso-height-relative:margin;mso-wrap-distance-left:0.0pt;mso-wrap-distance-right:0.0pt;visibility:visible;rotation:2490368fd;">
                <v:stroke joinstyle="miter" weight="1.0pt"/>
                <v:fill/>
              </v:shape>
            </w:pict>
          </mc:Fallback>
        </mc:AlternateContent>
      </w:r>
    </w:p>
    <w:p w14:paraId="664DA326" w14:textId="77777777" w:rsidR="00E77831" w:rsidRDefault="00E77831">
      <w:pPr>
        <w:spacing w:line="360" w:lineRule="auto"/>
        <w:rPr>
          <w:rFonts w:ascii="Arial" w:hAnsi="Arial" w:cs="Arial"/>
          <w:sz w:val="24"/>
          <w:szCs w:val="24"/>
        </w:rPr>
      </w:pPr>
    </w:p>
    <w:p w14:paraId="4B78C80A" w14:textId="77777777" w:rsidR="00E77831" w:rsidRDefault="00000000">
      <w:pPr>
        <w:spacing w:line="360" w:lineRule="auto"/>
        <w:rPr>
          <w:rFonts w:ascii="Arial" w:hAnsi="Arial" w:cs="Arial"/>
          <w:sz w:val="24"/>
          <w:szCs w:val="24"/>
        </w:rPr>
      </w:pPr>
      <w:r>
        <w:rPr>
          <w:noProof/>
        </w:rPr>
        <mc:AlternateContent>
          <mc:Choice Requires="wps">
            <w:drawing>
              <wp:anchor distT="0" distB="0" distL="0" distR="0" simplePos="0" relativeHeight="26" behindDoc="0" locked="0" layoutInCell="1" allowOverlap="1" wp14:anchorId="59D1FBA5" wp14:editId="67AFC746">
                <wp:simplePos x="0" y="0"/>
                <wp:positionH relativeFrom="column">
                  <wp:posOffset>4185284</wp:posOffset>
                </wp:positionH>
                <wp:positionV relativeFrom="paragraph">
                  <wp:posOffset>2403475</wp:posOffset>
                </wp:positionV>
                <wp:extent cx="174625" cy="1589404"/>
                <wp:effectExtent l="0" t="481330" r="0" b="448944"/>
                <wp:wrapNone/>
                <wp:docPr id="1045" name="10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3000000">
                          <a:off x="0" y="0"/>
                          <a:ext cx="174625" cy="1589404"/>
                        </a:xfrm>
                        <a:prstGeom prst="downArrow">
                          <a:avLst>
                            <a:gd name="adj1" fmla="val 50000"/>
                            <a:gd name="adj2" fmla="val 49765"/>
                          </a:avLst>
                        </a:prstGeom>
                        <a:solidFill>
                          <a:srgbClr val="000000"/>
                        </a:solidFill>
                        <a:ln w="12700" cap="flat" cmpd="sng">
                          <a:solidFill>
                            <a:srgbClr val="000000"/>
                          </a:solidFill>
                          <a:prstDash val="solid"/>
                          <a:miter/>
                          <a:headEnd type="none" w="med" len="med"/>
                          <a:tailEnd type="none" w="med" len="med"/>
                        </a:ln>
                      </wps:spPr>
                      <wps:bodyPr>
                        <a:prstTxWarp prst="textNoShape">
                          <a:avLst/>
                        </a:prstTxWarp>
                      </wps:bodyPr>
                    </wps:wsp>
                  </a:graphicData>
                </a:graphic>
                <wp14:sizeRelH relativeFrom="margin">
                  <wp14:pctWidth>0</wp14:pctWidth>
                </wp14:sizeRelH>
                <wp14:sizeRelV relativeFrom="margin">
                  <wp14:pctHeight>0</wp14:pctHeight>
                </wp14:sizeRelV>
              </wp:anchor>
            </w:drawing>
          </mc:Choice>
          <mc:Fallback xmlns:wpsCustomData="http://www.wps.cn/officeDocument/2013/wpsCustomData">
            <w:pi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1045" type="#_x0000_t67" adj="20420,5400," fillcolor="black" style="position:absolute;margin-left:329.55pt;margin-top:189.25pt;width:13.75pt;height:125.15pt;z-index:26;mso-position-horizontal-relative:text;mso-position-vertical-relative:text;mso-width-percent:0;mso-height-percent:0;mso-width-relative:margin;mso-height-relative:margin;mso-wrap-distance-left:0.0pt;mso-wrap-distance-right:0.0pt;visibility:visible;rotation:-3276800fd;">
                <v:stroke joinstyle="miter" weight="1.0pt"/>
                <v:fill/>
              </v:shape>
            </w:pict>
          </mc:Fallback>
        </mc:AlternateContent>
      </w:r>
      <w:r>
        <w:rPr>
          <w:noProof/>
        </w:rPr>
        <mc:AlternateContent>
          <mc:Choice Requires="wps">
            <w:drawing>
              <wp:anchor distT="0" distB="0" distL="0" distR="0" simplePos="0" relativeHeight="25" behindDoc="0" locked="0" layoutInCell="1" allowOverlap="1" wp14:anchorId="5D7CBC91" wp14:editId="155AF559">
                <wp:simplePos x="0" y="0"/>
                <wp:positionH relativeFrom="column">
                  <wp:posOffset>1257300</wp:posOffset>
                </wp:positionH>
                <wp:positionV relativeFrom="paragraph">
                  <wp:posOffset>2395855</wp:posOffset>
                </wp:positionV>
                <wp:extent cx="176530" cy="1471295"/>
                <wp:effectExtent l="0" t="452120" r="0" b="419100"/>
                <wp:wrapNone/>
                <wp:docPr id="1046" name="10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2940000">
                          <a:off x="0" y="0"/>
                          <a:ext cx="176530" cy="1471295"/>
                        </a:xfrm>
                        <a:prstGeom prst="downArrow">
                          <a:avLst>
                            <a:gd name="adj1" fmla="val 50000"/>
                            <a:gd name="adj2" fmla="val 49814"/>
                          </a:avLst>
                        </a:prstGeom>
                        <a:solidFill>
                          <a:srgbClr val="000000"/>
                        </a:solidFill>
                        <a:ln w="12700" cap="flat" cmpd="sng">
                          <a:solidFill>
                            <a:srgbClr val="000000"/>
                          </a:solidFill>
                          <a:prstDash val="solid"/>
                          <a:miter/>
                          <a:headEnd type="none" w="med" len="med"/>
                          <a:tailEnd type="none" w="med" len="med"/>
                        </a:ln>
                      </wps:spPr>
                      <wps:bodyPr>
                        <a:prstTxWarp prst="textNoShape">
                          <a:avLst/>
                        </a:prstTxWarp>
                      </wps:bodyPr>
                    </wps:wsp>
                  </a:graphicData>
                </a:graphic>
                <wp14:sizeRelH relativeFrom="margin">
                  <wp14:pctWidth>0</wp14:pctWidth>
                </wp14:sizeRelH>
                <wp14:sizeRelV relativeFrom="margin">
                  <wp14:pctHeight>0</wp14:pctHeight>
                </wp14:sizeRelV>
              </wp:anchor>
            </w:drawing>
          </mc:Choice>
          <mc:Fallback xmlns:wpsCustomData="http://www.wps.cn/officeDocument/2013/wpsCustomData">
            <w:pict>
              <v:shape id="1046" type="#_x0000_t67" adj="20310,5400," fillcolor="black" style="position:absolute;margin-left:99.0pt;margin-top:188.65pt;width:13.9pt;height:115.85pt;z-index:25;mso-position-horizontal-relative:text;mso-position-vertical-relative:text;mso-width-percent:0;mso-height-percent:0;mso-width-relative:margin;mso-height-relative:margin;mso-wrap-distance-left:0.0pt;mso-wrap-distance-right:0.0pt;visibility:visible;rotation:3211264fd;">
                <v:stroke joinstyle="miter" weight="1.0pt"/>
                <v:fill/>
              </v:shape>
            </w:pict>
          </mc:Fallback>
        </mc:AlternateContent>
      </w:r>
      <w:r>
        <w:rPr>
          <w:noProof/>
        </w:rPr>
        <mc:AlternateContent>
          <mc:Choice Requires="wps">
            <w:drawing>
              <wp:anchor distT="0" distB="0" distL="0" distR="0" simplePos="0" relativeHeight="24" behindDoc="0" locked="0" layoutInCell="1" allowOverlap="1" wp14:anchorId="5D8315AC" wp14:editId="08E3461F">
                <wp:simplePos x="0" y="0"/>
                <wp:positionH relativeFrom="column">
                  <wp:posOffset>3226435</wp:posOffset>
                </wp:positionH>
                <wp:positionV relativeFrom="paragraph">
                  <wp:posOffset>2782570</wp:posOffset>
                </wp:positionV>
                <wp:extent cx="156210" cy="774700"/>
                <wp:effectExtent l="92710" t="10160" r="113030" b="5715"/>
                <wp:wrapNone/>
                <wp:docPr id="1047" name="10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1020000">
                          <a:off x="0" y="0"/>
                          <a:ext cx="156210" cy="774700"/>
                        </a:xfrm>
                        <a:prstGeom prst="downArrow">
                          <a:avLst>
                            <a:gd name="adj1" fmla="val 50000"/>
                            <a:gd name="adj2" fmla="val 50007"/>
                          </a:avLst>
                        </a:prstGeom>
                        <a:solidFill>
                          <a:srgbClr val="000000"/>
                        </a:solidFill>
                        <a:ln w="12700" cap="flat" cmpd="sng">
                          <a:solidFill>
                            <a:srgbClr val="000000"/>
                          </a:solidFill>
                          <a:prstDash val="solid"/>
                          <a:miter/>
                          <a:headEnd type="none" w="med" len="med"/>
                          <a:tailEnd type="none" w="med" len="med"/>
                        </a:ln>
                      </wps:spPr>
                      <wps:bodyPr>
                        <a:prstTxWarp prst="textNoShape">
                          <a:avLst/>
                        </a:prstTxWarp>
                      </wps:bodyPr>
                    </wps:wsp>
                  </a:graphicData>
                </a:graphic>
                <wp14:sizeRelH relativeFrom="margin">
                  <wp14:pctWidth>0</wp14:pctWidth>
                </wp14:sizeRelH>
                <wp14:sizeRelV relativeFrom="page">
                  <wp14:pctHeight>0</wp14:pctHeight>
                </wp14:sizeRelV>
              </wp:anchor>
            </w:drawing>
          </mc:Choice>
          <mc:Fallback xmlns:wpsCustomData="http://www.wps.cn/officeDocument/2013/wpsCustomData">
            <w:pict>
              <v:shape id="1047" type="#_x0000_t67" adj="19422,5400," fillcolor="black" style="position:absolute;margin-left:254.05pt;margin-top:219.1pt;width:12.3pt;height:61.0pt;z-index:24;mso-position-horizontal-relative:text;mso-position-vertical-relative:text;mso-width-percent:0;mso-height-percent:0;mso-width-relative:margin;mso-height-relative:page;mso-wrap-distance-left:0.0pt;mso-wrap-distance-right:0.0pt;visibility:visible;rotation:-1114112fd;">
                <v:stroke joinstyle="miter" weight="1.0pt"/>
                <v:fill/>
              </v:shape>
            </w:pict>
          </mc:Fallback>
        </mc:AlternateContent>
      </w:r>
      <w:r>
        <w:rPr>
          <w:noProof/>
        </w:rPr>
        <mc:AlternateContent>
          <mc:Choice Requires="wps">
            <w:drawing>
              <wp:anchor distT="0" distB="0" distL="0" distR="0" simplePos="0" relativeHeight="23" behindDoc="0" locked="0" layoutInCell="1" allowOverlap="1" wp14:anchorId="1205D68D" wp14:editId="0504970C">
                <wp:simplePos x="0" y="0"/>
                <wp:positionH relativeFrom="column">
                  <wp:posOffset>2094230</wp:posOffset>
                </wp:positionH>
                <wp:positionV relativeFrom="paragraph">
                  <wp:posOffset>2771140</wp:posOffset>
                </wp:positionV>
                <wp:extent cx="171450" cy="673100"/>
                <wp:effectExtent l="103504" t="17780" r="86995" b="4445"/>
                <wp:wrapNone/>
                <wp:docPr id="1048" name="10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1140000">
                          <a:off x="0" y="0"/>
                          <a:ext cx="171450" cy="673100"/>
                        </a:xfrm>
                        <a:prstGeom prst="downArrow">
                          <a:avLst>
                            <a:gd name="adj1" fmla="val 50000"/>
                            <a:gd name="adj2" fmla="val 49928"/>
                          </a:avLst>
                        </a:prstGeom>
                        <a:solidFill>
                          <a:srgbClr val="000000"/>
                        </a:solidFill>
                        <a:ln w="12700" cap="flat" cmpd="sng">
                          <a:solidFill>
                            <a:srgbClr val="000000"/>
                          </a:solidFill>
                          <a:prstDash val="solid"/>
                          <a:miter/>
                          <a:headEnd type="none" w="med" len="med"/>
                          <a:tailEnd type="none" w="med" len="med"/>
                        </a:ln>
                      </wps:spPr>
                      <wps:bodyPr>
                        <a:prstTxWarp prst="textNoShape">
                          <a:avLst/>
                        </a:prstTxWarp>
                      </wps:bodyPr>
                    </wps:wsp>
                  </a:graphicData>
                </a:graphic>
                <wp14:sizeRelH relativeFrom="page">
                  <wp14:pctWidth>0</wp14:pctWidth>
                </wp14:sizeRelH>
                <wp14:sizeRelV relativeFrom="page">
                  <wp14:pctHeight>0</wp14:pctHeight>
                </wp14:sizeRelV>
              </wp:anchor>
            </w:drawing>
          </mc:Choice>
          <mc:Fallback xmlns:wpsCustomData="http://www.wps.cn/officeDocument/2013/wpsCustomData">
            <w:pict>
              <v:shape id="1048" type="#_x0000_t67" adj="18854,5400," fillcolor="black" style="position:absolute;margin-left:164.9pt;margin-top:218.2pt;width:13.5pt;height:53.0pt;z-index:23;mso-position-horizontal-relative:text;mso-position-vertical-relative:text;mso-width-percent:0;mso-height-percent:0;mso-width-relative:page;mso-height-relative:page;mso-wrap-distance-left:0.0pt;mso-wrap-distance-right:0.0pt;visibility:visible;rotation:1245184fd;">
                <v:stroke joinstyle="miter" weight="1.0pt"/>
                <v:fill/>
              </v:shape>
            </w:pict>
          </mc:Fallback>
        </mc:AlternateContent>
      </w:r>
      <w:r>
        <w:rPr>
          <w:rFonts w:ascii="Arial" w:hAnsi="Arial" w:cs="Arial"/>
          <w:noProof/>
          <w:sz w:val="24"/>
          <w:szCs w:val="24"/>
        </w:rPr>
        <w:drawing>
          <wp:inline distT="0" distB="0" distL="0" distR="0" wp14:anchorId="1C236733" wp14:editId="153AE014">
            <wp:extent cx="5486400" cy="2686050"/>
            <wp:effectExtent l="0" t="0" r="0" b="19050"/>
            <wp:docPr id="1049" name="Diagram 2"/>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inline>
        </w:drawing>
      </w:r>
    </w:p>
    <w:p w14:paraId="739EFC4D" w14:textId="77777777" w:rsidR="00E77831" w:rsidRDefault="00E77831">
      <w:pPr>
        <w:spacing w:line="360" w:lineRule="auto"/>
        <w:rPr>
          <w:rFonts w:ascii="Arial" w:hAnsi="Arial" w:cs="Arial"/>
          <w:sz w:val="24"/>
          <w:szCs w:val="24"/>
        </w:rPr>
      </w:pPr>
    </w:p>
    <w:p w14:paraId="3541F98E" w14:textId="77777777" w:rsidR="00E77831" w:rsidRDefault="00000000">
      <w:pPr>
        <w:spacing w:line="360" w:lineRule="auto"/>
        <w:rPr>
          <w:rFonts w:ascii="Arial" w:hAnsi="Arial" w:cs="Arial"/>
          <w:sz w:val="24"/>
          <w:szCs w:val="24"/>
        </w:rPr>
      </w:pPr>
      <w:r>
        <w:rPr>
          <w:noProof/>
        </w:rPr>
        <mc:AlternateContent>
          <mc:Choice Requires="wps">
            <w:drawing>
              <wp:anchor distT="0" distB="0" distL="0" distR="0" simplePos="0" relativeHeight="21" behindDoc="0" locked="0" layoutInCell="1" allowOverlap="1" wp14:anchorId="0EB31CDC" wp14:editId="0866E33D">
                <wp:simplePos x="0" y="0"/>
                <wp:positionH relativeFrom="column">
                  <wp:posOffset>2984500</wp:posOffset>
                </wp:positionH>
                <wp:positionV relativeFrom="paragraph">
                  <wp:posOffset>306070</wp:posOffset>
                </wp:positionV>
                <wp:extent cx="1428750" cy="660400"/>
                <wp:effectExtent l="12700" t="11430" r="15875" b="13970"/>
                <wp:wrapNone/>
                <wp:docPr id="1050" name="10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28750" cy="660400"/>
                        </a:xfrm>
                        <a:prstGeom prst="ellipse">
                          <a:avLst/>
                        </a:prstGeom>
                        <a:solidFill>
                          <a:srgbClr val="A8D08D"/>
                        </a:solidFill>
                        <a:ln w="12700" cap="flat" cmpd="sng">
                          <a:solidFill>
                            <a:srgbClr val="1C3053"/>
                          </a:solidFill>
                          <a:prstDash val="solid"/>
                          <a:miter/>
                          <a:headEnd type="none" w="med" len="med"/>
                          <a:tailEnd type="none" w="med" len="med"/>
                        </a:ln>
                      </wps:spPr>
                      <wps:txbx>
                        <w:txbxContent>
                          <w:p w14:paraId="1A1F72F6" w14:textId="77777777" w:rsidR="00E77831" w:rsidRDefault="00000000">
                            <w:pPr>
                              <w:jc w:val="center"/>
                              <w:rPr>
                                <w:rFonts w:ascii="Arial" w:hAnsi="Arial" w:cs="Arial"/>
                                <w:color w:val="000000"/>
                              </w:rPr>
                            </w:pPr>
                            <w:r>
                              <w:rPr>
                                <w:rFonts w:ascii="Arial" w:hAnsi="Arial" w:cs="Arial"/>
                                <w:b/>
                                <w:bCs/>
                                <w:color w:val="000000"/>
                              </w:rPr>
                              <w:t>Supply Chain</w:t>
                            </w:r>
                            <w:r>
                              <w:rPr>
                                <w:rFonts w:ascii="Arial" w:hAnsi="Arial" w:cs="Arial"/>
                                <w:color w:val="000000"/>
                              </w:rPr>
                              <w:t xml:space="preserve"> Management</w:t>
                            </w:r>
                          </w:p>
                        </w:txbxContent>
                      </wps:txbx>
                      <wps:bodyPr vert="horz" wrap="square" lIns="91440" tIns="45720" rIns="91440" bIns="45720" anchor="ctr" upright="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EB31CDC" id="1052" o:spid="_x0000_s1035" style="position:absolute;margin-left:235pt;margin-top:24.1pt;width:112.5pt;height:52pt;z-index:21;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" fillcolor="#a8d08d" strokecolor="#1c3053" strokeweight="1pt">
                <v:stroke joinstyle="miter"/>
                <v:path arrowok="t"/>
                <v:textbox>
                  <w:txbxContent>
                    <w:p w14:paraId="1A1F72F6" w14:textId="77777777" w:rsidR="00E77831" w:rsidRDefault="00000000">
                      <w:pPr>
                        <w:jc w:val="center"/>
                        <w:rPr>
                          <w:rFonts w:ascii="Arial" w:hAnsi="Arial" w:cs="Arial"/>
                          <w:color w:val="000000"/>
                        </w:rPr>
                      </w:pPr>
                      <w:r>
                        <w:rPr>
                          <w:rFonts w:ascii="Arial" w:hAnsi="Arial" w:cs="Arial"/>
                          <w:b/>
                          <w:bCs/>
                          <w:color w:val="000000"/>
                        </w:rPr>
                        <w:t>Supply Chain</w:t>
                      </w:r>
                      <w:r>
                        <w:rPr>
                          <w:rFonts w:ascii="Arial" w:hAnsi="Arial" w:cs="Arial"/>
                          <w:color w:val="000000"/>
                        </w:rPr>
                        <w:t xml:space="preserve"> Management</w:t>
                      </w:r>
                    </w:p>
                  </w:txbxContent>
                </v:textbox>
              </v:oval>
            </w:pict>
          </mc:Fallback>
        </mc:AlternateContent>
      </w:r>
      <w:r>
        <w:rPr>
          <w:noProof/>
        </w:rPr>
        <mc:AlternateContent>
          <mc:Choice Requires="wps">
            <w:drawing>
              <wp:anchor distT="0" distB="0" distL="0" distR="0" simplePos="0" relativeHeight="20" behindDoc="0" locked="0" layoutInCell="1" allowOverlap="1" wp14:anchorId="6E28614A" wp14:editId="1E2954B0">
                <wp:simplePos x="0" y="0"/>
                <wp:positionH relativeFrom="column">
                  <wp:posOffset>1257300</wp:posOffset>
                </wp:positionH>
                <wp:positionV relativeFrom="paragraph">
                  <wp:posOffset>293370</wp:posOffset>
                </wp:positionV>
                <wp:extent cx="1352550" cy="673100"/>
                <wp:effectExtent l="9525" t="8255" r="9525" b="13970"/>
                <wp:wrapNone/>
                <wp:docPr id="1051" name="10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52550" cy="673100"/>
                        </a:xfrm>
                        <a:prstGeom prst="ellipse">
                          <a:avLst/>
                        </a:prstGeom>
                        <a:solidFill>
                          <a:srgbClr val="A8D08D"/>
                        </a:solidFill>
                        <a:ln w="12700" cap="flat" cmpd="sng">
                          <a:solidFill>
                            <a:srgbClr val="1C3053"/>
                          </a:solidFill>
                          <a:prstDash val="solid"/>
                          <a:miter/>
                          <a:headEnd type="none" w="med" len="med"/>
                          <a:tailEnd type="none" w="med" len="med"/>
                        </a:ln>
                      </wps:spPr>
                      <wps:txbx>
                        <w:txbxContent>
                          <w:p w14:paraId="22CFFAF5" w14:textId="77777777" w:rsidR="00E77831" w:rsidRDefault="00000000">
                            <w:pPr>
                              <w:jc w:val="center"/>
                              <w:rPr>
                                <w:rFonts w:ascii="Arial" w:hAnsi="Arial" w:cs="Arial"/>
                                <w:b/>
                                <w:bCs/>
                                <w:color w:val="000000"/>
                              </w:rPr>
                            </w:pPr>
                            <w:r>
                              <w:rPr>
                                <w:rFonts w:ascii="Arial" w:hAnsi="Arial" w:cs="Arial"/>
                                <w:b/>
                                <w:bCs/>
                                <w:color w:val="000000"/>
                              </w:rPr>
                              <w:t>Logistic management</w:t>
                            </w:r>
                          </w:p>
                        </w:txbxContent>
                      </wps:txbx>
                      <wps:bodyPr vert="horz" wrap="square" lIns="91440" tIns="45720" rIns="91440" bIns="45720" anchor="ctr" upright="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oval w14:anchorId="6E28614A" id="1053" o:spid="_x0000_s1036" style="position:absolute;margin-left:99pt;margin-top:23.1pt;width:106.5pt;height:53pt;z-index:20;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" fillcolor="#a8d08d" strokecolor="#1c3053" strokeweight="1pt">
                <v:stroke joinstyle="miter"/>
                <v:path arrowok="t"/>
                <v:textbox>
                  <w:txbxContent>
                    <w:p w14:paraId="22CFFAF5" w14:textId="77777777" w:rsidR="00E77831" w:rsidRDefault="00000000">
                      <w:pPr>
                        <w:jc w:val="center"/>
                        <w:rPr>
                          <w:rFonts w:ascii="Arial" w:hAnsi="Arial" w:cs="Arial"/>
                          <w:b/>
                          <w:bCs/>
                          <w:color w:val="000000"/>
                        </w:rPr>
                      </w:pPr>
                      <w:r>
                        <w:rPr>
                          <w:rFonts w:ascii="Arial" w:hAnsi="Arial" w:cs="Arial"/>
                          <w:b/>
                          <w:bCs/>
                          <w:color w:val="000000"/>
                        </w:rPr>
                        <w:t>Logistic management</w:t>
                      </w:r>
                    </w:p>
                  </w:txbxContent>
                </v:textbox>
              </v:oval>
            </w:pict>
          </mc:Fallback>
        </mc:AlternateContent>
      </w:r>
      <w:r>
        <w:rPr>
          <w:noProof/>
        </w:rPr>
        <mc:AlternateContent>
          <mc:Choice Requires="wps">
            <w:drawing>
              <wp:anchor distT="0" distB="0" distL="0" distR="0" simplePos="0" relativeHeight="19" behindDoc="0" locked="0" layoutInCell="1" allowOverlap="1" wp14:anchorId="32A2A0B5" wp14:editId="23FBFF25">
                <wp:simplePos x="0" y="0"/>
                <wp:positionH relativeFrom="column">
                  <wp:posOffset>-196850</wp:posOffset>
                </wp:positionH>
                <wp:positionV relativeFrom="paragraph">
                  <wp:posOffset>261620</wp:posOffset>
                </wp:positionV>
                <wp:extent cx="1022350" cy="590550"/>
                <wp:effectExtent l="12700" t="14605" r="12700" b="13970"/>
                <wp:wrapNone/>
                <wp:docPr id="1052" name="10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22350" cy="590550"/>
                        </a:xfrm>
                        <a:prstGeom prst="ellipse">
                          <a:avLst/>
                        </a:prstGeom>
                        <a:solidFill>
                          <a:srgbClr val="A8D08D"/>
                        </a:solidFill>
                        <a:ln w="12700" cap="flat" cmpd="sng">
                          <a:solidFill>
                            <a:srgbClr val="1C3053"/>
                          </a:solidFill>
                          <a:prstDash val="solid"/>
                          <a:miter/>
                          <a:headEnd type="none" w="med" len="med"/>
                          <a:tailEnd type="none" w="med" len="med"/>
                        </a:ln>
                      </wps:spPr>
                      <wps:txbx>
                        <w:txbxContent>
                          <w:p w14:paraId="3B32CF42" w14:textId="77777777" w:rsidR="00E77831" w:rsidRDefault="00000000">
                            <w:pPr>
                              <w:jc w:val="center"/>
                              <w:rPr>
                                <w:rFonts w:ascii="Arial" w:hAnsi="Arial" w:cs="Arial"/>
                                <w:b/>
                                <w:bCs/>
                                <w:color w:val="000000"/>
                              </w:rPr>
                            </w:pPr>
                            <w:r>
                              <w:rPr>
                                <w:rFonts w:ascii="Arial" w:hAnsi="Arial" w:cs="Arial"/>
                                <w:b/>
                                <w:bCs/>
                                <w:color w:val="000000"/>
                              </w:rPr>
                              <w:t>Labor</w:t>
                            </w:r>
                          </w:p>
                        </w:txbxContent>
                      </wps:txbx>
                      <wps:bodyPr vert="horz" wrap="square" lIns="91440" tIns="45720" rIns="91440" bIns="45720" anchor="ctr" upright="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oval w14:anchorId="32A2A0B5" id="1054" o:spid="_x0000_s1037" style="position:absolute;margin-left:-15.5pt;margin-top:20.6pt;width:80.5pt;height:46.5pt;z-index:19;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" fillcolor="#a8d08d" strokecolor="#1c3053" strokeweight="1pt">
                <v:stroke joinstyle="miter"/>
                <v:path arrowok="t"/>
                <v:textbox>
                  <w:txbxContent>
                    <w:p w14:paraId="3B32CF42" w14:textId="77777777" w:rsidR="00E77831" w:rsidRDefault="00000000">
                      <w:pPr>
                        <w:jc w:val="center"/>
                        <w:rPr>
                          <w:rFonts w:ascii="Arial" w:hAnsi="Arial" w:cs="Arial"/>
                          <w:b/>
                          <w:bCs/>
                          <w:color w:val="000000"/>
                        </w:rPr>
                      </w:pPr>
                      <w:r>
                        <w:rPr>
                          <w:rFonts w:ascii="Arial" w:hAnsi="Arial" w:cs="Arial"/>
                          <w:b/>
                          <w:bCs/>
                          <w:color w:val="000000"/>
                        </w:rPr>
                        <w:t>Labor</w:t>
                      </w:r>
                    </w:p>
                  </w:txbxContent>
                </v:textbox>
              </v:oval>
            </w:pict>
          </mc:Fallback>
        </mc:AlternateContent>
      </w:r>
    </w:p>
    <w:p w14:paraId="3F0F7F7F" w14:textId="77777777" w:rsidR="00E77831" w:rsidRDefault="00000000">
      <w:pPr>
        <w:spacing w:line="360" w:lineRule="auto"/>
        <w:rPr>
          <w:rFonts w:ascii="Arial" w:hAnsi="Arial" w:cs="Arial"/>
          <w:sz w:val="24"/>
          <w:szCs w:val="24"/>
        </w:rPr>
      </w:pPr>
      <w:r>
        <w:rPr>
          <w:noProof/>
        </w:rPr>
        <mc:AlternateContent>
          <mc:Choice Requires="wps">
            <w:drawing>
              <wp:anchor distT="0" distB="0" distL="0" distR="0" simplePos="0" relativeHeight="22" behindDoc="0" locked="0" layoutInCell="1" allowOverlap="1" wp14:anchorId="1577FB8C" wp14:editId="36F9D9D0">
                <wp:simplePos x="0" y="0"/>
                <wp:positionH relativeFrom="column">
                  <wp:posOffset>4892040</wp:posOffset>
                </wp:positionH>
                <wp:positionV relativeFrom="paragraph">
                  <wp:posOffset>11430</wp:posOffset>
                </wp:positionV>
                <wp:extent cx="1206500" cy="647700"/>
                <wp:effectExtent l="15240" t="14605" r="6985" b="13970"/>
                <wp:wrapNone/>
                <wp:docPr id="1053" name="105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06500" cy="647700"/>
                        </a:xfrm>
                        <a:prstGeom prst="ellipse">
                          <a:avLst/>
                        </a:prstGeom>
                        <a:solidFill>
                          <a:srgbClr val="A8D08D"/>
                        </a:solidFill>
                        <a:ln w="12700" cap="flat" cmpd="sng">
                          <a:solidFill>
                            <a:srgbClr val="1C3053"/>
                          </a:solidFill>
                          <a:prstDash val="solid"/>
                          <a:miter/>
                          <a:headEnd type="none" w="med" len="med"/>
                          <a:tailEnd type="none" w="med" len="med"/>
                        </a:ln>
                      </wps:spPr>
                      <wps:txbx>
                        <w:txbxContent>
                          <w:p w14:paraId="4028FFA0" w14:textId="77777777" w:rsidR="00E77831" w:rsidRDefault="00000000">
                            <w:pPr>
                              <w:jc w:val="center"/>
                              <w:rPr>
                                <w:rFonts w:ascii="Arial" w:hAnsi="Arial" w:cs="Arial"/>
                                <w:b/>
                                <w:bCs/>
                                <w:color w:val="000000"/>
                              </w:rPr>
                            </w:pPr>
                            <w:r>
                              <w:rPr>
                                <w:rFonts w:ascii="Arial" w:hAnsi="Arial" w:cs="Arial"/>
                                <w:b/>
                                <w:bCs/>
                                <w:color w:val="000000"/>
                              </w:rPr>
                              <w:t>Inventory</w:t>
                            </w:r>
                          </w:p>
                        </w:txbxContent>
                      </wps:txbx>
                      <wps:bodyPr vert="horz" wrap="square" lIns="91440" tIns="45720" rIns="91440" bIns="45720" anchor="ctr" upright="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oval w14:anchorId="1577FB8C" id="1055" o:spid="_x0000_s1038" style="position:absolute;margin-left:385.2pt;margin-top:.9pt;width:95pt;height:51pt;z-index:22;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" fillcolor="#a8d08d" strokecolor="#1c3053" strokeweight="1pt">
                <v:stroke joinstyle="miter"/>
                <v:path arrowok="t"/>
                <v:textbox>
                  <w:txbxContent>
                    <w:p w14:paraId="4028FFA0" w14:textId="77777777" w:rsidR="00E77831" w:rsidRDefault="00000000">
                      <w:pPr>
                        <w:jc w:val="center"/>
                        <w:rPr>
                          <w:rFonts w:ascii="Arial" w:hAnsi="Arial" w:cs="Arial"/>
                          <w:b/>
                          <w:bCs/>
                          <w:color w:val="000000"/>
                        </w:rPr>
                      </w:pPr>
                      <w:r>
                        <w:rPr>
                          <w:rFonts w:ascii="Arial" w:hAnsi="Arial" w:cs="Arial"/>
                          <w:b/>
                          <w:bCs/>
                          <w:color w:val="000000"/>
                        </w:rPr>
                        <w:t>Inventory</w:t>
                      </w:r>
                    </w:p>
                  </w:txbxContent>
                </v:textbox>
              </v:oval>
            </w:pict>
          </mc:Fallback>
        </mc:AlternateContent>
      </w:r>
    </w:p>
    <w:p w14:paraId="509B0CD8" w14:textId="77777777" w:rsidR="00E77831" w:rsidRDefault="00E77831">
      <w:pPr>
        <w:spacing w:line="360" w:lineRule="auto"/>
        <w:rPr>
          <w:rFonts w:ascii="Arial" w:hAnsi="Arial" w:cs="Arial"/>
          <w:sz w:val="24"/>
          <w:szCs w:val="24"/>
        </w:rPr>
      </w:pPr>
    </w:p>
    <w:p w14:paraId="67488EE9" w14:textId="77777777" w:rsidR="00E77831" w:rsidRDefault="00E77831">
      <w:pPr>
        <w:spacing w:line="360" w:lineRule="auto"/>
        <w:rPr>
          <w:rFonts w:ascii="Arial" w:hAnsi="Arial" w:cs="Arial"/>
          <w:sz w:val="24"/>
          <w:szCs w:val="24"/>
        </w:rPr>
      </w:pPr>
    </w:p>
    <w:p w14:paraId="659F75AE" w14:textId="77777777" w:rsidR="00E77831" w:rsidRDefault="00000000">
      <w:pPr>
        <w:spacing w:line="360" w:lineRule="auto"/>
        <w:rPr>
          <w:rFonts w:ascii="Arial" w:hAnsi="Arial" w:cs="Arial"/>
          <w:sz w:val="24"/>
          <w:szCs w:val="24"/>
        </w:rPr>
      </w:pPr>
      <w:r>
        <w:rPr>
          <w:rFonts w:ascii="Arial" w:hAnsi="Arial" w:cs="Arial"/>
          <w:sz w:val="24"/>
          <w:szCs w:val="24"/>
        </w:rPr>
        <w:t xml:space="preserve">The goal of the cost-leadership strategy is to become the least expensive in their sector to gain a competitive edge. The goal of a business that chooses to pursue a cost </w:t>
      </w:r>
      <w:r>
        <w:rPr>
          <w:rFonts w:ascii="Arial" w:hAnsi="Arial" w:cs="Arial"/>
          <w:sz w:val="24"/>
          <w:szCs w:val="24"/>
        </w:rPr>
        <w:lastRenderedPageBreak/>
        <w:t>leadership strategy is to realize its offer at a lower cost. By emphasizing aggressive construction of efficient-scale facilities, vigorous pursuit of cost reductions from experience, tight cost and overhead control, avoidance of marginal customer accounts, cost minimization in operations, lost cost in service, advertising, R&amp;D design, and so forth. Toyota in the UK has achieved superior competitiveness in terms of delivery time, quality, and cost reduction. It has catalyzed a global movement towards increasing efficiency as a strategic imperative through cost-cutting (Barota &amp; Abdullah, 2011, p. 1364).</w:t>
      </w:r>
    </w:p>
    <w:p w14:paraId="317289C6" w14:textId="77777777" w:rsidR="00E77831" w:rsidRDefault="00000000">
      <w:pPr>
        <w:spacing w:line="360" w:lineRule="auto"/>
        <w:rPr>
          <w:rFonts w:ascii="Arial" w:hAnsi="Arial" w:cs="Arial"/>
          <w:sz w:val="24"/>
          <w:szCs w:val="24"/>
        </w:rPr>
      </w:pPr>
      <w:r>
        <w:rPr>
          <w:rFonts w:ascii="Arial" w:hAnsi="Arial" w:cs="Arial"/>
          <w:sz w:val="24"/>
          <w:szCs w:val="24"/>
        </w:rPr>
        <w:t>The goal of the differentiation strategy is to develop a market position that is thought to be distinct within the industry and long-term sustainability. Differentiation can be achieved through various means such as distribution, design, or brand image. Particularly differentiator businesses produce adding value for customers by providing premium products backed by excellent service at competitive prices (Barota &amp; Abdullah, 2011, p. 1364).</w:t>
      </w:r>
    </w:p>
    <w:p w14:paraId="121C4A8C" w14:textId="77777777" w:rsidR="00E77831" w:rsidRDefault="00000000">
      <w:pPr>
        <w:spacing w:line="360" w:lineRule="auto"/>
        <w:rPr>
          <w:rFonts w:ascii="Arial" w:hAnsi="Arial" w:cs="Arial"/>
          <w:b/>
          <w:bCs/>
          <w:sz w:val="24"/>
          <w:szCs w:val="24"/>
        </w:rPr>
      </w:pPr>
      <w:r>
        <w:rPr>
          <w:rFonts w:ascii="Arial" w:hAnsi="Arial" w:cs="Arial"/>
          <w:sz w:val="24"/>
          <w:szCs w:val="24"/>
        </w:rPr>
        <w:t xml:space="preserve">Toyota's global production system in the UK employs differentiation in products, price, promotion as well as place which leads to achieving a sustainable competitive advantage. </w:t>
      </w:r>
    </w:p>
    <w:p w14:paraId="626499A0" w14:textId="27E62D5F" w:rsidR="00E77831" w:rsidRDefault="00000000">
      <w:pPr>
        <w:spacing w:line="360" w:lineRule="auto"/>
        <w:rPr>
          <w:rFonts w:ascii="Arial" w:hAnsi="Arial" w:cs="Arial"/>
          <w:b/>
          <w:bCs/>
          <w:sz w:val="28"/>
          <w:szCs w:val="28"/>
        </w:rPr>
      </w:pPr>
      <w:r>
        <w:rPr>
          <w:rFonts w:ascii="Arial" w:hAnsi="Arial" w:cs="Arial"/>
          <w:b/>
          <w:bCs/>
          <w:sz w:val="28"/>
          <w:szCs w:val="28"/>
        </w:rPr>
        <w:t xml:space="preserve"> 2.4 - Green Marketing mix strategy adopted by Toyota in the UK</w:t>
      </w:r>
      <w:r w:rsidR="00733FCF">
        <w:rPr>
          <w:rFonts w:ascii="Arial" w:hAnsi="Arial" w:cs="Arial"/>
          <w:b/>
          <w:bCs/>
          <w:sz w:val="28"/>
          <w:szCs w:val="28"/>
        </w:rPr>
        <w:t>:</w:t>
      </w:r>
    </w:p>
    <w:p w14:paraId="486674E1" w14:textId="3255E684" w:rsidR="00E77831" w:rsidRDefault="00000000">
      <w:pPr>
        <w:spacing w:line="360" w:lineRule="auto"/>
        <w:rPr>
          <w:rFonts w:ascii="Arial" w:hAnsi="Arial" w:cs="Arial"/>
          <w:sz w:val="24"/>
          <w:szCs w:val="24"/>
        </w:rPr>
      </w:pPr>
      <w:r>
        <w:rPr>
          <w:rFonts w:ascii="Arial" w:hAnsi="Arial" w:cs="Arial"/>
          <w:b/>
          <w:bCs/>
          <w:sz w:val="28"/>
          <w:szCs w:val="28"/>
        </w:rPr>
        <w:t>Green products</w:t>
      </w:r>
      <w:r w:rsidR="00733FCF">
        <w:rPr>
          <w:rFonts w:ascii="Arial" w:hAnsi="Arial" w:cs="Arial"/>
          <w:sz w:val="28"/>
          <w:szCs w:val="28"/>
        </w:rPr>
        <w:t xml:space="preserve"> </w:t>
      </w:r>
      <w:r>
        <w:rPr>
          <w:rFonts w:ascii="Arial" w:hAnsi="Arial" w:cs="Arial"/>
          <w:sz w:val="24"/>
          <w:szCs w:val="24"/>
        </w:rPr>
        <w:t>Toyota uses Gas / electric hybrid technology extensively among its offerings. To position itself as the world's first environmentally conscious automaker, it is also investing the highest amount of money in R&amp;D centres to produce hydrogen vehicles (Eniezan et al., 2016, p. 21).</w:t>
      </w:r>
    </w:p>
    <w:p w14:paraId="1D9EA8D8" w14:textId="77777777" w:rsidR="00E77831" w:rsidRDefault="00000000">
      <w:pPr>
        <w:spacing w:line="360" w:lineRule="auto"/>
        <w:rPr>
          <w:rFonts w:ascii="Arial" w:hAnsi="Arial" w:cs="Arial"/>
          <w:sz w:val="24"/>
          <w:szCs w:val="24"/>
        </w:rPr>
      </w:pPr>
      <w:r>
        <w:rPr>
          <w:rFonts w:ascii="Arial" w:hAnsi="Arial" w:cs="Arial"/>
          <w:sz w:val="24"/>
          <w:szCs w:val="24"/>
        </w:rPr>
        <w:t>Toyota has already introduced a wide range of products to the UK Market. Toyota Aygo, Yaris, Auris, Corolla, Prius, RAV4, Avensis, Verso, and Lexys are part of Toyota's proud presence on the UK motorway. Toyota Mirai is the hydrogen vehicle available in the UK (Hoque et al., 2013, p. 228).</w:t>
      </w:r>
    </w:p>
    <w:p w14:paraId="6AC0166C" w14:textId="77777777" w:rsidR="00E77831" w:rsidRDefault="00000000">
      <w:pPr>
        <w:spacing w:line="360" w:lineRule="auto"/>
        <w:rPr>
          <w:rFonts w:ascii="Arial" w:hAnsi="Arial" w:cs="Arial"/>
          <w:sz w:val="24"/>
          <w:szCs w:val="24"/>
        </w:rPr>
      </w:pPr>
      <w:r>
        <w:rPr>
          <w:rFonts w:ascii="Arial" w:hAnsi="Arial" w:cs="Arial"/>
          <w:sz w:val="24"/>
          <w:szCs w:val="24"/>
        </w:rPr>
        <w:t>In the class of greener cars, the Toyota Prius model is hailed as the industry leader (Eneizan et al., 2016, p. 21).</w:t>
      </w:r>
    </w:p>
    <w:p w14:paraId="662910AA" w14:textId="30B0F68B" w:rsidR="00E77831" w:rsidRDefault="00000000">
      <w:pPr>
        <w:spacing w:line="360" w:lineRule="auto"/>
        <w:rPr>
          <w:rFonts w:ascii="Arial" w:hAnsi="Arial" w:cs="Arial"/>
          <w:sz w:val="24"/>
          <w:szCs w:val="24"/>
        </w:rPr>
      </w:pPr>
      <w:r>
        <w:rPr>
          <w:rFonts w:ascii="Arial" w:hAnsi="Arial" w:cs="Arial"/>
          <w:sz w:val="24"/>
          <w:szCs w:val="24"/>
        </w:rPr>
        <w:lastRenderedPageBreak/>
        <w:t>The company unveiled its “Environmental Challenge 2050” in 2015, which consists of six tasks. These include creating</w:t>
      </w:r>
      <w:r w:rsidR="000106B0">
        <w:rPr>
          <w:rFonts w:ascii="Arial" w:hAnsi="Arial" w:cs="Arial"/>
          <w:sz w:val="24"/>
          <w:szCs w:val="24"/>
        </w:rPr>
        <w:t xml:space="preserve"> </w:t>
      </w:r>
      <w:r>
        <w:rPr>
          <w:rFonts w:ascii="Arial" w:hAnsi="Arial" w:cs="Arial"/>
          <w:sz w:val="24"/>
          <w:szCs w:val="24"/>
        </w:rPr>
        <w:t xml:space="preserve">new goods and technology, recycling, managing general resources, and optimizing the use of water and energy. The six tasks include. </w:t>
      </w:r>
    </w:p>
    <w:p w14:paraId="50712505" w14:textId="44675846" w:rsidR="00E77831" w:rsidRDefault="00000000">
      <w:pPr>
        <w:spacing w:line="360" w:lineRule="auto"/>
        <w:rPr>
          <w:rFonts w:ascii="Arial" w:hAnsi="Arial" w:cs="Arial"/>
          <w:b/>
          <w:bCs/>
          <w:sz w:val="28"/>
          <w:szCs w:val="28"/>
        </w:rPr>
      </w:pPr>
      <w:r>
        <w:rPr>
          <w:rFonts w:ascii="Arial" w:hAnsi="Arial" w:cs="Arial"/>
          <w:b/>
          <w:bCs/>
          <w:sz w:val="28"/>
          <w:szCs w:val="28"/>
        </w:rPr>
        <w:t xml:space="preserve">1. No emission of CO2  </w:t>
      </w:r>
    </w:p>
    <w:p w14:paraId="1FA613CD" w14:textId="77777777" w:rsidR="00E77831" w:rsidRDefault="00000000">
      <w:pPr>
        <w:spacing w:line="360" w:lineRule="auto"/>
        <w:rPr>
          <w:rFonts w:ascii="Arial" w:hAnsi="Arial" w:cs="Arial"/>
          <w:sz w:val="24"/>
          <w:szCs w:val="24"/>
        </w:rPr>
      </w:pPr>
      <w:r>
        <w:rPr>
          <w:rFonts w:ascii="Arial" w:hAnsi="Arial" w:cs="Arial"/>
          <w:sz w:val="24"/>
          <w:szCs w:val="24"/>
        </w:rPr>
        <w:t>The goal of this challenge is to cut carbon dioxide emissions. Production of Electrical, fuel cells, plug-in hybrids, and hybrid vehicles reduced carbon dioxide emissions.</w:t>
      </w:r>
    </w:p>
    <w:p w14:paraId="415250ED" w14:textId="11AF0637" w:rsidR="00E77831" w:rsidRDefault="00000000">
      <w:pPr>
        <w:spacing w:line="360" w:lineRule="auto"/>
        <w:rPr>
          <w:rFonts w:ascii="Arial" w:hAnsi="Arial" w:cs="Arial"/>
          <w:b/>
          <w:bCs/>
          <w:sz w:val="28"/>
          <w:szCs w:val="28"/>
        </w:rPr>
      </w:pPr>
      <w:r>
        <w:rPr>
          <w:rFonts w:ascii="Arial" w:hAnsi="Arial" w:cs="Arial"/>
          <w:b/>
          <w:bCs/>
          <w:sz w:val="28"/>
          <w:szCs w:val="28"/>
        </w:rPr>
        <w:t>2. Life cycle zero CO2 emission</w:t>
      </w:r>
    </w:p>
    <w:p w14:paraId="0DF76972" w14:textId="77777777" w:rsidR="00E77831" w:rsidRDefault="00000000">
      <w:pPr>
        <w:spacing w:line="360" w:lineRule="auto"/>
        <w:rPr>
          <w:rFonts w:ascii="Arial" w:hAnsi="Arial" w:cs="Arial"/>
          <w:sz w:val="24"/>
          <w:szCs w:val="24"/>
        </w:rPr>
      </w:pPr>
      <w:r>
        <w:rPr>
          <w:rFonts w:ascii="Arial" w:hAnsi="Arial" w:cs="Arial"/>
          <w:sz w:val="24"/>
          <w:szCs w:val="24"/>
        </w:rPr>
        <w:t>The goal of this challenge is to completely remove CO2 emissions from all product life cycle components, including materials as well as parts.</w:t>
      </w:r>
    </w:p>
    <w:p w14:paraId="6794E99E" w14:textId="25504F87" w:rsidR="00E77831" w:rsidRDefault="00000000">
      <w:pPr>
        <w:spacing w:line="360" w:lineRule="auto"/>
        <w:rPr>
          <w:rFonts w:ascii="Arial" w:hAnsi="Arial" w:cs="Arial"/>
          <w:b/>
          <w:bCs/>
          <w:sz w:val="28"/>
          <w:szCs w:val="28"/>
        </w:rPr>
      </w:pPr>
      <w:r>
        <w:rPr>
          <w:rFonts w:ascii="Arial" w:hAnsi="Arial" w:cs="Arial"/>
          <w:b/>
          <w:bCs/>
          <w:sz w:val="28"/>
          <w:szCs w:val="28"/>
        </w:rPr>
        <w:t xml:space="preserve">3. Zero CO2 emissions from plants </w:t>
      </w:r>
    </w:p>
    <w:p w14:paraId="56D33CDF" w14:textId="77777777" w:rsidR="00E77831" w:rsidRDefault="00000000">
      <w:pPr>
        <w:spacing w:line="360" w:lineRule="auto"/>
        <w:rPr>
          <w:rFonts w:ascii="Arial" w:hAnsi="Arial" w:cs="Arial"/>
          <w:sz w:val="24"/>
          <w:szCs w:val="24"/>
        </w:rPr>
      </w:pPr>
      <w:r>
        <w:rPr>
          <w:rFonts w:ascii="Arial" w:hAnsi="Arial" w:cs="Arial"/>
          <w:sz w:val="24"/>
          <w:szCs w:val="24"/>
        </w:rPr>
        <w:t>Plants produce CO2 emissions as part of their manufacturing process. Toyota has a strategic goal to attain zero CO2 emissions at all its plants to benefit the environment. Toyota especially tends to support hydrogen and renewable energy.</w:t>
      </w:r>
    </w:p>
    <w:p w14:paraId="00D31520" w14:textId="6130EF77" w:rsidR="00E77831" w:rsidRDefault="00000000">
      <w:pPr>
        <w:spacing w:line="360" w:lineRule="auto"/>
        <w:rPr>
          <w:rFonts w:ascii="Arial" w:hAnsi="Arial" w:cs="Arial"/>
          <w:b/>
          <w:bCs/>
          <w:sz w:val="28"/>
          <w:szCs w:val="28"/>
        </w:rPr>
      </w:pPr>
      <w:r>
        <w:rPr>
          <w:rFonts w:ascii="Arial" w:hAnsi="Arial" w:cs="Arial"/>
          <w:b/>
          <w:bCs/>
          <w:sz w:val="28"/>
          <w:szCs w:val="28"/>
        </w:rPr>
        <w:t xml:space="preserve">4. water conservation </w:t>
      </w:r>
    </w:p>
    <w:p w14:paraId="3CDE257F" w14:textId="77777777" w:rsidR="00E77831" w:rsidRDefault="00000000">
      <w:pPr>
        <w:spacing w:line="360" w:lineRule="auto"/>
        <w:rPr>
          <w:rFonts w:ascii="Arial" w:hAnsi="Arial" w:cs="Arial"/>
          <w:sz w:val="24"/>
          <w:szCs w:val="24"/>
        </w:rPr>
      </w:pPr>
      <w:r>
        <w:rPr>
          <w:rFonts w:ascii="Arial" w:hAnsi="Arial" w:cs="Arial"/>
          <w:sz w:val="24"/>
          <w:szCs w:val="24"/>
        </w:rPr>
        <w:t>Water is a necessary source to develop the products. The minimum consumption of water and waste management help in the conservation of water. They start collecting the rainwater and reusing or recycling it.</w:t>
      </w:r>
    </w:p>
    <w:p w14:paraId="31514DCF" w14:textId="2D5F81C5" w:rsidR="00E77831" w:rsidRDefault="00000000">
      <w:pPr>
        <w:spacing w:line="360" w:lineRule="auto"/>
        <w:rPr>
          <w:rFonts w:ascii="Arial" w:hAnsi="Arial" w:cs="Arial"/>
          <w:b/>
          <w:bCs/>
          <w:sz w:val="28"/>
          <w:szCs w:val="28"/>
        </w:rPr>
      </w:pPr>
      <w:r>
        <w:rPr>
          <w:rFonts w:ascii="Arial" w:hAnsi="Arial" w:cs="Arial"/>
          <w:b/>
          <w:bCs/>
          <w:sz w:val="28"/>
          <w:szCs w:val="28"/>
        </w:rPr>
        <w:t xml:space="preserve">5. Creating mechanisms and a society centred on recycling  </w:t>
      </w:r>
    </w:p>
    <w:p w14:paraId="1722C6E2" w14:textId="77777777" w:rsidR="00E77831" w:rsidRDefault="00000000">
      <w:pPr>
        <w:spacing w:line="360" w:lineRule="auto"/>
        <w:rPr>
          <w:rFonts w:ascii="Arial" w:hAnsi="Arial" w:cs="Arial"/>
          <w:sz w:val="24"/>
          <w:szCs w:val="24"/>
        </w:rPr>
      </w:pPr>
      <w:r>
        <w:rPr>
          <w:rFonts w:ascii="Arial" w:hAnsi="Arial" w:cs="Arial"/>
          <w:sz w:val="24"/>
          <w:szCs w:val="24"/>
        </w:rPr>
        <w:t>Toyota wants to contribute to a society that is environmentally sustainable by encouraging recycling and end-of-life car treatment.</w:t>
      </w:r>
    </w:p>
    <w:p w14:paraId="2C3486EC" w14:textId="252D4F72" w:rsidR="00E77831" w:rsidRDefault="00000000">
      <w:pPr>
        <w:spacing w:line="360" w:lineRule="auto"/>
        <w:rPr>
          <w:rFonts w:ascii="Arial" w:hAnsi="Arial" w:cs="Arial"/>
          <w:sz w:val="28"/>
          <w:szCs w:val="28"/>
        </w:rPr>
      </w:pPr>
      <w:r>
        <w:rPr>
          <w:rFonts w:ascii="Arial" w:hAnsi="Arial" w:cs="Arial"/>
          <w:b/>
          <w:bCs/>
          <w:sz w:val="28"/>
          <w:szCs w:val="28"/>
        </w:rPr>
        <w:t xml:space="preserve">6. Creating a future civilization that co-exists with nature </w:t>
      </w:r>
    </w:p>
    <w:p w14:paraId="7628D5C3" w14:textId="77777777" w:rsidR="00E77831" w:rsidRDefault="00000000">
      <w:pPr>
        <w:spacing w:line="360" w:lineRule="auto"/>
        <w:rPr>
          <w:rFonts w:ascii="Arial" w:hAnsi="Arial" w:cs="Arial"/>
          <w:sz w:val="24"/>
          <w:szCs w:val="24"/>
        </w:rPr>
      </w:pPr>
      <w:r>
        <w:rPr>
          <w:rFonts w:ascii="Arial" w:hAnsi="Arial" w:cs="Arial"/>
          <w:sz w:val="24"/>
          <w:szCs w:val="24"/>
        </w:rPr>
        <w:t>Toyota advocates for its mission by valuing and improving society's lives. For instance. It supports programs in the field of education, grants for the environment, green urban systems, and forestry (Simao &amp; Lisboa, 2017, p. 190).</w:t>
      </w:r>
    </w:p>
    <w:p w14:paraId="179D855D" w14:textId="77777777" w:rsidR="00E77831" w:rsidRDefault="00000000">
      <w:pPr>
        <w:spacing w:line="360" w:lineRule="auto"/>
        <w:rPr>
          <w:rFonts w:ascii="Arial" w:hAnsi="Arial" w:cs="Arial"/>
          <w:sz w:val="24"/>
          <w:szCs w:val="24"/>
        </w:rPr>
      </w:pPr>
      <w:r>
        <w:rPr>
          <w:rFonts w:ascii="Arial" w:hAnsi="Arial" w:cs="Arial"/>
          <w:sz w:val="24"/>
          <w:szCs w:val="24"/>
        </w:rPr>
        <w:lastRenderedPageBreak/>
        <w:t>Toyota Motor advertises the “Four Rs” (Reduce. Recycle, Reuse, Return) and implemented several relay initiatives. Toyota focuses on producing vehicles or components of vehicles that are reusable, recyclable, reducible, and returnable which benefit the environment, organization, and customers (Shaw &amp; Williams, 2018, p. 40).</w:t>
      </w:r>
    </w:p>
    <w:p w14:paraId="11120D71" w14:textId="77777777" w:rsidR="00E77831" w:rsidRDefault="00000000">
      <w:pPr>
        <w:spacing w:line="360" w:lineRule="auto"/>
        <w:rPr>
          <w:rFonts w:ascii="Arial" w:hAnsi="Arial" w:cs="Arial"/>
          <w:sz w:val="24"/>
          <w:szCs w:val="24"/>
        </w:rPr>
      </w:pPr>
      <w:r>
        <w:rPr>
          <w:rFonts w:ascii="Arial" w:hAnsi="Arial" w:cs="Arial"/>
          <w:sz w:val="24"/>
          <w:szCs w:val="24"/>
        </w:rPr>
        <w:t xml:space="preserve">European Community End of Life vehicles (ELV) challenge manufacturers to consider vehicle reuse and recycling when they design and manufacture their products. (Shaw &amp; Willians, 2018, p. 40). </w:t>
      </w:r>
    </w:p>
    <w:p w14:paraId="7C9A548E" w14:textId="77777777" w:rsidR="00E77831" w:rsidRDefault="00000000">
      <w:pPr>
        <w:spacing w:line="360" w:lineRule="auto"/>
        <w:rPr>
          <w:rFonts w:ascii="Arial" w:hAnsi="Arial" w:cs="Arial"/>
          <w:sz w:val="24"/>
          <w:szCs w:val="24"/>
        </w:rPr>
      </w:pPr>
      <w:r>
        <w:rPr>
          <w:rFonts w:ascii="Arial" w:hAnsi="Arial" w:cs="Arial"/>
          <w:sz w:val="24"/>
          <w:szCs w:val="24"/>
        </w:rPr>
        <w:t xml:space="preserve">Two goals were assigned to new vehicles in the End-of-Life directive as follows. </w:t>
      </w:r>
    </w:p>
    <w:p w14:paraId="47AAC7BE" w14:textId="77777777" w:rsidR="00E77831" w:rsidRDefault="00000000">
      <w:pPr>
        <w:spacing w:line="360" w:lineRule="auto"/>
        <w:rPr>
          <w:rFonts w:ascii="Arial" w:hAnsi="Arial" w:cs="Arial"/>
          <w:sz w:val="24"/>
          <w:szCs w:val="24"/>
        </w:rPr>
      </w:pPr>
      <w:r>
        <w:rPr>
          <w:rFonts w:ascii="Arial" w:hAnsi="Arial" w:cs="Arial"/>
          <w:sz w:val="24"/>
          <w:szCs w:val="24"/>
        </w:rPr>
        <w:t>1. Mass percentage per vehicle that should be reusable and recyclable (68 %)</w:t>
      </w:r>
    </w:p>
    <w:p w14:paraId="7DBD9D1C" w14:textId="6C1BD179" w:rsidR="00E77831" w:rsidRDefault="00000000">
      <w:pPr>
        <w:spacing w:line="360" w:lineRule="auto"/>
        <w:rPr>
          <w:rFonts w:ascii="Arial" w:hAnsi="Arial" w:cs="Arial"/>
          <w:sz w:val="24"/>
          <w:szCs w:val="24"/>
        </w:rPr>
      </w:pPr>
      <w:r>
        <w:rPr>
          <w:rFonts w:ascii="Arial" w:hAnsi="Arial" w:cs="Arial"/>
          <w:sz w:val="24"/>
          <w:szCs w:val="24"/>
        </w:rPr>
        <w:t xml:space="preserve">2. </w:t>
      </w:r>
      <w:r w:rsidR="00107FF5">
        <w:rPr>
          <w:rFonts w:ascii="Arial" w:hAnsi="Arial" w:cs="Arial"/>
          <w:sz w:val="24"/>
          <w:szCs w:val="24"/>
        </w:rPr>
        <w:t>Percentage</w:t>
      </w:r>
      <w:r>
        <w:rPr>
          <w:rFonts w:ascii="Arial" w:hAnsi="Arial" w:cs="Arial"/>
          <w:sz w:val="24"/>
          <w:szCs w:val="24"/>
        </w:rPr>
        <w:t xml:space="preserve"> by weight per vehicle that should be reusable/recyclable (95 %) (Shaw &amp; Williams, 2018, p. 40).</w:t>
      </w:r>
    </w:p>
    <w:p w14:paraId="6E413A3F" w14:textId="77777777" w:rsidR="00E77831" w:rsidRDefault="00000000">
      <w:pPr>
        <w:spacing w:line="360" w:lineRule="auto"/>
        <w:rPr>
          <w:rFonts w:ascii="Arial" w:hAnsi="Arial" w:cs="Arial"/>
          <w:sz w:val="24"/>
          <w:szCs w:val="24"/>
        </w:rPr>
      </w:pPr>
      <w:r>
        <w:rPr>
          <w:rFonts w:ascii="Arial" w:hAnsi="Arial" w:cs="Arial"/>
          <w:sz w:val="24"/>
          <w:szCs w:val="24"/>
        </w:rPr>
        <w:t>Working with the recycling partner Auto Green, Toyota has a network of more than 150 authorized dismantlers who adhere to the European End of Life Vehicles (ELV) directive (Toyota, 2022).</w:t>
      </w:r>
    </w:p>
    <w:p w14:paraId="5764857C" w14:textId="77777777" w:rsidR="00E77831" w:rsidRDefault="00000000">
      <w:pPr>
        <w:spacing w:line="360" w:lineRule="auto"/>
        <w:rPr>
          <w:rFonts w:ascii="Arial" w:hAnsi="Arial" w:cs="Arial"/>
          <w:sz w:val="24"/>
          <w:szCs w:val="24"/>
        </w:rPr>
      </w:pPr>
      <w:r>
        <w:rPr>
          <w:rFonts w:ascii="Arial" w:hAnsi="Arial" w:cs="Arial"/>
          <w:sz w:val="24"/>
          <w:szCs w:val="24"/>
        </w:rPr>
        <w:t>Tires and other rubbers were recycled as crash barriers and used on playground surfaces, and 3G sports. The waste batteries and accumulators’ regulations of 2009 consider Toyota (GB) PLC to be a manufacturer of automotive batteries. Toyota (GB) PLC is required, either directly or through one of the retail centres of waste batteries, to collect from Toyota or Lexus vehicles that are placed on the UK market. Most of the materials used in manufacturing were Glass, steel, and rubber-metal such as (Zn, Cu = 98 %). They were recycled and converted into useful products. Glass is also used in making fuels (Toyota, 2022).</w:t>
      </w:r>
    </w:p>
    <w:p w14:paraId="4661D6F7" w14:textId="77777777" w:rsidR="00E77831" w:rsidRDefault="00000000">
      <w:pPr>
        <w:spacing w:line="360" w:lineRule="auto"/>
        <w:rPr>
          <w:rFonts w:ascii="Arial" w:hAnsi="Arial" w:cs="Arial"/>
          <w:sz w:val="24"/>
          <w:szCs w:val="24"/>
        </w:rPr>
      </w:pPr>
      <w:r>
        <w:rPr>
          <w:rFonts w:ascii="Arial" w:hAnsi="Arial" w:cs="Arial"/>
          <w:sz w:val="24"/>
          <w:szCs w:val="24"/>
        </w:rPr>
        <w:t xml:space="preserve">In a remanufacturing program - Returned parts are inspected and replaced and part is assembled and packed for sales to customers. Major remanufacturing items include AIC compressors, automatic Transmissions, power steering mounts, cylinder heads, engines, and clutch assemblies (Shaw &amp; Williams, 2018, p. 41). </w:t>
      </w:r>
    </w:p>
    <w:p w14:paraId="3280914E" w14:textId="77777777" w:rsidR="00E77831" w:rsidRDefault="00000000">
      <w:pPr>
        <w:spacing w:line="360" w:lineRule="auto"/>
        <w:rPr>
          <w:rFonts w:ascii="Arial" w:hAnsi="Arial" w:cs="Arial"/>
          <w:sz w:val="24"/>
          <w:szCs w:val="24"/>
        </w:rPr>
      </w:pPr>
      <w:r>
        <w:rPr>
          <w:rFonts w:ascii="Arial" w:hAnsi="Arial" w:cs="Arial"/>
          <w:sz w:val="24"/>
          <w:szCs w:val="24"/>
        </w:rPr>
        <w:t xml:space="preserve">In the recycling of hybrid batteries - The nickel and lithium-based batteries used in hybrid cat outlast the vehicles they use. Hybrid vehicle drive batteries, when in good </w:t>
      </w:r>
      <w:r>
        <w:rPr>
          <w:rFonts w:ascii="Arial" w:hAnsi="Arial" w:cs="Arial"/>
          <w:sz w:val="24"/>
          <w:szCs w:val="24"/>
        </w:rPr>
        <w:lastRenderedPageBreak/>
        <w:t>working order, can be disconnected and used as independent, fixed-power storage. It results in energy conservation (Shaw &amp; Williams, 2018, p. 41).</w:t>
      </w:r>
    </w:p>
    <w:p w14:paraId="0953336F" w14:textId="77777777" w:rsidR="00E77831" w:rsidRDefault="00000000">
      <w:pPr>
        <w:spacing w:line="360" w:lineRule="auto"/>
        <w:rPr>
          <w:rFonts w:ascii="Arial" w:hAnsi="Arial" w:cs="Arial"/>
          <w:sz w:val="24"/>
          <w:szCs w:val="24"/>
        </w:rPr>
      </w:pPr>
      <w:r>
        <w:rPr>
          <w:rFonts w:ascii="Arial" w:hAnsi="Arial" w:cs="Arial"/>
          <w:sz w:val="24"/>
          <w:szCs w:val="24"/>
        </w:rPr>
        <w:t>Toyota in the UK focuses on producing green products that are responsible for protecting the health of the environment, organization, and customers.</w:t>
      </w:r>
    </w:p>
    <w:p w14:paraId="57E8D17C" w14:textId="61396B9C" w:rsidR="00E77831" w:rsidRDefault="00000000">
      <w:pPr>
        <w:spacing w:line="360" w:lineRule="auto"/>
        <w:rPr>
          <w:rFonts w:ascii="Arial" w:hAnsi="Arial" w:cs="Arial"/>
          <w:sz w:val="24"/>
          <w:szCs w:val="24"/>
        </w:rPr>
      </w:pPr>
      <w:r>
        <w:rPr>
          <w:rFonts w:ascii="Arial" w:hAnsi="Arial" w:cs="Arial"/>
          <w:b/>
          <w:bCs/>
          <w:sz w:val="28"/>
          <w:szCs w:val="28"/>
        </w:rPr>
        <w:t xml:space="preserve">Green price </w:t>
      </w:r>
      <w:r>
        <w:rPr>
          <w:rFonts w:ascii="Arial" w:hAnsi="Arial" w:cs="Arial"/>
          <w:sz w:val="24"/>
          <w:szCs w:val="24"/>
        </w:rPr>
        <w:t xml:space="preserve">According to the author Ahammad (2022), green pricing encourages the development of cost-effective energy plans. It can actively involve customers in environmental improvement, they might be prepared to pay an additional 5 to 15 % as a donation to support renewable energy projects that do not pollute the environment (Ahammad, 2020, p. 531). </w:t>
      </w:r>
    </w:p>
    <w:p w14:paraId="19B969AD" w14:textId="77777777" w:rsidR="00E77831" w:rsidRDefault="00000000">
      <w:pPr>
        <w:spacing w:line="360" w:lineRule="auto"/>
        <w:rPr>
          <w:rFonts w:ascii="Arial" w:hAnsi="Arial" w:cs="Arial"/>
          <w:sz w:val="24"/>
          <w:szCs w:val="24"/>
        </w:rPr>
      </w:pPr>
      <w:r>
        <w:rPr>
          <w:rFonts w:ascii="Arial" w:hAnsi="Arial" w:cs="Arial"/>
          <w:sz w:val="24"/>
          <w:szCs w:val="24"/>
        </w:rPr>
        <w:t>UK consumers are sensitive to green products. Toyota GB determines the pricing of its product range considering the various income levels. There is a fixed premium price for Toyota in the UK ranging from £20,000 - £50,000 (Hoque et al., 2013, p 229).</w:t>
      </w:r>
    </w:p>
    <w:p w14:paraId="7917CD56" w14:textId="77777777" w:rsidR="00E77831" w:rsidRDefault="00000000">
      <w:pPr>
        <w:spacing w:line="360" w:lineRule="auto"/>
        <w:rPr>
          <w:rFonts w:ascii="Arial" w:hAnsi="Arial" w:cs="Arial"/>
          <w:sz w:val="24"/>
          <w:szCs w:val="24"/>
        </w:rPr>
      </w:pPr>
      <w:r>
        <w:rPr>
          <w:rFonts w:ascii="Arial" w:hAnsi="Arial" w:cs="Arial"/>
          <w:sz w:val="24"/>
          <w:szCs w:val="24"/>
        </w:rPr>
        <w:t>According to the research by FZE (2021), Toyota in the UK has market-oriented pricing and value-based pricing. Toyota bases its price-fixing decision on the strategy. Most often trucks and sedans are priced using the market orientation. Value-based pricing strategy is based on how much customers think a product is worth. This pricing strategy is used for expensive, high-end, and sophisticated car models such as the Lexus brand (FZE, 2021).</w:t>
      </w:r>
    </w:p>
    <w:p w14:paraId="212D64FD" w14:textId="77777777" w:rsidR="00E77831" w:rsidRDefault="00000000">
      <w:pPr>
        <w:spacing w:line="360" w:lineRule="auto"/>
        <w:rPr>
          <w:rFonts w:ascii="Arial" w:hAnsi="Arial" w:cs="Arial"/>
          <w:sz w:val="24"/>
          <w:szCs w:val="24"/>
        </w:rPr>
      </w:pPr>
      <w:r>
        <w:rPr>
          <w:rFonts w:ascii="Arial" w:hAnsi="Arial" w:cs="Arial"/>
          <w:sz w:val="24"/>
          <w:szCs w:val="24"/>
        </w:rPr>
        <w:t>Toyota GB have made a public announcement about their non-plug-in hybrid development projects. Thus, is equivalent to what GM claims to have spent developing the Volta plug-in hybrid technology. To be sold to the public, a hybrid system needs to be integrated into an actual vehicle design. Typically, this requires developing a platform for a high-volume conventional car which cuts cost-effectively. Following the achievement of approximately 900,000 units of cumulative global sales of the second generation, Toyota GB declared the commencement of profitable Prius production. The opening profit per vehicle (OPV), which will reimburse the development costs, must be determined to use this Break-even production volume to estimate the cost of hybrid development. OPV is reliant on the relationship between the premium for hybrid vehicles and their additional manufacturing costs (Olson, 2013, p. 7).</w:t>
      </w:r>
    </w:p>
    <w:p w14:paraId="6588046A" w14:textId="2D3A890E" w:rsidR="00E77831" w:rsidRDefault="00000000">
      <w:pPr>
        <w:spacing w:line="360" w:lineRule="auto"/>
        <w:rPr>
          <w:rFonts w:ascii="Arial" w:hAnsi="Arial" w:cs="Arial"/>
          <w:sz w:val="24"/>
          <w:szCs w:val="24"/>
        </w:rPr>
      </w:pPr>
      <w:r>
        <w:rPr>
          <w:rFonts w:ascii="Arial" w:hAnsi="Arial" w:cs="Arial"/>
          <w:sz w:val="24"/>
          <w:szCs w:val="24"/>
        </w:rPr>
        <w:lastRenderedPageBreak/>
        <w:t xml:space="preserve">Green bonds offer a way to reduce risks and give the chance to start new, value-adding projects with less impact on the environment. Toyota is financing the purchase of auto loans for electric and hybrid vehicles using its green bonds. Money raised from the sales of green bonds can help a </w:t>
      </w:r>
      <w:proofErr w:type="gramStart"/>
      <w:r w:rsidR="00BB6D8B">
        <w:rPr>
          <w:rFonts w:ascii="Arial" w:hAnsi="Arial" w:cs="Arial"/>
          <w:sz w:val="24"/>
          <w:szCs w:val="24"/>
        </w:rPr>
        <w:t xml:space="preserve">company lower </w:t>
      </w:r>
      <w:r w:rsidR="00802F73">
        <w:rPr>
          <w:rFonts w:ascii="Arial" w:hAnsi="Arial" w:cs="Arial"/>
          <w:sz w:val="24"/>
          <w:szCs w:val="24"/>
        </w:rPr>
        <w:t>expenses</w:t>
      </w:r>
      <w:proofErr w:type="gramEnd"/>
      <w:r>
        <w:rPr>
          <w:rFonts w:ascii="Arial" w:hAnsi="Arial" w:cs="Arial"/>
          <w:sz w:val="24"/>
          <w:szCs w:val="24"/>
        </w:rPr>
        <w:t>, boost productivity, and control pollution (Baulkaran, 2019, p. 1).</w:t>
      </w:r>
    </w:p>
    <w:p w14:paraId="2E1E53CA" w14:textId="77777777" w:rsidR="00E77831" w:rsidRDefault="00000000">
      <w:pPr>
        <w:spacing w:line="360" w:lineRule="auto"/>
        <w:rPr>
          <w:rFonts w:ascii="Arial" w:hAnsi="Arial" w:cs="Arial"/>
          <w:sz w:val="24"/>
          <w:szCs w:val="24"/>
        </w:rPr>
      </w:pPr>
      <w:r>
        <w:rPr>
          <w:rFonts w:ascii="Arial" w:hAnsi="Arial" w:cs="Arial"/>
          <w:sz w:val="24"/>
          <w:szCs w:val="24"/>
        </w:rPr>
        <w:t>The UK government has focused its support on electric vehicles as evidenced by two different approaches. First transportation, taxes have been utilized to further the government's environmental goals. Owners of battery electric vehicles are exempt from ownership taxes known as excise duties and must pay the minimum amount of company car tax. Second, it launched consumer incentives with £ 250 million, a plug-in car grant program that offers reimbursement equal to 25 % of a vehicle purchase price up to a maximum of £ 50,000 (Campbell et al., 2012, p. 1319).</w:t>
      </w:r>
    </w:p>
    <w:p w14:paraId="5C813AD5" w14:textId="77777777" w:rsidR="00E77831" w:rsidRDefault="00000000">
      <w:pPr>
        <w:spacing w:line="360" w:lineRule="auto"/>
        <w:rPr>
          <w:rFonts w:ascii="Arial" w:hAnsi="Arial" w:cs="Arial"/>
          <w:sz w:val="24"/>
          <w:szCs w:val="24"/>
        </w:rPr>
      </w:pPr>
      <w:r>
        <w:rPr>
          <w:rFonts w:ascii="Arial" w:hAnsi="Arial" w:cs="Arial"/>
          <w:sz w:val="24"/>
          <w:szCs w:val="24"/>
        </w:rPr>
        <w:t xml:space="preserve">According to the survey report of Campbell, the median price paid by people who had just purchased a new or new vehicle was between £11,000 and £15,000. This is much less expensive than what an electric car </w:t>
      </w:r>
      <w:proofErr w:type="gramStart"/>
      <w:r>
        <w:rPr>
          <w:rFonts w:ascii="Arial" w:hAnsi="Arial" w:cs="Arial"/>
          <w:sz w:val="24"/>
          <w:szCs w:val="24"/>
        </w:rPr>
        <w:t>costs</w:t>
      </w:r>
      <w:proofErr w:type="gramEnd"/>
      <w:r>
        <w:rPr>
          <w:rFonts w:ascii="Arial" w:hAnsi="Arial" w:cs="Arial"/>
          <w:sz w:val="24"/>
          <w:szCs w:val="24"/>
        </w:rPr>
        <w:t>. The high cost of alternative fuel vehicles was different five people thinking about plug-in hybrid electric vehicles. They suggest that price premiums need to be significantly reduced for them to become commercially available (Campbell et al, 2012, p. 1320).</w:t>
      </w:r>
    </w:p>
    <w:p w14:paraId="64BADE09" w14:textId="77777777" w:rsidR="00E77831" w:rsidRDefault="00000000">
      <w:pPr>
        <w:spacing w:line="360" w:lineRule="auto"/>
        <w:rPr>
          <w:rFonts w:ascii="Arial" w:hAnsi="Arial" w:cs="Arial"/>
          <w:b/>
          <w:bCs/>
          <w:sz w:val="24"/>
          <w:szCs w:val="24"/>
        </w:rPr>
      </w:pPr>
      <w:r>
        <w:rPr>
          <w:rFonts w:ascii="Arial" w:hAnsi="Arial" w:cs="Arial"/>
          <w:b/>
          <w:bCs/>
          <w:sz w:val="24"/>
          <w:szCs w:val="24"/>
        </w:rPr>
        <w:t>The following are the fixed prices of some of the green products of Toyota in the UK</w:t>
      </w:r>
    </w:p>
    <w:p w14:paraId="6FE4E53F" w14:textId="77777777" w:rsidR="00E77831" w:rsidRDefault="00E77831">
      <w:pPr>
        <w:spacing w:line="360" w:lineRule="auto"/>
        <w:rPr>
          <w:rFonts w:ascii="Arial" w:hAnsi="Arial" w:cs="Arial"/>
          <w:sz w:val="24"/>
          <w:szCs w:val="24"/>
        </w:rPr>
      </w:pPr>
    </w:p>
    <w:p w14:paraId="3B3B83E5" w14:textId="77777777" w:rsidR="00E77831" w:rsidRDefault="00E77831">
      <w:pPr>
        <w:spacing w:line="360" w:lineRule="auto"/>
        <w:rPr>
          <w:rFonts w:ascii="Arial" w:hAnsi="Arial" w:cs="Arial"/>
          <w:sz w:val="24"/>
          <w:szCs w:val="24"/>
        </w:rPr>
      </w:pPr>
    </w:p>
    <w:p w14:paraId="753FB225" w14:textId="77777777" w:rsidR="00E77831" w:rsidRDefault="00E77831">
      <w:pPr>
        <w:spacing w:line="360" w:lineRule="auto"/>
        <w:rPr>
          <w:rFonts w:ascii="Arial" w:hAnsi="Arial" w:cs="Arial"/>
          <w:sz w:val="24"/>
          <w:szCs w:val="24"/>
        </w:rPr>
      </w:pPr>
    </w:p>
    <w:p w14:paraId="27A219FF" w14:textId="77777777" w:rsidR="00E77831" w:rsidRDefault="00E77831">
      <w:pPr>
        <w:spacing w:line="360" w:lineRule="auto"/>
        <w:rPr>
          <w:rFonts w:ascii="Arial" w:hAnsi="Arial" w:cs="Arial"/>
          <w:sz w:val="24"/>
          <w:szCs w:val="24"/>
        </w:rPr>
      </w:pPr>
    </w:p>
    <w:p w14:paraId="10CC1C7D" w14:textId="77777777" w:rsidR="00E77831" w:rsidRDefault="00E77831">
      <w:pPr>
        <w:spacing w:line="360" w:lineRule="auto"/>
        <w:rPr>
          <w:rFonts w:ascii="Arial" w:hAnsi="Arial" w:cs="Arial"/>
          <w:sz w:val="24"/>
          <w:szCs w:val="24"/>
        </w:rPr>
      </w:pPr>
    </w:p>
    <w:p w14:paraId="016D9A84" w14:textId="77777777" w:rsidR="00E77831" w:rsidRDefault="00E77831">
      <w:pPr>
        <w:spacing w:line="360" w:lineRule="auto"/>
        <w:rPr>
          <w:rFonts w:ascii="Arial" w:hAnsi="Arial" w:cs="Arial"/>
          <w:sz w:val="24"/>
          <w:szCs w:val="24"/>
        </w:rPr>
      </w:pPr>
    </w:p>
    <w:p w14:paraId="64CD68C8" w14:textId="77777777" w:rsidR="00E77831" w:rsidRDefault="00E77831">
      <w:pPr>
        <w:spacing w:line="360" w:lineRule="auto"/>
        <w:rPr>
          <w:rFonts w:ascii="Arial" w:hAnsi="Arial" w:cs="Arial"/>
          <w:sz w:val="24"/>
          <w:szCs w:val="24"/>
        </w:rPr>
      </w:pPr>
    </w:p>
    <w:p w14:paraId="3739AEA7" w14:textId="77777777" w:rsidR="00E77831" w:rsidRDefault="00000000">
      <w:pPr>
        <w:spacing w:line="360" w:lineRule="auto"/>
        <w:rPr>
          <w:rFonts w:ascii="Arial" w:hAnsi="Arial" w:cs="Arial"/>
          <w:b/>
          <w:bCs/>
          <w:sz w:val="24"/>
          <w:szCs w:val="24"/>
        </w:rPr>
      </w:pPr>
      <w:r>
        <w:rPr>
          <w:rFonts w:ascii="Arial" w:hAnsi="Arial" w:cs="Arial"/>
          <w:sz w:val="24"/>
          <w:szCs w:val="24"/>
        </w:rPr>
        <w:lastRenderedPageBreak/>
        <w:t xml:space="preserve">Table 1: </w:t>
      </w:r>
    </w:p>
    <w:tbl>
      <w:tblPr>
        <w:tblStyle w:val="TableGrid"/>
        <w:tblW w:w="0" w:type="auto"/>
        <w:tblLook w:val="04A0" w:firstRow="1" w:lastRow="0" w:firstColumn="1" w:lastColumn="0" w:noHBand="0" w:noVBand="1"/>
      </w:tblPr>
      <w:tblGrid>
        <w:gridCol w:w="3243"/>
        <w:gridCol w:w="3159"/>
        <w:gridCol w:w="433"/>
      </w:tblGrid>
      <w:tr w:rsidR="00E77831" w14:paraId="14F307E6" w14:textId="77777777">
        <w:trPr>
          <w:gridAfter w:val="1"/>
          <w:wAfter w:w="433" w:type="dxa"/>
          <w:trHeight w:val="262"/>
        </w:trPr>
        <w:tc>
          <w:tcPr>
            <w:tcW w:w="3243" w:type="dxa"/>
          </w:tcPr>
          <w:p w14:paraId="3AEE147C" w14:textId="77777777" w:rsidR="00E77831" w:rsidRDefault="00000000">
            <w:pPr>
              <w:spacing w:line="360" w:lineRule="auto"/>
              <w:rPr>
                <w:rFonts w:ascii="Arial" w:hAnsi="Arial" w:cs="Arial"/>
                <w:sz w:val="24"/>
                <w:szCs w:val="24"/>
              </w:rPr>
            </w:pPr>
            <w:r>
              <w:rPr>
                <w:rFonts w:ascii="Arial" w:hAnsi="Arial" w:cs="Arial"/>
                <w:sz w:val="24"/>
                <w:szCs w:val="24"/>
              </w:rPr>
              <w:t>Model</w:t>
            </w:r>
          </w:p>
        </w:tc>
        <w:tc>
          <w:tcPr>
            <w:tcW w:w="3159" w:type="dxa"/>
          </w:tcPr>
          <w:p w14:paraId="5A94AE64" w14:textId="77777777" w:rsidR="00E77831" w:rsidRDefault="00000000">
            <w:pPr>
              <w:spacing w:line="360" w:lineRule="auto"/>
              <w:rPr>
                <w:rFonts w:ascii="Arial" w:hAnsi="Arial" w:cs="Arial"/>
                <w:sz w:val="24"/>
                <w:szCs w:val="24"/>
              </w:rPr>
            </w:pPr>
            <w:r>
              <w:rPr>
                <w:rFonts w:ascii="Arial" w:hAnsi="Arial" w:cs="Arial"/>
                <w:sz w:val="24"/>
                <w:szCs w:val="24"/>
              </w:rPr>
              <w:t>Price on Road</w:t>
            </w:r>
          </w:p>
        </w:tc>
      </w:tr>
      <w:tr w:rsidR="00E77831" w14:paraId="1BF87686" w14:textId="77777777">
        <w:trPr>
          <w:trHeight w:val="3734"/>
        </w:trPr>
        <w:tc>
          <w:tcPr>
            <w:tcW w:w="3243" w:type="dxa"/>
          </w:tcPr>
          <w:p w14:paraId="4A82C6AA" w14:textId="77777777" w:rsidR="00E77831" w:rsidRDefault="00000000">
            <w:pPr>
              <w:spacing w:line="360" w:lineRule="auto"/>
              <w:rPr>
                <w:rFonts w:ascii="Arial" w:hAnsi="Arial" w:cs="Arial"/>
                <w:sz w:val="24"/>
                <w:szCs w:val="24"/>
              </w:rPr>
            </w:pPr>
            <w:r>
              <w:rPr>
                <w:rFonts w:ascii="Arial" w:hAnsi="Arial" w:cs="Arial"/>
                <w:sz w:val="24"/>
                <w:szCs w:val="24"/>
              </w:rPr>
              <w:t>Yaris</w:t>
            </w:r>
          </w:p>
          <w:p w14:paraId="160C45DF" w14:textId="77777777" w:rsidR="00E77831" w:rsidRDefault="00000000">
            <w:pPr>
              <w:spacing w:line="360" w:lineRule="auto"/>
              <w:rPr>
                <w:rFonts w:ascii="Arial" w:hAnsi="Arial" w:cs="Arial"/>
                <w:sz w:val="24"/>
                <w:szCs w:val="24"/>
              </w:rPr>
            </w:pPr>
            <w:r>
              <w:rPr>
                <w:rFonts w:ascii="Arial" w:hAnsi="Arial" w:cs="Arial"/>
                <w:sz w:val="24"/>
                <w:szCs w:val="24"/>
              </w:rPr>
              <w:t>2022 Corolla</w:t>
            </w:r>
          </w:p>
          <w:p w14:paraId="6FE134E1" w14:textId="77777777" w:rsidR="00E77831" w:rsidRDefault="00000000">
            <w:pPr>
              <w:spacing w:line="360" w:lineRule="auto"/>
              <w:rPr>
                <w:rFonts w:ascii="Arial" w:hAnsi="Arial" w:cs="Arial"/>
                <w:sz w:val="24"/>
                <w:szCs w:val="24"/>
              </w:rPr>
            </w:pPr>
            <w:r>
              <w:rPr>
                <w:rFonts w:ascii="Arial" w:hAnsi="Arial" w:cs="Arial"/>
                <w:sz w:val="24"/>
                <w:szCs w:val="24"/>
              </w:rPr>
              <w:t>2020 Prius Plug-in Hybrid</w:t>
            </w:r>
          </w:p>
          <w:p w14:paraId="2DB696C6" w14:textId="77777777" w:rsidR="00E77831" w:rsidRDefault="00000000">
            <w:pPr>
              <w:spacing w:line="360" w:lineRule="auto"/>
              <w:rPr>
                <w:rFonts w:ascii="Arial" w:hAnsi="Arial" w:cs="Arial"/>
                <w:sz w:val="24"/>
                <w:szCs w:val="24"/>
              </w:rPr>
            </w:pPr>
            <w:r>
              <w:rPr>
                <w:rFonts w:ascii="Arial" w:hAnsi="Arial" w:cs="Arial"/>
                <w:sz w:val="24"/>
                <w:szCs w:val="24"/>
              </w:rPr>
              <w:t>2021 GR Supra</w:t>
            </w:r>
          </w:p>
          <w:p w14:paraId="50C2E74C" w14:textId="77777777" w:rsidR="00E77831" w:rsidRDefault="00000000">
            <w:pPr>
              <w:spacing w:line="360" w:lineRule="auto"/>
              <w:rPr>
                <w:rFonts w:ascii="Arial" w:hAnsi="Arial" w:cs="Arial"/>
                <w:sz w:val="24"/>
                <w:szCs w:val="24"/>
              </w:rPr>
            </w:pPr>
            <w:r>
              <w:rPr>
                <w:rFonts w:ascii="Arial" w:hAnsi="Arial" w:cs="Arial"/>
                <w:sz w:val="24"/>
                <w:szCs w:val="24"/>
              </w:rPr>
              <w:t>2021 Mirai</w:t>
            </w:r>
          </w:p>
          <w:p w14:paraId="60301F61" w14:textId="77777777" w:rsidR="00E77831" w:rsidRDefault="00000000">
            <w:pPr>
              <w:spacing w:line="360" w:lineRule="auto"/>
              <w:rPr>
                <w:rFonts w:ascii="Arial" w:hAnsi="Arial" w:cs="Arial"/>
                <w:sz w:val="24"/>
                <w:szCs w:val="24"/>
              </w:rPr>
            </w:pPr>
            <w:r>
              <w:rPr>
                <w:rFonts w:ascii="Arial" w:hAnsi="Arial" w:cs="Arial"/>
                <w:sz w:val="24"/>
                <w:szCs w:val="24"/>
              </w:rPr>
              <w:t>2022 RAV- 4</w:t>
            </w:r>
          </w:p>
          <w:p w14:paraId="3130C519" w14:textId="77777777" w:rsidR="00E77831" w:rsidRDefault="00000000">
            <w:pPr>
              <w:spacing w:line="360" w:lineRule="auto"/>
              <w:rPr>
                <w:rFonts w:ascii="Arial" w:hAnsi="Arial" w:cs="Arial"/>
                <w:sz w:val="24"/>
                <w:szCs w:val="24"/>
              </w:rPr>
            </w:pPr>
            <w:r>
              <w:rPr>
                <w:rFonts w:ascii="Arial" w:hAnsi="Arial" w:cs="Arial"/>
                <w:sz w:val="24"/>
                <w:szCs w:val="24"/>
              </w:rPr>
              <w:t>2021 RAV- 4 Plug-in Hybrid</w:t>
            </w:r>
          </w:p>
          <w:p w14:paraId="37062966" w14:textId="77777777" w:rsidR="00E77831" w:rsidRDefault="00000000">
            <w:pPr>
              <w:spacing w:line="360" w:lineRule="auto"/>
              <w:rPr>
                <w:rFonts w:ascii="Arial" w:hAnsi="Arial" w:cs="Arial"/>
                <w:sz w:val="24"/>
                <w:szCs w:val="24"/>
              </w:rPr>
            </w:pPr>
            <w:r>
              <w:rPr>
                <w:rFonts w:ascii="Arial" w:hAnsi="Arial" w:cs="Arial"/>
                <w:sz w:val="24"/>
                <w:szCs w:val="24"/>
              </w:rPr>
              <w:t>2021 Proace Electric</w:t>
            </w:r>
          </w:p>
        </w:tc>
        <w:tc>
          <w:tcPr>
            <w:tcW w:w="3592" w:type="dxa"/>
            <w:gridSpan w:val="2"/>
          </w:tcPr>
          <w:p w14:paraId="026EF551" w14:textId="77777777" w:rsidR="00E77831" w:rsidRDefault="00000000">
            <w:pPr>
              <w:spacing w:line="360" w:lineRule="auto"/>
              <w:rPr>
                <w:rFonts w:ascii="Arial" w:hAnsi="Arial" w:cs="Arial"/>
                <w:sz w:val="24"/>
                <w:szCs w:val="24"/>
              </w:rPr>
            </w:pPr>
            <w:r>
              <w:rPr>
                <w:rFonts w:ascii="Arial" w:hAnsi="Arial" w:cs="Arial"/>
                <w:sz w:val="24"/>
                <w:szCs w:val="24"/>
              </w:rPr>
              <w:t>£ 20,820 - £ 25,030</w:t>
            </w:r>
          </w:p>
          <w:p w14:paraId="75C5CDEF" w14:textId="77777777" w:rsidR="00E77831" w:rsidRDefault="00000000">
            <w:pPr>
              <w:spacing w:line="360" w:lineRule="auto"/>
              <w:rPr>
                <w:rFonts w:ascii="Arial" w:hAnsi="Arial" w:cs="Arial"/>
                <w:sz w:val="24"/>
                <w:szCs w:val="24"/>
              </w:rPr>
            </w:pPr>
            <w:r>
              <w:rPr>
                <w:rFonts w:ascii="Arial" w:hAnsi="Arial" w:cs="Arial"/>
                <w:sz w:val="24"/>
                <w:szCs w:val="24"/>
              </w:rPr>
              <w:t>£ 29,480 - £ 33,115</w:t>
            </w:r>
          </w:p>
          <w:p w14:paraId="407A3BCB" w14:textId="77777777" w:rsidR="00E77831" w:rsidRDefault="00000000">
            <w:pPr>
              <w:spacing w:line="360" w:lineRule="auto"/>
              <w:rPr>
                <w:rFonts w:ascii="Arial" w:hAnsi="Arial" w:cs="Arial"/>
                <w:sz w:val="24"/>
                <w:szCs w:val="24"/>
              </w:rPr>
            </w:pPr>
            <w:r>
              <w:rPr>
                <w:rFonts w:ascii="Arial" w:hAnsi="Arial" w:cs="Arial"/>
                <w:sz w:val="24"/>
                <w:szCs w:val="24"/>
              </w:rPr>
              <w:t>£ 33,300 - £ 33,400</w:t>
            </w:r>
          </w:p>
          <w:p w14:paraId="2C54AFCB" w14:textId="77777777" w:rsidR="00E77831" w:rsidRDefault="00000000">
            <w:pPr>
              <w:spacing w:line="360" w:lineRule="auto"/>
              <w:rPr>
                <w:rFonts w:ascii="Arial" w:hAnsi="Arial" w:cs="Arial"/>
                <w:sz w:val="24"/>
                <w:szCs w:val="24"/>
              </w:rPr>
            </w:pPr>
            <w:r>
              <w:rPr>
                <w:rFonts w:ascii="Arial" w:hAnsi="Arial" w:cs="Arial"/>
                <w:sz w:val="24"/>
                <w:szCs w:val="24"/>
              </w:rPr>
              <w:t>£ 47,475 - £ 55,830</w:t>
            </w:r>
          </w:p>
          <w:p w14:paraId="47E8B871" w14:textId="77777777" w:rsidR="00E77831" w:rsidRDefault="00000000">
            <w:pPr>
              <w:spacing w:line="360" w:lineRule="auto"/>
              <w:rPr>
                <w:rFonts w:ascii="Arial" w:hAnsi="Arial" w:cs="Arial"/>
                <w:sz w:val="24"/>
                <w:szCs w:val="24"/>
              </w:rPr>
            </w:pPr>
            <w:r>
              <w:rPr>
                <w:rFonts w:ascii="Arial" w:hAnsi="Arial" w:cs="Arial"/>
                <w:sz w:val="24"/>
                <w:szCs w:val="24"/>
              </w:rPr>
              <w:t>£ 49,995.00 - £ 64,995.00</w:t>
            </w:r>
          </w:p>
          <w:p w14:paraId="45F89BA5" w14:textId="77777777" w:rsidR="00E77831" w:rsidRDefault="00000000">
            <w:pPr>
              <w:spacing w:line="360" w:lineRule="auto"/>
              <w:rPr>
                <w:rFonts w:ascii="Arial" w:hAnsi="Arial" w:cs="Arial"/>
                <w:sz w:val="24"/>
                <w:szCs w:val="24"/>
              </w:rPr>
            </w:pPr>
            <w:r>
              <w:rPr>
                <w:rFonts w:ascii="Arial" w:hAnsi="Arial" w:cs="Arial"/>
                <w:sz w:val="24"/>
                <w:szCs w:val="24"/>
              </w:rPr>
              <w:t>£ 32,955 - £ 42,740</w:t>
            </w:r>
          </w:p>
          <w:p w14:paraId="6D77E58D" w14:textId="77777777" w:rsidR="00E77831" w:rsidRDefault="00000000">
            <w:pPr>
              <w:spacing w:line="360" w:lineRule="auto"/>
              <w:rPr>
                <w:rFonts w:ascii="Arial" w:hAnsi="Arial" w:cs="Arial"/>
                <w:sz w:val="24"/>
                <w:szCs w:val="24"/>
              </w:rPr>
            </w:pPr>
            <w:r>
              <w:rPr>
                <w:rFonts w:ascii="Arial" w:hAnsi="Arial" w:cs="Arial"/>
                <w:sz w:val="24"/>
                <w:szCs w:val="24"/>
              </w:rPr>
              <w:t>£ 42,575.00 - £ 46,975.00</w:t>
            </w:r>
          </w:p>
          <w:p w14:paraId="2BAE3F8B" w14:textId="77777777" w:rsidR="00E77831" w:rsidRDefault="00000000">
            <w:pPr>
              <w:spacing w:line="360" w:lineRule="auto"/>
              <w:rPr>
                <w:rFonts w:ascii="Arial" w:hAnsi="Arial" w:cs="Arial"/>
                <w:sz w:val="24"/>
                <w:szCs w:val="24"/>
              </w:rPr>
            </w:pPr>
            <w:r>
              <w:rPr>
                <w:rFonts w:ascii="Arial" w:hAnsi="Arial" w:cs="Arial"/>
                <w:sz w:val="24"/>
                <w:szCs w:val="24"/>
              </w:rPr>
              <w:t>£ 35,846.67 - £ 40,680.00</w:t>
            </w:r>
          </w:p>
          <w:p w14:paraId="56C891EF" w14:textId="77777777" w:rsidR="00E77831" w:rsidRDefault="00E77831">
            <w:pPr>
              <w:spacing w:line="360" w:lineRule="auto"/>
              <w:rPr>
                <w:rFonts w:ascii="Arial" w:hAnsi="Arial" w:cs="Arial"/>
                <w:sz w:val="24"/>
                <w:szCs w:val="24"/>
              </w:rPr>
            </w:pPr>
          </w:p>
          <w:p w14:paraId="679360E1" w14:textId="77777777" w:rsidR="00E77831" w:rsidRDefault="00E77831">
            <w:pPr>
              <w:spacing w:line="360" w:lineRule="auto"/>
              <w:rPr>
                <w:rFonts w:ascii="Arial" w:hAnsi="Arial" w:cs="Arial"/>
                <w:sz w:val="24"/>
                <w:szCs w:val="24"/>
              </w:rPr>
            </w:pPr>
          </w:p>
        </w:tc>
      </w:tr>
    </w:tbl>
    <w:p w14:paraId="47534ADC" w14:textId="4E0F7ED2" w:rsidR="00E77831" w:rsidRDefault="00000000">
      <w:pPr>
        <w:spacing w:line="360" w:lineRule="auto"/>
        <w:rPr>
          <w:rFonts w:ascii="Arial" w:hAnsi="Arial" w:cs="Arial"/>
          <w:sz w:val="24"/>
          <w:szCs w:val="24"/>
        </w:rPr>
      </w:pPr>
      <w:r>
        <w:rPr>
          <w:rFonts w:ascii="Arial" w:hAnsi="Arial" w:cs="Arial"/>
          <w:sz w:val="24"/>
          <w:szCs w:val="24"/>
        </w:rPr>
        <w:t xml:space="preserve">             </w:t>
      </w:r>
      <w:r w:rsidR="00733FCF">
        <w:rPr>
          <w:rFonts w:ascii="Arial" w:hAnsi="Arial" w:cs="Arial"/>
          <w:sz w:val="24"/>
          <w:szCs w:val="24"/>
        </w:rPr>
        <w:t xml:space="preserve">          </w:t>
      </w:r>
      <w:r>
        <w:rPr>
          <w:rFonts w:ascii="Arial" w:hAnsi="Arial" w:cs="Arial"/>
          <w:sz w:val="24"/>
          <w:szCs w:val="24"/>
        </w:rPr>
        <w:t>(Source: Toyota, 2022).</w:t>
      </w:r>
    </w:p>
    <w:p w14:paraId="616BC0DF" w14:textId="77777777" w:rsidR="00E77831" w:rsidRDefault="00000000">
      <w:pPr>
        <w:spacing w:line="360" w:lineRule="auto"/>
        <w:rPr>
          <w:rFonts w:ascii="Arial" w:hAnsi="Arial" w:cs="Arial"/>
          <w:sz w:val="24"/>
          <w:szCs w:val="24"/>
        </w:rPr>
      </w:pPr>
      <w:r>
        <w:rPr>
          <w:rFonts w:ascii="Arial" w:hAnsi="Arial" w:cs="Arial"/>
          <w:sz w:val="24"/>
          <w:szCs w:val="24"/>
        </w:rPr>
        <w:t xml:space="preserve">Toyota GB also adopted a cost-reduction strategy to attain a sustainable competitive advantage. A Green Marketing mix strategy helps with cost reduction. The UK government also plays an important role in an organization’s success. </w:t>
      </w:r>
    </w:p>
    <w:p w14:paraId="7DD31AE0" w14:textId="43810A44" w:rsidR="00E77831" w:rsidRDefault="00000000">
      <w:pPr>
        <w:spacing w:line="360" w:lineRule="auto"/>
        <w:rPr>
          <w:rFonts w:ascii="Arial" w:hAnsi="Arial" w:cs="Arial"/>
          <w:sz w:val="28"/>
          <w:szCs w:val="28"/>
        </w:rPr>
      </w:pPr>
      <w:r>
        <w:rPr>
          <w:rFonts w:ascii="Arial" w:hAnsi="Arial" w:cs="Arial"/>
          <w:b/>
          <w:bCs/>
          <w:sz w:val="28"/>
          <w:szCs w:val="28"/>
        </w:rPr>
        <w:t xml:space="preserve">Green place </w:t>
      </w:r>
    </w:p>
    <w:p w14:paraId="26BB0AD9" w14:textId="77777777" w:rsidR="00E77831" w:rsidRDefault="00000000">
      <w:pPr>
        <w:spacing w:line="360" w:lineRule="auto"/>
        <w:rPr>
          <w:rFonts w:ascii="Arial" w:hAnsi="Arial" w:cs="Arial"/>
          <w:sz w:val="24"/>
          <w:szCs w:val="24"/>
        </w:rPr>
      </w:pPr>
      <w:r>
        <w:rPr>
          <w:rFonts w:ascii="Arial" w:hAnsi="Arial" w:cs="Arial"/>
          <w:sz w:val="24"/>
          <w:szCs w:val="24"/>
        </w:rPr>
        <w:t xml:space="preserve">Toyota GB is more concerned about the customer needs and demands and they are developing a greener technique to meet the customer needs which results in attaining customer satisfaction and customer loyalty. It includes supply chain management in a greener way and green logistics. </w:t>
      </w:r>
    </w:p>
    <w:p w14:paraId="709BE9E4" w14:textId="16698634" w:rsidR="00E77831" w:rsidRDefault="00802F73">
      <w:pPr>
        <w:spacing w:line="360" w:lineRule="auto"/>
        <w:rPr>
          <w:rFonts w:ascii="Arial" w:hAnsi="Arial" w:cs="Arial"/>
          <w:sz w:val="24"/>
          <w:szCs w:val="24"/>
        </w:rPr>
      </w:pPr>
      <w:r w:rsidRPr="00802F73">
        <w:rPr>
          <w:rFonts w:ascii="Arial" w:hAnsi="Arial" w:cs="Arial"/>
          <w:sz w:val="24"/>
          <w:szCs w:val="24"/>
        </w:rPr>
        <w:t xml:space="preserve">A production and supply </w:t>
      </w:r>
      <w:r w:rsidRPr="00802F73">
        <w:rPr>
          <w:rFonts w:ascii="Arial" w:hAnsi="Arial" w:cs="Arial"/>
          <w:sz w:val="24"/>
          <w:szCs w:val="24"/>
        </w:rPr>
        <w:t>organization</w:t>
      </w:r>
      <w:r w:rsidRPr="00802F73">
        <w:rPr>
          <w:rFonts w:ascii="Arial" w:hAnsi="Arial" w:cs="Arial"/>
          <w:sz w:val="24"/>
          <w:szCs w:val="24"/>
        </w:rPr>
        <w:t xml:space="preserve"> that considers demand is known as supply chain management. Supply inventory needs for each item of production and examine how inventory moves through the system to meet client specifications on schedule and with the least amount of waste.</w:t>
      </w:r>
      <w:r w:rsidR="00000000">
        <w:rPr>
          <w:rFonts w:ascii="Arial" w:hAnsi="Arial" w:cs="Arial"/>
          <w:sz w:val="24"/>
          <w:szCs w:val="24"/>
        </w:rPr>
        <w:t xml:space="preserve"> (Basu, 2023, p. 7).</w:t>
      </w:r>
    </w:p>
    <w:p w14:paraId="2868BF79" w14:textId="3115F8CB" w:rsidR="00E77831" w:rsidRDefault="00A063A1">
      <w:pPr>
        <w:spacing w:line="360" w:lineRule="auto"/>
        <w:rPr>
          <w:rFonts w:ascii="Arial" w:hAnsi="Arial" w:cs="Arial"/>
          <w:sz w:val="24"/>
          <w:szCs w:val="24"/>
        </w:rPr>
      </w:pPr>
      <w:r w:rsidRPr="00A063A1">
        <w:rPr>
          <w:rFonts w:ascii="Arial" w:hAnsi="Arial" w:cs="Arial"/>
          <w:sz w:val="24"/>
          <w:szCs w:val="24"/>
        </w:rPr>
        <w:t xml:space="preserve">Supply chain management includes logistic management. It is the process of planning, implementing, and managing the efficient, cost-effective movement and storage of raw materials in process inventory, finished items, and related information from the point of origin to the point of consumption from the point of origin to the point of consumption. </w:t>
      </w:r>
      <w:r w:rsidRPr="00A063A1">
        <w:rPr>
          <w:rFonts w:ascii="Arial" w:hAnsi="Arial" w:cs="Arial"/>
          <w:sz w:val="24"/>
          <w:szCs w:val="24"/>
        </w:rPr>
        <w:lastRenderedPageBreak/>
        <w:t xml:space="preserve">The internet-enabled integrated supply chain, or e-supply chain, has transformed the supply chain's internal flow into an ecosystem. </w:t>
      </w:r>
      <w:r w:rsidR="00000000">
        <w:rPr>
          <w:rFonts w:ascii="Arial" w:hAnsi="Arial" w:cs="Arial"/>
          <w:sz w:val="24"/>
          <w:szCs w:val="24"/>
        </w:rPr>
        <w:t>Toyota GB aimed to source materials and produce products concerning customer demand to minimize both factory inventory and dealer inventory (Basu, 2023, p. 8).</w:t>
      </w:r>
    </w:p>
    <w:p w14:paraId="5586514F" w14:textId="77777777" w:rsidR="00E77831" w:rsidRDefault="00000000">
      <w:pPr>
        <w:spacing w:line="360" w:lineRule="auto"/>
        <w:rPr>
          <w:rFonts w:ascii="Arial" w:hAnsi="Arial" w:cs="Arial"/>
          <w:sz w:val="24"/>
          <w:szCs w:val="24"/>
        </w:rPr>
      </w:pPr>
      <w:r>
        <w:rPr>
          <w:rFonts w:ascii="Arial" w:hAnsi="Arial" w:cs="Arial"/>
          <w:sz w:val="24"/>
          <w:szCs w:val="24"/>
        </w:rPr>
        <w:t>The core of the ECR movement has been improving supply chain performance, which has recently been strengthened by a growing interest in lean thinking - a supply chain waste elimination strategy modelled after Toyota that emphasizes time compression. End-to-end, lean businesses can provide greater value for the customer while consuming fewer resources by adopting a comprehensive strategy to eliminate waste from the entire supply chain process (Simons &amp; Mason, 2003, p. 4).</w:t>
      </w:r>
    </w:p>
    <w:p w14:paraId="1CEA2110" w14:textId="77777777" w:rsidR="00E77831" w:rsidRDefault="00000000">
      <w:pPr>
        <w:spacing w:line="360" w:lineRule="auto"/>
        <w:rPr>
          <w:rFonts w:ascii="Arial" w:hAnsi="Arial" w:cs="Arial"/>
          <w:sz w:val="24"/>
          <w:szCs w:val="24"/>
        </w:rPr>
      </w:pPr>
      <w:r>
        <w:rPr>
          <w:rFonts w:ascii="Arial" w:hAnsi="Arial" w:cs="Arial"/>
          <w:sz w:val="24"/>
          <w:szCs w:val="24"/>
        </w:rPr>
        <w:t>Due to the rising environmental consciousness of the public and the laws enacted by several governments worldwide, green logistics is considered. Driving is a significant contributor to climate change and is responsible for greenhouse gas emissions. So, for reducing traffic pollution production of greener vehicles is considered. The UK government has high goals and aims to achieve them (Besbes et al., 2019, p.27).</w:t>
      </w:r>
    </w:p>
    <w:p w14:paraId="5D0322BA" w14:textId="77777777" w:rsidR="00E77831" w:rsidRDefault="00000000">
      <w:pPr>
        <w:spacing w:line="360" w:lineRule="auto"/>
        <w:rPr>
          <w:rFonts w:ascii="Arial" w:hAnsi="Arial" w:cs="Arial"/>
          <w:sz w:val="24"/>
          <w:szCs w:val="24"/>
        </w:rPr>
      </w:pPr>
      <w:r>
        <w:rPr>
          <w:rFonts w:ascii="Arial" w:hAnsi="Arial" w:cs="Arial"/>
          <w:sz w:val="24"/>
          <w:szCs w:val="24"/>
        </w:rPr>
        <w:t>According to Campbell, Birmingham's car reliance rate is lower than many other authorities in England and Wales. Nearly 24 % of Birmingham's carbon emissions come from the city road transportation sector. The City council acknowledged the issue and released a “climate change action plan” in 2010 to develop a sustainable economy (Campbell et al., 2012, p. 1319).</w:t>
      </w:r>
    </w:p>
    <w:p w14:paraId="5C581116" w14:textId="77777777" w:rsidR="00E77831" w:rsidRDefault="00000000">
      <w:pPr>
        <w:spacing w:line="360" w:lineRule="auto"/>
        <w:rPr>
          <w:rFonts w:ascii="Arial" w:hAnsi="Arial" w:cs="Arial"/>
          <w:sz w:val="24"/>
          <w:szCs w:val="24"/>
        </w:rPr>
      </w:pPr>
      <w:r>
        <w:rPr>
          <w:rFonts w:ascii="Arial" w:hAnsi="Arial" w:cs="Arial"/>
          <w:sz w:val="24"/>
          <w:szCs w:val="24"/>
        </w:rPr>
        <w:t xml:space="preserve">Toyota GB works on the kaizen strategy and continuous improvement program managing green logistics to reduce waste production, traffic, pollution, and conservation of natural resources. The fundamental lean principles of process waste minimization include minimizing production waste like sludge, managing logistics concerns with packaging by streamlining wrapping specifications, and increasing the use of returnable shipping containers. Kaizen or the value of continuous improvement has made it possible to identify innovative sustainable projects early and to match business requirements with high performance. The decentralized network of dealers and parts distributors involved in initiatives for sales and recycling includes gathering damaged </w:t>
      </w:r>
      <w:r>
        <w:rPr>
          <w:rFonts w:ascii="Arial" w:hAnsi="Arial" w:cs="Arial"/>
          <w:sz w:val="24"/>
          <w:szCs w:val="24"/>
        </w:rPr>
        <w:lastRenderedPageBreak/>
        <w:t>parts, encouraging the resale of used parts, and transporting oil in trucks rather than drums (Rouault, 2020, p. 327).</w:t>
      </w:r>
    </w:p>
    <w:p w14:paraId="399458D4" w14:textId="77777777" w:rsidR="00E77831" w:rsidRDefault="00000000">
      <w:pPr>
        <w:spacing w:line="360" w:lineRule="auto"/>
        <w:rPr>
          <w:rFonts w:ascii="Arial" w:hAnsi="Arial" w:cs="Arial"/>
          <w:sz w:val="24"/>
          <w:szCs w:val="24"/>
        </w:rPr>
      </w:pPr>
      <w:r>
        <w:rPr>
          <w:rFonts w:ascii="Arial" w:hAnsi="Arial" w:cs="Arial"/>
          <w:sz w:val="24"/>
          <w:szCs w:val="24"/>
        </w:rPr>
        <w:t>Toyota in the UK developed a system of solar plants to generate electricity in an effective manner (Larina et al., 2021, p. 184).</w:t>
      </w:r>
    </w:p>
    <w:p w14:paraId="0B207CB5" w14:textId="77777777" w:rsidR="00E77831" w:rsidRDefault="00000000">
      <w:pPr>
        <w:spacing w:line="360" w:lineRule="auto"/>
        <w:rPr>
          <w:rFonts w:ascii="Arial" w:hAnsi="Arial" w:cs="Arial"/>
          <w:sz w:val="24"/>
          <w:szCs w:val="24"/>
        </w:rPr>
      </w:pPr>
      <w:r>
        <w:rPr>
          <w:rFonts w:ascii="Arial" w:hAnsi="Arial" w:cs="Arial"/>
          <w:sz w:val="24"/>
          <w:szCs w:val="24"/>
        </w:rPr>
        <w:t>Toyota GB understands the value of reaching the intended market with its products and consistently prioritizes the needs of its customers. Through dealerships, they sell their cars, and sales are conducted one-on-one between customers and sales staff. Sales personnel at each of these teams of seven or eight people work together in a dealership.</w:t>
      </w:r>
    </w:p>
    <w:p w14:paraId="785CEE5D" w14:textId="77777777" w:rsidR="00E77831" w:rsidRDefault="00000000">
      <w:pPr>
        <w:spacing w:line="360" w:lineRule="auto"/>
        <w:rPr>
          <w:rFonts w:ascii="Arial" w:hAnsi="Arial" w:cs="Arial"/>
          <w:sz w:val="24"/>
          <w:szCs w:val="24"/>
        </w:rPr>
      </w:pPr>
      <w:r>
        <w:rPr>
          <w:rFonts w:ascii="Arial" w:hAnsi="Arial" w:cs="Arial"/>
          <w:sz w:val="24"/>
          <w:szCs w:val="24"/>
        </w:rPr>
        <w:t>Marketing channels are the routes to market used to sell each product and service that a customer purchases. It has three marketing channels Toyopet, the medium market, Corolla, the compact car, and Netz, the customer base that aims to attract customers. They strive to maintain a fair service level, reduce supply chain costs, and produce high-quality goods. Suppliers are arranged in several tiers, First-level level suppliers are part of a team that develops products. Second-tier vendors produce individual components (Madoh et al., 2019, p. 3).</w:t>
      </w:r>
    </w:p>
    <w:p w14:paraId="203151FC" w14:textId="77777777" w:rsidR="00E77831" w:rsidRDefault="00000000">
      <w:pPr>
        <w:spacing w:line="360" w:lineRule="auto"/>
        <w:rPr>
          <w:rFonts w:ascii="Arial" w:hAnsi="Arial" w:cs="Arial"/>
          <w:sz w:val="24"/>
          <w:szCs w:val="24"/>
        </w:rPr>
      </w:pPr>
      <w:r>
        <w:rPr>
          <w:rFonts w:ascii="Arial" w:hAnsi="Arial" w:cs="Arial"/>
          <w:sz w:val="24"/>
          <w:szCs w:val="24"/>
        </w:rPr>
        <w:t>It focused on the just-in-management strategy to reduce waste production and to provide high-quality products to customers (Hines, 2016, p. 115).</w:t>
      </w:r>
    </w:p>
    <w:p w14:paraId="1F22EF1D" w14:textId="77777777" w:rsidR="00E77831" w:rsidRDefault="00000000">
      <w:pPr>
        <w:spacing w:line="360" w:lineRule="auto"/>
        <w:rPr>
          <w:rFonts w:ascii="Arial" w:hAnsi="Arial" w:cs="Arial"/>
          <w:sz w:val="24"/>
          <w:szCs w:val="24"/>
        </w:rPr>
      </w:pPr>
      <w:r>
        <w:rPr>
          <w:rFonts w:ascii="Arial" w:hAnsi="Arial" w:cs="Arial"/>
          <w:sz w:val="24"/>
          <w:szCs w:val="24"/>
        </w:rPr>
        <w:t>Following are the data representing the supply chain management of Toyota in the UK</w:t>
      </w:r>
    </w:p>
    <w:p w14:paraId="1A3BF8B7" w14:textId="55256056" w:rsidR="00E77831" w:rsidRDefault="00000000">
      <w:pPr>
        <w:spacing w:line="360" w:lineRule="auto"/>
        <w:rPr>
          <w:rFonts w:ascii="Arial" w:hAnsi="Arial" w:cs="Arial"/>
          <w:b/>
          <w:bCs/>
          <w:sz w:val="24"/>
          <w:szCs w:val="24"/>
        </w:rPr>
      </w:pPr>
      <w:r>
        <w:rPr>
          <w:rFonts w:ascii="Arial" w:hAnsi="Arial" w:cs="Arial"/>
          <w:b/>
          <w:bCs/>
          <w:sz w:val="24"/>
          <w:szCs w:val="24"/>
        </w:rPr>
        <w:t>Table 2:</w:t>
      </w:r>
      <w:r w:rsidR="00733FCF">
        <w:rPr>
          <w:rFonts w:ascii="Arial" w:hAnsi="Arial" w:cs="Arial"/>
          <w:b/>
          <w:bCs/>
          <w:sz w:val="24"/>
          <w:szCs w:val="24"/>
        </w:rPr>
        <w:t xml:space="preserve"> </w:t>
      </w:r>
      <w:r>
        <w:rPr>
          <w:rFonts w:ascii="Arial" w:hAnsi="Arial" w:cs="Arial"/>
          <w:b/>
          <w:bCs/>
          <w:sz w:val="24"/>
          <w:szCs w:val="24"/>
        </w:rPr>
        <w:t>It shows the inventory, lead time, and production time of Toyota GB.</w:t>
      </w:r>
    </w:p>
    <w:tbl>
      <w:tblPr>
        <w:tblStyle w:val="TableGrid"/>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2425"/>
        <w:gridCol w:w="2250"/>
      </w:tblGrid>
      <w:tr w:rsidR="00E77831" w14:paraId="7E4B6434" w14:textId="77777777">
        <w:tc>
          <w:tcPr>
            <w:tcW w:w="2425" w:type="dxa"/>
            <w:tcBorders>
              <w:top w:val="single" w:sz="4" w:space="0" w:color="auto"/>
              <w:left w:val="single" w:sz="4" w:space="0" w:color="auto"/>
              <w:bottom w:val="single" w:sz="4" w:space="0" w:color="auto"/>
              <w:right w:val="single" w:sz="4" w:space="0" w:color="auto"/>
            </w:tcBorders>
          </w:tcPr>
          <w:p w14:paraId="09C13B68" w14:textId="77777777" w:rsidR="00E77831" w:rsidRDefault="00000000">
            <w:pPr>
              <w:spacing w:line="360" w:lineRule="auto"/>
              <w:rPr>
                <w:rFonts w:ascii="Arial" w:hAnsi="Arial" w:cs="Arial"/>
                <w:sz w:val="24"/>
                <w:szCs w:val="24"/>
              </w:rPr>
            </w:pPr>
            <w:r>
              <w:rPr>
                <w:rFonts w:ascii="Arial" w:hAnsi="Arial" w:cs="Arial"/>
                <w:sz w:val="24"/>
                <w:szCs w:val="24"/>
              </w:rPr>
              <w:t xml:space="preserve">Inventory </w:t>
            </w:r>
          </w:p>
        </w:tc>
        <w:tc>
          <w:tcPr>
            <w:tcW w:w="2250" w:type="dxa"/>
            <w:tcBorders>
              <w:top w:val="single" w:sz="4" w:space="0" w:color="auto"/>
              <w:left w:val="single" w:sz="4" w:space="0" w:color="auto"/>
              <w:bottom w:val="single" w:sz="4" w:space="0" w:color="auto"/>
              <w:right w:val="single" w:sz="4" w:space="0" w:color="auto"/>
            </w:tcBorders>
          </w:tcPr>
          <w:p w14:paraId="5510BDBA" w14:textId="77777777" w:rsidR="00E77831" w:rsidRDefault="00000000">
            <w:pPr>
              <w:spacing w:line="360" w:lineRule="auto"/>
              <w:rPr>
                <w:rFonts w:ascii="Arial" w:hAnsi="Arial" w:cs="Arial"/>
                <w:sz w:val="24"/>
                <w:szCs w:val="24"/>
              </w:rPr>
            </w:pPr>
            <w:r>
              <w:rPr>
                <w:rFonts w:ascii="Arial" w:hAnsi="Arial" w:cs="Arial"/>
                <w:sz w:val="24"/>
                <w:szCs w:val="24"/>
              </w:rPr>
              <w:t xml:space="preserve">     127.7 days</w:t>
            </w:r>
          </w:p>
        </w:tc>
      </w:tr>
      <w:tr w:rsidR="00E77831" w14:paraId="0A407443" w14:textId="77777777">
        <w:tc>
          <w:tcPr>
            <w:tcW w:w="2425" w:type="dxa"/>
            <w:tcBorders>
              <w:top w:val="single" w:sz="4" w:space="0" w:color="auto"/>
              <w:left w:val="single" w:sz="4" w:space="0" w:color="auto"/>
              <w:bottom w:val="single" w:sz="4" w:space="0" w:color="auto"/>
              <w:right w:val="single" w:sz="4" w:space="0" w:color="auto"/>
            </w:tcBorders>
          </w:tcPr>
          <w:p w14:paraId="2D5024B7" w14:textId="77777777" w:rsidR="00E77831" w:rsidRDefault="00000000">
            <w:pPr>
              <w:spacing w:line="360" w:lineRule="auto"/>
              <w:rPr>
                <w:rFonts w:ascii="Arial" w:hAnsi="Arial" w:cs="Arial"/>
                <w:sz w:val="24"/>
                <w:szCs w:val="24"/>
              </w:rPr>
            </w:pPr>
            <w:r>
              <w:rPr>
                <w:rFonts w:ascii="Arial" w:hAnsi="Arial" w:cs="Arial"/>
                <w:sz w:val="24"/>
                <w:szCs w:val="24"/>
              </w:rPr>
              <w:t>Lead time</w:t>
            </w:r>
          </w:p>
        </w:tc>
        <w:tc>
          <w:tcPr>
            <w:tcW w:w="2250" w:type="dxa"/>
            <w:tcBorders>
              <w:top w:val="single" w:sz="4" w:space="0" w:color="auto"/>
              <w:left w:val="single" w:sz="4" w:space="0" w:color="auto"/>
              <w:bottom w:val="single" w:sz="4" w:space="0" w:color="auto"/>
              <w:right w:val="single" w:sz="4" w:space="0" w:color="auto"/>
            </w:tcBorders>
          </w:tcPr>
          <w:p w14:paraId="769D43D7" w14:textId="77777777" w:rsidR="00E77831" w:rsidRDefault="00000000">
            <w:pPr>
              <w:spacing w:line="360" w:lineRule="auto"/>
              <w:rPr>
                <w:rFonts w:ascii="Arial" w:hAnsi="Arial" w:cs="Arial"/>
                <w:sz w:val="24"/>
                <w:szCs w:val="24"/>
              </w:rPr>
            </w:pPr>
            <w:r>
              <w:rPr>
                <w:rFonts w:ascii="Arial" w:hAnsi="Arial" w:cs="Arial"/>
                <w:sz w:val="24"/>
                <w:szCs w:val="24"/>
              </w:rPr>
              <w:t xml:space="preserve">     39.47 days </w:t>
            </w:r>
          </w:p>
        </w:tc>
      </w:tr>
      <w:tr w:rsidR="00E77831" w14:paraId="01727ABB" w14:textId="77777777">
        <w:tc>
          <w:tcPr>
            <w:tcW w:w="2425" w:type="dxa"/>
            <w:tcBorders>
              <w:top w:val="single" w:sz="4" w:space="0" w:color="auto"/>
              <w:left w:val="single" w:sz="4" w:space="0" w:color="auto"/>
              <w:bottom w:val="single" w:sz="4" w:space="0" w:color="auto"/>
              <w:right w:val="single" w:sz="4" w:space="0" w:color="auto"/>
            </w:tcBorders>
          </w:tcPr>
          <w:p w14:paraId="65B8EA35" w14:textId="77777777" w:rsidR="00E77831" w:rsidRDefault="00000000">
            <w:pPr>
              <w:spacing w:line="360" w:lineRule="auto"/>
              <w:rPr>
                <w:rFonts w:ascii="Arial" w:hAnsi="Arial" w:cs="Arial"/>
                <w:sz w:val="24"/>
                <w:szCs w:val="24"/>
              </w:rPr>
            </w:pPr>
            <w:r>
              <w:rPr>
                <w:rFonts w:ascii="Arial" w:hAnsi="Arial" w:cs="Arial"/>
                <w:sz w:val="24"/>
                <w:szCs w:val="24"/>
              </w:rPr>
              <w:t>Production time</w:t>
            </w:r>
          </w:p>
        </w:tc>
        <w:tc>
          <w:tcPr>
            <w:tcW w:w="2250" w:type="dxa"/>
            <w:tcBorders>
              <w:top w:val="single" w:sz="4" w:space="0" w:color="auto"/>
              <w:left w:val="single" w:sz="4" w:space="0" w:color="auto"/>
              <w:bottom w:val="single" w:sz="4" w:space="0" w:color="auto"/>
              <w:right w:val="single" w:sz="4" w:space="0" w:color="auto"/>
            </w:tcBorders>
          </w:tcPr>
          <w:p w14:paraId="01FDD21E" w14:textId="77777777" w:rsidR="00E77831" w:rsidRDefault="00000000">
            <w:pPr>
              <w:spacing w:line="360" w:lineRule="auto"/>
              <w:rPr>
                <w:rFonts w:ascii="Arial" w:hAnsi="Arial" w:cs="Arial"/>
                <w:sz w:val="24"/>
                <w:szCs w:val="24"/>
              </w:rPr>
            </w:pPr>
            <w:r>
              <w:rPr>
                <w:rFonts w:ascii="Arial" w:hAnsi="Arial" w:cs="Arial"/>
                <w:sz w:val="24"/>
                <w:szCs w:val="24"/>
              </w:rPr>
              <w:t xml:space="preserve">     2.07 days </w:t>
            </w:r>
          </w:p>
        </w:tc>
      </w:tr>
    </w:tbl>
    <w:p w14:paraId="1FDB0366" w14:textId="77777777" w:rsidR="00E77831" w:rsidRDefault="00E77831">
      <w:pPr>
        <w:spacing w:line="360" w:lineRule="auto"/>
        <w:rPr>
          <w:rFonts w:ascii="Arial" w:hAnsi="Arial" w:cs="Arial"/>
          <w:sz w:val="24"/>
          <w:szCs w:val="24"/>
        </w:rPr>
      </w:pPr>
    </w:p>
    <w:p w14:paraId="301E11A7" w14:textId="0F9986BC" w:rsidR="00E77831" w:rsidRDefault="00000000">
      <w:pPr>
        <w:spacing w:line="360" w:lineRule="auto"/>
        <w:rPr>
          <w:rFonts w:ascii="Arial" w:hAnsi="Arial" w:cs="Arial"/>
          <w:b/>
          <w:bCs/>
          <w:sz w:val="24"/>
          <w:szCs w:val="24"/>
        </w:rPr>
      </w:pPr>
      <w:r>
        <w:rPr>
          <w:rFonts w:ascii="Arial" w:hAnsi="Arial" w:cs="Arial"/>
          <w:b/>
          <w:bCs/>
          <w:sz w:val="24"/>
          <w:szCs w:val="24"/>
        </w:rPr>
        <w:t xml:space="preserve">Table 3: It shows the supplier system of Toyota in the UK </w:t>
      </w:r>
    </w:p>
    <w:tbl>
      <w:tblPr>
        <w:tblStyle w:val="TableGrid"/>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2785"/>
        <w:gridCol w:w="2340"/>
      </w:tblGrid>
      <w:tr w:rsidR="00E77831" w14:paraId="508F911A" w14:textId="77777777">
        <w:tc>
          <w:tcPr>
            <w:tcW w:w="2785" w:type="dxa"/>
            <w:tcBorders>
              <w:top w:val="single" w:sz="4" w:space="0" w:color="auto"/>
              <w:left w:val="single" w:sz="4" w:space="0" w:color="auto"/>
              <w:bottom w:val="single" w:sz="4" w:space="0" w:color="auto"/>
              <w:right w:val="single" w:sz="4" w:space="0" w:color="auto"/>
            </w:tcBorders>
          </w:tcPr>
          <w:p w14:paraId="0C9803CF" w14:textId="77777777" w:rsidR="00E77831" w:rsidRDefault="00000000">
            <w:pPr>
              <w:spacing w:line="360" w:lineRule="auto"/>
              <w:rPr>
                <w:rFonts w:ascii="Arial" w:hAnsi="Arial" w:cs="Arial"/>
                <w:sz w:val="24"/>
                <w:szCs w:val="24"/>
              </w:rPr>
            </w:pPr>
            <w:r>
              <w:rPr>
                <w:rFonts w:ascii="Arial" w:hAnsi="Arial" w:cs="Arial"/>
                <w:sz w:val="24"/>
                <w:szCs w:val="24"/>
              </w:rPr>
              <w:t xml:space="preserve">Supplier system </w:t>
            </w:r>
          </w:p>
        </w:tc>
        <w:tc>
          <w:tcPr>
            <w:tcW w:w="2340" w:type="dxa"/>
            <w:tcBorders>
              <w:top w:val="single" w:sz="4" w:space="0" w:color="auto"/>
              <w:left w:val="single" w:sz="4" w:space="0" w:color="auto"/>
              <w:bottom w:val="single" w:sz="4" w:space="0" w:color="auto"/>
              <w:right w:val="single" w:sz="4" w:space="0" w:color="auto"/>
            </w:tcBorders>
          </w:tcPr>
          <w:p w14:paraId="3ED6C6A6" w14:textId="77777777" w:rsidR="00E77831" w:rsidRDefault="00000000">
            <w:pPr>
              <w:spacing w:line="360" w:lineRule="auto"/>
              <w:rPr>
                <w:rFonts w:ascii="Arial" w:hAnsi="Arial" w:cs="Arial"/>
                <w:sz w:val="24"/>
                <w:szCs w:val="24"/>
              </w:rPr>
            </w:pPr>
            <w:r>
              <w:rPr>
                <w:rFonts w:ascii="Arial" w:hAnsi="Arial" w:cs="Arial"/>
                <w:sz w:val="24"/>
                <w:szCs w:val="24"/>
              </w:rPr>
              <w:t xml:space="preserve">     Raw materials </w:t>
            </w:r>
          </w:p>
        </w:tc>
      </w:tr>
      <w:tr w:rsidR="00E77831" w14:paraId="0989E108" w14:textId="77777777">
        <w:tc>
          <w:tcPr>
            <w:tcW w:w="2785" w:type="dxa"/>
            <w:tcBorders>
              <w:top w:val="single" w:sz="4" w:space="0" w:color="auto"/>
              <w:left w:val="single" w:sz="4" w:space="0" w:color="auto"/>
              <w:bottom w:val="single" w:sz="4" w:space="0" w:color="auto"/>
              <w:right w:val="single" w:sz="4" w:space="0" w:color="auto"/>
            </w:tcBorders>
          </w:tcPr>
          <w:p w14:paraId="2EBE7CD8" w14:textId="77777777" w:rsidR="00E77831" w:rsidRDefault="00000000">
            <w:pPr>
              <w:spacing w:line="360" w:lineRule="auto"/>
              <w:rPr>
                <w:rFonts w:ascii="Arial" w:hAnsi="Arial" w:cs="Arial"/>
                <w:sz w:val="24"/>
                <w:szCs w:val="24"/>
              </w:rPr>
            </w:pPr>
            <w:r>
              <w:rPr>
                <w:rFonts w:ascii="Arial" w:hAnsi="Arial" w:cs="Arial"/>
                <w:sz w:val="24"/>
                <w:szCs w:val="24"/>
              </w:rPr>
              <w:t>Toyota.       (23%)</w:t>
            </w:r>
          </w:p>
        </w:tc>
        <w:tc>
          <w:tcPr>
            <w:tcW w:w="2340" w:type="dxa"/>
            <w:tcBorders>
              <w:top w:val="single" w:sz="4" w:space="0" w:color="auto"/>
              <w:left w:val="single" w:sz="4" w:space="0" w:color="auto"/>
              <w:bottom w:val="single" w:sz="4" w:space="0" w:color="auto"/>
              <w:right w:val="single" w:sz="4" w:space="0" w:color="auto"/>
            </w:tcBorders>
          </w:tcPr>
          <w:p w14:paraId="5CC8419C" w14:textId="77777777" w:rsidR="00E77831" w:rsidRDefault="00000000">
            <w:pPr>
              <w:spacing w:line="360" w:lineRule="auto"/>
              <w:rPr>
                <w:rFonts w:ascii="Arial" w:hAnsi="Arial" w:cs="Arial"/>
                <w:sz w:val="24"/>
                <w:szCs w:val="24"/>
              </w:rPr>
            </w:pPr>
            <w:r>
              <w:rPr>
                <w:rFonts w:ascii="Arial" w:hAnsi="Arial" w:cs="Arial"/>
                <w:sz w:val="24"/>
                <w:szCs w:val="24"/>
              </w:rPr>
              <w:t xml:space="preserve">     7.7%</w:t>
            </w:r>
          </w:p>
        </w:tc>
      </w:tr>
      <w:tr w:rsidR="00E77831" w14:paraId="1E1192EA" w14:textId="77777777">
        <w:tc>
          <w:tcPr>
            <w:tcW w:w="2785" w:type="dxa"/>
            <w:tcBorders>
              <w:top w:val="single" w:sz="4" w:space="0" w:color="auto"/>
              <w:left w:val="single" w:sz="4" w:space="0" w:color="auto"/>
              <w:bottom w:val="single" w:sz="4" w:space="0" w:color="auto"/>
              <w:right w:val="single" w:sz="4" w:space="0" w:color="auto"/>
            </w:tcBorders>
          </w:tcPr>
          <w:p w14:paraId="098A9DD7" w14:textId="77777777" w:rsidR="00E77831" w:rsidRDefault="00000000">
            <w:pPr>
              <w:spacing w:line="360" w:lineRule="auto"/>
              <w:rPr>
                <w:rFonts w:ascii="Arial" w:hAnsi="Arial" w:cs="Arial"/>
                <w:sz w:val="24"/>
                <w:szCs w:val="24"/>
              </w:rPr>
            </w:pPr>
            <w:r>
              <w:rPr>
                <w:rFonts w:ascii="Arial" w:hAnsi="Arial" w:cs="Arial"/>
                <w:sz w:val="24"/>
                <w:szCs w:val="24"/>
              </w:rPr>
              <w:lastRenderedPageBreak/>
              <w:t>1st tier.       (34.6 %)</w:t>
            </w:r>
          </w:p>
        </w:tc>
        <w:tc>
          <w:tcPr>
            <w:tcW w:w="2340" w:type="dxa"/>
            <w:tcBorders>
              <w:top w:val="single" w:sz="4" w:space="0" w:color="auto"/>
              <w:left w:val="single" w:sz="4" w:space="0" w:color="auto"/>
              <w:bottom w:val="single" w:sz="4" w:space="0" w:color="auto"/>
              <w:right w:val="single" w:sz="4" w:space="0" w:color="auto"/>
            </w:tcBorders>
          </w:tcPr>
          <w:p w14:paraId="25D601D8" w14:textId="77777777" w:rsidR="00E77831" w:rsidRDefault="00000000">
            <w:pPr>
              <w:spacing w:line="360" w:lineRule="auto"/>
              <w:rPr>
                <w:rFonts w:ascii="Arial" w:hAnsi="Arial" w:cs="Arial"/>
                <w:sz w:val="24"/>
                <w:szCs w:val="24"/>
              </w:rPr>
            </w:pPr>
            <w:r>
              <w:rPr>
                <w:rFonts w:ascii="Arial" w:hAnsi="Arial" w:cs="Arial"/>
                <w:sz w:val="24"/>
                <w:szCs w:val="24"/>
              </w:rPr>
              <w:t xml:space="preserve">     16.3 %</w:t>
            </w:r>
          </w:p>
        </w:tc>
      </w:tr>
      <w:tr w:rsidR="00E77831" w14:paraId="03BDD7A9" w14:textId="77777777">
        <w:tc>
          <w:tcPr>
            <w:tcW w:w="2785" w:type="dxa"/>
            <w:tcBorders>
              <w:top w:val="single" w:sz="4" w:space="0" w:color="auto"/>
              <w:left w:val="single" w:sz="4" w:space="0" w:color="auto"/>
              <w:bottom w:val="single" w:sz="4" w:space="0" w:color="auto"/>
              <w:right w:val="single" w:sz="4" w:space="0" w:color="auto"/>
            </w:tcBorders>
          </w:tcPr>
          <w:p w14:paraId="233DCD83" w14:textId="77777777" w:rsidR="00E77831" w:rsidRDefault="00000000">
            <w:pPr>
              <w:spacing w:line="360" w:lineRule="auto"/>
              <w:rPr>
                <w:rFonts w:ascii="Arial" w:hAnsi="Arial" w:cs="Arial"/>
                <w:sz w:val="24"/>
                <w:szCs w:val="24"/>
              </w:rPr>
            </w:pPr>
            <w:r>
              <w:rPr>
                <w:rFonts w:ascii="Arial" w:hAnsi="Arial" w:cs="Arial"/>
                <w:sz w:val="24"/>
                <w:szCs w:val="24"/>
              </w:rPr>
              <w:t>2nd tier.      (9.3 %)</w:t>
            </w:r>
          </w:p>
        </w:tc>
        <w:tc>
          <w:tcPr>
            <w:tcW w:w="2340" w:type="dxa"/>
            <w:tcBorders>
              <w:top w:val="single" w:sz="4" w:space="0" w:color="auto"/>
              <w:left w:val="single" w:sz="4" w:space="0" w:color="auto"/>
              <w:bottom w:val="single" w:sz="4" w:space="0" w:color="auto"/>
              <w:right w:val="single" w:sz="4" w:space="0" w:color="auto"/>
            </w:tcBorders>
          </w:tcPr>
          <w:p w14:paraId="1501DE67" w14:textId="77777777" w:rsidR="00E77831" w:rsidRDefault="00000000">
            <w:pPr>
              <w:spacing w:line="360" w:lineRule="auto"/>
              <w:rPr>
                <w:rFonts w:ascii="Arial" w:hAnsi="Arial" w:cs="Arial"/>
                <w:sz w:val="24"/>
                <w:szCs w:val="24"/>
              </w:rPr>
            </w:pPr>
            <w:r>
              <w:rPr>
                <w:rFonts w:ascii="Arial" w:hAnsi="Arial" w:cs="Arial"/>
                <w:sz w:val="24"/>
                <w:szCs w:val="24"/>
              </w:rPr>
              <w:t xml:space="preserve">     6.5 %</w:t>
            </w:r>
          </w:p>
        </w:tc>
      </w:tr>
      <w:tr w:rsidR="00E77831" w14:paraId="084DC806" w14:textId="77777777">
        <w:tc>
          <w:tcPr>
            <w:tcW w:w="2785" w:type="dxa"/>
            <w:tcBorders>
              <w:top w:val="single" w:sz="4" w:space="0" w:color="auto"/>
              <w:left w:val="single" w:sz="4" w:space="0" w:color="auto"/>
              <w:bottom w:val="single" w:sz="4" w:space="0" w:color="auto"/>
              <w:right w:val="single" w:sz="4" w:space="0" w:color="auto"/>
            </w:tcBorders>
          </w:tcPr>
          <w:p w14:paraId="25071163" w14:textId="77777777" w:rsidR="00E77831" w:rsidRDefault="00000000">
            <w:pPr>
              <w:spacing w:line="360" w:lineRule="auto"/>
              <w:rPr>
                <w:rFonts w:ascii="Arial" w:hAnsi="Arial" w:cs="Arial"/>
                <w:sz w:val="24"/>
                <w:szCs w:val="24"/>
              </w:rPr>
            </w:pPr>
            <w:r>
              <w:rPr>
                <w:rFonts w:ascii="Arial" w:hAnsi="Arial" w:cs="Arial"/>
                <w:sz w:val="24"/>
                <w:szCs w:val="24"/>
              </w:rPr>
              <w:t>3rd tier.       (1.6 %)</w:t>
            </w:r>
          </w:p>
        </w:tc>
        <w:tc>
          <w:tcPr>
            <w:tcW w:w="2340" w:type="dxa"/>
            <w:tcBorders>
              <w:top w:val="single" w:sz="4" w:space="0" w:color="auto"/>
              <w:left w:val="single" w:sz="4" w:space="0" w:color="auto"/>
              <w:bottom w:val="single" w:sz="4" w:space="0" w:color="auto"/>
              <w:right w:val="single" w:sz="4" w:space="0" w:color="auto"/>
            </w:tcBorders>
          </w:tcPr>
          <w:p w14:paraId="1B32D623" w14:textId="77777777" w:rsidR="00E77831" w:rsidRDefault="00000000">
            <w:pPr>
              <w:spacing w:line="360" w:lineRule="auto"/>
              <w:rPr>
                <w:rFonts w:ascii="Arial" w:hAnsi="Arial" w:cs="Arial"/>
                <w:sz w:val="24"/>
                <w:szCs w:val="24"/>
              </w:rPr>
            </w:pPr>
            <w:r>
              <w:rPr>
                <w:rFonts w:ascii="Arial" w:hAnsi="Arial" w:cs="Arial"/>
                <w:sz w:val="24"/>
                <w:szCs w:val="24"/>
              </w:rPr>
              <w:t xml:space="preserve">     0.8 %</w:t>
            </w:r>
          </w:p>
        </w:tc>
      </w:tr>
      <w:tr w:rsidR="00E77831" w14:paraId="4E869509" w14:textId="77777777">
        <w:tc>
          <w:tcPr>
            <w:tcW w:w="2785" w:type="dxa"/>
            <w:tcBorders>
              <w:top w:val="single" w:sz="4" w:space="0" w:color="auto"/>
              <w:left w:val="single" w:sz="4" w:space="0" w:color="auto"/>
              <w:bottom w:val="single" w:sz="4" w:space="0" w:color="auto"/>
              <w:right w:val="single" w:sz="4" w:space="0" w:color="auto"/>
            </w:tcBorders>
          </w:tcPr>
          <w:p w14:paraId="2AFF3059" w14:textId="77777777" w:rsidR="00E77831" w:rsidRDefault="00000000">
            <w:pPr>
              <w:spacing w:line="360" w:lineRule="auto"/>
              <w:rPr>
                <w:rFonts w:ascii="Arial" w:hAnsi="Arial" w:cs="Arial"/>
                <w:sz w:val="24"/>
                <w:szCs w:val="24"/>
              </w:rPr>
            </w:pPr>
            <w:r>
              <w:rPr>
                <w:rFonts w:ascii="Arial" w:hAnsi="Arial" w:cs="Arial"/>
                <w:sz w:val="24"/>
                <w:szCs w:val="24"/>
              </w:rPr>
              <w:t>4th tier.       (0.2 %)</w:t>
            </w:r>
          </w:p>
        </w:tc>
        <w:tc>
          <w:tcPr>
            <w:tcW w:w="2340" w:type="dxa"/>
            <w:tcBorders>
              <w:top w:val="single" w:sz="4" w:space="0" w:color="auto"/>
              <w:left w:val="single" w:sz="4" w:space="0" w:color="auto"/>
              <w:bottom w:val="single" w:sz="4" w:space="0" w:color="auto"/>
              <w:right w:val="single" w:sz="4" w:space="0" w:color="auto"/>
            </w:tcBorders>
          </w:tcPr>
          <w:p w14:paraId="1AEE9994" w14:textId="77777777" w:rsidR="00E77831" w:rsidRDefault="00000000">
            <w:pPr>
              <w:spacing w:line="360" w:lineRule="auto"/>
              <w:rPr>
                <w:rFonts w:ascii="Arial" w:hAnsi="Arial" w:cs="Arial"/>
                <w:sz w:val="24"/>
                <w:szCs w:val="24"/>
              </w:rPr>
            </w:pPr>
            <w:r>
              <w:rPr>
                <w:rFonts w:ascii="Arial" w:hAnsi="Arial" w:cs="Arial"/>
                <w:sz w:val="24"/>
                <w:szCs w:val="24"/>
              </w:rPr>
              <w:t xml:space="preserve">     0%</w:t>
            </w:r>
          </w:p>
        </w:tc>
      </w:tr>
    </w:tbl>
    <w:p w14:paraId="1C10650B" w14:textId="77777777" w:rsidR="00E77831" w:rsidRDefault="00000000">
      <w:pPr>
        <w:spacing w:line="360" w:lineRule="auto"/>
        <w:rPr>
          <w:rFonts w:ascii="Arial" w:hAnsi="Arial" w:cs="Arial"/>
          <w:sz w:val="24"/>
          <w:szCs w:val="24"/>
        </w:rPr>
      </w:pPr>
      <w:r>
        <w:rPr>
          <w:rFonts w:ascii="Arial" w:hAnsi="Arial" w:cs="Arial"/>
          <w:sz w:val="24"/>
          <w:szCs w:val="24"/>
        </w:rPr>
        <w:t xml:space="preserve">             (Source: Hines, 2016, p. 115).</w:t>
      </w:r>
    </w:p>
    <w:p w14:paraId="3C012A9E" w14:textId="5BCEF0D6" w:rsidR="00E77831" w:rsidRDefault="00000000">
      <w:pPr>
        <w:spacing w:line="360" w:lineRule="auto"/>
        <w:rPr>
          <w:rFonts w:ascii="Arial" w:hAnsi="Arial" w:cs="Arial"/>
          <w:b/>
          <w:bCs/>
          <w:sz w:val="28"/>
          <w:szCs w:val="28"/>
        </w:rPr>
      </w:pPr>
      <w:r>
        <w:rPr>
          <w:rFonts w:ascii="Arial" w:hAnsi="Arial" w:cs="Arial"/>
          <w:b/>
          <w:bCs/>
          <w:sz w:val="28"/>
          <w:szCs w:val="28"/>
        </w:rPr>
        <w:t xml:space="preserve">Green promotion </w:t>
      </w:r>
    </w:p>
    <w:p w14:paraId="13CCBE27" w14:textId="77777777" w:rsidR="00E77831" w:rsidRDefault="00000000">
      <w:pPr>
        <w:spacing w:line="360" w:lineRule="auto"/>
        <w:rPr>
          <w:rFonts w:ascii="Arial" w:hAnsi="Arial" w:cs="Arial"/>
          <w:sz w:val="24"/>
          <w:szCs w:val="24"/>
        </w:rPr>
      </w:pPr>
      <w:r>
        <w:rPr>
          <w:rFonts w:ascii="Arial" w:hAnsi="Arial" w:cs="Arial"/>
          <w:sz w:val="24"/>
          <w:szCs w:val="24"/>
        </w:rPr>
        <w:t>Toyota GB focuses on promoting the product in a way that benefits the customer as well as the environment. They focus on the conservation of energy and other resources. It uses green advertising to attract more customers which results in benefiting the organization, customers as well as the environment.</w:t>
      </w:r>
    </w:p>
    <w:p w14:paraId="30A78DF9" w14:textId="77777777" w:rsidR="00E77831" w:rsidRDefault="00000000">
      <w:pPr>
        <w:spacing w:line="360" w:lineRule="auto"/>
        <w:rPr>
          <w:rFonts w:ascii="Arial" w:hAnsi="Arial" w:cs="Arial"/>
          <w:sz w:val="24"/>
          <w:szCs w:val="24"/>
        </w:rPr>
      </w:pPr>
      <w:r>
        <w:rPr>
          <w:rFonts w:ascii="Arial" w:hAnsi="Arial" w:cs="Arial"/>
          <w:sz w:val="24"/>
          <w:szCs w:val="24"/>
        </w:rPr>
        <w:t>With an increase in internet users, websites, and social media, it is necessary to adhere to an integrated marketing communication strategy and carefully use a variety of communication channels such as TV, newspaper, and magazine advertisements as well as social media apps like Instagram, Facebook, Twitter, YouTube, etc. Toyota GB focused on social media apps to advertise which resulted in increasing the communication gap between the customers and organizations and reducing the traffic pollution. Following this, Toyota gained more attention which enabled it to establish an online newsroom “Zim Strategy” (Naser, 2021, p. 154).</w:t>
      </w:r>
    </w:p>
    <w:p w14:paraId="26FE5EF4" w14:textId="77777777" w:rsidR="00E77831" w:rsidRDefault="00000000">
      <w:pPr>
        <w:spacing w:line="360" w:lineRule="auto"/>
        <w:rPr>
          <w:rFonts w:ascii="Arial" w:hAnsi="Arial" w:cs="Arial"/>
          <w:sz w:val="24"/>
          <w:szCs w:val="24"/>
        </w:rPr>
      </w:pPr>
      <w:r>
        <w:rPr>
          <w:rFonts w:ascii="Arial" w:hAnsi="Arial" w:cs="Arial"/>
          <w:sz w:val="24"/>
          <w:szCs w:val="24"/>
        </w:rPr>
        <w:t>It focuses on reuse, recycling, reduction, and return. Social media, web-based trading, platforms, and print ads in regional magazines and newspapers are used to promote reuse cars for sale. Magazines used in advertising Toyota GB are also reused and recycled in a way to protect the environment (Shaw &amp; Williams, 2018, p. 39).</w:t>
      </w:r>
    </w:p>
    <w:p w14:paraId="078D73C9" w14:textId="77777777" w:rsidR="00E77831" w:rsidRDefault="00000000">
      <w:pPr>
        <w:spacing w:line="360" w:lineRule="auto"/>
        <w:rPr>
          <w:rFonts w:ascii="Arial" w:hAnsi="Arial" w:cs="Arial"/>
          <w:sz w:val="24"/>
          <w:szCs w:val="24"/>
        </w:rPr>
      </w:pPr>
      <w:r>
        <w:rPr>
          <w:rFonts w:ascii="Arial" w:hAnsi="Arial" w:cs="Arial"/>
          <w:sz w:val="24"/>
          <w:szCs w:val="24"/>
        </w:rPr>
        <w:t>Toyota used strong headlines to draw attention in their Prius advertisement, which focused more on emotion. This resulted in highly impactful advertisements and longer recall data. The product was promoted on television, and in magazines like Vanity Fair. Toyota promoted the car's environmentally friendly features and characteristics on Earth Day to attract more customers (Rouault, 2020, p. 335).</w:t>
      </w:r>
    </w:p>
    <w:p w14:paraId="589FA1E3" w14:textId="77777777" w:rsidR="00E77831" w:rsidRDefault="00000000">
      <w:pPr>
        <w:spacing w:line="360" w:lineRule="auto"/>
        <w:rPr>
          <w:rFonts w:ascii="Arial" w:hAnsi="Arial" w:cs="Arial"/>
          <w:sz w:val="24"/>
          <w:szCs w:val="24"/>
        </w:rPr>
      </w:pPr>
      <w:r>
        <w:rPr>
          <w:rFonts w:ascii="Arial" w:hAnsi="Arial" w:cs="Arial"/>
          <w:sz w:val="24"/>
          <w:szCs w:val="24"/>
        </w:rPr>
        <w:t>According to Leonidou Toyota, it revealed its environmental goals, incentives, and beliefs to the public in its 2007 “Zero emission advertisement” (Leonidou, 2011, p. 17).</w:t>
      </w:r>
    </w:p>
    <w:p w14:paraId="7F126052" w14:textId="77777777" w:rsidR="00E77831" w:rsidRDefault="00000000">
      <w:pPr>
        <w:spacing w:line="360" w:lineRule="auto"/>
        <w:rPr>
          <w:rFonts w:ascii="Arial" w:hAnsi="Arial" w:cs="Arial"/>
          <w:sz w:val="24"/>
          <w:szCs w:val="24"/>
        </w:rPr>
      </w:pPr>
      <w:r>
        <w:rPr>
          <w:rFonts w:ascii="Arial" w:hAnsi="Arial" w:cs="Arial"/>
          <w:sz w:val="24"/>
          <w:szCs w:val="24"/>
        </w:rPr>
        <w:lastRenderedPageBreak/>
        <w:t xml:space="preserve">It uses catchy slogans to emotionally attach customers to itself. E.g. - the concept “For generation taking you farther” will be used to support the creative strategy to achieve these communication objectives. </w:t>
      </w:r>
    </w:p>
    <w:p w14:paraId="7F062857" w14:textId="77777777" w:rsidR="00E77831" w:rsidRDefault="00000000">
      <w:pPr>
        <w:spacing w:line="360" w:lineRule="auto"/>
        <w:rPr>
          <w:rFonts w:ascii="Arial" w:hAnsi="Arial" w:cs="Arial"/>
          <w:sz w:val="24"/>
          <w:szCs w:val="24"/>
        </w:rPr>
      </w:pPr>
      <w:r>
        <w:rPr>
          <w:rFonts w:ascii="Arial" w:hAnsi="Arial" w:cs="Arial"/>
          <w:sz w:val="24"/>
          <w:szCs w:val="24"/>
        </w:rPr>
        <w:t xml:space="preserve">“Rewarded with a smile by exceeding your expectations" is used to advertise the RAV4 in the UK. A unique Facebook </w:t>
      </w:r>
      <w:proofErr w:type="gramStart"/>
      <w:r>
        <w:rPr>
          <w:rFonts w:ascii="Arial" w:hAnsi="Arial" w:cs="Arial"/>
          <w:sz w:val="24"/>
          <w:szCs w:val="24"/>
        </w:rPr>
        <w:t>mini-site</w:t>
      </w:r>
      <w:proofErr w:type="gramEnd"/>
      <w:r>
        <w:rPr>
          <w:rFonts w:ascii="Arial" w:hAnsi="Arial" w:cs="Arial"/>
          <w:sz w:val="24"/>
          <w:szCs w:val="24"/>
        </w:rPr>
        <w:t xml:space="preserve"> for the model year will be created to showcase the new features compromising images, video, and computerized tour of the car. There will be a section called Beyond with RAV4 where families are encouraged to post photos from their travel and exchange suggestions for the new routes to faster interact with customers (Ponce, 2014, p. 23).</w:t>
      </w:r>
    </w:p>
    <w:p w14:paraId="2A4689DE" w14:textId="4739C043" w:rsidR="00E77831" w:rsidRDefault="00000000">
      <w:pPr>
        <w:spacing w:line="360" w:lineRule="auto"/>
        <w:rPr>
          <w:rFonts w:ascii="Arial" w:hAnsi="Arial" w:cs="Arial"/>
          <w:b/>
          <w:bCs/>
          <w:sz w:val="28"/>
          <w:szCs w:val="28"/>
        </w:rPr>
      </w:pPr>
      <w:r>
        <w:rPr>
          <w:rFonts w:ascii="Arial" w:hAnsi="Arial" w:cs="Arial"/>
          <w:b/>
          <w:bCs/>
          <w:sz w:val="28"/>
          <w:szCs w:val="28"/>
        </w:rPr>
        <w:t>2.5 - Conclusion of the chapter</w:t>
      </w:r>
      <w:r w:rsidR="00733FCF">
        <w:rPr>
          <w:rFonts w:ascii="Arial" w:hAnsi="Arial" w:cs="Arial"/>
          <w:b/>
          <w:bCs/>
          <w:sz w:val="28"/>
          <w:szCs w:val="28"/>
        </w:rPr>
        <w:t>:</w:t>
      </w:r>
    </w:p>
    <w:p w14:paraId="6F23D1A7" w14:textId="77777777" w:rsidR="00E77831" w:rsidRDefault="00000000">
      <w:pPr>
        <w:spacing w:line="360" w:lineRule="auto"/>
        <w:rPr>
          <w:rFonts w:ascii="Arial" w:hAnsi="Arial" w:cs="Arial"/>
          <w:sz w:val="24"/>
          <w:szCs w:val="24"/>
        </w:rPr>
      </w:pPr>
      <w:r>
        <w:rPr>
          <w:rFonts w:ascii="Arial" w:hAnsi="Arial" w:cs="Arial"/>
          <w:sz w:val="24"/>
          <w:szCs w:val="24"/>
        </w:rPr>
        <w:t>Green Marketing is a strategy that aims to fulfil the demands of a customer while considering environmental health. It results in sustainable development and works upon a strategy that reduces environmental pollution. Green Marketing mix strategy is a combination of a green Marketing and Marketing mix which includes the manufacturing of green products, settlement of green prices, green promotion, and green place strategies to attract more customers and save the environment.</w:t>
      </w:r>
    </w:p>
    <w:p w14:paraId="4C2EE2DC" w14:textId="77777777" w:rsidR="00E77831" w:rsidRDefault="00000000">
      <w:pPr>
        <w:spacing w:line="360" w:lineRule="auto"/>
        <w:rPr>
          <w:rFonts w:ascii="Arial" w:hAnsi="Arial" w:cs="Arial"/>
          <w:sz w:val="24"/>
          <w:szCs w:val="24"/>
        </w:rPr>
      </w:pPr>
      <w:r>
        <w:rPr>
          <w:rFonts w:ascii="Arial" w:hAnsi="Arial" w:cs="Arial"/>
          <w:sz w:val="24"/>
          <w:szCs w:val="24"/>
        </w:rPr>
        <w:t>The Green Marketing mix strategy adopted by Toyota helps in achieving a strong market position in the UK. It results in the differentiation of products in terms of production, promotion, design, and management to attract more customers. It led to the reduction of costs by various means of green Marketing mix such as green logistics management, kaizen strategy, etc. Differentiation and cost reduction are two main components of achieving a sustainable competitive advantage. Hence, Toyota GB achieves a sustainable development advantage in the UK through the green Marketing mix strategy.</w:t>
      </w:r>
    </w:p>
    <w:p w14:paraId="3DC2010A" w14:textId="77777777" w:rsidR="00E77831" w:rsidRDefault="00E77831">
      <w:pPr>
        <w:spacing w:line="360" w:lineRule="auto"/>
        <w:rPr>
          <w:rFonts w:ascii="Arial" w:hAnsi="Arial" w:cs="Arial"/>
          <w:sz w:val="24"/>
          <w:szCs w:val="24"/>
        </w:rPr>
      </w:pPr>
    </w:p>
    <w:p w14:paraId="56AEC4C8" w14:textId="0873ED9C" w:rsidR="00E77831" w:rsidRDefault="00000000">
      <w:pPr>
        <w:spacing w:line="360" w:lineRule="auto"/>
        <w:rPr>
          <w:rFonts w:ascii="Arial" w:hAnsi="Arial" w:cs="Arial"/>
          <w:b/>
          <w:bCs/>
          <w:sz w:val="28"/>
          <w:szCs w:val="28"/>
        </w:rPr>
      </w:pPr>
      <w:r>
        <w:rPr>
          <w:rFonts w:ascii="Arial" w:hAnsi="Arial" w:cs="Arial"/>
          <w:b/>
          <w:bCs/>
          <w:sz w:val="28"/>
          <w:szCs w:val="28"/>
        </w:rPr>
        <w:t>Chapter 3 -</w:t>
      </w:r>
      <w:r w:rsidR="00733FCF">
        <w:rPr>
          <w:rFonts w:ascii="Arial" w:hAnsi="Arial" w:cs="Arial"/>
          <w:b/>
          <w:bCs/>
          <w:sz w:val="28"/>
          <w:szCs w:val="28"/>
        </w:rPr>
        <w:t xml:space="preserve"> </w:t>
      </w:r>
      <w:r>
        <w:rPr>
          <w:rFonts w:ascii="Arial" w:hAnsi="Arial" w:cs="Arial"/>
          <w:b/>
          <w:bCs/>
          <w:sz w:val="28"/>
          <w:szCs w:val="28"/>
        </w:rPr>
        <w:t xml:space="preserve">Research Methodology </w:t>
      </w:r>
    </w:p>
    <w:p w14:paraId="09C018EE" w14:textId="626F2521" w:rsidR="00E77831" w:rsidRDefault="00000000">
      <w:pPr>
        <w:spacing w:line="360" w:lineRule="auto"/>
        <w:rPr>
          <w:rFonts w:ascii="Arial" w:hAnsi="Arial" w:cs="Arial"/>
          <w:b/>
          <w:bCs/>
          <w:sz w:val="28"/>
          <w:szCs w:val="28"/>
        </w:rPr>
      </w:pPr>
      <w:r>
        <w:rPr>
          <w:rFonts w:ascii="Arial" w:hAnsi="Arial" w:cs="Arial"/>
          <w:b/>
          <w:bCs/>
          <w:sz w:val="28"/>
          <w:szCs w:val="28"/>
        </w:rPr>
        <w:t>3.1 Introduction</w:t>
      </w:r>
      <w:r w:rsidR="00733FCF">
        <w:rPr>
          <w:rFonts w:ascii="Arial" w:hAnsi="Arial" w:cs="Arial"/>
          <w:b/>
          <w:bCs/>
          <w:sz w:val="28"/>
          <w:szCs w:val="28"/>
        </w:rPr>
        <w:t>:</w:t>
      </w:r>
    </w:p>
    <w:p w14:paraId="298927FF" w14:textId="77777777" w:rsidR="00E77831" w:rsidRDefault="00000000">
      <w:pPr>
        <w:spacing w:line="360" w:lineRule="auto"/>
        <w:rPr>
          <w:rFonts w:ascii="Arial" w:hAnsi="Arial" w:cs="Arial"/>
          <w:sz w:val="24"/>
          <w:szCs w:val="24"/>
        </w:rPr>
      </w:pPr>
      <w:r>
        <w:rPr>
          <w:rFonts w:ascii="Arial" w:hAnsi="Arial" w:cs="Arial"/>
          <w:sz w:val="24"/>
          <w:szCs w:val="24"/>
        </w:rPr>
        <w:lastRenderedPageBreak/>
        <w:t>Research methodology is one approach to methodically addressing research problems. It can be viewed as a science that studies scientific research methodology. In it, we examine the different approaches that a researcher typically takes when examining their research problem and the reason behind them (Kothari, 2004, p. 8).</w:t>
      </w:r>
    </w:p>
    <w:p w14:paraId="0DD02AB2" w14:textId="77777777" w:rsidR="00E77831" w:rsidRDefault="00000000">
      <w:pPr>
        <w:spacing w:line="360" w:lineRule="auto"/>
        <w:rPr>
          <w:rFonts w:ascii="Arial" w:hAnsi="Arial" w:cs="Arial"/>
          <w:sz w:val="24"/>
          <w:szCs w:val="24"/>
        </w:rPr>
      </w:pPr>
      <w:r>
        <w:rPr>
          <w:rFonts w:ascii="Arial" w:hAnsi="Arial" w:cs="Arial"/>
          <w:sz w:val="24"/>
          <w:szCs w:val="24"/>
        </w:rPr>
        <w:t>There are two types of research methods: Quantitative and Qualitative analysis. The scientific method and quantitative techniques from the basis of contemporary science. This method of conducting research typically begins with a particular theory, either previously developed or put forth, which gives rise to hypotheses that are subsequently subjected to quantitative measurement, while qualitative techniques are based upon quality. It includes in-depth analysis using the data collected from interviews, and case study research (Swanson &amp; Halton, 2005, p. 30).</w:t>
      </w:r>
    </w:p>
    <w:p w14:paraId="0602A5F7" w14:textId="77777777" w:rsidR="00E77831" w:rsidRDefault="00000000">
      <w:pPr>
        <w:spacing w:line="360" w:lineRule="auto"/>
        <w:rPr>
          <w:rFonts w:ascii="Arial" w:hAnsi="Arial" w:cs="Arial"/>
          <w:sz w:val="24"/>
          <w:szCs w:val="24"/>
        </w:rPr>
      </w:pPr>
      <w:r>
        <w:rPr>
          <w:rFonts w:ascii="Arial" w:hAnsi="Arial" w:cs="Arial"/>
          <w:sz w:val="24"/>
          <w:szCs w:val="24"/>
        </w:rPr>
        <w:t xml:space="preserve">The main aim of my research is to analyze the marketing strategies and Marketing position of Toyota's production system in the UK. It analyzes what is the current marketing position of Toyota in the UK and what marketing strategies they will adopt to engage more customers and gain customer loyalty and customer satisfaction. The main research problem is to analyze the role of a green Marketing mix technique to achieve a sustainable competitive advantage. Research methodology is in such a way that addresses the research problem. </w:t>
      </w:r>
    </w:p>
    <w:p w14:paraId="686F006D" w14:textId="77777777" w:rsidR="00733FCF" w:rsidRDefault="00000000">
      <w:pPr>
        <w:spacing w:line="360" w:lineRule="auto"/>
        <w:rPr>
          <w:rFonts w:ascii="Arial" w:hAnsi="Arial" w:cs="Arial"/>
          <w:sz w:val="24"/>
          <w:szCs w:val="24"/>
        </w:rPr>
      </w:pPr>
      <w:r>
        <w:rPr>
          <w:rFonts w:ascii="Arial" w:hAnsi="Arial" w:cs="Arial"/>
          <w:sz w:val="24"/>
          <w:szCs w:val="24"/>
        </w:rPr>
        <w:t>The research methodology will explain the research philosophies and assumptions used by it in the first section and in the second section research design will be explained. In the third section research approaches are explained. In the fourth section, the data collection method was explained. In the fifth section, ethical considerations are considered, and the last section includes the conclusion of the research methodology chapter.</w:t>
      </w:r>
    </w:p>
    <w:p w14:paraId="247D8791" w14:textId="3686B232" w:rsidR="00E77831" w:rsidRPr="00733FCF" w:rsidRDefault="00000000">
      <w:pPr>
        <w:spacing w:line="360" w:lineRule="auto"/>
        <w:rPr>
          <w:rFonts w:ascii="Arial" w:hAnsi="Arial" w:cs="Arial"/>
          <w:sz w:val="24"/>
          <w:szCs w:val="24"/>
        </w:rPr>
      </w:pPr>
      <w:r>
        <w:rPr>
          <w:rFonts w:ascii="Arial" w:hAnsi="Arial" w:cs="Arial"/>
          <w:b/>
          <w:bCs/>
          <w:sz w:val="28"/>
          <w:szCs w:val="28"/>
        </w:rPr>
        <w:t>3.2 Research philosophies and assumption</w:t>
      </w:r>
      <w:r w:rsidR="00733FCF">
        <w:rPr>
          <w:rFonts w:ascii="Arial" w:hAnsi="Arial" w:cs="Arial"/>
          <w:b/>
          <w:bCs/>
          <w:sz w:val="28"/>
          <w:szCs w:val="28"/>
        </w:rPr>
        <w:t>:</w:t>
      </w:r>
      <w:r>
        <w:rPr>
          <w:rFonts w:ascii="Arial" w:hAnsi="Arial" w:cs="Arial"/>
          <w:b/>
          <w:bCs/>
          <w:sz w:val="28"/>
          <w:szCs w:val="28"/>
        </w:rPr>
        <w:t xml:space="preserve"> </w:t>
      </w:r>
    </w:p>
    <w:p w14:paraId="7EC680A4" w14:textId="77777777" w:rsidR="00E77831" w:rsidRDefault="00000000">
      <w:pPr>
        <w:spacing w:line="360" w:lineRule="auto"/>
        <w:rPr>
          <w:rFonts w:ascii="Arial" w:hAnsi="Arial" w:cs="Arial"/>
          <w:sz w:val="24"/>
          <w:szCs w:val="24"/>
        </w:rPr>
      </w:pPr>
      <w:r>
        <w:rPr>
          <w:rFonts w:ascii="Arial" w:hAnsi="Arial" w:cs="Arial"/>
          <w:sz w:val="24"/>
          <w:szCs w:val="24"/>
        </w:rPr>
        <w:t xml:space="preserve">Research philosophy refers to the guiding principles or ideology that will be employed in evaluating the study. Three categories of research philosophies exist Pragmatism, Positivism, and interpretivism. Interpretivism is characterized as the theory that is applied in qualitative research to analyze human interest in the subject and assumes </w:t>
      </w:r>
      <w:r>
        <w:rPr>
          <w:rFonts w:ascii="Arial" w:hAnsi="Arial" w:cs="Arial"/>
          <w:sz w:val="24"/>
          <w:szCs w:val="24"/>
        </w:rPr>
        <w:lastRenderedPageBreak/>
        <w:t xml:space="preserve">that social construction is the only way by which reality is connected. Conversely, Positivism is a philosophical approach that assesses quantitative data using statistical tests. Pragmatism is a combination of both studies. One can be encouraged to take proactive measures toward conducting ethical and repeatable research by using research methodology (Dougherty et al., 2019, p. 22). </w:t>
      </w:r>
    </w:p>
    <w:p w14:paraId="204211E9" w14:textId="77777777" w:rsidR="00E77831" w:rsidRDefault="00000000">
      <w:pPr>
        <w:spacing w:line="360" w:lineRule="auto"/>
        <w:rPr>
          <w:rFonts w:ascii="Arial" w:hAnsi="Arial" w:cs="Arial"/>
          <w:sz w:val="24"/>
          <w:szCs w:val="24"/>
        </w:rPr>
      </w:pPr>
      <w:r>
        <w:rPr>
          <w:rFonts w:ascii="Arial" w:hAnsi="Arial" w:cs="Arial"/>
          <w:sz w:val="24"/>
          <w:szCs w:val="24"/>
        </w:rPr>
        <w:t>The pragmatism method is chosen in this research to explain the role of a green Marketing mix strategy used by Toyota UK to attain sustained competitive advantage. Both theory and statistical data are needed to answer the research questions.</w:t>
      </w:r>
    </w:p>
    <w:p w14:paraId="21B5D4B7" w14:textId="77777777" w:rsidR="00E77831" w:rsidRDefault="00000000">
      <w:pPr>
        <w:spacing w:line="360" w:lineRule="auto"/>
        <w:rPr>
          <w:rFonts w:ascii="Arial" w:hAnsi="Arial" w:cs="Arial"/>
          <w:sz w:val="24"/>
          <w:szCs w:val="24"/>
        </w:rPr>
      </w:pPr>
      <w:r>
        <w:rPr>
          <w:rFonts w:ascii="Arial" w:hAnsi="Arial" w:cs="Arial"/>
          <w:sz w:val="24"/>
          <w:szCs w:val="24"/>
        </w:rPr>
        <w:t>There are four research philosophical assumptions Ontological, Epistemological, Axiological, and methodological. The nature of reality and its attributes are central to the ontological debate. Multiple realities are accepted by researchers when they work on qualitative research projects. Following the epistemological assumption, the researcher aims to get as close as possible to the participants under study. As a result, subjective evidence is gathered According to personal opinions. While all researchers contribute values to their work, qualitative researchers explicitly state their values within a study. The Axiological assumption that underpins qualitative research (Sage, 2018, p. 22).</w:t>
      </w:r>
    </w:p>
    <w:p w14:paraId="57AE2561" w14:textId="5D4A9691" w:rsidR="00E77831" w:rsidRDefault="00000000">
      <w:pPr>
        <w:spacing w:line="360" w:lineRule="auto"/>
        <w:rPr>
          <w:rFonts w:ascii="Arial" w:hAnsi="Arial" w:cs="Arial"/>
          <w:sz w:val="24"/>
          <w:szCs w:val="24"/>
        </w:rPr>
      </w:pPr>
      <w:r>
        <w:rPr>
          <w:rFonts w:ascii="Arial" w:hAnsi="Arial" w:cs="Arial"/>
          <w:sz w:val="24"/>
          <w:szCs w:val="24"/>
        </w:rPr>
        <w:t xml:space="preserve">This dissertation is mainly based on </w:t>
      </w:r>
      <w:proofErr w:type="gramStart"/>
      <w:r>
        <w:rPr>
          <w:rFonts w:ascii="Arial" w:hAnsi="Arial" w:cs="Arial"/>
          <w:sz w:val="24"/>
          <w:szCs w:val="24"/>
        </w:rPr>
        <w:t>the methodological</w:t>
      </w:r>
      <w:proofErr w:type="gramEnd"/>
      <w:r>
        <w:rPr>
          <w:rFonts w:ascii="Arial" w:hAnsi="Arial" w:cs="Arial"/>
          <w:sz w:val="24"/>
          <w:szCs w:val="24"/>
        </w:rPr>
        <w:t xml:space="preserve"> and Axiological research methodology. It works in </w:t>
      </w:r>
      <w:r w:rsidR="000106B0">
        <w:rPr>
          <w:rFonts w:ascii="Arial" w:hAnsi="Arial" w:cs="Arial"/>
          <w:sz w:val="24"/>
          <w:szCs w:val="24"/>
        </w:rPr>
        <w:t>a systematic</w:t>
      </w:r>
      <w:r>
        <w:rPr>
          <w:rFonts w:ascii="Arial" w:hAnsi="Arial" w:cs="Arial"/>
          <w:sz w:val="24"/>
          <w:szCs w:val="24"/>
        </w:rPr>
        <w:t xml:space="preserve"> procedure, including choosing of research problem, and research questions and selecting the journals, research articles and case studies for addressing the market share value, marketing strategy of Toyota in the UK and the role of a green Marketing mix strategy to achieve a sustainable competitive advantage.</w:t>
      </w:r>
    </w:p>
    <w:p w14:paraId="4EDCDD38" w14:textId="5A31ADC4" w:rsidR="00E77831" w:rsidRDefault="00000000">
      <w:pPr>
        <w:spacing w:line="360" w:lineRule="auto"/>
        <w:rPr>
          <w:rFonts w:ascii="Arial" w:hAnsi="Arial" w:cs="Arial"/>
          <w:sz w:val="28"/>
          <w:szCs w:val="28"/>
        </w:rPr>
      </w:pPr>
      <w:r>
        <w:rPr>
          <w:rFonts w:ascii="Arial" w:hAnsi="Arial" w:cs="Arial"/>
          <w:b/>
          <w:bCs/>
          <w:sz w:val="28"/>
          <w:szCs w:val="28"/>
        </w:rPr>
        <w:t>3.3 Research design</w:t>
      </w:r>
      <w:r w:rsidR="00733FCF">
        <w:rPr>
          <w:rFonts w:ascii="Arial" w:hAnsi="Arial" w:cs="Arial"/>
          <w:b/>
          <w:bCs/>
          <w:sz w:val="28"/>
          <w:szCs w:val="28"/>
        </w:rPr>
        <w:t>:</w:t>
      </w:r>
    </w:p>
    <w:p w14:paraId="0A1F852A" w14:textId="77777777" w:rsidR="00E77831" w:rsidRDefault="00000000">
      <w:pPr>
        <w:spacing w:line="360" w:lineRule="auto"/>
        <w:rPr>
          <w:rFonts w:ascii="Arial" w:hAnsi="Arial" w:cs="Arial"/>
          <w:sz w:val="24"/>
          <w:szCs w:val="24"/>
        </w:rPr>
      </w:pPr>
      <w:r>
        <w:rPr>
          <w:rFonts w:ascii="Arial" w:hAnsi="Arial" w:cs="Arial"/>
          <w:sz w:val="24"/>
          <w:szCs w:val="24"/>
        </w:rPr>
        <w:t>Research designing is a necessary step in research to answer the research problem. There are two types of research design: quantitative and qualitative.</w:t>
      </w:r>
    </w:p>
    <w:p w14:paraId="76444B3C" w14:textId="57C46C46" w:rsidR="00E77831" w:rsidRDefault="00000000">
      <w:pPr>
        <w:spacing w:line="360" w:lineRule="auto"/>
        <w:rPr>
          <w:rFonts w:ascii="Arial" w:hAnsi="Arial" w:cs="Arial"/>
          <w:sz w:val="24"/>
          <w:szCs w:val="24"/>
        </w:rPr>
      </w:pPr>
      <w:r>
        <w:rPr>
          <w:rFonts w:ascii="Arial" w:hAnsi="Arial" w:cs="Arial"/>
          <w:sz w:val="24"/>
          <w:szCs w:val="24"/>
        </w:rPr>
        <w:t xml:space="preserve">The qualitative research method entails spending a lot of time in the field, working through the </w:t>
      </w:r>
      <w:r w:rsidR="000106B0">
        <w:rPr>
          <w:rFonts w:ascii="Arial" w:hAnsi="Arial" w:cs="Arial"/>
          <w:sz w:val="24"/>
          <w:szCs w:val="24"/>
        </w:rPr>
        <w:t>sometimes-difficult</w:t>
      </w:r>
      <w:r>
        <w:rPr>
          <w:rFonts w:ascii="Arial" w:hAnsi="Arial" w:cs="Arial"/>
          <w:sz w:val="24"/>
          <w:szCs w:val="24"/>
        </w:rPr>
        <w:t xml:space="preserve"> time and consuming data analysis processes, writing lengthy passages, and engaging in some sort of social and human science research that lacks clear protocol or set guidelines. Finding the answers to questions is done </w:t>
      </w:r>
      <w:r>
        <w:rPr>
          <w:rFonts w:ascii="Arial" w:hAnsi="Arial" w:cs="Arial"/>
          <w:sz w:val="24"/>
          <w:szCs w:val="24"/>
        </w:rPr>
        <w:lastRenderedPageBreak/>
        <w:t>rigorously using qualitative research methods. It is based on quality and normally works on answering how and why-related questions. In quantitative data, Typically, numbers are used to collect data and these numbers can be statistically examined. In qualitative research, the researcher records the words and pictures of a small number of participants who are gathered at their research sites (Soiferman, 2010, p. 9).</w:t>
      </w:r>
    </w:p>
    <w:p w14:paraId="350738BB" w14:textId="257A93B8" w:rsidR="00E77831" w:rsidRDefault="00000000">
      <w:pPr>
        <w:spacing w:line="360" w:lineRule="auto"/>
        <w:rPr>
          <w:rFonts w:ascii="Arial" w:hAnsi="Arial" w:cs="Arial"/>
          <w:sz w:val="24"/>
          <w:szCs w:val="24"/>
        </w:rPr>
      </w:pPr>
      <w:r>
        <w:rPr>
          <w:rFonts w:ascii="Arial" w:hAnsi="Arial" w:cs="Arial"/>
          <w:sz w:val="24"/>
          <w:szCs w:val="24"/>
        </w:rPr>
        <w:t>In this research, mixed methodology (qualitative + quantitative) is used to answer the research questions in the best way. For answering questions and addressing the research problem mixed method is used which includes an explanatory systematic review methodology. It involves analysis of research articles, case studies from the journals, and documentation and analysis of data from the various official websites.</w:t>
      </w:r>
    </w:p>
    <w:p w14:paraId="71182231" w14:textId="77777777" w:rsidR="00E77831" w:rsidRDefault="00000000">
      <w:pPr>
        <w:spacing w:line="360" w:lineRule="auto"/>
        <w:rPr>
          <w:rFonts w:ascii="Arial" w:hAnsi="Arial" w:cs="Arial"/>
          <w:sz w:val="24"/>
          <w:szCs w:val="24"/>
        </w:rPr>
      </w:pPr>
      <w:r>
        <w:rPr>
          <w:rFonts w:ascii="Arial" w:hAnsi="Arial" w:cs="Arial"/>
          <w:sz w:val="24"/>
          <w:szCs w:val="24"/>
        </w:rPr>
        <w:t xml:space="preserve">Explanation research offers a useful justification for the inclusion of a particular component in a solution. Requirements and solutions are the only two components that are fundamentally required for a comprehensive explanatory design (Baskerville &amp; Heje, 2010, p. 1). </w:t>
      </w:r>
    </w:p>
    <w:p w14:paraId="45E49DD9" w14:textId="77777777" w:rsidR="00E77831" w:rsidRDefault="00000000">
      <w:pPr>
        <w:spacing w:line="360" w:lineRule="auto"/>
        <w:rPr>
          <w:rFonts w:ascii="Arial" w:hAnsi="Arial" w:cs="Arial"/>
          <w:sz w:val="24"/>
          <w:szCs w:val="24"/>
        </w:rPr>
      </w:pPr>
      <w:r>
        <w:rPr>
          <w:rFonts w:ascii="Arial" w:hAnsi="Arial" w:cs="Arial"/>
          <w:sz w:val="24"/>
          <w:szCs w:val="24"/>
        </w:rPr>
        <w:t>Systematic review methodology and documentation both are components of quantitative research. Systematic review methodology involves the study of various literature in a systematic manner and documentation involves the analysis of statistical data using the official website and other documents.</w:t>
      </w:r>
    </w:p>
    <w:p w14:paraId="6E8864F9" w14:textId="77777777" w:rsidR="00E77831" w:rsidRDefault="00000000">
      <w:pPr>
        <w:spacing w:line="360" w:lineRule="auto"/>
        <w:rPr>
          <w:rFonts w:ascii="Arial" w:hAnsi="Arial" w:cs="Arial"/>
          <w:sz w:val="24"/>
          <w:szCs w:val="24"/>
        </w:rPr>
      </w:pPr>
      <w:r>
        <w:rPr>
          <w:rFonts w:ascii="Arial" w:hAnsi="Arial" w:cs="Arial"/>
          <w:sz w:val="24"/>
          <w:szCs w:val="24"/>
        </w:rPr>
        <w:t>This dissertation used a systematic review methodology to analyze the research papers. There are numerous explanations, empirical, and descriptive research on the marketing strategies of Toyota in the UK, Such as an Analysis of Toyota's marketing strategy in the UK market by Hoque et al., 2013.</w:t>
      </w:r>
    </w:p>
    <w:p w14:paraId="019687D1" w14:textId="47DEB6DE" w:rsidR="00E77831" w:rsidRDefault="00000000">
      <w:pPr>
        <w:spacing w:line="360" w:lineRule="auto"/>
        <w:rPr>
          <w:rFonts w:ascii="Arial" w:hAnsi="Arial" w:cs="Arial"/>
          <w:b/>
          <w:bCs/>
          <w:sz w:val="28"/>
          <w:szCs w:val="28"/>
        </w:rPr>
      </w:pPr>
      <w:r>
        <w:rPr>
          <w:rFonts w:ascii="Arial" w:hAnsi="Arial" w:cs="Arial"/>
          <w:b/>
          <w:bCs/>
          <w:sz w:val="28"/>
          <w:szCs w:val="28"/>
        </w:rPr>
        <w:t>3.</w:t>
      </w:r>
      <w:r w:rsidR="00733FCF">
        <w:rPr>
          <w:rFonts w:ascii="Arial" w:hAnsi="Arial" w:cs="Arial"/>
          <w:b/>
          <w:bCs/>
          <w:sz w:val="28"/>
          <w:szCs w:val="28"/>
        </w:rPr>
        <w:t>3</w:t>
      </w:r>
      <w:r>
        <w:rPr>
          <w:rFonts w:ascii="Arial" w:hAnsi="Arial" w:cs="Arial"/>
          <w:b/>
          <w:bCs/>
          <w:sz w:val="28"/>
          <w:szCs w:val="28"/>
        </w:rPr>
        <w:t>.1 - The following are the five steps included in this dissertation to ensure its validity and reliability</w:t>
      </w:r>
      <w:r w:rsidR="00733FCF">
        <w:rPr>
          <w:rFonts w:ascii="Arial" w:hAnsi="Arial" w:cs="Arial"/>
          <w:b/>
          <w:bCs/>
          <w:sz w:val="28"/>
          <w:szCs w:val="28"/>
        </w:rPr>
        <w:t>:</w:t>
      </w:r>
    </w:p>
    <w:p w14:paraId="06E50B03" w14:textId="77777777" w:rsidR="00E77831" w:rsidRDefault="00000000">
      <w:pPr>
        <w:spacing w:line="360" w:lineRule="auto"/>
        <w:rPr>
          <w:rFonts w:ascii="Arial" w:hAnsi="Arial" w:cs="Arial"/>
          <w:sz w:val="24"/>
          <w:szCs w:val="24"/>
        </w:rPr>
      </w:pPr>
      <w:r>
        <w:rPr>
          <w:rFonts w:ascii="Arial" w:hAnsi="Arial" w:cs="Arial"/>
          <w:sz w:val="24"/>
          <w:szCs w:val="24"/>
        </w:rPr>
        <w:t>1. The first step involves the identification of the research problem and planning a strategy to select the various research articles through journals and Research papers etc. It involves the classification of a journal according to its name, publisher, Author, and articles examined in the Journal.</w:t>
      </w:r>
    </w:p>
    <w:p w14:paraId="1BE41A68" w14:textId="77777777" w:rsidR="00E77831" w:rsidRDefault="00000000">
      <w:pPr>
        <w:spacing w:line="360" w:lineRule="auto"/>
        <w:rPr>
          <w:rFonts w:ascii="Arial" w:hAnsi="Arial" w:cs="Arial"/>
          <w:sz w:val="24"/>
          <w:szCs w:val="24"/>
        </w:rPr>
      </w:pPr>
      <w:r>
        <w:rPr>
          <w:rFonts w:ascii="Arial" w:hAnsi="Arial" w:cs="Arial"/>
          <w:sz w:val="24"/>
          <w:szCs w:val="24"/>
        </w:rPr>
        <w:lastRenderedPageBreak/>
        <w:t>2. The second step involves searching the articles, and journals through Google Scholar by using a keyword strategy. This dissertation's main aim is to analyze the marketing strategies of Toyota in the UK and the role of a green Marketing mix strategy in attaining a sustainable competitive advantage.</w:t>
      </w:r>
    </w:p>
    <w:p w14:paraId="18D5BC1F" w14:textId="77777777" w:rsidR="00E77831" w:rsidRDefault="00000000">
      <w:pPr>
        <w:spacing w:line="360" w:lineRule="auto"/>
        <w:rPr>
          <w:rFonts w:ascii="Arial" w:hAnsi="Arial" w:cs="Arial"/>
          <w:sz w:val="24"/>
          <w:szCs w:val="24"/>
        </w:rPr>
      </w:pPr>
      <w:r>
        <w:rPr>
          <w:rFonts w:ascii="Arial" w:hAnsi="Arial" w:cs="Arial"/>
          <w:sz w:val="24"/>
          <w:szCs w:val="24"/>
        </w:rPr>
        <w:t xml:space="preserve">Hence the keywords used in this research were - </w:t>
      </w:r>
    </w:p>
    <w:p w14:paraId="5A9EB329" w14:textId="77777777" w:rsidR="00E77831" w:rsidRDefault="00000000">
      <w:pPr>
        <w:spacing w:line="360" w:lineRule="auto"/>
        <w:rPr>
          <w:rFonts w:ascii="Arial" w:hAnsi="Arial" w:cs="Arial"/>
          <w:b/>
          <w:bCs/>
          <w:sz w:val="24"/>
          <w:szCs w:val="24"/>
        </w:rPr>
      </w:pPr>
      <w:r>
        <w:rPr>
          <w:rFonts w:ascii="Arial" w:hAnsi="Arial" w:cs="Arial"/>
          <w:b/>
          <w:bCs/>
          <w:sz w:val="24"/>
          <w:szCs w:val="24"/>
        </w:rPr>
        <w:t xml:space="preserve">Green Marketing, Toyota GB UK, UK, Toyota Production System, Role of UK government, Sustainable competitive advantage, Marketing strategies, Automobile industry, green promotion, green advertising, challenges and opportunities, market share value, green products, green supply chain management, etc. </w:t>
      </w:r>
    </w:p>
    <w:p w14:paraId="154C0F71" w14:textId="77777777" w:rsidR="00E77831" w:rsidRDefault="00000000">
      <w:pPr>
        <w:spacing w:line="360" w:lineRule="auto"/>
        <w:rPr>
          <w:rFonts w:ascii="Arial" w:hAnsi="Arial" w:cs="Arial"/>
          <w:sz w:val="24"/>
          <w:szCs w:val="24"/>
        </w:rPr>
      </w:pPr>
      <w:r>
        <w:rPr>
          <w:rFonts w:ascii="Arial" w:hAnsi="Arial" w:cs="Arial"/>
          <w:sz w:val="24"/>
          <w:szCs w:val="24"/>
        </w:rPr>
        <w:t>Hence the use of keywords in finding a valuable and good research paper helps answer the research questions.</w:t>
      </w:r>
    </w:p>
    <w:p w14:paraId="21F90E43" w14:textId="77777777" w:rsidR="00E77831" w:rsidRDefault="00000000">
      <w:pPr>
        <w:spacing w:line="360" w:lineRule="auto"/>
        <w:rPr>
          <w:rFonts w:ascii="Arial" w:hAnsi="Arial" w:cs="Arial"/>
          <w:sz w:val="24"/>
          <w:szCs w:val="24"/>
        </w:rPr>
      </w:pPr>
      <w:r>
        <w:rPr>
          <w:rFonts w:ascii="Arial" w:hAnsi="Arial" w:cs="Arial"/>
          <w:sz w:val="24"/>
          <w:szCs w:val="24"/>
        </w:rPr>
        <w:t xml:space="preserve">3. In the third step there is a screening of Selected journals and research papers based upon the research article and then screening is done based on Reading the abstract. Some of the articles were excluded, because they provide information about non-UK Toyota's marketing strategies such as Toyota Marketing in the USA, Indonesia, etc. </w:t>
      </w:r>
    </w:p>
    <w:p w14:paraId="6AA4DA42" w14:textId="77777777" w:rsidR="00E77831" w:rsidRDefault="00000000">
      <w:pPr>
        <w:spacing w:line="360" w:lineRule="auto"/>
        <w:rPr>
          <w:rFonts w:ascii="Arial" w:hAnsi="Arial" w:cs="Arial"/>
          <w:sz w:val="24"/>
          <w:szCs w:val="24"/>
        </w:rPr>
      </w:pPr>
      <w:r>
        <w:rPr>
          <w:rFonts w:ascii="Arial" w:hAnsi="Arial" w:cs="Arial"/>
          <w:sz w:val="24"/>
          <w:szCs w:val="24"/>
        </w:rPr>
        <w:t xml:space="preserve">4. The fourth step involves the reading of full-text papers, and the selection of articles was done based on the relevant information. These articles provide information about the green Marketing mix strategy of Toyota in the UK, challenges and opportunities faced by Toyota in the UK, market share value, sustainable competitive advantage, differentiation, and cost. Reduction strategy and the role of a Toyota production system in achieving a reputable position in the UK were selected. </w:t>
      </w:r>
    </w:p>
    <w:p w14:paraId="5155FF7A" w14:textId="77777777" w:rsidR="00E77831" w:rsidRDefault="00000000">
      <w:pPr>
        <w:spacing w:line="360" w:lineRule="auto"/>
        <w:rPr>
          <w:rFonts w:ascii="Arial" w:hAnsi="Arial" w:cs="Arial"/>
          <w:sz w:val="24"/>
          <w:szCs w:val="24"/>
        </w:rPr>
      </w:pPr>
      <w:r>
        <w:rPr>
          <w:rFonts w:ascii="Arial" w:hAnsi="Arial" w:cs="Arial"/>
          <w:sz w:val="24"/>
          <w:szCs w:val="24"/>
        </w:rPr>
        <w:t>5. Those articles which provide relevant information to answer research questions and address the research problem were selected and information gathered from them was collected in the form of notes.</w:t>
      </w:r>
    </w:p>
    <w:p w14:paraId="6B36BB91" w14:textId="77777777" w:rsidR="00E77831" w:rsidRDefault="00000000">
      <w:pPr>
        <w:spacing w:line="360" w:lineRule="auto"/>
        <w:rPr>
          <w:rFonts w:ascii="Arial" w:hAnsi="Arial" w:cs="Arial"/>
          <w:sz w:val="24"/>
          <w:szCs w:val="24"/>
        </w:rPr>
      </w:pPr>
      <w:r>
        <w:rPr>
          <w:rFonts w:ascii="Arial" w:hAnsi="Arial" w:cs="Arial"/>
          <w:sz w:val="24"/>
          <w:szCs w:val="24"/>
        </w:rPr>
        <w:t>Here is the table providing the details of articles systematically selected from the journal.</w:t>
      </w:r>
    </w:p>
    <w:p w14:paraId="2DC6981F" w14:textId="77777777" w:rsidR="00E77831" w:rsidRDefault="00000000">
      <w:pPr>
        <w:spacing w:line="360" w:lineRule="auto"/>
        <w:rPr>
          <w:rFonts w:ascii="Arial" w:hAnsi="Arial" w:cs="Arial"/>
          <w:sz w:val="24"/>
          <w:szCs w:val="24"/>
        </w:rPr>
      </w:pPr>
      <w:r>
        <w:rPr>
          <w:rFonts w:ascii="Arial" w:hAnsi="Arial" w:cs="Arial"/>
          <w:sz w:val="24"/>
          <w:szCs w:val="24"/>
        </w:rPr>
        <w:lastRenderedPageBreak/>
        <w:t>It involves the analysis of 120 articles from the selected journals, out of which 19 articles were selected for answering research questions and analyzing the research problem. The selected articles were from the years 1990 - 2023 which focus on green Marketing, green Marketing mix strategies, Toyota UK, Toyota production system, etc.</w:t>
      </w:r>
    </w:p>
    <w:p w14:paraId="36C6AD36" w14:textId="77777777" w:rsidR="00E77831" w:rsidRDefault="00000000">
      <w:pPr>
        <w:spacing w:line="360" w:lineRule="auto"/>
        <w:rPr>
          <w:rFonts w:ascii="Arial" w:hAnsi="Arial" w:cs="Arial"/>
          <w:sz w:val="24"/>
          <w:szCs w:val="24"/>
        </w:rPr>
      </w:pPr>
      <w:r>
        <w:rPr>
          <w:rFonts w:ascii="Arial" w:hAnsi="Arial" w:cs="Arial"/>
          <w:sz w:val="24"/>
          <w:szCs w:val="24"/>
        </w:rPr>
        <w:t xml:space="preserve">Some of the articles were excluded as they provide the non - UK information on Marketing strategies for Toyota in the USA and Indonesia. Some of the articles will provide information. </w:t>
      </w:r>
    </w:p>
    <w:p w14:paraId="7EEFC32F" w14:textId="6ACBD854" w:rsidR="00E77831" w:rsidRPr="00733FCF" w:rsidRDefault="005A09BD">
      <w:pPr>
        <w:spacing w:line="360" w:lineRule="auto"/>
        <w:rPr>
          <w:rFonts w:ascii="Arial" w:hAnsi="Arial" w:cs="Arial"/>
          <w:b/>
          <w:bCs/>
          <w:sz w:val="24"/>
          <w:szCs w:val="24"/>
        </w:rPr>
      </w:pPr>
      <w:r w:rsidRPr="00733FCF">
        <w:rPr>
          <w:b/>
          <w:bCs/>
          <w:noProof/>
        </w:rPr>
        <mc:AlternateContent>
          <mc:Choice Requires="wps">
            <w:drawing>
              <wp:anchor distT="0" distB="0" distL="0" distR="0" simplePos="0" relativeHeight="37" behindDoc="0" locked="0" layoutInCell="1" allowOverlap="1" wp14:anchorId="2A25E3FE" wp14:editId="630C1ECF">
                <wp:simplePos x="0" y="0"/>
                <wp:positionH relativeFrom="page">
                  <wp:posOffset>3688715</wp:posOffset>
                </wp:positionH>
                <wp:positionV relativeFrom="page">
                  <wp:posOffset>3293110</wp:posOffset>
                </wp:positionV>
                <wp:extent cx="2938778" cy="745490"/>
                <wp:effectExtent l="15240" t="6985" r="8255" b="9525"/>
                <wp:wrapNone/>
                <wp:docPr id="1054" name="105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10800000" flipV="1">
                          <a:off x="0" y="0"/>
                          <a:ext cx="2938778" cy="745490"/>
                        </a:xfrm>
                        <a:prstGeom prst="roundRect">
                          <a:avLst>
                            <a:gd name="adj" fmla="val 16667"/>
                          </a:avLst>
                        </a:prstGeom>
                        <a:solidFill>
                          <a:srgbClr val="4472C4"/>
                        </a:solidFill>
                        <a:ln w="12700" cap="flat" cmpd="sng">
                          <a:solidFill>
                            <a:srgbClr val="1C3053"/>
                          </a:solidFill>
                          <a:prstDash val="solid"/>
                          <a:miter/>
                          <a:headEnd type="none" w="med" len="med"/>
                          <a:tailEnd type="none" w="med" len="med"/>
                        </a:ln>
                      </wps:spPr>
                      <wps:txbx>
                        <w:txbxContent>
                          <w:p w14:paraId="543814D3" w14:textId="77777777" w:rsidR="00E77831" w:rsidRDefault="00000000">
                            <w:pPr>
                              <w:jc w:val="center"/>
                              <w:rPr>
                                <w:rFonts w:ascii="Arial" w:hAnsi="Arial" w:cs="Arial"/>
                                <w:color w:val="FFFFFF"/>
                              </w:rPr>
                            </w:pPr>
                            <w:r>
                              <w:rPr>
                                <w:rFonts w:ascii="Arial" w:hAnsi="Arial" w:cs="Arial"/>
                                <w:color w:val="FFFFFF"/>
                              </w:rPr>
                              <w:t>Articles identified from references of paper (n=0)</w:t>
                            </w:r>
                          </w:p>
                        </w:txbxContent>
                      </wps:txbx>
                      <wps:bodyPr vert="horz" wrap="square" lIns="91440" tIns="45720" rIns="91440" bIns="45720" anchor="ctr" upright="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oundrect w14:anchorId="2A25E3FE" id="1056" o:spid="_x0000_s1039" style="position:absolute;margin-left:290.45pt;margin-top:259.3pt;width:231.4pt;height:58.7pt;rotation:180;flip:y;z-index:3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" fillcolor="#4472c4" strokecolor="#1c3053" strokeweight="1pt">
                <v:stroke joinstyle="miter"/>
                <v:path arrowok="t"/>
                <v:textbox>
                  <w:txbxContent>
                    <w:p w14:paraId="543814D3" w14:textId="77777777" w:rsidR="00E77831" w:rsidRDefault="00000000">
                      <w:pPr>
                        <w:jc w:val="center"/>
                        <w:rPr>
                          <w:rFonts w:ascii="Arial" w:hAnsi="Arial" w:cs="Arial"/>
                          <w:color w:val="FFFFFF"/>
                        </w:rPr>
                      </w:pPr>
                      <w:r>
                        <w:rPr>
                          <w:rFonts w:ascii="Arial" w:hAnsi="Arial" w:cs="Arial"/>
                          <w:color w:val="FFFFFF"/>
                        </w:rPr>
                        <w:t>Articles identified from references of paper (n=0)</w:t>
                      </w:r>
                    </w:p>
                  </w:txbxContent>
                </v:textbox>
                <w10:wrap anchorx="page" anchory="page"/>
              </v:roundrect>
            </w:pict>
          </mc:Fallback>
        </mc:AlternateContent>
      </w:r>
      <w:r w:rsidRPr="00733FCF">
        <w:rPr>
          <w:rFonts w:ascii="Arial" w:hAnsi="Arial" w:cs="Arial"/>
          <w:b/>
          <w:bCs/>
          <w:sz w:val="24"/>
          <w:szCs w:val="24"/>
        </w:rPr>
        <w:t xml:space="preserve">Figure 3: </w:t>
      </w:r>
    </w:p>
    <w:p w14:paraId="4F1FE8B8" w14:textId="47B48956" w:rsidR="00E77831" w:rsidRDefault="00000000">
      <w:pPr>
        <w:spacing w:line="360" w:lineRule="auto"/>
        <w:rPr>
          <w:rFonts w:ascii="Arial" w:hAnsi="Arial" w:cs="Arial"/>
          <w:sz w:val="24"/>
          <w:szCs w:val="24"/>
        </w:rPr>
      </w:pPr>
      <w:r>
        <w:rPr>
          <w:noProof/>
        </w:rPr>
        <mc:AlternateContent>
          <mc:Choice Requires="wps">
            <w:drawing>
              <wp:anchor distT="0" distB="0" distL="0" distR="0" simplePos="0" relativeHeight="42" behindDoc="0" locked="0" layoutInCell="1" allowOverlap="1" wp14:anchorId="78D904BF" wp14:editId="0FBB8F91">
                <wp:simplePos x="0" y="0"/>
                <wp:positionH relativeFrom="column">
                  <wp:posOffset>2397760</wp:posOffset>
                </wp:positionH>
                <wp:positionV relativeFrom="paragraph">
                  <wp:posOffset>275590</wp:posOffset>
                </wp:positionV>
                <wp:extent cx="128270" cy="729613"/>
                <wp:effectExtent l="0" t="234950" r="0" b="208280"/>
                <wp:wrapNone/>
                <wp:docPr id="1055" name="10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2760000">
                          <a:off x="0" y="0"/>
                          <a:ext cx="128270" cy="729613"/>
                        </a:xfrm>
                        <a:prstGeom prst="downArrow">
                          <a:avLst>
                            <a:gd name="adj1" fmla="val 50000"/>
                            <a:gd name="adj2" fmla="val 49903"/>
                          </a:avLst>
                        </a:prstGeom>
                        <a:solidFill>
                          <a:srgbClr val="000000"/>
                        </a:solidFill>
                        <a:ln w="12700" cap="flat" cmpd="sng">
                          <a:solidFill>
                            <a:srgbClr val="000000"/>
                          </a:solidFill>
                          <a:prstDash val="solid"/>
                          <a:miter/>
                          <a:headEnd type="none" w="med" len="med"/>
                          <a:tailEnd type="none" w="med" len="med"/>
                        </a:ln>
                      </wps:spPr>
                      <wps:bodyPr>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type w14:anchorId="440BB2F3"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1057" o:spid="_x0000_s1026" type="#_x0000_t67" style="position:absolute;margin-left:188.8pt;margin-top:21.7pt;width:10.1pt;height:57.45pt;rotation:46;z-index:42;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" adj="19705" fillcolor="black" strokeweight="1pt">
                <v:path arrowok="t"/>
              </v:shape>
            </w:pict>
          </mc:Fallback>
        </mc:AlternateContent>
      </w:r>
      <w:r>
        <w:rPr>
          <w:noProof/>
        </w:rPr>
        <mc:AlternateContent>
          <mc:Choice Requires="wps">
            <w:drawing>
              <wp:anchor distT="0" distB="0" distL="0" distR="0" simplePos="0" relativeHeight="28" behindDoc="0" locked="0" layoutInCell="1" allowOverlap="1" wp14:anchorId="3CE6BD05" wp14:editId="7AEE3E62">
                <wp:simplePos x="0" y="0"/>
                <wp:positionH relativeFrom="column">
                  <wp:posOffset>260349</wp:posOffset>
                </wp:positionH>
                <wp:positionV relativeFrom="paragraph">
                  <wp:posOffset>0</wp:posOffset>
                </wp:positionV>
                <wp:extent cx="1981200" cy="711200"/>
                <wp:effectExtent l="12700" t="10795" r="6350" b="11430"/>
                <wp:wrapNone/>
                <wp:docPr id="1056" name="105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81200" cy="711200"/>
                        </a:xfrm>
                        <a:prstGeom prst="roundRect">
                          <a:avLst>
                            <a:gd name="adj" fmla="val 16667"/>
                          </a:avLst>
                        </a:prstGeom>
                        <a:solidFill>
                          <a:srgbClr val="4472C4"/>
                        </a:solidFill>
                        <a:ln w="12700" cap="flat" cmpd="sng">
                          <a:solidFill>
                            <a:srgbClr val="1C3053"/>
                          </a:solidFill>
                          <a:prstDash val="solid"/>
                          <a:miter/>
                          <a:headEnd type="none" w="med" len="med"/>
                          <a:tailEnd type="none" w="med" len="med"/>
                        </a:ln>
                      </wps:spPr>
                      <wps:txbx>
                        <w:txbxContent>
                          <w:p w14:paraId="07DFF411" w14:textId="77777777" w:rsidR="00E77831" w:rsidRDefault="00000000">
                            <w:pPr>
                              <w:jc w:val="center"/>
                              <w:rPr>
                                <w:rFonts w:ascii="Arial" w:hAnsi="Arial" w:cs="Arial"/>
                                <w:color w:val="FFFFFF"/>
                              </w:rPr>
                            </w:pPr>
                            <w:r>
                              <w:rPr>
                                <w:rFonts w:ascii="Arial" w:hAnsi="Arial" w:cs="Arial"/>
                                <w:color w:val="FFFFFF"/>
                              </w:rPr>
                              <w:t>Articles identified by searching selected journals (n=120)</w:t>
                            </w:r>
                          </w:p>
                        </w:txbxContent>
                      </wps:txbx>
                      <wps:bodyPr vert="horz" wrap="square" lIns="91440" tIns="45720" rIns="91440" bIns="45720" anchor="ctr" upright="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CE6BD05" id="1058" o:spid="_x0000_s1040" style="position:absolute;margin-left:20.5pt;margin-top:0;width:156pt;height:56pt;z-index:28;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" fillcolor="#4472c4" strokecolor="#1c3053" strokeweight="1pt">
                <v:stroke joinstyle="miter"/>
                <v:path arrowok="t"/>
                <v:textbox>
                  <w:txbxContent>
                    <w:p w14:paraId="07DFF411" w14:textId="77777777" w:rsidR="00E77831" w:rsidRDefault="00000000">
                      <w:pPr>
                        <w:jc w:val="center"/>
                        <w:rPr>
                          <w:rFonts w:ascii="Arial" w:hAnsi="Arial" w:cs="Arial"/>
                          <w:color w:val="FFFFFF"/>
                        </w:rPr>
                      </w:pPr>
                      <w:r>
                        <w:rPr>
                          <w:rFonts w:ascii="Arial" w:hAnsi="Arial" w:cs="Arial"/>
                          <w:color w:val="FFFFFF"/>
                        </w:rPr>
                        <w:t>Articles identified by searching selected journals (n=120)</w:t>
                      </w:r>
                    </w:p>
                  </w:txbxContent>
                </v:textbox>
              </v:roundrect>
            </w:pict>
          </mc:Fallback>
        </mc:AlternateContent>
      </w:r>
      <w:r>
        <w:rPr>
          <w:rFonts w:ascii="Arial" w:hAnsi="Arial" w:cs="Arial"/>
          <w:sz w:val="24"/>
          <w:szCs w:val="24"/>
        </w:rPr>
        <w:t xml:space="preserve"> </w:t>
      </w:r>
    </w:p>
    <w:p w14:paraId="162FC46C" w14:textId="26C969AF" w:rsidR="00E77831" w:rsidRDefault="00E77831">
      <w:pPr>
        <w:spacing w:line="360" w:lineRule="auto"/>
        <w:rPr>
          <w:rFonts w:ascii="Arial" w:hAnsi="Arial" w:cs="Arial"/>
          <w:b/>
          <w:bCs/>
          <w:sz w:val="24"/>
          <w:szCs w:val="24"/>
        </w:rPr>
      </w:pPr>
    </w:p>
    <w:p w14:paraId="418F1416" w14:textId="17E83904" w:rsidR="00E77831" w:rsidRDefault="005A09BD">
      <w:pPr>
        <w:spacing w:line="360" w:lineRule="auto"/>
        <w:rPr>
          <w:rFonts w:ascii="Arial" w:hAnsi="Arial" w:cs="Arial"/>
          <w:b/>
          <w:bCs/>
          <w:sz w:val="24"/>
          <w:szCs w:val="24"/>
        </w:rPr>
      </w:pPr>
      <w:r>
        <w:rPr>
          <w:noProof/>
        </w:rPr>
        <mc:AlternateContent>
          <mc:Choice Requires="wps">
            <w:drawing>
              <wp:anchor distT="0" distB="0" distL="0" distR="0" simplePos="0" relativeHeight="36" behindDoc="0" locked="0" layoutInCell="1" allowOverlap="1" wp14:anchorId="20DC2014" wp14:editId="6AC4A0AB">
                <wp:simplePos x="0" y="0"/>
                <wp:positionH relativeFrom="page">
                  <wp:posOffset>3766820</wp:posOffset>
                </wp:positionH>
                <wp:positionV relativeFrom="page">
                  <wp:posOffset>4123055</wp:posOffset>
                </wp:positionV>
                <wp:extent cx="1689100" cy="608329"/>
                <wp:effectExtent l="6350" t="12065" r="9525" b="8255"/>
                <wp:wrapNone/>
                <wp:docPr id="1057" name="10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10800000" flipV="1">
                          <a:off x="0" y="0"/>
                          <a:ext cx="1689100" cy="608329"/>
                        </a:xfrm>
                        <a:prstGeom prst="roundRect">
                          <a:avLst>
                            <a:gd name="adj" fmla="val 16667"/>
                          </a:avLst>
                        </a:prstGeom>
                        <a:solidFill>
                          <a:srgbClr val="4472C4"/>
                        </a:solidFill>
                        <a:ln w="12700" cap="flat" cmpd="sng">
                          <a:solidFill>
                            <a:srgbClr val="1C3053"/>
                          </a:solidFill>
                          <a:prstDash val="solid"/>
                          <a:miter/>
                          <a:headEnd type="none" w="med" len="med"/>
                          <a:tailEnd type="none" w="med" len="med"/>
                        </a:ln>
                      </wps:spPr>
                      <wps:txbx>
                        <w:txbxContent>
                          <w:p w14:paraId="4817EBE8" w14:textId="77777777" w:rsidR="00E77831" w:rsidRDefault="00000000">
                            <w:pPr>
                              <w:jc w:val="center"/>
                              <w:rPr>
                                <w:rFonts w:ascii="Arial" w:hAnsi="Arial" w:cs="Arial"/>
                                <w:color w:val="FFFFFF"/>
                              </w:rPr>
                            </w:pPr>
                            <w:r>
                              <w:rPr>
                                <w:rFonts w:ascii="Arial" w:hAnsi="Arial" w:cs="Arial"/>
                                <w:color w:val="FFFFFF"/>
                              </w:rPr>
                              <w:t>Articles excluded (n=</w:t>
                            </w:r>
                            <w:proofErr w:type="gramStart"/>
                            <w:r>
                              <w:rPr>
                                <w:rFonts w:ascii="Arial" w:hAnsi="Arial" w:cs="Arial"/>
                                <w:color w:val="FFFFFF"/>
                              </w:rPr>
                              <w:t>50 )</w:t>
                            </w:r>
                            <w:proofErr w:type="gramEnd"/>
                          </w:p>
                        </w:txbxContent>
                      </wps:txbx>
                      <wps:bodyPr vert="horz" wrap="square" lIns="91440" tIns="45720" rIns="91440" bIns="45720" anchor="ctr" upright="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oundrect w14:anchorId="20DC2014" id="1059" o:spid="_x0000_s1041" style="position:absolute;margin-left:296.6pt;margin-top:324.65pt;width:133pt;height:47.9pt;rotation:180;flip:y;z-index:3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" fillcolor="#4472c4" strokecolor="#1c3053" strokeweight="1pt">
                <v:stroke joinstyle="miter"/>
                <v:path arrowok="t"/>
                <v:textbox>
                  <w:txbxContent>
                    <w:p w14:paraId="4817EBE8" w14:textId="77777777" w:rsidR="00E77831" w:rsidRDefault="00000000">
                      <w:pPr>
                        <w:jc w:val="center"/>
                        <w:rPr>
                          <w:rFonts w:ascii="Arial" w:hAnsi="Arial" w:cs="Arial"/>
                          <w:color w:val="FFFFFF"/>
                        </w:rPr>
                      </w:pPr>
                      <w:r>
                        <w:rPr>
                          <w:rFonts w:ascii="Arial" w:hAnsi="Arial" w:cs="Arial"/>
                          <w:color w:val="FFFFFF"/>
                        </w:rPr>
                        <w:t>Articles excluded (n=</w:t>
                      </w:r>
                      <w:proofErr w:type="gramStart"/>
                      <w:r>
                        <w:rPr>
                          <w:rFonts w:ascii="Arial" w:hAnsi="Arial" w:cs="Arial"/>
                          <w:color w:val="FFFFFF"/>
                        </w:rPr>
                        <w:t>50 )</w:t>
                      </w:r>
                      <w:proofErr w:type="gramEnd"/>
                    </w:p>
                  </w:txbxContent>
                </v:textbox>
                <w10:wrap anchorx="page" anchory="page"/>
              </v:roundrect>
            </w:pict>
          </mc:Fallback>
        </mc:AlternateContent>
      </w:r>
      <w:r>
        <w:rPr>
          <w:noProof/>
        </w:rPr>
        <mc:AlternateContent>
          <mc:Choice Requires="wps">
            <w:drawing>
              <wp:anchor distT="0" distB="0" distL="0" distR="0" simplePos="0" relativeHeight="43" behindDoc="0" locked="0" layoutInCell="1" allowOverlap="1" wp14:anchorId="7564CD31" wp14:editId="6BA1D62C">
                <wp:simplePos x="0" y="0"/>
                <wp:positionH relativeFrom="column">
                  <wp:posOffset>2489835</wp:posOffset>
                </wp:positionH>
                <wp:positionV relativeFrom="paragraph">
                  <wp:posOffset>100965</wp:posOffset>
                </wp:positionV>
                <wp:extent cx="115570" cy="594995"/>
                <wp:effectExtent l="0" t="146685" r="0" b="156845"/>
                <wp:wrapNone/>
                <wp:docPr id="1058" name="106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3360000">
                          <a:off x="0" y="0"/>
                          <a:ext cx="115570" cy="594995"/>
                        </a:xfrm>
                        <a:prstGeom prst="upArrow">
                          <a:avLst>
                            <a:gd name="adj1" fmla="val 50000"/>
                            <a:gd name="adj2" fmla="val 50030"/>
                          </a:avLst>
                        </a:prstGeom>
                        <a:solidFill>
                          <a:srgbClr val="000000"/>
                        </a:solidFill>
                        <a:ln w="12700" cap="flat" cmpd="sng">
                          <a:solidFill>
                            <a:srgbClr val="000000"/>
                          </a:solidFill>
                          <a:prstDash val="solid"/>
                          <a:miter/>
                          <a:headEnd type="none" w="med" len="med"/>
                          <a:tailEnd type="none" w="med" len="med"/>
                        </a:ln>
                      </wps:spPr>
                      <wps:bodyPr>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 w14:anchorId="1673FDDB" id="1060" o:spid="_x0000_s1026" type="#_x0000_t68" style="position:absolute;margin-left:196.05pt;margin-top:7.95pt;width:9.1pt;height:46.85pt;rotation:56;z-index:43;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" adj="2099" fillcolor="black" strokeweight="1pt">
                <v:path arrowok="t"/>
              </v:shape>
            </w:pict>
          </mc:Fallback>
        </mc:AlternateContent>
      </w:r>
      <w:r>
        <w:rPr>
          <w:noProof/>
        </w:rPr>
        <mc:AlternateContent>
          <mc:Choice Requires="wps">
            <w:drawing>
              <wp:anchor distT="0" distB="0" distL="0" distR="0" simplePos="0" relativeHeight="38" behindDoc="0" locked="0" layoutInCell="1" allowOverlap="1" wp14:anchorId="7F9A7525" wp14:editId="638CF916">
                <wp:simplePos x="0" y="0"/>
                <wp:positionH relativeFrom="column">
                  <wp:posOffset>1244600</wp:posOffset>
                </wp:positionH>
                <wp:positionV relativeFrom="paragraph">
                  <wp:posOffset>20320</wp:posOffset>
                </wp:positionV>
                <wp:extent cx="177800" cy="196850"/>
                <wp:effectExtent l="25400" t="6985" r="25400" b="24765"/>
                <wp:wrapNone/>
                <wp:docPr id="1059" name="10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7800" cy="196850"/>
                        </a:xfrm>
                        <a:prstGeom prst="downArrow">
                          <a:avLst>
                            <a:gd name="adj1" fmla="val 50000"/>
                            <a:gd name="adj2" fmla="val 49980"/>
                          </a:avLst>
                        </a:prstGeom>
                        <a:solidFill>
                          <a:srgbClr val="000000"/>
                        </a:solidFill>
                        <a:ln w="12700" cap="flat" cmpd="sng">
                          <a:solidFill>
                            <a:srgbClr val="000000"/>
                          </a:solidFill>
                          <a:prstDash val="solid"/>
                          <a:miter/>
                          <a:headEnd type="none" w="med" len="med"/>
                          <a:tailEnd type="none" w="med" len="med"/>
                        </a:ln>
                      </wps:spPr>
                      <wps:bodyPr>
                        <a:prstTxWarp prst="textNoShape">
                          <a:avLst/>
                        </a:prstTxWarp>
                      </wps:bodyPr>
                    </wps:wsp>
                  </a:graphicData>
                </a:graphic>
                <wp14:sizeRelH relativeFrom="page">
                  <wp14:pctWidth>0</wp14:pctWidth>
                </wp14:sizeRelH>
                <wp14:sizeRelV relativeFrom="page">
                  <wp14:pctHeight>0</wp14:pctHeight>
                </wp14:sizeRelV>
              </wp:anchor>
            </w:drawing>
          </mc:Choice>
          <mc:Fallback xmlns:wpsCustomData="http://www.wps.cn/officeDocument/2013/wpsCustomData">
            <w:pict>
              <v:shape id="1059" type="#_x0000_t67" adj="11850,5400," fillcolor="black" style="position:absolute;margin-left:98.0pt;margin-top:1.6pt;width:14.0pt;height:15.5pt;z-index:38;mso-position-horizontal-relative:text;mso-position-vertical-relative:text;mso-width-percent:0;mso-height-percent:0;mso-width-relative:page;mso-height-relative:page;mso-wrap-distance-left:0.0pt;mso-wrap-distance-right:0.0pt;visibility:visible;">
                <v:stroke joinstyle="miter" weight="1.0pt"/>
                <v:fill/>
              </v:shape>
            </w:pict>
          </mc:Fallback>
        </mc:AlternateContent>
      </w:r>
      <w:r>
        <w:rPr>
          <w:noProof/>
        </w:rPr>
        <mc:AlternateContent>
          <mc:Choice Requires="wps">
            <w:drawing>
              <wp:anchor distT="0" distB="0" distL="0" distR="0" simplePos="0" relativeHeight="29" behindDoc="0" locked="0" layoutInCell="1" allowOverlap="1" wp14:anchorId="323CA985" wp14:editId="5C4015B4">
                <wp:simplePos x="0" y="0"/>
                <wp:positionH relativeFrom="column">
                  <wp:posOffset>723900</wp:posOffset>
                </wp:positionH>
                <wp:positionV relativeFrom="paragraph">
                  <wp:posOffset>248920</wp:posOffset>
                </wp:positionV>
                <wp:extent cx="1473200" cy="514350"/>
                <wp:effectExtent l="9525" t="6985" r="12700" b="12065"/>
                <wp:wrapNone/>
                <wp:docPr id="1060" name="10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73200" cy="514350"/>
                        </a:xfrm>
                        <a:prstGeom prst="roundRect">
                          <a:avLst>
                            <a:gd name="adj" fmla="val 16667"/>
                          </a:avLst>
                        </a:prstGeom>
                        <a:solidFill>
                          <a:srgbClr val="4472C4"/>
                        </a:solidFill>
                        <a:ln w="12700" cap="flat" cmpd="sng">
                          <a:solidFill>
                            <a:srgbClr val="1C3053"/>
                          </a:solidFill>
                          <a:prstDash val="solid"/>
                          <a:miter/>
                          <a:headEnd type="none" w="med" len="med"/>
                          <a:tailEnd type="none" w="med" len="med"/>
                        </a:ln>
                      </wps:spPr>
                      <wps:txbx>
                        <w:txbxContent>
                          <w:p w14:paraId="2288FD6C" w14:textId="77777777" w:rsidR="00E77831" w:rsidRDefault="00000000">
                            <w:pPr>
                              <w:jc w:val="center"/>
                              <w:rPr>
                                <w:rFonts w:ascii="Arial" w:hAnsi="Arial" w:cs="Arial"/>
                                <w:color w:val="FFFFFF"/>
                              </w:rPr>
                            </w:pPr>
                            <w:r>
                              <w:rPr>
                                <w:rFonts w:ascii="Arial" w:hAnsi="Arial" w:cs="Arial"/>
                                <w:color w:val="FFFFFF"/>
                              </w:rPr>
                              <w:t>Screening through article titles (n=776)</w:t>
                            </w:r>
                          </w:p>
                        </w:txbxContent>
                      </wps:txbx>
                      <wps:bodyPr vert="horz" wrap="square" lIns="91440" tIns="45720" rIns="91440" bIns="45720" anchor="ctr" upright="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oundrect w14:anchorId="323CA985" id="1062" o:spid="_x0000_s1042" style="position:absolute;margin-left:57pt;margin-top:19.6pt;width:116pt;height:40.5pt;z-index:29;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" fillcolor="#4472c4" strokecolor="#1c3053" strokeweight="1pt">
                <v:stroke joinstyle="miter"/>
                <v:path arrowok="t"/>
                <v:textbox>
                  <w:txbxContent>
                    <w:p w14:paraId="2288FD6C" w14:textId="77777777" w:rsidR="00E77831" w:rsidRDefault="00000000">
                      <w:pPr>
                        <w:jc w:val="center"/>
                        <w:rPr>
                          <w:rFonts w:ascii="Arial" w:hAnsi="Arial" w:cs="Arial"/>
                          <w:color w:val="FFFFFF"/>
                        </w:rPr>
                      </w:pPr>
                      <w:r>
                        <w:rPr>
                          <w:rFonts w:ascii="Arial" w:hAnsi="Arial" w:cs="Arial"/>
                          <w:color w:val="FFFFFF"/>
                        </w:rPr>
                        <w:t>Screening through article titles (n=776)</w:t>
                      </w:r>
                    </w:p>
                  </w:txbxContent>
                </v:textbox>
              </v:roundrect>
            </w:pict>
          </mc:Fallback>
        </mc:AlternateContent>
      </w:r>
    </w:p>
    <w:p w14:paraId="29027A51" w14:textId="34D66038" w:rsidR="00E77831" w:rsidRDefault="00E77831">
      <w:pPr>
        <w:spacing w:line="360" w:lineRule="auto"/>
        <w:rPr>
          <w:rFonts w:ascii="Arial" w:hAnsi="Arial" w:cs="Arial"/>
          <w:b/>
          <w:bCs/>
          <w:sz w:val="24"/>
          <w:szCs w:val="24"/>
        </w:rPr>
      </w:pPr>
    </w:p>
    <w:p w14:paraId="5F1B4599" w14:textId="202D82EB" w:rsidR="00E77831" w:rsidRDefault="005A09BD">
      <w:pPr>
        <w:spacing w:line="360" w:lineRule="auto"/>
        <w:rPr>
          <w:rFonts w:ascii="Arial" w:hAnsi="Arial" w:cs="Arial"/>
          <w:b/>
          <w:bCs/>
          <w:sz w:val="24"/>
          <w:szCs w:val="24"/>
        </w:rPr>
      </w:pPr>
      <w:r>
        <w:rPr>
          <w:noProof/>
        </w:rPr>
        <mc:AlternateContent>
          <mc:Choice Requires="wps">
            <w:drawing>
              <wp:anchor distT="0" distB="0" distL="0" distR="0" simplePos="0" relativeHeight="35" behindDoc="0" locked="0" layoutInCell="1" allowOverlap="1" wp14:anchorId="218D71AF" wp14:editId="4062E9C1">
                <wp:simplePos x="0" y="0"/>
                <wp:positionH relativeFrom="page">
                  <wp:posOffset>3860800</wp:posOffset>
                </wp:positionH>
                <wp:positionV relativeFrom="page">
                  <wp:posOffset>4791709</wp:posOffset>
                </wp:positionV>
                <wp:extent cx="1473200" cy="520696"/>
                <wp:effectExtent l="15875" t="6985" r="6350" b="15240"/>
                <wp:wrapNone/>
                <wp:docPr id="1061" name="10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10800000" flipV="1">
                          <a:off x="0" y="0"/>
                          <a:ext cx="1473200" cy="520696"/>
                        </a:xfrm>
                        <a:prstGeom prst="roundRect">
                          <a:avLst>
                            <a:gd name="adj" fmla="val 16667"/>
                          </a:avLst>
                        </a:prstGeom>
                        <a:solidFill>
                          <a:srgbClr val="4472C4"/>
                        </a:solidFill>
                        <a:ln w="12700" cap="flat" cmpd="sng">
                          <a:solidFill>
                            <a:srgbClr val="1C3053"/>
                          </a:solidFill>
                          <a:prstDash val="solid"/>
                          <a:miter/>
                          <a:headEnd type="none" w="med" len="med"/>
                          <a:tailEnd type="none" w="med" len="med"/>
                        </a:ln>
                      </wps:spPr>
                      <wps:txbx>
                        <w:txbxContent>
                          <w:p w14:paraId="444CF6FA" w14:textId="77777777" w:rsidR="00E77831" w:rsidRDefault="00000000">
                            <w:pPr>
                              <w:jc w:val="center"/>
                              <w:rPr>
                                <w:rFonts w:ascii="Arial" w:hAnsi="Arial" w:cs="Arial"/>
                                <w:color w:val="FFFFFF"/>
                              </w:rPr>
                            </w:pPr>
                            <w:r>
                              <w:rPr>
                                <w:rFonts w:ascii="Arial" w:hAnsi="Arial" w:cs="Arial"/>
                                <w:color w:val="FFFFFF"/>
                              </w:rPr>
                              <w:t>Articles excluded (n=30)</w:t>
                            </w:r>
                          </w:p>
                        </w:txbxContent>
                      </wps:txbx>
                      <wps:bodyPr vert="horz" wrap="square" lIns="91440" tIns="45720" rIns="91440" bIns="45720" anchor="ctr" upright="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oundrect w14:anchorId="218D71AF" id="1063" o:spid="_x0000_s1043" style="position:absolute;margin-left:304pt;margin-top:377.3pt;width:116pt;height:41pt;rotation:180;flip:y;z-index:3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" fillcolor="#4472c4" strokecolor="#1c3053" strokeweight="1pt">
                <v:stroke joinstyle="miter"/>
                <v:path arrowok="t"/>
                <v:textbox>
                  <w:txbxContent>
                    <w:p w14:paraId="444CF6FA" w14:textId="77777777" w:rsidR="00E77831" w:rsidRDefault="00000000">
                      <w:pPr>
                        <w:jc w:val="center"/>
                        <w:rPr>
                          <w:rFonts w:ascii="Arial" w:hAnsi="Arial" w:cs="Arial"/>
                          <w:color w:val="FFFFFF"/>
                        </w:rPr>
                      </w:pPr>
                      <w:r>
                        <w:rPr>
                          <w:rFonts w:ascii="Arial" w:hAnsi="Arial" w:cs="Arial"/>
                          <w:color w:val="FFFFFF"/>
                        </w:rPr>
                        <w:t>Articles excluded (n=30)</w:t>
                      </w:r>
                    </w:p>
                  </w:txbxContent>
                </v:textbox>
                <w10:wrap anchorx="page" anchory="page"/>
              </v:roundrect>
            </w:pict>
          </mc:Fallback>
        </mc:AlternateContent>
      </w:r>
      <w:r>
        <w:rPr>
          <w:noProof/>
        </w:rPr>
        <mc:AlternateContent>
          <mc:Choice Requires="wps">
            <w:drawing>
              <wp:anchor distT="0" distB="0" distL="0" distR="0" simplePos="0" relativeHeight="44" behindDoc="0" locked="0" layoutInCell="1" allowOverlap="1" wp14:anchorId="565F4DEA" wp14:editId="2BE18C32">
                <wp:simplePos x="0" y="0"/>
                <wp:positionH relativeFrom="column">
                  <wp:posOffset>2465070</wp:posOffset>
                </wp:positionH>
                <wp:positionV relativeFrom="paragraph">
                  <wp:posOffset>15875</wp:posOffset>
                </wp:positionV>
                <wp:extent cx="127000" cy="725805"/>
                <wp:effectExtent l="3175" t="126365" r="0" b="118110"/>
                <wp:wrapNone/>
                <wp:docPr id="1062" name="106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4080000">
                          <a:off x="0" y="0"/>
                          <a:ext cx="127000" cy="725805"/>
                        </a:xfrm>
                        <a:prstGeom prst="upArrow">
                          <a:avLst>
                            <a:gd name="adj1" fmla="val 50000"/>
                            <a:gd name="adj2" fmla="val 49768"/>
                          </a:avLst>
                        </a:prstGeom>
                        <a:solidFill>
                          <a:srgbClr val="000000"/>
                        </a:solidFill>
                        <a:ln w="12700" cap="flat" cmpd="sng">
                          <a:solidFill>
                            <a:srgbClr val="000000"/>
                          </a:solidFill>
                          <a:prstDash val="solid"/>
                          <a:miter/>
                          <a:headEnd type="none" w="med" len="med"/>
                          <a:tailEnd type="none" w="med" len="med"/>
                        </a:ln>
                      </wps:spPr>
                      <wps:bodyPr>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 w14:anchorId="7CEF34DD" id="1064" o:spid="_x0000_s1026" type="#_x0000_t68" style="position:absolute;margin-left:194.1pt;margin-top:1.25pt;width:10pt;height:57.15pt;rotation:68;z-index:4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" adj="1881" fillcolor="black" strokeweight="1pt">
                <v:path arrowok="t"/>
              </v:shape>
            </w:pict>
          </mc:Fallback>
        </mc:AlternateContent>
      </w:r>
      <w:r>
        <w:rPr>
          <w:noProof/>
        </w:rPr>
        <mc:AlternateContent>
          <mc:Choice Requires="wps">
            <w:drawing>
              <wp:anchor distT="0" distB="0" distL="0" distR="0" simplePos="0" relativeHeight="39" behindDoc="0" locked="0" layoutInCell="1" allowOverlap="1" wp14:anchorId="3A175552" wp14:editId="2C3100CF">
                <wp:simplePos x="0" y="0"/>
                <wp:positionH relativeFrom="column">
                  <wp:posOffset>1327150</wp:posOffset>
                </wp:positionH>
                <wp:positionV relativeFrom="paragraph">
                  <wp:posOffset>53339</wp:posOffset>
                </wp:positionV>
                <wp:extent cx="165100" cy="146050"/>
                <wp:effectExtent l="31750" t="6985" r="31750" b="18415"/>
                <wp:wrapNone/>
                <wp:docPr id="1063" name="106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5100" cy="146050"/>
                        </a:xfrm>
                        <a:prstGeom prst="downArrow">
                          <a:avLst>
                            <a:gd name="adj1" fmla="val 50000"/>
                            <a:gd name="adj2" fmla="val 50000"/>
                          </a:avLst>
                        </a:prstGeom>
                        <a:solidFill>
                          <a:srgbClr val="000000"/>
                        </a:solidFill>
                        <a:ln w="12700" cap="flat" cmpd="sng">
                          <a:solidFill>
                            <a:srgbClr val="000000"/>
                          </a:solidFill>
                          <a:prstDash val="solid"/>
                          <a:miter/>
                          <a:headEnd type="none" w="med" len="med"/>
                          <a:tailEnd type="none" w="med" len="med"/>
                        </a:ln>
                      </wps:spPr>
                      <wps:bodyPr>
                        <a:prstTxWarp prst="textNoShape">
                          <a:avLst/>
                        </a:prstTxWarp>
                      </wps:bodyPr>
                    </wps:wsp>
                  </a:graphicData>
                </a:graphic>
                <wp14:sizeRelH relativeFrom="margin">
                  <wp14:pctWidth>0</wp14:pctWidth>
                </wp14:sizeRelH>
                <wp14:sizeRelV relativeFrom="margin">
                  <wp14:pctHeight>0</wp14:pctHeight>
                </wp14:sizeRelV>
              </wp:anchor>
            </w:drawing>
          </mc:Choice>
          <mc:Fallback xmlns:wpsCustomData="http://www.wps.cn/officeDocument/2013/wpsCustomData">
            <w:pict>
              <v:shape id="1063" type="#_x0000_t67" adj="10800,5400," fillcolor="black" style="position:absolute;margin-left:104.5pt;margin-top:4.2pt;width:13.0pt;height:11.5pt;z-index:39;mso-position-horizontal-relative:text;mso-position-vertical-relative:text;mso-width-percent:0;mso-height-percent:0;mso-width-relative:margin;mso-height-relative:margin;mso-wrap-distance-left:0.0pt;mso-wrap-distance-right:0.0pt;visibility:visible;">
                <v:stroke joinstyle="miter" weight="1.0pt"/>
                <v:fill/>
              </v:shape>
            </w:pict>
          </mc:Fallback>
        </mc:AlternateContent>
      </w:r>
      <w:r>
        <w:rPr>
          <w:noProof/>
        </w:rPr>
        <mc:AlternateContent>
          <mc:Choice Requires="wps">
            <w:drawing>
              <wp:anchor distT="0" distB="0" distL="0" distR="0" simplePos="0" relativeHeight="30" behindDoc="0" locked="0" layoutInCell="1" allowOverlap="1" wp14:anchorId="6EF8CCC1" wp14:editId="59D3F3DC">
                <wp:simplePos x="0" y="0"/>
                <wp:positionH relativeFrom="column">
                  <wp:posOffset>654050</wp:posOffset>
                </wp:positionH>
                <wp:positionV relativeFrom="paragraph">
                  <wp:posOffset>218440</wp:posOffset>
                </wp:positionV>
                <wp:extent cx="1473200" cy="546100"/>
                <wp:effectExtent l="6350" t="10160" r="6350" b="15240"/>
                <wp:wrapNone/>
                <wp:docPr id="1064" name="10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73200" cy="546100"/>
                        </a:xfrm>
                        <a:prstGeom prst="roundRect">
                          <a:avLst>
                            <a:gd name="adj" fmla="val 16667"/>
                          </a:avLst>
                        </a:prstGeom>
                        <a:solidFill>
                          <a:srgbClr val="4472C4"/>
                        </a:solidFill>
                        <a:ln w="12700" cap="flat" cmpd="sng">
                          <a:solidFill>
                            <a:srgbClr val="1C3053"/>
                          </a:solidFill>
                          <a:prstDash val="solid"/>
                          <a:miter/>
                          <a:headEnd type="none" w="med" len="med"/>
                          <a:tailEnd type="none" w="med" len="med"/>
                        </a:ln>
                      </wps:spPr>
                      <wps:txbx>
                        <w:txbxContent>
                          <w:p w14:paraId="6DD47808" w14:textId="77777777" w:rsidR="00E77831" w:rsidRDefault="00000000">
                            <w:pPr>
                              <w:jc w:val="center"/>
                              <w:rPr>
                                <w:rFonts w:ascii="Arial" w:hAnsi="Arial" w:cs="Arial"/>
                                <w:color w:val="FFFFFF"/>
                              </w:rPr>
                            </w:pPr>
                            <w:r>
                              <w:rPr>
                                <w:rFonts w:ascii="Arial" w:hAnsi="Arial" w:cs="Arial"/>
                                <w:color w:val="FFFFFF"/>
                              </w:rPr>
                              <w:t>Screening through abstracts (n=</w:t>
                            </w:r>
                            <w:proofErr w:type="gramStart"/>
                            <w:r>
                              <w:rPr>
                                <w:rFonts w:ascii="Arial" w:hAnsi="Arial" w:cs="Arial"/>
                                <w:color w:val="FFFFFF"/>
                              </w:rPr>
                              <w:t>70 )</w:t>
                            </w:r>
                            <w:proofErr w:type="gramEnd"/>
                          </w:p>
                        </w:txbxContent>
                      </wps:txbx>
                      <wps:bodyPr vert="horz" wrap="square" lIns="91440" tIns="45720" rIns="91440" bIns="45720" anchor="ctr" upright="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oundrect w14:anchorId="6EF8CCC1" id="1066" o:spid="_x0000_s1044" style="position:absolute;margin-left:51.5pt;margin-top:17.2pt;width:116pt;height:43pt;z-index:30;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" fillcolor="#4472c4" strokecolor="#1c3053" strokeweight="1pt">
                <v:stroke joinstyle="miter"/>
                <v:path arrowok="t"/>
                <v:textbox>
                  <w:txbxContent>
                    <w:p w14:paraId="6DD47808" w14:textId="77777777" w:rsidR="00E77831" w:rsidRDefault="00000000">
                      <w:pPr>
                        <w:jc w:val="center"/>
                        <w:rPr>
                          <w:rFonts w:ascii="Arial" w:hAnsi="Arial" w:cs="Arial"/>
                          <w:color w:val="FFFFFF"/>
                        </w:rPr>
                      </w:pPr>
                      <w:r>
                        <w:rPr>
                          <w:rFonts w:ascii="Arial" w:hAnsi="Arial" w:cs="Arial"/>
                          <w:color w:val="FFFFFF"/>
                        </w:rPr>
                        <w:t>Screening through abstracts (n=</w:t>
                      </w:r>
                      <w:proofErr w:type="gramStart"/>
                      <w:r>
                        <w:rPr>
                          <w:rFonts w:ascii="Arial" w:hAnsi="Arial" w:cs="Arial"/>
                          <w:color w:val="FFFFFF"/>
                        </w:rPr>
                        <w:t>70 )</w:t>
                      </w:r>
                      <w:proofErr w:type="gramEnd"/>
                    </w:p>
                  </w:txbxContent>
                </v:textbox>
              </v:roundrect>
            </w:pict>
          </mc:Fallback>
        </mc:AlternateContent>
      </w:r>
    </w:p>
    <w:p w14:paraId="3449E60F" w14:textId="1AE383BC" w:rsidR="00E77831" w:rsidRDefault="005A09BD">
      <w:pPr>
        <w:spacing w:line="360" w:lineRule="auto"/>
        <w:rPr>
          <w:rFonts w:ascii="Arial" w:hAnsi="Arial" w:cs="Arial"/>
          <w:b/>
          <w:bCs/>
          <w:sz w:val="24"/>
          <w:szCs w:val="24"/>
        </w:rPr>
      </w:pPr>
      <w:r>
        <w:rPr>
          <w:noProof/>
        </w:rPr>
        <mc:AlternateContent>
          <mc:Choice Requires="wps">
            <w:drawing>
              <wp:anchor distT="0" distB="0" distL="0" distR="0" simplePos="0" relativeHeight="34" behindDoc="0" locked="0" layoutInCell="1" allowOverlap="1" wp14:anchorId="333F208E" wp14:editId="4750DD72">
                <wp:simplePos x="0" y="0"/>
                <wp:positionH relativeFrom="page">
                  <wp:posOffset>3853815</wp:posOffset>
                </wp:positionH>
                <wp:positionV relativeFrom="page">
                  <wp:posOffset>5474335</wp:posOffset>
                </wp:positionV>
                <wp:extent cx="1473200" cy="644521"/>
                <wp:effectExtent l="9525" t="10795" r="12700" b="11430"/>
                <wp:wrapNone/>
                <wp:docPr id="1065" name="106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10800000" flipV="1">
                          <a:off x="0" y="0"/>
                          <a:ext cx="1473200" cy="644521"/>
                        </a:xfrm>
                        <a:prstGeom prst="roundRect">
                          <a:avLst>
                            <a:gd name="adj" fmla="val 16667"/>
                          </a:avLst>
                        </a:prstGeom>
                        <a:solidFill>
                          <a:srgbClr val="4472C4"/>
                        </a:solidFill>
                        <a:ln w="12700" cap="flat" cmpd="sng">
                          <a:solidFill>
                            <a:srgbClr val="1C3053"/>
                          </a:solidFill>
                          <a:prstDash val="solid"/>
                          <a:miter/>
                          <a:headEnd type="none" w="med" len="med"/>
                          <a:tailEnd type="none" w="med" len="med"/>
                        </a:ln>
                      </wps:spPr>
                      <wps:txbx>
                        <w:txbxContent>
                          <w:p w14:paraId="2B807F8F" w14:textId="77777777" w:rsidR="00E77831" w:rsidRDefault="00000000">
                            <w:pPr>
                              <w:jc w:val="center"/>
                              <w:rPr>
                                <w:rFonts w:ascii="Arial" w:hAnsi="Arial" w:cs="Arial"/>
                                <w:color w:val="FFFFFF"/>
                              </w:rPr>
                            </w:pPr>
                            <w:r>
                              <w:rPr>
                                <w:rFonts w:ascii="Arial" w:hAnsi="Arial" w:cs="Arial"/>
                                <w:color w:val="FFFFFF"/>
                              </w:rPr>
                              <w:t>Articles excluded with the reason given (n=</w:t>
                            </w:r>
                            <w:proofErr w:type="gramStart"/>
                            <w:r>
                              <w:rPr>
                                <w:rFonts w:ascii="Arial" w:hAnsi="Arial" w:cs="Arial"/>
                                <w:color w:val="FFFFFF"/>
                              </w:rPr>
                              <w:t>21 )</w:t>
                            </w:r>
                            <w:proofErr w:type="gramEnd"/>
                          </w:p>
                        </w:txbxContent>
                      </wps:txbx>
                      <wps:bodyPr vert="horz" wrap="square" lIns="91440" tIns="45720" rIns="91440" bIns="45720" anchor="ctr" upright="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oundrect w14:anchorId="333F208E" id="1067" o:spid="_x0000_s1045" style="position:absolute;margin-left:303.45pt;margin-top:431.05pt;width:116pt;height:50.75pt;rotation:180;flip:y;z-index:3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" fillcolor="#4472c4" strokecolor="#1c3053" strokeweight="1pt">
                <v:stroke joinstyle="miter"/>
                <v:path arrowok="t"/>
                <v:textbox>
                  <w:txbxContent>
                    <w:p w14:paraId="2B807F8F" w14:textId="77777777" w:rsidR="00E77831" w:rsidRDefault="00000000">
                      <w:pPr>
                        <w:jc w:val="center"/>
                        <w:rPr>
                          <w:rFonts w:ascii="Arial" w:hAnsi="Arial" w:cs="Arial"/>
                          <w:color w:val="FFFFFF"/>
                        </w:rPr>
                      </w:pPr>
                      <w:r>
                        <w:rPr>
                          <w:rFonts w:ascii="Arial" w:hAnsi="Arial" w:cs="Arial"/>
                          <w:color w:val="FFFFFF"/>
                        </w:rPr>
                        <w:t>Articles excluded with the reason given (n=</w:t>
                      </w:r>
                      <w:proofErr w:type="gramStart"/>
                      <w:r>
                        <w:rPr>
                          <w:rFonts w:ascii="Arial" w:hAnsi="Arial" w:cs="Arial"/>
                          <w:color w:val="FFFFFF"/>
                        </w:rPr>
                        <w:t>21 )</w:t>
                      </w:r>
                      <w:proofErr w:type="gramEnd"/>
                    </w:p>
                  </w:txbxContent>
                </v:textbox>
                <w10:wrap anchorx="page" anchory="page"/>
              </v:roundrect>
            </w:pict>
          </mc:Fallback>
        </mc:AlternateContent>
      </w:r>
    </w:p>
    <w:p w14:paraId="120BA15F" w14:textId="69632085" w:rsidR="00E77831" w:rsidRDefault="00000000">
      <w:pPr>
        <w:spacing w:line="360" w:lineRule="auto"/>
        <w:rPr>
          <w:rFonts w:ascii="Arial" w:hAnsi="Arial" w:cs="Arial"/>
          <w:b/>
          <w:bCs/>
          <w:sz w:val="24"/>
          <w:szCs w:val="24"/>
        </w:rPr>
      </w:pPr>
      <w:r>
        <w:rPr>
          <w:noProof/>
        </w:rPr>
        <mc:AlternateContent>
          <mc:Choice Requires="wps">
            <w:drawing>
              <wp:anchor distT="0" distB="0" distL="0" distR="0" simplePos="0" relativeHeight="45" behindDoc="0" locked="0" layoutInCell="1" allowOverlap="1" wp14:anchorId="3CBEF99C" wp14:editId="1B96CBBF">
                <wp:simplePos x="0" y="0"/>
                <wp:positionH relativeFrom="column">
                  <wp:posOffset>2469515</wp:posOffset>
                </wp:positionH>
                <wp:positionV relativeFrom="paragraph">
                  <wp:posOffset>146685</wp:posOffset>
                </wp:positionV>
                <wp:extent cx="130810" cy="581025"/>
                <wp:effectExtent l="5715" t="111760" r="0" b="100330"/>
                <wp:wrapNone/>
                <wp:docPr id="1066" name="106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3960000">
                          <a:off x="0" y="0"/>
                          <a:ext cx="130810" cy="581025"/>
                        </a:xfrm>
                        <a:prstGeom prst="upArrow">
                          <a:avLst>
                            <a:gd name="adj1" fmla="val 50000"/>
                            <a:gd name="adj2" fmla="val 49826"/>
                          </a:avLst>
                        </a:prstGeom>
                        <a:solidFill>
                          <a:srgbClr val="000000"/>
                        </a:solidFill>
                        <a:ln w="12700" cap="flat" cmpd="sng">
                          <a:solidFill>
                            <a:srgbClr val="000000"/>
                          </a:solidFill>
                          <a:prstDash val="solid"/>
                          <a:miter/>
                          <a:headEnd type="none" w="med" len="med"/>
                          <a:tailEnd type="none" w="med" len="med"/>
                        </a:ln>
                      </wps:spPr>
                      <wps:bodyPr>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 w14:anchorId="126B5D0F" id="1068" o:spid="_x0000_s1026" type="#_x0000_t68" style="position:absolute;margin-left:194.45pt;margin-top:11.55pt;width:10.3pt;height:45.75pt;rotation:66;z-index:45;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" adj="2423" fillcolor="black" strokeweight="1pt">
                <v:path arrowok="t"/>
              </v:shape>
            </w:pict>
          </mc:Fallback>
        </mc:AlternateContent>
      </w:r>
      <w:r>
        <w:rPr>
          <w:noProof/>
        </w:rPr>
        <mc:AlternateContent>
          <mc:Choice Requires="wps">
            <w:drawing>
              <wp:anchor distT="0" distB="0" distL="0" distR="0" simplePos="0" relativeHeight="40" behindDoc="0" locked="0" layoutInCell="1" allowOverlap="1" wp14:anchorId="4D057946" wp14:editId="660A43CD">
                <wp:simplePos x="0" y="0"/>
                <wp:positionH relativeFrom="column">
                  <wp:posOffset>1346200</wp:posOffset>
                </wp:positionH>
                <wp:positionV relativeFrom="paragraph">
                  <wp:posOffset>67310</wp:posOffset>
                </wp:positionV>
                <wp:extent cx="209550" cy="209550"/>
                <wp:effectExtent l="22225" t="6985" r="25400" b="21590"/>
                <wp:wrapNone/>
                <wp:docPr id="1067" name="106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9550" cy="209550"/>
                        </a:xfrm>
                        <a:prstGeom prst="downArrow">
                          <a:avLst>
                            <a:gd name="adj1" fmla="val 50000"/>
                            <a:gd name="adj2" fmla="val 50000"/>
                          </a:avLst>
                        </a:prstGeom>
                        <a:solidFill>
                          <a:srgbClr val="000000"/>
                        </a:solidFill>
                        <a:ln w="12700" cap="flat" cmpd="sng">
                          <a:solidFill>
                            <a:srgbClr val="000000"/>
                          </a:solidFill>
                          <a:prstDash val="solid"/>
                          <a:miter/>
                          <a:headEnd type="none" w="med" len="med"/>
                          <a:tailEnd type="none" w="med" len="med"/>
                        </a:ln>
                      </wps:spPr>
                      <wps:bodyPr>
                        <a:prstTxWarp prst="textNoShape">
                          <a:avLst/>
                        </a:prstTxWarp>
                      </wps:bodyPr>
                    </wps:wsp>
                  </a:graphicData>
                </a:graphic>
                <wp14:sizeRelH relativeFrom="page">
                  <wp14:pctWidth>0</wp14:pctWidth>
                </wp14:sizeRelH>
                <wp14:sizeRelV relativeFrom="page">
                  <wp14:pctHeight>0</wp14:pctHeight>
                </wp14:sizeRelV>
              </wp:anchor>
            </w:drawing>
          </mc:Choice>
          <mc:Fallback xmlns:wpsCustomData="http://www.wps.cn/officeDocument/2013/wpsCustomData">
            <w:pict>
              <v:shape id="1067" type="#_x0000_t67" adj="10800,5400," fillcolor="black" style="position:absolute;margin-left:106.0pt;margin-top:5.3pt;width:16.5pt;height:16.5pt;z-index:40;mso-position-horizontal-relative:text;mso-position-vertical-relative:text;mso-width-percent:0;mso-height-percent:0;mso-width-relative:page;mso-height-relative:page;mso-wrap-distance-left:0.0pt;mso-wrap-distance-right:0.0pt;visibility:visible;">
                <v:stroke joinstyle="miter" weight="1.0pt"/>
                <v:fill/>
              </v:shape>
            </w:pict>
          </mc:Fallback>
        </mc:AlternateContent>
      </w:r>
      <w:r>
        <w:rPr>
          <w:noProof/>
        </w:rPr>
        <mc:AlternateContent>
          <mc:Choice Requires="wps">
            <w:drawing>
              <wp:anchor distT="0" distB="0" distL="0" distR="0" simplePos="0" relativeHeight="31" behindDoc="0" locked="0" layoutInCell="1" allowOverlap="1" wp14:anchorId="32D7F35A" wp14:editId="219FA268">
                <wp:simplePos x="0" y="0"/>
                <wp:positionH relativeFrom="column">
                  <wp:posOffset>673100</wp:posOffset>
                </wp:positionH>
                <wp:positionV relativeFrom="paragraph">
                  <wp:posOffset>295910</wp:posOffset>
                </wp:positionV>
                <wp:extent cx="1473200" cy="501650"/>
                <wp:effectExtent l="6350" t="6985" r="6350" b="15240"/>
                <wp:wrapNone/>
                <wp:docPr id="1068" name="107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73200" cy="501650"/>
                        </a:xfrm>
                        <a:prstGeom prst="roundRect">
                          <a:avLst>
                            <a:gd name="adj" fmla="val 16667"/>
                          </a:avLst>
                        </a:prstGeom>
                        <a:solidFill>
                          <a:srgbClr val="4472C4"/>
                        </a:solidFill>
                        <a:ln w="12700" cap="flat" cmpd="sng">
                          <a:solidFill>
                            <a:srgbClr val="1C3053"/>
                          </a:solidFill>
                          <a:prstDash val="solid"/>
                          <a:miter/>
                          <a:headEnd type="none" w="med" len="med"/>
                          <a:tailEnd type="none" w="med" len="med"/>
                        </a:ln>
                      </wps:spPr>
                      <wps:txbx>
                        <w:txbxContent>
                          <w:p w14:paraId="503AA24F" w14:textId="77777777" w:rsidR="00E77831" w:rsidRDefault="00000000">
                            <w:pPr>
                              <w:jc w:val="center"/>
                              <w:rPr>
                                <w:rFonts w:ascii="Arial" w:hAnsi="Arial" w:cs="Arial"/>
                                <w:color w:val="FFFFFF"/>
                              </w:rPr>
                            </w:pPr>
                            <w:r>
                              <w:rPr>
                                <w:rFonts w:ascii="Arial" w:hAnsi="Arial" w:cs="Arial"/>
                                <w:color w:val="FFFFFF"/>
                              </w:rPr>
                              <w:t>Review of full article text (n=</w:t>
                            </w:r>
                            <w:proofErr w:type="gramStart"/>
                            <w:r>
                              <w:rPr>
                                <w:rFonts w:ascii="Arial" w:hAnsi="Arial" w:cs="Arial"/>
                                <w:color w:val="FFFFFF"/>
                              </w:rPr>
                              <w:t>40 )</w:t>
                            </w:r>
                            <w:proofErr w:type="gramEnd"/>
                          </w:p>
                        </w:txbxContent>
                      </wps:txbx>
                      <wps:bodyPr vert="horz" wrap="square" lIns="91440" tIns="45720" rIns="91440" bIns="45720" anchor="ctr" upright="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oundrect w14:anchorId="32D7F35A" id="1070" o:spid="_x0000_s1046" style="position:absolute;margin-left:53pt;margin-top:23.3pt;width:116pt;height:39.5pt;z-index:31;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" fillcolor="#4472c4" strokecolor="#1c3053" strokeweight="1pt">
                <v:stroke joinstyle="miter"/>
                <v:path arrowok="t"/>
                <v:textbox>
                  <w:txbxContent>
                    <w:p w14:paraId="503AA24F" w14:textId="77777777" w:rsidR="00E77831" w:rsidRDefault="00000000">
                      <w:pPr>
                        <w:jc w:val="center"/>
                        <w:rPr>
                          <w:rFonts w:ascii="Arial" w:hAnsi="Arial" w:cs="Arial"/>
                          <w:color w:val="FFFFFF"/>
                        </w:rPr>
                      </w:pPr>
                      <w:r>
                        <w:rPr>
                          <w:rFonts w:ascii="Arial" w:hAnsi="Arial" w:cs="Arial"/>
                          <w:color w:val="FFFFFF"/>
                        </w:rPr>
                        <w:t>Review of full article text (n=</w:t>
                      </w:r>
                      <w:proofErr w:type="gramStart"/>
                      <w:r>
                        <w:rPr>
                          <w:rFonts w:ascii="Arial" w:hAnsi="Arial" w:cs="Arial"/>
                          <w:color w:val="FFFFFF"/>
                        </w:rPr>
                        <w:t>40 )</w:t>
                      </w:r>
                      <w:proofErr w:type="gramEnd"/>
                    </w:p>
                  </w:txbxContent>
                </v:textbox>
              </v:roundrect>
            </w:pict>
          </mc:Fallback>
        </mc:AlternateContent>
      </w:r>
    </w:p>
    <w:p w14:paraId="633A7DC5" w14:textId="3AE7574A" w:rsidR="00E77831" w:rsidRDefault="00E77831">
      <w:pPr>
        <w:spacing w:line="360" w:lineRule="auto"/>
        <w:rPr>
          <w:rFonts w:ascii="Arial" w:hAnsi="Arial" w:cs="Arial"/>
          <w:b/>
          <w:bCs/>
          <w:sz w:val="24"/>
          <w:szCs w:val="24"/>
        </w:rPr>
      </w:pPr>
    </w:p>
    <w:p w14:paraId="55F7DA9D" w14:textId="56FE84CF" w:rsidR="00E77831" w:rsidRDefault="00000000">
      <w:pPr>
        <w:spacing w:line="360" w:lineRule="auto"/>
        <w:rPr>
          <w:rFonts w:ascii="Arial" w:hAnsi="Arial" w:cs="Arial"/>
          <w:b/>
          <w:bCs/>
          <w:sz w:val="24"/>
          <w:szCs w:val="24"/>
        </w:rPr>
      </w:pPr>
      <w:r>
        <w:rPr>
          <w:noProof/>
        </w:rPr>
        <mc:AlternateContent>
          <mc:Choice Requires="wps">
            <w:drawing>
              <wp:anchor distT="0" distB="0" distL="0" distR="0" simplePos="0" relativeHeight="46" behindDoc="0" locked="0" layoutInCell="1" allowOverlap="1" wp14:anchorId="04263A0A" wp14:editId="498D4555">
                <wp:simplePos x="0" y="0"/>
                <wp:positionH relativeFrom="column">
                  <wp:posOffset>3613150</wp:posOffset>
                </wp:positionH>
                <wp:positionV relativeFrom="paragraph">
                  <wp:posOffset>4445</wp:posOffset>
                </wp:positionV>
                <wp:extent cx="196850" cy="400685"/>
                <wp:effectExtent l="22225" t="6350" r="28575" b="21590"/>
                <wp:wrapNone/>
                <wp:docPr id="1069" name="107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6850" cy="400685"/>
                        </a:xfrm>
                        <a:prstGeom prst="downArrow">
                          <a:avLst>
                            <a:gd name="adj1" fmla="val 50000"/>
                            <a:gd name="adj2" fmla="val 49964"/>
                          </a:avLst>
                        </a:prstGeom>
                        <a:solidFill>
                          <a:srgbClr val="000000"/>
                        </a:solidFill>
                        <a:ln w="12700" cap="flat" cmpd="sng">
                          <a:solidFill>
                            <a:srgbClr val="000000"/>
                          </a:solidFill>
                          <a:prstDash val="solid"/>
                          <a:miter/>
                          <a:headEnd type="none" w="med" len="med"/>
                          <a:tailEnd type="none" w="med" len="med"/>
                        </a:ln>
                      </wps:spPr>
                      <wps:bodyPr>
                        <a:prstTxWarp prst="textNoShape">
                          <a:avLst/>
                        </a:prstTxWarp>
                      </wps:bodyPr>
                    </wps:wsp>
                  </a:graphicData>
                </a:graphic>
                <wp14:sizeRelH relativeFrom="page">
                  <wp14:pctWidth>0</wp14:pctWidth>
                </wp14:sizeRelH>
                <wp14:sizeRelV relativeFrom="page">
                  <wp14:pctHeight>0</wp14:pctHeight>
                </wp14:sizeRelV>
              </wp:anchor>
            </w:drawing>
          </mc:Choice>
          <mc:Fallback xmlns:wpsCustomData="http://www.wps.cn/officeDocument/2013/wpsCustomData">
            <w:pict>
              <v:shape id="1069" type="#_x0000_t67" adj="16298,5400," fillcolor="black" style="position:absolute;margin-left:284.5pt;margin-top:0.35pt;width:15.5pt;height:31.55pt;z-index:46;mso-position-horizontal-relative:text;mso-position-vertical-relative:text;mso-width-percent:0;mso-height-percent:0;mso-width-relative:page;mso-height-relative:page;mso-wrap-distance-left:0.0pt;mso-wrap-distance-right:0.0pt;visibility:visible;">
                <v:stroke joinstyle="miter" weight="1.0pt"/>
                <v:fill/>
              </v:shape>
            </w:pict>
          </mc:Fallback>
        </mc:AlternateContent>
      </w:r>
      <w:r>
        <w:rPr>
          <w:noProof/>
        </w:rPr>
        <mc:AlternateContent>
          <mc:Choice Requires="wps">
            <w:drawing>
              <wp:anchor distT="0" distB="0" distL="0" distR="0" simplePos="0" relativeHeight="41" behindDoc="0" locked="0" layoutInCell="1" allowOverlap="1" wp14:anchorId="4BA9B475" wp14:editId="487CB988">
                <wp:simplePos x="0" y="0"/>
                <wp:positionH relativeFrom="column">
                  <wp:posOffset>1301750</wp:posOffset>
                </wp:positionH>
                <wp:positionV relativeFrom="paragraph">
                  <wp:posOffset>113030</wp:posOffset>
                </wp:positionV>
                <wp:extent cx="203200" cy="285750"/>
                <wp:effectExtent l="25400" t="10160" r="28575" b="18415"/>
                <wp:wrapNone/>
                <wp:docPr id="1070" name="10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3200" cy="285750"/>
                        </a:xfrm>
                        <a:prstGeom prst="downArrow">
                          <a:avLst>
                            <a:gd name="adj1" fmla="val 50000"/>
                            <a:gd name="adj2" fmla="val 50000"/>
                          </a:avLst>
                        </a:prstGeom>
                        <a:solidFill>
                          <a:srgbClr val="000000"/>
                        </a:solidFill>
                        <a:ln w="12700" cap="flat" cmpd="sng">
                          <a:solidFill>
                            <a:srgbClr val="000000"/>
                          </a:solidFill>
                          <a:prstDash val="solid"/>
                          <a:miter/>
                          <a:headEnd type="none" w="med" len="med"/>
                          <a:tailEnd type="none" w="med" len="med"/>
                        </a:ln>
                      </wps:spPr>
                      <wps:bodyPr>
                        <a:prstTxWarp prst="textNoShape">
                          <a:avLst/>
                        </a:prstTxWarp>
                      </wps:bodyPr>
                    </wps:wsp>
                  </a:graphicData>
                </a:graphic>
                <wp14:sizeRelH relativeFrom="page">
                  <wp14:pctWidth>0</wp14:pctWidth>
                </wp14:sizeRelH>
                <wp14:sizeRelV relativeFrom="page">
                  <wp14:pctHeight>0</wp14:pctHeight>
                </wp14:sizeRelV>
              </wp:anchor>
            </w:drawing>
          </mc:Choice>
          <mc:Fallback xmlns:wpsCustomData="http://www.wps.cn/officeDocument/2013/wpsCustomData">
            <w:pict>
              <v:shape id="1070" type="#_x0000_t67" adj="13920,5400," fillcolor="black" style="position:absolute;margin-left:102.5pt;margin-top:8.9pt;width:16.0pt;height:22.5pt;z-index:41;mso-position-horizontal-relative:text;mso-position-vertical-relative:text;mso-width-percent:0;mso-height-percent:0;mso-width-relative:page;mso-height-relative:page;mso-wrap-distance-left:0.0pt;mso-wrap-distance-right:0.0pt;visibility:visible;">
                <v:stroke joinstyle="miter" weight="1.0pt"/>
                <v:fill/>
              </v:shape>
            </w:pict>
          </mc:Fallback>
        </mc:AlternateContent>
      </w:r>
      <w:r>
        <w:rPr>
          <w:noProof/>
        </w:rPr>
        <mc:AlternateContent>
          <mc:Choice Requires="wps">
            <w:drawing>
              <wp:anchor distT="0" distB="0" distL="0" distR="0" simplePos="0" relativeHeight="33" behindDoc="0" locked="0" layoutInCell="1" allowOverlap="1" wp14:anchorId="73E665C1" wp14:editId="68DA84A9">
                <wp:simplePos x="0" y="0"/>
                <wp:positionH relativeFrom="page">
                  <wp:posOffset>3837940</wp:posOffset>
                </wp:positionH>
                <wp:positionV relativeFrom="page">
                  <wp:posOffset>11014075</wp:posOffset>
                </wp:positionV>
                <wp:extent cx="2016759" cy="2721610"/>
                <wp:effectExtent l="8890" t="12700" r="12700" b="8890"/>
                <wp:wrapNone/>
                <wp:docPr id="1071" name="107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16759" cy="2721610"/>
                        </a:xfrm>
                        <a:prstGeom prst="roundRect">
                          <a:avLst>
                            <a:gd name="adj" fmla="val 16667"/>
                          </a:avLst>
                        </a:prstGeom>
                        <a:solidFill>
                          <a:srgbClr val="4472C4"/>
                        </a:solidFill>
                        <a:ln w="12700" cap="flat" cmpd="sng">
                          <a:solidFill>
                            <a:srgbClr val="1C3053"/>
                          </a:solidFill>
                          <a:prstDash val="solid"/>
                          <a:miter/>
                          <a:headEnd type="none" w="med" len="med"/>
                          <a:tailEnd type="none" w="med" len="med"/>
                        </a:ln>
                      </wps:spPr>
                      <wps:txbx>
                        <w:txbxContent>
                          <w:p w14:paraId="445810BC" w14:textId="77777777" w:rsidR="00E77831" w:rsidRDefault="00000000">
                            <w:pPr>
                              <w:jc w:val="center"/>
                              <w:rPr>
                                <w:rFonts w:ascii="Arial" w:hAnsi="Arial" w:cs="Arial"/>
                              </w:rPr>
                            </w:pPr>
                            <w:r>
                              <w:rPr>
                                <w:rFonts w:ascii="Arial" w:hAnsi="Arial" w:cs="Arial"/>
                              </w:rPr>
                              <w:t>Why exclusion:</w:t>
                            </w:r>
                          </w:p>
                          <w:p w14:paraId="0186CEF2" w14:textId="77777777" w:rsidR="00E77831" w:rsidRDefault="00000000">
                            <w:pPr>
                              <w:rPr>
                                <w:rFonts w:ascii="Arial" w:hAnsi="Arial" w:cs="Arial"/>
                              </w:rPr>
                            </w:pPr>
                            <w:r>
                              <w:rPr>
                                <w:rFonts w:ascii="Arial" w:hAnsi="Arial" w:cs="Arial"/>
                              </w:rPr>
                              <w:t xml:space="preserve">- It provides the </w:t>
                            </w:r>
                            <w:proofErr w:type="gramStart"/>
                            <w:r>
                              <w:rPr>
                                <w:rFonts w:ascii="Arial" w:hAnsi="Arial" w:cs="Arial"/>
                              </w:rPr>
                              <w:t>Non- UK</w:t>
                            </w:r>
                            <w:proofErr w:type="gramEnd"/>
                            <w:r>
                              <w:rPr>
                                <w:rFonts w:ascii="Arial" w:hAnsi="Arial" w:cs="Arial"/>
                              </w:rPr>
                              <w:t xml:space="preserve"> information.</w:t>
                            </w:r>
                          </w:p>
                          <w:p w14:paraId="2BBDDACE" w14:textId="77777777" w:rsidR="00E77831" w:rsidRDefault="00000000">
                            <w:pPr>
                              <w:rPr>
                                <w:rFonts w:ascii="Arial" w:hAnsi="Arial" w:cs="Arial"/>
                              </w:rPr>
                            </w:pPr>
                            <w:r>
                              <w:rPr>
                                <w:rFonts w:ascii="Arial" w:hAnsi="Arial" w:cs="Arial"/>
                              </w:rPr>
                              <w:t>- It provides non - relevant information to the research questions.</w:t>
                            </w:r>
                          </w:p>
                          <w:p w14:paraId="2D7FCFDA" w14:textId="77777777" w:rsidR="00E77831" w:rsidRDefault="00E77831">
                            <w:pPr>
                              <w:rPr>
                                <w:rFonts w:ascii="Arial" w:hAnsi="Arial" w:cs="Arial"/>
                              </w:rPr>
                            </w:pPr>
                          </w:p>
                        </w:txbxContent>
                      </wps:txbx>
                      <wps:bodyPr vert="horz" wrap="square" lIns="91440" tIns="45720" rIns="91440" bIns="45720" anchor="ctr" upright="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oundrect w14:anchorId="73E665C1" id="1073" o:spid="_x0000_s1047" style="position:absolute;margin-left:302.2pt;margin-top:867.25pt;width:158.8pt;height:214.3pt;z-index:3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" fillcolor="#4472c4" strokecolor="#1c3053" strokeweight="1pt">
                <v:stroke joinstyle="miter"/>
                <v:path arrowok="t"/>
                <v:textbox>
                  <w:txbxContent>
                    <w:p w14:paraId="445810BC" w14:textId="77777777" w:rsidR="00E77831" w:rsidRDefault="00000000">
                      <w:pPr>
                        <w:jc w:val="center"/>
                        <w:rPr>
                          <w:rFonts w:ascii="Arial" w:hAnsi="Arial" w:cs="Arial"/>
                        </w:rPr>
                      </w:pPr>
                      <w:r>
                        <w:rPr>
                          <w:rFonts w:ascii="Arial" w:hAnsi="Arial" w:cs="Arial"/>
                        </w:rPr>
                        <w:t>Why exclusion:</w:t>
                      </w:r>
                    </w:p>
                    <w:p w14:paraId="0186CEF2" w14:textId="77777777" w:rsidR="00E77831" w:rsidRDefault="00000000">
                      <w:pPr>
                        <w:rPr>
                          <w:rFonts w:ascii="Arial" w:hAnsi="Arial" w:cs="Arial"/>
                        </w:rPr>
                      </w:pPr>
                      <w:r>
                        <w:rPr>
                          <w:rFonts w:ascii="Arial" w:hAnsi="Arial" w:cs="Arial"/>
                        </w:rPr>
                        <w:t xml:space="preserve">- It provides the </w:t>
                      </w:r>
                      <w:proofErr w:type="gramStart"/>
                      <w:r>
                        <w:rPr>
                          <w:rFonts w:ascii="Arial" w:hAnsi="Arial" w:cs="Arial"/>
                        </w:rPr>
                        <w:t>Non- UK</w:t>
                      </w:r>
                      <w:proofErr w:type="gramEnd"/>
                      <w:r>
                        <w:rPr>
                          <w:rFonts w:ascii="Arial" w:hAnsi="Arial" w:cs="Arial"/>
                        </w:rPr>
                        <w:t xml:space="preserve"> information.</w:t>
                      </w:r>
                    </w:p>
                    <w:p w14:paraId="2BBDDACE" w14:textId="77777777" w:rsidR="00E77831" w:rsidRDefault="00000000">
                      <w:pPr>
                        <w:rPr>
                          <w:rFonts w:ascii="Arial" w:hAnsi="Arial" w:cs="Arial"/>
                        </w:rPr>
                      </w:pPr>
                      <w:r>
                        <w:rPr>
                          <w:rFonts w:ascii="Arial" w:hAnsi="Arial" w:cs="Arial"/>
                        </w:rPr>
                        <w:t>- It provides non - relevant information to the research questions.</w:t>
                      </w:r>
                    </w:p>
                    <w:p w14:paraId="2D7FCFDA" w14:textId="77777777" w:rsidR="00E77831" w:rsidRDefault="00E77831">
                      <w:pPr>
                        <w:rPr>
                          <w:rFonts w:ascii="Arial" w:hAnsi="Arial" w:cs="Arial"/>
                        </w:rPr>
                      </w:pPr>
                    </w:p>
                  </w:txbxContent>
                </v:textbox>
                <w10:wrap anchorx="page" anchory="page"/>
              </v:roundrect>
            </w:pict>
          </mc:Fallback>
        </mc:AlternateContent>
      </w:r>
    </w:p>
    <w:p w14:paraId="208A9007" w14:textId="0566FE4F" w:rsidR="00E77831" w:rsidRDefault="00000000">
      <w:pPr>
        <w:spacing w:line="360" w:lineRule="auto"/>
        <w:rPr>
          <w:rFonts w:ascii="Arial" w:hAnsi="Arial" w:cs="Arial"/>
          <w:b/>
          <w:bCs/>
          <w:sz w:val="24"/>
          <w:szCs w:val="24"/>
        </w:rPr>
      </w:pPr>
      <w:r>
        <w:rPr>
          <w:noProof/>
        </w:rPr>
        <mc:AlternateContent>
          <mc:Choice Requires="wps">
            <w:drawing>
              <wp:anchor distT="0" distB="0" distL="0" distR="0" simplePos="0" relativeHeight="47" behindDoc="0" locked="0" layoutInCell="1" allowOverlap="1" wp14:anchorId="222048CC" wp14:editId="4B95882F">
                <wp:simplePos x="0" y="0"/>
                <wp:positionH relativeFrom="column">
                  <wp:posOffset>3016250</wp:posOffset>
                </wp:positionH>
                <wp:positionV relativeFrom="paragraph">
                  <wp:posOffset>125730</wp:posOffset>
                </wp:positionV>
                <wp:extent cx="1663700" cy="933450"/>
                <wp:effectExtent l="6350" t="6350" r="6350" b="12700"/>
                <wp:wrapNone/>
                <wp:docPr id="1072" name="107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63700" cy="933450"/>
                        </a:xfrm>
                        <a:prstGeom prst="roundRect">
                          <a:avLst>
                            <a:gd name="adj" fmla="val 16667"/>
                          </a:avLst>
                        </a:prstGeom>
                        <a:solidFill>
                          <a:srgbClr val="4472C4"/>
                        </a:solidFill>
                        <a:ln w="12700" cap="flat" cmpd="sng">
                          <a:solidFill>
                            <a:srgbClr val="1C3053"/>
                          </a:solidFill>
                          <a:prstDash val="solid"/>
                          <a:miter/>
                          <a:headEnd type="none" w="med" len="med"/>
                          <a:tailEnd type="none" w="med" len="med"/>
                        </a:ln>
                      </wps:spPr>
                      <wps:txbx>
                        <w:txbxContent>
                          <w:p w14:paraId="42D9AEFF" w14:textId="77777777" w:rsidR="00E77831" w:rsidRDefault="00000000">
                            <w:pPr>
                              <w:jc w:val="center"/>
                              <w:rPr>
                                <w:rFonts w:ascii="Arial" w:hAnsi="Arial" w:cs="Arial"/>
                                <w:color w:val="FFFFFF"/>
                              </w:rPr>
                            </w:pPr>
                            <w:r>
                              <w:rPr>
                                <w:rFonts w:ascii="Arial" w:hAnsi="Arial" w:cs="Arial"/>
                                <w:color w:val="FFFFFF"/>
                              </w:rPr>
                              <w:t xml:space="preserve">Non-UK information </w:t>
                            </w:r>
                          </w:p>
                          <w:p w14:paraId="341B4E9B" w14:textId="77777777" w:rsidR="00E77831" w:rsidRDefault="00000000">
                            <w:pPr>
                              <w:jc w:val="center"/>
                              <w:rPr>
                                <w:rFonts w:ascii="Arial" w:hAnsi="Arial" w:cs="Arial"/>
                                <w:color w:val="FFFFFF"/>
                              </w:rPr>
                            </w:pPr>
                            <w:r>
                              <w:rPr>
                                <w:rFonts w:ascii="Arial" w:hAnsi="Arial" w:cs="Arial"/>
                                <w:color w:val="FFFFFF"/>
                              </w:rPr>
                              <w:t xml:space="preserve">Non - Relevant to the Research Questions </w:t>
                            </w:r>
                          </w:p>
                        </w:txbxContent>
                      </wps:txbx>
                      <wps:bodyPr vert="horz" wrap="square" lIns="91440" tIns="45720" rIns="91440" bIns="45720" anchor="ctr" upright="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22048CC" id="1074" o:spid="_x0000_s1048" style="position:absolute;margin-left:237.5pt;margin-top:9.9pt;width:131pt;height:73.5pt;z-index:47;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" fillcolor="#4472c4" strokecolor="#1c3053" strokeweight="1pt">
                <v:stroke joinstyle="miter"/>
                <v:path arrowok="t"/>
                <v:textbox>
                  <w:txbxContent>
                    <w:p w14:paraId="42D9AEFF" w14:textId="77777777" w:rsidR="00E77831" w:rsidRDefault="00000000">
                      <w:pPr>
                        <w:jc w:val="center"/>
                        <w:rPr>
                          <w:rFonts w:ascii="Arial" w:hAnsi="Arial" w:cs="Arial"/>
                          <w:color w:val="FFFFFF"/>
                        </w:rPr>
                      </w:pPr>
                      <w:r>
                        <w:rPr>
                          <w:rFonts w:ascii="Arial" w:hAnsi="Arial" w:cs="Arial"/>
                          <w:color w:val="FFFFFF"/>
                        </w:rPr>
                        <w:t xml:space="preserve">Non-UK information </w:t>
                      </w:r>
                    </w:p>
                    <w:p w14:paraId="341B4E9B" w14:textId="77777777" w:rsidR="00E77831" w:rsidRDefault="00000000">
                      <w:pPr>
                        <w:jc w:val="center"/>
                        <w:rPr>
                          <w:rFonts w:ascii="Arial" w:hAnsi="Arial" w:cs="Arial"/>
                          <w:color w:val="FFFFFF"/>
                        </w:rPr>
                      </w:pPr>
                      <w:r>
                        <w:rPr>
                          <w:rFonts w:ascii="Arial" w:hAnsi="Arial" w:cs="Arial"/>
                          <w:color w:val="FFFFFF"/>
                        </w:rPr>
                        <w:t xml:space="preserve">Non - Relevant to the Research Questions </w:t>
                      </w:r>
                    </w:p>
                  </w:txbxContent>
                </v:textbox>
              </v:roundrect>
            </w:pict>
          </mc:Fallback>
        </mc:AlternateContent>
      </w:r>
      <w:r>
        <w:rPr>
          <w:noProof/>
        </w:rPr>
        <mc:AlternateContent>
          <mc:Choice Requires="wps">
            <w:drawing>
              <wp:anchor distT="0" distB="0" distL="0" distR="0" simplePos="0" relativeHeight="32" behindDoc="0" locked="0" layoutInCell="1" allowOverlap="1" wp14:anchorId="42965741" wp14:editId="1C9E2CD6">
                <wp:simplePos x="0" y="0"/>
                <wp:positionH relativeFrom="column">
                  <wp:posOffset>660400</wp:posOffset>
                </wp:positionH>
                <wp:positionV relativeFrom="paragraph">
                  <wp:posOffset>72390</wp:posOffset>
                </wp:positionV>
                <wp:extent cx="1473200" cy="761999"/>
                <wp:effectExtent l="12700" t="10160" r="9525" b="8890"/>
                <wp:wrapNone/>
                <wp:docPr id="1073" name="107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73200" cy="761999"/>
                        </a:xfrm>
                        <a:prstGeom prst="roundRect">
                          <a:avLst>
                            <a:gd name="adj" fmla="val 16667"/>
                          </a:avLst>
                        </a:prstGeom>
                        <a:solidFill>
                          <a:srgbClr val="4472C4"/>
                        </a:solidFill>
                        <a:ln w="12700" cap="flat" cmpd="sng">
                          <a:solidFill>
                            <a:srgbClr val="1C3053"/>
                          </a:solidFill>
                          <a:prstDash val="solid"/>
                          <a:miter/>
                          <a:headEnd type="none" w="med" len="med"/>
                          <a:tailEnd type="none" w="med" len="med"/>
                        </a:ln>
                      </wps:spPr>
                      <wps:txbx>
                        <w:txbxContent>
                          <w:p w14:paraId="162365DE" w14:textId="77777777" w:rsidR="00E77831" w:rsidRDefault="00000000">
                            <w:pPr>
                              <w:jc w:val="center"/>
                              <w:rPr>
                                <w:rFonts w:ascii="Arial" w:hAnsi="Arial" w:cs="Arial"/>
                                <w:color w:val="FFFFFF"/>
                              </w:rPr>
                            </w:pPr>
                            <w:r>
                              <w:rPr>
                                <w:rFonts w:ascii="Arial" w:hAnsi="Arial" w:cs="Arial"/>
                                <w:color w:val="FFFFFF"/>
                              </w:rPr>
                              <w:t>Articles used in the conceptual framework (n=</w:t>
                            </w:r>
                            <w:proofErr w:type="gramStart"/>
                            <w:r>
                              <w:rPr>
                                <w:rFonts w:ascii="Arial" w:hAnsi="Arial" w:cs="Arial"/>
                                <w:color w:val="FFFFFF"/>
                              </w:rPr>
                              <w:t>19 )</w:t>
                            </w:r>
                            <w:proofErr w:type="gramEnd"/>
                            <w:r>
                              <w:rPr>
                                <w:rFonts w:ascii="Arial" w:hAnsi="Arial" w:cs="Arial"/>
                                <w:color w:val="FFFFFF"/>
                              </w:rPr>
                              <w:t xml:space="preserve"> </w:t>
                            </w:r>
                          </w:p>
                        </w:txbxContent>
                      </wps:txbx>
                      <wps:bodyPr vert="horz" wrap="square" lIns="91440" tIns="45720" rIns="91440" bIns="45720" anchor="ctr" upright="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oundrect w14:anchorId="42965741" id="1075" o:spid="_x0000_s1049" style="position:absolute;margin-left:52pt;margin-top:5.7pt;width:116pt;height:60pt;z-index:32;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" fillcolor="#4472c4" strokecolor="#1c3053" strokeweight="1pt">
                <v:stroke joinstyle="miter"/>
                <v:path arrowok="t"/>
                <v:textbox>
                  <w:txbxContent>
                    <w:p w14:paraId="162365DE" w14:textId="77777777" w:rsidR="00E77831" w:rsidRDefault="00000000">
                      <w:pPr>
                        <w:jc w:val="center"/>
                        <w:rPr>
                          <w:rFonts w:ascii="Arial" w:hAnsi="Arial" w:cs="Arial"/>
                          <w:color w:val="FFFFFF"/>
                        </w:rPr>
                      </w:pPr>
                      <w:r>
                        <w:rPr>
                          <w:rFonts w:ascii="Arial" w:hAnsi="Arial" w:cs="Arial"/>
                          <w:color w:val="FFFFFF"/>
                        </w:rPr>
                        <w:t>Articles used in the conceptual framework (n=</w:t>
                      </w:r>
                      <w:proofErr w:type="gramStart"/>
                      <w:r>
                        <w:rPr>
                          <w:rFonts w:ascii="Arial" w:hAnsi="Arial" w:cs="Arial"/>
                          <w:color w:val="FFFFFF"/>
                        </w:rPr>
                        <w:t>19 )</w:t>
                      </w:r>
                      <w:proofErr w:type="gramEnd"/>
                      <w:r>
                        <w:rPr>
                          <w:rFonts w:ascii="Arial" w:hAnsi="Arial" w:cs="Arial"/>
                          <w:color w:val="FFFFFF"/>
                        </w:rPr>
                        <w:t xml:space="preserve"> </w:t>
                      </w:r>
                    </w:p>
                  </w:txbxContent>
                </v:textbox>
              </v:roundrect>
            </w:pict>
          </mc:Fallback>
        </mc:AlternateContent>
      </w:r>
    </w:p>
    <w:p w14:paraId="7EC431F5" w14:textId="77777777" w:rsidR="00E77831" w:rsidRDefault="00E77831">
      <w:pPr>
        <w:spacing w:line="360" w:lineRule="auto"/>
        <w:rPr>
          <w:rFonts w:ascii="Arial" w:hAnsi="Arial" w:cs="Arial"/>
          <w:b/>
          <w:bCs/>
          <w:sz w:val="24"/>
          <w:szCs w:val="24"/>
        </w:rPr>
      </w:pPr>
    </w:p>
    <w:p w14:paraId="47BD86E7" w14:textId="77777777" w:rsidR="00E77831" w:rsidRDefault="00E77831">
      <w:pPr>
        <w:spacing w:line="360" w:lineRule="auto"/>
        <w:rPr>
          <w:rFonts w:ascii="Arial" w:hAnsi="Arial" w:cs="Arial"/>
          <w:b/>
          <w:bCs/>
          <w:sz w:val="24"/>
          <w:szCs w:val="24"/>
        </w:rPr>
      </w:pPr>
    </w:p>
    <w:p w14:paraId="4CED3258" w14:textId="77777777" w:rsidR="00E77831" w:rsidRDefault="00E77831">
      <w:pPr>
        <w:spacing w:line="360" w:lineRule="auto"/>
        <w:rPr>
          <w:rFonts w:ascii="Arial" w:hAnsi="Arial" w:cs="Arial"/>
          <w:b/>
          <w:bCs/>
          <w:sz w:val="24"/>
          <w:szCs w:val="24"/>
        </w:rPr>
      </w:pPr>
    </w:p>
    <w:p w14:paraId="42B13F6C" w14:textId="364E201E" w:rsidR="00E77831" w:rsidRDefault="00000000">
      <w:pPr>
        <w:spacing w:line="360" w:lineRule="auto"/>
        <w:rPr>
          <w:rFonts w:ascii="Arial" w:hAnsi="Arial" w:cs="Arial"/>
          <w:b/>
          <w:bCs/>
          <w:sz w:val="28"/>
          <w:szCs w:val="28"/>
        </w:rPr>
      </w:pPr>
      <w:r>
        <w:rPr>
          <w:rFonts w:ascii="Arial" w:hAnsi="Arial" w:cs="Arial"/>
          <w:b/>
          <w:bCs/>
          <w:sz w:val="28"/>
          <w:szCs w:val="28"/>
        </w:rPr>
        <w:t>3.3.</w:t>
      </w:r>
      <w:r w:rsidR="00733FCF">
        <w:rPr>
          <w:rFonts w:ascii="Arial" w:hAnsi="Arial" w:cs="Arial"/>
          <w:b/>
          <w:bCs/>
          <w:sz w:val="28"/>
          <w:szCs w:val="28"/>
        </w:rPr>
        <w:t>2</w:t>
      </w:r>
      <w:r>
        <w:rPr>
          <w:rFonts w:ascii="Arial" w:hAnsi="Arial" w:cs="Arial"/>
          <w:b/>
          <w:bCs/>
          <w:sz w:val="28"/>
          <w:szCs w:val="28"/>
        </w:rPr>
        <w:t xml:space="preserve"> - Selection of journals</w:t>
      </w:r>
      <w:r w:rsidR="00733FCF">
        <w:rPr>
          <w:rFonts w:ascii="Arial" w:hAnsi="Arial" w:cs="Arial"/>
          <w:b/>
          <w:bCs/>
          <w:sz w:val="28"/>
          <w:szCs w:val="28"/>
        </w:rPr>
        <w:t>:</w:t>
      </w:r>
      <w:r>
        <w:rPr>
          <w:rFonts w:ascii="Arial" w:hAnsi="Arial" w:cs="Arial"/>
          <w:b/>
          <w:bCs/>
          <w:sz w:val="28"/>
          <w:szCs w:val="28"/>
        </w:rPr>
        <w:t xml:space="preserve"> </w:t>
      </w:r>
    </w:p>
    <w:p w14:paraId="24DAE9D4" w14:textId="77777777" w:rsidR="00E77831" w:rsidRDefault="00000000">
      <w:pPr>
        <w:spacing w:line="360" w:lineRule="auto"/>
        <w:rPr>
          <w:rFonts w:ascii="Arial" w:hAnsi="Arial" w:cs="Arial"/>
          <w:sz w:val="24"/>
          <w:szCs w:val="24"/>
        </w:rPr>
      </w:pPr>
      <w:r>
        <w:rPr>
          <w:rFonts w:ascii="Arial" w:hAnsi="Arial" w:cs="Arial"/>
          <w:sz w:val="24"/>
          <w:szCs w:val="24"/>
        </w:rPr>
        <w:t>The following are the selected journals in this dissertation which provide an important aspect in answering the research questions.</w:t>
      </w:r>
    </w:p>
    <w:p w14:paraId="7D492A73" w14:textId="77777777" w:rsidR="00E77831" w:rsidRPr="00733FCF" w:rsidRDefault="00000000">
      <w:pPr>
        <w:spacing w:line="360" w:lineRule="auto"/>
        <w:rPr>
          <w:rFonts w:ascii="Arial" w:hAnsi="Arial" w:cs="Arial"/>
          <w:b/>
          <w:bCs/>
          <w:sz w:val="24"/>
          <w:szCs w:val="24"/>
        </w:rPr>
      </w:pPr>
      <w:r w:rsidRPr="00733FCF">
        <w:rPr>
          <w:rFonts w:ascii="Arial" w:hAnsi="Arial" w:cs="Arial"/>
          <w:b/>
          <w:bCs/>
          <w:sz w:val="24"/>
          <w:szCs w:val="24"/>
        </w:rPr>
        <w:lastRenderedPageBreak/>
        <w:t>Table 4:</w:t>
      </w:r>
    </w:p>
    <w:tbl>
      <w:tblPr>
        <w:tblStyle w:val="TableGrid"/>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6295"/>
      </w:tblGrid>
      <w:tr w:rsidR="00E77831" w14:paraId="2B9A49F7" w14:textId="77777777">
        <w:tc>
          <w:tcPr>
            <w:tcW w:w="6295" w:type="dxa"/>
            <w:tcBorders>
              <w:top w:val="single" w:sz="4" w:space="0" w:color="auto"/>
              <w:left w:val="single" w:sz="4" w:space="0" w:color="auto"/>
              <w:bottom w:val="single" w:sz="4" w:space="0" w:color="auto"/>
              <w:right w:val="single" w:sz="4" w:space="0" w:color="auto"/>
            </w:tcBorders>
          </w:tcPr>
          <w:p w14:paraId="7AEE8612" w14:textId="77777777" w:rsidR="00E77831" w:rsidRDefault="00000000">
            <w:pPr>
              <w:spacing w:line="360" w:lineRule="auto"/>
              <w:rPr>
                <w:rFonts w:ascii="Arial" w:hAnsi="Arial" w:cs="Arial"/>
                <w:b/>
                <w:bCs/>
                <w:sz w:val="24"/>
                <w:szCs w:val="24"/>
              </w:rPr>
            </w:pPr>
            <w:r>
              <w:rPr>
                <w:rFonts w:ascii="Arial" w:hAnsi="Arial" w:cs="Arial"/>
                <w:sz w:val="24"/>
                <w:szCs w:val="24"/>
              </w:rPr>
              <w:t xml:space="preserve">        </w:t>
            </w:r>
            <w:r>
              <w:rPr>
                <w:rFonts w:ascii="Arial" w:hAnsi="Arial" w:cs="Arial"/>
                <w:b/>
                <w:bCs/>
                <w:sz w:val="24"/>
                <w:szCs w:val="24"/>
              </w:rPr>
              <w:t xml:space="preserve">Journals </w:t>
            </w:r>
          </w:p>
        </w:tc>
      </w:tr>
      <w:tr w:rsidR="00E77831" w14:paraId="3F5D59E5" w14:textId="77777777">
        <w:trPr>
          <w:trHeight w:val="1790"/>
        </w:trPr>
        <w:tc>
          <w:tcPr>
            <w:tcW w:w="6295" w:type="dxa"/>
            <w:tcBorders>
              <w:top w:val="single" w:sz="4" w:space="0" w:color="auto"/>
              <w:left w:val="single" w:sz="4" w:space="0" w:color="auto"/>
              <w:bottom w:val="single" w:sz="4" w:space="0" w:color="auto"/>
              <w:right w:val="single" w:sz="4" w:space="0" w:color="auto"/>
            </w:tcBorders>
          </w:tcPr>
          <w:p w14:paraId="59145216" w14:textId="77777777" w:rsidR="00E77831" w:rsidRDefault="00000000">
            <w:pPr>
              <w:spacing w:line="360" w:lineRule="auto"/>
              <w:rPr>
                <w:rFonts w:ascii="Arial" w:hAnsi="Arial" w:cs="Arial"/>
                <w:sz w:val="24"/>
                <w:szCs w:val="24"/>
              </w:rPr>
            </w:pPr>
            <w:r>
              <w:rPr>
                <w:rFonts w:ascii="Arial" w:hAnsi="Arial" w:cs="Arial"/>
                <w:sz w:val="24"/>
                <w:szCs w:val="24"/>
              </w:rPr>
              <w:t xml:space="preserve">Journal of Engineering manufacture </w:t>
            </w:r>
          </w:p>
          <w:p w14:paraId="7B9DE929" w14:textId="77777777" w:rsidR="00E77831" w:rsidRDefault="00000000">
            <w:pPr>
              <w:spacing w:line="360" w:lineRule="auto"/>
              <w:rPr>
                <w:rFonts w:ascii="Arial" w:hAnsi="Arial" w:cs="Arial"/>
                <w:sz w:val="24"/>
                <w:szCs w:val="24"/>
              </w:rPr>
            </w:pPr>
            <w:r>
              <w:rPr>
                <w:rFonts w:ascii="Arial" w:hAnsi="Arial" w:cs="Arial"/>
                <w:sz w:val="24"/>
                <w:szCs w:val="24"/>
              </w:rPr>
              <w:t xml:space="preserve">An international journal </w:t>
            </w:r>
          </w:p>
          <w:p w14:paraId="7406BB8F" w14:textId="77777777" w:rsidR="00E77831" w:rsidRDefault="00000000">
            <w:pPr>
              <w:spacing w:line="360" w:lineRule="auto"/>
              <w:rPr>
                <w:rFonts w:ascii="Arial" w:hAnsi="Arial" w:cs="Arial"/>
                <w:sz w:val="24"/>
                <w:szCs w:val="24"/>
              </w:rPr>
            </w:pPr>
            <w:r>
              <w:rPr>
                <w:rFonts w:ascii="Arial" w:hAnsi="Arial" w:cs="Arial"/>
                <w:sz w:val="24"/>
                <w:szCs w:val="24"/>
              </w:rPr>
              <w:t xml:space="preserve">Journal of Management Development </w:t>
            </w:r>
          </w:p>
          <w:p w14:paraId="41564BEB" w14:textId="77777777" w:rsidR="00E77831" w:rsidRDefault="00000000">
            <w:pPr>
              <w:spacing w:line="360" w:lineRule="auto"/>
              <w:rPr>
                <w:rFonts w:ascii="Arial" w:hAnsi="Arial" w:cs="Arial"/>
                <w:sz w:val="24"/>
                <w:szCs w:val="24"/>
              </w:rPr>
            </w:pPr>
            <w:r>
              <w:rPr>
                <w:rFonts w:ascii="Arial" w:hAnsi="Arial" w:cs="Arial"/>
                <w:sz w:val="24"/>
                <w:szCs w:val="24"/>
              </w:rPr>
              <w:t>Global journal of commerce &amp; management practice</w:t>
            </w:r>
          </w:p>
          <w:p w14:paraId="26AB50A9" w14:textId="77777777" w:rsidR="00E77831" w:rsidRDefault="00000000">
            <w:pPr>
              <w:spacing w:line="360" w:lineRule="auto"/>
              <w:rPr>
                <w:rFonts w:ascii="Arial" w:hAnsi="Arial" w:cs="Arial"/>
                <w:sz w:val="24"/>
                <w:szCs w:val="24"/>
              </w:rPr>
            </w:pPr>
            <w:r>
              <w:rPr>
                <w:rFonts w:ascii="Arial" w:hAnsi="Arial" w:cs="Arial"/>
                <w:sz w:val="24"/>
                <w:szCs w:val="24"/>
              </w:rPr>
              <w:t>The royal society of chemistry 2019</w:t>
            </w:r>
          </w:p>
          <w:p w14:paraId="15423884" w14:textId="77777777" w:rsidR="00E77831" w:rsidRDefault="00000000">
            <w:pPr>
              <w:spacing w:line="360" w:lineRule="auto"/>
              <w:rPr>
                <w:rFonts w:ascii="Arial" w:hAnsi="Arial" w:cs="Arial"/>
                <w:sz w:val="24"/>
                <w:szCs w:val="24"/>
              </w:rPr>
            </w:pPr>
            <w:r>
              <w:rPr>
                <w:rFonts w:ascii="Arial" w:hAnsi="Arial" w:cs="Arial"/>
                <w:sz w:val="24"/>
                <w:szCs w:val="24"/>
              </w:rPr>
              <w:t>Journal of Cleaner Production</w:t>
            </w:r>
          </w:p>
          <w:p w14:paraId="287EE09E" w14:textId="77777777" w:rsidR="00E77831" w:rsidRDefault="00000000">
            <w:pPr>
              <w:spacing w:line="360" w:lineRule="auto"/>
              <w:rPr>
                <w:rFonts w:ascii="Arial" w:hAnsi="Arial" w:cs="Arial"/>
                <w:sz w:val="24"/>
                <w:szCs w:val="24"/>
              </w:rPr>
            </w:pPr>
            <w:r>
              <w:rPr>
                <w:rFonts w:ascii="Arial" w:hAnsi="Arial" w:cs="Arial"/>
                <w:sz w:val="24"/>
                <w:szCs w:val="24"/>
              </w:rPr>
              <w:t>Journal of Economics and Human Development</w:t>
            </w:r>
          </w:p>
          <w:p w14:paraId="267BDDE0" w14:textId="77777777" w:rsidR="00E77831" w:rsidRDefault="00000000">
            <w:pPr>
              <w:spacing w:line="360" w:lineRule="auto"/>
              <w:rPr>
                <w:rFonts w:ascii="Arial" w:hAnsi="Arial" w:cs="Arial"/>
                <w:sz w:val="24"/>
                <w:szCs w:val="24"/>
              </w:rPr>
            </w:pPr>
            <w:r>
              <w:rPr>
                <w:rFonts w:ascii="Arial" w:hAnsi="Arial" w:cs="Arial"/>
                <w:sz w:val="24"/>
                <w:szCs w:val="24"/>
              </w:rPr>
              <w:t xml:space="preserve">Journal of Global Operations and Strategic </w:t>
            </w:r>
          </w:p>
          <w:p w14:paraId="78FB90FF" w14:textId="77777777" w:rsidR="00E77831" w:rsidRDefault="00000000">
            <w:pPr>
              <w:spacing w:line="360" w:lineRule="auto"/>
              <w:rPr>
                <w:rFonts w:ascii="Arial" w:hAnsi="Arial" w:cs="Arial"/>
                <w:sz w:val="24"/>
                <w:szCs w:val="24"/>
              </w:rPr>
            </w:pPr>
            <w:r>
              <w:rPr>
                <w:rFonts w:ascii="Arial" w:hAnsi="Arial" w:cs="Arial"/>
                <w:sz w:val="24"/>
                <w:szCs w:val="24"/>
              </w:rPr>
              <w:t xml:space="preserve">International journal of production research </w:t>
            </w:r>
          </w:p>
          <w:p w14:paraId="65F6706F" w14:textId="77777777" w:rsidR="00E77831" w:rsidRDefault="00000000">
            <w:pPr>
              <w:spacing w:line="360" w:lineRule="auto"/>
              <w:rPr>
                <w:rFonts w:ascii="Arial" w:hAnsi="Arial" w:cs="Arial"/>
                <w:sz w:val="24"/>
                <w:szCs w:val="24"/>
              </w:rPr>
            </w:pPr>
            <w:r>
              <w:rPr>
                <w:rFonts w:ascii="Arial" w:hAnsi="Arial" w:cs="Arial"/>
                <w:sz w:val="24"/>
                <w:szCs w:val="24"/>
              </w:rPr>
              <w:t xml:space="preserve">Humanitarian &amp; Natural Science Journal </w:t>
            </w:r>
          </w:p>
          <w:p w14:paraId="3A443E72" w14:textId="77777777" w:rsidR="00E77831" w:rsidRDefault="00000000">
            <w:pPr>
              <w:spacing w:line="360" w:lineRule="auto"/>
              <w:rPr>
                <w:rFonts w:ascii="Arial" w:hAnsi="Arial" w:cs="Arial"/>
                <w:sz w:val="24"/>
                <w:szCs w:val="24"/>
              </w:rPr>
            </w:pPr>
            <w:r>
              <w:rPr>
                <w:rFonts w:ascii="Arial" w:hAnsi="Arial" w:cs="Arial"/>
                <w:sz w:val="24"/>
                <w:szCs w:val="24"/>
              </w:rPr>
              <w:t>European journal of business and management</w:t>
            </w:r>
          </w:p>
          <w:p w14:paraId="671C795F" w14:textId="77777777" w:rsidR="00E77831" w:rsidRDefault="00000000">
            <w:pPr>
              <w:spacing w:line="360" w:lineRule="auto"/>
              <w:rPr>
                <w:rFonts w:ascii="Arial" w:hAnsi="Arial" w:cs="Arial"/>
                <w:sz w:val="24"/>
                <w:szCs w:val="24"/>
              </w:rPr>
            </w:pPr>
            <w:r>
              <w:rPr>
                <w:rFonts w:ascii="Arial" w:hAnsi="Arial" w:cs="Arial"/>
                <w:sz w:val="24"/>
                <w:szCs w:val="24"/>
              </w:rPr>
              <w:t xml:space="preserve">Asia Pacific Journal of Management and Education </w:t>
            </w:r>
          </w:p>
          <w:p w14:paraId="4A69292C" w14:textId="77777777" w:rsidR="00E77831" w:rsidRDefault="00E77831">
            <w:pPr>
              <w:spacing w:line="360" w:lineRule="auto"/>
              <w:rPr>
                <w:rFonts w:ascii="Arial" w:hAnsi="Arial" w:cs="Arial"/>
                <w:sz w:val="24"/>
                <w:szCs w:val="24"/>
              </w:rPr>
            </w:pPr>
          </w:p>
        </w:tc>
      </w:tr>
    </w:tbl>
    <w:p w14:paraId="7B4E8905" w14:textId="77777777" w:rsidR="00E77831" w:rsidRDefault="00E77831">
      <w:pPr>
        <w:spacing w:line="360" w:lineRule="auto"/>
        <w:rPr>
          <w:rFonts w:ascii="Arial" w:hAnsi="Arial" w:cs="Arial"/>
          <w:sz w:val="24"/>
          <w:szCs w:val="24"/>
        </w:rPr>
      </w:pPr>
    </w:p>
    <w:p w14:paraId="0EEB7510" w14:textId="31699FC5" w:rsidR="00E77831" w:rsidRDefault="00000000">
      <w:pPr>
        <w:spacing w:line="360" w:lineRule="auto"/>
        <w:rPr>
          <w:rFonts w:ascii="Arial" w:hAnsi="Arial" w:cs="Arial"/>
          <w:b/>
          <w:bCs/>
          <w:sz w:val="28"/>
          <w:szCs w:val="28"/>
        </w:rPr>
      </w:pPr>
      <w:r>
        <w:rPr>
          <w:rFonts w:ascii="Arial" w:hAnsi="Arial" w:cs="Arial"/>
          <w:b/>
          <w:bCs/>
          <w:sz w:val="28"/>
          <w:szCs w:val="28"/>
        </w:rPr>
        <w:t>3.</w:t>
      </w:r>
      <w:r w:rsidR="00733FCF">
        <w:rPr>
          <w:rFonts w:ascii="Arial" w:hAnsi="Arial" w:cs="Arial"/>
          <w:b/>
          <w:bCs/>
          <w:sz w:val="28"/>
          <w:szCs w:val="28"/>
        </w:rPr>
        <w:t>3</w:t>
      </w:r>
      <w:r>
        <w:rPr>
          <w:rFonts w:ascii="Arial" w:hAnsi="Arial" w:cs="Arial"/>
          <w:b/>
          <w:bCs/>
          <w:sz w:val="28"/>
          <w:szCs w:val="28"/>
        </w:rPr>
        <w:t>.</w:t>
      </w:r>
      <w:r w:rsidR="00733FCF">
        <w:rPr>
          <w:rFonts w:ascii="Arial" w:hAnsi="Arial" w:cs="Arial"/>
          <w:b/>
          <w:bCs/>
          <w:sz w:val="28"/>
          <w:szCs w:val="28"/>
        </w:rPr>
        <w:t>3</w:t>
      </w:r>
      <w:r>
        <w:rPr>
          <w:rFonts w:ascii="Arial" w:hAnsi="Arial" w:cs="Arial"/>
          <w:b/>
          <w:bCs/>
          <w:sz w:val="28"/>
          <w:szCs w:val="28"/>
        </w:rPr>
        <w:t xml:space="preserve"> - Despite research articles, case studies and information from the official website of Toyota were gathered</w:t>
      </w:r>
      <w:r w:rsidR="00733FCF">
        <w:rPr>
          <w:rFonts w:ascii="Arial" w:hAnsi="Arial" w:cs="Arial"/>
          <w:b/>
          <w:bCs/>
          <w:sz w:val="28"/>
          <w:szCs w:val="28"/>
        </w:rPr>
        <w:t>:</w:t>
      </w:r>
      <w:r>
        <w:rPr>
          <w:rFonts w:ascii="Arial" w:hAnsi="Arial" w:cs="Arial"/>
          <w:b/>
          <w:bCs/>
          <w:sz w:val="28"/>
          <w:szCs w:val="28"/>
        </w:rPr>
        <w:t xml:space="preserve"> </w:t>
      </w:r>
    </w:p>
    <w:p w14:paraId="79F69E2E" w14:textId="77777777" w:rsidR="00E77831" w:rsidRDefault="00000000">
      <w:pPr>
        <w:spacing w:line="360" w:lineRule="auto"/>
        <w:rPr>
          <w:rFonts w:ascii="Arial" w:hAnsi="Arial" w:cs="Arial"/>
          <w:sz w:val="24"/>
          <w:szCs w:val="24"/>
        </w:rPr>
      </w:pPr>
      <w:r>
        <w:rPr>
          <w:rFonts w:ascii="Arial" w:hAnsi="Arial" w:cs="Arial"/>
          <w:sz w:val="24"/>
          <w:szCs w:val="24"/>
        </w:rPr>
        <w:t>A case study is a qualitative design in which a program, event, activity procedure, or one or more people are thoroughly examined by the researcher. It includes in-depth analysis, and it provides the best data that helps in solving the research problem (Priya, 2020, p. 95).</w:t>
      </w:r>
    </w:p>
    <w:p w14:paraId="051F53D5" w14:textId="73F3B89D" w:rsidR="00E77831" w:rsidRDefault="00000000">
      <w:pPr>
        <w:spacing w:line="360" w:lineRule="auto"/>
        <w:rPr>
          <w:rFonts w:ascii="Arial" w:hAnsi="Arial" w:cs="Arial"/>
          <w:sz w:val="24"/>
          <w:szCs w:val="24"/>
        </w:rPr>
      </w:pPr>
      <w:r>
        <w:rPr>
          <w:rFonts w:ascii="Arial" w:hAnsi="Arial" w:cs="Arial"/>
          <w:sz w:val="24"/>
          <w:szCs w:val="24"/>
        </w:rPr>
        <w:t>Four case studies were selected Based on their information about green Marketing and Toyota UK</w:t>
      </w:r>
      <w:r w:rsidR="00733FCF">
        <w:rPr>
          <w:rFonts w:ascii="Arial" w:hAnsi="Arial" w:cs="Arial"/>
          <w:sz w:val="24"/>
          <w:szCs w:val="24"/>
        </w:rPr>
        <w:t>:</w:t>
      </w:r>
      <w:r>
        <w:rPr>
          <w:rFonts w:ascii="Arial" w:hAnsi="Arial" w:cs="Arial"/>
          <w:sz w:val="24"/>
          <w:szCs w:val="24"/>
        </w:rPr>
        <w:t xml:space="preserve"> </w:t>
      </w:r>
    </w:p>
    <w:p w14:paraId="1DDFD571" w14:textId="77777777" w:rsidR="00E77831" w:rsidRDefault="00000000">
      <w:pPr>
        <w:spacing w:line="360" w:lineRule="auto"/>
        <w:rPr>
          <w:rFonts w:ascii="Arial" w:hAnsi="Arial" w:cs="Arial"/>
          <w:sz w:val="24"/>
          <w:szCs w:val="24"/>
        </w:rPr>
      </w:pPr>
      <w:r>
        <w:rPr>
          <w:rFonts w:ascii="Arial" w:hAnsi="Arial" w:cs="Arial"/>
          <w:sz w:val="24"/>
          <w:szCs w:val="24"/>
        </w:rPr>
        <w:t xml:space="preserve">1. Analysis of Toyota Motor Corporation by Thambani Nkomo, 2019 to analyze the various marketing strategies used by Toyota UK and to analyze the SWOT analysis of Toyota. </w:t>
      </w:r>
    </w:p>
    <w:p w14:paraId="2F0C1955" w14:textId="77777777" w:rsidR="00E77831" w:rsidRDefault="00000000">
      <w:pPr>
        <w:spacing w:line="360" w:lineRule="auto"/>
        <w:rPr>
          <w:rFonts w:ascii="Arial" w:hAnsi="Arial" w:cs="Arial"/>
          <w:sz w:val="24"/>
          <w:szCs w:val="24"/>
        </w:rPr>
      </w:pPr>
      <w:r>
        <w:rPr>
          <w:rFonts w:ascii="Arial" w:hAnsi="Arial" w:cs="Arial"/>
          <w:sz w:val="24"/>
          <w:szCs w:val="24"/>
        </w:rPr>
        <w:lastRenderedPageBreak/>
        <w:t>2. A case study of Japanese multinational companies in The UK by Basu et al., 1999 to analyze the position of Japanese multinational companies such as Toyota in the UK.</w:t>
      </w:r>
    </w:p>
    <w:p w14:paraId="7E349E14" w14:textId="77777777" w:rsidR="00E77831" w:rsidRDefault="00000000">
      <w:pPr>
        <w:spacing w:line="360" w:lineRule="auto"/>
        <w:rPr>
          <w:rFonts w:ascii="Arial" w:hAnsi="Arial" w:cs="Arial"/>
          <w:sz w:val="24"/>
          <w:szCs w:val="24"/>
        </w:rPr>
      </w:pPr>
      <w:r>
        <w:rPr>
          <w:rFonts w:ascii="Arial" w:hAnsi="Arial" w:cs="Arial"/>
          <w:sz w:val="24"/>
          <w:szCs w:val="24"/>
        </w:rPr>
        <w:t>3. Implication of just - in just-in-time system of Toyota: A case study by Sahil, 2017 to analyze the role of the Just-in-time and jidoka system (Toyota production system) in the marketing management of Toyota in the UK.</w:t>
      </w:r>
    </w:p>
    <w:p w14:paraId="43A15B0E" w14:textId="77777777" w:rsidR="00E77831" w:rsidRDefault="00000000">
      <w:pPr>
        <w:spacing w:line="360" w:lineRule="auto"/>
        <w:rPr>
          <w:rFonts w:ascii="Arial" w:hAnsi="Arial" w:cs="Arial"/>
          <w:sz w:val="24"/>
          <w:szCs w:val="24"/>
        </w:rPr>
      </w:pPr>
      <w:r>
        <w:rPr>
          <w:rFonts w:ascii="Arial" w:hAnsi="Arial" w:cs="Arial"/>
          <w:sz w:val="24"/>
          <w:szCs w:val="24"/>
        </w:rPr>
        <w:t xml:space="preserve">4. Case study on market mix strategies of Toyota Motor Corporation by Madoh et al., 2019 to determine the various marketing channels of Toyota. </w:t>
      </w:r>
    </w:p>
    <w:p w14:paraId="202EF03F" w14:textId="77777777" w:rsidR="00E77831" w:rsidRDefault="00000000">
      <w:pPr>
        <w:spacing w:line="360" w:lineRule="auto"/>
        <w:rPr>
          <w:rFonts w:ascii="Arial" w:hAnsi="Arial" w:cs="Arial"/>
          <w:sz w:val="24"/>
          <w:szCs w:val="24"/>
        </w:rPr>
      </w:pPr>
      <w:r>
        <w:rPr>
          <w:rFonts w:ascii="Arial" w:hAnsi="Arial" w:cs="Arial"/>
          <w:sz w:val="24"/>
          <w:szCs w:val="24"/>
        </w:rPr>
        <w:t>Documentation was analyzed from the official website of Toyota such as Toyota GB media.UK, Toyota.co.UK, Media, Toyota, etc which provide information about market share value and recycling activities of Toyota in the UK.</w:t>
      </w:r>
    </w:p>
    <w:p w14:paraId="43C3514A" w14:textId="2798E7BC" w:rsidR="00E77831" w:rsidRDefault="00000000">
      <w:pPr>
        <w:spacing w:line="360" w:lineRule="auto"/>
        <w:rPr>
          <w:rFonts w:ascii="Arial" w:hAnsi="Arial" w:cs="Arial"/>
          <w:sz w:val="28"/>
          <w:szCs w:val="28"/>
        </w:rPr>
      </w:pPr>
      <w:r>
        <w:rPr>
          <w:rFonts w:ascii="Arial" w:hAnsi="Arial" w:cs="Arial"/>
          <w:b/>
          <w:bCs/>
          <w:sz w:val="28"/>
          <w:szCs w:val="28"/>
        </w:rPr>
        <w:t>3.</w:t>
      </w:r>
      <w:r w:rsidR="00733FCF">
        <w:rPr>
          <w:rFonts w:ascii="Arial" w:hAnsi="Arial" w:cs="Arial"/>
          <w:b/>
          <w:bCs/>
          <w:sz w:val="28"/>
          <w:szCs w:val="28"/>
        </w:rPr>
        <w:t>3</w:t>
      </w:r>
      <w:r>
        <w:rPr>
          <w:rFonts w:ascii="Arial" w:hAnsi="Arial" w:cs="Arial"/>
          <w:b/>
          <w:bCs/>
          <w:sz w:val="28"/>
          <w:szCs w:val="28"/>
        </w:rPr>
        <w:t>.</w:t>
      </w:r>
      <w:r w:rsidR="00733FCF">
        <w:rPr>
          <w:rFonts w:ascii="Arial" w:hAnsi="Arial" w:cs="Arial"/>
          <w:b/>
          <w:bCs/>
          <w:sz w:val="28"/>
          <w:szCs w:val="28"/>
        </w:rPr>
        <w:t>4</w:t>
      </w:r>
      <w:r>
        <w:rPr>
          <w:rFonts w:ascii="Arial" w:hAnsi="Arial" w:cs="Arial"/>
          <w:b/>
          <w:bCs/>
          <w:sz w:val="28"/>
          <w:szCs w:val="28"/>
        </w:rPr>
        <w:t xml:space="preserve"> - Selection of research articles</w:t>
      </w:r>
      <w:r w:rsidR="00733FCF">
        <w:rPr>
          <w:rFonts w:ascii="Arial" w:hAnsi="Arial" w:cs="Arial"/>
          <w:b/>
          <w:bCs/>
          <w:sz w:val="28"/>
          <w:szCs w:val="28"/>
        </w:rPr>
        <w:t>:</w:t>
      </w:r>
    </w:p>
    <w:p w14:paraId="37126AC3" w14:textId="77777777" w:rsidR="00E77831" w:rsidRDefault="00000000">
      <w:pPr>
        <w:spacing w:line="360" w:lineRule="auto"/>
        <w:rPr>
          <w:rFonts w:ascii="Arial" w:hAnsi="Arial" w:cs="Arial"/>
          <w:sz w:val="24"/>
          <w:szCs w:val="24"/>
        </w:rPr>
      </w:pPr>
      <w:r>
        <w:rPr>
          <w:rFonts w:ascii="Arial" w:hAnsi="Arial" w:cs="Arial"/>
          <w:sz w:val="24"/>
          <w:szCs w:val="24"/>
        </w:rPr>
        <w:t xml:space="preserve">Research articles provide information about the role of green Marketing, marketing mix, and marketing management in achieving customer loyalty and customer satisfaction.  Below, the table shows the Research articles used and the purpose of using these research articles. </w:t>
      </w:r>
    </w:p>
    <w:p w14:paraId="58967D60" w14:textId="77777777" w:rsidR="00E77831" w:rsidRPr="00733FCF" w:rsidRDefault="00000000">
      <w:pPr>
        <w:spacing w:line="360" w:lineRule="auto"/>
        <w:rPr>
          <w:rFonts w:ascii="Arial" w:hAnsi="Arial" w:cs="Arial"/>
          <w:b/>
          <w:bCs/>
          <w:sz w:val="24"/>
          <w:szCs w:val="24"/>
        </w:rPr>
      </w:pPr>
      <w:r w:rsidRPr="00733FCF">
        <w:rPr>
          <w:rFonts w:ascii="Arial" w:hAnsi="Arial" w:cs="Arial"/>
          <w:b/>
          <w:bCs/>
          <w:sz w:val="24"/>
          <w:szCs w:val="24"/>
        </w:rPr>
        <w:t>Table 5:</w:t>
      </w:r>
    </w:p>
    <w:tbl>
      <w:tblPr>
        <w:tblStyle w:val="TableGrid"/>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4675"/>
        <w:gridCol w:w="4675"/>
      </w:tblGrid>
      <w:tr w:rsidR="00E77831" w14:paraId="38700F12" w14:textId="77777777">
        <w:tc>
          <w:tcPr>
            <w:tcW w:w="4680" w:type="dxa"/>
            <w:tcBorders>
              <w:top w:val="single" w:sz="4" w:space="0" w:color="auto"/>
              <w:left w:val="single" w:sz="4" w:space="0" w:color="auto"/>
              <w:bottom w:val="single" w:sz="4" w:space="0" w:color="auto"/>
              <w:right w:val="single" w:sz="4" w:space="0" w:color="auto"/>
            </w:tcBorders>
          </w:tcPr>
          <w:p w14:paraId="2054B11B" w14:textId="77777777" w:rsidR="00E77831" w:rsidRPr="00733FCF" w:rsidRDefault="00000000">
            <w:pPr>
              <w:spacing w:line="360" w:lineRule="auto"/>
              <w:rPr>
                <w:rFonts w:ascii="Arial" w:hAnsi="Arial" w:cs="Arial"/>
                <w:b/>
                <w:bCs/>
                <w:sz w:val="24"/>
                <w:szCs w:val="24"/>
              </w:rPr>
            </w:pPr>
            <w:r w:rsidRPr="00733FCF">
              <w:rPr>
                <w:rFonts w:ascii="Arial" w:hAnsi="Arial" w:cs="Arial"/>
                <w:b/>
                <w:bCs/>
                <w:sz w:val="24"/>
                <w:szCs w:val="24"/>
              </w:rPr>
              <w:t xml:space="preserve">Research articles </w:t>
            </w:r>
          </w:p>
          <w:p w14:paraId="6C1B1B7E" w14:textId="77777777" w:rsidR="00E77831" w:rsidRDefault="00E77831">
            <w:pPr>
              <w:spacing w:line="360" w:lineRule="auto"/>
              <w:rPr>
                <w:rFonts w:ascii="Arial" w:hAnsi="Arial" w:cs="Arial"/>
                <w:sz w:val="24"/>
                <w:szCs w:val="24"/>
              </w:rPr>
            </w:pPr>
          </w:p>
        </w:tc>
        <w:tc>
          <w:tcPr>
            <w:tcW w:w="4680" w:type="dxa"/>
            <w:tcBorders>
              <w:top w:val="single" w:sz="4" w:space="0" w:color="auto"/>
              <w:left w:val="single" w:sz="4" w:space="0" w:color="auto"/>
              <w:bottom w:val="single" w:sz="4" w:space="0" w:color="auto"/>
              <w:right w:val="single" w:sz="4" w:space="0" w:color="auto"/>
            </w:tcBorders>
          </w:tcPr>
          <w:p w14:paraId="66FAA3F0" w14:textId="77777777" w:rsidR="00E77831" w:rsidRPr="00733FCF" w:rsidRDefault="00000000">
            <w:pPr>
              <w:spacing w:line="360" w:lineRule="auto"/>
              <w:rPr>
                <w:rFonts w:ascii="Arial" w:hAnsi="Arial" w:cs="Arial"/>
                <w:b/>
                <w:bCs/>
                <w:sz w:val="24"/>
                <w:szCs w:val="24"/>
              </w:rPr>
            </w:pPr>
            <w:r w:rsidRPr="00733FCF">
              <w:rPr>
                <w:rFonts w:ascii="Arial" w:hAnsi="Arial" w:cs="Arial"/>
                <w:b/>
                <w:bCs/>
                <w:sz w:val="24"/>
                <w:szCs w:val="24"/>
              </w:rPr>
              <w:t>Purpose</w:t>
            </w:r>
          </w:p>
        </w:tc>
      </w:tr>
      <w:tr w:rsidR="00E77831" w14:paraId="17DC255A" w14:textId="77777777">
        <w:tc>
          <w:tcPr>
            <w:tcW w:w="4680" w:type="dxa"/>
            <w:tcBorders>
              <w:top w:val="single" w:sz="4" w:space="0" w:color="auto"/>
              <w:left w:val="single" w:sz="4" w:space="0" w:color="auto"/>
              <w:bottom w:val="single" w:sz="4" w:space="0" w:color="auto"/>
              <w:right w:val="single" w:sz="4" w:space="0" w:color="auto"/>
            </w:tcBorders>
          </w:tcPr>
          <w:p w14:paraId="3DFEFA0F" w14:textId="77777777" w:rsidR="00E77831" w:rsidRDefault="00000000">
            <w:pPr>
              <w:spacing w:line="360" w:lineRule="auto"/>
              <w:rPr>
                <w:rFonts w:ascii="Arial" w:hAnsi="Arial" w:cs="Arial"/>
                <w:sz w:val="24"/>
                <w:szCs w:val="24"/>
              </w:rPr>
            </w:pPr>
            <w:r>
              <w:rPr>
                <w:rFonts w:ascii="Arial" w:hAnsi="Arial" w:cs="Arial"/>
                <w:sz w:val="24"/>
                <w:szCs w:val="24"/>
              </w:rPr>
              <w:t xml:space="preserve">1. The future of Hybrid Electric vehicles and sustainable vehicles in the UK by Last et al., 2015 </w:t>
            </w:r>
          </w:p>
          <w:p w14:paraId="79CBE717" w14:textId="77777777" w:rsidR="00E77831" w:rsidRDefault="00E77831">
            <w:pPr>
              <w:spacing w:line="360" w:lineRule="auto"/>
              <w:rPr>
                <w:rFonts w:ascii="Arial" w:hAnsi="Arial" w:cs="Arial"/>
                <w:sz w:val="24"/>
                <w:szCs w:val="24"/>
              </w:rPr>
            </w:pPr>
          </w:p>
          <w:p w14:paraId="1E6D4ECD" w14:textId="77777777" w:rsidR="00E77831" w:rsidRDefault="00E77831">
            <w:pPr>
              <w:spacing w:line="360" w:lineRule="auto"/>
              <w:rPr>
                <w:rFonts w:ascii="Arial" w:hAnsi="Arial" w:cs="Arial"/>
                <w:sz w:val="24"/>
                <w:szCs w:val="24"/>
              </w:rPr>
            </w:pPr>
          </w:p>
          <w:p w14:paraId="6274C23F" w14:textId="77777777" w:rsidR="00E77831" w:rsidRDefault="00E77831">
            <w:pPr>
              <w:spacing w:line="360" w:lineRule="auto"/>
              <w:rPr>
                <w:rFonts w:ascii="Arial" w:hAnsi="Arial" w:cs="Arial"/>
                <w:sz w:val="24"/>
                <w:szCs w:val="24"/>
              </w:rPr>
            </w:pPr>
          </w:p>
          <w:p w14:paraId="344CD86F" w14:textId="77777777" w:rsidR="00E77831" w:rsidRDefault="00000000">
            <w:pPr>
              <w:spacing w:line="360" w:lineRule="auto"/>
              <w:rPr>
                <w:rFonts w:ascii="Arial" w:hAnsi="Arial" w:cs="Arial"/>
                <w:sz w:val="24"/>
                <w:szCs w:val="24"/>
              </w:rPr>
            </w:pPr>
            <w:r>
              <w:rPr>
                <w:rFonts w:ascii="Arial" w:hAnsi="Arial" w:cs="Arial"/>
                <w:sz w:val="24"/>
                <w:szCs w:val="24"/>
              </w:rPr>
              <w:t xml:space="preserve">2. The reuse in practice by Shaw &amp; Williams, 2018 </w:t>
            </w:r>
          </w:p>
          <w:p w14:paraId="0317E33C" w14:textId="77777777" w:rsidR="00E77831" w:rsidRDefault="00E77831">
            <w:pPr>
              <w:spacing w:line="360" w:lineRule="auto"/>
              <w:rPr>
                <w:rFonts w:ascii="Arial" w:hAnsi="Arial" w:cs="Arial"/>
                <w:sz w:val="24"/>
                <w:szCs w:val="24"/>
              </w:rPr>
            </w:pPr>
          </w:p>
          <w:p w14:paraId="46751E28" w14:textId="77777777" w:rsidR="00E77831" w:rsidRDefault="00E77831">
            <w:pPr>
              <w:spacing w:line="360" w:lineRule="auto"/>
              <w:rPr>
                <w:rFonts w:ascii="Arial" w:hAnsi="Arial" w:cs="Arial"/>
                <w:sz w:val="24"/>
                <w:szCs w:val="24"/>
              </w:rPr>
            </w:pPr>
          </w:p>
          <w:p w14:paraId="1612C891" w14:textId="77777777" w:rsidR="00E77831" w:rsidRDefault="00E77831">
            <w:pPr>
              <w:spacing w:line="360" w:lineRule="auto"/>
              <w:rPr>
                <w:rFonts w:ascii="Arial" w:hAnsi="Arial" w:cs="Arial"/>
                <w:sz w:val="24"/>
                <w:szCs w:val="24"/>
              </w:rPr>
            </w:pPr>
          </w:p>
          <w:p w14:paraId="69A51999" w14:textId="77777777" w:rsidR="00E77831" w:rsidRDefault="00E77831">
            <w:pPr>
              <w:spacing w:line="360" w:lineRule="auto"/>
              <w:rPr>
                <w:rFonts w:ascii="Arial" w:hAnsi="Arial" w:cs="Arial"/>
                <w:sz w:val="24"/>
                <w:szCs w:val="24"/>
              </w:rPr>
            </w:pPr>
          </w:p>
          <w:p w14:paraId="4886A2A4" w14:textId="77777777" w:rsidR="00912B41" w:rsidRDefault="00912B41">
            <w:pPr>
              <w:spacing w:line="360" w:lineRule="auto"/>
              <w:rPr>
                <w:rFonts w:ascii="Arial" w:hAnsi="Arial" w:cs="Arial"/>
                <w:sz w:val="24"/>
                <w:szCs w:val="24"/>
              </w:rPr>
            </w:pPr>
          </w:p>
          <w:p w14:paraId="7DD3E1E3" w14:textId="77777777" w:rsidR="00E77831" w:rsidRDefault="00000000">
            <w:pPr>
              <w:spacing w:line="360" w:lineRule="auto"/>
              <w:rPr>
                <w:rFonts w:ascii="Arial" w:hAnsi="Arial" w:cs="Arial"/>
                <w:sz w:val="24"/>
                <w:szCs w:val="24"/>
              </w:rPr>
            </w:pPr>
            <w:r>
              <w:rPr>
                <w:rFonts w:ascii="Arial" w:hAnsi="Arial" w:cs="Arial"/>
                <w:sz w:val="24"/>
                <w:szCs w:val="24"/>
              </w:rPr>
              <w:t>3. The presentation of Automotive brands in the online environment - The perspective of KIA, Peugeot, Toyota, and VW in the Slovak Republic by Saviar et al, 2019</w:t>
            </w:r>
          </w:p>
          <w:p w14:paraId="448DC377" w14:textId="77777777" w:rsidR="00E77831" w:rsidRDefault="00E77831">
            <w:pPr>
              <w:spacing w:line="360" w:lineRule="auto"/>
              <w:rPr>
                <w:rFonts w:ascii="Arial" w:hAnsi="Arial" w:cs="Arial"/>
                <w:sz w:val="24"/>
                <w:szCs w:val="24"/>
              </w:rPr>
            </w:pPr>
          </w:p>
          <w:p w14:paraId="0D908BC4" w14:textId="77777777" w:rsidR="00E77831" w:rsidRDefault="00000000">
            <w:pPr>
              <w:spacing w:line="360" w:lineRule="auto"/>
              <w:rPr>
                <w:rFonts w:ascii="Arial" w:hAnsi="Arial" w:cs="Arial"/>
                <w:sz w:val="24"/>
                <w:szCs w:val="24"/>
              </w:rPr>
            </w:pPr>
            <w:r>
              <w:rPr>
                <w:rFonts w:ascii="Arial" w:hAnsi="Arial" w:cs="Arial"/>
                <w:sz w:val="24"/>
                <w:szCs w:val="24"/>
              </w:rPr>
              <w:t>4. An international comparative study of End - Of Life vehicles (ELV) recycling systems by Sakai et al, 2014</w:t>
            </w:r>
          </w:p>
          <w:p w14:paraId="7D4EA861" w14:textId="77777777" w:rsidR="00E77831" w:rsidRDefault="00E77831">
            <w:pPr>
              <w:spacing w:line="360" w:lineRule="auto"/>
              <w:rPr>
                <w:rFonts w:ascii="Arial" w:hAnsi="Arial" w:cs="Arial"/>
                <w:sz w:val="24"/>
                <w:szCs w:val="24"/>
              </w:rPr>
            </w:pPr>
          </w:p>
          <w:p w14:paraId="4D9E8AB2" w14:textId="77777777" w:rsidR="00E77831" w:rsidRDefault="00E77831">
            <w:pPr>
              <w:spacing w:line="360" w:lineRule="auto"/>
              <w:rPr>
                <w:rFonts w:ascii="Arial" w:hAnsi="Arial" w:cs="Arial"/>
                <w:sz w:val="24"/>
                <w:szCs w:val="24"/>
              </w:rPr>
            </w:pPr>
          </w:p>
          <w:p w14:paraId="563BB970" w14:textId="77777777" w:rsidR="00E77831" w:rsidRDefault="00E77831">
            <w:pPr>
              <w:spacing w:line="360" w:lineRule="auto"/>
              <w:rPr>
                <w:rFonts w:ascii="Arial" w:hAnsi="Arial" w:cs="Arial"/>
                <w:sz w:val="24"/>
                <w:szCs w:val="24"/>
              </w:rPr>
            </w:pPr>
          </w:p>
          <w:p w14:paraId="4C45D14F" w14:textId="77777777" w:rsidR="00E77831" w:rsidRDefault="00000000">
            <w:pPr>
              <w:spacing w:line="360" w:lineRule="auto"/>
              <w:rPr>
                <w:rFonts w:ascii="Arial" w:hAnsi="Arial" w:cs="Arial"/>
                <w:sz w:val="24"/>
                <w:szCs w:val="24"/>
              </w:rPr>
            </w:pPr>
            <w:r>
              <w:rPr>
                <w:rFonts w:ascii="Arial" w:hAnsi="Arial" w:cs="Arial"/>
                <w:sz w:val="24"/>
                <w:szCs w:val="24"/>
              </w:rPr>
              <w:t xml:space="preserve">5. Zero carbon manufacturing facility - Towards integrating material, energy, and waste process flows by Ball et al., 2009 </w:t>
            </w:r>
          </w:p>
          <w:p w14:paraId="2D7B9273" w14:textId="77777777" w:rsidR="00E77831" w:rsidRDefault="00E77831">
            <w:pPr>
              <w:spacing w:line="360" w:lineRule="auto"/>
              <w:rPr>
                <w:rFonts w:ascii="Arial" w:hAnsi="Arial" w:cs="Arial"/>
                <w:sz w:val="24"/>
                <w:szCs w:val="24"/>
              </w:rPr>
            </w:pPr>
          </w:p>
          <w:p w14:paraId="78AE1BF1" w14:textId="77777777" w:rsidR="00E77831" w:rsidRDefault="00E77831">
            <w:pPr>
              <w:spacing w:line="360" w:lineRule="auto"/>
              <w:rPr>
                <w:rFonts w:ascii="Arial" w:hAnsi="Arial" w:cs="Arial"/>
                <w:sz w:val="24"/>
                <w:szCs w:val="24"/>
              </w:rPr>
            </w:pPr>
          </w:p>
          <w:p w14:paraId="4A72E868" w14:textId="77777777" w:rsidR="00E77831" w:rsidRDefault="00E77831">
            <w:pPr>
              <w:spacing w:line="360" w:lineRule="auto"/>
              <w:rPr>
                <w:rFonts w:ascii="Arial" w:hAnsi="Arial" w:cs="Arial"/>
                <w:sz w:val="24"/>
                <w:szCs w:val="24"/>
              </w:rPr>
            </w:pPr>
          </w:p>
          <w:p w14:paraId="354AC15D" w14:textId="77777777" w:rsidR="00E77831" w:rsidRDefault="00000000">
            <w:pPr>
              <w:spacing w:line="360" w:lineRule="auto"/>
              <w:rPr>
                <w:rFonts w:ascii="Arial" w:hAnsi="Arial" w:cs="Arial"/>
                <w:sz w:val="24"/>
                <w:szCs w:val="24"/>
              </w:rPr>
            </w:pPr>
            <w:r>
              <w:rPr>
                <w:rFonts w:ascii="Arial" w:hAnsi="Arial" w:cs="Arial"/>
                <w:sz w:val="24"/>
                <w:szCs w:val="24"/>
              </w:rPr>
              <w:t xml:space="preserve">6. Green operations initiatives in the automotive industry by Nunes &amp; Bennet, 2010 </w:t>
            </w:r>
          </w:p>
          <w:p w14:paraId="0FE8CFA0" w14:textId="77777777" w:rsidR="00E77831" w:rsidRDefault="00E77831">
            <w:pPr>
              <w:spacing w:line="360" w:lineRule="auto"/>
              <w:rPr>
                <w:rFonts w:ascii="Arial" w:hAnsi="Arial" w:cs="Arial"/>
                <w:sz w:val="24"/>
                <w:szCs w:val="24"/>
              </w:rPr>
            </w:pPr>
          </w:p>
          <w:p w14:paraId="7171E17F" w14:textId="77777777" w:rsidR="00E77831" w:rsidRDefault="00000000">
            <w:pPr>
              <w:spacing w:line="360" w:lineRule="auto"/>
              <w:rPr>
                <w:rFonts w:ascii="Arial" w:hAnsi="Arial" w:cs="Arial"/>
                <w:sz w:val="24"/>
                <w:szCs w:val="24"/>
              </w:rPr>
            </w:pPr>
            <w:r>
              <w:rPr>
                <w:rFonts w:ascii="Arial" w:hAnsi="Arial" w:cs="Arial"/>
                <w:sz w:val="24"/>
                <w:szCs w:val="24"/>
              </w:rPr>
              <w:t xml:space="preserve">7. The concept of Green Marketing and green product development on consumer buying approach by Yan &amp; Yazdanifard, 2014 </w:t>
            </w:r>
          </w:p>
          <w:p w14:paraId="38E4C411" w14:textId="77777777" w:rsidR="00E77831" w:rsidRDefault="00E77831">
            <w:pPr>
              <w:spacing w:line="360" w:lineRule="auto"/>
              <w:rPr>
                <w:rFonts w:ascii="Arial" w:hAnsi="Arial" w:cs="Arial"/>
                <w:sz w:val="24"/>
                <w:szCs w:val="24"/>
              </w:rPr>
            </w:pPr>
          </w:p>
          <w:p w14:paraId="3B428EA0" w14:textId="77777777" w:rsidR="00E77831" w:rsidRDefault="00000000">
            <w:pPr>
              <w:spacing w:line="360" w:lineRule="auto"/>
              <w:rPr>
                <w:rFonts w:ascii="Arial" w:hAnsi="Arial" w:cs="Arial"/>
                <w:sz w:val="24"/>
                <w:szCs w:val="24"/>
              </w:rPr>
            </w:pPr>
            <w:r>
              <w:rPr>
                <w:rFonts w:ascii="Arial" w:hAnsi="Arial" w:cs="Arial"/>
                <w:sz w:val="24"/>
                <w:szCs w:val="24"/>
              </w:rPr>
              <w:lastRenderedPageBreak/>
              <w:t xml:space="preserve">8. The role of Hydrogen and fuel cells in the global energy system by Staffell et al., 2019 </w:t>
            </w:r>
          </w:p>
          <w:p w14:paraId="036670C9" w14:textId="77777777" w:rsidR="00E77831" w:rsidRDefault="00E77831">
            <w:pPr>
              <w:spacing w:line="360" w:lineRule="auto"/>
              <w:rPr>
                <w:rFonts w:ascii="Arial" w:hAnsi="Arial" w:cs="Arial"/>
                <w:sz w:val="24"/>
                <w:szCs w:val="24"/>
              </w:rPr>
            </w:pPr>
          </w:p>
          <w:p w14:paraId="0C018EA3" w14:textId="77777777" w:rsidR="00E77831" w:rsidRDefault="00000000">
            <w:pPr>
              <w:spacing w:line="360" w:lineRule="auto"/>
              <w:rPr>
                <w:rFonts w:ascii="Arial" w:hAnsi="Arial" w:cs="Arial"/>
                <w:sz w:val="24"/>
                <w:szCs w:val="24"/>
              </w:rPr>
            </w:pPr>
            <w:r>
              <w:rPr>
                <w:rFonts w:ascii="Arial" w:hAnsi="Arial" w:cs="Arial"/>
                <w:sz w:val="24"/>
                <w:szCs w:val="24"/>
              </w:rPr>
              <w:t xml:space="preserve">9.  The use of Environmental management system in the production of green products by Bouabdallah, 2020 </w:t>
            </w:r>
          </w:p>
          <w:p w14:paraId="32C9BEDC" w14:textId="77777777" w:rsidR="00E77831" w:rsidRDefault="00E77831">
            <w:pPr>
              <w:spacing w:line="360" w:lineRule="auto"/>
              <w:rPr>
                <w:rFonts w:ascii="Arial" w:hAnsi="Arial" w:cs="Arial"/>
                <w:sz w:val="24"/>
                <w:szCs w:val="24"/>
              </w:rPr>
            </w:pPr>
          </w:p>
          <w:p w14:paraId="00ABC7E1" w14:textId="77777777" w:rsidR="00E77831" w:rsidRDefault="00E77831">
            <w:pPr>
              <w:spacing w:line="360" w:lineRule="auto"/>
              <w:rPr>
                <w:rFonts w:ascii="Arial" w:hAnsi="Arial" w:cs="Arial"/>
                <w:sz w:val="24"/>
                <w:szCs w:val="24"/>
              </w:rPr>
            </w:pPr>
          </w:p>
          <w:p w14:paraId="591FC0ED" w14:textId="77777777" w:rsidR="00E77831" w:rsidRDefault="00000000">
            <w:pPr>
              <w:spacing w:line="360" w:lineRule="auto"/>
              <w:rPr>
                <w:rFonts w:ascii="Arial" w:hAnsi="Arial" w:cs="Arial"/>
                <w:sz w:val="24"/>
                <w:szCs w:val="24"/>
              </w:rPr>
            </w:pPr>
            <w:r>
              <w:rPr>
                <w:rFonts w:ascii="Arial" w:hAnsi="Arial" w:cs="Arial"/>
                <w:sz w:val="24"/>
                <w:szCs w:val="24"/>
              </w:rPr>
              <w:t xml:space="preserve">10. Catalyst for organizational learning; The case of Toyota Motor Manufacturing UK Ltd by Winfield &amp; Kerrin, 1994 </w:t>
            </w:r>
          </w:p>
          <w:p w14:paraId="32393B29" w14:textId="77777777" w:rsidR="00E77831" w:rsidRDefault="00E77831">
            <w:pPr>
              <w:spacing w:line="360" w:lineRule="auto"/>
              <w:rPr>
                <w:rFonts w:ascii="Arial" w:hAnsi="Arial" w:cs="Arial"/>
                <w:sz w:val="24"/>
                <w:szCs w:val="24"/>
              </w:rPr>
            </w:pPr>
          </w:p>
          <w:p w14:paraId="589F6AE3" w14:textId="77777777" w:rsidR="00E77831" w:rsidRDefault="00E77831">
            <w:pPr>
              <w:spacing w:line="360" w:lineRule="auto"/>
              <w:rPr>
                <w:rFonts w:ascii="Arial" w:hAnsi="Arial" w:cs="Arial"/>
                <w:sz w:val="24"/>
                <w:szCs w:val="24"/>
              </w:rPr>
            </w:pPr>
          </w:p>
          <w:p w14:paraId="76D45BE1" w14:textId="77777777" w:rsidR="00E77831" w:rsidRDefault="00000000">
            <w:pPr>
              <w:spacing w:line="360" w:lineRule="auto"/>
              <w:rPr>
                <w:rFonts w:ascii="Arial" w:hAnsi="Arial" w:cs="Arial"/>
                <w:sz w:val="24"/>
                <w:szCs w:val="24"/>
              </w:rPr>
            </w:pPr>
            <w:r>
              <w:rPr>
                <w:rFonts w:ascii="Arial" w:hAnsi="Arial" w:cs="Arial"/>
                <w:sz w:val="24"/>
                <w:szCs w:val="24"/>
              </w:rPr>
              <w:t>11. Effect of environmental factors on business performance by Tersiya &amp; Comfort, 2017</w:t>
            </w:r>
          </w:p>
          <w:p w14:paraId="4BD5C9A3" w14:textId="77777777" w:rsidR="00E77831" w:rsidRDefault="00E77831">
            <w:pPr>
              <w:spacing w:line="360" w:lineRule="auto"/>
              <w:rPr>
                <w:rFonts w:ascii="Arial" w:hAnsi="Arial" w:cs="Arial"/>
                <w:sz w:val="24"/>
                <w:szCs w:val="24"/>
              </w:rPr>
            </w:pPr>
          </w:p>
          <w:p w14:paraId="63A558A4" w14:textId="77777777" w:rsidR="00E77831" w:rsidRDefault="00000000">
            <w:pPr>
              <w:spacing w:line="360" w:lineRule="auto"/>
              <w:rPr>
                <w:rFonts w:ascii="Arial" w:hAnsi="Arial" w:cs="Arial"/>
                <w:sz w:val="24"/>
                <w:szCs w:val="24"/>
              </w:rPr>
            </w:pPr>
            <w:r>
              <w:rPr>
                <w:rFonts w:ascii="Arial" w:hAnsi="Arial" w:cs="Arial"/>
                <w:sz w:val="24"/>
                <w:szCs w:val="24"/>
              </w:rPr>
              <w:t xml:space="preserve">12. A review of challenges and opportunities blockchain adoption for operational excellence in the UK automotive industry by Bitstream, 2020 </w:t>
            </w:r>
          </w:p>
          <w:p w14:paraId="59467108" w14:textId="77777777" w:rsidR="00E77831" w:rsidRDefault="00E77831">
            <w:pPr>
              <w:spacing w:line="360" w:lineRule="auto"/>
              <w:rPr>
                <w:rFonts w:ascii="Arial" w:hAnsi="Arial" w:cs="Arial"/>
                <w:sz w:val="24"/>
                <w:szCs w:val="24"/>
              </w:rPr>
            </w:pPr>
          </w:p>
          <w:p w14:paraId="7E6B177E" w14:textId="77777777" w:rsidR="00E77831" w:rsidRDefault="00000000">
            <w:pPr>
              <w:spacing w:line="360" w:lineRule="auto"/>
              <w:rPr>
                <w:rFonts w:ascii="Arial" w:hAnsi="Arial" w:cs="Arial"/>
                <w:sz w:val="24"/>
                <w:szCs w:val="24"/>
              </w:rPr>
            </w:pPr>
            <w:r>
              <w:rPr>
                <w:rFonts w:ascii="Arial" w:hAnsi="Arial" w:cs="Arial"/>
                <w:sz w:val="24"/>
                <w:szCs w:val="24"/>
              </w:rPr>
              <w:t xml:space="preserve">13. Pestle analysis on Toyota Prius by Sin et al. 2012 </w:t>
            </w:r>
          </w:p>
          <w:p w14:paraId="6D7149F0" w14:textId="77777777" w:rsidR="00E77831" w:rsidRDefault="00E77831">
            <w:pPr>
              <w:spacing w:line="360" w:lineRule="auto"/>
              <w:rPr>
                <w:rFonts w:ascii="Arial" w:hAnsi="Arial" w:cs="Arial"/>
                <w:sz w:val="24"/>
                <w:szCs w:val="24"/>
              </w:rPr>
            </w:pPr>
          </w:p>
          <w:p w14:paraId="2E2E5E1F" w14:textId="77777777" w:rsidR="00E77831" w:rsidRDefault="00E77831">
            <w:pPr>
              <w:spacing w:line="360" w:lineRule="auto"/>
              <w:rPr>
                <w:rFonts w:ascii="Arial" w:hAnsi="Arial" w:cs="Arial"/>
                <w:sz w:val="24"/>
                <w:szCs w:val="24"/>
              </w:rPr>
            </w:pPr>
          </w:p>
          <w:p w14:paraId="43DD8E53" w14:textId="77777777" w:rsidR="00E77831" w:rsidRDefault="00000000">
            <w:pPr>
              <w:spacing w:line="360" w:lineRule="auto"/>
              <w:rPr>
                <w:rFonts w:ascii="Arial" w:hAnsi="Arial" w:cs="Arial"/>
                <w:sz w:val="24"/>
                <w:szCs w:val="24"/>
              </w:rPr>
            </w:pPr>
            <w:r>
              <w:rPr>
                <w:rFonts w:ascii="Arial" w:hAnsi="Arial" w:cs="Arial"/>
                <w:sz w:val="24"/>
                <w:szCs w:val="24"/>
              </w:rPr>
              <w:t xml:space="preserve">14. Green Marketing and Green Brand - The Toyota case by Simao &amp; Lisboa, 2017 </w:t>
            </w:r>
          </w:p>
          <w:p w14:paraId="25A9CF6F" w14:textId="77777777" w:rsidR="00E77831" w:rsidRDefault="00E77831">
            <w:pPr>
              <w:spacing w:line="360" w:lineRule="auto"/>
              <w:rPr>
                <w:rFonts w:ascii="Arial" w:hAnsi="Arial" w:cs="Arial"/>
                <w:sz w:val="24"/>
                <w:szCs w:val="24"/>
              </w:rPr>
            </w:pPr>
          </w:p>
          <w:p w14:paraId="7E87A186" w14:textId="77777777" w:rsidR="00E77831" w:rsidRDefault="00000000">
            <w:pPr>
              <w:spacing w:line="360" w:lineRule="auto"/>
              <w:rPr>
                <w:rFonts w:ascii="Arial" w:hAnsi="Arial" w:cs="Arial"/>
                <w:sz w:val="24"/>
                <w:szCs w:val="24"/>
              </w:rPr>
            </w:pPr>
            <w:r>
              <w:rPr>
                <w:rFonts w:ascii="Arial" w:hAnsi="Arial" w:cs="Arial"/>
                <w:sz w:val="24"/>
                <w:szCs w:val="24"/>
              </w:rPr>
              <w:lastRenderedPageBreak/>
              <w:t xml:space="preserve">15. Sustainability marketing and the Toyota way by Rouault, 2020 </w:t>
            </w:r>
          </w:p>
          <w:p w14:paraId="344C8778" w14:textId="77777777" w:rsidR="00E77831" w:rsidRDefault="00E77831">
            <w:pPr>
              <w:spacing w:line="360" w:lineRule="auto"/>
              <w:rPr>
                <w:rFonts w:ascii="Arial" w:hAnsi="Arial" w:cs="Arial"/>
                <w:sz w:val="24"/>
                <w:szCs w:val="24"/>
              </w:rPr>
            </w:pPr>
          </w:p>
          <w:p w14:paraId="76F5CEBF" w14:textId="77777777" w:rsidR="00E77831" w:rsidRDefault="00E77831">
            <w:pPr>
              <w:spacing w:line="360" w:lineRule="auto"/>
              <w:rPr>
                <w:rFonts w:ascii="Arial" w:hAnsi="Arial" w:cs="Arial"/>
                <w:sz w:val="24"/>
                <w:szCs w:val="24"/>
              </w:rPr>
            </w:pPr>
          </w:p>
          <w:p w14:paraId="4F097284" w14:textId="77777777" w:rsidR="00E77831" w:rsidRDefault="00000000">
            <w:pPr>
              <w:spacing w:line="360" w:lineRule="auto"/>
              <w:rPr>
                <w:rFonts w:ascii="Arial" w:hAnsi="Arial" w:cs="Arial"/>
                <w:sz w:val="24"/>
                <w:szCs w:val="24"/>
              </w:rPr>
            </w:pPr>
            <w:r>
              <w:rPr>
                <w:rFonts w:ascii="Arial" w:hAnsi="Arial" w:cs="Arial"/>
                <w:sz w:val="24"/>
                <w:szCs w:val="24"/>
              </w:rPr>
              <w:t xml:space="preserve">16. Toyota RAV4 model year marketing plan for the UK by Ponce, 2014 </w:t>
            </w:r>
          </w:p>
          <w:p w14:paraId="387B18FB" w14:textId="77777777" w:rsidR="00E77831" w:rsidRDefault="00E77831">
            <w:pPr>
              <w:spacing w:line="360" w:lineRule="auto"/>
              <w:rPr>
                <w:rFonts w:ascii="Arial" w:hAnsi="Arial" w:cs="Arial"/>
                <w:sz w:val="24"/>
                <w:szCs w:val="24"/>
              </w:rPr>
            </w:pPr>
          </w:p>
          <w:p w14:paraId="657A25A8" w14:textId="77777777" w:rsidR="00E77831" w:rsidRDefault="00E77831">
            <w:pPr>
              <w:spacing w:line="360" w:lineRule="auto"/>
              <w:rPr>
                <w:rFonts w:ascii="Arial" w:hAnsi="Arial" w:cs="Arial"/>
                <w:sz w:val="24"/>
                <w:szCs w:val="24"/>
              </w:rPr>
            </w:pPr>
          </w:p>
          <w:p w14:paraId="1A037B05" w14:textId="77777777" w:rsidR="00E77831" w:rsidRDefault="00E77831">
            <w:pPr>
              <w:spacing w:line="360" w:lineRule="auto"/>
              <w:rPr>
                <w:rFonts w:ascii="Arial" w:hAnsi="Arial" w:cs="Arial"/>
                <w:sz w:val="24"/>
                <w:szCs w:val="24"/>
              </w:rPr>
            </w:pPr>
          </w:p>
          <w:p w14:paraId="12933241" w14:textId="77777777" w:rsidR="00E77831" w:rsidRDefault="00000000">
            <w:pPr>
              <w:spacing w:line="360" w:lineRule="auto"/>
              <w:rPr>
                <w:rFonts w:ascii="Arial" w:hAnsi="Arial" w:cs="Arial"/>
                <w:sz w:val="24"/>
                <w:szCs w:val="24"/>
              </w:rPr>
            </w:pPr>
            <w:r>
              <w:rPr>
                <w:rFonts w:ascii="Arial" w:hAnsi="Arial" w:cs="Arial"/>
                <w:sz w:val="24"/>
                <w:szCs w:val="24"/>
              </w:rPr>
              <w:t xml:space="preserve">17. Online branding strategies of Toyota by Naser, 2021 </w:t>
            </w:r>
          </w:p>
          <w:p w14:paraId="33FBAD5F" w14:textId="77777777" w:rsidR="00E77831" w:rsidRDefault="00E77831">
            <w:pPr>
              <w:spacing w:line="360" w:lineRule="auto"/>
              <w:rPr>
                <w:rFonts w:ascii="Arial" w:hAnsi="Arial" w:cs="Arial"/>
                <w:sz w:val="24"/>
                <w:szCs w:val="24"/>
              </w:rPr>
            </w:pPr>
          </w:p>
          <w:p w14:paraId="5936F378" w14:textId="77777777" w:rsidR="00E77831" w:rsidRDefault="00000000">
            <w:pPr>
              <w:spacing w:line="360" w:lineRule="auto"/>
              <w:rPr>
                <w:rFonts w:ascii="Arial" w:hAnsi="Arial" w:cs="Arial"/>
                <w:sz w:val="24"/>
                <w:szCs w:val="24"/>
              </w:rPr>
            </w:pPr>
            <w:r>
              <w:rPr>
                <w:rFonts w:ascii="Arial" w:hAnsi="Arial" w:cs="Arial"/>
                <w:sz w:val="24"/>
                <w:szCs w:val="24"/>
              </w:rPr>
              <w:t xml:space="preserve">18. Analysis of Toyota's marketing strategy in the UK market by Hoque et al, 2013 </w:t>
            </w:r>
          </w:p>
          <w:p w14:paraId="2C273A41" w14:textId="77777777" w:rsidR="00E77831" w:rsidRDefault="00E77831">
            <w:pPr>
              <w:spacing w:line="360" w:lineRule="auto"/>
              <w:rPr>
                <w:rFonts w:ascii="Arial" w:hAnsi="Arial" w:cs="Arial"/>
                <w:sz w:val="24"/>
                <w:szCs w:val="24"/>
              </w:rPr>
            </w:pPr>
          </w:p>
          <w:p w14:paraId="77F2AC85" w14:textId="416B4D55" w:rsidR="00E77831" w:rsidRDefault="00000000">
            <w:pPr>
              <w:spacing w:line="360" w:lineRule="auto"/>
              <w:rPr>
                <w:rFonts w:ascii="Arial" w:hAnsi="Arial" w:cs="Arial"/>
                <w:sz w:val="24"/>
                <w:szCs w:val="24"/>
              </w:rPr>
            </w:pPr>
            <w:r>
              <w:rPr>
                <w:rFonts w:ascii="Arial" w:hAnsi="Arial" w:cs="Arial"/>
                <w:sz w:val="24"/>
                <w:szCs w:val="24"/>
              </w:rPr>
              <w:t xml:space="preserve">19. Car advertising and environmental greenwashing by Hickman, 2023 </w:t>
            </w:r>
          </w:p>
        </w:tc>
        <w:tc>
          <w:tcPr>
            <w:tcW w:w="4680" w:type="dxa"/>
            <w:tcBorders>
              <w:top w:val="single" w:sz="4" w:space="0" w:color="auto"/>
              <w:left w:val="single" w:sz="4" w:space="0" w:color="auto"/>
              <w:bottom w:val="single" w:sz="4" w:space="0" w:color="auto"/>
              <w:right w:val="single" w:sz="4" w:space="0" w:color="auto"/>
            </w:tcBorders>
          </w:tcPr>
          <w:p w14:paraId="33D17383" w14:textId="77777777" w:rsidR="00E77831" w:rsidRDefault="00000000">
            <w:pPr>
              <w:spacing w:line="360" w:lineRule="auto"/>
              <w:rPr>
                <w:rFonts w:ascii="Arial" w:hAnsi="Arial" w:cs="Arial"/>
                <w:sz w:val="24"/>
                <w:szCs w:val="24"/>
              </w:rPr>
            </w:pPr>
            <w:r>
              <w:rPr>
                <w:rFonts w:ascii="Arial" w:hAnsi="Arial" w:cs="Arial"/>
                <w:sz w:val="24"/>
                <w:szCs w:val="24"/>
              </w:rPr>
              <w:lastRenderedPageBreak/>
              <w:t xml:space="preserve">It is used to analyze the role of hybrid and electric vehicles in achieving the Sustainable competitive advantage and opportunities and challenges faced by Toyota in the UK. </w:t>
            </w:r>
          </w:p>
          <w:p w14:paraId="0549328C" w14:textId="77777777" w:rsidR="00E77831" w:rsidRDefault="00E77831">
            <w:pPr>
              <w:spacing w:line="360" w:lineRule="auto"/>
              <w:rPr>
                <w:rFonts w:ascii="Arial" w:hAnsi="Arial" w:cs="Arial"/>
                <w:sz w:val="24"/>
                <w:szCs w:val="24"/>
              </w:rPr>
            </w:pPr>
          </w:p>
          <w:p w14:paraId="6424E30C" w14:textId="77777777" w:rsidR="00E77831" w:rsidRDefault="00000000">
            <w:pPr>
              <w:spacing w:line="360" w:lineRule="auto"/>
              <w:rPr>
                <w:rFonts w:ascii="Arial" w:hAnsi="Arial" w:cs="Arial"/>
                <w:sz w:val="24"/>
                <w:szCs w:val="24"/>
              </w:rPr>
            </w:pPr>
            <w:r>
              <w:rPr>
                <w:rFonts w:ascii="Arial" w:hAnsi="Arial" w:cs="Arial"/>
                <w:sz w:val="24"/>
                <w:szCs w:val="24"/>
              </w:rPr>
              <w:t xml:space="preserve">It is used to analyze the reuse practice of Toyota in the UK. How Toyota uses the 4 R (Reuse, reduce, recover, and recycle) </w:t>
            </w:r>
            <w:r>
              <w:rPr>
                <w:rFonts w:ascii="Arial" w:hAnsi="Arial" w:cs="Arial"/>
                <w:sz w:val="24"/>
                <w:szCs w:val="24"/>
              </w:rPr>
              <w:lastRenderedPageBreak/>
              <w:t>activity in the UK and how they contribute to controlling environmental pollution.</w:t>
            </w:r>
          </w:p>
          <w:p w14:paraId="76273A6B" w14:textId="77777777" w:rsidR="00E77831" w:rsidRDefault="00E77831">
            <w:pPr>
              <w:spacing w:line="360" w:lineRule="auto"/>
              <w:rPr>
                <w:rFonts w:ascii="Arial" w:hAnsi="Arial" w:cs="Arial"/>
                <w:sz w:val="24"/>
                <w:szCs w:val="24"/>
              </w:rPr>
            </w:pPr>
          </w:p>
          <w:p w14:paraId="59F90CC3" w14:textId="77777777" w:rsidR="00E77831" w:rsidRDefault="00000000">
            <w:pPr>
              <w:spacing w:line="360" w:lineRule="auto"/>
              <w:rPr>
                <w:rFonts w:ascii="Arial" w:hAnsi="Arial" w:cs="Arial"/>
                <w:sz w:val="24"/>
                <w:szCs w:val="24"/>
              </w:rPr>
            </w:pPr>
            <w:r>
              <w:rPr>
                <w:rFonts w:ascii="Arial" w:hAnsi="Arial" w:cs="Arial"/>
                <w:sz w:val="24"/>
                <w:szCs w:val="24"/>
              </w:rPr>
              <w:t>It is used to analyze the various shows and advertising shows organized by Toyota UK to engage more customers.</w:t>
            </w:r>
          </w:p>
          <w:p w14:paraId="426B7247" w14:textId="77777777" w:rsidR="00E77831" w:rsidRDefault="00E77831">
            <w:pPr>
              <w:spacing w:line="360" w:lineRule="auto"/>
              <w:rPr>
                <w:rFonts w:ascii="Arial" w:hAnsi="Arial" w:cs="Arial"/>
                <w:sz w:val="24"/>
                <w:szCs w:val="24"/>
              </w:rPr>
            </w:pPr>
          </w:p>
          <w:p w14:paraId="2F0BD4AD" w14:textId="77777777" w:rsidR="00E77831" w:rsidRDefault="00E77831">
            <w:pPr>
              <w:spacing w:line="360" w:lineRule="auto"/>
              <w:rPr>
                <w:rFonts w:ascii="Arial" w:hAnsi="Arial" w:cs="Arial"/>
                <w:sz w:val="24"/>
                <w:szCs w:val="24"/>
              </w:rPr>
            </w:pPr>
          </w:p>
          <w:p w14:paraId="73EAC43D" w14:textId="77777777" w:rsidR="00E77831" w:rsidRDefault="00E77831">
            <w:pPr>
              <w:spacing w:line="360" w:lineRule="auto"/>
              <w:rPr>
                <w:rFonts w:ascii="Arial" w:hAnsi="Arial" w:cs="Arial"/>
                <w:sz w:val="24"/>
                <w:szCs w:val="24"/>
              </w:rPr>
            </w:pPr>
          </w:p>
          <w:p w14:paraId="10775EBC" w14:textId="77777777" w:rsidR="00E77831" w:rsidRDefault="00000000">
            <w:pPr>
              <w:spacing w:line="360" w:lineRule="auto"/>
              <w:rPr>
                <w:rFonts w:ascii="Arial" w:hAnsi="Arial" w:cs="Arial"/>
                <w:sz w:val="24"/>
                <w:szCs w:val="24"/>
              </w:rPr>
            </w:pPr>
            <w:r>
              <w:rPr>
                <w:rFonts w:ascii="Arial" w:hAnsi="Arial" w:cs="Arial"/>
                <w:sz w:val="24"/>
                <w:szCs w:val="24"/>
              </w:rPr>
              <w:t>It is used to analyze the role of end-of-life vehicles in manufacturing recyclable, reusable, reducible, and recovering products (4R) to reduce environmental pollution.</w:t>
            </w:r>
          </w:p>
          <w:p w14:paraId="4E7A0E77" w14:textId="77777777" w:rsidR="00E77831" w:rsidRDefault="00E77831">
            <w:pPr>
              <w:spacing w:line="360" w:lineRule="auto"/>
              <w:rPr>
                <w:rFonts w:ascii="Arial" w:hAnsi="Arial" w:cs="Arial"/>
                <w:sz w:val="24"/>
                <w:szCs w:val="24"/>
              </w:rPr>
            </w:pPr>
          </w:p>
          <w:p w14:paraId="3B89BF9A" w14:textId="77777777" w:rsidR="00E77831" w:rsidRDefault="00000000">
            <w:pPr>
              <w:spacing w:line="360" w:lineRule="auto"/>
              <w:rPr>
                <w:rFonts w:ascii="Arial" w:hAnsi="Arial" w:cs="Arial"/>
                <w:sz w:val="24"/>
                <w:szCs w:val="24"/>
              </w:rPr>
            </w:pPr>
            <w:r>
              <w:rPr>
                <w:rFonts w:ascii="Arial" w:hAnsi="Arial" w:cs="Arial"/>
                <w:sz w:val="24"/>
                <w:szCs w:val="24"/>
              </w:rPr>
              <w:t>To analyze the various operations and strategies applied by Toyota UK to reduce environmental pollution and save water to attract more customers.</w:t>
            </w:r>
          </w:p>
          <w:p w14:paraId="2E883EA7" w14:textId="77777777" w:rsidR="00E77831" w:rsidRDefault="00E77831">
            <w:pPr>
              <w:spacing w:line="360" w:lineRule="auto"/>
              <w:rPr>
                <w:rFonts w:ascii="Arial" w:hAnsi="Arial" w:cs="Arial"/>
                <w:sz w:val="24"/>
                <w:szCs w:val="24"/>
              </w:rPr>
            </w:pPr>
          </w:p>
          <w:p w14:paraId="3BD85FFD" w14:textId="77777777" w:rsidR="00E77831" w:rsidRDefault="00E77831">
            <w:pPr>
              <w:spacing w:line="360" w:lineRule="auto"/>
              <w:rPr>
                <w:rFonts w:ascii="Arial" w:hAnsi="Arial" w:cs="Arial"/>
                <w:sz w:val="24"/>
                <w:szCs w:val="24"/>
              </w:rPr>
            </w:pPr>
          </w:p>
          <w:p w14:paraId="76E74626" w14:textId="77777777" w:rsidR="00E77831" w:rsidRDefault="00000000">
            <w:pPr>
              <w:spacing w:line="360" w:lineRule="auto"/>
              <w:rPr>
                <w:rFonts w:ascii="Arial" w:hAnsi="Arial" w:cs="Arial"/>
                <w:sz w:val="24"/>
                <w:szCs w:val="24"/>
              </w:rPr>
            </w:pPr>
            <w:r>
              <w:rPr>
                <w:rFonts w:ascii="Arial" w:hAnsi="Arial" w:cs="Arial"/>
                <w:sz w:val="24"/>
                <w:szCs w:val="24"/>
              </w:rPr>
              <w:t>To analyze the role of green operations in the UK automobile industry.</w:t>
            </w:r>
          </w:p>
          <w:p w14:paraId="217B0675" w14:textId="77777777" w:rsidR="00E77831" w:rsidRDefault="00E77831">
            <w:pPr>
              <w:spacing w:line="360" w:lineRule="auto"/>
              <w:rPr>
                <w:rFonts w:ascii="Arial" w:hAnsi="Arial" w:cs="Arial"/>
                <w:sz w:val="24"/>
                <w:szCs w:val="24"/>
              </w:rPr>
            </w:pPr>
          </w:p>
          <w:p w14:paraId="07B38AA7" w14:textId="77777777" w:rsidR="00E77831" w:rsidRDefault="00E77831">
            <w:pPr>
              <w:spacing w:line="360" w:lineRule="auto"/>
              <w:rPr>
                <w:rFonts w:ascii="Arial" w:hAnsi="Arial" w:cs="Arial"/>
                <w:sz w:val="24"/>
                <w:szCs w:val="24"/>
              </w:rPr>
            </w:pPr>
          </w:p>
          <w:p w14:paraId="0DDADB79" w14:textId="77777777" w:rsidR="00E77831" w:rsidRDefault="00000000">
            <w:pPr>
              <w:spacing w:line="360" w:lineRule="auto"/>
              <w:rPr>
                <w:rFonts w:ascii="Arial" w:hAnsi="Arial" w:cs="Arial"/>
                <w:sz w:val="24"/>
                <w:szCs w:val="24"/>
              </w:rPr>
            </w:pPr>
            <w:r>
              <w:rPr>
                <w:rFonts w:ascii="Arial" w:hAnsi="Arial" w:cs="Arial"/>
                <w:sz w:val="24"/>
                <w:szCs w:val="24"/>
              </w:rPr>
              <w:t xml:space="preserve">To analyze the role of green products of Toyota in the UK to reduce greenhouse gases and to engage more customers. </w:t>
            </w:r>
          </w:p>
          <w:p w14:paraId="20226A48" w14:textId="77777777" w:rsidR="00E77831" w:rsidRDefault="00E77831">
            <w:pPr>
              <w:spacing w:line="360" w:lineRule="auto"/>
              <w:rPr>
                <w:rFonts w:ascii="Arial" w:hAnsi="Arial" w:cs="Arial"/>
                <w:sz w:val="24"/>
                <w:szCs w:val="24"/>
              </w:rPr>
            </w:pPr>
          </w:p>
          <w:p w14:paraId="6353FDE8" w14:textId="77777777" w:rsidR="00E77831" w:rsidRDefault="00E77831">
            <w:pPr>
              <w:spacing w:line="360" w:lineRule="auto"/>
              <w:rPr>
                <w:rFonts w:ascii="Arial" w:hAnsi="Arial" w:cs="Arial"/>
                <w:sz w:val="24"/>
                <w:szCs w:val="24"/>
              </w:rPr>
            </w:pPr>
          </w:p>
          <w:p w14:paraId="28409E80" w14:textId="77777777" w:rsidR="00E77831" w:rsidRDefault="00000000">
            <w:pPr>
              <w:spacing w:line="360" w:lineRule="auto"/>
              <w:rPr>
                <w:rFonts w:ascii="Arial" w:hAnsi="Arial" w:cs="Arial"/>
                <w:sz w:val="24"/>
                <w:szCs w:val="24"/>
              </w:rPr>
            </w:pPr>
            <w:r>
              <w:rPr>
                <w:rFonts w:ascii="Arial" w:hAnsi="Arial" w:cs="Arial"/>
                <w:sz w:val="24"/>
                <w:szCs w:val="24"/>
              </w:rPr>
              <w:lastRenderedPageBreak/>
              <w:t>To analyze the role of a hydrogen cell in reducing global warming and greenhouse gas emissions.</w:t>
            </w:r>
          </w:p>
          <w:p w14:paraId="520D5995" w14:textId="77777777" w:rsidR="00E77831" w:rsidRDefault="00E77831">
            <w:pPr>
              <w:spacing w:line="360" w:lineRule="auto"/>
              <w:rPr>
                <w:rFonts w:ascii="Arial" w:hAnsi="Arial" w:cs="Arial"/>
                <w:sz w:val="24"/>
                <w:szCs w:val="24"/>
              </w:rPr>
            </w:pPr>
          </w:p>
          <w:p w14:paraId="65329519" w14:textId="77777777" w:rsidR="00E77831" w:rsidRDefault="00000000">
            <w:pPr>
              <w:spacing w:line="360" w:lineRule="auto"/>
              <w:rPr>
                <w:rFonts w:ascii="Arial" w:hAnsi="Arial" w:cs="Arial"/>
                <w:sz w:val="24"/>
                <w:szCs w:val="24"/>
              </w:rPr>
            </w:pPr>
            <w:r>
              <w:rPr>
                <w:rFonts w:ascii="Arial" w:hAnsi="Arial" w:cs="Arial"/>
                <w:sz w:val="24"/>
                <w:szCs w:val="24"/>
              </w:rPr>
              <w:t>Role of environmentally friendly vehicles of Toyota UK and the use of environmental management system in the production of green products.</w:t>
            </w:r>
          </w:p>
          <w:p w14:paraId="608ED678" w14:textId="77777777" w:rsidR="00E77831" w:rsidRDefault="00E77831">
            <w:pPr>
              <w:spacing w:line="360" w:lineRule="auto"/>
              <w:rPr>
                <w:rFonts w:ascii="Arial" w:hAnsi="Arial" w:cs="Arial"/>
                <w:sz w:val="24"/>
                <w:szCs w:val="24"/>
              </w:rPr>
            </w:pPr>
          </w:p>
          <w:p w14:paraId="62C69322" w14:textId="77777777" w:rsidR="00E77831" w:rsidRDefault="00000000">
            <w:pPr>
              <w:spacing w:line="360" w:lineRule="auto"/>
              <w:rPr>
                <w:rFonts w:ascii="Arial" w:hAnsi="Arial" w:cs="Arial"/>
                <w:sz w:val="24"/>
                <w:szCs w:val="24"/>
              </w:rPr>
            </w:pPr>
            <w:r>
              <w:rPr>
                <w:rFonts w:ascii="Arial" w:hAnsi="Arial" w:cs="Arial"/>
                <w:sz w:val="24"/>
                <w:szCs w:val="24"/>
              </w:rPr>
              <w:t>To determine the role of a Toyota production system (Lean production system) and marketing management as a catalyst in Toyota UK.</w:t>
            </w:r>
          </w:p>
          <w:p w14:paraId="77075B83" w14:textId="77777777" w:rsidR="00E77831" w:rsidRDefault="00E77831">
            <w:pPr>
              <w:spacing w:line="360" w:lineRule="auto"/>
              <w:rPr>
                <w:rFonts w:ascii="Arial" w:hAnsi="Arial" w:cs="Arial"/>
                <w:sz w:val="24"/>
                <w:szCs w:val="24"/>
              </w:rPr>
            </w:pPr>
          </w:p>
          <w:p w14:paraId="704E9A76" w14:textId="77777777" w:rsidR="00E77831" w:rsidRDefault="00000000">
            <w:pPr>
              <w:spacing w:line="360" w:lineRule="auto"/>
              <w:rPr>
                <w:rFonts w:ascii="Arial" w:hAnsi="Arial" w:cs="Arial"/>
                <w:sz w:val="24"/>
                <w:szCs w:val="24"/>
              </w:rPr>
            </w:pPr>
            <w:r>
              <w:rPr>
                <w:rFonts w:ascii="Arial" w:hAnsi="Arial" w:cs="Arial"/>
                <w:sz w:val="24"/>
                <w:szCs w:val="24"/>
              </w:rPr>
              <w:t>It is used to analyze the external and internal factors affecting the business environment.</w:t>
            </w:r>
          </w:p>
          <w:p w14:paraId="12889409" w14:textId="77777777" w:rsidR="00E77831" w:rsidRDefault="00E77831">
            <w:pPr>
              <w:spacing w:line="360" w:lineRule="auto"/>
              <w:rPr>
                <w:rFonts w:ascii="Arial" w:hAnsi="Arial" w:cs="Arial"/>
                <w:sz w:val="24"/>
                <w:szCs w:val="24"/>
              </w:rPr>
            </w:pPr>
          </w:p>
          <w:p w14:paraId="1CA3D7CA" w14:textId="77777777" w:rsidR="00E77831" w:rsidRDefault="00000000">
            <w:pPr>
              <w:spacing w:line="360" w:lineRule="auto"/>
              <w:rPr>
                <w:rFonts w:ascii="Arial" w:hAnsi="Arial" w:cs="Arial"/>
                <w:sz w:val="24"/>
                <w:szCs w:val="24"/>
              </w:rPr>
            </w:pPr>
            <w:r>
              <w:rPr>
                <w:rFonts w:ascii="Arial" w:hAnsi="Arial" w:cs="Arial"/>
                <w:sz w:val="24"/>
                <w:szCs w:val="24"/>
              </w:rPr>
              <w:t>It is used to analyze the various opportunities and challenges faced by Toyota in the UK and the implications of blockchain technology.</w:t>
            </w:r>
          </w:p>
          <w:p w14:paraId="549A34E7" w14:textId="77777777" w:rsidR="00E77831" w:rsidRDefault="00E77831">
            <w:pPr>
              <w:spacing w:line="360" w:lineRule="auto"/>
              <w:rPr>
                <w:rFonts w:ascii="Arial" w:hAnsi="Arial" w:cs="Arial"/>
                <w:sz w:val="24"/>
                <w:szCs w:val="24"/>
              </w:rPr>
            </w:pPr>
          </w:p>
          <w:p w14:paraId="3AEC5790" w14:textId="77777777" w:rsidR="00E77831" w:rsidRDefault="00000000">
            <w:pPr>
              <w:spacing w:line="360" w:lineRule="auto"/>
              <w:rPr>
                <w:rFonts w:ascii="Arial" w:hAnsi="Arial" w:cs="Arial"/>
                <w:sz w:val="24"/>
                <w:szCs w:val="24"/>
              </w:rPr>
            </w:pPr>
            <w:r>
              <w:rPr>
                <w:rFonts w:ascii="Arial" w:hAnsi="Arial" w:cs="Arial"/>
                <w:sz w:val="24"/>
                <w:szCs w:val="24"/>
              </w:rPr>
              <w:t>To determine the political, environmental, social, legal, and environmental factors affecting Toyota UK.</w:t>
            </w:r>
          </w:p>
          <w:p w14:paraId="17E7FA65" w14:textId="77777777" w:rsidR="00E77831" w:rsidRDefault="00E77831">
            <w:pPr>
              <w:spacing w:line="360" w:lineRule="auto"/>
              <w:rPr>
                <w:rFonts w:ascii="Arial" w:hAnsi="Arial" w:cs="Arial"/>
                <w:sz w:val="24"/>
                <w:szCs w:val="24"/>
              </w:rPr>
            </w:pPr>
          </w:p>
          <w:p w14:paraId="397DA851" w14:textId="77777777" w:rsidR="00E77831" w:rsidRDefault="00000000">
            <w:pPr>
              <w:spacing w:line="360" w:lineRule="auto"/>
              <w:rPr>
                <w:rFonts w:ascii="Arial" w:hAnsi="Arial" w:cs="Arial"/>
                <w:sz w:val="24"/>
                <w:szCs w:val="24"/>
              </w:rPr>
            </w:pPr>
            <w:r>
              <w:rPr>
                <w:rFonts w:ascii="Arial" w:hAnsi="Arial" w:cs="Arial"/>
                <w:sz w:val="24"/>
                <w:szCs w:val="24"/>
              </w:rPr>
              <w:t>To Analyze the role of green Marketing and various challenges faced by Toyota in the UK.</w:t>
            </w:r>
          </w:p>
          <w:p w14:paraId="24AF0B09" w14:textId="77777777" w:rsidR="00E77831" w:rsidRDefault="00E77831">
            <w:pPr>
              <w:spacing w:line="360" w:lineRule="auto"/>
              <w:rPr>
                <w:rFonts w:ascii="Arial" w:hAnsi="Arial" w:cs="Arial"/>
                <w:sz w:val="24"/>
                <w:szCs w:val="24"/>
              </w:rPr>
            </w:pPr>
          </w:p>
          <w:p w14:paraId="6A47296A" w14:textId="77777777" w:rsidR="00E77831" w:rsidRDefault="00000000">
            <w:pPr>
              <w:spacing w:line="360" w:lineRule="auto"/>
              <w:rPr>
                <w:rFonts w:ascii="Arial" w:hAnsi="Arial" w:cs="Arial"/>
                <w:sz w:val="24"/>
                <w:szCs w:val="24"/>
              </w:rPr>
            </w:pPr>
            <w:r>
              <w:rPr>
                <w:rFonts w:ascii="Arial" w:hAnsi="Arial" w:cs="Arial"/>
                <w:sz w:val="24"/>
                <w:szCs w:val="24"/>
              </w:rPr>
              <w:lastRenderedPageBreak/>
              <w:t>To determine the role of sustainable marketing used by Toyota to achieve a sustainable competitive advantage.</w:t>
            </w:r>
          </w:p>
          <w:p w14:paraId="470CBCD8" w14:textId="77777777" w:rsidR="00E77831" w:rsidRDefault="00E77831">
            <w:pPr>
              <w:spacing w:line="360" w:lineRule="auto"/>
              <w:rPr>
                <w:rFonts w:ascii="Arial" w:hAnsi="Arial" w:cs="Arial"/>
                <w:sz w:val="24"/>
                <w:szCs w:val="24"/>
              </w:rPr>
            </w:pPr>
          </w:p>
          <w:p w14:paraId="4EB5958A" w14:textId="77777777" w:rsidR="00E77831" w:rsidRDefault="00000000">
            <w:pPr>
              <w:spacing w:line="360" w:lineRule="auto"/>
              <w:rPr>
                <w:rFonts w:ascii="Arial" w:hAnsi="Arial" w:cs="Arial"/>
                <w:sz w:val="24"/>
                <w:szCs w:val="24"/>
              </w:rPr>
            </w:pPr>
            <w:r>
              <w:rPr>
                <w:rFonts w:ascii="Arial" w:hAnsi="Arial" w:cs="Arial"/>
                <w:sz w:val="24"/>
                <w:szCs w:val="24"/>
              </w:rPr>
              <w:t>It is used to analyze the marketing strategies of the RAV 4 Toyota model in the UK and various advertising used by it to engage more customers.</w:t>
            </w:r>
          </w:p>
          <w:p w14:paraId="2736BEA1" w14:textId="77777777" w:rsidR="00E77831" w:rsidRDefault="00E77831">
            <w:pPr>
              <w:spacing w:line="360" w:lineRule="auto"/>
              <w:rPr>
                <w:rFonts w:ascii="Arial" w:hAnsi="Arial" w:cs="Arial"/>
                <w:sz w:val="24"/>
                <w:szCs w:val="24"/>
              </w:rPr>
            </w:pPr>
          </w:p>
          <w:p w14:paraId="7A3BE4C0" w14:textId="77777777" w:rsidR="00E77831" w:rsidRDefault="00000000">
            <w:pPr>
              <w:spacing w:line="360" w:lineRule="auto"/>
              <w:rPr>
                <w:rFonts w:ascii="Arial" w:hAnsi="Arial" w:cs="Arial"/>
                <w:sz w:val="24"/>
                <w:szCs w:val="24"/>
              </w:rPr>
            </w:pPr>
            <w:r>
              <w:rPr>
                <w:rFonts w:ascii="Arial" w:hAnsi="Arial" w:cs="Arial"/>
                <w:sz w:val="24"/>
                <w:szCs w:val="24"/>
              </w:rPr>
              <w:t xml:space="preserve">Analyzing the role of digital marketing in Toyota UK. </w:t>
            </w:r>
          </w:p>
          <w:p w14:paraId="66C397C7" w14:textId="77777777" w:rsidR="00E77831" w:rsidRDefault="00E77831">
            <w:pPr>
              <w:spacing w:line="360" w:lineRule="auto"/>
              <w:rPr>
                <w:rFonts w:ascii="Arial" w:hAnsi="Arial" w:cs="Arial"/>
                <w:sz w:val="24"/>
                <w:szCs w:val="24"/>
              </w:rPr>
            </w:pPr>
          </w:p>
          <w:p w14:paraId="78A29B36" w14:textId="77777777" w:rsidR="00E77831" w:rsidRDefault="00000000">
            <w:pPr>
              <w:spacing w:line="360" w:lineRule="auto"/>
              <w:rPr>
                <w:rFonts w:ascii="Arial" w:hAnsi="Arial" w:cs="Arial"/>
                <w:sz w:val="24"/>
                <w:szCs w:val="24"/>
              </w:rPr>
            </w:pPr>
            <w:r>
              <w:rPr>
                <w:rFonts w:ascii="Arial" w:hAnsi="Arial" w:cs="Arial"/>
                <w:sz w:val="24"/>
                <w:szCs w:val="24"/>
              </w:rPr>
              <w:t>To analyze the various marketing strategies used by Toyota in the UK and know the market share value of Toyota.</w:t>
            </w:r>
          </w:p>
          <w:p w14:paraId="1129525E" w14:textId="77777777" w:rsidR="00E77831" w:rsidRDefault="00E77831">
            <w:pPr>
              <w:spacing w:line="360" w:lineRule="auto"/>
              <w:rPr>
                <w:rFonts w:ascii="Arial" w:hAnsi="Arial" w:cs="Arial"/>
                <w:sz w:val="24"/>
                <w:szCs w:val="24"/>
              </w:rPr>
            </w:pPr>
          </w:p>
          <w:p w14:paraId="79499B6A" w14:textId="77777777" w:rsidR="00E77831" w:rsidRDefault="00000000">
            <w:pPr>
              <w:spacing w:line="360" w:lineRule="auto"/>
              <w:rPr>
                <w:rFonts w:ascii="Arial" w:hAnsi="Arial" w:cs="Arial"/>
                <w:sz w:val="24"/>
                <w:szCs w:val="24"/>
              </w:rPr>
            </w:pPr>
            <w:r>
              <w:rPr>
                <w:rFonts w:ascii="Arial" w:hAnsi="Arial" w:cs="Arial"/>
                <w:sz w:val="24"/>
                <w:szCs w:val="24"/>
              </w:rPr>
              <w:t>To analyze the green promotion strategy of Toyota in the UK.</w:t>
            </w:r>
          </w:p>
        </w:tc>
      </w:tr>
    </w:tbl>
    <w:p w14:paraId="73919A46" w14:textId="77777777" w:rsidR="00E77831" w:rsidRDefault="00E77831">
      <w:pPr>
        <w:spacing w:line="360" w:lineRule="auto"/>
        <w:rPr>
          <w:rFonts w:ascii="Arial" w:hAnsi="Arial" w:cs="Arial"/>
          <w:sz w:val="24"/>
          <w:szCs w:val="24"/>
        </w:rPr>
      </w:pPr>
    </w:p>
    <w:p w14:paraId="33D8728E" w14:textId="46839802" w:rsidR="00E77831" w:rsidRDefault="00000000">
      <w:pPr>
        <w:spacing w:line="360" w:lineRule="auto"/>
        <w:rPr>
          <w:rFonts w:ascii="Arial" w:hAnsi="Arial" w:cs="Arial"/>
          <w:b/>
          <w:bCs/>
          <w:sz w:val="28"/>
          <w:szCs w:val="28"/>
        </w:rPr>
      </w:pPr>
      <w:r>
        <w:rPr>
          <w:rFonts w:ascii="Arial" w:hAnsi="Arial" w:cs="Arial"/>
          <w:b/>
          <w:bCs/>
          <w:sz w:val="28"/>
          <w:szCs w:val="28"/>
        </w:rPr>
        <w:t>3.4 Research approach</w:t>
      </w:r>
      <w:r w:rsidR="00733FCF">
        <w:rPr>
          <w:rFonts w:ascii="Arial" w:hAnsi="Arial" w:cs="Arial"/>
          <w:b/>
          <w:bCs/>
          <w:sz w:val="28"/>
          <w:szCs w:val="28"/>
        </w:rPr>
        <w:t>:</w:t>
      </w:r>
    </w:p>
    <w:p w14:paraId="11AF86A2" w14:textId="77777777" w:rsidR="00E77831" w:rsidRDefault="00000000">
      <w:pPr>
        <w:spacing w:line="360" w:lineRule="auto"/>
        <w:rPr>
          <w:rFonts w:ascii="Arial" w:hAnsi="Arial" w:cs="Arial"/>
          <w:sz w:val="24"/>
          <w:szCs w:val="24"/>
        </w:rPr>
      </w:pPr>
      <w:r>
        <w:rPr>
          <w:rFonts w:ascii="Arial" w:hAnsi="Arial" w:cs="Arial"/>
          <w:sz w:val="24"/>
          <w:szCs w:val="24"/>
        </w:rPr>
        <w:t>The process of carrying out the study in a thorough manner is referred to as the research approach. There are two methods of conducting research Deductive and inductive. The method of deductive is defined as the process by which the hypothesis is formulated, and the null hypothesis is accepted or rejected using pre-existing theories. In contrast to an inductive approach, where the researcher moves from general, this flow is from general to. Using an inductive approach, the researcher begins by analyzing the theories and uses the data gathered to create a pattern (Soiferman, 2010, p. 8).</w:t>
      </w:r>
    </w:p>
    <w:p w14:paraId="15CCAE8D" w14:textId="77777777" w:rsidR="00E77831" w:rsidRDefault="00000000">
      <w:pPr>
        <w:spacing w:line="360" w:lineRule="auto"/>
        <w:rPr>
          <w:rFonts w:ascii="Arial" w:hAnsi="Arial" w:cs="Arial"/>
          <w:sz w:val="24"/>
          <w:szCs w:val="24"/>
        </w:rPr>
      </w:pPr>
      <w:r>
        <w:rPr>
          <w:rFonts w:ascii="Arial" w:hAnsi="Arial" w:cs="Arial"/>
          <w:sz w:val="24"/>
          <w:szCs w:val="24"/>
        </w:rPr>
        <w:t xml:space="preserve">In this research, the inductive method of research approach is used and 19 research articles, 4 case studies and Toyota websites were used to gather information about </w:t>
      </w:r>
      <w:r>
        <w:rPr>
          <w:rFonts w:ascii="Arial" w:hAnsi="Arial" w:cs="Arial"/>
          <w:sz w:val="24"/>
          <w:szCs w:val="24"/>
        </w:rPr>
        <w:lastRenderedPageBreak/>
        <w:t>Toyota UK's marketing share, the marketing strategy used by it and the effect of various factors on Toyota's marketing strategy.</w:t>
      </w:r>
    </w:p>
    <w:p w14:paraId="68510574" w14:textId="1378CE11" w:rsidR="00E77831" w:rsidRDefault="00000000">
      <w:pPr>
        <w:spacing w:line="360" w:lineRule="auto"/>
        <w:rPr>
          <w:rFonts w:ascii="Arial" w:hAnsi="Arial" w:cs="Arial"/>
          <w:b/>
          <w:bCs/>
          <w:sz w:val="28"/>
          <w:szCs w:val="28"/>
        </w:rPr>
      </w:pPr>
      <w:r>
        <w:rPr>
          <w:rFonts w:ascii="Arial" w:hAnsi="Arial" w:cs="Arial"/>
          <w:b/>
          <w:bCs/>
          <w:sz w:val="28"/>
          <w:szCs w:val="28"/>
        </w:rPr>
        <w:t>3.5 Data collection method</w:t>
      </w:r>
      <w:r w:rsidR="00733FCF">
        <w:rPr>
          <w:rFonts w:ascii="Arial" w:hAnsi="Arial" w:cs="Arial"/>
          <w:b/>
          <w:bCs/>
          <w:sz w:val="28"/>
          <w:szCs w:val="28"/>
        </w:rPr>
        <w:t>:</w:t>
      </w:r>
    </w:p>
    <w:p w14:paraId="074B0FC1" w14:textId="77777777" w:rsidR="00E77831" w:rsidRDefault="00000000">
      <w:pPr>
        <w:spacing w:line="360" w:lineRule="auto"/>
        <w:rPr>
          <w:rFonts w:ascii="Arial" w:hAnsi="Arial" w:cs="Arial"/>
          <w:sz w:val="24"/>
          <w:szCs w:val="24"/>
        </w:rPr>
      </w:pPr>
      <w:r>
        <w:rPr>
          <w:rFonts w:ascii="Arial" w:hAnsi="Arial" w:cs="Arial"/>
          <w:sz w:val="24"/>
          <w:szCs w:val="24"/>
        </w:rPr>
        <w:t xml:space="preserve">Data is a plural form of datum which means a piece of information. Data can be gathered during study, as a byproduct of an experiment, through observation, via study, or census. There are two types of data collection methods: Primary data and Secondary data. The way the researchers gather, examine, and interpret the study data is known as a research method. Secondary analysis is a systematic method with procedural and evaluative steps (Johnston, 2014, p. 620). </w:t>
      </w:r>
    </w:p>
    <w:p w14:paraId="65A82612" w14:textId="77777777" w:rsidR="00E77831" w:rsidRDefault="00000000">
      <w:pPr>
        <w:spacing w:line="360" w:lineRule="auto"/>
        <w:rPr>
          <w:rFonts w:ascii="Arial" w:hAnsi="Arial" w:cs="Arial"/>
          <w:sz w:val="24"/>
          <w:szCs w:val="24"/>
        </w:rPr>
      </w:pPr>
      <w:r>
        <w:rPr>
          <w:rFonts w:ascii="Arial" w:hAnsi="Arial" w:cs="Arial"/>
          <w:sz w:val="24"/>
          <w:szCs w:val="24"/>
        </w:rPr>
        <w:t>Secondary data collection involves the development of research questions and answering research questions by analyzing the available data (Tripathy, 2013, p. 1478) Primary data collection involves the collection of data for the first time. It involves the collection of data by sampling, by involving a no. Of participants in it. It involves interviews (face-to-face, semi-structured), questionaries, and survey reports. It is time-consuming and costly.</w:t>
      </w:r>
    </w:p>
    <w:p w14:paraId="7EC95AE6" w14:textId="77777777" w:rsidR="00E77831" w:rsidRDefault="00000000">
      <w:pPr>
        <w:spacing w:line="360" w:lineRule="auto"/>
        <w:rPr>
          <w:rFonts w:ascii="Arial" w:hAnsi="Arial" w:cs="Arial"/>
          <w:sz w:val="24"/>
          <w:szCs w:val="24"/>
        </w:rPr>
      </w:pPr>
      <w:r>
        <w:rPr>
          <w:rFonts w:ascii="Arial" w:hAnsi="Arial" w:cs="Arial"/>
          <w:sz w:val="24"/>
          <w:szCs w:val="24"/>
        </w:rPr>
        <w:t>In this dissertation, I choose secondary data analysis because it is cost-effective and available in a short period. It involves secondary data collection from case studies, articles, journals, research papers, and books for evaluating the research problem and answering the research questions. Analysis of 120 articles from the selected journals takes place, and 19 journal articles were selected, 4 case studies were selected to answer the various research questions and address the role of the green Marketing mix in Toyota UK to attain a sustainable competitive advantage.</w:t>
      </w:r>
    </w:p>
    <w:p w14:paraId="0DB12C02" w14:textId="77777777" w:rsidR="00E77831" w:rsidRDefault="00000000">
      <w:pPr>
        <w:spacing w:line="360" w:lineRule="auto"/>
        <w:rPr>
          <w:rFonts w:ascii="Arial" w:hAnsi="Arial" w:cs="Arial"/>
          <w:sz w:val="24"/>
          <w:szCs w:val="24"/>
        </w:rPr>
      </w:pPr>
      <w:r>
        <w:rPr>
          <w:rFonts w:ascii="Arial" w:hAnsi="Arial" w:cs="Arial"/>
          <w:sz w:val="24"/>
          <w:szCs w:val="24"/>
        </w:rPr>
        <w:t>Both dependent and independent variables were used in this research. Adoption of Differentiation and cost reduction strategy, Various macro, and micro business environments such as political, Economic, Environmental, and competition are the dependent variables.</w:t>
      </w:r>
    </w:p>
    <w:p w14:paraId="60F20558" w14:textId="77777777" w:rsidR="00E77831" w:rsidRDefault="00000000">
      <w:pPr>
        <w:spacing w:line="360" w:lineRule="auto"/>
        <w:rPr>
          <w:rFonts w:ascii="Arial" w:hAnsi="Arial" w:cs="Arial"/>
          <w:sz w:val="24"/>
          <w:szCs w:val="24"/>
        </w:rPr>
      </w:pPr>
      <w:r>
        <w:rPr>
          <w:rFonts w:ascii="Arial" w:hAnsi="Arial" w:cs="Arial"/>
          <w:sz w:val="24"/>
          <w:szCs w:val="24"/>
        </w:rPr>
        <w:t xml:space="preserve">And independent variable is </w:t>
      </w:r>
      <w:proofErr w:type="gramStart"/>
      <w:r>
        <w:rPr>
          <w:rFonts w:ascii="Arial" w:hAnsi="Arial" w:cs="Arial"/>
          <w:sz w:val="24"/>
          <w:szCs w:val="24"/>
        </w:rPr>
        <w:t>t</w:t>
      </w:r>
      <w:proofErr w:type="gramEnd"/>
      <w:r>
        <w:rPr>
          <w:rFonts w:ascii="Arial" w:hAnsi="Arial" w:cs="Arial"/>
          <w:sz w:val="24"/>
          <w:szCs w:val="24"/>
        </w:rPr>
        <w:t xml:space="preserve"> which is affected by the dependent variables, It includes the market share value of Toyota in the UK, its marketing strategy, position of Toyota in the UK.</w:t>
      </w:r>
    </w:p>
    <w:p w14:paraId="3FC3D8C9" w14:textId="2BEBC4B3" w:rsidR="00E77831" w:rsidRDefault="00000000">
      <w:pPr>
        <w:spacing w:line="360" w:lineRule="auto"/>
        <w:rPr>
          <w:rFonts w:ascii="Arial" w:hAnsi="Arial" w:cs="Arial"/>
          <w:b/>
          <w:bCs/>
          <w:sz w:val="28"/>
          <w:szCs w:val="28"/>
        </w:rPr>
      </w:pPr>
      <w:r>
        <w:rPr>
          <w:rFonts w:ascii="Arial" w:hAnsi="Arial" w:cs="Arial"/>
          <w:b/>
          <w:bCs/>
          <w:sz w:val="28"/>
          <w:szCs w:val="28"/>
        </w:rPr>
        <w:lastRenderedPageBreak/>
        <w:t xml:space="preserve">3.6 Ethical </w:t>
      </w:r>
      <w:r w:rsidR="004F0A7F">
        <w:rPr>
          <w:rFonts w:ascii="Arial" w:hAnsi="Arial" w:cs="Arial"/>
          <w:b/>
          <w:bCs/>
          <w:sz w:val="28"/>
          <w:szCs w:val="28"/>
        </w:rPr>
        <w:t>Considerations</w:t>
      </w:r>
      <w:r w:rsidR="00733FCF">
        <w:rPr>
          <w:rFonts w:ascii="Arial" w:hAnsi="Arial" w:cs="Arial"/>
          <w:b/>
          <w:bCs/>
          <w:sz w:val="28"/>
          <w:szCs w:val="28"/>
        </w:rPr>
        <w:t>:</w:t>
      </w:r>
    </w:p>
    <w:p w14:paraId="57606C5D" w14:textId="1239C2D3" w:rsidR="00E77831" w:rsidRDefault="00000000">
      <w:pPr>
        <w:spacing w:line="360" w:lineRule="auto"/>
        <w:rPr>
          <w:rFonts w:ascii="Arial" w:hAnsi="Arial" w:cs="Arial"/>
          <w:sz w:val="24"/>
          <w:szCs w:val="24"/>
        </w:rPr>
      </w:pPr>
      <w:r>
        <w:rPr>
          <w:rFonts w:ascii="Arial" w:hAnsi="Arial" w:cs="Arial"/>
          <w:sz w:val="24"/>
          <w:szCs w:val="24"/>
        </w:rPr>
        <w:t xml:space="preserve">Ethics in research indicate the ethical standards of science. </w:t>
      </w:r>
      <w:r w:rsidR="00D153BF" w:rsidRPr="00D153BF">
        <w:rPr>
          <w:rFonts w:ascii="Arial" w:hAnsi="Arial" w:cs="Arial"/>
          <w:sz w:val="24"/>
          <w:szCs w:val="24"/>
        </w:rPr>
        <w:t>The study's ethical principles define the fundamental ideas and beliefs of the scientific community. Similarly, the moral standards of society determine general morality. Academic researchers' conduct is governed by research ethics. To protect study participants' rights and dignity</w:t>
      </w:r>
      <w:r w:rsidR="00D153BF">
        <w:rPr>
          <w:rFonts w:ascii="Arial" w:hAnsi="Arial" w:cs="Arial"/>
          <w:sz w:val="24"/>
          <w:szCs w:val="24"/>
        </w:rPr>
        <w:t>. Ethical</w:t>
      </w:r>
      <w:r>
        <w:rPr>
          <w:rFonts w:ascii="Arial" w:hAnsi="Arial" w:cs="Arial"/>
          <w:sz w:val="24"/>
          <w:szCs w:val="24"/>
        </w:rPr>
        <w:t xml:space="preserve"> principles are crucial. All studies involving human subjects should be received by the ethical community to make sure that sufficient ethical guidelines are being adhered to. The core values of ethical review are beneficence, equality, and autonomy. Numerous Research on moral and social values like corporate responsibility, human dignity, animal rights, and legal compliance (Hasan et al., 2021, p. 1).</w:t>
      </w:r>
    </w:p>
    <w:p w14:paraId="292A015B" w14:textId="77777777" w:rsidR="00E77831" w:rsidRDefault="00000000">
      <w:pPr>
        <w:spacing w:line="360" w:lineRule="auto"/>
        <w:rPr>
          <w:rFonts w:ascii="Arial" w:hAnsi="Arial" w:cs="Arial"/>
          <w:sz w:val="24"/>
          <w:szCs w:val="24"/>
        </w:rPr>
      </w:pPr>
      <w:r>
        <w:rPr>
          <w:rFonts w:ascii="Arial" w:hAnsi="Arial" w:cs="Arial"/>
          <w:sz w:val="24"/>
          <w:szCs w:val="24"/>
        </w:rPr>
        <w:t>Good research must include ethical considerations. According to it, research is done in such a way that may not harm any participants or the environment. It includes the validity and reliability of the information.</w:t>
      </w:r>
    </w:p>
    <w:p w14:paraId="4B82C42B" w14:textId="64488952" w:rsidR="00E77831" w:rsidRDefault="00000000">
      <w:pPr>
        <w:spacing w:line="360" w:lineRule="auto"/>
        <w:rPr>
          <w:rFonts w:ascii="Arial" w:hAnsi="Arial" w:cs="Arial"/>
          <w:sz w:val="24"/>
          <w:szCs w:val="24"/>
        </w:rPr>
      </w:pPr>
      <w:r>
        <w:rPr>
          <w:rFonts w:ascii="Arial" w:hAnsi="Arial" w:cs="Arial"/>
          <w:sz w:val="24"/>
          <w:szCs w:val="24"/>
        </w:rPr>
        <w:t xml:space="preserve">Validity and reliability are terms used to evaluate the </w:t>
      </w:r>
      <w:r w:rsidR="000106B0">
        <w:rPr>
          <w:rFonts w:ascii="Arial" w:hAnsi="Arial" w:cs="Arial"/>
          <w:sz w:val="24"/>
          <w:szCs w:val="24"/>
        </w:rPr>
        <w:t>Caliber</w:t>
      </w:r>
      <w:r>
        <w:rPr>
          <w:rFonts w:ascii="Arial" w:hAnsi="Arial" w:cs="Arial"/>
          <w:sz w:val="24"/>
          <w:szCs w:val="24"/>
        </w:rPr>
        <w:t xml:space="preserve"> of research. They explain the degree of accuracy with which a test, procedure, or method measures something. While consistency is what reliability is concerned with, validity is concerned with maximum precision (Hasan et al., 2021, p. 2).</w:t>
      </w:r>
    </w:p>
    <w:p w14:paraId="72AC83BA" w14:textId="77777777" w:rsidR="00E77831" w:rsidRDefault="00000000">
      <w:pPr>
        <w:spacing w:line="360" w:lineRule="auto"/>
        <w:rPr>
          <w:rFonts w:ascii="Arial" w:hAnsi="Arial" w:cs="Arial"/>
          <w:sz w:val="24"/>
          <w:szCs w:val="24"/>
        </w:rPr>
      </w:pPr>
      <w:r>
        <w:rPr>
          <w:rFonts w:ascii="Arial" w:hAnsi="Arial" w:cs="Arial"/>
          <w:sz w:val="24"/>
          <w:szCs w:val="24"/>
        </w:rPr>
        <w:t>Validity and reliability in this research are checked according to the choice of journal and selection of research article in such a way that provides relevant information to the research questions.</w:t>
      </w:r>
    </w:p>
    <w:p w14:paraId="5F467C2A" w14:textId="77777777" w:rsidR="00E77831" w:rsidRDefault="00000000">
      <w:pPr>
        <w:spacing w:line="360" w:lineRule="auto"/>
        <w:rPr>
          <w:rFonts w:ascii="Arial" w:hAnsi="Arial" w:cs="Arial"/>
          <w:sz w:val="24"/>
          <w:szCs w:val="24"/>
        </w:rPr>
      </w:pPr>
      <w:r>
        <w:rPr>
          <w:rFonts w:ascii="Arial" w:hAnsi="Arial" w:cs="Arial"/>
          <w:sz w:val="24"/>
          <w:szCs w:val="24"/>
        </w:rPr>
        <w:t>Consent and Declaration form, Not using excessive information, and Selection of research articles by the research questions are the ethics considered in this research.</w:t>
      </w:r>
    </w:p>
    <w:p w14:paraId="2E16525E" w14:textId="1F15ED25" w:rsidR="00E77831" w:rsidRDefault="00000000">
      <w:pPr>
        <w:spacing w:line="360" w:lineRule="auto"/>
        <w:rPr>
          <w:rFonts w:ascii="Arial" w:hAnsi="Arial" w:cs="Arial"/>
          <w:sz w:val="28"/>
          <w:szCs w:val="28"/>
        </w:rPr>
      </w:pPr>
      <w:r>
        <w:rPr>
          <w:rFonts w:ascii="Arial" w:hAnsi="Arial" w:cs="Arial"/>
          <w:b/>
          <w:bCs/>
          <w:sz w:val="28"/>
          <w:szCs w:val="28"/>
        </w:rPr>
        <w:t xml:space="preserve">3.7 </w:t>
      </w:r>
      <w:r w:rsidR="00733FCF">
        <w:rPr>
          <w:rFonts w:ascii="Arial" w:hAnsi="Arial" w:cs="Arial"/>
          <w:b/>
          <w:bCs/>
          <w:sz w:val="28"/>
          <w:szCs w:val="28"/>
        </w:rPr>
        <w:t>–</w:t>
      </w:r>
      <w:r>
        <w:rPr>
          <w:rFonts w:ascii="Arial" w:hAnsi="Arial" w:cs="Arial"/>
          <w:b/>
          <w:bCs/>
          <w:sz w:val="28"/>
          <w:szCs w:val="28"/>
        </w:rPr>
        <w:t xml:space="preserve"> Conclusion</w:t>
      </w:r>
      <w:r w:rsidR="00733FCF">
        <w:rPr>
          <w:rFonts w:ascii="Arial" w:hAnsi="Arial" w:cs="Arial"/>
          <w:b/>
          <w:bCs/>
          <w:sz w:val="28"/>
          <w:szCs w:val="28"/>
        </w:rPr>
        <w:t>:</w:t>
      </w:r>
    </w:p>
    <w:p w14:paraId="2962A456" w14:textId="324E9A9B" w:rsidR="00E77831" w:rsidRDefault="00000000">
      <w:pPr>
        <w:spacing w:line="360" w:lineRule="auto"/>
        <w:rPr>
          <w:rFonts w:ascii="Arial" w:hAnsi="Arial" w:cs="Arial"/>
          <w:sz w:val="24"/>
          <w:szCs w:val="24"/>
        </w:rPr>
      </w:pPr>
      <w:r>
        <w:rPr>
          <w:rFonts w:ascii="Arial" w:hAnsi="Arial" w:cs="Arial"/>
          <w:sz w:val="24"/>
          <w:szCs w:val="24"/>
        </w:rPr>
        <w:t xml:space="preserve">To address the role of a green marketing mix strategy to attain a sustainable competitive advantage and to answer the research questions with relevant information, a Systematic review methodology and keyword strategy are chosen. It involves gathering information from secondary data, </w:t>
      </w:r>
      <w:r w:rsidR="000106B0">
        <w:rPr>
          <w:rFonts w:ascii="Arial" w:hAnsi="Arial" w:cs="Arial"/>
          <w:sz w:val="24"/>
          <w:szCs w:val="24"/>
        </w:rPr>
        <w:t>using</w:t>
      </w:r>
      <w:r>
        <w:rPr>
          <w:rFonts w:ascii="Arial" w:hAnsi="Arial" w:cs="Arial"/>
          <w:sz w:val="24"/>
          <w:szCs w:val="24"/>
        </w:rPr>
        <w:t xml:space="preserve"> </w:t>
      </w:r>
      <w:r w:rsidR="000106B0">
        <w:rPr>
          <w:rFonts w:ascii="Arial" w:hAnsi="Arial" w:cs="Arial"/>
          <w:sz w:val="24"/>
          <w:szCs w:val="24"/>
        </w:rPr>
        <w:t>Para magnetism</w:t>
      </w:r>
      <w:r>
        <w:rPr>
          <w:rFonts w:ascii="Arial" w:hAnsi="Arial" w:cs="Arial"/>
          <w:sz w:val="24"/>
          <w:szCs w:val="24"/>
        </w:rPr>
        <w:t xml:space="preserve"> research philosophy and inductive research approach to answer the research questions. Ethical considerations </w:t>
      </w:r>
      <w:r>
        <w:rPr>
          <w:rFonts w:ascii="Arial" w:hAnsi="Arial" w:cs="Arial"/>
          <w:sz w:val="24"/>
          <w:szCs w:val="24"/>
        </w:rPr>
        <w:lastRenderedPageBreak/>
        <w:t>are considered in this research, that it may not use any excessive information and with the consent or declaration form.</w:t>
      </w:r>
    </w:p>
    <w:p w14:paraId="484735F5" w14:textId="77777777" w:rsidR="00E77831" w:rsidRDefault="00000000">
      <w:pPr>
        <w:spacing w:line="360" w:lineRule="auto"/>
        <w:rPr>
          <w:rFonts w:ascii="Arial" w:hAnsi="Arial" w:cs="Arial"/>
          <w:b/>
          <w:bCs/>
          <w:sz w:val="28"/>
          <w:szCs w:val="28"/>
        </w:rPr>
      </w:pPr>
      <w:r>
        <w:rPr>
          <w:rFonts w:ascii="Arial" w:hAnsi="Arial" w:cs="Arial"/>
          <w:b/>
          <w:bCs/>
          <w:sz w:val="28"/>
          <w:szCs w:val="28"/>
        </w:rPr>
        <w:t xml:space="preserve">Chapter 4 - Data analysis and discussion </w:t>
      </w:r>
    </w:p>
    <w:p w14:paraId="6EEDD31D" w14:textId="77777777" w:rsidR="00E77831" w:rsidRDefault="00000000">
      <w:pPr>
        <w:spacing w:line="360" w:lineRule="auto"/>
        <w:rPr>
          <w:rFonts w:ascii="Arial" w:hAnsi="Arial" w:cs="Arial"/>
          <w:sz w:val="24"/>
          <w:szCs w:val="24"/>
        </w:rPr>
      </w:pPr>
      <w:r>
        <w:rPr>
          <w:rFonts w:ascii="Arial" w:hAnsi="Arial" w:cs="Arial"/>
          <w:sz w:val="24"/>
          <w:szCs w:val="24"/>
        </w:rPr>
        <w:t xml:space="preserve">This chapter focused on the analysis of the data collected. Data collected </w:t>
      </w:r>
      <w:proofErr w:type="gramStart"/>
      <w:r>
        <w:rPr>
          <w:rFonts w:ascii="Arial" w:hAnsi="Arial" w:cs="Arial"/>
          <w:sz w:val="24"/>
          <w:szCs w:val="24"/>
        </w:rPr>
        <w:t>were</w:t>
      </w:r>
      <w:proofErr w:type="gramEnd"/>
      <w:r>
        <w:rPr>
          <w:rFonts w:ascii="Arial" w:hAnsi="Arial" w:cs="Arial"/>
          <w:sz w:val="24"/>
          <w:szCs w:val="24"/>
        </w:rPr>
        <w:t xml:space="preserve"> kept in the form of notes.  It is an important aspect as a method of data collection depends upon the research problem and research questions. The main aim of this research is to analyze the marketing strategy used by Toyota in the UK and to analyze the role of a green Marketing mix strategy to gain a sustainable competitive advantage in Toyota UK.</w:t>
      </w:r>
    </w:p>
    <w:p w14:paraId="34C8FAF1" w14:textId="77777777" w:rsidR="00E77831" w:rsidRDefault="00000000">
      <w:pPr>
        <w:spacing w:line="360" w:lineRule="auto"/>
        <w:rPr>
          <w:rFonts w:ascii="Arial" w:hAnsi="Arial" w:cs="Arial"/>
          <w:sz w:val="24"/>
          <w:szCs w:val="24"/>
        </w:rPr>
      </w:pPr>
      <w:r>
        <w:rPr>
          <w:rFonts w:ascii="Arial" w:hAnsi="Arial" w:cs="Arial"/>
          <w:sz w:val="24"/>
          <w:szCs w:val="24"/>
        </w:rPr>
        <w:t>To address this, content data analysis is chosen for the results. Content analysis is used to find specific words, themes, or concepts in each set of quantitative and qualitative data. It involves gathering information from a collection of texts that may be written in books, magazines, journals, articles, etc (Luo, 2019).</w:t>
      </w:r>
    </w:p>
    <w:p w14:paraId="1D4FCFB0" w14:textId="77777777" w:rsidR="00E77831" w:rsidRDefault="00000000">
      <w:pPr>
        <w:spacing w:line="360" w:lineRule="auto"/>
        <w:rPr>
          <w:rFonts w:ascii="Arial" w:hAnsi="Arial" w:cs="Arial"/>
          <w:b/>
          <w:bCs/>
          <w:sz w:val="28"/>
          <w:szCs w:val="28"/>
        </w:rPr>
      </w:pPr>
      <w:r>
        <w:rPr>
          <w:rFonts w:ascii="Arial" w:hAnsi="Arial" w:cs="Arial"/>
          <w:b/>
          <w:bCs/>
          <w:sz w:val="28"/>
          <w:szCs w:val="28"/>
        </w:rPr>
        <w:t xml:space="preserve">4.1 Content Analysis and Finding </w:t>
      </w:r>
    </w:p>
    <w:p w14:paraId="19DF4824" w14:textId="75BEC4C1" w:rsidR="00E77831" w:rsidRDefault="00000000">
      <w:pPr>
        <w:spacing w:line="360" w:lineRule="auto"/>
        <w:rPr>
          <w:rFonts w:ascii="Arial" w:hAnsi="Arial" w:cs="Arial"/>
          <w:b/>
          <w:bCs/>
          <w:sz w:val="28"/>
          <w:szCs w:val="28"/>
        </w:rPr>
      </w:pPr>
      <w:r>
        <w:rPr>
          <w:rFonts w:ascii="Arial" w:hAnsi="Arial" w:cs="Arial"/>
          <w:b/>
          <w:bCs/>
          <w:sz w:val="28"/>
          <w:szCs w:val="28"/>
        </w:rPr>
        <w:t>4.1.1 Toyota GB market share value</w:t>
      </w:r>
      <w:r w:rsidR="00733FCF">
        <w:rPr>
          <w:rFonts w:ascii="Arial" w:hAnsi="Arial" w:cs="Arial"/>
          <w:b/>
          <w:bCs/>
          <w:sz w:val="28"/>
          <w:szCs w:val="28"/>
        </w:rPr>
        <w:t>:</w:t>
      </w:r>
    </w:p>
    <w:p w14:paraId="25DF3F35" w14:textId="77777777" w:rsidR="00E77831" w:rsidRDefault="00000000">
      <w:pPr>
        <w:spacing w:line="360" w:lineRule="auto"/>
        <w:rPr>
          <w:rFonts w:ascii="Arial" w:hAnsi="Arial" w:cs="Arial"/>
          <w:sz w:val="24"/>
          <w:szCs w:val="24"/>
        </w:rPr>
      </w:pPr>
      <w:r>
        <w:rPr>
          <w:rFonts w:ascii="Arial" w:hAnsi="Arial" w:cs="Arial"/>
          <w:sz w:val="24"/>
          <w:szCs w:val="24"/>
        </w:rPr>
        <w:t>According to the Toyota website, Toyota GB has secured a very reputable position in the UK as it was able to meet the customer needs and demands, also considering the conservation of the ecosystem, biodiversity, and environment.</w:t>
      </w:r>
    </w:p>
    <w:p w14:paraId="00889B97" w14:textId="77777777" w:rsidR="00E77831" w:rsidRDefault="00000000">
      <w:pPr>
        <w:spacing w:line="360" w:lineRule="auto"/>
      </w:pPr>
      <w:r>
        <w:rPr>
          <w:rFonts w:ascii="Arial" w:hAnsi="Arial" w:cs="Arial"/>
          <w:sz w:val="24"/>
          <w:szCs w:val="24"/>
        </w:rPr>
        <w:t>In 2022, Toyota managed to break several important arguments of its UK new car sales. The combined sales of Toyota and Lexus passenger cars and light commercial vehicles at the end of the year put the Toyota brand in third place among UK OEMs with a record of 6.61 % of the market share. Additionally, Toyota passenger cars set new market records for retail and total market share at 7.04 and 6.30 % (Media, 2023).</w:t>
      </w:r>
    </w:p>
    <w:p w14:paraId="13C5A056" w14:textId="77777777" w:rsidR="00E77831" w:rsidRDefault="00E77831">
      <w:pPr>
        <w:spacing w:line="360" w:lineRule="auto"/>
        <w:rPr>
          <w:rFonts w:ascii="Arial" w:hAnsi="Arial" w:cs="Arial"/>
          <w:sz w:val="24"/>
          <w:szCs w:val="24"/>
        </w:rPr>
      </w:pPr>
    </w:p>
    <w:p w14:paraId="1FA4CABA" w14:textId="77777777" w:rsidR="00E77831" w:rsidRDefault="00000000">
      <w:pPr>
        <w:spacing w:line="360" w:lineRule="auto"/>
        <w:rPr>
          <w:b/>
          <w:bCs/>
        </w:rPr>
      </w:pPr>
      <w:r>
        <w:rPr>
          <w:rFonts w:ascii="Arial" w:hAnsi="Arial" w:cs="Arial"/>
          <w:b/>
          <w:bCs/>
          <w:sz w:val="24"/>
          <w:szCs w:val="24"/>
        </w:rPr>
        <w:t xml:space="preserve">Table 6: Toyota GB 2022 sales </w:t>
      </w:r>
    </w:p>
    <w:p w14:paraId="38427C23" w14:textId="77777777" w:rsidR="00733FCF" w:rsidRDefault="00000000">
      <w:pPr>
        <w:spacing w:line="360" w:lineRule="auto"/>
        <w:rPr>
          <w:rFonts w:ascii="Arial" w:hAnsi="Arial" w:cs="Arial"/>
          <w:sz w:val="24"/>
          <w:szCs w:val="24"/>
        </w:rPr>
      </w:pPr>
      <w:r>
        <w:rPr>
          <w:noProof/>
        </w:rPr>
        <w:lastRenderedPageBreak/>
        <w:drawing>
          <wp:inline distT="0" distB="0" distL="0" distR="0" wp14:anchorId="7B2AC782" wp14:editId="3334C827">
            <wp:extent cx="4482465" cy="3048000"/>
            <wp:effectExtent l="0" t="0" r="0" b="0"/>
            <wp:docPr id="1074" name="Image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1"/>
                    <pic:cNvPicPr/>
                  </pic:nvPicPr>
                  <pic:blipFill>
                    <a:blip r:embed="rId22" cstate="print"/>
                    <a:srcRect/>
                    <a:stretch/>
                  </pic:blipFill>
                  <pic:spPr>
                    <a:xfrm>
                      <a:off x="0" y="0"/>
                      <a:ext cx="4482465" cy="3048000"/>
                    </a:xfrm>
                    <a:prstGeom prst="rect">
                      <a:avLst/>
                    </a:prstGeom>
                  </pic:spPr>
                </pic:pic>
              </a:graphicData>
            </a:graphic>
          </wp:inline>
        </w:drawing>
      </w:r>
    </w:p>
    <w:p w14:paraId="397F884D" w14:textId="4625C5D1" w:rsidR="00E77831" w:rsidRPr="00733FCF" w:rsidRDefault="00733FCF">
      <w:pPr>
        <w:spacing w:line="360" w:lineRule="auto"/>
        <w:rPr>
          <w:rFonts w:ascii="Arial" w:hAnsi="Arial" w:cs="Arial"/>
          <w:sz w:val="24"/>
          <w:szCs w:val="24"/>
        </w:rPr>
      </w:pPr>
      <w:r>
        <w:rPr>
          <w:rFonts w:ascii="Arial" w:hAnsi="Arial" w:cs="Arial"/>
          <w:sz w:val="24"/>
          <w:szCs w:val="24"/>
        </w:rPr>
        <w:t xml:space="preserve">                                 (Source: Media, 2023)</w:t>
      </w:r>
    </w:p>
    <w:p w14:paraId="6C9CB18C" w14:textId="77777777" w:rsidR="00E77831" w:rsidRDefault="00000000">
      <w:pPr>
        <w:spacing w:line="360" w:lineRule="auto"/>
        <w:rPr>
          <w:rFonts w:ascii="Arial" w:hAnsi="Arial" w:cs="Arial"/>
          <w:sz w:val="24"/>
          <w:szCs w:val="24"/>
        </w:rPr>
      </w:pPr>
      <w:r>
        <w:rPr>
          <w:rFonts w:ascii="Arial" w:hAnsi="Arial" w:cs="Arial"/>
          <w:sz w:val="24"/>
          <w:szCs w:val="24"/>
        </w:rPr>
        <w:t>The above data has been collected from the Toyota Website (Media, 2023). It indicates the total sales of Toyota in the UK. Toyota passenger cars have achieved new records of total sales of 101,641 and a new market share of 6.3 %.</w:t>
      </w:r>
    </w:p>
    <w:p w14:paraId="5254399A" w14:textId="77777777" w:rsidR="00E77831" w:rsidRDefault="00000000">
      <w:pPr>
        <w:spacing w:line="360" w:lineRule="auto"/>
        <w:rPr>
          <w:rFonts w:ascii="Arial" w:hAnsi="Arial" w:cs="Arial"/>
          <w:sz w:val="24"/>
          <w:szCs w:val="24"/>
        </w:rPr>
      </w:pPr>
      <w:r>
        <w:rPr>
          <w:rFonts w:ascii="Arial" w:hAnsi="Arial" w:cs="Arial"/>
          <w:sz w:val="24"/>
          <w:szCs w:val="24"/>
        </w:rPr>
        <w:t>Toyota Motor Europe (TME) achieved a market share of 6.6 % with sales of 573,976 in the first half of the year. In Europe, TME sold more than 71% electrified cars with sales reaching 77% in Western Europe. In the first half of 2023, Toyota sold 539,956 cars. Top-selling models for the brand included the Yaris cross, which topped the B-SUV market, the Corolla line, The C-HR, and the RAV 4 (Toyota, 2023).</w:t>
      </w:r>
    </w:p>
    <w:p w14:paraId="04329899" w14:textId="77777777" w:rsidR="00E77831" w:rsidRDefault="00000000">
      <w:pPr>
        <w:spacing w:line="360" w:lineRule="auto"/>
        <w:rPr>
          <w:rFonts w:ascii="Arial" w:hAnsi="Arial" w:cs="Arial"/>
          <w:b/>
          <w:bCs/>
          <w:sz w:val="24"/>
          <w:szCs w:val="24"/>
        </w:rPr>
      </w:pPr>
      <w:r>
        <w:rPr>
          <w:rFonts w:ascii="Arial" w:hAnsi="Arial" w:cs="Arial"/>
          <w:b/>
          <w:bCs/>
          <w:sz w:val="24"/>
          <w:szCs w:val="24"/>
        </w:rPr>
        <w:t xml:space="preserve">Table 7: Market share of Toyota in the UK </w:t>
      </w:r>
    </w:p>
    <w:p w14:paraId="2414DC48" w14:textId="77777777" w:rsidR="00E77831" w:rsidRDefault="00000000">
      <w:pPr>
        <w:spacing w:line="360" w:lineRule="auto"/>
      </w:pPr>
      <w:r>
        <w:rPr>
          <w:noProof/>
        </w:rPr>
        <w:lastRenderedPageBreak/>
        <w:drawing>
          <wp:inline distT="0" distB="0" distL="0" distR="0" wp14:anchorId="0AEF58D0" wp14:editId="1B2ED278">
            <wp:extent cx="5098414" cy="5313045"/>
            <wp:effectExtent l="0" t="0" r="0" b="0"/>
            <wp:docPr id="1075" name="Image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1"/>
                    <pic:cNvPicPr/>
                  </pic:nvPicPr>
                  <pic:blipFill>
                    <a:blip r:embed="rId23" cstate="print"/>
                    <a:srcRect/>
                    <a:stretch/>
                  </pic:blipFill>
                  <pic:spPr>
                    <a:xfrm>
                      <a:off x="0" y="0"/>
                      <a:ext cx="5098414" cy="5313045"/>
                    </a:xfrm>
                    <a:prstGeom prst="rect">
                      <a:avLst/>
                    </a:prstGeom>
                  </pic:spPr>
                </pic:pic>
              </a:graphicData>
            </a:graphic>
          </wp:inline>
        </w:drawing>
      </w:r>
    </w:p>
    <w:p w14:paraId="4F53808F" w14:textId="77777777" w:rsidR="00E77831" w:rsidRDefault="00000000">
      <w:pPr>
        <w:spacing w:line="360" w:lineRule="auto"/>
        <w:rPr>
          <w:rFonts w:ascii="Arial" w:hAnsi="Arial" w:cs="Arial"/>
          <w:sz w:val="28"/>
          <w:szCs w:val="28"/>
        </w:rPr>
      </w:pPr>
      <w:r>
        <w:rPr>
          <w:rFonts w:ascii="Arial" w:hAnsi="Arial" w:cs="Arial"/>
          <w:sz w:val="24"/>
          <w:szCs w:val="24"/>
        </w:rPr>
        <w:t xml:space="preserve">                                                    (Source: Toyota, 2023)</w:t>
      </w:r>
    </w:p>
    <w:p w14:paraId="5177D5F3" w14:textId="77777777" w:rsidR="00E77831" w:rsidRDefault="00000000">
      <w:pPr>
        <w:spacing w:line="360" w:lineRule="auto"/>
        <w:rPr>
          <w:rFonts w:ascii="Arial" w:hAnsi="Arial" w:cs="Arial"/>
          <w:sz w:val="24"/>
          <w:szCs w:val="24"/>
        </w:rPr>
      </w:pPr>
      <w:r>
        <w:rPr>
          <w:rFonts w:ascii="Arial" w:hAnsi="Arial" w:cs="Arial"/>
          <w:sz w:val="24"/>
          <w:szCs w:val="24"/>
        </w:rPr>
        <w:t>The above data shows that Toyota had secured a third position in the UK market in 2023 with a market share value of 5.5 % in Nov with total sales of 8,550. From January - November 2023, it achieves a market share value of 5.8% with total sales of 102,189 (Toyota, 2023).</w:t>
      </w:r>
    </w:p>
    <w:p w14:paraId="7D57A99C" w14:textId="77777777" w:rsidR="00E77831" w:rsidRDefault="00000000">
      <w:pPr>
        <w:spacing w:line="360" w:lineRule="auto"/>
        <w:rPr>
          <w:noProof/>
        </w:rPr>
      </w:pPr>
      <w:r>
        <w:rPr>
          <w:rFonts w:ascii="Arial" w:hAnsi="Arial" w:cs="Arial"/>
          <w:sz w:val="24"/>
          <w:szCs w:val="24"/>
        </w:rPr>
        <w:t xml:space="preserve">Toyota's production system in the UK shows a continuous improvement from year to year in terms of sales, management, production system, and maintaining customer loyalty. </w:t>
      </w:r>
    </w:p>
    <w:p w14:paraId="2712B9D0" w14:textId="2C0A3C36" w:rsidR="00E77831" w:rsidRPr="00167F88" w:rsidRDefault="00000000">
      <w:pPr>
        <w:spacing w:line="360" w:lineRule="auto"/>
        <w:rPr>
          <w:b/>
          <w:bCs/>
          <w:noProof/>
        </w:rPr>
      </w:pPr>
      <w:r w:rsidRPr="00167F88">
        <w:rPr>
          <w:rFonts w:ascii="Arial" w:hAnsi="Arial" w:cs="Arial"/>
          <w:b/>
          <w:bCs/>
          <w:noProof/>
          <w:sz w:val="24"/>
          <w:szCs w:val="24"/>
        </w:rPr>
        <w:t xml:space="preserve">Table 8: Comparison of market share of Toyota UK from 1965 - 2023 </w:t>
      </w:r>
    </w:p>
    <w:p w14:paraId="72DAEE6D" w14:textId="2F235D3E" w:rsidR="00167F88" w:rsidRDefault="00167F88">
      <w:pPr>
        <w:spacing w:line="360" w:lineRule="auto"/>
        <w:rPr>
          <w:rFonts w:ascii="Arial" w:hAnsi="Arial" w:cs="Arial"/>
          <w:sz w:val="24"/>
          <w:szCs w:val="24"/>
        </w:rPr>
      </w:pPr>
      <w:r>
        <w:rPr>
          <w:noProof/>
        </w:rPr>
        <w:lastRenderedPageBreak/>
        <w:drawing>
          <wp:inline distT="0" distB="0" distL="0" distR="0" wp14:anchorId="7ABCEBA3" wp14:editId="53A1E505">
            <wp:extent cx="6292215" cy="8648700"/>
            <wp:effectExtent l="0" t="0" r="0" b="0"/>
            <wp:docPr id="1076" name="Image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1"/>
                    <pic:cNvPicPr/>
                  </pic:nvPicPr>
                  <pic:blipFill>
                    <a:blip r:embed="rId24" cstate="print"/>
                    <a:srcRect/>
                    <a:stretch/>
                  </pic:blipFill>
                  <pic:spPr>
                    <a:xfrm>
                      <a:off x="0" y="0"/>
                      <a:ext cx="6292787" cy="8649486"/>
                    </a:xfrm>
                    <a:prstGeom prst="rect">
                      <a:avLst/>
                    </a:prstGeom>
                  </pic:spPr>
                </pic:pic>
              </a:graphicData>
            </a:graphic>
          </wp:inline>
        </w:drawing>
      </w:r>
    </w:p>
    <w:p w14:paraId="146F2905" w14:textId="77777777" w:rsidR="00E77831" w:rsidRDefault="00000000">
      <w:pPr>
        <w:spacing w:line="360" w:lineRule="auto"/>
        <w:rPr>
          <w:rFonts w:ascii="Arial" w:hAnsi="Arial" w:cs="Arial"/>
          <w:sz w:val="28"/>
          <w:szCs w:val="28"/>
        </w:rPr>
      </w:pPr>
      <w:r>
        <w:rPr>
          <w:rFonts w:ascii="Arial" w:hAnsi="Arial" w:cs="Arial"/>
          <w:sz w:val="24"/>
          <w:szCs w:val="24"/>
        </w:rPr>
        <w:lastRenderedPageBreak/>
        <w:t xml:space="preserve">                                            (Source: Toyota, 2023) </w:t>
      </w:r>
    </w:p>
    <w:p w14:paraId="07857119" w14:textId="77777777" w:rsidR="00E77831" w:rsidRDefault="00000000">
      <w:pPr>
        <w:spacing w:line="360" w:lineRule="auto"/>
        <w:rPr>
          <w:rFonts w:ascii="Arial" w:hAnsi="Arial" w:cs="Arial"/>
          <w:sz w:val="24"/>
          <w:szCs w:val="24"/>
        </w:rPr>
      </w:pPr>
      <w:r>
        <w:rPr>
          <w:rFonts w:ascii="Arial" w:hAnsi="Arial" w:cs="Arial"/>
          <w:sz w:val="24"/>
          <w:szCs w:val="24"/>
        </w:rPr>
        <w:t xml:space="preserve">Here is the data showing the total number of sales of Toyota in the UK from 1965 to 2022 and 2023. In 2023 Toyota GB achieved a market share value of 5.80 % with total sales of 68482. NG Yaris Hybrid secured the first position in total sales of total product of Toyota with 14,930. The second position is secured by the Yaris cross with sales of 13,550. The third position is secured by AYGO X with a total number of sales of 12,645. Hybrid cars and passenger cars were mostly in demand from customers as customers are sensitive to the environment. Hybrid cars play an important role in reducing global warming, and carbon dioxide emissions which </w:t>
      </w:r>
      <w:proofErr w:type="gramStart"/>
      <w:r>
        <w:rPr>
          <w:rFonts w:ascii="Arial" w:hAnsi="Arial" w:cs="Arial"/>
          <w:sz w:val="24"/>
          <w:szCs w:val="24"/>
        </w:rPr>
        <w:t>is</w:t>
      </w:r>
      <w:proofErr w:type="gramEnd"/>
      <w:r>
        <w:rPr>
          <w:rFonts w:ascii="Arial" w:hAnsi="Arial" w:cs="Arial"/>
          <w:sz w:val="24"/>
          <w:szCs w:val="24"/>
        </w:rPr>
        <w:t xml:space="preserve"> responsible for maintaining the health of the environment and sustainable development.</w:t>
      </w:r>
    </w:p>
    <w:p w14:paraId="25507C1D" w14:textId="78ADC883" w:rsidR="00E77831" w:rsidRDefault="00000000">
      <w:pPr>
        <w:spacing w:line="360" w:lineRule="auto"/>
        <w:rPr>
          <w:rFonts w:ascii="Arial" w:hAnsi="Arial" w:cs="Arial"/>
          <w:b/>
          <w:bCs/>
          <w:sz w:val="28"/>
          <w:szCs w:val="28"/>
        </w:rPr>
      </w:pPr>
      <w:r>
        <w:rPr>
          <w:rFonts w:ascii="Arial" w:hAnsi="Arial" w:cs="Arial"/>
          <w:b/>
          <w:bCs/>
          <w:sz w:val="28"/>
          <w:szCs w:val="28"/>
        </w:rPr>
        <w:t>4.1.2 - Challenges and opportunities faced by the Toyota GB</w:t>
      </w:r>
      <w:r w:rsidR="00733FCF">
        <w:rPr>
          <w:rFonts w:ascii="Arial" w:hAnsi="Arial" w:cs="Arial"/>
          <w:b/>
          <w:bCs/>
          <w:sz w:val="28"/>
          <w:szCs w:val="28"/>
        </w:rPr>
        <w:t>:</w:t>
      </w:r>
      <w:r>
        <w:rPr>
          <w:rFonts w:ascii="Arial" w:hAnsi="Arial" w:cs="Arial"/>
          <w:b/>
          <w:bCs/>
          <w:sz w:val="28"/>
          <w:szCs w:val="28"/>
        </w:rPr>
        <w:t xml:space="preserve"> </w:t>
      </w:r>
    </w:p>
    <w:p w14:paraId="1BB62893" w14:textId="77777777" w:rsidR="00E77831" w:rsidRDefault="00000000">
      <w:pPr>
        <w:spacing w:line="360" w:lineRule="auto"/>
        <w:rPr>
          <w:rFonts w:ascii="Arial" w:hAnsi="Arial" w:cs="Arial"/>
          <w:sz w:val="24"/>
          <w:szCs w:val="24"/>
        </w:rPr>
      </w:pPr>
      <w:r>
        <w:rPr>
          <w:rFonts w:ascii="Arial" w:hAnsi="Arial" w:cs="Arial"/>
          <w:sz w:val="24"/>
          <w:szCs w:val="24"/>
        </w:rPr>
        <w:t>Due to the change in climate as reported by the Committee on Climate Change, the concentration of carbon dioxide (CO2) in the atmosphere is currently over 409 parts per million and is still rising. The average surface temperature of the planets has continued to rise, with 2017 ranking among the warmest years. The amount of sea ice in the Arctic has still decreasing since 1979.</w:t>
      </w:r>
    </w:p>
    <w:p w14:paraId="363F402E" w14:textId="77777777" w:rsidR="00E77831" w:rsidRDefault="00000000">
      <w:pPr>
        <w:spacing w:line="360" w:lineRule="auto"/>
        <w:rPr>
          <w:rFonts w:ascii="Arial" w:hAnsi="Arial" w:cs="Arial"/>
          <w:sz w:val="24"/>
          <w:szCs w:val="24"/>
        </w:rPr>
      </w:pPr>
      <w:r>
        <w:rPr>
          <w:rFonts w:ascii="Arial" w:hAnsi="Arial" w:cs="Arial"/>
          <w:sz w:val="24"/>
          <w:szCs w:val="24"/>
        </w:rPr>
        <w:t xml:space="preserve">To solve the above problem, the UK government has set high targets to reduce greenhouse gas emissions. With an emphasis on cities like London, the UK government is determined to reduce transport pollution in the country. The United Kingdom government has imposed a ban on all new petrol and diesel vehicles. The UK cut its emissions in 2017 by 30 %. The power industry was the most successful in lowering emissions in the production of electricity, cutting emissions in 2018 by 75% from 2012. Transport has been the UK's biggest greenhouse gas emitter since 2014, it was responsible for an astounding 27% of the country's Greenhouse gas emissions. Heavy goods vehicles (HGVs), cars, and vans make up most of this transportation industry. To achieve the UK government's goal of having 100% new car sales Ultra-low emission vehicles (ULEVs) policies must be introduced. The combination of alternative fuel vehicles with green electricity helps in reducing greenhouse emissions. Plug-in hybrids, electric vehicles, hybrid vehicles, and hydrogen vehicles are responsible for maintaining </w:t>
      </w:r>
      <w:r>
        <w:rPr>
          <w:rFonts w:ascii="Arial" w:hAnsi="Arial" w:cs="Arial"/>
          <w:sz w:val="24"/>
          <w:szCs w:val="24"/>
        </w:rPr>
        <w:lastRenderedPageBreak/>
        <w:t>the environment's health and lowering the emission of greenhouse gases (Besbes et al., 2019, p. 28).</w:t>
      </w:r>
    </w:p>
    <w:p w14:paraId="338E0811" w14:textId="77777777" w:rsidR="00E77831" w:rsidRDefault="00000000">
      <w:pPr>
        <w:spacing w:line="360" w:lineRule="auto"/>
        <w:rPr>
          <w:rFonts w:ascii="Arial" w:hAnsi="Arial" w:cs="Arial"/>
          <w:sz w:val="24"/>
          <w:szCs w:val="24"/>
        </w:rPr>
      </w:pPr>
      <w:r>
        <w:rPr>
          <w:rFonts w:ascii="Arial" w:hAnsi="Arial" w:cs="Arial"/>
          <w:sz w:val="24"/>
          <w:szCs w:val="24"/>
        </w:rPr>
        <w:t>Toyota GB has an opportunity to generate new environmentally friendly vehicles to gain customer loyalty and achieve sustainable competitive advantage.</w:t>
      </w:r>
    </w:p>
    <w:p w14:paraId="6AD84878" w14:textId="77777777" w:rsidR="00E77831" w:rsidRDefault="00000000">
      <w:pPr>
        <w:spacing w:line="360" w:lineRule="auto"/>
        <w:rPr>
          <w:rFonts w:ascii="Arial" w:hAnsi="Arial" w:cs="Arial"/>
          <w:sz w:val="24"/>
          <w:szCs w:val="24"/>
        </w:rPr>
      </w:pPr>
      <w:r>
        <w:rPr>
          <w:rFonts w:ascii="Arial" w:hAnsi="Arial" w:cs="Arial"/>
          <w:sz w:val="24"/>
          <w:szCs w:val="24"/>
        </w:rPr>
        <w:t>Toyota company unveiled its “Environmental Challenge 2050” in 2015, which consists of six tasks. They include creating new goods and technology, recycling, managing general resources, optimizing the use of water and energy, and the role of the brand as a facilitator to a better relationship with the environment (Bouabadallah, 2022, p. 173).</w:t>
      </w:r>
    </w:p>
    <w:p w14:paraId="06610AB3" w14:textId="0E9A6F61" w:rsidR="00E77831" w:rsidRDefault="00000000">
      <w:pPr>
        <w:spacing w:line="360" w:lineRule="auto"/>
        <w:rPr>
          <w:rFonts w:ascii="Arial" w:hAnsi="Arial" w:cs="Arial"/>
          <w:sz w:val="28"/>
          <w:szCs w:val="28"/>
        </w:rPr>
      </w:pPr>
      <w:r>
        <w:rPr>
          <w:rFonts w:ascii="Arial" w:hAnsi="Arial" w:cs="Arial"/>
          <w:b/>
          <w:bCs/>
          <w:sz w:val="28"/>
          <w:szCs w:val="28"/>
        </w:rPr>
        <w:t>Challenge 1. Reduce CO2 emissions</w:t>
      </w:r>
      <w:r w:rsidR="00733FCF">
        <w:rPr>
          <w:rFonts w:ascii="Arial" w:hAnsi="Arial" w:cs="Arial"/>
          <w:b/>
          <w:bCs/>
          <w:sz w:val="28"/>
          <w:szCs w:val="28"/>
        </w:rPr>
        <w:t>:</w:t>
      </w:r>
      <w:r>
        <w:rPr>
          <w:rFonts w:ascii="Arial" w:hAnsi="Arial" w:cs="Arial"/>
          <w:b/>
          <w:bCs/>
          <w:sz w:val="28"/>
          <w:szCs w:val="28"/>
        </w:rPr>
        <w:t xml:space="preserve"> </w:t>
      </w:r>
    </w:p>
    <w:p w14:paraId="53E4261B" w14:textId="16B15455" w:rsidR="00E77831" w:rsidRDefault="00000000">
      <w:pPr>
        <w:spacing w:line="360" w:lineRule="auto"/>
        <w:rPr>
          <w:rFonts w:ascii="Arial" w:hAnsi="Arial" w:cs="Arial"/>
          <w:sz w:val="24"/>
          <w:szCs w:val="24"/>
        </w:rPr>
      </w:pPr>
      <w:r>
        <w:rPr>
          <w:rFonts w:ascii="Arial" w:hAnsi="Arial" w:cs="Arial"/>
          <w:sz w:val="24"/>
          <w:szCs w:val="24"/>
        </w:rPr>
        <w:t xml:space="preserve">Toyota set a goal for itself to cut CO2 emissions from cars by 90 %. This will be accompanied by 2050 in comparison to 2010 levels. </w:t>
      </w:r>
      <w:r w:rsidR="00A063A1" w:rsidRPr="00A063A1">
        <w:rPr>
          <w:rFonts w:ascii="Arial" w:hAnsi="Arial" w:cs="Arial"/>
          <w:sz w:val="24"/>
          <w:szCs w:val="24"/>
        </w:rPr>
        <w:t>Toyota has set an intermediate target of lowering the latest vehicle average carbon dioxide emissions to manufacture next-generation automobiles with low or zero CO2 emissions. Toyota has produced next-generation vehicles with low or zero carbon dioxide emissions, and it has also reduced the fuel consumption of all motor vehicles.</w:t>
      </w:r>
      <w:r w:rsidR="00A063A1">
        <w:rPr>
          <w:rFonts w:ascii="Arial" w:hAnsi="Arial" w:cs="Arial"/>
          <w:sz w:val="24"/>
          <w:szCs w:val="24"/>
        </w:rPr>
        <w:t xml:space="preserve"> </w:t>
      </w:r>
      <w:r>
        <w:rPr>
          <w:rFonts w:ascii="Arial" w:hAnsi="Arial" w:cs="Arial"/>
          <w:sz w:val="24"/>
          <w:szCs w:val="24"/>
        </w:rPr>
        <w:t>These cars include gasoline-powered hybrids, gasoline, hybrid, and electric vehicles.</w:t>
      </w:r>
    </w:p>
    <w:p w14:paraId="7296B2AC" w14:textId="5F25DB7E" w:rsidR="00E77831" w:rsidRDefault="00000000">
      <w:pPr>
        <w:spacing w:line="360" w:lineRule="auto"/>
        <w:rPr>
          <w:rFonts w:ascii="Arial" w:hAnsi="Arial" w:cs="Arial"/>
          <w:b/>
          <w:bCs/>
          <w:sz w:val="28"/>
          <w:szCs w:val="28"/>
        </w:rPr>
      </w:pPr>
      <w:r>
        <w:rPr>
          <w:rFonts w:ascii="Arial" w:hAnsi="Arial" w:cs="Arial"/>
          <w:b/>
          <w:bCs/>
          <w:sz w:val="28"/>
          <w:szCs w:val="28"/>
        </w:rPr>
        <w:t>Challenge 2</w:t>
      </w:r>
      <w:r w:rsidR="00733FCF">
        <w:rPr>
          <w:rFonts w:ascii="Arial" w:hAnsi="Arial" w:cs="Arial"/>
          <w:b/>
          <w:bCs/>
          <w:sz w:val="28"/>
          <w:szCs w:val="28"/>
        </w:rPr>
        <w:t xml:space="preserve"> </w:t>
      </w:r>
      <w:r>
        <w:rPr>
          <w:rFonts w:ascii="Arial" w:hAnsi="Arial" w:cs="Arial"/>
          <w:b/>
          <w:bCs/>
          <w:sz w:val="28"/>
          <w:szCs w:val="28"/>
        </w:rPr>
        <w:t>-</w:t>
      </w:r>
      <w:r w:rsidR="00733FCF">
        <w:rPr>
          <w:rFonts w:ascii="Arial" w:hAnsi="Arial" w:cs="Arial"/>
          <w:b/>
          <w:bCs/>
          <w:sz w:val="28"/>
          <w:szCs w:val="28"/>
        </w:rPr>
        <w:t xml:space="preserve"> </w:t>
      </w:r>
      <w:r>
        <w:rPr>
          <w:rFonts w:ascii="Arial" w:hAnsi="Arial" w:cs="Arial"/>
          <w:b/>
          <w:bCs/>
          <w:sz w:val="28"/>
          <w:szCs w:val="28"/>
        </w:rPr>
        <w:t>Zero CO2 emissions</w:t>
      </w:r>
      <w:r w:rsidR="00733FCF">
        <w:rPr>
          <w:rFonts w:ascii="Arial" w:hAnsi="Arial" w:cs="Arial"/>
          <w:b/>
          <w:bCs/>
          <w:sz w:val="28"/>
          <w:szCs w:val="28"/>
        </w:rPr>
        <w:t>:</w:t>
      </w:r>
      <w:r>
        <w:rPr>
          <w:rFonts w:ascii="Arial" w:hAnsi="Arial" w:cs="Arial"/>
          <w:b/>
          <w:bCs/>
          <w:sz w:val="28"/>
          <w:szCs w:val="28"/>
        </w:rPr>
        <w:t xml:space="preserve"> </w:t>
      </w:r>
    </w:p>
    <w:p w14:paraId="1A515AA9" w14:textId="4C0B3934" w:rsidR="00E77831" w:rsidRDefault="00000000">
      <w:pPr>
        <w:spacing w:line="360" w:lineRule="auto"/>
        <w:rPr>
          <w:rFonts w:ascii="Arial" w:hAnsi="Arial" w:cs="Arial"/>
          <w:sz w:val="24"/>
          <w:szCs w:val="24"/>
        </w:rPr>
      </w:pPr>
      <w:r>
        <w:rPr>
          <w:rFonts w:ascii="Arial" w:hAnsi="Arial" w:cs="Arial"/>
          <w:sz w:val="24"/>
          <w:szCs w:val="24"/>
        </w:rPr>
        <w:t xml:space="preserve">Toyota has set a goal for itself to reduce all carbon dioxide emissions from its cars to zero throughout its lifetime. This covers all emissions, not just those from manufacturing and transportation. </w:t>
      </w:r>
      <w:r w:rsidR="00A063A1" w:rsidRPr="00A063A1">
        <w:rPr>
          <w:rFonts w:ascii="Arial" w:hAnsi="Arial" w:cs="Arial"/>
          <w:sz w:val="24"/>
          <w:szCs w:val="24"/>
        </w:rPr>
        <w:t xml:space="preserve">During the material and car production stages, some automobiles emit more pollutants than typical. Toyota is now developing </w:t>
      </w:r>
      <w:proofErr w:type="gramStart"/>
      <w:r w:rsidR="00A063A1" w:rsidRPr="00A063A1">
        <w:rPr>
          <w:rFonts w:ascii="Arial" w:hAnsi="Arial" w:cs="Arial"/>
          <w:sz w:val="24"/>
          <w:szCs w:val="24"/>
        </w:rPr>
        <w:t>all of</w:t>
      </w:r>
      <w:proofErr w:type="gramEnd"/>
      <w:r w:rsidR="00A063A1" w:rsidRPr="00A063A1">
        <w:rPr>
          <w:rFonts w:ascii="Arial" w:hAnsi="Arial" w:cs="Arial"/>
          <w:sz w:val="24"/>
          <w:szCs w:val="24"/>
        </w:rPr>
        <w:t xml:space="preserve"> its new vehicles following the environmental vehicle evaluation system</w:t>
      </w:r>
      <w:r w:rsidR="00A063A1" w:rsidRPr="00A063A1">
        <w:rPr>
          <w:rFonts w:ascii="Arial" w:hAnsi="Arial" w:cs="Arial"/>
          <w:sz w:val="24"/>
          <w:szCs w:val="24"/>
        </w:rPr>
        <w:t xml:space="preserve"> </w:t>
      </w:r>
      <w:r>
        <w:rPr>
          <w:rFonts w:ascii="Arial" w:hAnsi="Arial" w:cs="Arial"/>
          <w:sz w:val="24"/>
          <w:szCs w:val="24"/>
        </w:rPr>
        <w:t>(Bouabadallah, 2022, p. 174).</w:t>
      </w:r>
    </w:p>
    <w:p w14:paraId="3E0FC7B5" w14:textId="1973259A" w:rsidR="00E77831" w:rsidRDefault="00000000">
      <w:pPr>
        <w:spacing w:line="360" w:lineRule="auto"/>
        <w:rPr>
          <w:rFonts w:ascii="Arial" w:hAnsi="Arial" w:cs="Arial"/>
          <w:b/>
          <w:bCs/>
          <w:sz w:val="28"/>
          <w:szCs w:val="28"/>
        </w:rPr>
      </w:pPr>
      <w:r>
        <w:rPr>
          <w:rFonts w:ascii="Arial" w:hAnsi="Arial" w:cs="Arial"/>
          <w:b/>
          <w:bCs/>
          <w:sz w:val="28"/>
          <w:szCs w:val="28"/>
        </w:rPr>
        <w:t>Challenge 3 - Zero factory emission of carbon dioxide</w:t>
      </w:r>
      <w:r w:rsidR="00733FCF">
        <w:rPr>
          <w:rFonts w:ascii="Arial" w:hAnsi="Arial" w:cs="Arial"/>
          <w:b/>
          <w:bCs/>
          <w:sz w:val="28"/>
          <w:szCs w:val="28"/>
        </w:rPr>
        <w:t>:</w:t>
      </w:r>
    </w:p>
    <w:p w14:paraId="7E6D3B13" w14:textId="77777777" w:rsidR="00E77831" w:rsidRDefault="00000000">
      <w:pPr>
        <w:spacing w:line="360" w:lineRule="auto"/>
        <w:rPr>
          <w:rFonts w:ascii="Arial" w:hAnsi="Arial" w:cs="Arial"/>
          <w:sz w:val="24"/>
          <w:szCs w:val="24"/>
        </w:rPr>
      </w:pPr>
      <w:r>
        <w:rPr>
          <w:rFonts w:ascii="Arial" w:hAnsi="Arial" w:cs="Arial"/>
          <w:sz w:val="24"/>
          <w:szCs w:val="24"/>
        </w:rPr>
        <w:t xml:space="preserve">The third challenge is to have zero factory emissions of CO2. In addition to emitting CO2 while in motion, most vehicles also produce CO2 during the manufacturing process. Therefore, production facilities must be the focus of efforts to combat climate change. As these environmental actions are carried out at Toyota plants worldwide, </w:t>
      </w:r>
      <w:r>
        <w:rPr>
          <w:rFonts w:ascii="Arial" w:hAnsi="Arial" w:cs="Arial"/>
          <w:sz w:val="24"/>
          <w:szCs w:val="24"/>
        </w:rPr>
        <w:lastRenderedPageBreak/>
        <w:t>Toyota's strategy includes improving production technology and conversion to various forms of energy (Bouabadallah, 2022, p. 174).</w:t>
      </w:r>
    </w:p>
    <w:p w14:paraId="3F803D51" w14:textId="77777777" w:rsidR="00E77831" w:rsidRDefault="00000000">
      <w:pPr>
        <w:spacing w:line="360" w:lineRule="auto"/>
        <w:rPr>
          <w:rFonts w:ascii="Arial" w:hAnsi="Arial" w:cs="Arial"/>
          <w:b/>
          <w:bCs/>
          <w:sz w:val="24"/>
          <w:szCs w:val="24"/>
        </w:rPr>
      </w:pPr>
      <w:r>
        <w:rPr>
          <w:rFonts w:ascii="Arial" w:hAnsi="Arial" w:cs="Arial"/>
          <w:b/>
          <w:bCs/>
          <w:sz w:val="24"/>
          <w:szCs w:val="24"/>
        </w:rPr>
        <w:t xml:space="preserve">Figure 4: Toyota GB plc's target for CO2 emissions reduction </w:t>
      </w:r>
    </w:p>
    <w:p w14:paraId="35BD182E" w14:textId="77777777" w:rsidR="00E77831" w:rsidRDefault="00000000">
      <w:pPr>
        <w:spacing w:line="360" w:lineRule="auto"/>
        <w:rPr>
          <w:rFonts w:ascii="Arial" w:hAnsi="Arial" w:cs="Arial"/>
          <w:sz w:val="24"/>
          <w:szCs w:val="24"/>
        </w:rPr>
      </w:pPr>
      <w:r>
        <w:rPr>
          <w:noProof/>
        </w:rPr>
        <w:drawing>
          <wp:inline distT="0" distB="0" distL="0" distR="0" wp14:anchorId="6226226D" wp14:editId="6C03925A">
            <wp:extent cx="5187950" cy="4099320"/>
            <wp:effectExtent l="0" t="0" r="0" b="0"/>
            <wp:docPr id="1077" name="Image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1"/>
                    <pic:cNvPicPr/>
                  </pic:nvPicPr>
                  <pic:blipFill>
                    <a:blip r:embed="rId25" cstate="print"/>
                    <a:srcRect/>
                    <a:stretch/>
                  </pic:blipFill>
                  <pic:spPr>
                    <a:xfrm>
                      <a:off x="0" y="0"/>
                      <a:ext cx="5187950" cy="4099320"/>
                    </a:xfrm>
                    <a:prstGeom prst="rect">
                      <a:avLst/>
                    </a:prstGeom>
                  </pic:spPr>
                </pic:pic>
              </a:graphicData>
            </a:graphic>
          </wp:inline>
        </w:drawing>
      </w:r>
    </w:p>
    <w:p w14:paraId="325568B0" w14:textId="77777777" w:rsidR="00E77831" w:rsidRDefault="00000000">
      <w:pPr>
        <w:spacing w:line="360" w:lineRule="auto"/>
        <w:rPr>
          <w:rFonts w:ascii="Arial" w:hAnsi="Arial" w:cs="Arial"/>
          <w:sz w:val="24"/>
          <w:szCs w:val="24"/>
        </w:rPr>
      </w:pPr>
      <w:r>
        <w:rPr>
          <w:rFonts w:ascii="Arial" w:hAnsi="Arial" w:cs="Arial"/>
          <w:sz w:val="24"/>
          <w:szCs w:val="24"/>
        </w:rPr>
        <w:t xml:space="preserve">                                   (Source: Toyota GB, 2022) </w:t>
      </w:r>
    </w:p>
    <w:p w14:paraId="119E08D3" w14:textId="77777777" w:rsidR="00E77831" w:rsidRDefault="00000000">
      <w:pPr>
        <w:spacing w:line="360" w:lineRule="auto"/>
        <w:rPr>
          <w:rFonts w:ascii="Arial" w:hAnsi="Arial" w:cs="Arial"/>
          <w:sz w:val="24"/>
          <w:szCs w:val="24"/>
        </w:rPr>
      </w:pPr>
      <w:r>
        <w:rPr>
          <w:rFonts w:ascii="Arial" w:hAnsi="Arial" w:cs="Arial"/>
          <w:sz w:val="24"/>
          <w:szCs w:val="24"/>
        </w:rPr>
        <w:t>This data further illustrates that there is a 35 % reduction in the emission of carbon dioxide in 2023 as compared to 2019 and in 2025, zero emission from the vehicles is projected by the Toyota GB.</w:t>
      </w:r>
    </w:p>
    <w:p w14:paraId="76C534CE" w14:textId="4A625002" w:rsidR="00E77831" w:rsidRDefault="00000000">
      <w:pPr>
        <w:spacing w:line="360" w:lineRule="auto"/>
        <w:rPr>
          <w:rFonts w:ascii="Arial" w:hAnsi="Arial" w:cs="Arial"/>
          <w:b/>
          <w:bCs/>
          <w:sz w:val="28"/>
          <w:szCs w:val="28"/>
        </w:rPr>
      </w:pPr>
      <w:r>
        <w:rPr>
          <w:rFonts w:ascii="Arial" w:hAnsi="Arial" w:cs="Arial"/>
          <w:b/>
          <w:bCs/>
          <w:sz w:val="28"/>
          <w:szCs w:val="28"/>
        </w:rPr>
        <w:t>Challenge 4 - Reduction of the usage of water</w:t>
      </w:r>
      <w:r w:rsidR="00733FCF">
        <w:rPr>
          <w:rFonts w:ascii="Arial" w:hAnsi="Arial" w:cs="Arial"/>
          <w:b/>
          <w:bCs/>
          <w:sz w:val="28"/>
          <w:szCs w:val="28"/>
        </w:rPr>
        <w:t>:</w:t>
      </w:r>
      <w:r>
        <w:rPr>
          <w:rFonts w:ascii="Arial" w:hAnsi="Arial" w:cs="Arial"/>
          <w:b/>
          <w:bCs/>
          <w:sz w:val="28"/>
          <w:szCs w:val="28"/>
        </w:rPr>
        <w:t xml:space="preserve"> </w:t>
      </w:r>
    </w:p>
    <w:p w14:paraId="0687BED9" w14:textId="77777777" w:rsidR="00E77831" w:rsidRDefault="00000000">
      <w:pPr>
        <w:spacing w:line="360" w:lineRule="auto"/>
        <w:rPr>
          <w:rFonts w:ascii="Arial" w:hAnsi="Arial" w:cs="Arial"/>
          <w:sz w:val="24"/>
          <w:szCs w:val="24"/>
        </w:rPr>
      </w:pPr>
      <w:r>
        <w:rPr>
          <w:rFonts w:ascii="Arial" w:hAnsi="Arial" w:cs="Arial"/>
          <w:sz w:val="24"/>
          <w:szCs w:val="24"/>
        </w:rPr>
        <w:t xml:space="preserve">This challenge involves minimizing the use of water and conserving water as much as possible while also encouraging efficient wastewater management. Recycling and reusing as much as possible are crucial for reducing the quantity of water used in manufacturing products. Toyota implemented a rainwater collection policy in its plants </w:t>
      </w:r>
      <w:r>
        <w:rPr>
          <w:rFonts w:ascii="Arial" w:hAnsi="Arial" w:cs="Arial"/>
          <w:sz w:val="24"/>
          <w:szCs w:val="24"/>
        </w:rPr>
        <w:lastRenderedPageBreak/>
        <w:t>and created a purification process to either reuse or treat the water before returning it to the environment.</w:t>
      </w:r>
    </w:p>
    <w:p w14:paraId="7606B954" w14:textId="0E07D346" w:rsidR="00E77831" w:rsidRDefault="00000000">
      <w:pPr>
        <w:spacing w:line="360" w:lineRule="auto"/>
        <w:rPr>
          <w:rFonts w:ascii="Arial" w:hAnsi="Arial" w:cs="Arial"/>
          <w:sz w:val="28"/>
          <w:szCs w:val="28"/>
        </w:rPr>
      </w:pPr>
      <w:r>
        <w:rPr>
          <w:rFonts w:ascii="Arial" w:hAnsi="Arial" w:cs="Arial"/>
          <w:b/>
          <w:bCs/>
          <w:sz w:val="28"/>
          <w:szCs w:val="28"/>
        </w:rPr>
        <w:t>Challenge 5 - Creating an environmentally friendly society</w:t>
      </w:r>
      <w:r w:rsidR="00733FCF">
        <w:rPr>
          <w:rFonts w:ascii="Arial" w:hAnsi="Arial" w:cs="Arial"/>
          <w:b/>
          <w:bCs/>
          <w:sz w:val="28"/>
          <w:szCs w:val="28"/>
        </w:rPr>
        <w:t>:</w:t>
      </w:r>
    </w:p>
    <w:p w14:paraId="7B00C366" w14:textId="77777777" w:rsidR="00E77831" w:rsidRDefault="00000000">
      <w:pPr>
        <w:spacing w:line="360" w:lineRule="auto"/>
        <w:rPr>
          <w:rFonts w:ascii="Arial" w:hAnsi="Arial" w:cs="Arial"/>
          <w:sz w:val="24"/>
          <w:szCs w:val="24"/>
        </w:rPr>
      </w:pPr>
      <w:r>
        <w:rPr>
          <w:rFonts w:ascii="Arial" w:hAnsi="Arial" w:cs="Arial"/>
          <w:sz w:val="24"/>
          <w:szCs w:val="24"/>
        </w:rPr>
        <w:t>It works on encouraging recycling and implementation of end-of-life vehicle treatment. It focuses on the reuse, recycling, recovery, and reduction of a variety of useful products to create an environmentally friendly society. Creating systems and society on recycling Toyota contributes to the formation of an environmentally friendly society.</w:t>
      </w:r>
    </w:p>
    <w:p w14:paraId="675511DE" w14:textId="599F259D" w:rsidR="00E77831" w:rsidRDefault="00000000">
      <w:pPr>
        <w:spacing w:line="360" w:lineRule="auto"/>
        <w:rPr>
          <w:rFonts w:ascii="Arial" w:hAnsi="Arial" w:cs="Arial"/>
          <w:b/>
          <w:bCs/>
          <w:sz w:val="28"/>
          <w:szCs w:val="28"/>
        </w:rPr>
      </w:pPr>
      <w:r>
        <w:rPr>
          <w:rFonts w:ascii="Arial" w:hAnsi="Arial" w:cs="Arial"/>
          <w:b/>
          <w:bCs/>
          <w:sz w:val="28"/>
          <w:szCs w:val="28"/>
        </w:rPr>
        <w:t>Challenge 6 - Constructing a society of the future that coexists with nature</w:t>
      </w:r>
      <w:r w:rsidR="00733FCF">
        <w:rPr>
          <w:rFonts w:ascii="Arial" w:hAnsi="Arial" w:cs="Arial"/>
          <w:b/>
          <w:bCs/>
          <w:sz w:val="28"/>
          <w:szCs w:val="28"/>
        </w:rPr>
        <w:t>:</w:t>
      </w:r>
    </w:p>
    <w:p w14:paraId="459B6E8E" w14:textId="77777777" w:rsidR="00E77831" w:rsidRDefault="00000000">
      <w:pPr>
        <w:spacing w:line="360" w:lineRule="auto"/>
        <w:rPr>
          <w:rFonts w:ascii="Arial" w:hAnsi="Arial" w:cs="Arial"/>
          <w:sz w:val="24"/>
          <w:szCs w:val="24"/>
        </w:rPr>
      </w:pPr>
      <w:r>
        <w:rPr>
          <w:rFonts w:ascii="Arial" w:hAnsi="Arial" w:cs="Arial"/>
          <w:sz w:val="24"/>
          <w:szCs w:val="24"/>
        </w:rPr>
        <w:t>Toyota advocates for its mission of “valuing and improving society lives” by operationalizing small- and large-scale projects globally. Activities for protecting the environment are being planned outside of the Toyota group to include its commercial associates. For instance, it supports programs in the field of education, grants for the environment, green urban systems, and forestry (Simao &amp; Lisboa, 2016, p. 191).</w:t>
      </w:r>
    </w:p>
    <w:p w14:paraId="76ED0F8E" w14:textId="77777777" w:rsidR="00E77831" w:rsidRDefault="00000000">
      <w:pPr>
        <w:spacing w:line="360" w:lineRule="auto"/>
        <w:rPr>
          <w:rFonts w:ascii="Arial" w:hAnsi="Arial" w:cs="Arial"/>
          <w:sz w:val="24"/>
          <w:szCs w:val="24"/>
        </w:rPr>
      </w:pPr>
      <w:r>
        <w:rPr>
          <w:rFonts w:ascii="Arial" w:hAnsi="Arial" w:cs="Arial"/>
          <w:sz w:val="24"/>
          <w:szCs w:val="24"/>
        </w:rPr>
        <w:t>According to Upadhyay, A. et al., the current trend of various technologies that are rapidly changing in the automotive industry has put increasing pressure on UK automakers to adopt technologies that can improve their operations and supply chain, despite the economic contribution of the UK automotive industry. Blockchain technology was suggested as one of the technologies that can provide answers to the “seven kit innovation opportunities” They must try to improve supply chain operation, including delivery and manufacturing. It has been demonstrated that Japanese production techniques have been significantly change agents in the modern UK. Even though empirical data suggests the missionary zeal and speed at which UK businesses were adopting methods that were previously thought to be unique to Japanese (Upadhyay, A. et al., 2020, p. 17).</w:t>
      </w:r>
    </w:p>
    <w:p w14:paraId="7F7AAFD8" w14:textId="0B49296F" w:rsidR="00E77831" w:rsidRDefault="00000000">
      <w:pPr>
        <w:spacing w:line="360" w:lineRule="auto"/>
        <w:rPr>
          <w:rFonts w:ascii="Arial" w:hAnsi="Arial" w:cs="Arial"/>
          <w:b/>
          <w:bCs/>
          <w:sz w:val="28"/>
          <w:szCs w:val="28"/>
        </w:rPr>
      </w:pPr>
      <w:r>
        <w:rPr>
          <w:rFonts w:ascii="Arial" w:hAnsi="Arial" w:cs="Arial"/>
          <w:b/>
          <w:bCs/>
          <w:sz w:val="28"/>
          <w:szCs w:val="28"/>
        </w:rPr>
        <w:t>4.1.3 Marketing strategies and various tactics used by Toyota GB to engage customers</w:t>
      </w:r>
      <w:r w:rsidR="00733FCF">
        <w:rPr>
          <w:rFonts w:ascii="Arial" w:hAnsi="Arial" w:cs="Arial"/>
          <w:b/>
          <w:bCs/>
          <w:sz w:val="28"/>
          <w:szCs w:val="28"/>
        </w:rPr>
        <w:t>:</w:t>
      </w:r>
    </w:p>
    <w:p w14:paraId="20B8FC03" w14:textId="77777777" w:rsidR="00E77831" w:rsidRDefault="00000000">
      <w:pPr>
        <w:spacing w:line="360" w:lineRule="auto"/>
        <w:rPr>
          <w:rFonts w:ascii="Arial" w:hAnsi="Arial" w:cs="Arial"/>
          <w:sz w:val="24"/>
          <w:szCs w:val="24"/>
        </w:rPr>
      </w:pPr>
      <w:r>
        <w:rPr>
          <w:rFonts w:ascii="Arial" w:hAnsi="Arial" w:cs="Arial"/>
          <w:sz w:val="24"/>
          <w:szCs w:val="24"/>
        </w:rPr>
        <w:lastRenderedPageBreak/>
        <w:t>Toyota UK wants to satisfy their customers by offering the best products at the best prices, delivered in the quickest amount of time, and with the best quality. It features a fuel manufacturing process that includes paint, assembly, press, and welding. Every step of the process is built with quality and before line off, a thorough functional and visual inspection is done to guarantee client satisfaction (Basu &amp; Mirashnik, 1999, p. 724).</w:t>
      </w:r>
    </w:p>
    <w:p w14:paraId="73A8D362" w14:textId="77777777" w:rsidR="00E77831" w:rsidRDefault="00000000">
      <w:pPr>
        <w:spacing w:line="360" w:lineRule="auto"/>
        <w:rPr>
          <w:rFonts w:ascii="Arial" w:hAnsi="Arial" w:cs="Arial"/>
          <w:sz w:val="24"/>
          <w:szCs w:val="24"/>
        </w:rPr>
      </w:pPr>
      <w:r>
        <w:rPr>
          <w:rFonts w:ascii="Arial" w:hAnsi="Arial" w:cs="Arial"/>
          <w:sz w:val="24"/>
          <w:szCs w:val="24"/>
        </w:rPr>
        <w:t xml:space="preserve"> The implication of a Toyota production system by Toyota GB helps in becoming the reputable automotive industry in the UK. It helps to achieve customer satisfaction and loyalty. There is a rapid increase in the value of the market share of Toyota in the UK just because of the Toyota production system.</w:t>
      </w:r>
    </w:p>
    <w:p w14:paraId="2EC23DB4" w14:textId="77777777" w:rsidR="00E77831" w:rsidRDefault="00000000">
      <w:pPr>
        <w:spacing w:line="360" w:lineRule="auto"/>
        <w:rPr>
          <w:rFonts w:ascii="Arial" w:hAnsi="Arial" w:cs="Arial"/>
          <w:sz w:val="24"/>
          <w:szCs w:val="24"/>
        </w:rPr>
      </w:pPr>
      <w:r>
        <w:rPr>
          <w:rFonts w:ascii="Arial" w:hAnsi="Arial" w:cs="Arial"/>
          <w:sz w:val="24"/>
          <w:szCs w:val="24"/>
        </w:rPr>
        <w:t xml:space="preserve">According to Grove et al., Taichi Ohno started the Toyota production system (TPS) to create the ideal system. He began by recognizing the crucial rules that waste and inventory play. He then introduced ideas like “just in time” and quality circles which are cornerstones of Toyota's capacity to build high-quality vehicles at competitive prices. Lean thinking evolved from the Toyota production system (TPS) and is currently used in a wide range of competitive industries such as retail, insurance, and manufacturing. Lean organisations221 aim to minimize waste because doing so lowers costs and boosts customer satisfaction. Lean concepts help to create a more controlled environment from which to improve by standardizing procedures and implementing work practices that control the impact of demand </w:t>
      </w:r>
      <w:proofErr w:type="gramStart"/>
      <w:r>
        <w:rPr>
          <w:rFonts w:ascii="Arial" w:hAnsi="Arial" w:cs="Arial"/>
          <w:sz w:val="24"/>
          <w:szCs w:val="24"/>
        </w:rPr>
        <w:t>variation(</w:t>
      </w:r>
      <w:proofErr w:type="gramEnd"/>
      <w:r>
        <w:rPr>
          <w:rFonts w:ascii="Arial" w:hAnsi="Arial" w:cs="Arial"/>
          <w:sz w:val="24"/>
          <w:szCs w:val="24"/>
        </w:rPr>
        <w:t>Grove et al., 2010, p. 205).</w:t>
      </w:r>
    </w:p>
    <w:p w14:paraId="6CC5F9D4" w14:textId="741011A0" w:rsidR="00E77831" w:rsidRDefault="00000000">
      <w:pPr>
        <w:spacing w:line="360" w:lineRule="auto"/>
        <w:rPr>
          <w:rFonts w:ascii="Arial" w:hAnsi="Arial" w:cs="Arial"/>
          <w:sz w:val="24"/>
          <w:szCs w:val="24"/>
        </w:rPr>
      </w:pPr>
      <w:r>
        <w:rPr>
          <w:rFonts w:ascii="Arial" w:hAnsi="Arial" w:cs="Arial"/>
          <w:sz w:val="24"/>
          <w:szCs w:val="24"/>
        </w:rPr>
        <w:t>The Toyota production system's guiding idea is to cut expenses in manufacturing environments like Toyota's by merely eliminating waste</w:t>
      </w:r>
      <w:r w:rsidR="00733FCF">
        <w:rPr>
          <w:rFonts w:ascii="Arial" w:hAnsi="Arial" w:cs="Arial"/>
          <w:sz w:val="24"/>
          <w:szCs w:val="24"/>
        </w:rPr>
        <w:t>:</w:t>
      </w:r>
      <w:r>
        <w:rPr>
          <w:rFonts w:ascii="Arial" w:hAnsi="Arial" w:cs="Arial"/>
          <w:sz w:val="24"/>
          <w:szCs w:val="24"/>
        </w:rPr>
        <w:t xml:space="preserve"> </w:t>
      </w:r>
    </w:p>
    <w:p w14:paraId="020E393F" w14:textId="77777777" w:rsidR="00E77831" w:rsidRDefault="00000000">
      <w:pPr>
        <w:spacing w:line="360" w:lineRule="auto"/>
        <w:rPr>
          <w:rFonts w:ascii="Arial" w:hAnsi="Arial" w:cs="Arial"/>
          <w:sz w:val="24"/>
          <w:szCs w:val="24"/>
        </w:rPr>
      </w:pPr>
      <w:r>
        <w:rPr>
          <w:rFonts w:ascii="Arial" w:hAnsi="Arial" w:cs="Arial"/>
          <w:sz w:val="24"/>
          <w:szCs w:val="24"/>
        </w:rPr>
        <w:t xml:space="preserve">Four types of waste are typically encountered in manufacturing production operations: - </w:t>
      </w:r>
    </w:p>
    <w:p w14:paraId="76B6E9D8" w14:textId="27811233" w:rsidR="00E77831" w:rsidRDefault="00000000">
      <w:pPr>
        <w:spacing w:line="360" w:lineRule="auto"/>
        <w:rPr>
          <w:rFonts w:ascii="Arial" w:hAnsi="Arial" w:cs="Arial"/>
          <w:sz w:val="24"/>
          <w:szCs w:val="24"/>
        </w:rPr>
      </w:pPr>
      <w:r>
        <w:rPr>
          <w:rFonts w:ascii="Arial" w:hAnsi="Arial" w:cs="Arial"/>
          <w:sz w:val="24"/>
          <w:szCs w:val="24"/>
        </w:rPr>
        <w:t>1. An abundance of production resources</w:t>
      </w:r>
    </w:p>
    <w:p w14:paraId="6235FA02" w14:textId="77777777" w:rsidR="00E77831" w:rsidRDefault="00000000">
      <w:pPr>
        <w:spacing w:line="360" w:lineRule="auto"/>
        <w:rPr>
          <w:rFonts w:ascii="Arial" w:hAnsi="Arial" w:cs="Arial"/>
          <w:sz w:val="24"/>
          <w:szCs w:val="24"/>
        </w:rPr>
      </w:pPr>
      <w:r>
        <w:rPr>
          <w:rFonts w:ascii="Arial" w:hAnsi="Arial" w:cs="Arial"/>
          <w:sz w:val="24"/>
          <w:szCs w:val="24"/>
        </w:rPr>
        <w:t>2. Excessive manufacturing</w:t>
      </w:r>
    </w:p>
    <w:p w14:paraId="4BC4F6EB" w14:textId="77777777" w:rsidR="00E77831" w:rsidRDefault="00000000">
      <w:pPr>
        <w:spacing w:line="360" w:lineRule="auto"/>
        <w:rPr>
          <w:rFonts w:ascii="Arial" w:hAnsi="Arial" w:cs="Arial"/>
          <w:sz w:val="24"/>
          <w:szCs w:val="24"/>
        </w:rPr>
      </w:pPr>
      <w:r>
        <w:rPr>
          <w:rFonts w:ascii="Arial" w:hAnsi="Arial" w:cs="Arial"/>
          <w:sz w:val="24"/>
          <w:szCs w:val="24"/>
        </w:rPr>
        <w:t xml:space="preserve">3. Overstock of inventory </w:t>
      </w:r>
    </w:p>
    <w:p w14:paraId="5E416731" w14:textId="77777777" w:rsidR="00E77831" w:rsidRDefault="00000000">
      <w:pPr>
        <w:spacing w:line="360" w:lineRule="auto"/>
        <w:rPr>
          <w:rFonts w:ascii="Arial" w:hAnsi="Arial" w:cs="Arial"/>
          <w:sz w:val="24"/>
          <w:szCs w:val="24"/>
        </w:rPr>
      </w:pPr>
      <w:r>
        <w:rPr>
          <w:rFonts w:ascii="Arial" w:hAnsi="Arial" w:cs="Arial"/>
          <w:sz w:val="24"/>
          <w:szCs w:val="24"/>
        </w:rPr>
        <w:t>4. Needles capital Expenditure (Sahil, 2017, p. 20)</w:t>
      </w:r>
    </w:p>
    <w:p w14:paraId="0E20AA21" w14:textId="77777777" w:rsidR="00E77831" w:rsidRDefault="00000000">
      <w:pPr>
        <w:spacing w:line="360" w:lineRule="auto"/>
        <w:rPr>
          <w:rFonts w:ascii="Arial" w:hAnsi="Arial" w:cs="Arial"/>
          <w:sz w:val="24"/>
          <w:szCs w:val="24"/>
        </w:rPr>
      </w:pPr>
      <w:r>
        <w:rPr>
          <w:rFonts w:ascii="Arial" w:hAnsi="Arial" w:cs="Arial"/>
          <w:sz w:val="24"/>
          <w:szCs w:val="24"/>
        </w:rPr>
        <w:lastRenderedPageBreak/>
        <w:t>Toyota GB uses the Jidoka and time method to engage more customers and achieve a sustainable competitive advantage.</w:t>
      </w:r>
    </w:p>
    <w:p w14:paraId="162B79F9" w14:textId="77777777" w:rsidR="00E77831" w:rsidRDefault="00000000">
      <w:pPr>
        <w:spacing w:line="360" w:lineRule="auto"/>
        <w:rPr>
          <w:rFonts w:ascii="Arial" w:hAnsi="Arial" w:cs="Arial"/>
          <w:sz w:val="24"/>
          <w:szCs w:val="24"/>
        </w:rPr>
      </w:pPr>
      <w:r>
        <w:rPr>
          <w:rFonts w:ascii="Arial" w:hAnsi="Arial" w:cs="Arial"/>
          <w:b/>
          <w:bCs/>
          <w:sz w:val="24"/>
          <w:szCs w:val="24"/>
        </w:rPr>
        <w:t xml:space="preserve">Jidoka - </w:t>
      </w:r>
      <w:r>
        <w:rPr>
          <w:rFonts w:ascii="Arial" w:hAnsi="Arial" w:cs="Arial"/>
          <w:sz w:val="24"/>
          <w:szCs w:val="24"/>
        </w:rPr>
        <w:t>Jidoka refers to the application of automation that still retains some human element. Toyota GB used it in operations or equipment, enabling them to halt the entire production process if they discovered a defect in the relevant process. It aids in preventing overproduction by stopping the machinery when the desired quantity is reached. It also aids in the control of abnormalities of any kind by enabling the production system to investigate any flaws discovered by the worker in the item or equipment.</w:t>
      </w:r>
    </w:p>
    <w:p w14:paraId="1CF311F6" w14:textId="77777777" w:rsidR="00E77831" w:rsidRDefault="00000000">
      <w:pPr>
        <w:spacing w:line="360" w:lineRule="auto"/>
        <w:rPr>
          <w:rFonts w:ascii="Arial" w:hAnsi="Arial" w:cs="Arial"/>
          <w:sz w:val="24"/>
          <w:szCs w:val="24"/>
        </w:rPr>
      </w:pPr>
      <w:r>
        <w:rPr>
          <w:rFonts w:ascii="Arial" w:hAnsi="Arial" w:cs="Arial"/>
          <w:b/>
          <w:bCs/>
          <w:sz w:val="24"/>
          <w:szCs w:val="24"/>
        </w:rPr>
        <w:t xml:space="preserve">Just in time - </w:t>
      </w:r>
      <w:r>
        <w:rPr>
          <w:rFonts w:ascii="Arial" w:hAnsi="Arial" w:cs="Arial"/>
          <w:sz w:val="24"/>
          <w:szCs w:val="24"/>
        </w:rPr>
        <w:t xml:space="preserve">A just-in-time production system aids in preventing those situations in which issues with uneven inventory, surplus </w:t>
      </w:r>
      <w:proofErr w:type="spellStart"/>
      <w:r>
        <w:rPr>
          <w:rFonts w:ascii="Arial" w:hAnsi="Arial" w:cs="Arial"/>
          <w:sz w:val="24"/>
          <w:szCs w:val="24"/>
        </w:rPr>
        <w:t>labour</w:t>
      </w:r>
      <w:proofErr w:type="spellEnd"/>
      <w:r>
        <w:rPr>
          <w:rFonts w:ascii="Arial" w:hAnsi="Arial" w:cs="Arial"/>
          <w:sz w:val="24"/>
          <w:szCs w:val="24"/>
        </w:rPr>
        <w:t>, and equipment. To overcome this problem Toyota GB makes every effort to create a production system that will shorten the time it takes to complete a vehicle from the time materials are received (Sahil, 2017, p. 20).</w:t>
      </w:r>
    </w:p>
    <w:p w14:paraId="3404CF4D" w14:textId="77777777" w:rsidR="00E77831" w:rsidRDefault="00000000">
      <w:pPr>
        <w:spacing w:line="360" w:lineRule="auto"/>
        <w:rPr>
          <w:rFonts w:ascii="Arial" w:hAnsi="Arial" w:cs="Arial"/>
          <w:sz w:val="24"/>
          <w:szCs w:val="24"/>
        </w:rPr>
      </w:pPr>
      <w:r>
        <w:rPr>
          <w:rFonts w:ascii="Arial" w:hAnsi="Arial" w:cs="Arial"/>
          <w:sz w:val="24"/>
          <w:szCs w:val="24"/>
        </w:rPr>
        <w:t>Toyota GB provides financial incentives and encouragements supply chain companies to implement just-in-time (JIT) manufacturing methods in addition to switching to cell manufacturing and other elements of modern manufacturing techniques that are referred to as a Toyota production system. Toyota UK's closest supplier's positive experience highlights the company's potential as a learning resource. This is to be the only supplier of seats, the supplier established operations close to the Dearby plant. The company was a well-known supplier to the Toyota plant in America (Wirifield &amp; Kerrin, 1994, p. 7).</w:t>
      </w:r>
    </w:p>
    <w:p w14:paraId="37919B02" w14:textId="77777777" w:rsidR="00E77831" w:rsidRDefault="00000000">
      <w:pPr>
        <w:spacing w:line="360" w:lineRule="auto"/>
        <w:rPr>
          <w:rFonts w:ascii="Arial" w:hAnsi="Arial" w:cs="Arial"/>
          <w:sz w:val="24"/>
          <w:szCs w:val="24"/>
        </w:rPr>
      </w:pPr>
      <w:r>
        <w:rPr>
          <w:rFonts w:ascii="Arial" w:hAnsi="Arial" w:cs="Arial"/>
          <w:sz w:val="24"/>
          <w:szCs w:val="24"/>
        </w:rPr>
        <w:t>The Toyota production system has set cost reduction as its top priority. However, they also focused on Respect for humanity, Quality assurance, and quantity control. Quality assurance guarantees that only high-quality units will be supplied to TPS for further processing. Respect for humanity contributed to the development of a respectful culture at Toyota (Sahil, 2017, p. 20).</w:t>
      </w:r>
    </w:p>
    <w:p w14:paraId="67F473FD" w14:textId="77777777" w:rsidR="00E77831" w:rsidRDefault="00000000">
      <w:pPr>
        <w:spacing w:line="360" w:lineRule="auto"/>
        <w:rPr>
          <w:rFonts w:ascii="Arial" w:hAnsi="Arial" w:cs="Arial"/>
          <w:sz w:val="24"/>
          <w:szCs w:val="24"/>
        </w:rPr>
      </w:pPr>
      <w:r>
        <w:rPr>
          <w:rFonts w:ascii="Arial" w:hAnsi="Arial" w:cs="Arial"/>
          <w:sz w:val="24"/>
          <w:szCs w:val="24"/>
        </w:rPr>
        <w:t xml:space="preserve">Toyota GB implanted a green marketing mix strategy to achieve customer satisfaction as its focus is to create a product, develop a process in such a way that it engages most </w:t>
      </w:r>
      <w:r>
        <w:rPr>
          <w:rFonts w:ascii="Arial" w:hAnsi="Arial" w:cs="Arial"/>
          <w:sz w:val="24"/>
          <w:szCs w:val="24"/>
        </w:rPr>
        <w:lastRenderedPageBreak/>
        <w:t>of the customers with itself, and meet the environmental needs by reducing the carbon dioxide, and greenhouse gas emissions. They generally work toward the goal of continuous improvement so that they Produce products in such a way that it benefits the organization, customers, and environment.</w:t>
      </w:r>
    </w:p>
    <w:p w14:paraId="2812B011" w14:textId="77777777" w:rsidR="00E77831" w:rsidRDefault="00000000">
      <w:pPr>
        <w:spacing w:line="360" w:lineRule="auto"/>
        <w:rPr>
          <w:rFonts w:ascii="Arial" w:hAnsi="Arial" w:cs="Arial"/>
          <w:sz w:val="24"/>
          <w:szCs w:val="24"/>
        </w:rPr>
      </w:pPr>
      <w:r>
        <w:rPr>
          <w:rFonts w:ascii="Arial" w:hAnsi="Arial" w:cs="Arial"/>
          <w:sz w:val="24"/>
          <w:szCs w:val="24"/>
        </w:rPr>
        <w:t>The effective creation of environmentally friendly products was crucial to the success of the green marketing plan. It can facilitate business and economics quick transition to sustainable development. End-of-pipe technology is emphasized in green product Development, where businesses become conscious of ecological issues during the production and design process. It minimizes the use of non-renewable resources, stays away from hazardous materials, and uses renewable resources throughout its entire life cycle (Yan &amp; Yazdanifard, 2014, p. 34).</w:t>
      </w:r>
    </w:p>
    <w:p w14:paraId="6FF93904" w14:textId="77777777" w:rsidR="00E77831" w:rsidRDefault="00000000">
      <w:pPr>
        <w:spacing w:line="360" w:lineRule="auto"/>
        <w:rPr>
          <w:rFonts w:ascii="Arial" w:hAnsi="Arial" w:cs="Arial"/>
          <w:sz w:val="24"/>
          <w:szCs w:val="24"/>
        </w:rPr>
      </w:pPr>
      <w:r>
        <w:rPr>
          <w:rFonts w:ascii="Arial" w:hAnsi="Arial" w:cs="Arial"/>
          <w:sz w:val="24"/>
          <w:szCs w:val="24"/>
        </w:rPr>
        <w:t>Toyota GB thinks that by minimizing investment in cutting-edge technology and creating greener cars, such as plug-in hybrid electric vehicles (PHEVs), Battery electric vehicles (BHEVs), and fuel cell electric vehicles (FCEVs), it can reduce its carbon footprint. These developments assist in lowering vehicle emissions, push global automaker standards, and follow a route towards lowering vehicle CO2 emissions and safeguarding the environment (Rouault, 2020, p. 336).</w:t>
      </w:r>
    </w:p>
    <w:p w14:paraId="470D3B2D" w14:textId="77777777" w:rsidR="00E77831" w:rsidRDefault="00000000">
      <w:pPr>
        <w:spacing w:line="360" w:lineRule="auto"/>
        <w:rPr>
          <w:rFonts w:ascii="Arial" w:hAnsi="Arial" w:cs="Arial"/>
          <w:sz w:val="24"/>
          <w:szCs w:val="24"/>
        </w:rPr>
      </w:pPr>
      <w:r>
        <w:rPr>
          <w:rFonts w:ascii="Arial" w:hAnsi="Arial" w:cs="Arial"/>
          <w:sz w:val="24"/>
          <w:szCs w:val="24"/>
        </w:rPr>
        <w:t>According to Yan &amp; Yazdanifard, Toyota manufactures the Prius. A vehicle that benefits both the environment and customers in a no. Of ways, as it has an environmentally friendly engine that is petrol with reduced emission, it can reduce nitrogen and carbon dioxide emissions. Toyota created the Prius to reduce fuel costs because of rising fuel prices which in the eyes of many customers can be a good thing. Strong environmental concerns among customers will probably lead to the purchase and use of hybrid cars by environmentally conscientious individuals who take environmental claims and safety into consideration (Yan &amp; Yazdanifard, 2014, p. 34).</w:t>
      </w:r>
    </w:p>
    <w:p w14:paraId="61A3F667" w14:textId="77777777" w:rsidR="00E77831" w:rsidRDefault="00000000">
      <w:pPr>
        <w:spacing w:line="360" w:lineRule="auto"/>
        <w:rPr>
          <w:rFonts w:ascii="Arial" w:hAnsi="Arial" w:cs="Arial"/>
          <w:sz w:val="24"/>
          <w:szCs w:val="24"/>
        </w:rPr>
      </w:pPr>
      <w:r>
        <w:rPr>
          <w:rFonts w:ascii="Arial" w:hAnsi="Arial" w:cs="Arial"/>
          <w:sz w:val="24"/>
          <w:szCs w:val="24"/>
        </w:rPr>
        <w:t xml:space="preserve">Beginning in early 2022, TMUK and Toyota Motor Europe conducted a feasibility study for the hydrogen Hilux project in collaboration with consortium members Richardo, ETL, D2H, and chem research. Funding was obtained through the Advanced Propulsion Centre with assistance from the UK government. The Toyota Mirai hydrogen fuel cell electric saloon whose technology has proven its quality in nearly ten years of </w:t>
      </w:r>
      <w:r>
        <w:rPr>
          <w:rFonts w:ascii="Arial" w:hAnsi="Arial" w:cs="Arial"/>
          <w:sz w:val="24"/>
          <w:szCs w:val="24"/>
        </w:rPr>
        <w:lastRenderedPageBreak/>
        <w:t>commercial production, provides the foundation for the new power train. Pure water is the only exhaust product produced by the fuel cell when it is operating (Clifford, 2023).</w:t>
      </w:r>
    </w:p>
    <w:p w14:paraId="6A30AB13" w14:textId="77777777" w:rsidR="00E77831" w:rsidRDefault="00000000">
      <w:pPr>
        <w:spacing w:line="360" w:lineRule="auto"/>
        <w:rPr>
          <w:rFonts w:ascii="Arial" w:hAnsi="Arial" w:cs="Arial"/>
          <w:b/>
          <w:bCs/>
          <w:sz w:val="24"/>
          <w:szCs w:val="24"/>
        </w:rPr>
      </w:pPr>
      <w:r>
        <w:rPr>
          <w:rFonts w:ascii="Arial" w:hAnsi="Arial" w:cs="Arial"/>
          <w:b/>
          <w:bCs/>
          <w:sz w:val="24"/>
          <w:szCs w:val="24"/>
        </w:rPr>
        <w:t xml:space="preserve">Figure 5:  Picture showing the working of a hydrogen Hilux project. </w:t>
      </w:r>
    </w:p>
    <w:p w14:paraId="681FFA0D" w14:textId="77777777" w:rsidR="00E77831" w:rsidRDefault="00000000">
      <w:pPr>
        <w:spacing w:line="360" w:lineRule="auto"/>
        <w:rPr>
          <w:rFonts w:ascii="Arial" w:hAnsi="Arial" w:cs="Arial"/>
          <w:sz w:val="24"/>
          <w:szCs w:val="24"/>
        </w:rPr>
      </w:pPr>
      <w:r>
        <w:rPr>
          <w:noProof/>
        </w:rPr>
        <w:drawing>
          <wp:inline distT="0" distB="0" distL="0" distR="0" wp14:anchorId="60126FF8" wp14:editId="3E5E5EE0">
            <wp:extent cx="3878580" cy="2915959"/>
            <wp:effectExtent l="0" t="0" r="0" b="0"/>
            <wp:docPr id="1078" name="Image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1"/>
                    <pic:cNvPicPr/>
                  </pic:nvPicPr>
                  <pic:blipFill>
                    <a:blip r:embed="rId26" cstate="print"/>
                    <a:srcRect/>
                    <a:stretch/>
                  </pic:blipFill>
                  <pic:spPr>
                    <a:xfrm>
                      <a:off x="0" y="0"/>
                      <a:ext cx="3878580" cy="2915959"/>
                    </a:xfrm>
                    <a:prstGeom prst="rect">
                      <a:avLst/>
                    </a:prstGeom>
                  </pic:spPr>
                </pic:pic>
              </a:graphicData>
            </a:graphic>
          </wp:inline>
        </w:drawing>
      </w:r>
    </w:p>
    <w:p w14:paraId="2DC8B21F" w14:textId="77777777" w:rsidR="00E77831" w:rsidRDefault="00000000">
      <w:pPr>
        <w:spacing w:line="360" w:lineRule="auto"/>
        <w:rPr>
          <w:rFonts w:ascii="Arial" w:hAnsi="Arial" w:cs="Arial"/>
          <w:sz w:val="24"/>
          <w:szCs w:val="24"/>
        </w:rPr>
      </w:pPr>
      <w:r>
        <w:rPr>
          <w:rFonts w:ascii="Arial" w:hAnsi="Arial" w:cs="Arial"/>
          <w:sz w:val="24"/>
          <w:szCs w:val="24"/>
        </w:rPr>
        <w:t xml:space="preserve">                        (Source: Clifford, 2023) </w:t>
      </w:r>
    </w:p>
    <w:p w14:paraId="07660A3C" w14:textId="77777777" w:rsidR="00E77831" w:rsidRDefault="00000000">
      <w:pPr>
        <w:spacing w:line="360" w:lineRule="auto"/>
        <w:rPr>
          <w:rFonts w:ascii="Arial" w:hAnsi="Arial" w:cs="Arial"/>
          <w:sz w:val="24"/>
          <w:szCs w:val="24"/>
        </w:rPr>
      </w:pPr>
      <w:r>
        <w:rPr>
          <w:rFonts w:ascii="Arial" w:hAnsi="Arial" w:cs="Arial"/>
          <w:sz w:val="24"/>
          <w:szCs w:val="24"/>
        </w:rPr>
        <w:t xml:space="preserve">According to the </w:t>
      </w:r>
      <w:proofErr w:type="spellStart"/>
      <w:r>
        <w:rPr>
          <w:rFonts w:ascii="Arial" w:hAnsi="Arial" w:cs="Arial"/>
          <w:sz w:val="24"/>
          <w:szCs w:val="24"/>
        </w:rPr>
        <w:t>staffel</w:t>
      </w:r>
      <w:proofErr w:type="spellEnd"/>
      <w:r>
        <w:rPr>
          <w:rFonts w:ascii="Arial" w:hAnsi="Arial" w:cs="Arial"/>
          <w:sz w:val="24"/>
          <w:szCs w:val="24"/>
        </w:rPr>
        <w:t>, Hydrogen powdered cars can reduce global warming while also enhancing air quality. The annual cost of air pollution in Europe is estimated to be b/w h330 and h940 in external costs. A nationwide ban on all our combustion vehicles by 2025 has been announced by the UK. Hydrogen fuel vehicles are implemented by the Toyota Motor Corporation since pure H2 can be run on conventional internal combustion engines. PEM fuel cells, which have high efficiency, high power, and density are the fuel type most used in fuel cell electrophile vehicles. Competing power trains include internal combustion engines (ICEs) that run on petrol, battery electric vehicles, and plug-in hybrid vehicles (Staffel, 2019, p. 465).</w:t>
      </w:r>
    </w:p>
    <w:p w14:paraId="70A35166" w14:textId="77777777" w:rsidR="00E77831" w:rsidRDefault="00000000">
      <w:pPr>
        <w:spacing w:line="360" w:lineRule="auto"/>
        <w:rPr>
          <w:rFonts w:ascii="Arial" w:hAnsi="Arial" w:cs="Arial"/>
          <w:sz w:val="24"/>
          <w:szCs w:val="24"/>
        </w:rPr>
      </w:pPr>
      <w:r>
        <w:rPr>
          <w:rFonts w:ascii="Arial" w:hAnsi="Arial" w:cs="Arial"/>
          <w:sz w:val="24"/>
          <w:szCs w:val="24"/>
        </w:rPr>
        <w:t xml:space="preserve">Following are the pictures showing the new Yaris car and the Mirai car of Toyota. </w:t>
      </w:r>
    </w:p>
    <w:p w14:paraId="44769956" w14:textId="77777777" w:rsidR="00E77831" w:rsidRDefault="00E77831">
      <w:pPr>
        <w:spacing w:line="360" w:lineRule="auto"/>
        <w:rPr>
          <w:rFonts w:ascii="Arial" w:hAnsi="Arial" w:cs="Arial"/>
          <w:sz w:val="24"/>
          <w:szCs w:val="24"/>
        </w:rPr>
      </w:pPr>
    </w:p>
    <w:p w14:paraId="14E545A5" w14:textId="77777777" w:rsidR="00E77831" w:rsidRDefault="00E77831">
      <w:pPr>
        <w:spacing w:line="360" w:lineRule="auto"/>
        <w:rPr>
          <w:rFonts w:ascii="Arial" w:hAnsi="Arial" w:cs="Arial"/>
          <w:sz w:val="24"/>
          <w:szCs w:val="24"/>
        </w:rPr>
      </w:pPr>
    </w:p>
    <w:p w14:paraId="3AAD96C5" w14:textId="77777777" w:rsidR="00E77831" w:rsidRDefault="00E77831">
      <w:pPr>
        <w:spacing w:line="360" w:lineRule="auto"/>
        <w:rPr>
          <w:rFonts w:ascii="Arial" w:hAnsi="Arial" w:cs="Arial"/>
          <w:sz w:val="24"/>
          <w:szCs w:val="24"/>
        </w:rPr>
      </w:pPr>
    </w:p>
    <w:p w14:paraId="6C671D96" w14:textId="77777777" w:rsidR="00E77831" w:rsidRPr="00733FCF" w:rsidRDefault="00000000">
      <w:pPr>
        <w:spacing w:line="360" w:lineRule="auto"/>
        <w:rPr>
          <w:rFonts w:ascii="Arial" w:hAnsi="Arial" w:cs="Arial"/>
          <w:b/>
          <w:bCs/>
          <w:sz w:val="24"/>
          <w:szCs w:val="24"/>
        </w:rPr>
      </w:pPr>
      <w:r w:rsidRPr="00733FCF">
        <w:rPr>
          <w:rFonts w:ascii="Arial" w:hAnsi="Arial" w:cs="Arial"/>
          <w:b/>
          <w:bCs/>
          <w:sz w:val="24"/>
          <w:szCs w:val="24"/>
        </w:rPr>
        <w:lastRenderedPageBreak/>
        <w:t xml:space="preserve">Figure 6: New Yaris </w:t>
      </w:r>
    </w:p>
    <w:p w14:paraId="4AE6FBFA" w14:textId="77777777" w:rsidR="00E77831" w:rsidRDefault="00000000">
      <w:pPr>
        <w:spacing w:line="360" w:lineRule="auto"/>
        <w:rPr>
          <w:rFonts w:ascii="Arial" w:hAnsi="Arial" w:cs="Arial"/>
          <w:sz w:val="24"/>
          <w:szCs w:val="24"/>
        </w:rPr>
      </w:pPr>
      <w:r>
        <w:rPr>
          <w:rFonts w:hAnsi="Arial" w:cs="Arial"/>
          <w:sz w:val="24"/>
          <w:szCs w:val="24"/>
        </w:rPr>
        <w:t xml:space="preserve"> </w:t>
      </w:r>
      <w:r>
        <w:rPr>
          <w:noProof/>
        </w:rPr>
        <w:drawing>
          <wp:inline distT="0" distB="0" distL="0" distR="0" wp14:anchorId="456A92CA" wp14:editId="248E19F0">
            <wp:extent cx="2971800" cy="1775974"/>
            <wp:effectExtent l="0" t="0" r="0" b="0"/>
            <wp:docPr id="1079" name="Image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1"/>
                    <pic:cNvPicPr/>
                  </pic:nvPicPr>
                  <pic:blipFill>
                    <a:blip r:embed="rId27" cstate="print"/>
                    <a:srcRect/>
                    <a:stretch/>
                  </pic:blipFill>
                  <pic:spPr>
                    <a:xfrm>
                      <a:off x="0" y="0"/>
                      <a:ext cx="2971800" cy="1775974"/>
                    </a:xfrm>
                    <a:prstGeom prst="rect">
                      <a:avLst/>
                    </a:prstGeom>
                  </pic:spPr>
                </pic:pic>
              </a:graphicData>
            </a:graphic>
          </wp:inline>
        </w:drawing>
      </w:r>
    </w:p>
    <w:p w14:paraId="1A5D82A9" w14:textId="44235AEE" w:rsidR="00E77831" w:rsidRDefault="00733FCF">
      <w:pPr>
        <w:spacing w:line="360" w:lineRule="auto"/>
        <w:rPr>
          <w:rFonts w:ascii="Arial" w:hAnsi="Arial" w:cs="Arial"/>
          <w:sz w:val="24"/>
          <w:szCs w:val="24"/>
        </w:rPr>
      </w:pPr>
      <w:r>
        <w:rPr>
          <w:rFonts w:ascii="Arial" w:hAnsi="Arial" w:cs="Arial"/>
          <w:sz w:val="24"/>
          <w:szCs w:val="24"/>
        </w:rPr>
        <w:t xml:space="preserve">            (Source:  Blog, 2015)</w:t>
      </w:r>
    </w:p>
    <w:p w14:paraId="106A42E6" w14:textId="77777777" w:rsidR="00E77831" w:rsidRPr="00733FCF" w:rsidRDefault="00000000">
      <w:pPr>
        <w:spacing w:line="360" w:lineRule="auto"/>
        <w:rPr>
          <w:rFonts w:ascii="Arial" w:hAnsi="Arial" w:cs="Arial"/>
          <w:b/>
          <w:bCs/>
          <w:sz w:val="24"/>
          <w:szCs w:val="24"/>
        </w:rPr>
      </w:pPr>
      <w:r w:rsidRPr="00733FCF">
        <w:rPr>
          <w:rFonts w:ascii="Arial" w:hAnsi="Arial" w:cs="Arial"/>
          <w:b/>
          <w:bCs/>
          <w:sz w:val="24"/>
          <w:szCs w:val="24"/>
        </w:rPr>
        <w:t xml:space="preserve">Figure 7: Mirai car </w:t>
      </w:r>
    </w:p>
    <w:p w14:paraId="57951931" w14:textId="77777777" w:rsidR="00E77831" w:rsidRDefault="00000000">
      <w:pPr>
        <w:spacing w:line="360" w:lineRule="auto"/>
        <w:rPr>
          <w:rFonts w:ascii="Arial" w:hAnsi="Arial" w:cs="Arial"/>
          <w:sz w:val="24"/>
          <w:szCs w:val="24"/>
        </w:rPr>
      </w:pPr>
      <w:r>
        <w:rPr>
          <w:noProof/>
        </w:rPr>
        <w:drawing>
          <wp:inline distT="0" distB="0" distL="0" distR="0" wp14:anchorId="7A85DBC2" wp14:editId="7C4C9DEE">
            <wp:extent cx="2971800" cy="2450743"/>
            <wp:effectExtent l="0" t="0" r="0" b="0"/>
            <wp:docPr id="1080" name="Image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1"/>
                    <pic:cNvPicPr/>
                  </pic:nvPicPr>
                  <pic:blipFill>
                    <a:blip r:embed="rId28" cstate="print"/>
                    <a:srcRect/>
                    <a:stretch/>
                  </pic:blipFill>
                  <pic:spPr>
                    <a:xfrm>
                      <a:off x="0" y="0"/>
                      <a:ext cx="2971800" cy="2450743"/>
                    </a:xfrm>
                    <a:prstGeom prst="rect">
                      <a:avLst/>
                    </a:prstGeom>
                  </pic:spPr>
                </pic:pic>
              </a:graphicData>
            </a:graphic>
          </wp:inline>
        </w:drawing>
      </w:r>
    </w:p>
    <w:p w14:paraId="0DF44A04" w14:textId="7B1EEC44" w:rsidR="00E77831" w:rsidRDefault="00733FCF">
      <w:pPr>
        <w:spacing w:line="360" w:lineRule="auto"/>
        <w:rPr>
          <w:rFonts w:ascii="Arial" w:hAnsi="Arial" w:cs="Arial"/>
          <w:sz w:val="24"/>
          <w:szCs w:val="24"/>
        </w:rPr>
      </w:pPr>
      <w:r>
        <w:rPr>
          <w:rFonts w:ascii="Arial" w:hAnsi="Arial" w:cs="Arial"/>
          <w:sz w:val="24"/>
          <w:szCs w:val="24"/>
        </w:rPr>
        <w:t xml:space="preserve">              (Source: Driver, 2021)</w:t>
      </w:r>
    </w:p>
    <w:p w14:paraId="6FC82D6D" w14:textId="77777777" w:rsidR="00E77831" w:rsidRDefault="00000000">
      <w:pPr>
        <w:spacing w:line="360" w:lineRule="auto"/>
        <w:rPr>
          <w:rFonts w:ascii="Arial" w:hAnsi="Arial" w:cs="Arial"/>
          <w:sz w:val="24"/>
          <w:szCs w:val="24"/>
        </w:rPr>
      </w:pPr>
      <w:r>
        <w:rPr>
          <w:rFonts w:ascii="Arial" w:hAnsi="Arial" w:cs="Arial"/>
          <w:sz w:val="24"/>
          <w:szCs w:val="24"/>
        </w:rPr>
        <w:t xml:space="preserve">Toyota's environmental requirements for suppliers of parts or materials create more environmentally friendly supply chains. Toyota has also lowered the distance that trucks travel empty in between </w:t>
      </w:r>
      <w:proofErr w:type="gramStart"/>
      <w:r>
        <w:rPr>
          <w:rFonts w:ascii="Arial" w:hAnsi="Arial" w:cs="Arial"/>
          <w:sz w:val="24"/>
          <w:szCs w:val="24"/>
        </w:rPr>
        <w:t>shipments, and</w:t>
      </w:r>
      <w:proofErr w:type="gramEnd"/>
      <w:r>
        <w:rPr>
          <w:rFonts w:ascii="Arial" w:hAnsi="Arial" w:cs="Arial"/>
          <w:sz w:val="24"/>
          <w:szCs w:val="24"/>
        </w:rPr>
        <w:t xml:space="preserve"> shifted cargo from truck to rail. Important packaging and the use of reusable metal shipping containers in place of cardboard and wood pallets are the two more green supply chain initiatives for supplier corporations and logistics. Toyota has taken steps to lessen the environmental effects of its manufacturing facilities and procedures, including buying wind-generated power, environmental concerns, and implementing reduction and recycling programs.</w:t>
      </w:r>
    </w:p>
    <w:p w14:paraId="6D83B4B8" w14:textId="77777777" w:rsidR="00E77831" w:rsidRDefault="00000000">
      <w:pPr>
        <w:spacing w:line="360" w:lineRule="auto"/>
        <w:rPr>
          <w:rFonts w:ascii="Arial" w:hAnsi="Arial" w:cs="Arial"/>
          <w:sz w:val="24"/>
          <w:szCs w:val="24"/>
        </w:rPr>
      </w:pPr>
      <w:r>
        <w:rPr>
          <w:rFonts w:ascii="Arial" w:hAnsi="Arial" w:cs="Arial"/>
          <w:sz w:val="24"/>
          <w:szCs w:val="24"/>
        </w:rPr>
        <w:lastRenderedPageBreak/>
        <w:t>To meet the water conservation challenge, Toyota converted its Topcoat paint to a water-borne type, which was one of the main improvements as a main source of environmental impact in production. By using water - borne cleaning solvents in place of conventional ones were used to lower the emission of volatile organic compounds (VOC) from organic solvents (Nunes &amp; Bennet, 2010, p. 407).</w:t>
      </w:r>
    </w:p>
    <w:p w14:paraId="70B8D613" w14:textId="77777777" w:rsidR="00E77831" w:rsidRDefault="00000000">
      <w:pPr>
        <w:spacing w:line="360" w:lineRule="auto"/>
        <w:rPr>
          <w:rFonts w:ascii="Arial" w:hAnsi="Arial" w:cs="Arial"/>
          <w:sz w:val="24"/>
          <w:szCs w:val="24"/>
        </w:rPr>
      </w:pPr>
      <w:r>
        <w:rPr>
          <w:rFonts w:ascii="Arial" w:hAnsi="Arial" w:cs="Arial"/>
          <w:sz w:val="24"/>
          <w:szCs w:val="24"/>
        </w:rPr>
        <w:t>Toyota Motor Manufacturing in the UK has invested separately in rainwater harvesting and uses treated wastewater discharged from their painting process of compressors and boilers (Ball et al., 2008, p. 1090).</w:t>
      </w:r>
    </w:p>
    <w:p w14:paraId="7DF99202" w14:textId="77777777" w:rsidR="00E77831" w:rsidRDefault="00000000">
      <w:pPr>
        <w:spacing w:line="360" w:lineRule="auto"/>
        <w:rPr>
          <w:rFonts w:ascii="Arial" w:hAnsi="Arial" w:cs="Arial"/>
          <w:sz w:val="24"/>
          <w:szCs w:val="24"/>
        </w:rPr>
      </w:pPr>
      <w:r>
        <w:rPr>
          <w:rFonts w:ascii="Arial" w:hAnsi="Arial" w:cs="Arial"/>
          <w:sz w:val="24"/>
          <w:szCs w:val="24"/>
        </w:rPr>
        <w:t>To create Harmony with nature, Toyota GB is aware of the critical function bees perform in pollinating plants and the growing need to safeguard them. To give the honey-producing heroes a home, two hives wire were brought to Bulge Health back in 2015. Toyota sells its extra honey to employees to support its charitable partners. By forming a partnership with the Royal Botanic Gardens, Kew to improve the ecological and environmental quality of its UK operations, Toyota took the lead in the UK automotive industry. The goal of TGB has been to identify, use, and establish native plant species from the nearby countryside on the site to create an Eco-HQ (Toyota. UK).</w:t>
      </w:r>
    </w:p>
    <w:p w14:paraId="6A634159" w14:textId="77777777" w:rsidR="00E77831" w:rsidRDefault="00000000">
      <w:pPr>
        <w:spacing w:line="360" w:lineRule="auto"/>
        <w:rPr>
          <w:rFonts w:ascii="Arial" w:hAnsi="Arial" w:cs="Arial"/>
          <w:b/>
          <w:bCs/>
          <w:sz w:val="24"/>
          <w:szCs w:val="24"/>
        </w:rPr>
      </w:pPr>
      <w:r>
        <w:rPr>
          <w:rFonts w:ascii="Arial" w:hAnsi="Arial" w:cs="Arial"/>
          <w:b/>
          <w:bCs/>
          <w:sz w:val="24"/>
          <w:szCs w:val="24"/>
        </w:rPr>
        <w:t xml:space="preserve">Figure 8: The pictures show the fascination of Toyota GB with nature. </w:t>
      </w:r>
    </w:p>
    <w:p w14:paraId="7CCEDF73" w14:textId="77777777" w:rsidR="00E77831" w:rsidRDefault="00000000">
      <w:pPr>
        <w:spacing w:line="360" w:lineRule="auto"/>
        <w:rPr>
          <w:rFonts w:ascii="Arial" w:hAnsi="Arial" w:cs="Arial"/>
          <w:sz w:val="24"/>
          <w:szCs w:val="24"/>
        </w:rPr>
      </w:pPr>
      <w:r>
        <w:rPr>
          <w:noProof/>
        </w:rPr>
        <w:drawing>
          <wp:inline distT="0" distB="0" distL="0" distR="0" wp14:anchorId="2253A86D" wp14:editId="7E7125E6">
            <wp:extent cx="3514089" cy="2260600"/>
            <wp:effectExtent l="0" t="0" r="0" b="6350"/>
            <wp:docPr id="1081" name="Image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1"/>
                    <pic:cNvPicPr/>
                  </pic:nvPicPr>
                  <pic:blipFill>
                    <a:blip r:embed="rId29" cstate="print"/>
                    <a:srcRect/>
                    <a:stretch/>
                  </pic:blipFill>
                  <pic:spPr>
                    <a:xfrm>
                      <a:off x="0" y="0"/>
                      <a:ext cx="3514089" cy="2260600"/>
                    </a:xfrm>
                    <a:prstGeom prst="rect">
                      <a:avLst/>
                    </a:prstGeom>
                  </pic:spPr>
                </pic:pic>
              </a:graphicData>
            </a:graphic>
          </wp:inline>
        </w:drawing>
      </w:r>
    </w:p>
    <w:p w14:paraId="275F431A" w14:textId="77777777" w:rsidR="00E77831" w:rsidRDefault="00000000">
      <w:pPr>
        <w:spacing w:line="360" w:lineRule="auto"/>
        <w:rPr>
          <w:rFonts w:ascii="Arial" w:hAnsi="Arial" w:cs="Arial"/>
          <w:sz w:val="24"/>
          <w:szCs w:val="24"/>
        </w:rPr>
      </w:pPr>
      <w:r>
        <w:rPr>
          <w:rFonts w:ascii="Arial" w:hAnsi="Arial" w:cs="Arial"/>
          <w:sz w:val="24"/>
          <w:szCs w:val="24"/>
        </w:rPr>
        <w:t xml:space="preserve">                    (Source: (Toyota.UK))</w:t>
      </w:r>
    </w:p>
    <w:p w14:paraId="0C9E0DE5" w14:textId="77777777" w:rsidR="00E77831" w:rsidRDefault="00000000">
      <w:pPr>
        <w:spacing w:line="360" w:lineRule="auto"/>
        <w:rPr>
          <w:rFonts w:ascii="Arial" w:hAnsi="Arial" w:cs="Arial"/>
          <w:b/>
          <w:bCs/>
          <w:sz w:val="24"/>
          <w:szCs w:val="24"/>
        </w:rPr>
      </w:pPr>
      <w:r>
        <w:rPr>
          <w:rFonts w:ascii="Arial" w:hAnsi="Arial" w:cs="Arial"/>
          <w:b/>
          <w:bCs/>
          <w:sz w:val="24"/>
          <w:szCs w:val="24"/>
        </w:rPr>
        <w:t>Figure 9</w:t>
      </w:r>
      <w:r>
        <w:rPr>
          <w:rFonts w:hAnsi="Arial" w:cs="Arial"/>
          <w:b/>
          <w:bCs/>
          <w:sz w:val="24"/>
          <w:szCs w:val="24"/>
        </w:rPr>
        <w:t xml:space="preserve">: </w:t>
      </w:r>
      <w:r>
        <w:rPr>
          <w:rFonts w:ascii="Arial" w:hAnsi="Arial" w:cs="Arial"/>
          <w:b/>
          <w:bCs/>
          <w:sz w:val="24"/>
          <w:szCs w:val="24"/>
        </w:rPr>
        <w:t xml:space="preserve">Toyota representing Harmony with </w:t>
      </w:r>
      <w:proofErr w:type="gramStart"/>
      <w:r>
        <w:rPr>
          <w:rFonts w:ascii="Arial" w:hAnsi="Arial" w:cs="Arial"/>
          <w:b/>
          <w:bCs/>
          <w:sz w:val="24"/>
          <w:szCs w:val="24"/>
        </w:rPr>
        <w:t>nature</w:t>
      </w:r>
      <w:proofErr w:type="gramEnd"/>
      <w:r>
        <w:rPr>
          <w:rFonts w:ascii="Arial" w:hAnsi="Arial" w:cs="Arial"/>
          <w:b/>
          <w:bCs/>
          <w:sz w:val="24"/>
          <w:szCs w:val="24"/>
        </w:rPr>
        <w:t xml:space="preserve"> </w:t>
      </w:r>
    </w:p>
    <w:p w14:paraId="2687CEAE" w14:textId="77777777" w:rsidR="00E77831" w:rsidRDefault="00000000">
      <w:pPr>
        <w:spacing w:line="360" w:lineRule="auto"/>
        <w:rPr>
          <w:rFonts w:ascii="Arial" w:hAnsi="Arial" w:cs="Arial"/>
          <w:sz w:val="24"/>
          <w:szCs w:val="24"/>
        </w:rPr>
      </w:pPr>
      <w:r>
        <w:rPr>
          <w:noProof/>
        </w:rPr>
        <w:lastRenderedPageBreak/>
        <w:drawing>
          <wp:inline distT="0" distB="0" distL="0" distR="0" wp14:anchorId="55C7F39F" wp14:editId="72D9F965">
            <wp:extent cx="3435350" cy="2432050"/>
            <wp:effectExtent l="0" t="0" r="0" b="6350"/>
            <wp:docPr id="1082" name="Image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1"/>
                    <pic:cNvPicPr/>
                  </pic:nvPicPr>
                  <pic:blipFill>
                    <a:blip r:embed="rId30" cstate="print"/>
                    <a:srcRect/>
                    <a:stretch/>
                  </pic:blipFill>
                  <pic:spPr>
                    <a:xfrm>
                      <a:off x="0" y="0"/>
                      <a:ext cx="3435350" cy="2432050"/>
                    </a:xfrm>
                    <a:prstGeom prst="rect">
                      <a:avLst/>
                    </a:prstGeom>
                  </pic:spPr>
                </pic:pic>
              </a:graphicData>
            </a:graphic>
          </wp:inline>
        </w:drawing>
      </w:r>
    </w:p>
    <w:p w14:paraId="43109D70" w14:textId="77777777" w:rsidR="00E77831" w:rsidRDefault="00000000">
      <w:pPr>
        <w:spacing w:line="360" w:lineRule="auto"/>
        <w:rPr>
          <w:rFonts w:ascii="Arial" w:hAnsi="Arial" w:cs="Arial"/>
          <w:sz w:val="24"/>
          <w:szCs w:val="24"/>
        </w:rPr>
      </w:pPr>
      <w:r>
        <w:rPr>
          <w:rFonts w:ascii="Arial" w:hAnsi="Arial" w:cs="Arial"/>
          <w:sz w:val="24"/>
          <w:szCs w:val="24"/>
        </w:rPr>
        <w:t xml:space="preserve">               (Source: Toyota, 2022, p. 33))</w:t>
      </w:r>
    </w:p>
    <w:p w14:paraId="6F749C50" w14:textId="77777777" w:rsidR="00E77831" w:rsidRDefault="00000000">
      <w:pPr>
        <w:spacing w:line="360" w:lineRule="auto"/>
        <w:rPr>
          <w:rFonts w:ascii="Arial" w:hAnsi="Arial" w:cs="Arial"/>
          <w:sz w:val="24"/>
          <w:szCs w:val="24"/>
        </w:rPr>
      </w:pPr>
      <w:r>
        <w:rPr>
          <w:rFonts w:ascii="Arial" w:hAnsi="Arial" w:cs="Arial"/>
          <w:sz w:val="24"/>
          <w:szCs w:val="24"/>
        </w:rPr>
        <w:t>Most customers are attracted to Toyota for their several secure services for the recycling and disposal of end-of-life vehicles (ELVs). Toyota GN complies with the End-of-life directive (EU) and the UK's ensuring laws. More than 250 car recycling facilities are represented by Auto Green in the UK, so Toyota and Lexus owners can easily access local services. Toyota works on a global scale to minimize the impact of its operation on the environment, stated Tann Denton, Manager of environmental and social affairs for Toyota in Great Britain (Media, 2005).</w:t>
      </w:r>
    </w:p>
    <w:p w14:paraId="679DA5F7" w14:textId="77777777" w:rsidR="00E77831" w:rsidRPr="00733FCF" w:rsidRDefault="00000000">
      <w:pPr>
        <w:spacing w:line="360" w:lineRule="auto"/>
        <w:rPr>
          <w:rFonts w:ascii="Arial" w:hAnsi="Arial" w:cs="Arial"/>
          <w:b/>
          <w:bCs/>
          <w:sz w:val="24"/>
          <w:szCs w:val="24"/>
        </w:rPr>
      </w:pPr>
      <w:r w:rsidRPr="00733FCF">
        <w:rPr>
          <w:rFonts w:ascii="Arial" w:hAnsi="Arial" w:cs="Arial"/>
          <w:b/>
          <w:bCs/>
          <w:sz w:val="24"/>
          <w:szCs w:val="24"/>
        </w:rPr>
        <w:t>Table 9:</w:t>
      </w:r>
    </w:p>
    <w:tbl>
      <w:tblPr>
        <w:tblStyle w:val="TableGrid"/>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3055"/>
        <w:gridCol w:w="6295"/>
      </w:tblGrid>
      <w:tr w:rsidR="00E77831" w14:paraId="18B34AE6" w14:textId="77777777">
        <w:tc>
          <w:tcPr>
            <w:tcW w:w="3055" w:type="dxa"/>
            <w:tcBorders>
              <w:top w:val="single" w:sz="4" w:space="0" w:color="auto"/>
              <w:left w:val="single" w:sz="4" w:space="0" w:color="auto"/>
              <w:bottom w:val="single" w:sz="4" w:space="0" w:color="auto"/>
              <w:right w:val="single" w:sz="4" w:space="0" w:color="auto"/>
            </w:tcBorders>
          </w:tcPr>
          <w:p w14:paraId="25F4ED24" w14:textId="77777777" w:rsidR="00E77831" w:rsidRDefault="00000000">
            <w:pPr>
              <w:spacing w:line="360" w:lineRule="auto"/>
              <w:rPr>
                <w:rFonts w:ascii="Arial" w:hAnsi="Arial" w:cs="Arial"/>
                <w:sz w:val="24"/>
                <w:szCs w:val="24"/>
              </w:rPr>
            </w:pPr>
            <w:r>
              <w:rPr>
                <w:rFonts w:ascii="Arial" w:hAnsi="Arial" w:cs="Arial"/>
                <w:sz w:val="24"/>
                <w:szCs w:val="24"/>
              </w:rPr>
              <w:t xml:space="preserve">       Material </w:t>
            </w:r>
          </w:p>
        </w:tc>
        <w:tc>
          <w:tcPr>
            <w:tcW w:w="6295" w:type="dxa"/>
            <w:tcBorders>
              <w:top w:val="single" w:sz="4" w:space="0" w:color="auto"/>
              <w:left w:val="single" w:sz="4" w:space="0" w:color="auto"/>
              <w:bottom w:val="single" w:sz="4" w:space="0" w:color="auto"/>
              <w:right w:val="single" w:sz="4" w:space="0" w:color="auto"/>
            </w:tcBorders>
          </w:tcPr>
          <w:p w14:paraId="403A53F2" w14:textId="77777777" w:rsidR="00E77831" w:rsidRDefault="00000000">
            <w:pPr>
              <w:spacing w:line="360" w:lineRule="auto"/>
              <w:rPr>
                <w:rFonts w:ascii="Arial" w:hAnsi="Arial" w:cs="Arial"/>
                <w:sz w:val="24"/>
                <w:szCs w:val="24"/>
              </w:rPr>
            </w:pPr>
            <w:r>
              <w:rPr>
                <w:rFonts w:ascii="Arial" w:hAnsi="Arial" w:cs="Arial"/>
                <w:sz w:val="24"/>
                <w:szCs w:val="24"/>
              </w:rPr>
              <w:t xml:space="preserve">Recycling operation </w:t>
            </w:r>
          </w:p>
        </w:tc>
      </w:tr>
      <w:tr w:rsidR="00E77831" w14:paraId="24E90C00" w14:textId="77777777">
        <w:tc>
          <w:tcPr>
            <w:tcW w:w="3055" w:type="dxa"/>
            <w:tcBorders>
              <w:top w:val="single" w:sz="4" w:space="0" w:color="auto"/>
              <w:left w:val="single" w:sz="4" w:space="0" w:color="auto"/>
              <w:bottom w:val="single" w:sz="4" w:space="0" w:color="auto"/>
              <w:right w:val="single" w:sz="4" w:space="0" w:color="auto"/>
            </w:tcBorders>
          </w:tcPr>
          <w:p w14:paraId="314D272E" w14:textId="77777777" w:rsidR="00E77831" w:rsidRDefault="00000000">
            <w:pPr>
              <w:spacing w:line="360" w:lineRule="auto"/>
              <w:rPr>
                <w:rFonts w:ascii="Arial" w:hAnsi="Arial" w:cs="Arial"/>
                <w:sz w:val="24"/>
                <w:szCs w:val="24"/>
              </w:rPr>
            </w:pPr>
            <w:r>
              <w:rPr>
                <w:rFonts w:ascii="Arial" w:hAnsi="Arial" w:cs="Arial"/>
                <w:sz w:val="24"/>
                <w:szCs w:val="24"/>
              </w:rPr>
              <w:t xml:space="preserve">       Rubber and Tyers </w:t>
            </w:r>
          </w:p>
        </w:tc>
        <w:tc>
          <w:tcPr>
            <w:tcW w:w="6295" w:type="dxa"/>
            <w:tcBorders>
              <w:top w:val="single" w:sz="4" w:space="0" w:color="auto"/>
              <w:left w:val="single" w:sz="4" w:space="0" w:color="auto"/>
              <w:bottom w:val="single" w:sz="4" w:space="0" w:color="auto"/>
              <w:right w:val="single" w:sz="4" w:space="0" w:color="auto"/>
            </w:tcBorders>
          </w:tcPr>
          <w:p w14:paraId="77E4F071" w14:textId="77777777" w:rsidR="00E77831" w:rsidRDefault="00000000">
            <w:pPr>
              <w:spacing w:line="360" w:lineRule="auto"/>
              <w:rPr>
                <w:rFonts w:ascii="Arial" w:hAnsi="Arial" w:cs="Arial"/>
                <w:sz w:val="24"/>
                <w:szCs w:val="24"/>
              </w:rPr>
            </w:pPr>
            <w:r>
              <w:rPr>
                <w:rFonts w:ascii="Arial" w:hAnsi="Arial" w:cs="Arial"/>
                <w:sz w:val="24"/>
                <w:szCs w:val="24"/>
              </w:rPr>
              <w:t xml:space="preserve">Used for crash barriers, flood defence, and 3G sports </w:t>
            </w:r>
          </w:p>
        </w:tc>
      </w:tr>
      <w:tr w:rsidR="00E77831" w14:paraId="0AA8EF8B" w14:textId="77777777">
        <w:tc>
          <w:tcPr>
            <w:tcW w:w="3055" w:type="dxa"/>
            <w:tcBorders>
              <w:top w:val="single" w:sz="4" w:space="0" w:color="auto"/>
              <w:left w:val="single" w:sz="4" w:space="0" w:color="auto"/>
              <w:bottom w:val="single" w:sz="4" w:space="0" w:color="auto"/>
              <w:right w:val="single" w:sz="4" w:space="0" w:color="auto"/>
            </w:tcBorders>
          </w:tcPr>
          <w:p w14:paraId="1B7E13AD" w14:textId="77777777" w:rsidR="00E77831" w:rsidRDefault="00000000">
            <w:pPr>
              <w:spacing w:line="360" w:lineRule="auto"/>
              <w:rPr>
                <w:rFonts w:ascii="Arial" w:hAnsi="Arial" w:cs="Arial"/>
                <w:sz w:val="24"/>
                <w:szCs w:val="24"/>
              </w:rPr>
            </w:pPr>
            <w:r>
              <w:rPr>
                <w:rFonts w:ascii="Arial" w:hAnsi="Arial" w:cs="Arial"/>
                <w:sz w:val="24"/>
                <w:szCs w:val="24"/>
              </w:rPr>
              <w:t xml:space="preserve">       Batteries </w:t>
            </w:r>
          </w:p>
        </w:tc>
        <w:tc>
          <w:tcPr>
            <w:tcW w:w="6295" w:type="dxa"/>
            <w:tcBorders>
              <w:top w:val="single" w:sz="4" w:space="0" w:color="auto"/>
              <w:left w:val="single" w:sz="4" w:space="0" w:color="auto"/>
              <w:bottom w:val="single" w:sz="4" w:space="0" w:color="auto"/>
              <w:right w:val="single" w:sz="4" w:space="0" w:color="auto"/>
            </w:tcBorders>
          </w:tcPr>
          <w:p w14:paraId="4EC585C0" w14:textId="77777777" w:rsidR="00E77831" w:rsidRDefault="00000000">
            <w:pPr>
              <w:spacing w:line="360" w:lineRule="auto"/>
              <w:rPr>
                <w:rFonts w:ascii="Arial" w:hAnsi="Arial" w:cs="Arial"/>
                <w:sz w:val="24"/>
                <w:szCs w:val="24"/>
              </w:rPr>
            </w:pPr>
            <w:r>
              <w:rPr>
                <w:rFonts w:ascii="Arial" w:hAnsi="Arial" w:cs="Arial"/>
                <w:sz w:val="24"/>
                <w:szCs w:val="24"/>
              </w:rPr>
              <w:t>They are carefully stripped so that valuable copper wiring can be recycled. Plastic and acid are reused</w:t>
            </w:r>
          </w:p>
        </w:tc>
      </w:tr>
      <w:tr w:rsidR="00E77831" w14:paraId="39B883B6" w14:textId="77777777">
        <w:tc>
          <w:tcPr>
            <w:tcW w:w="3055" w:type="dxa"/>
            <w:tcBorders>
              <w:top w:val="single" w:sz="4" w:space="0" w:color="auto"/>
              <w:left w:val="single" w:sz="4" w:space="0" w:color="auto"/>
              <w:bottom w:val="single" w:sz="4" w:space="0" w:color="auto"/>
              <w:right w:val="single" w:sz="4" w:space="0" w:color="auto"/>
            </w:tcBorders>
          </w:tcPr>
          <w:p w14:paraId="0DFA6457" w14:textId="77777777" w:rsidR="00E77831" w:rsidRDefault="00000000">
            <w:pPr>
              <w:spacing w:line="360" w:lineRule="auto"/>
              <w:rPr>
                <w:rFonts w:ascii="Arial" w:hAnsi="Arial" w:cs="Arial"/>
                <w:sz w:val="24"/>
                <w:szCs w:val="24"/>
              </w:rPr>
            </w:pPr>
            <w:r>
              <w:rPr>
                <w:rFonts w:ascii="Arial" w:hAnsi="Arial" w:cs="Arial"/>
                <w:sz w:val="24"/>
                <w:szCs w:val="24"/>
              </w:rPr>
              <w:t xml:space="preserve">       Glass </w:t>
            </w:r>
          </w:p>
        </w:tc>
        <w:tc>
          <w:tcPr>
            <w:tcW w:w="6295" w:type="dxa"/>
            <w:tcBorders>
              <w:top w:val="single" w:sz="4" w:space="0" w:color="auto"/>
              <w:left w:val="single" w:sz="4" w:space="0" w:color="auto"/>
              <w:bottom w:val="single" w:sz="4" w:space="0" w:color="auto"/>
              <w:right w:val="single" w:sz="4" w:space="0" w:color="auto"/>
            </w:tcBorders>
          </w:tcPr>
          <w:p w14:paraId="59E823F6" w14:textId="77777777" w:rsidR="00E77831" w:rsidRDefault="00000000">
            <w:pPr>
              <w:spacing w:line="360" w:lineRule="auto"/>
              <w:rPr>
                <w:rFonts w:ascii="Arial" w:hAnsi="Arial" w:cs="Arial"/>
                <w:sz w:val="24"/>
                <w:szCs w:val="24"/>
              </w:rPr>
            </w:pPr>
            <w:r>
              <w:rPr>
                <w:rFonts w:ascii="Arial" w:hAnsi="Arial" w:cs="Arial"/>
                <w:sz w:val="24"/>
                <w:szCs w:val="24"/>
              </w:rPr>
              <w:t>It can be separated into pieces and sold again. Recycled or crushed into dust and dust is converted to fuel</w:t>
            </w:r>
          </w:p>
        </w:tc>
      </w:tr>
      <w:tr w:rsidR="00E77831" w14:paraId="111DB4D5" w14:textId="77777777">
        <w:tc>
          <w:tcPr>
            <w:tcW w:w="3055" w:type="dxa"/>
            <w:tcBorders>
              <w:top w:val="single" w:sz="4" w:space="0" w:color="auto"/>
              <w:left w:val="single" w:sz="4" w:space="0" w:color="auto"/>
              <w:bottom w:val="single" w:sz="4" w:space="0" w:color="auto"/>
              <w:right w:val="single" w:sz="4" w:space="0" w:color="auto"/>
            </w:tcBorders>
          </w:tcPr>
          <w:p w14:paraId="76A1B3CE" w14:textId="77777777" w:rsidR="00E77831" w:rsidRDefault="00000000">
            <w:pPr>
              <w:spacing w:line="360" w:lineRule="auto"/>
              <w:rPr>
                <w:rFonts w:ascii="Arial" w:hAnsi="Arial" w:cs="Arial"/>
                <w:sz w:val="24"/>
                <w:szCs w:val="24"/>
              </w:rPr>
            </w:pPr>
            <w:r>
              <w:rPr>
                <w:rFonts w:ascii="Arial" w:hAnsi="Arial" w:cs="Arial"/>
                <w:sz w:val="24"/>
                <w:szCs w:val="24"/>
              </w:rPr>
              <w:t xml:space="preserve">       Plastics </w:t>
            </w:r>
          </w:p>
        </w:tc>
        <w:tc>
          <w:tcPr>
            <w:tcW w:w="6295" w:type="dxa"/>
            <w:tcBorders>
              <w:top w:val="single" w:sz="4" w:space="0" w:color="auto"/>
              <w:left w:val="single" w:sz="4" w:space="0" w:color="auto"/>
              <w:bottom w:val="single" w:sz="4" w:space="0" w:color="auto"/>
              <w:right w:val="single" w:sz="4" w:space="0" w:color="auto"/>
            </w:tcBorders>
          </w:tcPr>
          <w:p w14:paraId="347BEC1C" w14:textId="77777777" w:rsidR="00E77831" w:rsidRDefault="00000000">
            <w:pPr>
              <w:spacing w:line="360" w:lineRule="auto"/>
              <w:rPr>
                <w:rFonts w:ascii="Arial" w:hAnsi="Arial" w:cs="Arial"/>
                <w:sz w:val="24"/>
                <w:szCs w:val="24"/>
              </w:rPr>
            </w:pPr>
            <w:r>
              <w:rPr>
                <w:rFonts w:ascii="Arial" w:hAnsi="Arial" w:cs="Arial"/>
                <w:sz w:val="24"/>
                <w:szCs w:val="24"/>
              </w:rPr>
              <w:t>Toyota has made it simple by labelling the kind of plastics used in each component since 1981</w:t>
            </w:r>
          </w:p>
        </w:tc>
      </w:tr>
    </w:tbl>
    <w:p w14:paraId="3BAF0DDF" w14:textId="77777777" w:rsidR="00E77831" w:rsidRDefault="00000000">
      <w:pPr>
        <w:spacing w:line="360" w:lineRule="auto"/>
        <w:rPr>
          <w:rFonts w:ascii="Arial" w:hAnsi="Arial" w:cs="Arial"/>
          <w:sz w:val="24"/>
          <w:szCs w:val="24"/>
        </w:rPr>
      </w:pPr>
      <w:r>
        <w:rPr>
          <w:rFonts w:ascii="Arial" w:hAnsi="Arial" w:cs="Arial"/>
          <w:sz w:val="24"/>
          <w:szCs w:val="24"/>
        </w:rPr>
        <w:t xml:space="preserve"> </w:t>
      </w:r>
    </w:p>
    <w:p w14:paraId="45B3EA38" w14:textId="77777777" w:rsidR="00E77831" w:rsidRDefault="00000000">
      <w:pPr>
        <w:spacing w:line="360" w:lineRule="auto"/>
        <w:rPr>
          <w:rFonts w:ascii="Arial" w:hAnsi="Arial" w:cs="Arial"/>
          <w:sz w:val="24"/>
          <w:szCs w:val="24"/>
        </w:rPr>
      </w:pPr>
      <w:r>
        <w:rPr>
          <w:rFonts w:ascii="Arial" w:hAnsi="Arial" w:cs="Arial"/>
          <w:sz w:val="24"/>
          <w:szCs w:val="24"/>
        </w:rPr>
        <w:t xml:space="preserve">                                           (Source: Media, 2005) </w:t>
      </w:r>
    </w:p>
    <w:p w14:paraId="222D47C1" w14:textId="77777777" w:rsidR="00E77831" w:rsidRDefault="00000000">
      <w:pPr>
        <w:spacing w:line="360" w:lineRule="auto"/>
        <w:rPr>
          <w:rFonts w:ascii="Arial" w:hAnsi="Arial" w:cs="Arial"/>
          <w:sz w:val="24"/>
          <w:szCs w:val="24"/>
        </w:rPr>
      </w:pPr>
      <w:r>
        <w:rPr>
          <w:rFonts w:ascii="Arial" w:hAnsi="Arial" w:cs="Arial"/>
          <w:sz w:val="24"/>
          <w:szCs w:val="24"/>
        </w:rPr>
        <w:lastRenderedPageBreak/>
        <w:t>The Green Marketing mix strategy led to cost reduction and differentiation of Toyota products. Customers are conscious of environmental health. Differentiation and cost reduction mainly attract customers as customers only demand high-quality products at a low cost. The differentiation and cost reduction strategy implemented by Toyota GB results in the total quality improvement and management of products with an achievement of a sustainable competitive advantage globally.</w:t>
      </w:r>
    </w:p>
    <w:p w14:paraId="3E266FAF" w14:textId="77777777" w:rsidR="00E77831" w:rsidRDefault="00000000">
      <w:pPr>
        <w:spacing w:line="360" w:lineRule="auto"/>
        <w:rPr>
          <w:rFonts w:ascii="Arial" w:hAnsi="Arial" w:cs="Arial"/>
          <w:sz w:val="24"/>
          <w:szCs w:val="24"/>
        </w:rPr>
      </w:pPr>
      <w:r>
        <w:rPr>
          <w:rFonts w:ascii="Arial" w:hAnsi="Arial" w:cs="Arial"/>
          <w:sz w:val="24"/>
          <w:szCs w:val="24"/>
        </w:rPr>
        <w:t>Despite Green marketing, Toyota GB also uses traditional Marketing, marketing mix strategy, and digital marketing to gain customer value. Toyota sells its cars through four primary channels. Corolla for compact cars, Toyopet for medium-sized cars, Netz for customers seeking new values, and Toyota for luxury cars (Madoh et al, 2019, p. 72).</w:t>
      </w:r>
    </w:p>
    <w:p w14:paraId="63976BBB" w14:textId="77777777" w:rsidR="00E77831" w:rsidRDefault="00000000">
      <w:pPr>
        <w:spacing w:line="360" w:lineRule="auto"/>
        <w:rPr>
          <w:rFonts w:ascii="Arial" w:hAnsi="Arial" w:cs="Arial"/>
          <w:sz w:val="24"/>
          <w:szCs w:val="24"/>
        </w:rPr>
      </w:pPr>
      <w:r>
        <w:rPr>
          <w:rFonts w:ascii="Arial" w:hAnsi="Arial" w:cs="Arial"/>
          <w:sz w:val="24"/>
          <w:szCs w:val="24"/>
        </w:rPr>
        <w:t>They use advertising on social media apps such as Facebook, Instagram, and YouTube to build the conversation gap between the customers and the organization. It results in time savings and increment of interaction with customers to know about the customer’s needs and demands (Naser, 2021, p. 154).</w:t>
      </w:r>
    </w:p>
    <w:p w14:paraId="430CD8FF" w14:textId="77777777" w:rsidR="00E77831" w:rsidRDefault="00000000">
      <w:pPr>
        <w:spacing w:line="360" w:lineRule="auto"/>
        <w:rPr>
          <w:rFonts w:ascii="Arial" w:hAnsi="Arial" w:cs="Arial"/>
          <w:sz w:val="24"/>
          <w:szCs w:val="24"/>
        </w:rPr>
      </w:pPr>
      <w:r>
        <w:rPr>
          <w:rFonts w:ascii="Arial" w:hAnsi="Arial" w:cs="Arial"/>
          <w:sz w:val="24"/>
          <w:szCs w:val="24"/>
        </w:rPr>
        <w:t>Market segmentation is used by Toyota to know every customer's needs and to satisfy them. They divide customers according to their needs and demands based upon their age, and profession and manufacture the products when they need them. One customer was fascinated by Passenger cars while most of them were fascinated by hybrid cars.</w:t>
      </w:r>
    </w:p>
    <w:p w14:paraId="5EED9656" w14:textId="77777777" w:rsidR="00E77831" w:rsidRDefault="00000000">
      <w:pPr>
        <w:spacing w:line="360" w:lineRule="auto"/>
        <w:rPr>
          <w:rFonts w:ascii="Arial" w:hAnsi="Arial" w:cs="Arial"/>
          <w:sz w:val="24"/>
          <w:szCs w:val="24"/>
        </w:rPr>
      </w:pPr>
      <w:r>
        <w:rPr>
          <w:rFonts w:ascii="Arial" w:hAnsi="Arial" w:cs="Arial"/>
          <w:sz w:val="24"/>
          <w:szCs w:val="24"/>
        </w:rPr>
        <w:t>Toyota GB used strong headlines to draw attention in their Prius advertisement, which focused more on emotion. This resulted in highly impactful advertisements and longer recall data. The product was promoted in TV commercials on the Discovery and History channels, as well as in feature films like Get Short and magazines (Vanity Fair and Newsweek). This print advertisement messaging is widely used to present low-emission vehicles. The Toyota Prius has been marketed as a “Breath of fresh air” a vehicle that will inspire technology further through environmental thinking (Hickman, 2023, p. 90).</w:t>
      </w:r>
    </w:p>
    <w:p w14:paraId="5BAD4A11" w14:textId="77777777" w:rsidR="00E77831" w:rsidRDefault="00000000">
      <w:pPr>
        <w:spacing w:line="360" w:lineRule="auto"/>
        <w:rPr>
          <w:rFonts w:ascii="Arial" w:hAnsi="Arial" w:cs="Arial"/>
          <w:sz w:val="24"/>
          <w:szCs w:val="24"/>
        </w:rPr>
      </w:pPr>
      <w:r>
        <w:rPr>
          <w:rFonts w:ascii="Arial" w:hAnsi="Arial" w:cs="Arial"/>
          <w:sz w:val="24"/>
          <w:szCs w:val="24"/>
        </w:rPr>
        <w:t xml:space="preserve">Below are the pictures showing magazines for the advertisement of the Toyota Prius. </w:t>
      </w:r>
    </w:p>
    <w:p w14:paraId="21FF4C70" w14:textId="77777777" w:rsidR="00E77831" w:rsidRDefault="00000000">
      <w:pPr>
        <w:spacing w:line="360" w:lineRule="auto"/>
        <w:rPr>
          <w:rFonts w:ascii="Arial" w:hAnsi="Arial" w:cs="Arial"/>
          <w:b/>
          <w:bCs/>
          <w:sz w:val="24"/>
          <w:szCs w:val="24"/>
        </w:rPr>
      </w:pPr>
      <w:r>
        <w:rPr>
          <w:rFonts w:ascii="Arial" w:hAnsi="Arial" w:cs="Arial"/>
          <w:b/>
          <w:bCs/>
          <w:sz w:val="24"/>
          <w:szCs w:val="24"/>
        </w:rPr>
        <w:t>Figure 1</w:t>
      </w:r>
      <w:r>
        <w:rPr>
          <w:rFonts w:hAnsi="Arial" w:cs="Arial"/>
          <w:b/>
          <w:bCs/>
          <w:sz w:val="24"/>
          <w:szCs w:val="24"/>
        </w:rPr>
        <w:t xml:space="preserve">0: </w:t>
      </w:r>
    </w:p>
    <w:p w14:paraId="5A242B7E" w14:textId="77777777" w:rsidR="00E77831" w:rsidRDefault="00000000">
      <w:pPr>
        <w:spacing w:line="360" w:lineRule="auto"/>
        <w:rPr>
          <w:rFonts w:ascii="Arial" w:hAnsi="Arial" w:cs="Arial"/>
          <w:sz w:val="24"/>
          <w:szCs w:val="24"/>
        </w:rPr>
      </w:pPr>
      <w:r>
        <w:rPr>
          <w:noProof/>
        </w:rPr>
        <w:lastRenderedPageBreak/>
        <w:drawing>
          <wp:inline distT="0" distB="0" distL="0" distR="0" wp14:anchorId="2F418157" wp14:editId="7F0BC4F0">
            <wp:extent cx="4180840" cy="1724399"/>
            <wp:effectExtent l="0" t="0" r="0" b="0"/>
            <wp:docPr id="1083" name="Image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 name="Image1"/>
                    <pic:cNvPicPr/>
                  </pic:nvPicPr>
                  <pic:blipFill>
                    <a:blip r:embed="rId31" cstate="print"/>
                    <a:srcRect/>
                    <a:stretch/>
                  </pic:blipFill>
                  <pic:spPr>
                    <a:xfrm>
                      <a:off x="0" y="0"/>
                      <a:ext cx="4180840" cy="1724399"/>
                    </a:xfrm>
                    <a:prstGeom prst="rect">
                      <a:avLst/>
                    </a:prstGeom>
                  </pic:spPr>
                </pic:pic>
              </a:graphicData>
            </a:graphic>
          </wp:inline>
        </w:drawing>
      </w:r>
      <w:r>
        <w:rPr>
          <w:noProof/>
        </w:rPr>
        <w:drawing>
          <wp:inline distT="0" distB="0" distL="0" distR="0" wp14:anchorId="018F1F55" wp14:editId="6AB1A1F8">
            <wp:extent cx="3986530" cy="1721276"/>
            <wp:effectExtent l="0" t="0" r="0" b="0"/>
            <wp:docPr id="1084" name="Image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 name="Image1"/>
                    <pic:cNvPicPr/>
                  </pic:nvPicPr>
                  <pic:blipFill>
                    <a:blip r:embed="rId32" cstate="print"/>
                    <a:srcRect/>
                    <a:stretch/>
                  </pic:blipFill>
                  <pic:spPr>
                    <a:xfrm>
                      <a:off x="0" y="0"/>
                      <a:ext cx="3986530" cy="1721276"/>
                    </a:xfrm>
                    <a:prstGeom prst="rect">
                      <a:avLst/>
                    </a:prstGeom>
                  </pic:spPr>
                </pic:pic>
              </a:graphicData>
            </a:graphic>
          </wp:inline>
        </w:drawing>
      </w:r>
    </w:p>
    <w:p w14:paraId="38A57390" w14:textId="77777777" w:rsidR="00E77831" w:rsidRDefault="00000000">
      <w:pPr>
        <w:spacing w:line="360" w:lineRule="auto"/>
        <w:rPr>
          <w:rFonts w:ascii="Arial" w:hAnsi="Arial" w:cs="Arial"/>
          <w:sz w:val="24"/>
          <w:szCs w:val="24"/>
        </w:rPr>
      </w:pPr>
      <w:r>
        <w:rPr>
          <w:rFonts w:ascii="Arial" w:hAnsi="Arial" w:cs="Arial"/>
          <w:sz w:val="24"/>
          <w:szCs w:val="24"/>
        </w:rPr>
        <w:t xml:space="preserve">                          (Source: Hickman, 2023, p. 90))</w:t>
      </w:r>
    </w:p>
    <w:p w14:paraId="3E4F3FA4" w14:textId="77777777" w:rsidR="00E77831" w:rsidRDefault="00000000">
      <w:pPr>
        <w:spacing w:line="360" w:lineRule="auto"/>
        <w:rPr>
          <w:rFonts w:ascii="Arial" w:hAnsi="Arial" w:cs="Arial"/>
          <w:sz w:val="24"/>
          <w:szCs w:val="24"/>
        </w:rPr>
      </w:pPr>
      <w:r>
        <w:rPr>
          <w:rFonts w:ascii="Arial" w:hAnsi="Arial" w:cs="Arial"/>
          <w:sz w:val="24"/>
          <w:szCs w:val="24"/>
        </w:rPr>
        <w:t>Toyota promoted cars and their environmental features on events like Earth Day to attract most customers and engage them (Rouault, 2020, p. 335).</w:t>
      </w:r>
    </w:p>
    <w:p w14:paraId="014958BD" w14:textId="77777777" w:rsidR="00E77831" w:rsidRDefault="00000000">
      <w:pPr>
        <w:spacing w:line="360" w:lineRule="auto"/>
        <w:rPr>
          <w:rFonts w:ascii="Arial" w:hAnsi="Arial" w:cs="Arial"/>
          <w:sz w:val="24"/>
          <w:szCs w:val="24"/>
        </w:rPr>
      </w:pPr>
      <w:r>
        <w:rPr>
          <w:rFonts w:ascii="Arial" w:hAnsi="Arial" w:cs="Arial"/>
          <w:sz w:val="24"/>
          <w:szCs w:val="24"/>
        </w:rPr>
        <w:t>They also organize a motor show every two years in which they share information about their new vehicles (Savior et al., 2019, p. 20).</w:t>
      </w:r>
    </w:p>
    <w:p w14:paraId="75DDFC2F" w14:textId="77777777" w:rsidR="00E77831" w:rsidRDefault="00000000">
      <w:pPr>
        <w:spacing w:line="360" w:lineRule="auto"/>
        <w:rPr>
          <w:rFonts w:ascii="Arial" w:hAnsi="Arial" w:cs="Arial"/>
          <w:sz w:val="24"/>
          <w:szCs w:val="24"/>
        </w:rPr>
      </w:pPr>
      <w:r>
        <w:rPr>
          <w:rFonts w:ascii="Arial" w:hAnsi="Arial" w:cs="Arial"/>
          <w:sz w:val="24"/>
          <w:szCs w:val="24"/>
        </w:rPr>
        <w:t xml:space="preserve">Since most customers discover the model on the Internet. Digital and social media are important for RAV4. A unique mini set on Facebook devoted to the model year will be created to highlight the new features, complete with images, videos, and a virtual tour of the car. Furthermore, 72 % of RAV4 buyers are regarded as loyal. Some retailers claim that " RAV4 " is among the staff </w:t>
      </w:r>
      <w:proofErr w:type="spellStart"/>
      <w:r>
        <w:rPr>
          <w:rFonts w:ascii="Arial" w:hAnsi="Arial" w:cs="Arial"/>
          <w:sz w:val="24"/>
          <w:szCs w:val="24"/>
        </w:rPr>
        <w:t>favourites</w:t>
      </w:r>
      <w:proofErr w:type="spellEnd"/>
      <w:r>
        <w:rPr>
          <w:rFonts w:ascii="Arial" w:hAnsi="Arial" w:cs="Arial"/>
          <w:sz w:val="24"/>
          <w:szCs w:val="24"/>
        </w:rPr>
        <w:t xml:space="preserve"> and it is an easy sale for returning (Ponce, 2024, p. 22).</w:t>
      </w:r>
    </w:p>
    <w:p w14:paraId="602099C0" w14:textId="77777777" w:rsidR="00E77831" w:rsidRDefault="00000000">
      <w:pPr>
        <w:spacing w:line="360" w:lineRule="auto"/>
        <w:rPr>
          <w:rFonts w:ascii="Arial" w:hAnsi="Arial" w:cs="Arial"/>
          <w:b/>
          <w:bCs/>
          <w:sz w:val="28"/>
          <w:szCs w:val="28"/>
        </w:rPr>
      </w:pPr>
      <w:r>
        <w:rPr>
          <w:rFonts w:ascii="Arial" w:hAnsi="Arial" w:cs="Arial"/>
          <w:b/>
          <w:bCs/>
          <w:sz w:val="28"/>
          <w:szCs w:val="28"/>
        </w:rPr>
        <w:t xml:space="preserve">4.14 - Factors affecting Toyota's marketing strategy </w:t>
      </w:r>
    </w:p>
    <w:p w14:paraId="5DB737BC" w14:textId="77777777" w:rsidR="00E77831" w:rsidRDefault="00000000">
      <w:pPr>
        <w:spacing w:line="360" w:lineRule="auto"/>
        <w:rPr>
          <w:rFonts w:ascii="Arial" w:hAnsi="Arial" w:cs="Arial"/>
          <w:sz w:val="24"/>
          <w:szCs w:val="24"/>
        </w:rPr>
      </w:pPr>
      <w:r>
        <w:rPr>
          <w:rFonts w:ascii="Arial" w:hAnsi="Arial" w:cs="Arial"/>
          <w:sz w:val="24"/>
          <w:szCs w:val="24"/>
        </w:rPr>
        <w:t xml:space="preserve">A business environment is the culmination of all internal and external factors and conditions that have an impact on the existence, expansion, and advancement of the company. Analysis of the business environment involves looking at and evaluating the </w:t>
      </w:r>
      <w:r>
        <w:rPr>
          <w:rFonts w:ascii="Arial" w:hAnsi="Arial" w:cs="Arial"/>
          <w:sz w:val="24"/>
          <w:szCs w:val="24"/>
        </w:rPr>
        <w:lastRenderedPageBreak/>
        <w:t>opportunities and threats that the environment presents. A business's internal environment is linked to its strengths and weaknesses, while its external environment is linked to opportunities and threats (Tersiya et al., 2017, p. 17).</w:t>
      </w:r>
    </w:p>
    <w:p w14:paraId="58E21118" w14:textId="6C5AF2F9" w:rsidR="00E77831" w:rsidRDefault="00000000">
      <w:pPr>
        <w:spacing w:line="360" w:lineRule="auto"/>
        <w:rPr>
          <w:rFonts w:ascii="Arial" w:hAnsi="Arial" w:cs="Arial"/>
          <w:b/>
          <w:bCs/>
          <w:sz w:val="28"/>
          <w:szCs w:val="28"/>
        </w:rPr>
      </w:pPr>
      <w:r>
        <w:rPr>
          <w:rFonts w:ascii="Arial" w:hAnsi="Arial" w:cs="Arial"/>
          <w:b/>
          <w:bCs/>
          <w:sz w:val="28"/>
          <w:szCs w:val="28"/>
        </w:rPr>
        <w:t xml:space="preserve">PESTLE Analysis  </w:t>
      </w:r>
    </w:p>
    <w:p w14:paraId="73B6B1D6" w14:textId="77777777" w:rsidR="00E77831" w:rsidRDefault="00000000">
      <w:pPr>
        <w:spacing w:line="360" w:lineRule="auto"/>
        <w:rPr>
          <w:rFonts w:ascii="Arial" w:hAnsi="Arial" w:cs="Arial"/>
          <w:sz w:val="24"/>
          <w:szCs w:val="24"/>
        </w:rPr>
      </w:pPr>
      <w:r>
        <w:rPr>
          <w:rFonts w:ascii="Arial" w:hAnsi="Arial" w:cs="Arial"/>
          <w:sz w:val="24"/>
          <w:szCs w:val="24"/>
        </w:rPr>
        <w:t>Pestle analysis is used to determine the external factors affecting the business. PESTLE analysis is a tool for identifying and analyzing the main forces behind change in the strategic or business environment. Political, social, technological, legal, and environmental factors are the external factors affecting Toyota's marketing strategy in the UK (Sin et al., 2012, p. 2).</w:t>
      </w:r>
    </w:p>
    <w:p w14:paraId="42D16311" w14:textId="77777777" w:rsidR="00E77831" w:rsidRDefault="00000000">
      <w:pPr>
        <w:spacing w:line="360" w:lineRule="auto"/>
        <w:rPr>
          <w:rFonts w:ascii="Arial" w:hAnsi="Arial" w:cs="Arial"/>
          <w:sz w:val="24"/>
          <w:szCs w:val="24"/>
        </w:rPr>
      </w:pPr>
      <w:r>
        <w:rPr>
          <w:rFonts w:ascii="Arial" w:hAnsi="Arial" w:cs="Arial"/>
          <w:sz w:val="24"/>
          <w:szCs w:val="24"/>
        </w:rPr>
        <w:t>The UK government supports Toyota manufacturing plants. They provide grants and funding to Toyota to establish new projects e.g., a hydrogen Hilux project. UK rules on climate change gave the opportunity to Toyota to enhance their Toyota production system and to focus on producing more alternative fuel vehicles. The UK government also removes taxation on customers pursuing Hybrid vehicles to engage more customers towards Toyota.</w:t>
      </w:r>
    </w:p>
    <w:p w14:paraId="75D2549F" w14:textId="77777777" w:rsidR="00E77831" w:rsidRDefault="00000000">
      <w:pPr>
        <w:spacing w:line="360" w:lineRule="auto"/>
        <w:rPr>
          <w:rFonts w:ascii="Arial" w:hAnsi="Arial" w:cs="Arial"/>
          <w:sz w:val="24"/>
          <w:szCs w:val="24"/>
        </w:rPr>
      </w:pPr>
      <w:r>
        <w:rPr>
          <w:rFonts w:ascii="Arial" w:hAnsi="Arial" w:cs="Arial"/>
          <w:sz w:val="24"/>
          <w:szCs w:val="24"/>
        </w:rPr>
        <w:t xml:space="preserve">Economic factors include taxation, Insurance, and other factors that affect Toyota's Economic growth. Until Oct. 2018, purchasers of PHEVs and </w:t>
      </w:r>
      <w:proofErr w:type="spellStart"/>
      <w:r>
        <w:rPr>
          <w:rFonts w:ascii="Arial" w:hAnsi="Arial" w:cs="Arial"/>
          <w:sz w:val="24"/>
          <w:szCs w:val="24"/>
        </w:rPr>
        <w:t>EVd</w:t>
      </w:r>
      <w:proofErr w:type="spellEnd"/>
      <w:r>
        <w:rPr>
          <w:rFonts w:ascii="Arial" w:hAnsi="Arial" w:cs="Arial"/>
          <w:sz w:val="24"/>
          <w:szCs w:val="24"/>
        </w:rPr>
        <w:t xml:space="preserve"> could receive a subsidy through the plug-in grant. This initiative demonstrated that the British government supported Hybrid vehicles as a sustainable mode of transportation. But in October 2018, the grant was modified to only support EVs (Last et al., 2021, p. 2017).</w:t>
      </w:r>
    </w:p>
    <w:p w14:paraId="2105429D" w14:textId="77777777" w:rsidR="00E77831" w:rsidRDefault="00000000">
      <w:pPr>
        <w:spacing w:line="360" w:lineRule="auto"/>
        <w:rPr>
          <w:rFonts w:ascii="Arial" w:hAnsi="Arial" w:cs="Arial"/>
          <w:sz w:val="24"/>
          <w:szCs w:val="24"/>
        </w:rPr>
      </w:pPr>
      <w:r>
        <w:rPr>
          <w:rFonts w:ascii="Arial" w:hAnsi="Arial" w:cs="Arial"/>
          <w:sz w:val="24"/>
          <w:szCs w:val="24"/>
        </w:rPr>
        <w:t>Due to the COVID - 19 and issues with the global supply chain, UK vehicle production fell by - 6% in 2022 making automobiles such as Toyota GB more difficult to produce cars to meet demand (Toyota, 2022, p. 33).</w:t>
      </w:r>
    </w:p>
    <w:p w14:paraId="61D93569" w14:textId="77777777" w:rsidR="00E77831" w:rsidRDefault="00E77831">
      <w:pPr>
        <w:spacing w:line="360" w:lineRule="auto"/>
        <w:rPr>
          <w:rFonts w:ascii="Arial" w:hAnsi="Arial" w:cs="Arial"/>
          <w:sz w:val="24"/>
          <w:szCs w:val="24"/>
        </w:rPr>
      </w:pPr>
    </w:p>
    <w:p w14:paraId="64E2D5B5" w14:textId="77777777" w:rsidR="00E77831" w:rsidRDefault="00E77831">
      <w:pPr>
        <w:spacing w:line="360" w:lineRule="auto"/>
        <w:rPr>
          <w:rFonts w:ascii="Arial" w:hAnsi="Arial" w:cs="Arial"/>
          <w:sz w:val="24"/>
          <w:szCs w:val="24"/>
        </w:rPr>
      </w:pPr>
    </w:p>
    <w:p w14:paraId="6D2D756A" w14:textId="77777777" w:rsidR="00E77831" w:rsidRDefault="00E77831">
      <w:pPr>
        <w:spacing w:line="360" w:lineRule="auto"/>
        <w:rPr>
          <w:rFonts w:ascii="Arial" w:hAnsi="Arial" w:cs="Arial"/>
          <w:sz w:val="24"/>
          <w:szCs w:val="24"/>
        </w:rPr>
      </w:pPr>
    </w:p>
    <w:p w14:paraId="03FE5C99" w14:textId="77777777" w:rsidR="00E77831" w:rsidRDefault="00E77831">
      <w:pPr>
        <w:spacing w:line="360" w:lineRule="auto"/>
        <w:rPr>
          <w:rFonts w:ascii="Arial" w:hAnsi="Arial" w:cs="Arial"/>
          <w:sz w:val="24"/>
          <w:szCs w:val="24"/>
        </w:rPr>
      </w:pPr>
    </w:p>
    <w:p w14:paraId="4ED6E929" w14:textId="77777777" w:rsidR="00E77831" w:rsidRDefault="00000000">
      <w:pPr>
        <w:spacing w:line="360" w:lineRule="auto"/>
        <w:rPr>
          <w:rFonts w:ascii="Arial" w:hAnsi="Arial" w:cs="Arial"/>
          <w:b/>
          <w:bCs/>
          <w:sz w:val="24"/>
          <w:szCs w:val="24"/>
        </w:rPr>
      </w:pPr>
      <w:r>
        <w:rPr>
          <w:rFonts w:ascii="Arial" w:hAnsi="Arial" w:cs="Arial"/>
          <w:b/>
          <w:bCs/>
          <w:sz w:val="24"/>
          <w:szCs w:val="24"/>
        </w:rPr>
        <w:lastRenderedPageBreak/>
        <w:t xml:space="preserve"> Figure 11:  The graph showing a decline in automotive sales in the UK in 2022. </w:t>
      </w:r>
    </w:p>
    <w:p w14:paraId="25BB9AE5" w14:textId="77777777" w:rsidR="00E77831" w:rsidRDefault="00E77831">
      <w:pPr>
        <w:spacing w:line="360" w:lineRule="auto"/>
        <w:rPr>
          <w:rFonts w:ascii="Arial" w:hAnsi="Arial" w:cs="Arial"/>
          <w:sz w:val="24"/>
          <w:szCs w:val="24"/>
        </w:rPr>
      </w:pPr>
    </w:p>
    <w:p w14:paraId="2932043B" w14:textId="77777777" w:rsidR="00E77831" w:rsidRDefault="00000000">
      <w:pPr>
        <w:spacing w:line="360" w:lineRule="auto"/>
        <w:rPr>
          <w:rFonts w:ascii="Arial" w:hAnsi="Arial" w:cs="Arial"/>
          <w:sz w:val="24"/>
          <w:szCs w:val="24"/>
        </w:rPr>
      </w:pPr>
      <w:r>
        <w:rPr>
          <w:noProof/>
        </w:rPr>
        <w:drawing>
          <wp:inline distT="0" distB="0" distL="0" distR="0" wp14:anchorId="3B9F99BC" wp14:editId="74D9A326">
            <wp:extent cx="3997325" cy="2971800"/>
            <wp:effectExtent l="0" t="0" r="3175" b="0"/>
            <wp:docPr id="1085" name="Image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 name="Image1"/>
                    <pic:cNvPicPr/>
                  </pic:nvPicPr>
                  <pic:blipFill>
                    <a:blip r:embed="rId33" cstate="print"/>
                    <a:srcRect/>
                    <a:stretch/>
                  </pic:blipFill>
                  <pic:spPr>
                    <a:xfrm>
                      <a:off x="0" y="0"/>
                      <a:ext cx="3997325" cy="2971800"/>
                    </a:xfrm>
                    <a:prstGeom prst="rect">
                      <a:avLst/>
                    </a:prstGeom>
                  </pic:spPr>
                </pic:pic>
              </a:graphicData>
            </a:graphic>
          </wp:inline>
        </w:drawing>
      </w:r>
    </w:p>
    <w:p w14:paraId="7ED91862" w14:textId="77777777" w:rsidR="00E77831" w:rsidRDefault="00000000">
      <w:pPr>
        <w:spacing w:line="360" w:lineRule="auto"/>
        <w:rPr>
          <w:rFonts w:ascii="Arial" w:hAnsi="Arial" w:cs="Arial"/>
          <w:sz w:val="24"/>
          <w:szCs w:val="24"/>
        </w:rPr>
      </w:pPr>
      <w:r>
        <w:rPr>
          <w:rFonts w:ascii="Arial" w:hAnsi="Arial" w:cs="Arial"/>
          <w:sz w:val="24"/>
          <w:szCs w:val="24"/>
        </w:rPr>
        <w:t xml:space="preserve">                        (Source: (Toyota, 2022, p. 33))</w:t>
      </w:r>
    </w:p>
    <w:p w14:paraId="69895658" w14:textId="77777777" w:rsidR="00E77831" w:rsidRDefault="00000000">
      <w:pPr>
        <w:spacing w:line="360" w:lineRule="auto"/>
        <w:rPr>
          <w:rFonts w:ascii="Arial" w:hAnsi="Arial" w:cs="Arial"/>
          <w:sz w:val="24"/>
          <w:szCs w:val="24"/>
        </w:rPr>
      </w:pPr>
      <w:r>
        <w:rPr>
          <w:rFonts w:ascii="Arial" w:hAnsi="Arial" w:cs="Arial"/>
          <w:sz w:val="24"/>
          <w:szCs w:val="24"/>
        </w:rPr>
        <w:t>Toyota GB is supported socially by the customers as the Toyota production system (TPS), environmental concerns, and production of alternative fuel vehicles engage most of the customers. It increases the marketing sales of Toyota. Due to the advancement in technology such as the use of hydrogen in the fuel system, and the use of lithium-ion batteries to produce environmentally friendly vehicles, Toyota GB gained customer satisfaction and loyalty. They contribute to reducing environmental pollution by creating environmentally friendly products and by implementing green technology in their production process to reduce the emission of greenhouse gases. Implementation of 4R (Reuse, Recycle, reduce, and recover) led to the reduction of environmental pollution and the production of a useful substance.</w:t>
      </w:r>
    </w:p>
    <w:p w14:paraId="54C259CA" w14:textId="77777777" w:rsidR="00E77831" w:rsidRDefault="00000000">
      <w:pPr>
        <w:spacing w:line="360" w:lineRule="auto"/>
        <w:rPr>
          <w:rFonts w:ascii="Arial" w:hAnsi="Arial" w:cs="Arial"/>
          <w:sz w:val="24"/>
          <w:szCs w:val="24"/>
        </w:rPr>
      </w:pPr>
      <w:r>
        <w:rPr>
          <w:rFonts w:ascii="Arial" w:hAnsi="Arial" w:cs="Arial"/>
          <w:sz w:val="24"/>
          <w:szCs w:val="24"/>
        </w:rPr>
        <w:t xml:space="preserve">In 2021, The UK increased interest rates to 5.75 %. Toyota UK suffers when interest rates rise because it is unable to bank its money in Japan (Study Moose, 2017). </w:t>
      </w:r>
    </w:p>
    <w:p w14:paraId="3EFB82D5" w14:textId="77777777" w:rsidR="00E77831" w:rsidRDefault="00E77831">
      <w:pPr>
        <w:spacing w:line="360" w:lineRule="auto"/>
        <w:rPr>
          <w:rFonts w:ascii="Arial" w:hAnsi="Arial" w:cs="Arial"/>
          <w:b/>
          <w:bCs/>
          <w:sz w:val="24"/>
          <w:szCs w:val="24"/>
        </w:rPr>
      </w:pPr>
    </w:p>
    <w:p w14:paraId="51D70729" w14:textId="78283303" w:rsidR="00E77831" w:rsidRDefault="00000000">
      <w:pPr>
        <w:spacing w:line="360" w:lineRule="auto"/>
        <w:rPr>
          <w:rFonts w:ascii="Arial" w:hAnsi="Arial" w:cs="Arial"/>
          <w:b/>
          <w:bCs/>
          <w:sz w:val="28"/>
          <w:szCs w:val="28"/>
        </w:rPr>
      </w:pPr>
      <w:r>
        <w:rPr>
          <w:rFonts w:ascii="Arial" w:hAnsi="Arial" w:cs="Arial"/>
          <w:b/>
          <w:bCs/>
          <w:sz w:val="28"/>
          <w:szCs w:val="28"/>
        </w:rPr>
        <w:t xml:space="preserve">SWOT Analysis </w:t>
      </w:r>
    </w:p>
    <w:p w14:paraId="413A8B4F" w14:textId="77777777" w:rsidR="00E77831" w:rsidRDefault="00000000">
      <w:pPr>
        <w:spacing w:line="360" w:lineRule="auto"/>
        <w:rPr>
          <w:rFonts w:ascii="Arial" w:hAnsi="Arial" w:cs="Arial"/>
          <w:sz w:val="24"/>
          <w:szCs w:val="24"/>
        </w:rPr>
      </w:pPr>
      <w:r>
        <w:rPr>
          <w:rFonts w:ascii="Arial" w:hAnsi="Arial" w:cs="Arial"/>
          <w:sz w:val="24"/>
          <w:szCs w:val="24"/>
        </w:rPr>
        <w:lastRenderedPageBreak/>
        <w:t>A SWOT analysis assesses the opportunities and threats that are external to an organization as well as its internal strengths and weaknesses (Bonnici, 2015, p. 1).</w:t>
      </w:r>
    </w:p>
    <w:tbl>
      <w:tblPr>
        <w:tblStyle w:val="TableGrid"/>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4675"/>
        <w:gridCol w:w="4675"/>
      </w:tblGrid>
      <w:tr w:rsidR="00E77831" w14:paraId="732360AD" w14:textId="77777777">
        <w:tc>
          <w:tcPr>
            <w:tcW w:w="4680" w:type="dxa"/>
            <w:tcBorders>
              <w:top w:val="single" w:sz="4" w:space="0" w:color="auto"/>
              <w:left w:val="single" w:sz="4" w:space="0" w:color="auto"/>
              <w:bottom w:val="single" w:sz="4" w:space="0" w:color="auto"/>
              <w:right w:val="single" w:sz="4" w:space="0" w:color="auto"/>
            </w:tcBorders>
          </w:tcPr>
          <w:p w14:paraId="7DFF2040" w14:textId="77777777" w:rsidR="00E77831" w:rsidRDefault="00000000">
            <w:pPr>
              <w:spacing w:line="360" w:lineRule="auto"/>
              <w:rPr>
                <w:rFonts w:ascii="Arial" w:hAnsi="Arial" w:cs="Arial"/>
                <w:sz w:val="24"/>
                <w:szCs w:val="24"/>
              </w:rPr>
            </w:pPr>
            <w:r>
              <w:rPr>
                <w:rFonts w:ascii="Arial" w:hAnsi="Arial" w:cs="Arial"/>
                <w:b/>
                <w:bCs/>
                <w:sz w:val="24"/>
                <w:szCs w:val="24"/>
              </w:rPr>
              <w:t xml:space="preserve">Strength - </w:t>
            </w:r>
            <w:r>
              <w:rPr>
                <w:rFonts w:ascii="Arial" w:hAnsi="Arial" w:cs="Arial"/>
                <w:sz w:val="24"/>
                <w:szCs w:val="24"/>
              </w:rPr>
              <w:t>Toyota GB has a strong reputation in the UK automotive industry. They created high-quality products with zero and low greenhouse gas emissions.  It achieved a high-quality market share value. Toyota GB focused on creating environmentally friendly products such as Plug - Hybrid, hybrid cars which mainly attract most of the customers. Toyota's production system is the main strength of Toyota GB as it meets the demand of the customers without loss to the environment and organization.</w:t>
            </w:r>
          </w:p>
        </w:tc>
        <w:tc>
          <w:tcPr>
            <w:tcW w:w="4680" w:type="dxa"/>
            <w:tcBorders>
              <w:top w:val="single" w:sz="4" w:space="0" w:color="auto"/>
              <w:left w:val="single" w:sz="4" w:space="0" w:color="auto"/>
              <w:bottom w:val="single" w:sz="4" w:space="0" w:color="auto"/>
              <w:right w:val="single" w:sz="4" w:space="0" w:color="auto"/>
            </w:tcBorders>
          </w:tcPr>
          <w:p w14:paraId="3F852D30" w14:textId="77777777" w:rsidR="00E77831" w:rsidRDefault="00000000">
            <w:pPr>
              <w:spacing w:line="360" w:lineRule="auto"/>
              <w:rPr>
                <w:rFonts w:ascii="Arial" w:hAnsi="Arial" w:cs="Arial"/>
                <w:sz w:val="24"/>
                <w:szCs w:val="24"/>
              </w:rPr>
            </w:pPr>
            <w:r>
              <w:rPr>
                <w:rFonts w:ascii="Arial" w:hAnsi="Arial" w:cs="Arial"/>
                <w:b/>
                <w:bCs/>
                <w:sz w:val="24"/>
                <w:szCs w:val="24"/>
              </w:rPr>
              <w:t xml:space="preserve">Weakness - </w:t>
            </w:r>
            <w:r>
              <w:rPr>
                <w:rFonts w:ascii="Arial" w:hAnsi="Arial" w:cs="Arial"/>
                <w:sz w:val="24"/>
                <w:szCs w:val="24"/>
              </w:rPr>
              <w:t>Toyota GB suffered from heavy taxes by the UK government. There is huge competition in the UK automobile industry as BMW and Ford are the main competitors in the UK. The global supply chain system is affected mainly due to its weak supplier chain system. Competition plays an important role in the business performance of an organization.  Toyota GB faced huge competition in the UK automotive industry (Toyota. 2022, p.33).</w:t>
            </w:r>
          </w:p>
        </w:tc>
      </w:tr>
      <w:tr w:rsidR="00E77831" w14:paraId="50562FBB" w14:textId="77777777">
        <w:tc>
          <w:tcPr>
            <w:tcW w:w="4680" w:type="dxa"/>
            <w:tcBorders>
              <w:top w:val="single" w:sz="4" w:space="0" w:color="auto"/>
              <w:left w:val="single" w:sz="4" w:space="0" w:color="auto"/>
              <w:bottom w:val="single" w:sz="4" w:space="0" w:color="auto"/>
              <w:right w:val="single" w:sz="4" w:space="0" w:color="auto"/>
            </w:tcBorders>
          </w:tcPr>
          <w:p w14:paraId="2F40CFAC" w14:textId="77777777" w:rsidR="00E77831" w:rsidRDefault="00000000">
            <w:pPr>
              <w:spacing w:line="360" w:lineRule="auto"/>
              <w:rPr>
                <w:rFonts w:ascii="Arial" w:hAnsi="Arial" w:cs="Arial"/>
                <w:sz w:val="24"/>
                <w:szCs w:val="24"/>
              </w:rPr>
            </w:pPr>
            <w:r>
              <w:rPr>
                <w:rFonts w:ascii="Arial" w:hAnsi="Arial" w:cs="Arial"/>
                <w:b/>
                <w:bCs/>
                <w:sz w:val="24"/>
                <w:szCs w:val="24"/>
              </w:rPr>
              <w:t xml:space="preserve">Opportunities - </w:t>
            </w:r>
            <w:r>
              <w:rPr>
                <w:rFonts w:ascii="Arial" w:hAnsi="Arial" w:cs="Arial"/>
                <w:sz w:val="24"/>
                <w:szCs w:val="24"/>
              </w:rPr>
              <w:t xml:space="preserve">Toyota in the UK faced many opportunities and challenges such as the Rule governed by the UK government helped Toyota to produce more environmentally friendly vehicles. Toyota's 2050 challenges help Toyota to recruit well-trained employees and thus produce more vehicles to meet the demand of customers. There is an opportunity for Toyota GB to provide training to the students so that they can build well-trained engineers.  Its opportunity to make a partnership with the environmental society helps in </w:t>
            </w:r>
            <w:r>
              <w:rPr>
                <w:rFonts w:ascii="Arial" w:hAnsi="Arial" w:cs="Arial"/>
                <w:sz w:val="24"/>
                <w:szCs w:val="24"/>
              </w:rPr>
              <w:lastRenderedPageBreak/>
              <w:t xml:space="preserve">meeting the challenge of maintaining harmony with nature. </w:t>
            </w:r>
          </w:p>
        </w:tc>
        <w:tc>
          <w:tcPr>
            <w:tcW w:w="4680" w:type="dxa"/>
            <w:tcBorders>
              <w:top w:val="single" w:sz="4" w:space="0" w:color="auto"/>
              <w:left w:val="single" w:sz="4" w:space="0" w:color="auto"/>
              <w:bottom w:val="single" w:sz="4" w:space="0" w:color="auto"/>
              <w:right w:val="single" w:sz="4" w:space="0" w:color="auto"/>
            </w:tcBorders>
          </w:tcPr>
          <w:p w14:paraId="646BD904" w14:textId="77777777" w:rsidR="00E77831" w:rsidRDefault="00000000">
            <w:pPr>
              <w:spacing w:line="360" w:lineRule="auto"/>
              <w:rPr>
                <w:rFonts w:ascii="Arial" w:hAnsi="Arial" w:cs="Arial"/>
                <w:sz w:val="24"/>
                <w:szCs w:val="24"/>
              </w:rPr>
            </w:pPr>
            <w:r>
              <w:rPr>
                <w:rFonts w:ascii="Arial" w:hAnsi="Arial" w:cs="Arial"/>
                <w:b/>
                <w:bCs/>
                <w:sz w:val="24"/>
                <w:szCs w:val="24"/>
              </w:rPr>
              <w:lastRenderedPageBreak/>
              <w:t xml:space="preserve">Threats - </w:t>
            </w:r>
            <w:r>
              <w:rPr>
                <w:rFonts w:ascii="Arial" w:hAnsi="Arial" w:cs="Arial"/>
                <w:sz w:val="24"/>
                <w:szCs w:val="24"/>
              </w:rPr>
              <w:t>According to Porter's five forces there are mainly five threats such as threats of a new entry. Power of suppliers, purchasing power, the danger of substitutes, and strong rivalry competition. Strong competition is the main threat that usually results in the declining performance of the organization. Marketing and sales are mainly affected by the customer purchasing power and weak supplier system (Nkomo, 2019, p. 4).</w:t>
            </w:r>
          </w:p>
          <w:p w14:paraId="18715F00" w14:textId="77777777" w:rsidR="00E77831" w:rsidRDefault="00E77831">
            <w:pPr>
              <w:spacing w:line="360" w:lineRule="auto"/>
              <w:rPr>
                <w:rFonts w:ascii="Arial" w:hAnsi="Arial" w:cs="Arial"/>
                <w:sz w:val="24"/>
                <w:szCs w:val="24"/>
              </w:rPr>
            </w:pPr>
          </w:p>
        </w:tc>
      </w:tr>
    </w:tbl>
    <w:p w14:paraId="157203A2" w14:textId="77777777" w:rsidR="00E77831" w:rsidRDefault="00E77831">
      <w:pPr>
        <w:spacing w:line="360" w:lineRule="auto"/>
        <w:rPr>
          <w:rFonts w:ascii="Arial" w:hAnsi="Arial" w:cs="Arial"/>
          <w:sz w:val="28"/>
          <w:szCs w:val="28"/>
        </w:rPr>
      </w:pPr>
    </w:p>
    <w:p w14:paraId="52022A81" w14:textId="1EBAF595" w:rsidR="00E77831" w:rsidRDefault="00000000">
      <w:pPr>
        <w:spacing w:line="360" w:lineRule="auto"/>
        <w:rPr>
          <w:rFonts w:ascii="Arial" w:hAnsi="Arial" w:cs="Arial"/>
          <w:b/>
          <w:bCs/>
          <w:sz w:val="28"/>
          <w:szCs w:val="28"/>
        </w:rPr>
      </w:pPr>
      <w:r>
        <w:rPr>
          <w:rFonts w:ascii="Arial" w:hAnsi="Arial" w:cs="Arial"/>
          <w:b/>
          <w:bCs/>
          <w:sz w:val="28"/>
          <w:szCs w:val="28"/>
        </w:rPr>
        <w:t xml:space="preserve">4.2 </w:t>
      </w:r>
      <w:r w:rsidR="00733FCF">
        <w:rPr>
          <w:rFonts w:ascii="Arial" w:hAnsi="Arial" w:cs="Arial"/>
          <w:b/>
          <w:bCs/>
          <w:sz w:val="28"/>
          <w:szCs w:val="28"/>
        </w:rPr>
        <w:t>–</w:t>
      </w:r>
      <w:r>
        <w:rPr>
          <w:rFonts w:ascii="Arial" w:hAnsi="Arial" w:cs="Arial"/>
          <w:b/>
          <w:bCs/>
          <w:sz w:val="28"/>
          <w:szCs w:val="28"/>
        </w:rPr>
        <w:t xml:space="preserve"> Discussion</w:t>
      </w:r>
      <w:r w:rsidR="00733FCF">
        <w:rPr>
          <w:rFonts w:ascii="Arial" w:hAnsi="Arial" w:cs="Arial"/>
          <w:b/>
          <w:bCs/>
          <w:sz w:val="28"/>
          <w:szCs w:val="28"/>
        </w:rPr>
        <w:t>:</w:t>
      </w:r>
      <w:r>
        <w:rPr>
          <w:rFonts w:ascii="Arial" w:hAnsi="Arial" w:cs="Arial"/>
          <w:b/>
          <w:bCs/>
          <w:sz w:val="28"/>
          <w:szCs w:val="28"/>
        </w:rPr>
        <w:t xml:space="preserve"> </w:t>
      </w:r>
    </w:p>
    <w:p w14:paraId="382569BC" w14:textId="77777777" w:rsidR="00E77831" w:rsidRDefault="00000000">
      <w:pPr>
        <w:spacing w:line="360" w:lineRule="auto"/>
        <w:rPr>
          <w:rFonts w:ascii="Arial" w:hAnsi="Arial" w:cs="Arial"/>
          <w:sz w:val="24"/>
          <w:szCs w:val="24"/>
        </w:rPr>
      </w:pPr>
      <w:r>
        <w:rPr>
          <w:rFonts w:ascii="Arial" w:hAnsi="Arial" w:cs="Arial"/>
          <w:sz w:val="24"/>
          <w:szCs w:val="24"/>
        </w:rPr>
        <w:t>From the above data, it was analyzed that the Toyota Motor production (GB) UK can meet the customer needs and demands which results in attaining Sustainable competitive advantage and customer loyalty. Toyota GB acquires 6th position in the UK.  automotive industry with a market share value of 5.6 % in 2023. It had a huge reputation in the UK automobile industry. There are certain rules imposed by the UK government for improving the climate conditions and managing environmental health such as banned on petrol vehicles, banned on vehicles with high greenhouse emissions and carbon dioxide emissions. This provides an opportunity for Toyota to produce and manufacture those products that are responsible for the reduction of global warming and conservation of the ecosystem. Toyota GB used a green Marketing strategy to attain this. Green Marketing mix technology focuses on green products, green places, green prices, and green promotion to reduce environmental pollution in each series. They use differentiation and cost reduction strategies to attain sustainable competitive advantage. They mainly focused on producing environmentally friendly vehicles such as Alternative fuel vehicles such as plug-in hybrids, electric vehicles, and hydrogen vehicles. A Green Marketing mix strategy leads to cost reduction and differentiation, which attracts most customers. They not only mainly focus on producing greener vehicles but also on all the processes, production systems, supplier systems, and pricing systems so that they reduce global warming and meet customer needs.</w:t>
      </w:r>
    </w:p>
    <w:p w14:paraId="0E562718" w14:textId="77777777" w:rsidR="00E77831" w:rsidRDefault="00000000">
      <w:pPr>
        <w:spacing w:line="360" w:lineRule="auto"/>
        <w:rPr>
          <w:rFonts w:ascii="Arial" w:hAnsi="Arial" w:cs="Arial"/>
          <w:sz w:val="24"/>
          <w:szCs w:val="24"/>
        </w:rPr>
      </w:pPr>
      <w:r>
        <w:rPr>
          <w:rFonts w:ascii="Arial" w:hAnsi="Arial" w:cs="Arial"/>
          <w:sz w:val="24"/>
          <w:szCs w:val="24"/>
        </w:rPr>
        <w:t xml:space="preserve">They also focused on conserving water by rainwater harvesting. It focused on building harmony with nature by knowing each need in an ecosystem by having a partnership with various environmental societies. Toyota's suction system helps in the continuous improvement of Toyota and meeting customer needs in a short period. They generally work on a strategy that results in lowering Greenhouse gases, zero carbon dioxide emissions, and meeting the customer needs and demands in a short period. Toyota GB </w:t>
      </w:r>
      <w:r>
        <w:rPr>
          <w:rFonts w:ascii="Arial" w:hAnsi="Arial" w:cs="Arial"/>
          <w:sz w:val="24"/>
          <w:szCs w:val="24"/>
        </w:rPr>
        <w:lastRenderedPageBreak/>
        <w:t>focused on recycling, reducing, recovering, and reusing strategies to conserve the environment.</w:t>
      </w:r>
    </w:p>
    <w:p w14:paraId="1A26765F" w14:textId="77777777" w:rsidR="00E77831" w:rsidRDefault="00000000">
      <w:pPr>
        <w:spacing w:line="360" w:lineRule="auto"/>
        <w:rPr>
          <w:rFonts w:ascii="Arial" w:hAnsi="Arial" w:cs="Arial"/>
          <w:sz w:val="24"/>
          <w:szCs w:val="24"/>
        </w:rPr>
      </w:pPr>
      <w:r>
        <w:rPr>
          <w:rFonts w:ascii="Arial" w:hAnsi="Arial" w:cs="Arial"/>
          <w:sz w:val="24"/>
          <w:szCs w:val="24"/>
        </w:rPr>
        <w:t xml:space="preserve">It also uses other marketing strategies such as digital marketing, marketing segmentation, and traditional Marketing to engage more customers with itself. The use of digital marketing results in building the communication gap between customers and organizations. The marketing segmentation strategy considers each customer's needs and produces products according to their demands. They advertise their vehicles on TV, in magazines, in newspapers, and on social media and organize various shows to gain customer loyalty and customer satisfaction. </w:t>
      </w:r>
    </w:p>
    <w:p w14:paraId="5097EC42" w14:textId="77777777" w:rsidR="00E77831" w:rsidRDefault="00000000">
      <w:pPr>
        <w:spacing w:line="360" w:lineRule="auto"/>
        <w:rPr>
          <w:rFonts w:ascii="Arial" w:hAnsi="Arial" w:cs="Arial"/>
          <w:sz w:val="28"/>
          <w:szCs w:val="28"/>
        </w:rPr>
      </w:pPr>
      <w:r>
        <w:rPr>
          <w:rFonts w:ascii="Arial" w:hAnsi="Arial" w:cs="Arial"/>
          <w:b/>
          <w:bCs/>
          <w:sz w:val="28"/>
          <w:szCs w:val="28"/>
        </w:rPr>
        <w:t xml:space="preserve">Chapter 5 - Conclusion and Recommendations </w:t>
      </w:r>
    </w:p>
    <w:p w14:paraId="6F4F8055" w14:textId="523C4CA8" w:rsidR="00E77831" w:rsidRDefault="00000000">
      <w:pPr>
        <w:spacing w:line="360" w:lineRule="auto"/>
        <w:rPr>
          <w:rFonts w:ascii="Arial" w:hAnsi="Arial" w:cs="Arial"/>
          <w:sz w:val="28"/>
          <w:szCs w:val="28"/>
        </w:rPr>
      </w:pPr>
      <w:r>
        <w:rPr>
          <w:rFonts w:ascii="Arial" w:hAnsi="Arial" w:cs="Arial"/>
          <w:b/>
          <w:bCs/>
          <w:sz w:val="28"/>
          <w:szCs w:val="28"/>
        </w:rPr>
        <w:t>5.1 Summary of the main finding</w:t>
      </w:r>
      <w:r w:rsidR="00733FCF">
        <w:rPr>
          <w:rFonts w:ascii="Arial" w:hAnsi="Arial" w:cs="Arial"/>
          <w:b/>
          <w:bCs/>
          <w:sz w:val="28"/>
          <w:szCs w:val="28"/>
        </w:rPr>
        <w:t>:</w:t>
      </w:r>
    </w:p>
    <w:p w14:paraId="57FB2D58" w14:textId="77777777" w:rsidR="00E77831" w:rsidRDefault="00000000">
      <w:pPr>
        <w:spacing w:line="360" w:lineRule="auto"/>
        <w:rPr>
          <w:rFonts w:ascii="Arial" w:hAnsi="Arial" w:cs="Arial"/>
          <w:sz w:val="24"/>
          <w:szCs w:val="24"/>
        </w:rPr>
      </w:pPr>
      <w:r>
        <w:rPr>
          <w:rFonts w:ascii="Arial" w:hAnsi="Arial" w:cs="Arial"/>
          <w:sz w:val="24"/>
          <w:szCs w:val="24"/>
        </w:rPr>
        <w:t>Toyota is well - a reputable automobile industry focusing on meeting every individual customer's needs with good quality products at a low-cost Price. Toyota GB Plc is a Toyota manufacturing plant in the UK. It achieved a well-reputed position in the UK automobile industry. Marketing management plays an important role in achieving sustainable competitive advantage. It helps in building the customer organizational relationship. There are many challenges and opportunities faced by Toyota UK in the UK Automotive industry to attain a reputable position. This challenge involves meeting the customer's needs while taking care of environmental health. It involves building electric vehicles, plug-in hybrid vehicles, and the use of a new technology hydrogen vehicles to reduce environmental pollution and lower the emission of carbon dioxide emissions to a zero extent. Toyota in the UK Automotive industry achieves a market share value of 5.8 % with the highest number of sales of the hybrid Yaris (most demandable vehicles) in 2023. In 2022, it achieved a market share value of 6.6 % by acquiring a third position in the UK OEM report.</w:t>
      </w:r>
    </w:p>
    <w:p w14:paraId="5A077B88" w14:textId="77777777" w:rsidR="00E77831" w:rsidRDefault="00000000">
      <w:pPr>
        <w:spacing w:line="360" w:lineRule="auto"/>
        <w:rPr>
          <w:rFonts w:ascii="Arial" w:hAnsi="Arial" w:cs="Arial"/>
          <w:sz w:val="24"/>
          <w:szCs w:val="24"/>
        </w:rPr>
      </w:pPr>
      <w:r>
        <w:rPr>
          <w:rFonts w:ascii="Arial" w:hAnsi="Arial" w:cs="Arial"/>
          <w:sz w:val="24"/>
          <w:szCs w:val="24"/>
        </w:rPr>
        <w:t xml:space="preserve">The progression of Toyota in the UK is due to the Toyota production system. It generally focuses upon the just-in-time management and jidoka system for the continuous improvement of products and manufacturing the products in such a way that results in the least wastage, and conservation of natural resources such as water, power, etc.  </w:t>
      </w:r>
      <w:r>
        <w:rPr>
          <w:rFonts w:ascii="Arial" w:hAnsi="Arial" w:cs="Arial"/>
          <w:sz w:val="24"/>
          <w:szCs w:val="24"/>
        </w:rPr>
        <w:lastRenderedPageBreak/>
        <w:t xml:space="preserve">Green marketing mix strategy leads to Differentiation and cost reduction of products of Toyota which results in gaining the sustainable competitive advantage. </w:t>
      </w:r>
    </w:p>
    <w:p w14:paraId="6C1B0631" w14:textId="77777777" w:rsidR="00E77831" w:rsidRDefault="00000000">
      <w:pPr>
        <w:spacing w:line="360" w:lineRule="auto"/>
        <w:rPr>
          <w:rFonts w:ascii="Arial" w:hAnsi="Arial" w:cs="Arial"/>
          <w:sz w:val="24"/>
          <w:szCs w:val="24"/>
        </w:rPr>
      </w:pPr>
      <w:r>
        <w:rPr>
          <w:rFonts w:ascii="Arial" w:hAnsi="Arial" w:cs="Arial"/>
          <w:sz w:val="24"/>
          <w:szCs w:val="24"/>
        </w:rPr>
        <w:t>The use of recyclable, reusable, recoverable, and recyclable products in Toyota products, green packaging, green supply chain management, and green promotion advertising strategy results in attracting more UK customers as well as global customers towards itself. Digital marketing also helps to gather the attention of customers. Organization of various motor shows and emotional advertisements using magazines, and newspapers for promotion engage more of the customers towards Toyota UK.</w:t>
      </w:r>
    </w:p>
    <w:p w14:paraId="63C97451" w14:textId="77777777" w:rsidR="00E77831" w:rsidRDefault="00000000">
      <w:pPr>
        <w:spacing w:line="360" w:lineRule="auto"/>
        <w:rPr>
          <w:rFonts w:ascii="Arial" w:hAnsi="Arial" w:cs="Arial"/>
          <w:sz w:val="24"/>
          <w:szCs w:val="24"/>
        </w:rPr>
      </w:pPr>
      <w:r>
        <w:rPr>
          <w:rFonts w:ascii="Arial" w:hAnsi="Arial" w:cs="Arial"/>
          <w:sz w:val="24"/>
          <w:szCs w:val="24"/>
        </w:rPr>
        <w:t>The UK government is compatible with the Japanese multinational company Toyota as it provides grants and funding to Toyota for the organization of various projects. The UK government is responsible for promoting its electric vehicles through non-taxation of electric vehicles.</w:t>
      </w:r>
    </w:p>
    <w:p w14:paraId="428044A2" w14:textId="77777777" w:rsidR="00E77831" w:rsidRDefault="00000000">
      <w:pPr>
        <w:spacing w:line="360" w:lineRule="auto"/>
        <w:rPr>
          <w:rFonts w:ascii="Arial" w:hAnsi="Arial" w:cs="Arial"/>
          <w:sz w:val="24"/>
          <w:szCs w:val="24"/>
        </w:rPr>
      </w:pPr>
      <w:r>
        <w:rPr>
          <w:rFonts w:ascii="Arial" w:hAnsi="Arial" w:cs="Arial"/>
          <w:sz w:val="24"/>
          <w:szCs w:val="24"/>
        </w:rPr>
        <w:t>Toyota GB's main aim is to build a harmonious relationship with nature so to preserve the natural species, they were responsible for taking care of honeybees and other natural environments. Adoption of a green Marketing mix strategy helps the Toyota production system in the UK to maintain its customer-organization relationship and meet the customer needs in each step of and manufacturing process as well as maintaining environmental health.</w:t>
      </w:r>
    </w:p>
    <w:p w14:paraId="4DD5C255" w14:textId="213315E1" w:rsidR="00E77831" w:rsidRDefault="00000000">
      <w:pPr>
        <w:spacing w:line="360" w:lineRule="auto"/>
        <w:rPr>
          <w:rFonts w:ascii="Arial" w:hAnsi="Arial" w:cs="Arial"/>
          <w:b/>
          <w:bCs/>
          <w:sz w:val="28"/>
          <w:szCs w:val="28"/>
        </w:rPr>
      </w:pPr>
      <w:r>
        <w:rPr>
          <w:rFonts w:ascii="Arial" w:hAnsi="Arial" w:cs="Arial"/>
          <w:b/>
          <w:bCs/>
          <w:sz w:val="28"/>
          <w:szCs w:val="28"/>
        </w:rPr>
        <w:t xml:space="preserve">5.2 - Conclusion based </w:t>
      </w:r>
      <w:r w:rsidR="004F0A7F">
        <w:rPr>
          <w:rFonts w:ascii="Arial" w:hAnsi="Arial" w:cs="Arial"/>
          <w:b/>
          <w:bCs/>
          <w:sz w:val="28"/>
          <w:szCs w:val="28"/>
        </w:rPr>
        <w:t>on</w:t>
      </w:r>
      <w:r>
        <w:rPr>
          <w:rFonts w:ascii="Arial" w:hAnsi="Arial" w:cs="Arial"/>
          <w:b/>
          <w:bCs/>
          <w:sz w:val="28"/>
          <w:szCs w:val="28"/>
        </w:rPr>
        <w:t xml:space="preserve"> the research questions</w:t>
      </w:r>
      <w:r w:rsidR="00733FCF">
        <w:rPr>
          <w:rFonts w:ascii="Arial" w:hAnsi="Arial" w:cs="Arial"/>
          <w:b/>
          <w:bCs/>
          <w:sz w:val="28"/>
          <w:szCs w:val="28"/>
        </w:rPr>
        <w:t>:</w:t>
      </w:r>
      <w:r>
        <w:rPr>
          <w:rFonts w:ascii="Arial" w:hAnsi="Arial" w:cs="Arial"/>
          <w:b/>
          <w:bCs/>
          <w:sz w:val="28"/>
          <w:szCs w:val="28"/>
        </w:rPr>
        <w:t xml:space="preserve"> </w:t>
      </w:r>
    </w:p>
    <w:p w14:paraId="1C8D1BA9" w14:textId="77777777" w:rsidR="00E77831" w:rsidRDefault="00000000">
      <w:pPr>
        <w:spacing w:line="360" w:lineRule="auto"/>
        <w:rPr>
          <w:rFonts w:ascii="Arial" w:hAnsi="Arial" w:cs="Arial"/>
          <w:sz w:val="24"/>
          <w:szCs w:val="24"/>
        </w:rPr>
      </w:pPr>
      <w:r>
        <w:rPr>
          <w:rFonts w:ascii="Arial" w:hAnsi="Arial" w:cs="Arial"/>
          <w:sz w:val="24"/>
          <w:szCs w:val="24"/>
        </w:rPr>
        <w:t xml:space="preserve">According to the above Research, Data Analysis, and results it was concluded that Toyota GB attained a well-reputed position in the UK automotive industry with a market share value of 5.8 % in 2023. The European Car of the Year award goes to the new Yaris Hybrid which is so proud movement for Toyota in the UK. </w:t>
      </w:r>
    </w:p>
    <w:p w14:paraId="6C6AE1A2" w14:textId="77777777" w:rsidR="00E77831" w:rsidRDefault="00000000">
      <w:pPr>
        <w:spacing w:line="360" w:lineRule="auto"/>
        <w:rPr>
          <w:rFonts w:ascii="Arial" w:hAnsi="Arial" w:cs="Arial"/>
          <w:sz w:val="24"/>
          <w:szCs w:val="24"/>
        </w:rPr>
      </w:pPr>
      <w:r>
        <w:rPr>
          <w:rFonts w:ascii="Arial" w:hAnsi="Arial" w:cs="Arial"/>
          <w:sz w:val="24"/>
          <w:szCs w:val="24"/>
        </w:rPr>
        <w:t xml:space="preserve">There are various challenges and opportunities faced by Toyota in The UK automotive industry. With the increase in traffic pollution, climatic change, environmental pollution, and increase in fuel price, The UK government imposed a new rule in the UK automobile industry to ban all the fuel vehicles that have higher emissions of greenhouse gases and shifted to the electric vehicles with low greenhouse gases emissions and zero carbon dioxide emissions. “TOYOTA implemented a 2050" </w:t>
      </w:r>
      <w:r>
        <w:rPr>
          <w:rFonts w:ascii="Arial" w:hAnsi="Arial" w:cs="Arial"/>
          <w:sz w:val="24"/>
          <w:szCs w:val="24"/>
        </w:rPr>
        <w:lastRenderedPageBreak/>
        <w:t>environmental challenge " to control environmental pollution and meet the customer needs in each stage of the manufacturing process.</w:t>
      </w:r>
    </w:p>
    <w:p w14:paraId="5B5EE961" w14:textId="77777777" w:rsidR="00E77831" w:rsidRDefault="00000000">
      <w:pPr>
        <w:spacing w:line="360" w:lineRule="auto"/>
        <w:rPr>
          <w:rFonts w:ascii="Arial" w:hAnsi="Arial" w:cs="Arial"/>
          <w:sz w:val="24"/>
          <w:szCs w:val="24"/>
        </w:rPr>
      </w:pPr>
      <w:r>
        <w:rPr>
          <w:rFonts w:ascii="Arial" w:hAnsi="Arial" w:cs="Arial"/>
          <w:sz w:val="24"/>
          <w:szCs w:val="24"/>
        </w:rPr>
        <w:t>Green Marketing and green Marketing mix strategy adopted by Toyota UK to meet customer demands as well as benefit both the organization and the environment. The development of green products such as plug-in hybrid vehicles, electric vehicles, and hydrogen vehicles reduces environmental pollution. The use of a 4 R (Reduce, reuse, recycle, and recover) results in less wastage, reducing environmental pollution, and converting to useful products. Toyota GB's focus is to meet customer needs and continuous improvement in their work. Toyota's product system results in the cost reduction of Toyota products. Hence, it will provide products of high quality at a low price. Customers are sensitive to environmental health. They are ready to pay a premium price for buying the Hybrid card. They mainly adopt green supply chain management which results in reducing traffic pollution and delivering products in a short period of good quality. The use of green promotion and green advertising in a sustainable way attracts most of the customers.</w:t>
      </w:r>
    </w:p>
    <w:p w14:paraId="632C0CDF" w14:textId="77777777" w:rsidR="00E77831" w:rsidRDefault="00000000">
      <w:pPr>
        <w:spacing w:line="360" w:lineRule="auto"/>
        <w:rPr>
          <w:rFonts w:ascii="Arial" w:hAnsi="Arial" w:cs="Arial"/>
          <w:sz w:val="24"/>
          <w:szCs w:val="24"/>
        </w:rPr>
      </w:pPr>
      <w:r>
        <w:rPr>
          <w:rFonts w:ascii="Arial" w:hAnsi="Arial" w:cs="Arial"/>
          <w:sz w:val="24"/>
          <w:szCs w:val="24"/>
        </w:rPr>
        <w:t>Other Marketing tactics used by Toyota in the UK involve digital marketing, marketing segmentation, marketing mix, and traditional marketing to engage more of the customers.</w:t>
      </w:r>
    </w:p>
    <w:p w14:paraId="2BF6B0AA" w14:textId="77777777" w:rsidR="00E77831" w:rsidRDefault="00000000">
      <w:pPr>
        <w:spacing w:line="360" w:lineRule="auto"/>
        <w:rPr>
          <w:rFonts w:ascii="Arial" w:hAnsi="Arial" w:cs="Arial"/>
          <w:sz w:val="24"/>
          <w:szCs w:val="24"/>
        </w:rPr>
      </w:pPr>
      <w:r>
        <w:rPr>
          <w:rFonts w:ascii="Arial" w:hAnsi="Arial" w:cs="Arial"/>
          <w:sz w:val="24"/>
          <w:szCs w:val="24"/>
        </w:rPr>
        <w:t xml:space="preserve">Many factors affect Toyota's Marketing strategies and its position in the UK which is determined by the pestle analysis and SWOT analysis. The UK government supports the Toyota manufacturing plant in the UK. </w:t>
      </w:r>
      <w:proofErr w:type="gramStart"/>
      <w:r>
        <w:rPr>
          <w:rFonts w:ascii="Arial" w:hAnsi="Arial" w:cs="Arial"/>
          <w:sz w:val="24"/>
          <w:szCs w:val="24"/>
        </w:rPr>
        <w:t>it</w:t>
      </w:r>
      <w:proofErr w:type="gramEnd"/>
      <w:r>
        <w:rPr>
          <w:rFonts w:ascii="Arial" w:hAnsi="Arial" w:cs="Arial"/>
          <w:sz w:val="24"/>
          <w:szCs w:val="24"/>
        </w:rPr>
        <w:t xml:space="preserve"> has a strong reputation in the UK automotive industry as well as strong research and development centres. It faced a problem with heavy taxes imposed by the government on Toyota UK. It mainly contributes to maintaining environmental health and meeting the customer’s needs and demands.</w:t>
      </w:r>
    </w:p>
    <w:p w14:paraId="31E42195" w14:textId="0BB316A5" w:rsidR="00E77831" w:rsidRDefault="00000000">
      <w:pPr>
        <w:spacing w:line="360" w:lineRule="auto"/>
        <w:rPr>
          <w:rFonts w:ascii="Arial" w:hAnsi="Arial" w:cs="Arial"/>
          <w:b/>
          <w:bCs/>
          <w:sz w:val="28"/>
          <w:szCs w:val="28"/>
        </w:rPr>
      </w:pPr>
      <w:r>
        <w:rPr>
          <w:rFonts w:ascii="Arial" w:hAnsi="Arial" w:cs="Arial"/>
          <w:b/>
          <w:bCs/>
          <w:sz w:val="28"/>
          <w:szCs w:val="28"/>
        </w:rPr>
        <w:t xml:space="preserve">5.3 </w:t>
      </w:r>
      <w:r w:rsidR="00733FCF">
        <w:rPr>
          <w:rFonts w:ascii="Arial" w:hAnsi="Arial" w:cs="Arial"/>
          <w:b/>
          <w:bCs/>
          <w:sz w:val="28"/>
          <w:szCs w:val="28"/>
        </w:rPr>
        <w:t>–</w:t>
      </w:r>
      <w:r>
        <w:rPr>
          <w:rFonts w:ascii="Arial" w:hAnsi="Arial" w:cs="Arial"/>
          <w:b/>
          <w:bCs/>
          <w:sz w:val="28"/>
          <w:szCs w:val="28"/>
        </w:rPr>
        <w:t xml:space="preserve"> Recommendation</w:t>
      </w:r>
      <w:r w:rsidR="00733FCF">
        <w:rPr>
          <w:rFonts w:ascii="Arial" w:hAnsi="Arial" w:cs="Arial"/>
          <w:b/>
          <w:bCs/>
          <w:sz w:val="28"/>
          <w:szCs w:val="28"/>
        </w:rPr>
        <w:t>:</w:t>
      </w:r>
    </w:p>
    <w:p w14:paraId="17E910F8" w14:textId="77777777" w:rsidR="00E77831" w:rsidRDefault="00000000">
      <w:pPr>
        <w:spacing w:line="360" w:lineRule="auto"/>
        <w:rPr>
          <w:rFonts w:ascii="Arial" w:hAnsi="Arial" w:cs="Arial"/>
          <w:sz w:val="24"/>
          <w:szCs w:val="24"/>
        </w:rPr>
      </w:pPr>
      <w:r>
        <w:rPr>
          <w:rFonts w:ascii="Arial" w:hAnsi="Arial" w:cs="Arial"/>
          <w:sz w:val="24"/>
          <w:szCs w:val="24"/>
        </w:rPr>
        <w:t xml:space="preserve">Toyota GB has a strong reputable position in the UK automotive industry as well as its strong development in the R&amp;D centres. </w:t>
      </w:r>
    </w:p>
    <w:p w14:paraId="633CCAA4" w14:textId="77777777" w:rsidR="00E77831" w:rsidRDefault="00000000">
      <w:pPr>
        <w:spacing w:line="360" w:lineRule="auto"/>
        <w:rPr>
          <w:rFonts w:ascii="Arial" w:hAnsi="Arial" w:cs="Arial"/>
          <w:sz w:val="24"/>
          <w:szCs w:val="24"/>
        </w:rPr>
      </w:pPr>
      <w:r>
        <w:rPr>
          <w:rFonts w:ascii="Arial" w:hAnsi="Arial" w:cs="Arial"/>
          <w:sz w:val="24"/>
          <w:szCs w:val="24"/>
        </w:rPr>
        <w:lastRenderedPageBreak/>
        <w:t>Toyota GB must focus on Global supply chain management to meet the demands of customers worldwide. There is a need to recruit some of the Japanese workers in the Toyota GB to ensure the process of the Toyota production system. Japanese workers were well-trained and well-educated about the Toyota production system. There is a need to improve the supplier system and to build strong links with the supplier so that each customer gains satisfaction with their products.</w:t>
      </w:r>
    </w:p>
    <w:p w14:paraId="2E36D989" w14:textId="77777777" w:rsidR="00E77831" w:rsidRDefault="00000000">
      <w:pPr>
        <w:spacing w:line="360" w:lineRule="auto"/>
        <w:rPr>
          <w:rFonts w:ascii="Arial" w:hAnsi="Arial" w:cs="Arial"/>
          <w:sz w:val="24"/>
          <w:szCs w:val="24"/>
        </w:rPr>
      </w:pPr>
      <w:r>
        <w:rPr>
          <w:rFonts w:ascii="Arial" w:hAnsi="Arial" w:cs="Arial"/>
          <w:sz w:val="24"/>
          <w:szCs w:val="24"/>
        </w:rPr>
        <w:t xml:space="preserve">There is a need to provide suitable training about the Toyota production system in schools and universities to youngsters to train them, youngsters, as engineers. Training is provided in other countries such as China, and Japan. </w:t>
      </w:r>
    </w:p>
    <w:p w14:paraId="09441C16" w14:textId="77777777" w:rsidR="00E77831" w:rsidRDefault="00000000">
      <w:pPr>
        <w:spacing w:line="360" w:lineRule="auto"/>
        <w:rPr>
          <w:rFonts w:ascii="Arial" w:hAnsi="Arial" w:cs="Arial"/>
          <w:sz w:val="24"/>
          <w:szCs w:val="24"/>
        </w:rPr>
      </w:pPr>
      <w:r>
        <w:rPr>
          <w:rFonts w:ascii="Arial" w:hAnsi="Arial" w:cs="Arial"/>
          <w:sz w:val="24"/>
          <w:szCs w:val="24"/>
        </w:rPr>
        <w:t>It is recommended that Toyota GB build a strong relationship with the customers by knowing every demand of the customers. Toyota must focus on the marketing segmentation Strategy to ensure every customer demands.</w:t>
      </w:r>
    </w:p>
    <w:p w14:paraId="14F63E21" w14:textId="77777777" w:rsidR="00E77831" w:rsidRDefault="00000000">
      <w:pPr>
        <w:spacing w:line="360" w:lineRule="auto"/>
        <w:rPr>
          <w:rFonts w:ascii="Arial" w:hAnsi="Arial" w:cs="Arial"/>
          <w:sz w:val="24"/>
          <w:szCs w:val="24"/>
        </w:rPr>
      </w:pPr>
      <w:r>
        <w:rPr>
          <w:rFonts w:ascii="Arial" w:hAnsi="Arial" w:cs="Arial"/>
          <w:sz w:val="24"/>
          <w:szCs w:val="24"/>
        </w:rPr>
        <w:t>By implementing a green Marketing mix strategy, customer demands must also be considered, as customers' demandable vehicles are passenger cars such as Yaris. Environmental features like low greenhouse gas emissions and no carbon dioxide emissions must be implemented to control environmental pollution and meet customer needs.</w:t>
      </w:r>
    </w:p>
    <w:p w14:paraId="45BA2C10" w14:textId="567B9C84" w:rsidR="00E77831" w:rsidRDefault="00000000">
      <w:pPr>
        <w:spacing w:line="360" w:lineRule="auto"/>
        <w:rPr>
          <w:rFonts w:ascii="Arial" w:hAnsi="Arial" w:cs="Arial"/>
          <w:b/>
          <w:bCs/>
          <w:sz w:val="28"/>
          <w:szCs w:val="28"/>
        </w:rPr>
      </w:pPr>
      <w:r>
        <w:rPr>
          <w:rFonts w:ascii="Arial" w:hAnsi="Arial" w:cs="Arial"/>
          <w:b/>
          <w:bCs/>
          <w:sz w:val="28"/>
          <w:szCs w:val="28"/>
        </w:rPr>
        <w:t>5.4 - limitations of the study</w:t>
      </w:r>
      <w:r w:rsidR="00733FCF">
        <w:rPr>
          <w:rFonts w:ascii="Arial" w:hAnsi="Arial" w:cs="Arial"/>
          <w:b/>
          <w:bCs/>
          <w:sz w:val="28"/>
          <w:szCs w:val="28"/>
        </w:rPr>
        <w:t>:</w:t>
      </w:r>
      <w:r>
        <w:rPr>
          <w:rFonts w:ascii="Arial" w:hAnsi="Arial" w:cs="Arial"/>
          <w:b/>
          <w:bCs/>
          <w:sz w:val="28"/>
          <w:szCs w:val="28"/>
        </w:rPr>
        <w:t xml:space="preserve"> </w:t>
      </w:r>
    </w:p>
    <w:p w14:paraId="123944DF" w14:textId="77777777" w:rsidR="00E77831" w:rsidRDefault="00000000">
      <w:pPr>
        <w:spacing w:line="360" w:lineRule="auto"/>
        <w:rPr>
          <w:rFonts w:ascii="Arial" w:hAnsi="Arial" w:cs="Arial"/>
          <w:sz w:val="24"/>
          <w:szCs w:val="24"/>
        </w:rPr>
      </w:pPr>
      <w:r>
        <w:rPr>
          <w:rFonts w:ascii="Arial" w:hAnsi="Arial" w:cs="Arial"/>
          <w:sz w:val="24"/>
          <w:szCs w:val="24"/>
        </w:rPr>
        <w:t>This is a secondary study using a mixed method of qualitative and quantitative approaches focusing on analyzing the role of a green Marketing mix strategy by Toyota to achieve a sustainable competitive advantage. It involves content data Analysis providing information about the Marketing strategies of Toyota in the UK, the Green Marketing mix strategy of Toyota in the UK, challenges and opportunities faced by it, and includes external factors affecting the Toyota marketing strategy in the UK.</w:t>
      </w:r>
    </w:p>
    <w:p w14:paraId="3A13D76F" w14:textId="77777777" w:rsidR="00E77831" w:rsidRDefault="00000000">
      <w:pPr>
        <w:spacing w:line="360" w:lineRule="auto"/>
        <w:rPr>
          <w:rFonts w:ascii="Arial" w:hAnsi="Arial" w:cs="Arial"/>
          <w:sz w:val="24"/>
          <w:szCs w:val="24"/>
        </w:rPr>
      </w:pPr>
      <w:r>
        <w:rPr>
          <w:rFonts w:ascii="Arial" w:hAnsi="Arial" w:cs="Arial"/>
          <w:sz w:val="24"/>
          <w:szCs w:val="24"/>
        </w:rPr>
        <w:t>It explains the role of green marketing in achieving a sustainable competitive advantage through Differentiation and cost - reduction. However, there was a drawback in the study as it lacks a review from the customers of Toyota UK which measures customer satisfaction and loyalty. It provides less information about customer satisfaction and customer reviews upon the marketing of Toyota GB in the UK.</w:t>
      </w:r>
    </w:p>
    <w:p w14:paraId="263C8E8C" w14:textId="668F1E74" w:rsidR="00E77831" w:rsidRDefault="00000000">
      <w:pPr>
        <w:spacing w:line="360" w:lineRule="auto"/>
        <w:rPr>
          <w:rFonts w:ascii="Arial" w:hAnsi="Arial" w:cs="Arial"/>
          <w:b/>
          <w:bCs/>
          <w:sz w:val="28"/>
          <w:szCs w:val="28"/>
        </w:rPr>
      </w:pPr>
      <w:r>
        <w:rPr>
          <w:rFonts w:ascii="Arial" w:hAnsi="Arial" w:cs="Arial"/>
          <w:b/>
          <w:bCs/>
          <w:sz w:val="28"/>
          <w:szCs w:val="28"/>
        </w:rPr>
        <w:lastRenderedPageBreak/>
        <w:t>5.5 - Recommendation for the Future work</w:t>
      </w:r>
      <w:r w:rsidR="00733FCF">
        <w:rPr>
          <w:rFonts w:ascii="Arial" w:hAnsi="Arial" w:cs="Arial"/>
          <w:b/>
          <w:bCs/>
          <w:sz w:val="28"/>
          <w:szCs w:val="28"/>
        </w:rPr>
        <w:t>:</w:t>
      </w:r>
      <w:r>
        <w:rPr>
          <w:rFonts w:ascii="Arial" w:hAnsi="Arial" w:cs="Arial"/>
          <w:b/>
          <w:bCs/>
          <w:sz w:val="28"/>
          <w:szCs w:val="28"/>
        </w:rPr>
        <w:t xml:space="preserve"> </w:t>
      </w:r>
    </w:p>
    <w:p w14:paraId="7C3566CC" w14:textId="77777777" w:rsidR="00E77831" w:rsidRDefault="00000000">
      <w:pPr>
        <w:spacing w:line="360" w:lineRule="auto"/>
        <w:rPr>
          <w:rFonts w:ascii="Arial" w:hAnsi="Arial" w:cs="Arial"/>
          <w:sz w:val="24"/>
          <w:szCs w:val="24"/>
        </w:rPr>
      </w:pPr>
      <w:r>
        <w:rPr>
          <w:rFonts w:ascii="Arial" w:hAnsi="Arial" w:cs="Arial"/>
          <w:sz w:val="24"/>
          <w:szCs w:val="24"/>
        </w:rPr>
        <w:t>This study mainly focused on Analyzing the marketing strategies and marketing position of Toyota in the UK. It aims to address the role of a green Marketing mix strategy to achieve a sustainable competitive advantage. It lacks information about customer reviews and customer satisfaction.</w:t>
      </w:r>
    </w:p>
    <w:p w14:paraId="27B5AD6D" w14:textId="77777777" w:rsidR="00E77831" w:rsidRDefault="00000000">
      <w:pPr>
        <w:spacing w:line="360" w:lineRule="auto"/>
        <w:rPr>
          <w:rFonts w:ascii="Arial" w:hAnsi="Arial" w:cs="Arial"/>
          <w:sz w:val="24"/>
          <w:szCs w:val="24"/>
        </w:rPr>
      </w:pPr>
      <w:r>
        <w:rPr>
          <w:rFonts w:ascii="Arial" w:hAnsi="Arial" w:cs="Arial"/>
          <w:sz w:val="24"/>
          <w:szCs w:val="24"/>
        </w:rPr>
        <w:t>Thus, Empirical research was considered in the future to study the role of customers in enhancing the business performance of Toyota in the UK. Future research on the study of the Role of human resource management in managing the green Marketing and Toyota production system in the UK.</w:t>
      </w:r>
    </w:p>
    <w:p w14:paraId="7FCAF840" w14:textId="77777777" w:rsidR="00E77831" w:rsidRDefault="00000000">
      <w:pPr>
        <w:spacing w:line="360" w:lineRule="auto"/>
        <w:rPr>
          <w:rFonts w:ascii="Arial" w:hAnsi="Arial" w:cs="Arial"/>
          <w:sz w:val="24"/>
          <w:szCs w:val="24"/>
        </w:rPr>
      </w:pPr>
      <w:r>
        <w:rPr>
          <w:rFonts w:ascii="Arial" w:hAnsi="Arial" w:cs="Arial"/>
          <w:sz w:val="24"/>
          <w:szCs w:val="24"/>
        </w:rPr>
        <w:t>The study on the comparison between the green manufacturing of Japan and the UK the Toyota manufacturing organization is helpful in future work to address the strengths and weaknesses of Toyota company in both the country.</w:t>
      </w:r>
    </w:p>
    <w:p w14:paraId="3AA50FFC" w14:textId="77777777" w:rsidR="004F0A7F" w:rsidRDefault="004F0A7F" w:rsidP="00CE60BE">
      <w:pPr>
        <w:rPr>
          <w:rFonts w:ascii="Arial" w:hAnsi="Arial" w:cs="Arial"/>
          <w:b/>
          <w:bCs/>
          <w:sz w:val="28"/>
          <w:szCs w:val="28"/>
        </w:rPr>
      </w:pPr>
    </w:p>
    <w:p w14:paraId="15DD95A5" w14:textId="77777777" w:rsidR="004F0A7F" w:rsidRDefault="004F0A7F" w:rsidP="00CE60BE">
      <w:pPr>
        <w:rPr>
          <w:rFonts w:ascii="Arial" w:hAnsi="Arial" w:cs="Arial"/>
          <w:b/>
          <w:bCs/>
          <w:sz w:val="28"/>
          <w:szCs w:val="28"/>
        </w:rPr>
      </w:pPr>
    </w:p>
    <w:p w14:paraId="725A367D" w14:textId="77777777" w:rsidR="004F0A7F" w:rsidRDefault="004F0A7F" w:rsidP="00CE60BE">
      <w:pPr>
        <w:rPr>
          <w:rFonts w:ascii="Arial" w:hAnsi="Arial" w:cs="Arial"/>
          <w:b/>
          <w:bCs/>
          <w:sz w:val="28"/>
          <w:szCs w:val="28"/>
        </w:rPr>
      </w:pPr>
    </w:p>
    <w:p w14:paraId="57B83270" w14:textId="77777777" w:rsidR="004F0A7F" w:rsidRDefault="004F0A7F" w:rsidP="00CE60BE">
      <w:pPr>
        <w:rPr>
          <w:rFonts w:ascii="Arial" w:hAnsi="Arial" w:cs="Arial"/>
          <w:b/>
          <w:bCs/>
          <w:sz w:val="28"/>
          <w:szCs w:val="28"/>
        </w:rPr>
      </w:pPr>
    </w:p>
    <w:p w14:paraId="05B0C643" w14:textId="77777777" w:rsidR="004F0A7F" w:rsidRDefault="004F0A7F" w:rsidP="00CE60BE">
      <w:pPr>
        <w:rPr>
          <w:rFonts w:ascii="Arial" w:hAnsi="Arial" w:cs="Arial"/>
          <w:b/>
          <w:bCs/>
          <w:sz w:val="28"/>
          <w:szCs w:val="28"/>
        </w:rPr>
      </w:pPr>
    </w:p>
    <w:p w14:paraId="0628A618" w14:textId="77777777" w:rsidR="004F0A7F" w:rsidRDefault="004F0A7F" w:rsidP="00CE60BE">
      <w:pPr>
        <w:rPr>
          <w:rFonts w:ascii="Arial" w:hAnsi="Arial" w:cs="Arial"/>
          <w:b/>
          <w:bCs/>
          <w:sz w:val="28"/>
          <w:szCs w:val="28"/>
        </w:rPr>
      </w:pPr>
    </w:p>
    <w:p w14:paraId="0D1C6936" w14:textId="77777777" w:rsidR="004F0A7F" w:rsidRDefault="004F0A7F" w:rsidP="00CE60BE">
      <w:pPr>
        <w:rPr>
          <w:rFonts w:ascii="Arial" w:hAnsi="Arial" w:cs="Arial"/>
          <w:b/>
          <w:bCs/>
          <w:sz w:val="28"/>
          <w:szCs w:val="28"/>
        </w:rPr>
      </w:pPr>
    </w:p>
    <w:p w14:paraId="24377305" w14:textId="77777777" w:rsidR="004F0A7F" w:rsidRDefault="004F0A7F" w:rsidP="00CE60BE">
      <w:pPr>
        <w:rPr>
          <w:rFonts w:ascii="Arial" w:hAnsi="Arial" w:cs="Arial"/>
          <w:b/>
          <w:bCs/>
          <w:sz w:val="28"/>
          <w:szCs w:val="28"/>
        </w:rPr>
      </w:pPr>
    </w:p>
    <w:p w14:paraId="1F7687A1" w14:textId="77777777" w:rsidR="004F0A7F" w:rsidRDefault="004F0A7F" w:rsidP="00CE60BE">
      <w:pPr>
        <w:rPr>
          <w:rFonts w:ascii="Arial" w:hAnsi="Arial" w:cs="Arial"/>
          <w:b/>
          <w:bCs/>
          <w:sz w:val="28"/>
          <w:szCs w:val="28"/>
        </w:rPr>
      </w:pPr>
    </w:p>
    <w:p w14:paraId="5FEFA0C2" w14:textId="77777777" w:rsidR="004F0A7F" w:rsidRDefault="004F0A7F" w:rsidP="00CE60BE">
      <w:pPr>
        <w:rPr>
          <w:rFonts w:ascii="Arial" w:hAnsi="Arial" w:cs="Arial"/>
          <w:b/>
          <w:bCs/>
          <w:sz w:val="28"/>
          <w:szCs w:val="28"/>
        </w:rPr>
      </w:pPr>
    </w:p>
    <w:p w14:paraId="53911832" w14:textId="77777777" w:rsidR="004F0A7F" w:rsidRDefault="004F0A7F" w:rsidP="00CE60BE">
      <w:pPr>
        <w:rPr>
          <w:rFonts w:ascii="Arial" w:hAnsi="Arial" w:cs="Arial"/>
          <w:b/>
          <w:bCs/>
          <w:sz w:val="28"/>
          <w:szCs w:val="28"/>
        </w:rPr>
      </w:pPr>
    </w:p>
    <w:p w14:paraId="188C9A67" w14:textId="77777777" w:rsidR="004F0A7F" w:rsidRDefault="004F0A7F" w:rsidP="00CE60BE">
      <w:pPr>
        <w:rPr>
          <w:rFonts w:ascii="Arial" w:hAnsi="Arial" w:cs="Arial"/>
          <w:b/>
          <w:bCs/>
          <w:sz w:val="28"/>
          <w:szCs w:val="28"/>
        </w:rPr>
      </w:pPr>
    </w:p>
    <w:p w14:paraId="1CEEE532" w14:textId="77777777" w:rsidR="004F0A7F" w:rsidRDefault="004F0A7F" w:rsidP="00CE60BE">
      <w:pPr>
        <w:rPr>
          <w:rFonts w:ascii="Arial" w:hAnsi="Arial" w:cs="Arial"/>
          <w:b/>
          <w:bCs/>
          <w:sz w:val="28"/>
          <w:szCs w:val="28"/>
        </w:rPr>
      </w:pPr>
    </w:p>
    <w:p w14:paraId="66B0EDB7" w14:textId="77777777" w:rsidR="004F0A7F" w:rsidRDefault="004F0A7F" w:rsidP="00CE60BE">
      <w:pPr>
        <w:rPr>
          <w:rFonts w:ascii="Arial" w:hAnsi="Arial" w:cs="Arial"/>
          <w:b/>
          <w:bCs/>
          <w:sz w:val="28"/>
          <w:szCs w:val="28"/>
        </w:rPr>
      </w:pPr>
    </w:p>
    <w:p w14:paraId="4B588647" w14:textId="13DB7F57" w:rsidR="00D46016" w:rsidRPr="00CE60BE" w:rsidRDefault="00000000" w:rsidP="00CE60BE">
      <w:pPr>
        <w:rPr>
          <w:rFonts w:ascii="Arial" w:hAnsi="Arial" w:cs="Arial"/>
          <w:b/>
          <w:bCs/>
          <w:sz w:val="28"/>
          <w:szCs w:val="28"/>
        </w:rPr>
      </w:pPr>
      <w:r>
        <w:rPr>
          <w:rFonts w:ascii="Arial" w:hAnsi="Arial" w:cs="Arial"/>
          <w:b/>
          <w:bCs/>
          <w:sz w:val="28"/>
          <w:szCs w:val="28"/>
        </w:rPr>
        <w:lastRenderedPageBreak/>
        <w:t>Reference</w:t>
      </w:r>
      <w:r w:rsidR="00D23C2E">
        <w:rPr>
          <w:rFonts w:ascii="Arial" w:hAnsi="Arial" w:cs="Arial"/>
          <w:b/>
          <w:bCs/>
          <w:sz w:val="28"/>
          <w:szCs w:val="28"/>
        </w:rPr>
        <w:t>s</w:t>
      </w:r>
      <w:r w:rsidR="00D46016">
        <w:rPr>
          <w:rFonts w:ascii="Arial" w:hAnsi="Arial" w:cs="Arial"/>
        </w:rPr>
        <w:t xml:space="preserve"> </w:t>
      </w:r>
    </w:p>
    <w:p w14:paraId="6BC4C8FC" w14:textId="1A2329CA" w:rsidR="004A7D49" w:rsidRDefault="00D46016" w:rsidP="004A7D49">
      <w:pPr>
        <w:pStyle w:val="NormalWeb"/>
        <w:numPr>
          <w:ilvl w:val="0"/>
          <w:numId w:val="1"/>
        </w:numPr>
        <w:rPr>
          <w:rFonts w:ascii="Arial" w:hAnsi="Arial" w:cs="Arial"/>
        </w:rPr>
      </w:pPr>
      <w:r w:rsidRPr="004A7D49">
        <w:rPr>
          <w:rFonts w:ascii="Arial" w:hAnsi="Arial" w:cs="Arial"/>
        </w:rPr>
        <w:t xml:space="preserve">Ahammad, R. (2012) </w:t>
      </w:r>
      <w:r w:rsidRPr="004A7D49">
        <w:rPr>
          <w:rFonts w:ascii="Arial" w:hAnsi="Arial" w:cs="Arial"/>
          <w:i/>
          <w:iCs/>
        </w:rPr>
        <w:t xml:space="preserve">(PDF) Green Pricing - </w:t>
      </w:r>
      <w:proofErr w:type="spellStart"/>
      <w:r w:rsidRPr="004A7D49">
        <w:rPr>
          <w:rFonts w:ascii="Arial" w:hAnsi="Arial" w:cs="Arial"/>
          <w:i/>
          <w:iCs/>
        </w:rPr>
        <w:t>Researchgate</w:t>
      </w:r>
      <w:proofErr w:type="spellEnd"/>
      <w:r w:rsidRPr="004A7D49">
        <w:rPr>
          <w:rFonts w:ascii="Arial" w:hAnsi="Arial" w:cs="Arial"/>
        </w:rPr>
        <w:t xml:space="preserve">. Available at: https://www.researchgate.net/publication/315814459_Green_Pricing (Accessed: 22 November 2023). </w:t>
      </w:r>
    </w:p>
    <w:p w14:paraId="6FAA6DDD" w14:textId="77777777" w:rsidR="004A7D49" w:rsidRPr="004A7D49" w:rsidRDefault="004A7D49" w:rsidP="004A7D49">
      <w:pPr>
        <w:pStyle w:val="NormalWeb"/>
        <w:ind w:left="360"/>
        <w:rPr>
          <w:rFonts w:ascii="Arial" w:hAnsi="Arial" w:cs="Arial"/>
        </w:rPr>
      </w:pPr>
    </w:p>
    <w:p w14:paraId="7845C278" w14:textId="2E865BA9" w:rsidR="00D46016" w:rsidRPr="004A7D49" w:rsidRDefault="00D46016" w:rsidP="00D46016">
      <w:pPr>
        <w:pStyle w:val="NormalWeb"/>
        <w:numPr>
          <w:ilvl w:val="0"/>
          <w:numId w:val="1"/>
        </w:numPr>
        <w:rPr>
          <w:rFonts w:ascii="Arial" w:hAnsi="Arial" w:cs="Arial"/>
        </w:rPr>
      </w:pPr>
      <w:r w:rsidRPr="004A7D49">
        <w:rPr>
          <w:rFonts w:ascii="Arial" w:hAnsi="Arial" w:cs="Arial"/>
          <w:color w:val="222222"/>
          <w:shd w:val="clear" w:color="auto" w:fill="FFFFFF"/>
        </w:rPr>
        <w:t>Allera, G., 2022. Similarities and differences of entry strategies of international automotive companies in host developed and developing countries: the case of Toyota in USA, the UK, Indonesia, and China.</w:t>
      </w:r>
    </w:p>
    <w:p w14:paraId="3FF29F9C" w14:textId="77777777" w:rsidR="00D46016" w:rsidRPr="004A7D49" w:rsidRDefault="00D46016" w:rsidP="00D46016">
      <w:pPr>
        <w:pStyle w:val="NormalWeb"/>
        <w:ind w:left="720"/>
        <w:rPr>
          <w:rFonts w:ascii="Arial" w:hAnsi="Arial" w:cs="Arial"/>
        </w:rPr>
      </w:pPr>
    </w:p>
    <w:p w14:paraId="4A800206" w14:textId="3C2199E4" w:rsidR="00D46016" w:rsidRPr="004A7D49" w:rsidRDefault="00D46016" w:rsidP="004A7D49">
      <w:pPr>
        <w:pStyle w:val="ListParagraph"/>
        <w:numPr>
          <w:ilvl w:val="0"/>
          <w:numId w:val="1"/>
        </w:numPr>
        <w:spacing w:before="100" w:beforeAutospacing="1" w:after="100" w:afterAutospacing="1" w:line="240" w:lineRule="auto"/>
        <w:rPr>
          <w:rFonts w:ascii="Arial" w:eastAsia="Times New Roman" w:hAnsi="Arial" w:cs="Arial"/>
          <w:kern w:val="0"/>
          <w:sz w:val="24"/>
          <w:szCs w:val="24"/>
          <w14:ligatures w14:val="none"/>
        </w:rPr>
      </w:pPr>
      <w:r w:rsidRPr="004A7D49">
        <w:rPr>
          <w:rFonts w:ascii="Arial" w:eastAsia="Times New Roman" w:hAnsi="Arial" w:cs="Arial"/>
          <w:i/>
          <w:iCs/>
          <w:kern w:val="0"/>
          <w:sz w:val="24"/>
          <w:szCs w:val="24"/>
          <w14:ligatures w14:val="none"/>
        </w:rPr>
        <w:t>Amy Luo</w:t>
      </w:r>
      <w:r w:rsidRPr="004A7D49">
        <w:rPr>
          <w:rFonts w:ascii="Arial" w:eastAsia="Times New Roman" w:hAnsi="Arial" w:cs="Arial"/>
          <w:kern w:val="0"/>
          <w:sz w:val="24"/>
          <w:szCs w:val="24"/>
          <w14:ligatures w14:val="none"/>
        </w:rPr>
        <w:t xml:space="preserve"> (no date) </w:t>
      </w:r>
      <w:proofErr w:type="spellStart"/>
      <w:r w:rsidRPr="004A7D49">
        <w:rPr>
          <w:rFonts w:ascii="Arial" w:eastAsia="Times New Roman" w:hAnsi="Arial" w:cs="Arial"/>
          <w:i/>
          <w:iCs/>
          <w:kern w:val="0"/>
          <w:sz w:val="24"/>
          <w:szCs w:val="24"/>
          <w14:ligatures w14:val="none"/>
        </w:rPr>
        <w:t>Scribbr</w:t>
      </w:r>
      <w:proofErr w:type="spellEnd"/>
      <w:r w:rsidRPr="004A7D49">
        <w:rPr>
          <w:rFonts w:ascii="Arial" w:eastAsia="Times New Roman" w:hAnsi="Arial" w:cs="Arial"/>
          <w:kern w:val="0"/>
          <w:sz w:val="24"/>
          <w:szCs w:val="24"/>
          <w14:ligatures w14:val="none"/>
        </w:rPr>
        <w:t xml:space="preserve">. Available at: https://www.scribbr.com/author/amyluo/#:~:text=Content%20analysis%20is%20a%20research,Speeches%20and%20interviews (Accessed: 30 December 2023). </w:t>
      </w:r>
    </w:p>
    <w:p w14:paraId="7A945BAD" w14:textId="1FB5BFF7" w:rsidR="00D46016" w:rsidRPr="004A7D49" w:rsidRDefault="00D46016" w:rsidP="00D46016">
      <w:pPr>
        <w:pStyle w:val="NormalWeb"/>
        <w:numPr>
          <w:ilvl w:val="0"/>
          <w:numId w:val="1"/>
        </w:numPr>
        <w:rPr>
          <w:rFonts w:ascii="Arial" w:hAnsi="Arial" w:cs="Arial"/>
        </w:rPr>
      </w:pPr>
      <w:r w:rsidRPr="004A7D49">
        <w:rPr>
          <w:rFonts w:ascii="Arial" w:hAnsi="Arial" w:cs="Arial"/>
        </w:rPr>
        <w:t xml:space="preserve">Andersson, I. (2016) ‘“green cities” going greener? local environmental </w:t>
      </w:r>
      <w:proofErr w:type="gramStart"/>
      <w:r w:rsidRPr="004A7D49">
        <w:rPr>
          <w:rFonts w:ascii="Arial" w:hAnsi="Arial" w:cs="Arial"/>
        </w:rPr>
        <w:t>policy-making</w:t>
      </w:r>
      <w:proofErr w:type="gramEnd"/>
      <w:r w:rsidRPr="004A7D49">
        <w:rPr>
          <w:rFonts w:ascii="Arial" w:hAnsi="Arial" w:cs="Arial"/>
        </w:rPr>
        <w:t xml:space="preserve"> and place branding in the “greenest city in Europe”’, </w:t>
      </w:r>
      <w:r w:rsidRPr="004A7D49">
        <w:rPr>
          <w:rFonts w:ascii="Arial" w:hAnsi="Arial" w:cs="Arial"/>
          <w:i/>
          <w:iCs/>
        </w:rPr>
        <w:t>European Planning Studies</w:t>
      </w:r>
      <w:r w:rsidRPr="004A7D49">
        <w:rPr>
          <w:rFonts w:ascii="Arial" w:hAnsi="Arial" w:cs="Arial"/>
        </w:rPr>
        <w:t>, 24(6), pp. 1197–1215. doi:10.1080/09654313.2016.1152233.</w:t>
      </w:r>
    </w:p>
    <w:p w14:paraId="719CB994" w14:textId="77777777" w:rsidR="00D46016" w:rsidRPr="004A7D49" w:rsidRDefault="00D46016" w:rsidP="00D46016">
      <w:pPr>
        <w:pStyle w:val="NormalWeb"/>
        <w:ind w:left="720"/>
        <w:rPr>
          <w:rFonts w:ascii="Arial" w:hAnsi="Arial" w:cs="Arial"/>
        </w:rPr>
      </w:pPr>
    </w:p>
    <w:p w14:paraId="0BDA39E3" w14:textId="77777777" w:rsidR="00D46016" w:rsidRPr="004A7D49" w:rsidRDefault="00D46016">
      <w:pPr>
        <w:pStyle w:val="NormalWeb"/>
        <w:numPr>
          <w:ilvl w:val="0"/>
          <w:numId w:val="1"/>
        </w:numPr>
        <w:rPr>
          <w:rFonts w:ascii="Arial" w:hAnsi="Arial" w:cs="Arial"/>
        </w:rPr>
      </w:pPr>
      <w:r w:rsidRPr="004A7D49">
        <w:rPr>
          <w:rFonts w:ascii="Arial" w:hAnsi="Arial" w:cs="Arial"/>
          <w:color w:val="222222"/>
          <w:shd w:val="clear" w:color="auto" w:fill="FFFFFF"/>
        </w:rPr>
        <w:t>Arseculeratne, D. and Yazdanifard, R., 2014. How green marketing can create a sustainable competitive advantage for a business. </w:t>
      </w:r>
      <w:r w:rsidRPr="004A7D49">
        <w:rPr>
          <w:rFonts w:ascii="Arial" w:hAnsi="Arial" w:cs="Arial"/>
          <w:i/>
          <w:iCs/>
          <w:color w:val="222222"/>
          <w:shd w:val="clear" w:color="auto" w:fill="FFFFFF"/>
        </w:rPr>
        <w:t>International business research</w:t>
      </w:r>
      <w:r w:rsidRPr="004A7D49">
        <w:rPr>
          <w:rFonts w:ascii="Arial" w:hAnsi="Arial" w:cs="Arial"/>
          <w:color w:val="222222"/>
          <w:shd w:val="clear" w:color="auto" w:fill="FFFFFF"/>
        </w:rPr>
        <w:t>, </w:t>
      </w:r>
      <w:r w:rsidRPr="004A7D49">
        <w:rPr>
          <w:rFonts w:ascii="Arial" w:hAnsi="Arial" w:cs="Arial"/>
          <w:i/>
          <w:iCs/>
          <w:color w:val="222222"/>
          <w:shd w:val="clear" w:color="auto" w:fill="FFFFFF"/>
        </w:rPr>
        <w:t>7</w:t>
      </w:r>
      <w:r w:rsidRPr="004A7D49">
        <w:rPr>
          <w:rFonts w:ascii="Arial" w:hAnsi="Arial" w:cs="Arial"/>
          <w:color w:val="222222"/>
          <w:shd w:val="clear" w:color="auto" w:fill="FFFFFF"/>
        </w:rPr>
        <w:t>(1), p.130.</w:t>
      </w:r>
    </w:p>
    <w:p w14:paraId="1E74DF6A" w14:textId="77777777" w:rsidR="00D46016" w:rsidRPr="004A7D49" w:rsidRDefault="00D46016" w:rsidP="00D46016">
      <w:pPr>
        <w:pStyle w:val="NormalWeb"/>
        <w:rPr>
          <w:rFonts w:ascii="Arial" w:hAnsi="Arial" w:cs="Arial"/>
        </w:rPr>
      </w:pPr>
    </w:p>
    <w:p w14:paraId="4DEB6F7D" w14:textId="77777777" w:rsidR="00D46016" w:rsidRPr="004A7D49" w:rsidRDefault="00D46016">
      <w:pPr>
        <w:pStyle w:val="NormalWeb"/>
        <w:numPr>
          <w:ilvl w:val="0"/>
          <w:numId w:val="1"/>
        </w:numPr>
        <w:rPr>
          <w:rFonts w:ascii="Arial" w:hAnsi="Arial" w:cs="Arial"/>
        </w:rPr>
      </w:pPr>
      <w:r w:rsidRPr="004A7D49">
        <w:rPr>
          <w:rFonts w:ascii="Arial" w:hAnsi="Arial" w:cs="Arial"/>
        </w:rPr>
        <w:t xml:space="preserve">Ball, P.D. </w:t>
      </w:r>
      <w:r w:rsidRPr="004A7D49">
        <w:rPr>
          <w:rFonts w:ascii="Arial" w:hAnsi="Arial" w:cs="Arial"/>
          <w:i/>
          <w:iCs/>
        </w:rPr>
        <w:t>et al.</w:t>
      </w:r>
      <w:r w:rsidRPr="004A7D49">
        <w:rPr>
          <w:rFonts w:ascii="Arial" w:hAnsi="Arial" w:cs="Arial"/>
        </w:rPr>
        <w:t xml:space="preserve"> (2009) ‘Zero carbon manufacturing facility — towards integrating material, energy, and waste process flows’, </w:t>
      </w:r>
      <w:r w:rsidRPr="004A7D49">
        <w:rPr>
          <w:rFonts w:ascii="Arial" w:hAnsi="Arial" w:cs="Arial"/>
          <w:i/>
          <w:iCs/>
        </w:rPr>
        <w:t>Proceedings of the Institution of Mechanical Engineers, Part B: Journal of Engineering Manufacture</w:t>
      </w:r>
      <w:r w:rsidRPr="004A7D49">
        <w:rPr>
          <w:rFonts w:ascii="Arial" w:hAnsi="Arial" w:cs="Arial"/>
        </w:rPr>
        <w:t>, 223(9), pp. 1085–1096. doi:10.1243/09544054jem1357.</w:t>
      </w:r>
    </w:p>
    <w:p w14:paraId="074CF211" w14:textId="77777777" w:rsidR="00D46016" w:rsidRPr="004A7D49" w:rsidRDefault="00D46016" w:rsidP="00D46016">
      <w:pPr>
        <w:pStyle w:val="NormalWeb"/>
        <w:rPr>
          <w:rFonts w:ascii="Arial" w:hAnsi="Arial" w:cs="Arial"/>
        </w:rPr>
      </w:pPr>
    </w:p>
    <w:p w14:paraId="5C20E6D3" w14:textId="77777777" w:rsidR="00D46016" w:rsidRPr="004A7D49" w:rsidRDefault="00D46016">
      <w:pPr>
        <w:pStyle w:val="NormalWeb"/>
        <w:numPr>
          <w:ilvl w:val="0"/>
          <w:numId w:val="1"/>
        </w:numPr>
        <w:rPr>
          <w:rFonts w:ascii="Arial" w:hAnsi="Arial" w:cs="Arial"/>
        </w:rPr>
      </w:pPr>
      <w:r w:rsidRPr="004A7D49">
        <w:rPr>
          <w:rFonts w:ascii="Arial" w:hAnsi="Arial" w:cs="Arial"/>
          <w:color w:val="222222"/>
          <w:shd w:val="clear" w:color="auto" w:fill="FFFFFF"/>
        </w:rPr>
        <w:t xml:space="preserve">Baroto, M.B. and Abdullah, M.M.B., 2011. The application of cost, </w:t>
      </w:r>
      <w:proofErr w:type="gramStart"/>
      <w:r w:rsidRPr="004A7D49">
        <w:rPr>
          <w:rFonts w:ascii="Arial" w:hAnsi="Arial" w:cs="Arial"/>
          <w:color w:val="222222"/>
          <w:shd w:val="clear" w:color="auto" w:fill="FFFFFF"/>
        </w:rPr>
        <w:t>differentiation</w:t>
      </w:r>
      <w:proofErr w:type="gramEnd"/>
      <w:r w:rsidRPr="004A7D49">
        <w:rPr>
          <w:rFonts w:ascii="Arial" w:hAnsi="Arial" w:cs="Arial"/>
          <w:color w:val="222222"/>
          <w:shd w:val="clear" w:color="auto" w:fill="FFFFFF"/>
        </w:rPr>
        <w:t xml:space="preserve"> and hybrid strategy in business operations: Will hybrid strategy become the new competitive strategy. </w:t>
      </w:r>
      <w:r w:rsidRPr="004A7D49">
        <w:rPr>
          <w:rFonts w:ascii="Arial" w:hAnsi="Arial" w:cs="Arial"/>
          <w:i/>
          <w:iCs/>
          <w:color w:val="222222"/>
          <w:shd w:val="clear" w:color="auto" w:fill="FFFFFF"/>
        </w:rPr>
        <w:t>ICBER 2011 Proceedings</w:t>
      </w:r>
      <w:r w:rsidRPr="004A7D49">
        <w:rPr>
          <w:rFonts w:ascii="Arial" w:hAnsi="Arial" w:cs="Arial"/>
          <w:color w:val="222222"/>
          <w:shd w:val="clear" w:color="auto" w:fill="FFFFFF"/>
        </w:rPr>
        <w:t>, pp.1362-1370.</w:t>
      </w:r>
    </w:p>
    <w:p w14:paraId="6C379798" w14:textId="77777777" w:rsidR="00D46016" w:rsidRPr="004A7D49" w:rsidRDefault="00D46016" w:rsidP="00D46016">
      <w:pPr>
        <w:pStyle w:val="NormalWeb"/>
        <w:rPr>
          <w:rFonts w:ascii="Arial" w:hAnsi="Arial" w:cs="Arial"/>
        </w:rPr>
      </w:pPr>
    </w:p>
    <w:p w14:paraId="75441360" w14:textId="77777777" w:rsidR="00D46016" w:rsidRPr="004A7D49" w:rsidRDefault="00D46016">
      <w:pPr>
        <w:pStyle w:val="NormalWeb"/>
        <w:numPr>
          <w:ilvl w:val="0"/>
          <w:numId w:val="1"/>
        </w:numPr>
        <w:rPr>
          <w:rFonts w:ascii="Arial" w:hAnsi="Arial" w:cs="Arial"/>
        </w:rPr>
      </w:pPr>
      <w:r w:rsidRPr="004A7D49">
        <w:rPr>
          <w:rFonts w:ascii="Arial" w:hAnsi="Arial" w:cs="Arial"/>
          <w:color w:val="222222"/>
          <w:shd w:val="clear" w:color="auto" w:fill="FFFFFF"/>
        </w:rPr>
        <w:t>Baskerville, R. and Pries-Heje, J., 2010. Explanatory design theory. </w:t>
      </w:r>
      <w:r w:rsidRPr="004A7D49">
        <w:rPr>
          <w:rFonts w:ascii="Arial" w:hAnsi="Arial" w:cs="Arial"/>
          <w:i/>
          <w:iCs/>
          <w:color w:val="222222"/>
          <w:shd w:val="clear" w:color="auto" w:fill="FFFFFF"/>
        </w:rPr>
        <w:t>Business &amp; Information Systems Engineering</w:t>
      </w:r>
      <w:r w:rsidRPr="004A7D49">
        <w:rPr>
          <w:rFonts w:ascii="Arial" w:hAnsi="Arial" w:cs="Arial"/>
          <w:color w:val="222222"/>
          <w:shd w:val="clear" w:color="auto" w:fill="FFFFFF"/>
        </w:rPr>
        <w:t>, </w:t>
      </w:r>
      <w:r w:rsidRPr="004A7D49">
        <w:rPr>
          <w:rFonts w:ascii="Arial" w:hAnsi="Arial" w:cs="Arial"/>
          <w:i/>
          <w:iCs/>
          <w:color w:val="222222"/>
          <w:shd w:val="clear" w:color="auto" w:fill="FFFFFF"/>
        </w:rPr>
        <w:t>2</w:t>
      </w:r>
      <w:r w:rsidRPr="004A7D49">
        <w:rPr>
          <w:rFonts w:ascii="Arial" w:hAnsi="Arial" w:cs="Arial"/>
          <w:color w:val="222222"/>
          <w:shd w:val="clear" w:color="auto" w:fill="FFFFFF"/>
        </w:rPr>
        <w:t>, pp.271-282.</w:t>
      </w:r>
    </w:p>
    <w:p w14:paraId="28CF1C52" w14:textId="77777777" w:rsidR="00D46016" w:rsidRPr="004A7D49" w:rsidRDefault="00D46016" w:rsidP="00D46016">
      <w:pPr>
        <w:pStyle w:val="NormalWeb"/>
        <w:rPr>
          <w:rFonts w:ascii="Arial" w:hAnsi="Arial" w:cs="Arial"/>
        </w:rPr>
      </w:pPr>
    </w:p>
    <w:p w14:paraId="4FA84B33" w14:textId="77777777" w:rsidR="00D46016" w:rsidRPr="004A7D49" w:rsidRDefault="00D46016">
      <w:pPr>
        <w:pStyle w:val="NormalWeb"/>
        <w:numPr>
          <w:ilvl w:val="0"/>
          <w:numId w:val="1"/>
        </w:numPr>
        <w:rPr>
          <w:rFonts w:ascii="Arial" w:hAnsi="Arial" w:cs="Arial"/>
        </w:rPr>
      </w:pPr>
      <w:r w:rsidRPr="004A7D49">
        <w:rPr>
          <w:rFonts w:ascii="Arial" w:hAnsi="Arial" w:cs="Arial"/>
        </w:rPr>
        <w:lastRenderedPageBreak/>
        <w:t xml:space="preserve">Basu, D.R. and </w:t>
      </w:r>
      <w:proofErr w:type="spellStart"/>
      <w:r w:rsidRPr="004A7D49">
        <w:rPr>
          <w:rFonts w:ascii="Arial" w:hAnsi="Arial" w:cs="Arial"/>
        </w:rPr>
        <w:t>Miroshnik</w:t>
      </w:r>
      <w:proofErr w:type="spellEnd"/>
      <w:r w:rsidRPr="004A7D49">
        <w:rPr>
          <w:rFonts w:ascii="Arial" w:hAnsi="Arial" w:cs="Arial"/>
        </w:rPr>
        <w:t xml:space="preserve">, V. (1999) ‘Strategic Human Resource Management of Japanese multinationals – a case study of Japanese multinational companies in the UK’, </w:t>
      </w:r>
      <w:r w:rsidRPr="004A7D49">
        <w:rPr>
          <w:rFonts w:ascii="Arial" w:hAnsi="Arial" w:cs="Arial"/>
          <w:i/>
          <w:iCs/>
        </w:rPr>
        <w:t>Journal of Management Development</w:t>
      </w:r>
      <w:r w:rsidRPr="004A7D49">
        <w:rPr>
          <w:rFonts w:ascii="Arial" w:hAnsi="Arial" w:cs="Arial"/>
        </w:rPr>
        <w:t xml:space="preserve">, 18(9), pp. 714–732. doi:10.1108/02621719910300775. </w:t>
      </w:r>
    </w:p>
    <w:p w14:paraId="6529305B" w14:textId="77777777" w:rsidR="00E27AD0" w:rsidRPr="004A7D49" w:rsidRDefault="00E27AD0" w:rsidP="00E27AD0">
      <w:pPr>
        <w:pStyle w:val="NormalWeb"/>
        <w:rPr>
          <w:rFonts w:ascii="Arial" w:hAnsi="Arial" w:cs="Arial"/>
        </w:rPr>
      </w:pPr>
    </w:p>
    <w:p w14:paraId="0659D127" w14:textId="77777777" w:rsidR="00D46016" w:rsidRPr="004A7D49" w:rsidRDefault="00D46016">
      <w:pPr>
        <w:pStyle w:val="NormalWeb"/>
        <w:numPr>
          <w:ilvl w:val="0"/>
          <w:numId w:val="1"/>
        </w:numPr>
        <w:rPr>
          <w:rFonts w:ascii="Arial" w:hAnsi="Arial" w:cs="Arial"/>
        </w:rPr>
      </w:pPr>
      <w:r w:rsidRPr="004A7D49">
        <w:rPr>
          <w:rFonts w:ascii="Arial" w:hAnsi="Arial" w:cs="Arial"/>
        </w:rPr>
        <w:t xml:space="preserve">Batth, V. (no date) </w:t>
      </w:r>
      <w:r w:rsidRPr="004A7D49">
        <w:rPr>
          <w:rFonts w:ascii="Arial" w:hAnsi="Arial" w:cs="Arial"/>
          <w:i/>
          <w:iCs/>
        </w:rPr>
        <w:t xml:space="preserve">Toyota Motor Corporation: Just in time (JIT) management strategy or </w:t>
      </w:r>
      <w:proofErr w:type="gramStart"/>
      <w:r w:rsidRPr="004A7D49">
        <w:rPr>
          <w:rFonts w:ascii="Arial" w:hAnsi="Arial" w:cs="Arial"/>
          <w:i/>
          <w:iCs/>
        </w:rPr>
        <w:t>beyond?</w:t>
      </w:r>
      <w:r w:rsidRPr="004A7D49">
        <w:rPr>
          <w:rFonts w:ascii="Arial" w:hAnsi="Arial" w:cs="Arial"/>
        </w:rPr>
        <w:t>,</w:t>
      </w:r>
      <w:proofErr w:type="gramEnd"/>
      <w:r w:rsidRPr="004A7D49">
        <w:rPr>
          <w:rFonts w:ascii="Arial" w:hAnsi="Arial" w:cs="Arial"/>
        </w:rPr>
        <w:t xml:space="preserve"> </w:t>
      </w:r>
      <w:proofErr w:type="spellStart"/>
      <w:r w:rsidRPr="004A7D49">
        <w:rPr>
          <w:rFonts w:ascii="Arial" w:hAnsi="Arial" w:cs="Arial"/>
          <w:i/>
          <w:iCs/>
        </w:rPr>
        <w:t>toyota</w:t>
      </w:r>
      <w:proofErr w:type="spellEnd"/>
      <w:r w:rsidRPr="004A7D49">
        <w:rPr>
          <w:rFonts w:ascii="Arial" w:hAnsi="Arial" w:cs="Arial"/>
          <w:i/>
          <w:iCs/>
        </w:rPr>
        <w:t xml:space="preserve"> motor </w:t>
      </w:r>
      <w:proofErr w:type="spellStart"/>
      <w:r w:rsidRPr="004A7D49">
        <w:rPr>
          <w:rFonts w:ascii="Arial" w:hAnsi="Arial" w:cs="Arial"/>
          <w:i/>
          <w:iCs/>
        </w:rPr>
        <w:t>corporatiion</w:t>
      </w:r>
      <w:proofErr w:type="spellEnd"/>
      <w:r w:rsidRPr="004A7D49">
        <w:rPr>
          <w:rFonts w:ascii="Arial" w:hAnsi="Arial" w:cs="Arial"/>
        </w:rPr>
        <w:t>. Available at: https://www.researchgate.net/publication/373337402_Toyota_Motor_Corporation_Just_in_Time_JIT_Management_Strategy_or_Beyond (Accessed: 22 November 2023).</w:t>
      </w:r>
    </w:p>
    <w:p w14:paraId="37E032C6" w14:textId="77777777" w:rsidR="00E27AD0" w:rsidRPr="004A7D49" w:rsidRDefault="00E27AD0" w:rsidP="00E27AD0">
      <w:pPr>
        <w:pStyle w:val="NormalWeb"/>
        <w:rPr>
          <w:rFonts w:ascii="Arial" w:hAnsi="Arial" w:cs="Arial"/>
        </w:rPr>
      </w:pPr>
    </w:p>
    <w:p w14:paraId="3EB96EAE" w14:textId="77777777" w:rsidR="00D46016" w:rsidRPr="004A7D49" w:rsidRDefault="00D46016">
      <w:pPr>
        <w:pStyle w:val="NormalWeb"/>
        <w:numPr>
          <w:ilvl w:val="0"/>
          <w:numId w:val="1"/>
        </w:numPr>
        <w:rPr>
          <w:rFonts w:ascii="Arial" w:hAnsi="Arial" w:cs="Arial"/>
        </w:rPr>
      </w:pPr>
      <w:r w:rsidRPr="004A7D49">
        <w:rPr>
          <w:rFonts w:ascii="Arial" w:hAnsi="Arial" w:cs="Arial"/>
        </w:rPr>
        <w:t xml:space="preserve">Baulkaran, V. (2019) ‘Stock market reaction to green bond issuance’, </w:t>
      </w:r>
      <w:r w:rsidRPr="004A7D49">
        <w:rPr>
          <w:rFonts w:ascii="Arial" w:hAnsi="Arial" w:cs="Arial"/>
          <w:i/>
          <w:iCs/>
        </w:rPr>
        <w:t>Journal of Asset Management</w:t>
      </w:r>
      <w:r w:rsidRPr="004A7D49">
        <w:rPr>
          <w:rFonts w:ascii="Arial" w:hAnsi="Arial" w:cs="Arial"/>
        </w:rPr>
        <w:t xml:space="preserve">, 20(5), pp. 331–340. doi:10.1057/s41260-018-00105-1. </w:t>
      </w:r>
    </w:p>
    <w:p w14:paraId="2C2DC682" w14:textId="77777777" w:rsidR="00E27AD0" w:rsidRPr="004A7D49" w:rsidRDefault="00E27AD0" w:rsidP="00E27AD0">
      <w:pPr>
        <w:pStyle w:val="NormalWeb"/>
        <w:rPr>
          <w:rFonts w:ascii="Arial" w:hAnsi="Arial" w:cs="Arial"/>
        </w:rPr>
      </w:pPr>
    </w:p>
    <w:p w14:paraId="6AD7D4D0" w14:textId="77777777" w:rsidR="00D46016" w:rsidRPr="004A7D49" w:rsidRDefault="00D46016">
      <w:pPr>
        <w:pStyle w:val="NormalWeb"/>
        <w:numPr>
          <w:ilvl w:val="0"/>
          <w:numId w:val="1"/>
        </w:numPr>
        <w:rPr>
          <w:rFonts w:ascii="Arial" w:hAnsi="Arial" w:cs="Arial"/>
        </w:rPr>
      </w:pPr>
      <w:r w:rsidRPr="004A7D49">
        <w:rPr>
          <w:rFonts w:ascii="Arial" w:hAnsi="Arial" w:cs="Arial"/>
          <w:color w:val="222222"/>
          <w:shd w:val="clear" w:color="auto" w:fill="FFFFFF"/>
        </w:rPr>
        <w:t xml:space="preserve">Besbes, W., </w:t>
      </w:r>
      <w:proofErr w:type="spellStart"/>
      <w:r w:rsidRPr="004A7D49">
        <w:rPr>
          <w:rFonts w:ascii="Arial" w:hAnsi="Arial" w:cs="Arial"/>
          <w:color w:val="222222"/>
          <w:shd w:val="clear" w:color="auto" w:fill="FFFFFF"/>
        </w:rPr>
        <w:t>Dhouib</w:t>
      </w:r>
      <w:proofErr w:type="spellEnd"/>
      <w:r w:rsidRPr="004A7D49">
        <w:rPr>
          <w:rFonts w:ascii="Arial" w:hAnsi="Arial" w:cs="Arial"/>
          <w:color w:val="222222"/>
          <w:shd w:val="clear" w:color="auto" w:fill="FFFFFF"/>
        </w:rPr>
        <w:t xml:space="preserve">, D., Wassan, N. and </w:t>
      </w:r>
      <w:proofErr w:type="spellStart"/>
      <w:r w:rsidRPr="004A7D49">
        <w:rPr>
          <w:rFonts w:ascii="Arial" w:hAnsi="Arial" w:cs="Arial"/>
          <w:color w:val="222222"/>
          <w:shd w:val="clear" w:color="auto" w:fill="FFFFFF"/>
        </w:rPr>
        <w:t>Marrekchi</w:t>
      </w:r>
      <w:proofErr w:type="spellEnd"/>
      <w:r w:rsidRPr="004A7D49">
        <w:rPr>
          <w:rFonts w:ascii="Arial" w:hAnsi="Arial" w:cs="Arial"/>
          <w:color w:val="222222"/>
          <w:shd w:val="clear" w:color="auto" w:fill="FFFFFF"/>
        </w:rPr>
        <w:t>, E. eds., 2019. </w:t>
      </w:r>
      <w:r w:rsidRPr="004A7D49">
        <w:rPr>
          <w:rFonts w:ascii="Arial" w:hAnsi="Arial" w:cs="Arial"/>
          <w:i/>
          <w:iCs/>
          <w:color w:val="222222"/>
          <w:shd w:val="clear" w:color="auto" w:fill="FFFFFF"/>
        </w:rPr>
        <w:t>Solving Transport Problems: Towards Green Logistics</w:t>
      </w:r>
      <w:r w:rsidRPr="004A7D49">
        <w:rPr>
          <w:rFonts w:ascii="Arial" w:hAnsi="Arial" w:cs="Arial"/>
          <w:color w:val="222222"/>
          <w:shd w:val="clear" w:color="auto" w:fill="FFFFFF"/>
        </w:rPr>
        <w:t>. John Wiley &amp; Sons.</w:t>
      </w:r>
    </w:p>
    <w:p w14:paraId="334693DE" w14:textId="77777777" w:rsidR="00E27AD0" w:rsidRPr="004A7D49" w:rsidRDefault="00E27AD0" w:rsidP="00E27AD0">
      <w:pPr>
        <w:pStyle w:val="NormalWeb"/>
        <w:rPr>
          <w:rFonts w:ascii="Arial" w:hAnsi="Arial" w:cs="Arial"/>
        </w:rPr>
      </w:pPr>
    </w:p>
    <w:p w14:paraId="750C13F7" w14:textId="77777777" w:rsidR="00D46016" w:rsidRPr="004A7D49" w:rsidRDefault="00D46016">
      <w:pPr>
        <w:pStyle w:val="NormalWeb"/>
        <w:numPr>
          <w:ilvl w:val="0"/>
          <w:numId w:val="1"/>
        </w:numPr>
        <w:rPr>
          <w:rFonts w:ascii="Arial" w:hAnsi="Arial" w:cs="Arial"/>
        </w:rPr>
      </w:pPr>
      <w:r w:rsidRPr="004A7D49">
        <w:rPr>
          <w:rFonts w:ascii="Arial" w:hAnsi="Arial" w:cs="Arial"/>
        </w:rPr>
        <w:t xml:space="preserve">Bhandari, S. (2010) </w:t>
      </w:r>
      <w:r w:rsidRPr="004A7D49">
        <w:rPr>
          <w:rFonts w:ascii="Arial" w:hAnsi="Arial" w:cs="Arial"/>
          <w:i/>
          <w:iCs/>
        </w:rPr>
        <w:t>An analysis of Toyota’s marketing strategy</w:t>
      </w:r>
      <w:r w:rsidRPr="004A7D49">
        <w:rPr>
          <w:rFonts w:ascii="Arial" w:hAnsi="Arial" w:cs="Arial"/>
        </w:rPr>
        <w:t xml:space="preserve">, </w:t>
      </w:r>
      <w:r w:rsidRPr="004A7D49">
        <w:rPr>
          <w:rFonts w:ascii="Arial" w:hAnsi="Arial" w:cs="Arial"/>
          <w:i/>
          <w:iCs/>
        </w:rPr>
        <w:t>SSRN</w:t>
      </w:r>
      <w:r w:rsidRPr="004A7D49">
        <w:rPr>
          <w:rFonts w:ascii="Arial" w:hAnsi="Arial" w:cs="Arial"/>
        </w:rPr>
        <w:t xml:space="preserve">. Available at: https://papers.ssrn.com/sol3/papers.cfm?abstract_id=1624068 (Accessed: 22 December 2023). </w:t>
      </w:r>
    </w:p>
    <w:p w14:paraId="6F9EC102" w14:textId="77777777" w:rsidR="00E27AD0" w:rsidRPr="004A7D49" w:rsidRDefault="00E27AD0" w:rsidP="00E27AD0">
      <w:pPr>
        <w:pStyle w:val="NormalWeb"/>
        <w:rPr>
          <w:rFonts w:ascii="Arial" w:hAnsi="Arial" w:cs="Arial"/>
        </w:rPr>
      </w:pPr>
    </w:p>
    <w:p w14:paraId="6B66D3DA" w14:textId="77777777" w:rsidR="00D46016" w:rsidRPr="004A7D49" w:rsidRDefault="00D46016">
      <w:pPr>
        <w:pStyle w:val="ListParagraph"/>
        <w:numPr>
          <w:ilvl w:val="0"/>
          <w:numId w:val="1"/>
        </w:numPr>
        <w:spacing w:before="100" w:beforeAutospacing="1" w:after="100" w:afterAutospacing="1" w:line="240" w:lineRule="auto"/>
        <w:rPr>
          <w:rFonts w:ascii="Arial" w:eastAsia="Times New Roman" w:hAnsi="Arial" w:cs="Arial"/>
          <w:kern w:val="0"/>
          <w:sz w:val="24"/>
          <w:szCs w:val="24"/>
          <w14:ligatures w14:val="none"/>
        </w:rPr>
      </w:pPr>
      <w:r w:rsidRPr="004A7D49">
        <w:rPr>
          <w:rFonts w:ascii="Arial" w:eastAsia="Times New Roman" w:hAnsi="Arial" w:cs="Arial"/>
          <w:kern w:val="0"/>
          <w:sz w:val="24"/>
          <w:szCs w:val="24"/>
          <w14:ligatures w14:val="none"/>
        </w:rPr>
        <w:t xml:space="preserve">Blog, T. (2021) </w:t>
      </w:r>
      <w:r w:rsidRPr="004A7D49">
        <w:rPr>
          <w:rFonts w:ascii="Arial" w:eastAsia="Times New Roman" w:hAnsi="Arial" w:cs="Arial"/>
          <w:i/>
          <w:iCs/>
          <w:kern w:val="0"/>
          <w:sz w:val="24"/>
          <w:szCs w:val="24"/>
          <w14:ligatures w14:val="none"/>
        </w:rPr>
        <w:t>New Toyota Yaris price and specification</w:t>
      </w:r>
      <w:r w:rsidRPr="004A7D49">
        <w:rPr>
          <w:rFonts w:ascii="Arial" w:eastAsia="Times New Roman" w:hAnsi="Arial" w:cs="Arial"/>
          <w:kern w:val="0"/>
          <w:sz w:val="24"/>
          <w:szCs w:val="24"/>
          <w14:ligatures w14:val="none"/>
        </w:rPr>
        <w:t xml:space="preserve">, </w:t>
      </w:r>
      <w:r w:rsidRPr="004A7D49">
        <w:rPr>
          <w:rFonts w:ascii="Arial" w:eastAsia="Times New Roman" w:hAnsi="Arial" w:cs="Arial"/>
          <w:i/>
          <w:iCs/>
          <w:kern w:val="0"/>
          <w:sz w:val="24"/>
          <w:szCs w:val="24"/>
          <w14:ligatures w14:val="none"/>
        </w:rPr>
        <w:t>Toyota UK Magazine</w:t>
      </w:r>
      <w:r w:rsidRPr="004A7D49">
        <w:rPr>
          <w:rFonts w:ascii="Arial" w:eastAsia="Times New Roman" w:hAnsi="Arial" w:cs="Arial"/>
          <w:kern w:val="0"/>
          <w:sz w:val="24"/>
          <w:szCs w:val="24"/>
          <w14:ligatures w14:val="none"/>
        </w:rPr>
        <w:t xml:space="preserve">. Available at: https://mag.toyota.co.uk/toyota-yaris-price-specification/ (Accessed: 01 December 2023). </w:t>
      </w:r>
    </w:p>
    <w:p w14:paraId="2D796DAE" w14:textId="77777777" w:rsidR="00E27AD0" w:rsidRPr="004A7D49" w:rsidRDefault="00E27AD0" w:rsidP="00E27AD0">
      <w:pPr>
        <w:spacing w:before="100" w:beforeAutospacing="1" w:after="100" w:afterAutospacing="1" w:line="240" w:lineRule="auto"/>
        <w:rPr>
          <w:rFonts w:ascii="Arial" w:eastAsia="Times New Roman" w:hAnsi="Arial" w:cs="Arial"/>
          <w:kern w:val="0"/>
          <w:sz w:val="24"/>
          <w:szCs w:val="24"/>
          <w14:ligatures w14:val="none"/>
        </w:rPr>
      </w:pPr>
    </w:p>
    <w:p w14:paraId="62DA4C67" w14:textId="77777777" w:rsidR="00D46016" w:rsidRPr="004A7D49" w:rsidRDefault="00D46016">
      <w:pPr>
        <w:pStyle w:val="NormalWeb"/>
        <w:numPr>
          <w:ilvl w:val="0"/>
          <w:numId w:val="1"/>
        </w:numPr>
        <w:rPr>
          <w:rFonts w:ascii="Arial" w:hAnsi="Arial" w:cs="Arial"/>
        </w:rPr>
      </w:pPr>
      <w:r w:rsidRPr="004A7D49">
        <w:rPr>
          <w:rFonts w:ascii="Arial" w:hAnsi="Arial" w:cs="Arial"/>
          <w:color w:val="222222"/>
          <w:shd w:val="clear" w:color="auto" w:fill="FFFFFF"/>
        </w:rPr>
        <w:t>Boztepe, A., 2012. Green marketing and its impact on consumer buying behavior. </w:t>
      </w:r>
      <w:r w:rsidRPr="004A7D49">
        <w:rPr>
          <w:rFonts w:ascii="Arial" w:hAnsi="Arial" w:cs="Arial"/>
          <w:i/>
          <w:iCs/>
          <w:color w:val="222222"/>
          <w:shd w:val="clear" w:color="auto" w:fill="FFFFFF"/>
        </w:rPr>
        <w:t>European Journal of Economic &amp; Political Studies</w:t>
      </w:r>
      <w:r w:rsidRPr="004A7D49">
        <w:rPr>
          <w:rFonts w:ascii="Arial" w:hAnsi="Arial" w:cs="Arial"/>
          <w:color w:val="222222"/>
          <w:shd w:val="clear" w:color="auto" w:fill="FFFFFF"/>
        </w:rPr>
        <w:t>, </w:t>
      </w:r>
      <w:r w:rsidRPr="004A7D49">
        <w:rPr>
          <w:rFonts w:ascii="Arial" w:hAnsi="Arial" w:cs="Arial"/>
          <w:i/>
          <w:iCs/>
          <w:color w:val="222222"/>
          <w:shd w:val="clear" w:color="auto" w:fill="FFFFFF"/>
        </w:rPr>
        <w:t>5</w:t>
      </w:r>
      <w:r w:rsidRPr="004A7D49">
        <w:rPr>
          <w:rFonts w:ascii="Arial" w:hAnsi="Arial" w:cs="Arial"/>
          <w:color w:val="222222"/>
          <w:shd w:val="clear" w:color="auto" w:fill="FFFFFF"/>
        </w:rPr>
        <w:t>(1).</w:t>
      </w:r>
    </w:p>
    <w:p w14:paraId="4702EB90" w14:textId="77777777" w:rsidR="00E27AD0" w:rsidRPr="004A7D49" w:rsidRDefault="00E27AD0" w:rsidP="00E27AD0">
      <w:pPr>
        <w:pStyle w:val="NormalWeb"/>
        <w:rPr>
          <w:rFonts w:ascii="Arial" w:hAnsi="Arial" w:cs="Arial"/>
        </w:rPr>
      </w:pPr>
    </w:p>
    <w:p w14:paraId="6BB1EF25" w14:textId="77777777" w:rsidR="00D46016" w:rsidRPr="004A7D49" w:rsidRDefault="00D46016">
      <w:pPr>
        <w:pStyle w:val="NormalWeb"/>
        <w:numPr>
          <w:ilvl w:val="0"/>
          <w:numId w:val="1"/>
        </w:numPr>
        <w:rPr>
          <w:rFonts w:ascii="Arial" w:hAnsi="Arial" w:cs="Arial"/>
        </w:rPr>
      </w:pPr>
      <w:r w:rsidRPr="004A7D49">
        <w:rPr>
          <w:rFonts w:ascii="Arial" w:hAnsi="Arial" w:cs="Arial"/>
        </w:rPr>
        <w:t xml:space="preserve">Campbell, A.R., Ryley, T. and Thring, R. (2012) ‘Identifying the early adopters of alternative fuel vehicles: A case study of </w:t>
      </w:r>
      <w:proofErr w:type="spellStart"/>
      <w:r w:rsidRPr="004A7D49">
        <w:rPr>
          <w:rFonts w:ascii="Arial" w:hAnsi="Arial" w:cs="Arial"/>
        </w:rPr>
        <w:t>birmingham</w:t>
      </w:r>
      <w:proofErr w:type="spellEnd"/>
      <w:r w:rsidRPr="004A7D49">
        <w:rPr>
          <w:rFonts w:ascii="Arial" w:hAnsi="Arial" w:cs="Arial"/>
        </w:rPr>
        <w:t xml:space="preserve">, United Kingdom’, </w:t>
      </w:r>
      <w:r w:rsidRPr="004A7D49">
        <w:rPr>
          <w:rFonts w:ascii="Arial" w:hAnsi="Arial" w:cs="Arial"/>
          <w:i/>
          <w:iCs/>
        </w:rPr>
        <w:t>Transportation Research Part A: Policy and Practice</w:t>
      </w:r>
      <w:r w:rsidRPr="004A7D49">
        <w:rPr>
          <w:rFonts w:ascii="Arial" w:hAnsi="Arial" w:cs="Arial"/>
        </w:rPr>
        <w:t xml:space="preserve">, 46(8), pp. 1318–1327. </w:t>
      </w:r>
      <w:proofErr w:type="gramStart"/>
      <w:r w:rsidRPr="004A7D49">
        <w:rPr>
          <w:rFonts w:ascii="Arial" w:hAnsi="Arial" w:cs="Arial"/>
        </w:rPr>
        <w:t>doi:10.1016/j.tra</w:t>
      </w:r>
      <w:proofErr w:type="gramEnd"/>
      <w:r w:rsidRPr="004A7D49">
        <w:rPr>
          <w:rFonts w:ascii="Arial" w:hAnsi="Arial" w:cs="Arial"/>
        </w:rPr>
        <w:t xml:space="preserve">.2012.05.004. </w:t>
      </w:r>
    </w:p>
    <w:p w14:paraId="23B6A6D4" w14:textId="77777777" w:rsidR="00E27AD0" w:rsidRPr="004A7D49" w:rsidRDefault="00E27AD0" w:rsidP="00E27AD0">
      <w:pPr>
        <w:pStyle w:val="NormalWeb"/>
        <w:rPr>
          <w:rFonts w:ascii="Arial" w:hAnsi="Arial" w:cs="Arial"/>
        </w:rPr>
      </w:pPr>
    </w:p>
    <w:p w14:paraId="30397767" w14:textId="77777777" w:rsidR="00E27AD0" w:rsidRPr="004A7D49" w:rsidRDefault="00D46016">
      <w:pPr>
        <w:pStyle w:val="NormalWeb"/>
        <w:numPr>
          <w:ilvl w:val="0"/>
          <w:numId w:val="1"/>
        </w:numPr>
        <w:rPr>
          <w:rFonts w:ascii="Arial" w:hAnsi="Arial" w:cs="Arial"/>
        </w:rPr>
      </w:pPr>
      <w:r w:rsidRPr="004A7D49">
        <w:rPr>
          <w:rFonts w:ascii="Arial" w:hAnsi="Arial" w:cs="Arial"/>
        </w:rPr>
        <w:t xml:space="preserve">Choudhary, S. </w:t>
      </w:r>
      <w:r w:rsidRPr="004A7D49">
        <w:rPr>
          <w:rFonts w:ascii="Arial" w:hAnsi="Arial" w:cs="Arial"/>
          <w:i/>
          <w:iCs/>
        </w:rPr>
        <w:t>et al.</w:t>
      </w:r>
      <w:r w:rsidRPr="004A7D49">
        <w:rPr>
          <w:rFonts w:ascii="Arial" w:hAnsi="Arial" w:cs="Arial"/>
        </w:rPr>
        <w:t xml:space="preserve"> (2019) ‘An integrated lean and green approach for improving sustainability performance: A case study of a packaging manufacturing SME in the U.K.’, </w:t>
      </w:r>
      <w:r w:rsidRPr="004A7D49">
        <w:rPr>
          <w:rFonts w:ascii="Arial" w:hAnsi="Arial" w:cs="Arial"/>
          <w:i/>
          <w:iCs/>
        </w:rPr>
        <w:t>Production Planning &amp;amp; Control</w:t>
      </w:r>
      <w:r w:rsidRPr="004A7D49">
        <w:rPr>
          <w:rFonts w:ascii="Arial" w:hAnsi="Arial" w:cs="Arial"/>
        </w:rPr>
        <w:t>, 30(5–6), pp. 353–368. doi:10.1080/09537287.2018.1501811.</w:t>
      </w:r>
    </w:p>
    <w:p w14:paraId="24305594" w14:textId="52BCCE0C" w:rsidR="00D46016" w:rsidRPr="004A7D49" w:rsidRDefault="00D46016" w:rsidP="00E27AD0">
      <w:pPr>
        <w:pStyle w:val="NormalWeb"/>
        <w:rPr>
          <w:rFonts w:ascii="Arial" w:hAnsi="Arial" w:cs="Arial"/>
        </w:rPr>
      </w:pPr>
      <w:r w:rsidRPr="004A7D49">
        <w:rPr>
          <w:rFonts w:ascii="Arial" w:hAnsi="Arial" w:cs="Arial"/>
        </w:rPr>
        <w:t xml:space="preserve"> </w:t>
      </w:r>
    </w:p>
    <w:p w14:paraId="6D4FE169" w14:textId="77777777" w:rsidR="00D46016" w:rsidRPr="004A7D49" w:rsidRDefault="00D46016">
      <w:pPr>
        <w:pStyle w:val="NormalWeb"/>
        <w:numPr>
          <w:ilvl w:val="0"/>
          <w:numId w:val="1"/>
        </w:numPr>
        <w:rPr>
          <w:rFonts w:ascii="Arial" w:hAnsi="Arial" w:cs="Arial"/>
        </w:rPr>
      </w:pPr>
      <w:proofErr w:type="spellStart"/>
      <w:r w:rsidRPr="004A7D49">
        <w:rPr>
          <w:rFonts w:ascii="Arial" w:hAnsi="Arial" w:cs="Arial"/>
          <w:color w:val="222222"/>
          <w:shd w:val="clear" w:color="auto" w:fill="FFFFFF"/>
        </w:rPr>
        <w:t>Chulvanij</w:t>
      </w:r>
      <w:proofErr w:type="spellEnd"/>
      <w:r w:rsidRPr="004A7D49">
        <w:rPr>
          <w:rFonts w:ascii="Arial" w:hAnsi="Arial" w:cs="Arial"/>
          <w:color w:val="222222"/>
          <w:shd w:val="clear" w:color="auto" w:fill="FFFFFF"/>
        </w:rPr>
        <w:t>, M., 2006. A study of the factors affecting customer behavior-based customer relationship management of Toyota car users.</w:t>
      </w:r>
    </w:p>
    <w:p w14:paraId="1F49739F" w14:textId="77777777" w:rsidR="00E27AD0" w:rsidRPr="004A7D49" w:rsidRDefault="00E27AD0" w:rsidP="00E27AD0">
      <w:pPr>
        <w:pStyle w:val="NormalWeb"/>
        <w:rPr>
          <w:rFonts w:ascii="Arial" w:hAnsi="Arial" w:cs="Arial"/>
        </w:rPr>
      </w:pPr>
    </w:p>
    <w:p w14:paraId="2C876066" w14:textId="77777777" w:rsidR="00D46016" w:rsidRPr="004A7D49" w:rsidRDefault="00D46016">
      <w:pPr>
        <w:pStyle w:val="NormalWeb"/>
        <w:numPr>
          <w:ilvl w:val="0"/>
          <w:numId w:val="1"/>
        </w:numPr>
        <w:rPr>
          <w:rFonts w:ascii="Arial" w:hAnsi="Arial" w:cs="Arial"/>
        </w:rPr>
      </w:pPr>
      <w:r w:rsidRPr="004A7D49">
        <w:rPr>
          <w:rFonts w:ascii="Arial" w:hAnsi="Arial" w:cs="Arial"/>
        </w:rPr>
        <w:t xml:space="preserve">Clifford, J. (2023) </w:t>
      </w:r>
      <w:r w:rsidRPr="004A7D49">
        <w:rPr>
          <w:rFonts w:ascii="Arial" w:hAnsi="Arial" w:cs="Arial"/>
          <w:i/>
          <w:iCs/>
        </w:rPr>
        <w:t>Hydrogen Hilux: British-built prototype revealed</w:t>
      </w:r>
      <w:r w:rsidRPr="004A7D49">
        <w:rPr>
          <w:rFonts w:ascii="Arial" w:hAnsi="Arial" w:cs="Arial"/>
        </w:rPr>
        <w:t xml:space="preserve">, </w:t>
      </w:r>
      <w:r w:rsidRPr="004A7D49">
        <w:rPr>
          <w:rFonts w:ascii="Arial" w:hAnsi="Arial" w:cs="Arial"/>
          <w:i/>
          <w:iCs/>
        </w:rPr>
        <w:t>Toyota UK Magazine</w:t>
      </w:r>
      <w:r w:rsidRPr="004A7D49">
        <w:rPr>
          <w:rFonts w:ascii="Arial" w:hAnsi="Arial" w:cs="Arial"/>
        </w:rPr>
        <w:t xml:space="preserve">. Available at: https://mag.toyota.co.uk/hydrogen-hilux/ (Accessed: 20 November 2023). </w:t>
      </w:r>
    </w:p>
    <w:p w14:paraId="7BA88F56" w14:textId="77777777" w:rsidR="00E27AD0" w:rsidRPr="004A7D49" w:rsidRDefault="00E27AD0" w:rsidP="00E27AD0">
      <w:pPr>
        <w:pStyle w:val="NormalWeb"/>
        <w:rPr>
          <w:rFonts w:ascii="Arial" w:hAnsi="Arial" w:cs="Arial"/>
        </w:rPr>
      </w:pPr>
    </w:p>
    <w:p w14:paraId="6089E838" w14:textId="77777777" w:rsidR="00D46016" w:rsidRPr="004A7D49" w:rsidRDefault="00D46016">
      <w:pPr>
        <w:pStyle w:val="NormalWeb"/>
        <w:numPr>
          <w:ilvl w:val="0"/>
          <w:numId w:val="1"/>
        </w:numPr>
        <w:rPr>
          <w:rFonts w:ascii="Arial" w:hAnsi="Arial" w:cs="Arial"/>
        </w:rPr>
      </w:pPr>
      <w:r w:rsidRPr="004A7D49">
        <w:rPr>
          <w:rFonts w:ascii="Arial" w:hAnsi="Arial" w:cs="Arial"/>
        </w:rPr>
        <w:t xml:space="preserve">Crotty, J. (2006) ‘Greening the supply chain? the impact of take-back regulation on the UK automotive sector’, </w:t>
      </w:r>
      <w:r w:rsidRPr="004A7D49">
        <w:rPr>
          <w:rFonts w:ascii="Arial" w:hAnsi="Arial" w:cs="Arial"/>
          <w:i/>
          <w:iCs/>
        </w:rPr>
        <w:t>Journal of Environmental Policy &amp;amp; Planning</w:t>
      </w:r>
      <w:r w:rsidRPr="004A7D49">
        <w:rPr>
          <w:rFonts w:ascii="Arial" w:hAnsi="Arial" w:cs="Arial"/>
        </w:rPr>
        <w:t xml:space="preserve">, 8(3), pp. 219–234. doi:10.1080/15239080600915584. </w:t>
      </w:r>
    </w:p>
    <w:p w14:paraId="2AB56CEA" w14:textId="77777777" w:rsidR="00E27AD0" w:rsidRPr="004A7D49" w:rsidRDefault="00E27AD0" w:rsidP="00E27AD0">
      <w:pPr>
        <w:pStyle w:val="NormalWeb"/>
        <w:rPr>
          <w:rFonts w:ascii="Arial" w:hAnsi="Arial" w:cs="Arial"/>
        </w:rPr>
      </w:pPr>
    </w:p>
    <w:p w14:paraId="259E8AE8" w14:textId="77777777" w:rsidR="00D46016" w:rsidRPr="004A7D49" w:rsidRDefault="00D46016">
      <w:pPr>
        <w:pStyle w:val="NormalWeb"/>
        <w:numPr>
          <w:ilvl w:val="0"/>
          <w:numId w:val="1"/>
        </w:numPr>
        <w:rPr>
          <w:rFonts w:ascii="Arial" w:hAnsi="Arial" w:cs="Arial"/>
        </w:rPr>
      </w:pPr>
      <w:r w:rsidRPr="004A7D49">
        <w:rPr>
          <w:rFonts w:ascii="Arial" w:hAnsi="Arial" w:cs="Arial"/>
        </w:rPr>
        <w:t xml:space="preserve">Dangelico, R.M. and </w:t>
      </w:r>
      <w:proofErr w:type="spellStart"/>
      <w:r w:rsidRPr="004A7D49">
        <w:rPr>
          <w:rFonts w:ascii="Arial" w:hAnsi="Arial" w:cs="Arial"/>
        </w:rPr>
        <w:t>Vocalelli</w:t>
      </w:r>
      <w:proofErr w:type="spellEnd"/>
      <w:r w:rsidRPr="004A7D49">
        <w:rPr>
          <w:rFonts w:ascii="Arial" w:hAnsi="Arial" w:cs="Arial"/>
        </w:rPr>
        <w:t xml:space="preserve">, D. (2017) ‘“Green marketing”: An analysis of definitions, strategy steps, and tools through a systematic review of the literature’, </w:t>
      </w:r>
      <w:r w:rsidRPr="004A7D49">
        <w:rPr>
          <w:rFonts w:ascii="Arial" w:hAnsi="Arial" w:cs="Arial"/>
          <w:i/>
          <w:iCs/>
        </w:rPr>
        <w:t>Journal of Cleaner Production</w:t>
      </w:r>
      <w:r w:rsidRPr="004A7D49">
        <w:rPr>
          <w:rFonts w:ascii="Arial" w:hAnsi="Arial" w:cs="Arial"/>
        </w:rPr>
        <w:t xml:space="preserve">, 165, pp. 1263–1279. </w:t>
      </w:r>
      <w:proofErr w:type="gramStart"/>
      <w:r w:rsidRPr="004A7D49">
        <w:rPr>
          <w:rFonts w:ascii="Arial" w:hAnsi="Arial" w:cs="Arial"/>
        </w:rPr>
        <w:t>doi:10.1016/j.jclepro</w:t>
      </w:r>
      <w:proofErr w:type="gramEnd"/>
      <w:r w:rsidRPr="004A7D49">
        <w:rPr>
          <w:rFonts w:ascii="Arial" w:hAnsi="Arial" w:cs="Arial"/>
        </w:rPr>
        <w:t xml:space="preserve">.2017.07.184. </w:t>
      </w:r>
    </w:p>
    <w:p w14:paraId="5AD9EE7F" w14:textId="77777777" w:rsidR="00E27AD0" w:rsidRPr="004A7D49" w:rsidRDefault="00E27AD0" w:rsidP="00E27AD0">
      <w:pPr>
        <w:pStyle w:val="NormalWeb"/>
        <w:rPr>
          <w:rFonts w:ascii="Arial" w:hAnsi="Arial" w:cs="Arial"/>
        </w:rPr>
      </w:pPr>
    </w:p>
    <w:p w14:paraId="4E43A299" w14:textId="77777777" w:rsidR="00D46016" w:rsidRPr="004A7D49" w:rsidRDefault="00D46016">
      <w:pPr>
        <w:pStyle w:val="NormalWeb"/>
        <w:numPr>
          <w:ilvl w:val="0"/>
          <w:numId w:val="1"/>
        </w:numPr>
        <w:rPr>
          <w:rFonts w:ascii="Arial" w:hAnsi="Arial" w:cs="Arial"/>
        </w:rPr>
      </w:pPr>
      <w:r w:rsidRPr="004A7D49">
        <w:rPr>
          <w:rFonts w:ascii="Arial" w:hAnsi="Arial" w:cs="Arial"/>
          <w:color w:val="222222"/>
          <w:shd w:val="clear" w:color="auto" w:fill="FFFFFF"/>
        </w:rPr>
        <w:t>Darmawan, D. and Grenier, E., 2021. Competitive Advantage and Service Marketing Mix. </w:t>
      </w:r>
      <w:r w:rsidRPr="004A7D49">
        <w:rPr>
          <w:rFonts w:ascii="Arial" w:hAnsi="Arial" w:cs="Arial"/>
          <w:i/>
          <w:iCs/>
          <w:color w:val="222222"/>
          <w:shd w:val="clear" w:color="auto" w:fill="FFFFFF"/>
        </w:rPr>
        <w:t>Journal of Social Science Studies (JOS3)</w:t>
      </w:r>
      <w:r w:rsidRPr="004A7D49">
        <w:rPr>
          <w:rFonts w:ascii="Arial" w:hAnsi="Arial" w:cs="Arial"/>
          <w:color w:val="222222"/>
          <w:shd w:val="clear" w:color="auto" w:fill="FFFFFF"/>
        </w:rPr>
        <w:t>, </w:t>
      </w:r>
      <w:r w:rsidRPr="004A7D49">
        <w:rPr>
          <w:rFonts w:ascii="Arial" w:hAnsi="Arial" w:cs="Arial"/>
          <w:i/>
          <w:iCs/>
          <w:color w:val="222222"/>
          <w:shd w:val="clear" w:color="auto" w:fill="FFFFFF"/>
        </w:rPr>
        <w:t>1</w:t>
      </w:r>
      <w:r w:rsidRPr="004A7D49">
        <w:rPr>
          <w:rFonts w:ascii="Arial" w:hAnsi="Arial" w:cs="Arial"/>
          <w:color w:val="222222"/>
          <w:shd w:val="clear" w:color="auto" w:fill="FFFFFF"/>
        </w:rPr>
        <w:t>(2), pp.75-80.</w:t>
      </w:r>
    </w:p>
    <w:p w14:paraId="74680273" w14:textId="77777777" w:rsidR="00E27AD0" w:rsidRPr="004A7D49" w:rsidRDefault="00E27AD0" w:rsidP="00E27AD0">
      <w:pPr>
        <w:pStyle w:val="NormalWeb"/>
        <w:rPr>
          <w:rFonts w:ascii="Arial" w:hAnsi="Arial" w:cs="Arial"/>
        </w:rPr>
      </w:pPr>
    </w:p>
    <w:p w14:paraId="13C1A9E4" w14:textId="77777777" w:rsidR="00D46016" w:rsidRPr="004A7D49" w:rsidRDefault="00D46016">
      <w:pPr>
        <w:pStyle w:val="NormalWeb"/>
        <w:numPr>
          <w:ilvl w:val="0"/>
          <w:numId w:val="1"/>
        </w:numPr>
        <w:rPr>
          <w:rFonts w:ascii="Arial" w:hAnsi="Arial" w:cs="Arial"/>
        </w:rPr>
      </w:pPr>
      <w:r w:rsidRPr="004A7D49">
        <w:rPr>
          <w:rFonts w:ascii="Arial" w:hAnsi="Arial" w:cs="Arial"/>
          <w:color w:val="222222"/>
          <w:shd w:val="clear" w:color="auto" w:fill="FFFFFF"/>
        </w:rPr>
        <w:t xml:space="preserve">Dougherty, M.R., </w:t>
      </w:r>
      <w:proofErr w:type="spellStart"/>
      <w:r w:rsidRPr="004A7D49">
        <w:rPr>
          <w:rFonts w:ascii="Arial" w:hAnsi="Arial" w:cs="Arial"/>
          <w:color w:val="222222"/>
          <w:shd w:val="clear" w:color="auto" w:fill="FFFFFF"/>
        </w:rPr>
        <w:t>Slevc</w:t>
      </w:r>
      <w:proofErr w:type="spellEnd"/>
      <w:r w:rsidRPr="004A7D49">
        <w:rPr>
          <w:rFonts w:ascii="Arial" w:hAnsi="Arial" w:cs="Arial"/>
          <w:color w:val="222222"/>
          <w:shd w:val="clear" w:color="auto" w:fill="FFFFFF"/>
        </w:rPr>
        <w:t>, L.R. and Grand, J.A., 2019. Making research evaluation more transparent: Aligning research philosophy, institutional values, and reporting. </w:t>
      </w:r>
      <w:r w:rsidRPr="004A7D49">
        <w:rPr>
          <w:rFonts w:ascii="Arial" w:hAnsi="Arial" w:cs="Arial"/>
          <w:i/>
          <w:iCs/>
          <w:color w:val="222222"/>
          <w:shd w:val="clear" w:color="auto" w:fill="FFFFFF"/>
        </w:rPr>
        <w:t>Perspectives on Psychological Science</w:t>
      </w:r>
      <w:r w:rsidRPr="004A7D49">
        <w:rPr>
          <w:rFonts w:ascii="Arial" w:hAnsi="Arial" w:cs="Arial"/>
          <w:color w:val="222222"/>
          <w:shd w:val="clear" w:color="auto" w:fill="FFFFFF"/>
        </w:rPr>
        <w:t>, </w:t>
      </w:r>
      <w:r w:rsidRPr="004A7D49">
        <w:rPr>
          <w:rFonts w:ascii="Arial" w:hAnsi="Arial" w:cs="Arial"/>
          <w:i/>
          <w:iCs/>
          <w:color w:val="222222"/>
          <w:shd w:val="clear" w:color="auto" w:fill="FFFFFF"/>
        </w:rPr>
        <w:t>14</w:t>
      </w:r>
      <w:r w:rsidRPr="004A7D49">
        <w:rPr>
          <w:rFonts w:ascii="Arial" w:hAnsi="Arial" w:cs="Arial"/>
          <w:color w:val="222222"/>
          <w:shd w:val="clear" w:color="auto" w:fill="FFFFFF"/>
        </w:rPr>
        <w:t>(3), pp.361-375.</w:t>
      </w:r>
    </w:p>
    <w:p w14:paraId="74DDBDD3" w14:textId="77777777" w:rsidR="00E27AD0" w:rsidRPr="004A7D49" w:rsidRDefault="00E27AD0" w:rsidP="00E27AD0">
      <w:pPr>
        <w:pStyle w:val="NormalWeb"/>
        <w:rPr>
          <w:rFonts w:ascii="Arial" w:hAnsi="Arial" w:cs="Arial"/>
        </w:rPr>
      </w:pPr>
    </w:p>
    <w:p w14:paraId="079F4F4C" w14:textId="77777777" w:rsidR="00D46016" w:rsidRPr="004A7D49" w:rsidRDefault="00D46016">
      <w:pPr>
        <w:pStyle w:val="NormalWeb"/>
        <w:numPr>
          <w:ilvl w:val="0"/>
          <w:numId w:val="1"/>
        </w:numPr>
        <w:rPr>
          <w:rFonts w:ascii="Arial" w:hAnsi="Arial" w:cs="Arial"/>
        </w:rPr>
      </w:pPr>
      <w:r w:rsidRPr="004A7D49">
        <w:rPr>
          <w:rFonts w:ascii="Arial" w:hAnsi="Arial" w:cs="Arial"/>
        </w:rPr>
        <w:t xml:space="preserve">Durif, F., Boivin, C. and Julien, C. (2010) </w:t>
      </w:r>
      <w:r w:rsidRPr="004A7D49">
        <w:rPr>
          <w:rFonts w:ascii="Arial" w:hAnsi="Arial" w:cs="Arial"/>
          <w:i/>
          <w:iCs/>
        </w:rPr>
        <w:t>Innovative Marketing</w:t>
      </w:r>
      <w:r w:rsidRPr="004A7D49">
        <w:rPr>
          <w:rFonts w:ascii="Arial" w:hAnsi="Arial" w:cs="Arial"/>
        </w:rPr>
        <w:t xml:space="preserve">, 6(4). doi:10.21511/im.6(4).2010. </w:t>
      </w:r>
    </w:p>
    <w:p w14:paraId="1560971C" w14:textId="77777777" w:rsidR="00E27AD0" w:rsidRPr="004A7D49" w:rsidRDefault="00E27AD0" w:rsidP="00E27AD0">
      <w:pPr>
        <w:pStyle w:val="NormalWeb"/>
        <w:rPr>
          <w:rFonts w:ascii="Arial" w:hAnsi="Arial" w:cs="Arial"/>
        </w:rPr>
      </w:pPr>
    </w:p>
    <w:p w14:paraId="05B1C452" w14:textId="77777777" w:rsidR="00D46016" w:rsidRPr="004A7D49" w:rsidRDefault="00D46016">
      <w:pPr>
        <w:pStyle w:val="NormalWeb"/>
        <w:numPr>
          <w:ilvl w:val="0"/>
          <w:numId w:val="1"/>
        </w:numPr>
        <w:rPr>
          <w:rFonts w:ascii="Arial" w:hAnsi="Arial" w:cs="Arial"/>
        </w:rPr>
      </w:pPr>
      <w:r w:rsidRPr="004A7D49">
        <w:rPr>
          <w:rFonts w:ascii="Arial" w:hAnsi="Arial" w:cs="Arial"/>
          <w:i/>
          <w:iCs/>
        </w:rPr>
        <w:t>Effect of political and economic environment in the UK on Toyota Free Essay Example</w:t>
      </w:r>
      <w:r w:rsidRPr="004A7D49">
        <w:rPr>
          <w:rFonts w:ascii="Arial" w:hAnsi="Arial" w:cs="Arial"/>
        </w:rPr>
        <w:t xml:space="preserve"> (2021) </w:t>
      </w:r>
      <w:proofErr w:type="spellStart"/>
      <w:r w:rsidRPr="004A7D49">
        <w:rPr>
          <w:rFonts w:ascii="Arial" w:hAnsi="Arial" w:cs="Arial"/>
          <w:i/>
          <w:iCs/>
        </w:rPr>
        <w:t>StudyMoose</w:t>
      </w:r>
      <w:proofErr w:type="spellEnd"/>
      <w:r w:rsidRPr="004A7D49">
        <w:rPr>
          <w:rFonts w:ascii="Arial" w:hAnsi="Arial" w:cs="Arial"/>
        </w:rPr>
        <w:t>. Available at: https://studymoose.com/effect-of-political-and-economic-environment-in-the-uk-on-toyota-essay (Accessed: 31 November 2023).</w:t>
      </w:r>
    </w:p>
    <w:p w14:paraId="1205D9BA" w14:textId="77777777" w:rsidR="00E27AD0" w:rsidRPr="004A7D49" w:rsidRDefault="00E27AD0" w:rsidP="00E27AD0">
      <w:pPr>
        <w:pStyle w:val="NormalWeb"/>
        <w:rPr>
          <w:rFonts w:ascii="Arial" w:hAnsi="Arial" w:cs="Arial"/>
        </w:rPr>
      </w:pPr>
    </w:p>
    <w:p w14:paraId="146933D7" w14:textId="7283FE01" w:rsidR="00E27AD0" w:rsidRPr="004A7D49" w:rsidRDefault="00D46016" w:rsidP="00E27AD0">
      <w:pPr>
        <w:pStyle w:val="NormalWeb"/>
        <w:numPr>
          <w:ilvl w:val="0"/>
          <w:numId w:val="1"/>
        </w:numPr>
        <w:rPr>
          <w:rFonts w:ascii="Arial" w:hAnsi="Arial" w:cs="Arial"/>
        </w:rPr>
      </w:pPr>
      <w:r w:rsidRPr="004A7D49">
        <w:rPr>
          <w:rFonts w:ascii="Arial" w:hAnsi="Arial" w:cs="Arial"/>
        </w:rPr>
        <w:t xml:space="preserve">Eneizan, B.M., Abd-Wahab, K. and S., Z.M. (2016) ‘Effects of green marketing strategy on the financial and non-financial performance of </w:t>
      </w:r>
      <w:proofErr w:type="gramStart"/>
      <w:r w:rsidRPr="004A7D49">
        <w:rPr>
          <w:rFonts w:ascii="Arial" w:hAnsi="Arial" w:cs="Arial"/>
        </w:rPr>
        <w:t>firms :</w:t>
      </w:r>
      <w:proofErr w:type="gramEnd"/>
      <w:r w:rsidRPr="004A7D49">
        <w:rPr>
          <w:rFonts w:ascii="Arial" w:hAnsi="Arial" w:cs="Arial"/>
        </w:rPr>
        <w:t xml:space="preserve"> A conceptual paper’, </w:t>
      </w:r>
      <w:r w:rsidRPr="004A7D49">
        <w:rPr>
          <w:rFonts w:ascii="Arial" w:hAnsi="Arial" w:cs="Arial"/>
          <w:i/>
          <w:iCs/>
        </w:rPr>
        <w:t>Oman Chapter of Arabian Journal of Business and Management Review</w:t>
      </w:r>
      <w:r w:rsidRPr="004A7D49">
        <w:rPr>
          <w:rFonts w:ascii="Arial" w:hAnsi="Arial" w:cs="Arial"/>
        </w:rPr>
        <w:t xml:space="preserve">, 5(12), pp. 14–27. doi:10.12816/0031457. </w:t>
      </w:r>
    </w:p>
    <w:p w14:paraId="19DA9C92" w14:textId="77777777" w:rsidR="00D46016" w:rsidRPr="004A7D49" w:rsidRDefault="00D46016">
      <w:pPr>
        <w:pStyle w:val="NormalWeb"/>
        <w:numPr>
          <w:ilvl w:val="0"/>
          <w:numId w:val="1"/>
        </w:numPr>
        <w:rPr>
          <w:rFonts w:ascii="Arial" w:hAnsi="Arial" w:cs="Arial"/>
        </w:rPr>
      </w:pPr>
      <w:r w:rsidRPr="004A7D49">
        <w:rPr>
          <w:rFonts w:ascii="Arial" w:hAnsi="Arial" w:cs="Arial"/>
          <w:color w:val="222222"/>
          <w:shd w:val="clear" w:color="auto" w:fill="FFFFFF"/>
        </w:rPr>
        <w:t>Engert, S., Rauter, R. and Baumgartner, R.J., 2016. Exploring the integration of corporate sustainability into strategic management: A literature review. </w:t>
      </w:r>
      <w:r w:rsidRPr="004A7D49">
        <w:rPr>
          <w:rFonts w:ascii="Arial" w:hAnsi="Arial" w:cs="Arial"/>
          <w:i/>
          <w:iCs/>
          <w:color w:val="222222"/>
          <w:shd w:val="clear" w:color="auto" w:fill="FFFFFF"/>
        </w:rPr>
        <w:t>Journal of cleaner production</w:t>
      </w:r>
      <w:r w:rsidRPr="004A7D49">
        <w:rPr>
          <w:rFonts w:ascii="Arial" w:hAnsi="Arial" w:cs="Arial"/>
          <w:color w:val="222222"/>
          <w:shd w:val="clear" w:color="auto" w:fill="FFFFFF"/>
        </w:rPr>
        <w:t>, </w:t>
      </w:r>
      <w:r w:rsidRPr="004A7D49">
        <w:rPr>
          <w:rFonts w:ascii="Arial" w:hAnsi="Arial" w:cs="Arial"/>
          <w:i/>
          <w:iCs/>
          <w:color w:val="222222"/>
          <w:shd w:val="clear" w:color="auto" w:fill="FFFFFF"/>
        </w:rPr>
        <w:t>112</w:t>
      </w:r>
      <w:r w:rsidRPr="004A7D49">
        <w:rPr>
          <w:rFonts w:ascii="Arial" w:hAnsi="Arial" w:cs="Arial"/>
          <w:color w:val="222222"/>
          <w:shd w:val="clear" w:color="auto" w:fill="FFFFFF"/>
        </w:rPr>
        <w:t>, pp.2833-2850.</w:t>
      </w:r>
    </w:p>
    <w:p w14:paraId="7C9E5778" w14:textId="77777777" w:rsidR="00E27AD0" w:rsidRPr="004A7D49" w:rsidRDefault="00E27AD0" w:rsidP="00E27AD0">
      <w:pPr>
        <w:pStyle w:val="NormalWeb"/>
        <w:rPr>
          <w:rFonts w:ascii="Arial" w:hAnsi="Arial" w:cs="Arial"/>
        </w:rPr>
      </w:pPr>
    </w:p>
    <w:p w14:paraId="72B53E6A" w14:textId="77777777" w:rsidR="00D46016" w:rsidRPr="004A7D49" w:rsidRDefault="00D46016">
      <w:pPr>
        <w:pStyle w:val="NormalWeb"/>
        <w:numPr>
          <w:ilvl w:val="0"/>
          <w:numId w:val="1"/>
        </w:numPr>
        <w:rPr>
          <w:rFonts w:ascii="Arial" w:hAnsi="Arial" w:cs="Arial"/>
        </w:rPr>
      </w:pPr>
      <w:r w:rsidRPr="004A7D49">
        <w:rPr>
          <w:rFonts w:ascii="Arial" w:hAnsi="Arial" w:cs="Arial"/>
        </w:rPr>
        <w:t xml:space="preserve">Grove, A.L. </w:t>
      </w:r>
      <w:r w:rsidRPr="004A7D49">
        <w:rPr>
          <w:rFonts w:ascii="Arial" w:hAnsi="Arial" w:cs="Arial"/>
          <w:i/>
          <w:iCs/>
        </w:rPr>
        <w:t>et al.</w:t>
      </w:r>
      <w:r w:rsidRPr="004A7D49">
        <w:rPr>
          <w:rFonts w:ascii="Arial" w:hAnsi="Arial" w:cs="Arial"/>
        </w:rPr>
        <w:t xml:space="preserve"> (2010) ‘UK health visiting: Challenges faced during Lean Implementation’, </w:t>
      </w:r>
      <w:r w:rsidRPr="004A7D49">
        <w:rPr>
          <w:rFonts w:ascii="Arial" w:hAnsi="Arial" w:cs="Arial"/>
          <w:i/>
          <w:iCs/>
        </w:rPr>
        <w:t>Leadership in Health Services</w:t>
      </w:r>
      <w:r w:rsidRPr="004A7D49">
        <w:rPr>
          <w:rFonts w:ascii="Arial" w:hAnsi="Arial" w:cs="Arial"/>
        </w:rPr>
        <w:t xml:space="preserve">, 23(3), pp. 204–218. doi:10.1108/17511871011061037. </w:t>
      </w:r>
    </w:p>
    <w:p w14:paraId="32546EEB" w14:textId="77777777" w:rsidR="00E27AD0" w:rsidRPr="004A7D49" w:rsidRDefault="00E27AD0" w:rsidP="00E27AD0">
      <w:pPr>
        <w:pStyle w:val="NormalWeb"/>
        <w:rPr>
          <w:rFonts w:ascii="Arial" w:hAnsi="Arial" w:cs="Arial"/>
        </w:rPr>
      </w:pPr>
    </w:p>
    <w:p w14:paraId="2E285D3F" w14:textId="77777777" w:rsidR="00D46016" w:rsidRPr="004A7D49" w:rsidRDefault="00D46016">
      <w:pPr>
        <w:pStyle w:val="NormalWeb"/>
        <w:numPr>
          <w:ilvl w:val="0"/>
          <w:numId w:val="1"/>
        </w:numPr>
        <w:rPr>
          <w:rFonts w:ascii="Arial" w:hAnsi="Arial" w:cs="Arial"/>
        </w:rPr>
      </w:pPr>
      <w:r w:rsidRPr="004A7D49">
        <w:rPr>
          <w:rFonts w:ascii="Arial" w:hAnsi="Arial" w:cs="Arial"/>
          <w:color w:val="222222"/>
          <w:shd w:val="clear" w:color="auto" w:fill="FFFFFF"/>
        </w:rPr>
        <w:t xml:space="preserve">Hasan, H., Dedi Hermanto Karwan, D., Een, Y.H., </w:t>
      </w:r>
      <w:proofErr w:type="spellStart"/>
      <w:r w:rsidRPr="004A7D49">
        <w:rPr>
          <w:rFonts w:ascii="Arial" w:hAnsi="Arial" w:cs="Arial"/>
          <w:color w:val="222222"/>
          <w:shd w:val="clear" w:color="auto" w:fill="FFFFFF"/>
        </w:rPr>
        <w:t>Riswanti</w:t>
      </w:r>
      <w:proofErr w:type="spellEnd"/>
      <w:r w:rsidRPr="004A7D49">
        <w:rPr>
          <w:rFonts w:ascii="Arial" w:hAnsi="Arial" w:cs="Arial"/>
          <w:color w:val="222222"/>
          <w:shd w:val="clear" w:color="auto" w:fill="FFFFFF"/>
        </w:rPr>
        <w:t>, R. and Ujang, S., 2021. Motivation and Learning Strategies Student Motivation Affects Student Learning Strategies. </w:t>
      </w:r>
      <w:r w:rsidRPr="004A7D49">
        <w:rPr>
          <w:rFonts w:ascii="Arial" w:hAnsi="Arial" w:cs="Arial"/>
          <w:i/>
          <w:iCs/>
          <w:color w:val="222222"/>
          <w:shd w:val="clear" w:color="auto" w:fill="FFFFFF"/>
        </w:rPr>
        <w:t xml:space="preserve">Despite being a popular research subject internationally, self-regulated learning is relatively under-investigated in the Indonesian context. This article examined student learning motivation and its use as an indicator to predict student learning </w:t>
      </w:r>
      <w:proofErr w:type="spellStart"/>
      <w:r w:rsidRPr="004A7D49">
        <w:rPr>
          <w:rFonts w:ascii="Arial" w:hAnsi="Arial" w:cs="Arial"/>
          <w:i/>
          <w:iCs/>
          <w:color w:val="222222"/>
          <w:shd w:val="clear" w:color="auto" w:fill="FFFFFF"/>
        </w:rPr>
        <w:t>strateg</w:t>
      </w:r>
      <w:proofErr w:type="spellEnd"/>
      <w:r w:rsidRPr="004A7D49">
        <w:rPr>
          <w:rFonts w:ascii="Arial" w:hAnsi="Arial" w:cs="Arial"/>
          <w:color w:val="222222"/>
          <w:shd w:val="clear" w:color="auto" w:fill="FFFFFF"/>
        </w:rPr>
        <w:t>, </w:t>
      </w:r>
      <w:r w:rsidRPr="004A7D49">
        <w:rPr>
          <w:rFonts w:ascii="Arial" w:hAnsi="Arial" w:cs="Arial"/>
          <w:i/>
          <w:iCs/>
          <w:color w:val="222222"/>
          <w:shd w:val="clear" w:color="auto" w:fill="FFFFFF"/>
        </w:rPr>
        <w:t>10</w:t>
      </w:r>
      <w:r w:rsidRPr="004A7D49">
        <w:rPr>
          <w:rFonts w:ascii="Arial" w:hAnsi="Arial" w:cs="Arial"/>
          <w:color w:val="222222"/>
          <w:shd w:val="clear" w:color="auto" w:fill="FFFFFF"/>
        </w:rPr>
        <w:t>(1), pp.39-49.</w:t>
      </w:r>
    </w:p>
    <w:p w14:paraId="3664373C" w14:textId="77777777" w:rsidR="00E27AD0" w:rsidRPr="004A7D49" w:rsidRDefault="00E27AD0" w:rsidP="00E27AD0">
      <w:pPr>
        <w:pStyle w:val="NormalWeb"/>
        <w:rPr>
          <w:rFonts w:ascii="Arial" w:hAnsi="Arial" w:cs="Arial"/>
        </w:rPr>
      </w:pPr>
    </w:p>
    <w:p w14:paraId="5D8E13B9" w14:textId="77777777" w:rsidR="00D46016" w:rsidRPr="004A7D49" w:rsidRDefault="00D46016">
      <w:pPr>
        <w:pStyle w:val="NormalWeb"/>
        <w:numPr>
          <w:ilvl w:val="0"/>
          <w:numId w:val="1"/>
        </w:numPr>
        <w:rPr>
          <w:rFonts w:ascii="Arial" w:hAnsi="Arial" w:cs="Arial"/>
        </w:rPr>
      </w:pPr>
      <w:r w:rsidRPr="004A7D49">
        <w:rPr>
          <w:rFonts w:ascii="Arial" w:hAnsi="Arial" w:cs="Arial"/>
        </w:rPr>
        <w:t xml:space="preserve">Hines, P. (2016) ‘Toyota supplier system in Japan and the UK’, </w:t>
      </w:r>
      <w:r w:rsidRPr="004A7D49">
        <w:rPr>
          <w:rFonts w:ascii="Arial" w:hAnsi="Arial" w:cs="Arial"/>
          <w:i/>
          <w:iCs/>
        </w:rPr>
        <w:t>Developments in Logistics and Supply Chain Management</w:t>
      </w:r>
      <w:r w:rsidRPr="004A7D49">
        <w:rPr>
          <w:rFonts w:ascii="Arial" w:hAnsi="Arial" w:cs="Arial"/>
        </w:rPr>
        <w:t xml:space="preserve">, pp. 113–124. doi:10.1057/9781137541253_11. </w:t>
      </w:r>
    </w:p>
    <w:p w14:paraId="03EF67A6" w14:textId="77777777" w:rsidR="00E27AD0" w:rsidRPr="004A7D49" w:rsidRDefault="00E27AD0" w:rsidP="00E27AD0">
      <w:pPr>
        <w:pStyle w:val="NormalWeb"/>
        <w:rPr>
          <w:rFonts w:ascii="Arial" w:hAnsi="Arial" w:cs="Arial"/>
        </w:rPr>
      </w:pPr>
    </w:p>
    <w:p w14:paraId="2E97983E" w14:textId="77777777" w:rsidR="00D46016" w:rsidRPr="004A7D49" w:rsidRDefault="00D46016">
      <w:pPr>
        <w:pStyle w:val="NormalWeb"/>
        <w:numPr>
          <w:ilvl w:val="0"/>
          <w:numId w:val="1"/>
        </w:numPr>
        <w:rPr>
          <w:rFonts w:ascii="Arial" w:hAnsi="Arial" w:cs="Arial"/>
        </w:rPr>
      </w:pPr>
      <w:r w:rsidRPr="004A7D49">
        <w:rPr>
          <w:rFonts w:ascii="Arial" w:hAnsi="Arial" w:cs="Arial"/>
          <w:i/>
          <w:iCs/>
        </w:rPr>
        <w:t>Home</w:t>
      </w:r>
      <w:r w:rsidRPr="004A7D49">
        <w:rPr>
          <w:rFonts w:ascii="Arial" w:hAnsi="Arial" w:cs="Arial"/>
        </w:rPr>
        <w:t xml:space="preserve"> (2023) </w:t>
      </w:r>
      <w:r w:rsidRPr="004A7D49">
        <w:rPr>
          <w:rFonts w:ascii="Arial" w:hAnsi="Arial" w:cs="Arial"/>
          <w:i/>
          <w:iCs/>
        </w:rPr>
        <w:t xml:space="preserve">UK - Flash report, Automotive sales volume, 2023 - </w:t>
      </w:r>
      <w:proofErr w:type="spellStart"/>
      <w:r w:rsidRPr="004A7D49">
        <w:rPr>
          <w:rFonts w:ascii="Arial" w:hAnsi="Arial" w:cs="Arial"/>
          <w:i/>
          <w:iCs/>
        </w:rPr>
        <w:t>MarkLines</w:t>
      </w:r>
      <w:proofErr w:type="spellEnd"/>
      <w:r w:rsidRPr="004A7D49">
        <w:rPr>
          <w:rFonts w:ascii="Arial" w:hAnsi="Arial" w:cs="Arial"/>
          <w:i/>
          <w:iCs/>
        </w:rPr>
        <w:t xml:space="preserve"> Automotive Industry Portal</w:t>
      </w:r>
      <w:r w:rsidRPr="004A7D49">
        <w:rPr>
          <w:rFonts w:ascii="Arial" w:hAnsi="Arial" w:cs="Arial"/>
        </w:rPr>
        <w:t>. Available at: https://www.marklines.com/en/statistics/flash_sales/automotive-sales-in-uk-by-month (Accessed: 25 December 2023).</w:t>
      </w:r>
    </w:p>
    <w:p w14:paraId="0DE65BD8" w14:textId="77777777" w:rsidR="00E27AD0" w:rsidRPr="004A7D49" w:rsidRDefault="00E27AD0" w:rsidP="00E27AD0">
      <w:pPr>
        <w:pStyle w:val="NormalWeb"/>
        <w:rPr>
          <w:rFonts w:ascii="Arial" w:hAnsi="Arial" w:cs="Arial"/>
        </w:rPr>
      </w:pPr>
    </w:p>
    <w:p w14:paraId="08B85BEB" w14:textId="77777777" w:rsidR="00D46016" w:rsidRPr="004A7D49" w:rsidRDefault="00D46016">
      <w:pPr>
        <w:pStyle w:val="NormalWeb"/>
        <w:numPr>
          <w:ilvl w:val="0"/>
          <w:numId w:val="1"/>
        </w:numPr>
        <w:rPr>
          <w:rFonts w:ascii="Arial" w:hAnsi="Arial" w:cs="Arial"/>
        </w:rPr>
      </w:pPr>
      <w:r w:rsidRPr="004A7D49">
        <w:rPr>
          <w:rFonts w:ascii="Arial" w:hAnsi="Arial" w:cs="Arial"/>
        </w:rPr>
        <w:lastRenderedPageBreak/>
        <w:t xml:space="preserve">Hoque, I. </w:t>
      </w:r>
      <w:r w:rsidRPr="004A7D49">
        <w:rPr>
          <w:rFonts w:ascii="Arial" w:hAnsi="Arial" w:cs="Arial"/>
          <w:i/>
          <w:iCs/>
        </w:rPr>
        <w:t>et al.</w:t>
      </w:r>
      <w:r w:rsidRPr="004A7D49">
        <w:rPr>
          <w:rFonts w:ascii="Arial" w:hAnsi="Arial" w:cs="Arial"/>
        </w:rPr>
        <w:t xml:space="preserve"> (2013) </w:t>
      </w:r>
      <w:r w:rsidRPr="004A7D49">
        <w:rPr>
          <w:rFonts w:ascii="Arial" w:hAnsi="Arial" w:cs="Arial"/>
          <w:i/>
          <w:iCs/>
        </w:rPr>
        <w:t>Analysis of Toyota’s marketing strategy in the UK market</w:t>
      </w:r>
      <w:r w:rsidRPr="004A7D49">
        <w:rPr>
          <w:rFonts w:ascii="Arial" w:hAnsi="Arial" w:cs="Arial"/>
        </w:rPr>
        <w:t>. Available at: https://www.researchgate.net/publication/350948474_Analysis_of_Toyota’s_Marketing_Strategy_in_the_UK_Market (Accessed: 31 December 2023).</w:t>
      </w:r>
    </w:p>
    <w:p w14:paraId="0C4C4B88" w14:textId="77777777" w:rsidR="00E27AD0" w:rsidRPr="004A7D49" w:rsidRDefault="00E27AD0" w:rsidP="00E27AD0">
      <w:pPr>
        <w:pStyle w:val="NormalWeb"/>
        <w:rPr>
          <w:rFonts w:ascii="Arial" w:hAnsi="Arial" w:cs="Arial"/>
        </w:rPr>
      </w:pPr>
    </w:p>
    <w:p w14:paraId="23AAEE3C" w14:textId="77777777" w:rsidR="00D46016" w:rsidRPr="004A7D49" w:rsidRDefault="00D46016">
      <w:pPr>
        <w:pStyle w:val="NormalWeb"/>
        <w:numPr>
          <w:ilvl w:val="0"/>
          <w:numId w:val="1"/>
        </w:numPr>
        <w:rPr>
          <w:rFonts w:ascii="Arial" w:hAnsi="Arial" w:cs="Arial"/>
        </w:rPr>
      </w:pPr>
      <w:proofErr w:type="spellStart"/>
      <w:r w:rsidRPr="004A7D49">
        <w:rPr>
          <w:rFonts w:ascii="Arial" w:hAnsi="Arial" w:cs="Arial"/>
          <w:color w:val="222222"/>
          <w:shd w:val="clear" w:color="auto" w:fill="FFFFFF"/>
        </w:rPr>
        <w:t>Išoraitė</w:t>
      </w:r>
      <w:proofErr w:type="spellEnd"/>
      <w:r w:rsidRPr="004A7D49">
        <w:rPr>
          <w:rFonts w:ascii="Arial" w:hAnsi="Arial" w:cs="Arial"/>
          <w:color w:val="222222"/>
          <w:shd w:val="clear" w:color="auto" w:fill="FFFFFF"/>
        </w:rPr>
        <w:t xml:space="preserve">, M., 2016. Marketing </w:t>
      </w:r>
      <w:proofErr w:type="gramStart"/>
      <w:r w:rsidRPr="004A7D49">
        <w:rPr>
          <w:rFonts w:ascii="Arial" w:hAnsi="Arial" w:cs="Arial"/>
          <w:color w:val="222222"/>
          <w:shd w:val="clear" w:color="auto" w:fill="FFFFFF"/>
        </w:rPr>
        <w:t>mix</w:t>
      </w:r>
      <w:proofErr w:type="gramEnd"/>
      <w:r w:rsidRPr="004A7D49">
        <w:rPr>
          <w:rFonts w:ascii="Arial" w:hAnsi="Arial" w:cs="Arial"/>
          <w:color w:val="222222"/>
          <w:shd w:val="clear" w:color="auto" w:fill="FFFFFF"/>
        </w:rPr>
        <w:t xml:space="preserve"> theoretical aspects. </w:t>
      </w:r>
      <w:r w:rsidRPr="004A7D49">
        <w:rPr>
          <w:rFonts w:ascii="Arial" w:hAnsi="Arial" w:cs="Arial"/>
          <w:i/>
          <w:iCs/>
          <w:color w:val="222222"/>
          <w:shd w:val="clear" w:color="auto" w:fill="FFFFFF"/>
        </w:rPr>
        <w:t>International Journal of Research-</w:t>
      </w:r>
      <w:proofErr w:type="spellStart"/>
      <w:r w:rsidRPr="004A7D49">
        <w:rPr>
          <w:rFonts w:ascii="Arial" w:hAnsi="Arial" w:cs="Arial"/>
          <w:i/>
          <w:iCs/>
          <w:color w:val="222222"/>
          <w:shd w:val="clear" w:color="auto" w:fill="FFFFFF"/>
        </w:rPr>
        <w:t>Granthaalayah</w:t>
      </w:r>
      <w:proofErr w:type="spellEnd"/>
      <w:r w:rsidRPr="004A7D49">
        <w:rPr>
          <w:rFonts w:ascii="Arial" w:hAnsi="Arial" w:cs="Arial"/>
          <w:color w:val="222222"/>
          <w:shd w:val="clear" w:color="auto" w:fill="FFFFFF"/>
        </w:rPr>
        <w:t>, </w:t>
      </w:r>
      <w:r w:rsidRPr="004A7D49">
        <w:rPr>
          <w:rFonts w:ascii="Arial" w:hAnsi="Arial" w:cs="Arial"/>
          <w:i/>
          <w:iCs/>
          <w:color w:val="222222"/>
          <w:shd w:val="clear" w:color="auto" w:fill="FFFFFF"/>
        </w:rPr>
        <w:t>4</w:t>
      </w:r>
      <w:r w:rsidRPr="004A7D49">
        <w:rPr>
          <w:rFonts w:ascii="Arial" w:hAnsi="Arial" w:cs="Arial"/>
          <w:color w:val="222222"/>
          <w:shd w:val="clear" w:color="auto" w:fill="FFFFFF"/>
        </w:rPr>
        <w:t>(6), pp.25-37.</w:t>
      </w:r>
    </w:p>
    <w:p w14:paraId="1EE26F7C" w14:textId="77777777" w:rsidR="00E27AD0" w:rsidRPr="004A7D49" w:rsidRDefault="00E27AD0" w:rsidP="00E27AD0">
      <w:pPr>
        <w:pStyle w:val="NormalWeb"/>
        <w:rPr>
          <w:rFonts w:ascii="Arial" w:hAnsi="Arial" w:cs="Arial"/>
        </w:rPr>
      </w:pPr>
    </w:p>
    <w:p w14:paraId="6F823F8C" w14:textId="77777777" w:rsidR="00D46016" w:rsidRPr="004A7D49" w:rsidRDefault="00D46016">
      <w:pPr>
        <w:pStyle w:val="NormalWeb"/>
        <w:numPr>
          <w:ilvl w:val="0"/>
          <w:numId w:val="1"/>
        </w:numPr>
        <w:rPr>
          <w:rFonts w:ascii="Arial" w:hAnsi="Arial" w:cs="Arial"/>
        </w:rPr>
      </w:pPr>
      <w:r w:rsidRPr="004A7D49">
        <w:rPr>
          <w:rFonts w:ascii="Arial" w:hAnsi="Arial" w:cs="Arial"/>
          <w:color w:val="222222"/>
          <w:shd w:val="clear" w:color="auto" w:fill="FFFFFF"/>
        </w:rPr>
        <w:t>Johnston, M.P., 2014. Secondary data analysis: A method of which the time has come. </w:t>
      </w:r>
      <w:r w:rsidRPr="004A7D49">
        <w:rPr>
          <w:rFonts w:ascii="Arial" w:hAnsi="Arial" w:cs="Arial"/>
          <w:i/>
          <w:iCs/>
          <w:color w:val="222222"/>
          <w:shd w:val="clear" w:color="auto" w:fill="FFFFFF"/>
        </w:rPr>
        <w:t>Qualitative and quantitative methods in libraries</w:t>
      </w:r>
      <w:r w:rsidRPr="004A7D49">
        <w:rPr>
          <w:rFonts w:ascii="Arial" w:hAnsi="Arial" w:cs="Arial"/>
          <w:color w:val="222222"/>
          <w:shd w:val="clear" w:color="auto" w:fill="FFFFFF"/>
        </w:rPr>
        <w:t>, </w:t>
      </w:r>
      <w:r w:rsidRPr="004A7D49">
        <w:rPr>
          <w:rFonts w:ascii="Arial" w:hAnsi="Arial" w:cs="Arial"/>
          <w:i/>
          <w:iCs/>
          <w:color w:val="222222"/>
          <w:shd w:val="clear" w:color="auto" w:fill="FFFFFF"/>
        </w:rPr>
        <w:t>3</w:t>
      </w:r>
      <w:r w:rsidRPr="004A7D49">
        <w:rPr>
          <w:rFonts w:ascii="Arial" w:hAnsi="Arial" w:cs="Arial"/>
          <w:color w:val="222222"/>
          <w:shd w:val="clear" w:color="auto" w:fill="FFFFFF"/>
        </w:rPr>
        <w:t>(3), pp.619-626.</w:t>
      </w:r>
    </w:p>
    <w:p w14:paraId="28668EE9" w14:textId="77777777" w:rsidR="00E27AD0" w:rsidRPr="004A7D49" w:rsidRDefault="00E27AD0" w:rsidP="00E27AD0">
      <w:pPr>
        <w:pStyle w:val="NormalWeb"/>
        <w:rPr>
          <w:rFonts w:ascii="Arial" w:hAnsi="Arial" w:cs="Arial"/>
        </w:rPr>
      </w:pPr>
    </w:p>
    <w:p w14:paraId="113A35B1" w14:textId="53B4E68B" w:rsidR="00E27AD0" w:rsidRPr="004A7D49" w:rsidRDefault="00D46016" w:rsidP="00E27AD0">
      <w:pPr>
        <w:pStyle w:val="NormalWeb"/>
        <w:numPr>
          <w:ilvl w:val="0"/>
          <w:numId w:val="1"/>
        </w:numPr>
        <w:rPr>
          <w:rFonts w:ascii="Arial" w:hAnsi="Arial" w:cs="Arial"/>
        </w:rPr>
      </w:pPr>
      <w:r w:rsidRPr="004A7D49">
        <w:rPr>
          <w:rFonts w:ascii="Arial" w:hAnsi="Arial" w:cs="Arial"/>
          <w:color w:val="222222"/>
          <w:shd w:val="clear" w:color="auto" w:fill="FFFFFF"/>
        </w:rPr>
        <w:t>Knopf, J.W., 2006. Doing a literature review. </w:t>
      </w:r>
      <w:r w:rsidRPr="004A7D49">
        <w:rPr>
          <w:rFonts w:ascii="Arial" w:hAnsi="Arial" w:cs="Arial"/>
          <w:i/>
          <w:iCs/>
          <w:color w:val="222222"/>
          <w:shd w:val="clear" w:color="auto" w:fill="FFFFFF"/>
        </w:rPr>
        <w:t>PS: Political Science &amp; Politics</w:t>
      </w:r>
      <w:r w:rsidRPr="004A7D49">
        <w:rPr>
          <w:rFonts w:ascii="Arial" w:hAnsi="Arial" w:cs="Arial"/>
          <w:color w:val="222222"/>
          <w:shd w:val="clear" w:color="auto" w:fill="FFFFFF"/>
        </w:rPr>
        <w:t>, </w:t>
      </w:r>
      <w:r w:rsidRPr="004A7D49">
        <w:rPr>
          <w:rFonts w:ascii="Arial" w:hAnsi="Arial" w:cs="Arial"/>
          <w:i/>
          <w:iCs/>
          <w:color w:val="222222"/>
          <w:shd w:val="clear" w:color="auto" w:fill="FFFFFF"/>
        </w:rPr>
        <w:t>39</w:t>
      </w:r>
      <w:r w:rsidRPr="004A7D49">
        <w:rPr>
          <w:rFonts w:ascii="Arial" w:hAnsi="Arial" w:cs="Arial"/>
          <w:color w:val="222222"/>
          <w:shd w:val="clear" w:color="auto" w:fill="FFFFFF"/>
        </w:rPr>
        <w:t>(1), pp.127-132.</w:t>
      </w:r>
    </w:p>
    <w:p w14:paraId="57F7B5CA" w14:textId="77777777" w:rsidR="00E27AD0" w:rsidRPr="004A7D49" w:rsidRDefault="00E27AD0" w:rsidP="00E27AD0">
      <w:pPr>
        <w:pStyle w:val="NormalWeb"/>
        <w:rPr>
          <w:rFonts w:ascii="Arial" w:hAnsi="Arial" w:cs="Arial"/>
        </w:rPr>
      </w:pPr>
    </w:p>
    <w:p w14:paraId="365C158F" w14:textId="77777777" w:rsidR="00D46016" w:rsidRPr="004A7D49" w:rsidRDefault="00D46016">
      <w:pPr>
        <w:pStyle w:val="NormalWeb"/>
        <w:numPr>
          <w:ilvl w:val="0"/>
          <w:numId w:val="1"/>
        </w:numPr>
        <w:rPr>
          <w:rFonts w:ascii="Arial" w:hAnsi="Arial" w:cs="Arial"/>
        </w:rPr>
      </w:pPr>
      <w:r w:rsidRPr="004A7D49">
        <w:rPr>
          <w:rFonts w:ascii="Arial" w:hAnsi="Arial" w:cs="Arial"/>
          <w:color w:val="222222"/>
          <w:shd w:val="clear" w:color="auto" w:fill="FFFFFF"/>
        </w:rPr>
        <w:t>Kothari, C.R., 2004. </w:t>
      </w:r>
      <w:r w:rsidRPr="004A7D49">
        <w:rPr>
          <w:rFonts w:ascii="Arial" w:hAnsi="Arial" w:cs="Arial"/>
          <w:i/>
          <w:iCs/>
          <w:color w:val="222222"/>
          <w:shd w:val="clear" w:color="auto" w:fill="FFFFFF"/>
        </w:rPr>
        <w:t>Research methodology</w:t>
      </w:r>
      <w:r w:rsidRPr="004A7D49">
        <w:rPr>
          <w:rFonts w:ascii="Arial" w:hAnsi="Arial" w:cs="Arial"/>
          <w:color w:val="222222"/>
          <w:shd w:val="clear" w:color="auto" w:fill="FFFFFF"/>
        </w:rPr>
        <w:t>. new Age.</w:t>
      </w:r>
    </w:p>
    <w:p w14:paraId="3F2184A5" w14:textId="77777777" w:rsidR="00E27AD0" w:rsidRPr="004A7D49" w:rsidRDefault="00E27AD0" w:rsidP="00E27AD0">
      <w:pPr>
        <w:pStyle w:val="NormalWeb"/>
        <w:rPr>
          <w:rFonts w:ascii="Arial" w:hAnsi="Arial" w:cs="Arial"/>
        </w:rPr>
      </w:pPr>
    </w:p>
    <w:p w14:paraId="05B3F17C" w14:textId="77777777" w:rsidR="00D46016" w:rsidRPr="004A7D49" w:rsidRDefault="00D46016">
      <w:pPr>
        <w:pStyle w:val="NormalWeb"/>
        <w:numPr>
          <w:ilvl w:val="0"/>
          <w:numId w:val="1"/>
        </w:numPr>
        <w:rPr>
          <w:rFonts w:ascii="Arial" w:hAnsi="Arial" w:cs="Arial"/>
        </w:rPr>
      </w:pPr>
      <w:r w:rsidRPr="004A7D49">
        <w:rPr>
          <w:rFonts w:ascii="Arial" w:hAnsi="Arial" w:cs="Arial"/>
        </w:rPr>
        <w:t xml:space="preserve">Kumar, P. and Ghodeswar, B. (2015) ‘Green Marketing Mix’, </w:t>
      </w:r>
      <w:r w:rsidRPr="004A7D49">
        <w:rPr>
          <w:rFonts w:ascii="Arial" w:hAnsi="Arial" w:cs="Arial"/>
          <w:i/>
          <w:iCs/>
        </w:rPr>
        <w:t>International Journal of Asian Business and Information Management</w:t>
      </w:r>
      <w:r w:rsidRPr="004A7D49">
        <w:rPr>
          <w:rFonts w:ascii="Arial" w:hAnsi="Arial" w:cs="Arial"/>
        </w:rPr>
        <w:t xml:space="preserve">, 6(3), pp. 42–59. doi:10.4018/ijabim.2015070104. </w:t>
      </w:r>
    </w:p>
    <w:p w14:paraId="5D98C1D9" w14:textId="77777777" w:rsidR="00E27AD0" w:rsidRPr="004A7D49" w:rsidRDefault="00E27AD0" w:rsidP="00E27AD0">
      <w:pPr>
        <w:pStyle w:val="NormalWeb"/>
        <w:rPr>
          <w:rFonts w:ascii="Arial" w:hAnsi="Arial" w:cs="Arial"/>
        </w:rPr>
      </w:pPr>
    </w:p>
    <w:p w14:paraId="6343D00D" w14:textId="77777777" w:rsidR="00D46016" w:rsidRPr="004A7D49" w:rsidRDefault="00D46016">
      <w:pPr>
        <w:pStyle w:val="NormalWeb"/>
        <w:numPr>
          <w:ilvl w:val="0"/>
          <w:numId w:val="1"/>
        </w:numPr>
        <w:rPr>
          <w:rFonts w:ascii="Arial" w:hAnsi="Arial" w:cs="Arial"/>
        </w:rPr>
      </w:pPr>
      <w:r w:rsidRPr="004A7D49">
        <w:rPr>
          <w:rFonts w:ascii="Arial" w:hAnsi="Arial" w:cs="Arial"/>
        </w:rPr>
        <w:t xml:space="preserve">Lander, </w:t>
      </w:r>
      <w:proofErr w:type="gramStart"/>
      <w:r w:rsidRPr="004A7D49">
        <w:rPr>
          <w:rFonts w:ascii="Arial" w:hAnsi="Arial" w:cs="Arial"/>
        </w:rPr>
        <w:t>E.</w:t>
      </w:r>
      <w:proofErr w:type="gramEnd"/>
      <w:r w:rsidRPr="004A7D49">
        <w:rPr>
          <w:rFonts w:ascii="Arial" w:hAnsi="Arial" w:cs="Arial"/>
        </w:rPr>
        <w:t xml:space="preserve"> and Liker, J.K. (2007) ‘The </w:t>
      </w:r>
      <w:proofErr w:type="spellStart"/>
      <w:r w:rsidRPr="004A7D49">
        <w:rPr>
          <w:rFonts w:ascii="Arial" w:hAnsi="Arial" w:cs="Arial"/>
        </w:rPr>
        <w:t>toyota</w:t>
      </w:r>
      <w:proofErr w:type="spellEnd"/>
      <w:r w:rsidRPr="004A7D49">
        <w:rPr>
          <w:rFonts w:ascii="Arial" w:hAnsi="Arial" w:cs="Arial"/>
        </w:rPr>
        <w:t xml:space="preserve"> production system and art: Making highly customized and creative products the Toyota Way’, </w:t>
      </w:r>
      <w:r w:rsidRPr="004A7D49">
        <w:rPr>
          <w:rFonts w:ascii="Arial" w:hAnsi="Arial" w:cs="Arial"/>
          <w:i/>
          <w:iCs/>
        </w:rPr>
        <w:t>International Journal of Production Research</w:t>
      </w:r>
      <w:r w:rsidRPr="004A7D49">
        <w:rPr>
          <w:rFonts w:ascii="Arial" w:hAnsi="Arial" w:cs="Arial"/>
        </w:rPr>
        <w:t xml:space="preserve">, 45(16), pp. 3681–3698. doi:10.1080/00207540701223519. </w:t>
      </w:r>
    </w:p>
    <w:p w14:paraId="421692A3" w14:textId="77777777" w:rsidR="00E27AD0" w:rsidRPr="004A7D49" w:rsidRDefault="00E27AD0" w:rsidP="00E27AD0">
      <w:pPr>
        <w:pStyle w:val="NormalWeb"/>
        <w:rPr>
          <w:rFonts w:ascii="Arial" w:hAnsi="Arial" w:cs="Arial"/>
        </w:rPr>
      </w:pPr>
    </w:p>
    <w:p w14:paraId="3B9170CB" w14:textId="77777777" w:rsidR="00D46016" w:rsidRPr="004A7D49" w:rsidRDefault="00D46016">
      <w:pPr>
        <w:pStyle w:val="NormalWeb"/>
        <w:numPr>
          <w:ilvl w:val="0"/>
          <w:numId w:val="1"/>
        </w:numPr>
        <w:rPr>
          <w:rFonts w:ascii="Arial" w:hAnsi="Arial" w:cs="Arial"/>
        </w:rPr>
      </w:pPr>
      <w:r w:rsidRPr="004A7D49">
        <w:rPr>
          <w:rFonts w:ascii="Arial" w:hAnsi="Arial" w:cs="Arial"/>
          <w:color w:val="222222"/>
          <w:shd w:val="clear" w:color="auto" w:fill="FFFFFF"/>
        </w:rPr>
        <w:t xml:space="preserve">Larina, I.V., Larin, A.N., </w:t>
      </w:r>
      <w:proofErr w:type="spellStart"/>
      <w:r w:rsidRPr="004A7D49">
        <w:rPr>
          <w:rFonts w:ascii="Arial" w:hAnsi="Arial" w:cs="Arial"/>
          <w:color w:val="222222"/>
          <w:shd w:val="clear" w:color="auto" w:fill="FFFFFF"/>
        </w:rPr>
        <w:t>Kiriliuk</w:t>
      </w:r>
      <w:proofErr w:type="spellEnd"/>
      <w:r w:rsidRPr="004A7D49">
        <w:rPr>
          <w:rFonts w:ascii="Arial" w:hAnsi="Arial" w:cs="Arial"/>
          <w:color w:val="222222"/>
          <w:shd w:val="clear" w:color="auto" w:fill="FFFFFF"/>
        </w:rPr>
        <w:t xml:space="preserve">, O. and </w:t>
      </w:r>
      <w:proofErr w:type="spellStart"/>
      <w:r w:rsidRPr="004A7D49">
        <w:rPr>
          <w:rFonts w:ascii="Arial" w:hAnsi="Arial" w:cs="Arial"/>
          <w:color w:val="222222"/>
          <w:shd w:val="clear" w:color="auto" w:fill="FFFFFF"/>
        </w:rPr>
        <w:t>Ingaldi</w:t>
      </w:r>
      <w:proofErr w:type="spellEnd"/>
      <w:r w:rsidRPr="004A7D49">
        <w:rPr>
          <w:rFonts w:ascii="Arial" w:hAnsi="Arial" w:cs="Arial"/>
          <w:color w:val="222222"/>
          <w:shd w:val="clear" w:color="auto" w:fill="FFFFFF"/>
        </w:rPr>
        <w:t>, M., 2021. Green logistics-modern transportation process technology. </w:t>
      </w:r>
      <w:r w:rsidRPr="004A7D49">
        <w:rPr>
          <w:rFonts w:ascii="Arial" w:hAnsi="Arial" w:cs="Arial"/>
          <w:i/>
          <w:iCs/>
          <w:color w:val="222222"/>
          <w:shd w:val="clear" w:color="auto" w:fill="FFFFFF"/>
        </w:rPr>
        <w:t>Production Engineering Archives</w:t>
      </w:r>
      <w:r w:rsidRPr="004A7D49">
        <w:rPr>
          <w:rFonts w:ascii="Arial" w:hAnsi="Arial" w:cs="Arial"/>
          <w:color w:val="222222"/>
          <w:shd w:val="clear" w:color="auto" w:fill="FFFFFF"/>
        </w:rPr>
        <w:t>, </w:t>
      </w:r>
      <w:r w:rsidRPr="004A7D49">
        <w:rPr>
          <w:rFonts w:ascii="Arial" w:hAnsi="Arial" w:cs="Arial"/>
          <w:i/>
          <w:iCs/>
          <w:color w:val="222222"/>
          <w:shd w:val="clear" w:color="auto" w:fill="FFFFFF"/>
        </w:rPr>
        <w:t>27</w:t>
      </w:r>
      <w:r w:rsidRPr="004A7D49">
        <w:rPr>
          <w:rFonts w:ascii="Arial" w:hAnsi="Arial" w:cs="Arial"/>
          <w:color w:val="222222"/>
          <w:shd w:val="clear" w:color="auto" w:fill="FFFFFF"/>
        </w:rPr>
        <w:t>(3), pp.184-190.</w:t>
      </w:r>
    </w:p>
    <w:p w14:paraId="33374A76" w14:textId="77777777" w:rsidR="00E27AD0" w:rsidRPr="004A7D49" w:rsidRDefault="00E27AD0" w:rsidP="00E27AD0">
      <w:pPr>
        <w:pStyle w:val="NormalWeb"/>
        <w:rPr>
          <w:rFonts w:ascii="Arial" w:hAnsi="Arial" w:cs="Arial"/>
        </w:rPr>
      </w:pPr>
    </w:p>
    <w:p w14:paraId="55A0EF11" w14:textId="77777777" w:rsidR="00D46016" w:rsidRDefault="00D46016">
      <w:pPr>
        <w:pStyle w:val="NormalWeb"/>
        <w:numPr>
          <w:ilvl w:val="0"/>
          <w:numId w:val="1"/>
        </w:numPr>
        <w:rPr>
          <w:rFonts w:ascii="Arial" w:hAnsi="Arial" w:cs="Arial"/>
        </w:rPr>
      </w:pPr>
      <w:r w:rsidRPr="004A7D49">
        <w:rPr>
          <w:rFonts w:ascii="Arial" w:hAnsi="Arial" w:cs="Arial"/>
        </w:rPr>
        <w:lastRenderedPageBreak/>
        <w:t xml:space="preserve">Last, G., </w:t>
      </w:r>
      <w:proofErr w:type="spellStart"/>
      <w:r w:rsidRPr="004A7D49">
        <w:rPr>
          <w:rFonts w:ascii="Arial" w:hAnsi="Arial" w:cs="Arial"/>
        </w:rPr>
        <w:t>Agbro</w:t>
      </w:r>
      <w:proofErr w:type="spellEnd"/>
      <w:r w:rsidRPr="004A7D49">
        <w:rPr>
          <w:rFonts w:ascii="Arial" w:hAnsi="Arial" w:cs="Arial"/>
        </w:rPr>
        <w:t xml:space="preserve">, D.E. and Asthana, A. (2021) ‘The future of hybrid electric vehicles and sustainable vehicles in the UK’, </w:t>
      </w:r>
      <w:r w:rsidRPr="004A7D49">
        <w:rPr>
          <w:rFonts w:ascii="Arial" w:hAnsi="Arial" w:cs="Arial"/>
          <w:i/>
          <w:iCs/>
        </w:rPr>
        <w:t>Springer Proceedings in Energy</w:t>
      </w:r>
      <w:r w:rsidRPr="004A7D49">
        <w:rPr>
          <w:rFonts w:ascii="Arial" w:hAnsi="Arial" w:cs="Arial"/>
        </w:rPr>
        <w:t xml:space="preserve">, pp. 213–221. doi:10.1007/978-3-030-63916-7_27. </w:t>
      </w:r>
    </w:p>
    <w:p w14:paraId="5A400294" w14:textId="77777777" w:rsidR="004A7D49" w:rsidRPr="004A7D49" w:rsidRDefault="004A7D49" w:rsidP="004A7D49">
      <w:pPr>
        <w:pStyle w:val="NormalWeb"/>
        <w:rPr>
          <w:rFonts w:ascii="Arial" w:hAnsi="Arial" w:cs="Arial"/>
        </w:rPr>
      </w:pPr>
    </w:p>
    <w:p w14:paraId="1A00386B" w14:textId="77777777" w:rsidR="00D46016" w:rsidRPr="004A7D49" w:rsidRDefault="00D46016">
      <w:pPr>
        <w:pStyle w:val="NormalWeb"/>
        <w:numPr>
          <w:ilvl w:val="0"/>
          <w:numId w:val="1"/>
        </w:numPr>
        <w:rPr>
          <w:rFonts w:ascii="Arial" w:hAnsi="Arial" w:cs="Arial"/>
        </w:rPr>
      </w:pPr>
      <w:r w:rsidRPr="004A7D49">
        <w:rPr>
          <w:rFonts w:ascii="Arial" w:hAnsi="Arial" w:cs="Arial"/>
          <w:color w:val="222222"/>
          <w:shd w:val="clear" w:color="auto" w:fill="FFFFFF"/>
        </w:rPr>
        <w:t xml:space="preserve">Leonidou, L.C., Leonidou, C.N., </w:t>
      </w:r>
      <w:proofErr w:type="spellStart"/>
      <w:r w:rsidRPr="004A7D49">
        <w:rPr>
          <w:rFonts w:ascii="Arial" w:hAnsi="Arial" w:cs="Arial"/>
          <w:color w:val="222222"/>
          <w:shd w:val="clear" w:color="auto" w:fill="FFFFFF"/>
        </w:rPr>
        <w:t>Palihawadana</w:t>
      </w:r>
      <w:proofErr w:type="spellEnd"/>
      <w:r w:rsidRPr="004A7D49">
        <w:rPr>
          <w:rFonts w:ascii="Arial" w:hAnsi="Arial" w:cs="Arial"/>
          <w:color w:val="222222"/>
          <w:shd w:val="clear" w:color="auto" w:fill="FFFFFF"/>
        </w:rPr>
        <w:t>, D. and Hultman, M., 2011. Evaluating the green advertising practices of international firms: a trend analysis. </w:t>
      </w:r>
      <w:r w:rsidRPr="004A7D49">
        <w:rPr>
          <w:rFonts w:ascii="Arial" w:hAnsi="Arial" w:cs="Arial"/>
          <w:i/>
          <w:iCs/>
          <w:color w:val="222222"/>
          <w:shd w:val="clear" w:color="auto" w:fill="FFFFFF"/>
        </w:rPr>
        <w:t>International Marketing Review</w:t>
      </w:r>
      <w:r w:rsidRPr="004A7D49">
        <w:rPr>
          <w:rFonts w:ascii="Arial" w:hAnsi="Arial" w:cs="Arial"/>
          <w:color w:val="222222"/>
          <w:shd w:val="clear" w:color="auto" w:fill="FFFFFF"/>
        </w:rPr>
        <w:t>, </w:t>
      </w:r>
      <w:r w:rsidRPr="004A7D49">
        <w:rPr>
          <w:rFonts w:ascii="Arial" w:hAnsi="Arial" w:cs="Arial"/>
          <w:i/>
          <w:iCs/>
          <w:color w:val="222222"/>
          <w:shd w:val="clear" w:color="auto" w:fill="FFFFFF"/>
        </w:rPr>
        <w:t>28</w:t>
      </w:r>
      <w:r w:rsidRPr="004A7D49">
        <w:rPr>
          <w:rFonts w:ascii="Arial" w:hAnsi="Arial" w:cs="Arial"/>
          <w:color w:val="222222"/>
          <w:shd w:val="clear" w:color="auto" w:fill="FFFFFF"/>
        </w:rPr>
        <w:t>(1), pp.6-33.</w:t>
      </w:r>
    </w:p>
    <w:p w14:paraId="7D5D73D2" w14:textId="77777777" w:rsidR="00E27AD0" w:rsidRPr="004A7D49" w:rsidRDefault="00E27AD0" w:rsidP="00E27AD0">
      <w:pPr>
        <w:pStyle w:val="NormalWeb"/>
        <w:ind w:left="720"/>
        <w:rPr>
          <w:rFonts w:ascii="Arial" w:hAnsi="Arial" w:cs="Arial"/>
        </w:rPr>
      </w:pPr>
    </w:p>
    <w:p w14:paraId="1581212A" w14:textId="77777777" w:rsidR="00D46016" w:rsidRPr="004A7D49" w:rsidRDefault="00D46016">
      <w:pPr>
        <w:pStyle w:val="NormalWeb"/>
        <w:numPr>
          <w:ilvl w:val="0"/>
          <w:numId w:val="1"/>
        </w:numPr>
        <w:rPr>
          <w:rFonts w:ascii="Arial" w:hAnsi="Arial" w:cs="Arial"/>
        </w:rPr>
      </w:pPr>
      <w:r w:rsidRPr="004A7D49">
        <w:rPr>
          <w:rFonts w:ascii="Arial" w:hAnsi="Arial" w:cs="Arial"/>
        </w:rPr>
        <w:t xml:space="preserve">Madoh, A. </w:t>
      </w:r>
      <w:r w:rsidRPr="004A7D49">
        <w:rPr>
          <w:rFonts w:ascii="Arial" w:hAnsi="Arial" w:cs="Arial"/>
          <w:i/>
          <w:iCs/>
        </w:rPr>
        <w:t>et al.</w:t>
      </w:r>
      <w:r w:rsidRPr="004A7D49">
        <w:rPr>
          <w:rFonts w:ascii="Arial" w:hAnsi="Arial" w:cs="Arial"/>
        </w:rPr>
        <w:t xml:space="preserve"> (2019) ‘Case study on market mix strategies of Toyota Motor Corporation’, </w:t>
      </w:r>
      <w:r w:rsidRPr="004A7D49">
        <w:rPr>
          <w:rFonts w:ascii="Arial" w:hAnsi="Arial" w:cs="Arial"/>
          <w:i/>
          <w:iCs/>
        </w:rPr>
        <w:t>Asia Pacific Journal of Management and Education</w:t>
      </w:r>
      <w:r w:rsidRPr="004A7D49">
        <w:rPr>
          <w:rFonts w:ascii="Arial" w:hAnsi="Arial" w:cs="Arial"/>
        </w:rPr>
        <w:t>, 2(3), pp. 70–78. doi:10.32535/</w:t>
      </w:r>
      <w:proofErr w:type="gramStart"/>
      <w:r w:rsidRPr="004A7D49">
        <w:rPr>
          <w:rFonts w:ascii="Arial" w:hAnsi="Arial" w:cs="Arial"/>
        </w:rPr>
        <w:t>apjme.v</w:t>
      </w:r>
      <w:proofErr w:type="gramEnd"/>
      <w:r w:rsidRPr="004A7D49">
        <w:rPr>
          <w:rFonts w:ascii="Arial" w:hAnsi="Arial" w:cs="Arial"/>
        </w:rPr>
        <w:t xml:space="preserve">2i3.630. </w:t>
      </w:r>
    </w:p>
    <w:p w14:paraId="4ACB5436" w14:textId="77777777" w:rsidR="00E27AD0" w:rsidRPr="004A7D49" w:rsidRDefault="00E27AD0" w:rsidP="00E27AD0">
      <w:pPr>
        <w:pStyle w:val="NormalWeb"/>
        <w:rPr>
          <w:rFonts w:ascii="Arial" w:hAnsi="Arial" w:cs="Arial"/>
        </w:rPr>
      </w:pPr>
    </w:p>
    <w:p w14:paraId="15E1F5E4" w14:textId="77777777" w:rsidR="00D46016" w:rsidRPr="004A7D49" w:rsidRDefault="00D46016">
      <w:pPr>
        <w:pStyle w:val="NormalWeb"/>
        <w:numPr>
          <w:ilvl w:val="0"/>
          <w:numId w:val="1"/>
        </w:numPr>
        <w:rPr>
          <w:rFonts w:ascii="Arial" w:hAnsi="Arial" w:cs="Arial"/>
        </w:rPr>
      </w:pPr>
      <w:r w:rsidRPr="004A7D49">
        <w:rPr>
          <w:rFonts w:ascii="Arial" w:hAnsi="Arial" w:cs="Arial"/>
          <w:color w:val="222222"/>
          <w:shd w:val="clear" w:color="auto" w:fill="FFFFFF"/>
        </w:rPr>
        <w:t>Mahmoud, T.O., 2018. Impact of green marketing mix on purchase intention. </w:t>
      </w:r>
      <w:r w:rsidRPr="004A7D49">
        <w:rPr>
          <w:rFonts w:ascii="Arial" w:hAnsi="Arial" w:cs="Arial"/>
          <w:i/>
          <w:iCs/>
          <w:color w:val="222222"/>
          <w:shd w:val="clear" w:color="auto" w:fill="FFFFFF"/>
        </w:rPr>
        <w:t>International Journal of Advanced and applied sciences</w:t>
      </w:r>
      <w:r w:rsidRPr="004A7D49">
        <w:rPr>
          <w:rFonts w:ascii="Arial" w:hAnsi="Arial" w:cs="Arial"/>
          <w:color w:val="222222"/>
          <w:shd w:val="clear" w:color="auto" w:fill="FFFFFF"/>
        </w:rPr>
        <w:t>, </w:t>
      </w:r>
      <w:r w:rsidRPr="004A7D49">
        <w:rPr>
          <w:rFonts w:ascii="Arial" w:hAnsi="Arial" w:cs="Arial"/>
          <w:i/>
          <w:iCs/>
          <w:color w:val="222222"/>
          <w:shd w:val="clear" w:color="auto" w:fill="FFFFFF"/>
        </w:rPr>
        <w:t>5</w:t>
      </w:r>
      <w:r w:rsidRPr="004A7D49">
        <w:rPr>
          <w:rFonts w:ascii="Arial" w:hAnsi="Arial" w:cs="Arial"/>
          <w:color w:val="222222"/>
          <w:shd w:val="clear" w:color="auto" w:fill="FFFFFF"/>
        </w:rPr>
        <w:t>(2), pp.127-135.</w:t>
      </w:r>
    </w:p>
    <w:p w14:paraId="458CCF8C" w14:textId="77777777" w:rsidR="00E27AD0" w:rsidRPr="004A7D49" w:rsidRDefault="00E27AD0" w:rsidP="00E27AD0">
      <w:pPr>
        <w:pStyle w:val="NormalWeb"/>
        <w:rPr>
          <w:rFonts w:ascii="Arial" w:hAnsi="Arial" w:cs="Arial"/>
        </w:rPr>
      </w:pPr>
    </w:p>
    <w:p w14:paraId="18A2F70F" w14:textId="77777777" w:rsidR="00D46016" w:rsidRPr="004A7D49" w:rsidRDefault="00D46016">
      <w:pPr>
        <w:pStyle w:val="NormalWeb"/>
        <w:numPr>
          <w:ilvl w:val="0"/>
          <w:numId w:val="1"/>
        </w:numPr>
        <w:rPr>
          <w:rFonts w:ascii="Arial" w:hAnsi="Arial" w:cs="Arial"/>
        </w:rPr>
      </w:pPr>
      <w:r w:rsidRPr="004A7D49">
        <w:rPr>
          <w:rFonts w:ascii="Arial" w:hAnsi="Arial" w:cs="Arial"/>
          <w:color w:val="222222"/>
          <w:shd w:val="clear" w:color="auto" w:fill="FFFFFF"/>
        </w:rPr>
        <w:t>Mahmoud, T.O., 2019. Green marketing: A marketing mix concept. </w:t>
      </w:r>
      <w:r w:rsidRPr="004A7D49">
        <w:rPr>
          <w:rFonts w:ascii="Arial" w:hAnsi="Arial" w:cs="Arial"/>
          <w:i/>
          <w:iCs/>
          <w:color w:val="222222"/>
          <w:shd w:val="clear" w:color="auto" w:fill="FFFFFF"/>
        </w:rPr>
        <w:t>International Journal of Electrical, Electronics and Computers</w:t>
      </w:r>
      <w:r w:rsidRPr="004A7D49">
        <w:rPr>
          <w:rFonts w:ascii="Arial" w:hAnsi="Arial" w:cs="Arial"/>
          <w:color w:val="222222"/>
          <w:shd w:val="clear" w:color="auto" w:fill="FFFFFF"/>
        </w:rPr>
        <w:t>, </w:t>
      </w:r>
      <w:r w:rsidRPr="004A7D49">
        <w:rPr>
          <w:rFonts w:ascii="Arial" w:hAnsi="Arial" w:cs="Arial"/>
          <w:i/>
          <w:iCs/>
          <w:color w:val="222222"/>
          <w:shd w:val="clear" w:color="auto" w:fill="FFFFFF"/>
        </w:rPr>
        <w:t>4</w:t>
      </w:r>
      <w:r w:rsidRPr="004A7D49">
        <w:rPr>
          <w:rFonts w:ascii="Arial" w:hAnsi="Arial" w:cs="Arial"/>
          <w:color w:val="222222"/>
          <w:shd w:val="clear" w:color="auto" w:fill="FFFFFF"/>
        </w:rPr>
        <w:t>(1), pp.20-26.</w:t>
      </w:r>
    </w:p>
    <w:p w14:paraId="3B0265DD" w14:textId="77777777" w:rsidR="00E27AD0" w:rsidRPr="004A7D49" w:rsidRDefault="00E27AD0" w:rsidP="00E27AD0">
      <w:pPr>
        <w:pStyle w:val="NormalWeb"/>
        <w:rPr>
          <w:rFonts w:ascii="Arial" w:hAnsi="Arial" w:cs="Arial"/>
        </w:rPr>
      </w:pPr>
    </w:p>
    <w:p w14:paraId="3EECBC03" w14:textId="77777777" w:rsidR="00D46016" w:rsidRPr="004A7D49" w:rsidRDefault="00D46016">
      <w:pPr>
        <w:pStyle w:val="NormalWeb"/>
        <w:numPr>
          <w:ilvl w:val="0"/>
          <w:numId w:val="1"/>
        </w:numPr>
        <w:rPr>
          <w:rFonts w:ascii="Arial" w:hAnsi="Arial" w:cs="Arial"/>
        </w:rPr>
      </w:pPr>
      <w:r w:rsidRPr="004A7D49">
        <w:rPr>
          <w:rFonts w:ascii="Arial" w:hAnsi="Arial" w:cs="Arial"/>
          <w:color w:val="222222"/>
          <w:shd w:val="clear" w:color="auto" w:fill="FFFFFF"/>
        </w:rPr>
        <w:t>Mishra, P. and Sharma, P., 2014. Green marketing: Challenges and opportunities for business. </w:t>
      </w:r>
      <w:r w:rsidRPr="004A7D49">
        <w:rPr>
          <w:rFonts w:ascii="Arial" w:hAnsi="Arial" w:cs="Arial"/>
          <w:i/>
          <w:iCs/>
          <w:color w:val="222222"/>
          <w:shd w:val="clear" w:color="auto" w:fill="FFFFFF"/>
        </w:rPr>
        <w:t>BVIMR Management Edge</w:t>
      </w:r>
      <w:r w:rsidRPr="004A7D49">
        <w:rPr>
          <w:rFonts w:ascii="Arial" w:hAnsi="Arial" w:cs="Arial"/>
          <w:color w:val="222222"/>
          <w:shd w:val="clear" w:color="auto" w:fill="FFFFFF"/>
        </w:rPr>
        <w:t>, </w:t>
      </w:r>
      <w:r w:rsidRPr="004A7D49">
        <w:rPr>
          <w:rFonts w:ascii="Arial" w:hAnsi="Arial" w:cs="Arial"/>
          <w:i/>
          <w:iCs/>
          <w:color w:val="222222"/>
          <w:shd w:val="clear" w:color="auto" w:fill="FFFFFF"/>
        </w:rPr>
        <w:t>7</w:t>
      </w:r>
      <w:r w:rsidRPr="004A7D49">
        <w:rPr>
          <w:rFonts w:ascii="Arial" w:hAnsi="Arial" w:cs="Arial"/>
          <w:color w:val="222222"/>
          <w:shd w:val="clear" w:color="auto" w:fill="FFFFFF"/>
        </w:rPr>
        <w:t>(1).</w:t>
      </w:r>
    </w:p>
    <w:p w14:paraId="10557E00" w14:textId="77777777" w:rsidR="00E27AD0" w:rsidRPr="004A7D49" w:rsidRDefault="00E27AD0" w:rsidP="00E27AD0">
      <w:pPr>
        <w:pStyle w:val="NormalWeb"/>
        <w:rPr>
          <w:rFonts w:ascii="Arial" w:hAnsi="Arial" w:cs="Arial"/>
        </w:rPr>
      </w:pPr>
    </w:p>
    <w:p w14:paraId="1AF59675" w14:textId="77777777" w:rsidR="00D46016" w:rsidRPr="004A7D49" w:rsidRDefault="00D46016">
      <w:pPr>
        <w:pStyle w:val="NormalWeb"/>
        <w:numPr>
          <w:ilvl w:val="0"/>
          <w:numId w:val="1"/>
        </w:numPr>
        <w:rPr>
          <w:rFonts w:ascii="Arial" w:hAnsi="Arial" w:cs="Arial"/>
        </w:rPr>
      </w:pPr>
      <w:proofErr w:type="spellStart"/>
      <w:r w:rsidRPr="004A7D49">
        <w:rPr>
          <w:rFonts w:ascii="Arial" w:hAnsi="Arial" w:cs="Arial"/>
          <w:color w:val="222222"/>
          <w:shd w:val="clear" w:color="auto" w:fill="FFFFFF"/>
        </w:rPr>
        <w:t>Moravcikova</w:t>
      </w:r>
      <w:proofErr w:type="spellEnd"/>
      <w:r w:rsidRPr="004A7D49">
        <w:rPr>
          <w:rFonts w:ascii="Arial" w:hAnsi="Arial" w:cs="Arial"/>
          <w:color w:val="222222"/>
          <w:shd w:val="clear" w:color="auto" w:fill="FFFFFF"/>
        </w:rPr>
        <w:t xml:space="preserve">, D., </w:t>
      </w:r>
      <w:proofErr w:type="spellStart"/>
      <w:r w:rsidRPr="004A7D49">
        <w:rPr>
          <w:rFonts w:ascii="Arial" w:hAnsi="Arial" w:cs="Arial"/>
          <w:color w:val="222222"/>
          <w:shd w:val="clear" w:color="auto" w:fill="FFFFFF"/>
        </w:rPr>
        <w:t>Krizanova</w:t>
      </w:r>
      <w:proofErr w:type="spellEnd"/>
      <w:r w:rsidRPr="004A7D49">
        <w:rPr>
          <w:rFonts w:ascii="Arial" w:hAnsi="Arial" w:cs="Arial"/>
          <w:color w:val="222222"/>
          <w:shd w:val="clear" w:color="auto" w:fill="FFFFFF"/>
        </w:rPr>
        <w:t xml:space="preserve">, A., </w:t>
      </w:r>
      <w:proofErr w:type="spellStart"/>
      <w:r w:rsidRPr="004A7D49">
        <w:rPr>
          <w:rFonts w:ascii="Arial" w:hAnsi="Arial" w:cs="Arial"/>
          <w:color w:val="222222"/>
          <w:shd w:val="clear" w:color="auto" w:fill="FFFFFF"/>
        </w:rPr>
        <w:t>Kliestikova</w:t>
      </w:r>
      <w:proofErr w:type="spellEnd"/>
      <w:r w:rsidRPr="004A7D49">
        <w:rPr>
          <w:rFonts w:ascii="Arial" w:hAnsi="Arial" w:cs="Arial"/>
          <w:color w:val="222222"/>
          <w:shd w:val="clear" w:color="auto" w:fill="FFFFFF"/>
        </w:rPr>
        <w:t xml:space="preserve">, J. and </w:t>
      </w:r>
      <w:proofErr w:type="spellStart"/>
      <w:r w:rsidRPr="004A7D49">
        <w:rPr>
          <w:rFonts w:ascii="Arial" w:hAnsi="Arial" w:cs="Arial"/>
          <w:color w:val="222222"/>
          <w:shd w:val="clear" w:color="auto" w:fill="FFFFFF"/>
        </w:rPr>
        <w:t>Rypakova</w:t>
      </w:r>
      <w:proofErr w:type="spellEnd"/>
      <w:r w:rsidRPr="004A7D49">
        <w:rPr>
          <w:rFonts w:ascii="Arial" w:hAnsi="Arial" w:cs="Arial"/>
          <w:color w:val="222222"/>
          <w:shd w:val="clear" w:color="auto" w:fill="FFFFFF"/>
        </w:rPr>
        <w:t>, M., 2017. Green Marketing as the Source of the Competitive Advantage of the Business. </w:t>
      </w:r>
      <w:r w:rsidRPr="004A7D49">
        <w:rPr>
          <w:rFonts w:ascii="Arial" w:hAnsi="Arial" w:cs="Arial"/>
          <w:i/>
          <w:iCs/>
          <w:color w:val="222222"/>
          <w:shd w:val="clear" w:color="auto" w:fill="FFFFFF"/>
        </w:rPr>
        <w:t>Sustainability</w:t>
      </w:r>
      <w:r w:rsidRPr="004A7D49">
        <w:rPr>
          <w:rFonts w:ascii="Arial" w:hAnsi="Arial" w:cs="Arial"/>
          <w:color w:val="222222"/>
          <w:shd w:val="clear" w:color="auto" w:fill="FFFFFF"/>
        </w:rPr>
        <w:t>, </w:t>
      </w:r>
      <w:r w:rsidRPr="004A7D49">
        <w:rPr>
          <w:rFonts w:ascii="Arial" w:hAnsi="Arial" w:cs="Arial"/>
          <w:i/>
          <w:iCs/>
          <w:color w:val="222222"/>
          <w:shd w:val="clear" w:color="auto" w:fill="FFFFFF"/>
        </w:rPr>
        <w:t>9</w:t>
      </w:r>
      <w:r w:rsidRPr="004A7D49">
        <w:rPr>
          <w:rFonts w:ascii="Arial" w:hAnsi="Arial" w:cs="Arial"/>
          <w:color w:val="222222"/>
          <w:shd w:val="clear" w:color="auto" w:fill="FFFFFF"/>
        </w:rPr>
        <w:t>(12), p.2218.</w:t>
      </w:r>
    </w:p>
    <w:p w14:paraId="239D4D9F" w14:textId="77777777" w:rsidR="00E27AD0" w:rsidRPr="004A7D49" w:rsidRDefault="00E27AD0" w:rsidP="00E27AD0">
      <w:pPr>
        <w:pStyle w:val="NormalWeb"/>
        <w:rPr>
          <w:rFonts w:ascii="Arial" w:hAnsi="Arial" w:cs="Arial"/>
        </w:rPr>
      </w:pPr>
    </w:p>
    <w:p w14:paraId="5A99D866" w14:textId="77777777" w:rsidR="00D46016" w:rsidRPr="004A7D49" w:rsidRDefault="00D46016">
      <w:pPr>
        <w:pStyle w:val="NormalWeb"/>
        <w:numPr>
          <w:ilvl w:val="0"/>
          <w:numId w:val="1"/>
        </w:numPr>
        <w:rPr>
          <w:rFonts w:ascii="Arial" w:hAnsi="Arial" w:cs="Arial"/>
        </w:rPr>
      </w:pPr>
      <w:r w:rsidRPr="004A7D49">
        <w:rPr>
          <w:rFonts w:ascii="Arial" w:hAnsi="Arial" w:cs="Arial"/>
        </w:rPr>
        <w:t xml:space="preserve">NASER1, S.A.A.M. (2021) ‘Online branding strategies of Toyota’, </w:t>
      </w:r>
      <w:r w:rsidRPr="004A7D49">
        <w:rPr>
          <w:rFonts w:ascii="Arial" w:hAnsi="Arial" w:cs="Arial"/>
          <w:i/>
          <w:iCs/>
        </w:rPr>
        <w:t>Humanitarian and Natural Sciences Journal</w:t>
      </w:r>
      <w:r w:rsidRPr="004A7D49">
        <w:rPr>
          <w:rFonts w:ascii="Arial" w:hAnsi="Arial" w:cs="Arial"/>
        </w:rPr>
        <w:t>, 2(10). doi:10.53796/hnsj21010.</w:t>
      </w:r>
    </w:p>
    <w:p w14:paraId="2E58AE7D" w14:textId="77777777" w:rsidR="00E27AD0" w:rsidRPr="004A7D49" w:rsidRDefault="00E27AD0" w:rsidP="00E27AD0">
      <w:pPr>
        <w:pStyle w:val="NormalWeb"/>
        <w:rPr>
          <w:rFonts w:ascii="Arial" w:hAnsi="Arial" w:cs="Arial"/>
        </w:rPr>
      </w:pPr>
    </w:p>
    <w:p w14:paraId="5B0FAF59" w14:textId="77777777" w:rsidR="00D46016" w:rsidRPr="004A7D49" w:rsidRDefault="00D46016">
      <w:pPr>
        <w:pStyle w:val="NormalWeb"/>
        <w:numPr>
          <w:ilvl w:val="0"/>
          <w:numId w:val="1"/>
        </w:numPr>
        <w:rPr>
          <w:rFonts w:ascii="Arial" w:hAnsi="Arial" w:cs="Arial"/>
        </w:rPr>
      </w:pPr>
      <w:r w:rsidRPr="004A7D49">
        <w:rPr>
          <w:rFonts w:ascii="Arial" w:hAnsi="Arial" w:cs="Arial"/>
          <w:color w:val="222222"/>
          <w:shd w:val="clear" w:color="auto" w:fill="FFFFFF"/>
        </w:rPr>
        <w:lastRenderedPageBreak/>
        <w:t xml:space="preserve">Nickols, F., 2016. Strategy, strategic management, strategic </w:t>
      </w:r>
      <w:proofErr w:type="gramStart"/>
      <w:r w:rsidRPr="004A7D49">
        <w:rPr>
          <w:rFonts w:ascii="Arial" w:hAnsi="Arial" w:cs="Arial"/>
          <w:color w:val="222222"/>
          <w:shd w:val="clear" w:color="auto" w:fill="FFFFFF"/>
        </w:rPr>
        <w:t>planning</w:t>
      </w:r>
      <w:proofErr w:type="gramEnd"/>
      <w:r w:rsidRPr="004A7D49">
        <w:rPr>
          <w:rFonts w:ascii="Arial" w:hAnsi="Arial" w:cs="Arial"/>
          <w:color w:val="222222"/>
          <w:shd w:val="clear" w:color="auto" w:fill="FFFFFF"/>
        </w:rPr>
        <w:t xml:space="preserve"> and strategic thinking. </w:t>
      </w:r>
      <w:r w:rsidRPr="004A7D49">
        <w:rPr>
          <w:rFonts w:ascii="Arial" w:hAnsi="Arial" w:cs="Arial"/>
          <w:i/>
          <w:iCs/>
          <w:color w:val="222222"/>
          <w:shd w:val="clear" w:color="auto" w:fill="FFFFFF"/>
        </w:rPr>
        <w:t>Management Journal</w:t>
      </w:r>
      <w:r w:rsidRPr="004A7D49">
        <w:rPr>
          <w:rFonts w:ascii="Arial" w:hAnsi="Arial" w:cs="Arial"/>
          <w:color w:val="222222"/>
          <w:shd w:val="clear" w:color="auto" w:fill="FFFFFF"/>
        </w:rPr>
        <w:t>, </w:t>
      </w:r>
      <w:r w:rsidRPr="004A7D49">
        <w:rPr>
          <w:rFonts w:ascii="Arial" w:hAnsi="Arial" w:cs="Arial"/>
          <w:i/>
          <w:iCs/>
          <w:color w:val="222222"/>
          <w:shd w:val="clear" w:color="auto" w:fill="FFFFFF"/>
        </w:rPr>
        <w:t>1</w:t>
      </w:r>
      <w:r w:rsidRPr="004A7D49">
        <w:rPr>
          <w:rFonts w:ascii="Arial" w:hAnsi="Arial" w:cs="Arial"/>
          <w:color w:val="222222"/>
          <w:shd w:val="clear" w:color="auto" w:fill="FFFFFF"/>
        </w:rPr>
        <w:t>(1), pp.4-7.</w:t>
      </w:r>
    </w:p>
    <w:p w14:paraId="6E22BA8F" w14:textId="77777777" w:rsidR="00E27AD0" w:rsidRPr="004A7D49" w:rsidRDefault="00E27AD0" w:rsidP="00E27AD0">
      <w:pPr>
        <w:pStyle w:val="NormalWeb"/>
        <w:rPr>
          <w:rFonts w:ascii="Arial" w:hAnsi="Arial" w:cs="Arial"/>
        </w:rPr>
      </w:pPr>
    </w:p>
    <w:p w14:paraId="79055928" w14:textId="77777777" w:rsidR="00CE60BE" w:rsidRPr="004A7D49" w:rsidRDefault="00D46016">
      <w:pPr>
        <w:pStyle w:val="NormalWeb"/>
        <w:numPr>
          <w:ilvl w:val="0"/>
          <w:numId w:val="1"/>
        </w:numPr>
        <w:rPr>
          <w:rFonts w:ascii="Arial" w:hAnsi="Arial" w:cs="Arial"/>
        </w:rPr>
      </w:pPr>
      <w:r w:rsidRPr="004A7D49">
        <w:rPr>
          <w:rFonts w:ascii="Arial" w:hAnsi="Arial" w:cs="Arial"/>
        </w:rPr>
        <w:t xml:space="preserve">Nunes, B. and Bennett, D. (2010) ‘Green operations initiatives in the automotive industry’, </w:t>
      </w:r>
      <w:r w:rsidRPr="004A7D49">
        <w:rPr>
          <w:rFonts w:ascii="Arial" w:hAnsi="Arial" w:cs="Arial"/>
          <w:i/>
          <w:iCs/>
        </w:rPr>
        <w:t>Benchmarking: An International Journal</w:t>
      </w:r>
      <w:r w:rsidRPr="004A7D49">
        <w:rPr>
          <w:rFonts w:ascii="Arial" w:hAnsi="Arial" w:cs="Arial"/>
        </w:rPr>
        <w:t>, 17(3), pp. 396–420. doi:10.1108/14635771011049362.</w:t>
      </w:r>
    </w:p>
    <w:p w14:paraId="03C6D190" w14:textId="25C7B206" w:rsidR="00D46016" w:rsidRPr="004A7D49" w:rsidRDefault="00D46016" w:rsidP="00CE60BE">
      <w:pPr>
        <w:pStyle w:val="NormalWeb"/>
        <w:rPr>
          <w:rFonts w:ascii="Arial" w:hAnsi="Arial" w:cs="Arial"/>
        </w:rPr>
      </w:pPr>
      <w:r w:rsidRPr="004A7D49">
        <w:rPr>
          <w:rFonts w:ascii="Arial" w:hAnsi="Arial" w:cs="Arial"/>
        </w:rPr>
        <w:t xml:space="preserve"> </w:t>
      </w:r>
    </w:p>
    <w:p w14:paraId="7D6227D2" w14:textId="77777777" w:rsidR="00D46016" w:rsidRPr="004A7D49" w:rsidRDefault="00D46016">
      <w:pPr>
        <w:pStyle w:val="NormalWeb"/>
        <w:numPr>
          <w:ilvl w:val="0"/>
          <w:numId w:val="1"/>
        </w:numPr>
        <w:rPr>
          <w:rFonts w:ascii="Arial" w:hAnsi="Arial" w:cs="Arial"/>
        </w:rPr>
      </w:pPr>
      <w:r w:rsidRPr="004A7D49">
        <w:rPr>
          <w:rFonts w:ascii="Arial" w:hAnsi="Arial" w:cs="Arial"/>
          <w:color w:val="222222"/>
          <w:shd w:val="clear" w:color="auto" w:fill="FFFFFF"/>
        </w:rPr>
        <w:t>Olson, E.L., 2013. Perspective: The green innovation value chain: A tool for evaluating the diffusion prospects of green products. </w:t>
      </w:r>
      <w:r w:rsidRPr="004A7D49">
        <w:rPr>
          <w:rFonts w:ascii="Arial" w:hAnsi="Arial" w:cs="Arial"/>
          <w:i/>
          <w:iCs/>
          <w:color w:val="222222"/>
          <w:shd w:val="clear" w:color="auto" w:fill="FFFFFF"/>
        </w:rPr>
        <w:t>Journal of Product Innovation Management</w:t>
      </w:r>
      <w:r w:rsidRPr="004A7D49">
        <w:rPr>
          <w:rFonts w:ascii="Arial" w:hAnsi="Arial" w:cs="Arial"/>
          <w:color w:val="222222"/>
          <w:shd w:val="clear" w:color="auto" w:fill="FFFFFF"/>
        </w:rPr>
        <w:t>, </w:t>
      </w:r>
      <w:r w:rsidRPr="004A7D49">
        <w:rPr>
          <w:rFonts w:ascii="Arial" w:hAnsi="Arial" w:cs="Arial"/>
          <w:i/>
          <w:iCs/>
          <w:color w:val="222222"/>
          <w:shd w:val="clear" w:color="auto" w:fill="FFFFFF"/>
        </w:rPr>
        <w:t>30</w:t>
      </w:r>
      <w:r w:rsidRPr="004A7D49">
        <w:rPr>
          <w:rFonts w:ascii="Arial" w:hAnsi="Arial" w:cs="Arial"/>
          <w:color w:val="222222"/>
          <w:shd w:val="clear" w:color="auto" w:fill="FFFFFF"/>
        </w:rPr>
        <w:t>(4), pp.782-793.</w:t>
      </w:r>
    </w:p>
    <w:p w14:paraId="262B97F3" w14:textId="77777777" w:rsidR="00CE60BE" w:rsidRPr="004A7D49" w:rsidRDefault="00CE60BE" w:rsidP="00CE60BE">
      <w:pPr>
        <w:pStyle w:val="NormalWeb"/>
        <w:rPr>
          <w:rFonts w:ascii="Arial" w:hAnsi="Arial" w:cs="Arial"/>
        </w:rPr>
      </w:pPr>
    </w:p>
    <w:p w14:paraId="399EB16E" w14:textId="77777777" w:rsidR="00D46016" w:rsidRPr="004A7D49" w:rsidRDefault="00D46016">
      <w:pPr>
        <w:pStyle w:val="NormalWeb"/>
        <w:numPr>
          <w:ilvl w:val="0"/>
          <w:numId w:val="1"/>
        </w:numPr>
        <w:rPr>
          <w:rFonts w:ascii="Arial" w:hAnsi="Arial" w:cs="Arial"/>
        </w:rPr>
      </w:pPr>
      <w:proofErr w:type="spellStart"/>
      <w:r w:rsidRPr="004A7D49">
        <w:rPr>
          <w:rFonts w:ascii="Arial" w:hAnsi="Arial" w:cs="Arial"/>
          <w:color w:val="222222"/>
          <w:shd w:val="clear" w:color="auto" w:fill="FFFFFF"/>
        </w:rPr>
        <w:t>O'Shannassy</w:t>
      </w:r>
      <w:proofErr w:type="spellEnd"/>
      <w:r w:rsidRPr="004A7D49">
        <w:rPr>
          <w:rFonts w:ascii="Arial" w:hAnsi="Arial" w:cs="Arial"/>
          <w:color w:val="222222"/>
          <w:shd w:val="clear" w:color="auto" w:fill="FFFFFF"/>
        </w:rPr>
        <w:t>, T., 2008. Sustainable competitive advantage or temporary competitive advantage: Improving understanding of an important strategy construct. </w:t>
      </w:r>
      <w:r w:rsidRPr="004A7D49">
        <w:rPr>
          <w:rFonts w:ascii="Arial" w:hAnsi="Arial" w:cs="Arial"/>
          <w:i/>
          <w:iCs/>
          <w:color w:val="222222"/>
          <w:shd w:val="clear" w:color="auto" w:fill="FFFFFF"/>
        </w:rPr>
        <w:t>Journal of strategy and management</w:t>
      </w:r>
      <w:r w:rsidRPr="004A7D49">
        <w:rPr>
          <w:rFonts w:ascii="Arial" w:hAnsi="Arial" w:cs="Arial"/>
          <w:color w:val="222222"/>
          <w:shd w:val="clear" w:color="auto" w:fill="FFFFFF"/>
        </w:rPr>
        <w:t>, </w:t>
      </w:r>
      <w:r w:rsidRPr="004A7D49">
        <w:rPr>
          <w:rFonts w:ascii="Arial" w:hAnsi="Arial" w:cs="Arial"/>
          <w:i/>
          <w:iCs/>
          <w:color w:val="222222"/>
          <w:shd w:val="clear" w:color="auto" w:fill="FFFFFF"/>
        </w:rPr>
        <w:t>1</w:t>
      </w:r>
      <w:r w:rsidRPr="004A7D49">
        <w:rPr>
          <w:rFonts w:ascii="Arial" w:hAnsi="Arial" w:cs="Arial"/>
          <w:color w:val="222222"/>
          <w:shd w:val="clear" w:color="auto" w:fill="FFFFFF"/>
        </w:rPr>
        <w:t>(2), pp.168-180.</w:t>
      </w:r>
    </w:p>
    <w:p w14:paraId="4D7B6780" w14:textId="77777777" w:rsidR="00CE60BE" w:rsidRPr="004A7D49" w:rsidRDefault="00CE60BE" w:rsidP="00CE60BE">
      <w:pPr>
        <w:pStyle w:val="NormalWeb"/>
        <w:rPr>
          <w:rFonts w:ascii="Arial" w:hAnsi="Arial" w:cs="Arial"/>
        </w:rPr>
      </w:pPr>
    </w:p>
    <w:p w14:paraId="18099278" w14:textId="77777777" w:rsidR="00D46016" w:rsidRPr="004A7D49" w:rsidRDefault="00D46016">
      <w:pPr>
        <w:pStyle w:val="NormalWeb"/>
        <w:numPr>
          <w:ilvl w:val="0"/>
          <w:numId w:val="1"/>
        </w:numPr>
        <w:rPr>
          <w:rFonts w:ascii="Arial" w:hAnsi="Arial" w:cs="Arial"/>
        </w:rPr>
      </w:pPr>
      <w:r w:rsidRPr="004A7D49">
        <w:rPr>
          <w:rFonts w:ascii="Arial" w:hAnsi="Arial" w:cs="Arial"/>
          <w:color w:val="222222"/>
          <w:shd w:val="clear" w:color="auto" w:fill="FFFFFF"/>
        </w:rPr>
        <w:t>Park, S., 2020. </w:t>
      </w:r>
      <w:r w:rsidRPr="004A7D49">
        <w:rPr>
          <w:rFonts w:ascii="Arial" w:hAnsi="Arial" w:cs="Arial"/>
          <w:i/>
          <w:iCs/>
          <w:color w:val="222222"/>
          <w:shd w:val="clear" w:color="auto" w:fill="FFFFFF"/>
        </w:rPr>
        <w:t>Marketing management</w:t>
      </w:r>
      <w:r w:rsidRPr="004A7D49">
        <w:rPr>
          <w:rFonts w:ascii="Arial" w:hAnsi="Arial" w:cs="Arial"/>
          <w:color w:val="222222"/>
          <w:shd w:val="clear" w:color="auto" w:fill="FFFFFF"/>
        </w:rPr>
        <w:t xml:space="preserve"> (Vol. 3). </w:t>
      </w:r>
      <w:proofErr w:type="spellStart"/>
      <w:r w:rsidRPr="004A7D49">
        <w:rPr>
          <w:rFonts w:ascii="Arial" w:hAnsi="Arial" w:cs="Arial"/>
          <w:color w:val="222222"/>
          <w:shd w:val="clear" w:color="auto" w:fill="FFFFFF"/>
        </w:rPr>
        <w:t>Seohee</w:t>
      </w:r>
      <w:proofErr w:type="spellEnd"/>
      <w:r w:rsidRPr="004A7D49">
        <w:rPr>
          <w:rFonts w:ascii="Arial" w:hAnsi="Arial" w:cs="Arial"/>
          <w:color w:val="222222"/>
          <w:shd w:val="clear" w:color="auto" w:fill="FFFFFF"/>
        </w:rPr>
        <w:t xml:space="preserve"> Academy.</w:t>
      </w:r>
    </w:p>
    <w:p w14:paraId="7B0450CE" w14:textId="77777777" w:rsidR="00CE60BE" w:rsidRPr="004A7D49" w:rsidRDefault="00CE60BE" w:rsidP="00CE60BE">
      <w:pPr>
        <w:pStyle w:val="ListParagraph"/>
        <w:rPr>
          <w:rFonts w:ascii="Arial" w:hAnsi="Arial" w:cs="Arial"/>
          <w:sz w:val="24"/>
          <w:szCs w:val="24"/>
        </w:rPr>
      </w:pPr>
    </w:p>
    <w:p w14:paraId="3BCE78FD" w14:textId="08FE83F8" w:rsidR="00CE60BE" w:rsidRPr="004A7D49" w:rsidRDefault="00CE60BE" w:rsidP="00CE60BE">
      <w:pPr>
        <w:pStyle w:val="ListParagraph"/>
        <w:numPr>
          <w:ilvl w:val="0"/>
          <w:numId w:val="1"/>
        </w:numPr>
        <w:spacing w:before="100" w:beforeAutospacing="1" w:after="100" w:afterAutospacing="1" w:line="240" w:lineRule="auto"/>
        <w:rPr>
          <w:rFonts w:ascii="Arial" w:eastAsia="Times New Roman" w:hAnsi="Arial" w:cs="Arial"/>
          <w:kern w:val="0"/>
          <w:sz w:val="24"/>
          <w:szCs w:val="24"/>
          <w14:ligatures w14:val="none"/>
        </w:rPr>
      </w:pPr>
      <w:r w:rsidRPr="004A7D49">
        <w:rPr>
          <w:rFonts w:ascii="Arial" w:eastAsia="Times New Roman" w:hAnsi="Arial" w:cs="Arial"/>
          <w:kern w:val="0"/>
          <w:sz w:val="24"/>
          <w:szCs w:val="24"/>
          <w14:ligatures w14:val="none"/>
        </w:rPr>
        <w:t xml:space="preserve">(2018) </w:t>
      </w:r>
      <w:r w:rsidRPr="004A7D49">
        <w:rPr>
          <w:rFonts w:ascii="Arial" w:eastAsia="Times New Roman" w:hAnsi="Arial" w:cs="Arial"/>
          <w:i/>
          <w:iCs/>
          <w:kern w:val="0"/>
          <w:sz w:val="24"/>
          <w:szCs w:val="24"/>
          <w14:ligatures w14:val="none"/>
        </w:rPr>
        <w:t xml:space="preserve">Philosophical assumptions and interpretive frameworks </w:t>
      </w:r>
      <w:proofErr w:type="gramStart"/>
      <w:r w:rsidRPr="004A7D49">
        <w:rPr>
          <w:rFonts w:ascii="Arial" w:eastAsia="Times New Roman" w:hAnsi="Arial" w:cs="Arial"/>
          <w:i/>
          <w:iCs/>
          <w:kern w:val="0"/>
          <w:sz w:val="24"/>
          <w:szCs w:val="24"/>
          <w14:ligatures w14:val="none"/>
        </w:rPr>
        <w:t>post,</w:t>
      </w:r>
      <w:r w:rsidRPr="004A7D49">
        <w:rPr>
          <w:rFonts w:ascii="Arial" w:eastAsia="Times New Roman" w:hAnsi="Arial" w:cs="Arial"/>
          <w:kern w:val="0"/>
          <w:sz w:val="24"/>
          <w:szCs w:val="24"/>
          <w14:ligatures w14:val="none"/>
        </w:rPr>
        <w:t>.</w:t>
      </w:r>
      <w:proofErr w:type="gramEnd"/>
      <w:r w:rsidRPr="004A7D49">
        <w:rPr>
          <w:rFonts w:ascii="Arial" w:eastAsia="Times New Roman" w:hAnsi="Arial" w:cs="Arial"/>
          <w:kern w:val="0"/>
          <w:sz w:val="24"/>
          <w:szCs w:val="24"/>
          <w14:ligatures w14:val="none"/>
        </w:rPr>
        <w:t xml:space="preserve"> Available at: https://us.sagepub.com/sites/default/files/upm-assets/110627_book_item_110627.pdf (Accessed: 30 December 2023). </w:t>
      </w:r>
    </w:p>
    <w:p w14:paraId="7926A77A" w14:textId="77777777" w:rsidR="00CE60BE" w:rsidRPr="004A7D49" w:rsidRDefault="00CE60BE" w:rsidP="00CE60BE">
      <w:pPr>
        <w:pStyle w:val="NormalWeb"/>
        <w:rPr>
          <w:rFonts w:ascii="Arial" w:hAnsi="Arial" w:cs="Arial"/>
        </w:rPr>
      </w:pPr>
    </w:p>
    <w:p w14:paraId="4244C056" w14:textId="77777777" w:rsidR="00D46016" w:rsidRPr="004A7D49" w:rsidRDefault="00D46016">
      <w:pPr>
        <w:pStyle w:val="NormalWeb"/>
        <w:numPr>
          <w:ilvl w:val="0"/>
          <w:numId w:val="1"/>
        </w:numPr>
        <w:rPr>
          <w:rFonts w:ascii="Arial" w:hAnsi="Arial" w:cs="Arial"/>
        </w:rPr>
      </w:pPr>
      <w:r w:rsidRPr="004A7D49">
        <w:rPr>
          <w:rFonts w:ascii="Arial" w:hAnsi="Arial" w:cs="Arial"/>
          <w:color w:val="222222"/>
          <w:shd w:val="clear" w:color="auto" w:fill="FFFFFF"/>
        </w:rPr>
        <w:t>Ponce, J.J.V., 2014. </w:t>
      </w:r>
      <w:r w:rsidRPr="004A7D49">
        <w:rPr>
          <w:rFonts w:ascii="Arial" w:hAnsi="Arial" w:cs="Arial"/>
          <w:i/>
          <w:iCs/>
          <w:color w:val="222222"/>
          <w:shd w:val="clear" w:color="auto" w:fill="FFFFFF"/>
        </w:rPr>
        <w:t>Toyota RAV4 model year marketing plan for the UK</w:t>
      </w:r>
      <w:r w:rsidRPr="004A7D49">
        <w:rPr>
          <w:rFonts w:ascii="Arial" w:hAnsi="Arial" w:cs="Arial"/>
          <w:color w:val="222222"/>
          <w:shd w:val="clear" w:color="auto" w:fill="FFFFFF"/>
        </w:rPr>
        <w:t> (Doctoral dissertation).</w:t>
      </w:r>
    </w:p>
    <w:p w14:paraId="2B5CAF78" w14:textId="77777777" w:rsidR="00CE60BE" w:rsidRPr="004A7D49" w:rsidRDefault="00CE60BE" w:rsidP="00CE60BE">
      <w:pPr>
        <w:pStyle w:val="NormalWeb"/>
        <w:rPr>
          <w:rFonts w:ascii="Arial" w:hAnsi="Arial" w:cs="Arial"/>
        </w:rPr>
      </w:pPr>
    </w:p>
    <w:p w14:paraId="62938CAA" w14:textId="77777777" w:rsidR="00D46016" w:rsidRPr="004A7D49" w:rsidRDefault="00D46016">
      <w:pPr>
        <w:pStyle w:val="NormalWeb"/>
        <w:numPr>
          <w:ilvl w:val="0"/>
          <w:numId w:val="1"/>
        </w:numPr>
        <w:rPr>
          <w:rFonts w:ascii="Arial" w:hAnsi="Arial" w:cs="Arial"/>
        </w:rPr>
      </w:pPr>
      <w:r w:rsidRPr="004A7D49">
        <w:rPr>
          <w:rFonts w:ascii="Arial" w:hAnsi="Arial" w:cs="Arial"/>
          <w:color w:val="222222"/>
          <w:shd w:val="clear" w:color="auto" w:fill="FFFFFF"/>
        </w:rPr>
        <w:t>Priya, A., 2021. Case study methodology of qualitative research: Key attributes and navigating the conundrums in its application. </w:t>
      </w:r>
      <w:r w:rsidRPr="004A7D49">
        <w:rPr>
          <w:rFonts w:ascii="Arial" w:hAnsi="Arial" w:cs="Arial"/>
          <w:i/>
          <w:iCs/>
          <w:color w:val="222222"/>
          <w:shd w:val="clear" w:color="auto" w:fill="FFFFFF"/>
        </w:rPr>
        <w:t>Sociological Bulletin</w:t>
      </w:r>
      <w:r w:rsidRPr="004A7D49">
        <w:rPr>
          <w:rFonts w:ascii="Arial" w:hAnsi="Arial" w:cs="Arial"/>
          <w:color w:val="222222"/>
          <w:shd w:val="clear" w:color="auto" w:fill="FFFFFF"/>
        </w:rPr>
        <w:t>, </w:t>
      </w:r>
      <w:r w:rsidRPr="004A7D49">
        <w:rPr>
          <w:rFonts w:ascii="Arial" w:hAnsi="Arial" w:cs="Arial"/>
          <w:i/>
          <w:iCs/>
          <w:color w:val="222222"/>
          <w:shd w:val="clear" w:color="auto" w:fill="FFFFFF"/>
        </w:rPr>
        <w:t>70</w:t>
      </w:r>
      <w:r w:rsidRPr="004A7D49">
        <w:rPr>
          <w:rFonts w:ascii="Arial" w:hAnsi="Arial" w:cs="Arial"/>
          <w:color w:val="222222"/>
          <w:shd w:val="clear" w:color="auto" w:fill="FFFFFF"/>
        </w:rPr>
        <w:t>(1), pp.94-110.</w:t>
      </w:r>
    </w:p>
    <w:p w14:paraId="3EA54294" w14:textId="77777777" w:rsidR="00CE60BE" w:rsidRPr="004A7D49" w:rsidRDefault="00CE60BE" w:rsidP="00CE60BE">
      <w:pPr>
        <w:pStyle w:val="NormalWeb"/>
        <w:rPr>
          <w:rFonts w:ascii="Arial" w:hAnsi="Arial" w:cs="Arial"/>
        </w:rPr>
      </w:pPr>
    </w:p>
    <w:p w14:paraId="51884566" w14:textId="77777777" w:rsidR="00D46016" w:rsidRPr="004A7D49" w:rsidRDefault="00D46016">
      <w:pPr>
        <w:pStyle w:val="NormalWeb"/>
        <w:numPr>
          <w:ilvl w:val="0"/>
          <w:numId w:val="1"/>
        </w:numPr>
        <w:rPr>
          <w:rFonts w:ascii="Arial" w:hAnsi="Arial" w:cs="Arial"/>
        </w:rPr>
      </w:pPr>
      <w:r w:rsidRPr="004A7D49">
        <w:rPr>
          <w:rFonts w:ascii="Arial" w:hAnsi="Arial" w:cs="Arial"/>
          <w:color w:val="222222"/>
          <w:shd w:val="clear" w:color="auto" w:fill="FFFFFF"/>
        </w:rPr>
        <w:t>Rouault, G., 2021. Sustainability Marketing and The Toyota Way. </w:t>
      </w:r>
      <w:r w:rsidRPr="004A7D49">
        <w:rPr>
          <w:rFonts w:ascii="Arial" w:hAnsi="Arial" w:cs="Arial"/>
          <w:i/>
          <w:iCs/>
          <w:color w:val="222222"/>
          <w:shd w:val="clear" w:color="auto" w:fill="FFFFFF"/>
        </w:rPr>
        <w:t>Papers of the Research Society of Commerce and Economics</w:t>
      </w:r>
      <w:r w:rsidRPr="004A7D49">
        <w:rPr>
          <w:rFonts w:ascii="Arial" w:hAnsi="Arial" w:cs="Arial"/>
          <w:color w:val="222222"/>
          <w:shd w:val="clear" w:color="auto" w:fill="FFFFFF"/>
        </w:rPr>
        <w:t>, </w:t>
      </w:r>
      <w:r w:rsidRPr="004A7D49">
        <w:rPr>
          <w:rFonts w:ascii="Arial" w:hAnsi="Arial" w:cs="Arial"/>
          <w:i/>
          <w:iCs/>
          <w:color w:val="222222"/>
          <w:shd w:val="clear" w:color="auto" w:fill="FFFFFF"/>
        </w:rPr>
        <w:t>61</w:t>
      </w:r>
      <w:r w:rsidRPr="004A7D49">
        <w:rPr>
          <w:rFonts w:ascii="Arial" w:hAnsi="Arial" w:cs="Arial"/>
          <w:color w:val="222222"/>
          <w:shd w:val="clear" w:color="auto" w:fill="FFFFFF"/>
        </w:rPr>
        <w:t>(2), pp.327-344.</w:t>
      </w:r>
    </w:p>
    <w:p w14:paraId="0EAA4B59" w14:textId="77777777" w:rsidR="00CE60BE" w:rsidRPr="004A7D49" w:rsidRDefault="00CE60BE" w:rsidP="00CE60BE">
      <w:pPr>
        <w:pStyle w:val="NormalWeb"/>
        <w:rPr>
          <w:rFonts w:ascii="Arial" w:hAnsi="Arial" w:cs="Arial"/>
        </w:rPr>
      </w:pPr>
    </w:p>
    <w:p w14:paraId="73DB4C9E" w14:textId="77777777" w:rsidR="00D46016" w:rsidRPr="004A7D49" w:rsidRDefault="00D46016">
      <w:pPr>
        <w:pStyle w:val="NormalWeb"/>
        <w:numPr>
          <w:ilvl w:val="0"/>
          <w:numId w:val="1"/>
        </w:numPr>
        <w:rPr>
          <w:rFonts w:ascii="Arial" w:hAnsi="Arial" w:cs="Arial"/>
        </w:rPr>
      </w:pPr>
      <w:r w:rsidRPr="004A7D49">
        <w:rPr>
          <w:rFonts w:ascii="Arial" w:hAnsi="Arial" w:cs="Arial"/>
          <w:color w:val="222222"/>
          <w:shd w:val="clear" w:color="auto" w:fill="FFFFFF"/>
        </w:rPr>
        <w:t>SAHIL, M., 2017. Implications of Just-In-Time System of Toyota: A Case Study.</w:t>
      </w:r>
    </w:p>
    <w:p w14:paraId="22D2E52F" w14:textId="77777777" w:rsidR="00CE60BE" w:rsidRPr="004A7D49" w:rsidRDefault="00CE60BE" w:rsidP="00CE60BE">
      <w:pPr>
        <w:pStyle w:val="NormalWeb"/>
        <w:rPr>
          <w:rFonts w:ascii="Arial" w:hAnsi="Arial" w:cs="Arial"/>
        </w:rPr>
      </w:pPr>
    </w:p>
    <w:p w14:paraId="3F173F30" w14:textId="77777777" w:rsidR="00D46016" w:rsidRPr="004A7D49" w:rsidRDefault="00D46016">
      <w:pPr>
        <w:pStyle w:val="NormalWeb"/>
        <w:numPr>
          <w:ilvl w:val="0"/>
          <w:numId w:val="1"/>
        </w:numPr>
        <w:rPr>
          <w:rFonts w:ascii="Arial" w:hAnsi="Arial" w:cs="Arial"/>
        </w:rPr>
      </w:pPr>
      <w:r w:rsidRPr="004A7D49">
        <w:rPr>
          <w:rFonts w:ascii="Arial" w:hAnsi="Arial" w:cs="Arial"/>
        </w:rPr>
        <w:t>Sammut</w:t>
      </w:r>
      <w:r w:rsidRPr="004A7D49">
        <w:rPr>
          <w:rFonts w:ascii="Cambria Math" w:hAnsi="Cambria Math" w:cs="Cambria Math"/>
        </w:rPr>
        <w:t>‐</w:t>
      </w:r>
      <w:r w:rsidRPr="004A7D49">
        <w:rPr>
          <w:rFonts w:ascii="Arial" w:hAnsi="Arial" w:cs="Arial"/>
        </w:rPr>
        <w:t xml:space="preserve">Bonnici, T. and Galea, D. (2015) ‘swot analysis’, </w:t>
      </w:r>
      <w:r w:rsidRPr="004A7D49">
        <w:rPr>
          <w:rFonts w:ascii="Arial" w:hAnsi="Arial" w:cs="Arial"/>
          <w:i/>
          <w:iCs/>
        </w:rPr>
        <w:t>Wiley Encyclopedia of Management</w:t>
      </w:r>
      <w:r w:rsidRPr="004A7D49">
        <w:rPr>
          <w:rFonts w:ascii="Arial" w:hAnsi="Arial" w:cs="Arial"/>
        </w:rPr>
        <w:t xml:space="preserve">, pp. 1–8. doi:10.1002/9781118785317.weom120103. </w:t>
      </w:r>
    </w:p>
    <w:p w14:paraId="0A9CA4BE" w14:textId="77777777" w:rsidR="00CE60BE" w:rsidRPr="004A7D49" w:rsidRDefault="00CE60BE" w:rsidP="00CE60BE">
      <w:pPr>
        <w:pStyle w:val="NormalWeb"/>
        <w:rPr>
          <w:rFonts w:ascii="Arial" w:hAnsi="Arial" w:cs="Arial"/>
        </w:rPr>
      </w:pPr>
    </w:p>
    <w:p w14:paraId="79DFDC97" w14:textId="77777777" w:rsidR="00D46016" w:rsidRPr="004A7D49" w:rsidRDefault="00D46016">
      <w:pPr>
        <w:pStyle w:val="NormalWeb"/>
        <w:numPr>
          <w:ilvl w:val="0"/>
          <w:numId w:val="1"/>
        </w:numPr>
        <w:rPr>
          <w:rFonts w:ascii="Arial" w:hAnsi="Arial" w:cs="Arial"/>
        </w:rPr>
      </w:pPr>
      <w:r w:rsidRPr="004A7D49">
        <w:rPr>
          <w:rFonts w:ascii="Arial" w:hAnsi="Arial" w:cs="Arial"/>
          <w:color w:val="222222"/>
          <w:shd w:val="clear" w:color="auto" w:fill="FFFFFF"/>
        </w:rPr>
        <w:t>Sawicki, A., 2016. Digital marketing. </w:t>
      </w:r>
      <w:r w:rsidRPr="004A7D49">
        <w:rPr>
          <w:rFonts w:ascii="Arial" w:hAnsi="Arial" w:cs="Arial"/>
          <w:i/>
          <w:iCs/>
          <w:color w:val="222222"/>
          <w:shd w:val="clear" w:color="auto" w:fill="FFFFFF"/>
        </w:rPr>
        <w:t>World Scientific News</w:t>
      </w:r>
      <w:r w:rsidRPr="004A7D49">
        <w:rPr>
          <w:rFonts w:ascii="Arial" w:hAnsi="Arial" w:cs="Arial"/>
          <w:color w:val="222222"/>
          <w:shd w:val="clear" w:color="auto" w:fill="FFFFFF"/>
        </w:rPr>
        <w:t>, (48), pp.82-88.</w:t>
      </w:r>
    </w:p>
    <w:p w14:paraId="36B9D56D" w14:textId="77777777" w:rsidR="00CE60BE" w:rsidRPr="004A7D49" w:rsidRDefault="00CE60BE" w:rsidP="00CE60BE">
      <w:pPr>
        <w:pStyle w:val="NormalWeb"/>
        <w:rPr>
          <w:rFonts w:ascii="Arial" w:hAnsi="Arial" w:cs="Arial"/>
        </w:rPr>
      </w:pPr>
    </w:p>
    <w:p w14:paraId="3D0DF3FE" w14:textId="23F823A0" w:rsidR="00CE60BE" w:rsidRPr="004A7D49" w:rsidRDefault="00D46016" w:rsidP="00CE60BE">
      <w:pPr>
        <w:pStyle w:val="NormalWeb"/>
        <w:numPr>
          <w:ilvl w:val="0"/>
          <w:numId w:val="1"/>
        </w:numPr>
        <w:rPr>
          <w:rFonts w:ascii="Arial" w:hAnsi="Arial" w:cs="Arial"/>
        </w:rPr>
      </w:pPr>
      <w:r w:rsidRPr="004A7D49">
        <w:rPr>
          <w:rFonts w:ascii="Arial" w:hAnsi="Arial" w:cs="Arial"/>
        </w:rPr>
        <w:t xml:space="preserve">Sharkie, R. (2003) ‘Knowledge creation and its place in the development of sustainable competitive advantage’, </w:t>
      </w:r>
      <w:r w:rsidRPr="004A7D49">
        <w:rPr>
          <w:rFonts w:ascii="Arial" w:hAnsi="Arial" w:cs="Arial"/>
          <w:i/>
          <w:iCs/>
        </w:rPr>
        <w:t>Journal of Knowledge Management</w:t>
      </w:r>
      <w:r w:rsidRPr="004A7D49">
        <w:rPr>
          <w:rFonts w:ascii="Arial" w:hAnsi="Arial" w:cs="Arial"/>
        </w:rPr>
        <w:t xml:space="preserve">, 7(1), pp. 20–31. doi:10.1108/13673270310463590. </w:t>
      </w:r>
    </w:p>
    <w:p w14:paraId="76EBCCD0" w14:textId="77777777" w:rsidR="00CE60BE" w:rsidRPr="004A7D49" w:rsidRDefault="00CE60BE" w:rsidP="00CE60BE">
      <w:pPr>
        <w:pStyle w:val="NormalWeb"/>
        <w:rPr>
          <w:rFonts w:ascii="Arial" w:hAnsi="Arial" w:cs="Arial"/>
        </w:rPr>
      </w:pPr>
    </w:p>
    <w:p w14:paraId="5AA06F92" w14:textId="77777777" w:rsidR="00D46016" w:rsidRPr="004A7D49" w:rsidRDefault="00D46016">
      <w:pPr>
        <w:pStyle w:val="NormalWeb"/>
        <w:numPr>
          <w:ilvl w:val="0"/>
          <w:numId w:val="1"/>
        </w:numPr>
        <w:rPr>
          <w:rFonts w:ascii="Arial" w:hAnsi="Arial" w:cs="Arial"/>
        </w:rPr>
      </w:pPr>
      <w:r w:rsidRPr="004A7D49">
        <w:rPr>
          <w:rFonts w:ascii="Arial" w:hAnsi="Arial" w:cs="Arial"/>
          <w:color w:val="222222"/>
          <w:shd w:val="clear" w:color="auto" w:fill="FFFFFF"/>
        </w:rPr>
        <w:t>Shaw, P. and Williams, I., 2018. Reuse in practice: the UK’s car and clothing sectors. </w:t>
      </w:r>
      <w:r w:rsidRPr="004A7D49">
        <w:rPr>
          <w:rFonts w:ascii="Arial" w:hAnsi="Arial" w:cs="Arial"/>
          <w:i/>
          <w:iCs/>
          <w:color w:val="222222"/>
          <w:shd w:val="clear" w:color="auto" w:fill="FFFFFF"/>
        </w:rPr>
        <w:t>Detritus</w:t>
      </w:r>
      <w:r w:rsidRPr="004A7D49">
        <w:rPr>
          <w:rFonts w:ascii="Arial" w:hAnsi="Arial" w:cs="Arial"/>
          <w:color w:val="222222"/>
          <w:shd w:val="clear" w:color="auto" w:fill="FFFFFF"/>
        </w:rPr>
        <w:t>, </w:t>
      </w:r>
      <w:r w:rsidRPr="004A7D49">
        <w:rPr>
          <w:rFonts w:ascii="Arial" w:hAnsi="Arial" w:cs="Arial"/>
          <w:i/>
          <w:iCs/>
          <w:color w:val="222222"/>
          <w:shd w:val="clear" w:color="auto" w:fill="FFFFFF"/>
        </w:rPr>
        <w:t>4</w:t>
      </w:r>
      <w:r w:rsidRPr="004A7D49">
        <w:rPr>
          <w:rFonts w:ascii="Arial" w:hAnsi="Arial" w:cs="Arial"/>
          <w:color w:val="222222"/>
          <w:shd w:val="clear" w:color="auto" w:fill="FFFFFF"/>
        </w:rPr>
        <w:t>, pp.36-47.</w:t>
      </w:r>
    </w:p>
    <w:p w14:paraId="5DB95C0A" w14:textId="77777777" w:rsidR="00CE60BE" w:rsidRPr="004A7D49" w:rsidRDefault="00CE60BE" w:rsidP="00CE60BE">
      <w:pPr>
        <w:pStyle w:val="NormalWeb"/>
        <w:rPr>
          <w:rFonts w:ascii="Arial" w:hAnsi="Arial" w:cs="Arial"/>
        </w:rPr>
      </w:pPr>
    </w:p>
    <w:p w14:paraId="57E52AE0" w14:textId="77777777" w:rsidR="00D46016" w:rsidRPr="004A7D49" w:rsidRDefault="00D46016">
      <w:pPr>
        <w:pStyle w:val="NormalWeb"/>
        <w:numPr>
          <w:ilvl w:val="0"/>
          <w:numId w:val="1"/>
        </w:numPr>
        <w:rPr>
          <w:rFonts w:ascii="Arial" w:hAnsi="Arial" w:cs="Arial"/>
        </w:rPr>
      </w:pPr>
      <w:r w:rsidRPr="004A7D49">
        <w:rPr>
          <w:rFonts w:ascii="Arial" w:hAnsi="Arial" w:cs="Arial"/>
          <w:color w:val="222222"/>
          <w:shd w:val="clear" w:color="auto" w:fill="FFFFFF"/>
        </w:rPr>
        <w:t>Simão, L. and Lisboa, A., 2017. Green marketing and green brand–The Toyota Case. </w:t>
      </w:r>
      <w:r w:rsidRPr="004A7D49">
        <w:rPr>
          <w:rFonts w:ascii="Arial" w:hAnsi="Arial" w:cs="Arial"/>
          <w:i/>
          <w:iCs/>
          <w:color w:val="222222"/>
          <w:shd w:val="clear" w:color="auto" w:fill="FFFFFF"/>
        </w:rPr>
        <w:t>Procedia manufacturing</w:t>
      </w:r>
      <w:r w:rsidRPr="004A7D49">
        <w:rPr>
          <w:rFonts w:ascii="Arial" w:hAnsi="Arial" w:cs="Arial"/>
          <w:color w:val="222222"/>
          <w:shd w:val="clear" w:color="auto" w:fill="FFFFFF"/>
        </w:rPr>
        <w:t>, </w:t>
      </w:r>
      <w:r w:rsidRPr="004A7D49">
        <w:rPr>
          <w:rFonts w:ascii="Arial" w:hAnsi="Arial" w:cs="Arial"/>
          <w:i/>
          <w:iCs/>
          <w:color w:val="222222"/>
          <w:shd w:val="clear" w:color="auto" w:fill="FFFFFF"/>
        </w:rPr>
        <w:t>12</w:t>
      </w:r>
      <w:r w:rsidRPr="004A7D49">
        <w:rPr>
          <w:rFonts w:ascii="Arial" w:hAnsi="Arial" w:cs="Arial"/>
          <w:color w:val="222222"/>
          <w:shd w:val="clear" w:color="auto" w:fill="FFFFFF"/>
        </w:rPr>
        <w:t>, pp.183-194.</w:t>
      </w:r>
    </w:p>
    <w:p w14:paraId="07EC6241" w14:textId="77777777" w:rsidR="00CE60BE" w:rsidRPr="004A7D49" w:rsidRDefault="00CE60BE" w:rsidP="00CE60BE">
      <w:pPr>
        <w:pStyle w:val="NormalWeb"/>
        <w:rPr>
          <w:rFonts w:ascii="Arial" w:hAnsi="Arial" w:cs="Arial"/>
        </w:rPr>
      </w:pPr>
    </w:p>
    <w:p w14:paraId="0DAAB05D" w14:textId="77777777" w:rsidR="00D46016" w:rsidRPr="004A7D49" w:rsidRDefault="00D46016">
      <w:pPr>
        <w:pStyle w:val="NormalWeb"/>
        <w:numPr>
          <w:ilvl w:val="0"/>
          <w:numId w:val="1"/>
        </w:numPr>
        <w:rPr>
          <w:rFonts w:ascii="Arial" w:hAnsi="Arial" w:cs="Arial"/>
        </w:rPr>
      </w:pPr>
      <w:r w:rsidRPr="004A7D49">
        <w:rPr>
          <w:rFonts w:ascii="Arial" w:hAnsi="Arial" w:cs="Arial"/>
          <w:color w:val="222222"/>
          <w:shd w:val="clear" w:color="auto" w:fill="FFFFFF"/>
        </w:rPr>
        <w:t xml:space="preserve">Simons, D. and Mason, R., 2003. Lean and </w:t>
      </w:r>
      <w:proofErr w:type="spellStart"/>
      <w:r w:rsidRPr="004A7D49">
        <w:rPr>
          <w:rFonts w:ascii="Arial" w:hAnsi="Arial" w:cs="Arial"/>
          <w:color w:val="222222"/>
          <w:shd w:val="clear" w:color="auto" w:fill="FFFFFF"/>
        </w:rPr>
        <w:t>green:'doing</w:t>
      </w:r>
      <w:proofErr w:type="spellEnd"/>
      <w:r w:rsidRPr="004A7D49">
        <w:rPr>
          <w:rFonts w:ascii="Arial" w:hAnsi="Arial" w:cs="Arial"/>
          <w:color w:val="222222"/>
          <w:shd w:val="clear" w:color="auto" w:fill="FFFFFF"/>
        </w:rPr>
        <w:t xml:space="preserve"> more with less'. </w:t>
      </w:r>
      <w:r w:rsidRPr="004A7D49">
        <w:rPr>
          <w:rFonts w:ascii="Arial" w:hAnsi="Arial" w:cs="Arial"/>
          <w:i/>
          <w:iCs/>
          <w:color w:val="222222"/>
          <w:shd w:val="clear" w:color="auto" w:fill="FFFFFF"/>
        </w:rPr>
        <w:t>International Commerce Review: ECR Journal</w:t>
      </w:r>
      <w:r w:rsidRPr="004A7D49">
        <w:rPr>
          <w:rFonts w:ascii="Arial" w:hAnsi="Arial" w:cs="Arial"/>
          <w:color w:val="222222"/>
          <w:shd w:val="clear" w:color="auto" w:fill="FFFFFF"/>
        </w:rPr>
        <w:t>, </w:t>
      </w:r>
      <w:r w:rsidRPr="004A7D49">
        <w:rPr>
          <w:rFonts w:ascii="Arial" w:hAnsi="Arial" w:cs="Arial"/>
          <w:i/>
          <w:iCs/>
          <w:color w:val="222222"/>
          <w:shd w:val="clear" w:color="auto" w:fill="FFFFFF"/>
        </w:rPr>
        <w:t>3</w:t>
      </w:r>
      <w:r w:rsidRPr="004A7D49">
        <w:rPr>
          <w:rFonts w:ascii="Arial" w:hAnsi="Arial" w:cs="Arial"/>
          <w:color w:val="222222"/>
          <w:shd w:val="clear" w:color="auto" w:fill="FFFFFF"/>
        </w:rPr>
        <w:t>(1), p.84.</w:t>
      </w:r>
    </w:p>
    <w:p w14:paraId="3A772DC4" w14:textId="77777777" w:rsidR="00CE60BE" w:rsidRPr="004A7D49" w:rsidRDefault="00CE60BE" w:rsidP="00CE60BE">
      <w:pPr>
        <w:pStyle w:val="NormalWeb"/>
        <w:rPr>
          <w:rFonts w:ascii="Arial" w:hAnsi="Arial" w:cs="Arial"/>
        </w:rPr>
      </w:pPr>
    </w:p>
    <w:p w14:paraId="683CA338" w14:textId="77777777" w:rsidR="00D46016" w:rsidRPr="004A7D49" w:rsidRDefault="00D46016">
      <w:pPr>
        <w:pStyle w:val="NormalWeb"/>
        <w:numPr>
          <w:ilvl w:val="0"/>
          <w:numId w:val="1"/>
        </w:numPr>
        <w:rPr>
          <w:rFonts w:ascii="Arial" w:hAnsi="Arial" w:cs="Arial"/>
        </w:rPr>
      </w:pPr>
      <w:r w:rsidRPr="004A7D49">
        <w:rPr>
          <w:rFonts w:ascii="Arial" w:hAnsi="Arial" w:cs="Arial"/>
          <w:color w:val="222222"/>
          <w:shd w:val="clear" w:color="auto" w:fill="FFFFFF"/>
        </w:rPr>
        <w:t>Sin, C.K., Ng, W.C., Tan, L.W., Ong, J.Q. and Chew, B.C., 2012. PESTLE Analysis on Toyota Prius. In </w:t>
      </w:r>
      <w:r w:rsidRPr="004A7D49">
        <w:rPr>
          <w:rFonts w:ascii="Arial" w:hAnsi="Arial" w:cs="Arial"/>
          <w:i/>
          <w:iCs/>
          <w:color w:val="222222"/>
          <w:shd w:val="clear" w:color="auto" w:fill="FFFFFF"/>
        </w:rPr>
        <w:t xml:space="preserve">Proceedings of the International Conference on Technology Management and </w:t>
      </w:r>
      <w:proofErr w:type="spellStart"/>
      <w:r w:rsidRPr="004A7D49">
        <w:rPr>
          <w:rFonts w:ascii="Arial" w:hAnsi="Arial" w:cs="Arial"/>
          <w:i/>
          <w:iCs/>
          <w:color w:val="222222"/>
          <w:shd w:val="clear" w:color="auto" w:fill="FFFFFF"/>
        </w:rPr>
        <w:t>Technopreneurship</w:t>
      </w:r>
      <w:proofErr w:type="spellEnd"/>
      <w:r w:rsidRPr="004A7D49">
        <w:rPr>
          <w:rFonts w:ascii="Arial" w:hAnsi="Arial" w:cs="Arial"/>
          <w:color w:val="222222"/>
          <w:shd w:val="clear" w:color="auto" w:fill="FFFFFF"/>
        </w:rPr>
        <w:t>.</w:t>
      </w:r>
    </w:p>
    <w:p w14:paraId="473E259C" w14:textId="77777777" w:rsidR="00CE60BE" w:rsidRPr="004A7D49" w:rsidRDefault="00CE60BE" w:rsidP="00CE60BE">
      <w:pPr>
        <w:pStyle w:val="NormalWeb"/>
        <w:rPr>
          <w:rFonts w:ascii="Arial" w:hAnsi="Arial" w:cs="Arial"/>
        </w:rPr>
      </w:pPr>
    </w:p>
    <w:p w14:paraId="794E8776" w14:textId="77777777" w:rsidR="00D46016" w:rsidRPr="004A7D49" w:rsidRDefault="00D46016">
      <w:pPr>
        <w:pStyle w:val="NormalWeb"/>
        <w:numPr>
          <w:ilvl w:val="0"/>
          <w:numId w:val="1"/>
        </w:numPr>
        <w:rPr>
          <w:rFonts w:ascii="Arial" w:hAnsi="Arial" w:cs="Arial"/>
        </w:rPr>
      </w:pPr>
      <w:r w:rsidRPr="004A7D49">
        <w:rPr>
          <w:rFonts w:ascii="Arial" w:hAnsi="Arial" w:cs="Arial"/>
          <w:color w:val="222222"/>
          <w:shd w:val="clear" w:color="auto" w:fill="FFFFFF"/>
        </w:rPr>
        <w:t>Soiferman, L.K., 2010. Compare and Contrast Inductive and Deductive Research Approaches. </w:t>
      </w:r>
      <w:r w:rsidRPr="004A7D49">
        <w:rPr>
          <w:rFonts w:ascii="Arial" w:hAnsi="Arial" w:cs="Arial"/>
          <w:i/>
          <w:iCs/>
          <w:color w:val="222222"/>
          <w:shd w:val="clear" w:color="auto" w:fill="FFFFFF"/>
        </w:rPr>
        <w:t>Online Submission</w:t>
      </w:r>
      <w:r w:rsidRPr="004A7D49">
        <w:rPr>
          <w:rFonts w:ascii="Arial" w:hAnsi="Arial" w:cs="Arial"/>
          <w:color w:val="222222"/>
          <w:shd w:val="clear" w:color="auto" w:fill="FFFFFF"/>
        </w:rPr>
        <w:t>.</w:t>
      </w:r>
    </w:p>
    <w:p w14:paraId="60271426" w14:textId="77777777" w:rsidR="00CE60BE" w:rsidRPr="004A7D49" w:rsidRDefault="00CE60BE" w:rsidP="00CE60BE">
      <w:pPr>
        <w:pStyle w:val="NormalWeb"/>
        <w:rPr>
          <w:rFonts w:ascii="Arial" w:hAnsi="Arial" w:cs="Arial"/>
        </w:rPr>
      </w:pPr>
    </w:p>
    <w:p w14:paraId="0647D17D" w14:textId="33180544" w:rsidR="00CE60BE" w:rsidRPr="004A7D49" w:rsidRDefault="00D46016" w:rsidP="00CE60BE">
      <w:pPr>
        <w:pStyle w:val="NormalWeb"/>
        <w:numPr>
          <w:ilvl w:val="0"/>
          <w:numId w:val="1"/>
        </w:numPr>
        <w:rPr>
          <w:rFonts w:ascii="Arial" w:hAnsi="Arial" w:cs="Arial"/>
        </w:rPr>
      </w:pPr>
      <w:proofErr w:type="spellStart"/>
      <w:r w:rsidRPr="004A7D49">
        <w:rPr>
          <w:rFonts w:ascii="Arial" w:hAnsi="Arial" w:cs="Arial"/>
          <w:color w:val="222222"/>
          <w:shd w:val="clear" w:color="auto" w:fill="FFFFFF"/>
        </w:rPr>
        <w:lastRenderedPageBreak/>
        <w:t>Soviar</w:t>
      </w:r>
      <w:proofErr w:type="spellEnd"/>
      <w:r w:rsidRPr="004A7D49">
        <w:rPr>
          <w:rFonts w:ascii="Arial" w:hAnsi="Arial" w:cs="Arial"/>
          <w:color w:val="222222"/>
          <w:shd w:val="clear" w:color="auto" w:fill="FFFFFF"/>
        </w:rPr>
        <w:t xml:space="preserve">, J., </w:t>
      </w:r>
      <w:proofErr w:type="spellStart"/>
      <w:r w:rsidRPr="004A7D49">
        <w:rPr>
          <w:rFonts w:ascii="Arial" w:hAnsi="Arial" w:cs="Arial"/>
          <w:color w:val="222222"/>
          <w:shd w:val="clear" w:color="auto" w:fill="FFFFFF"/>
        </w:rPr>
        <w:t>Holubčík</w:t>
      </w:r>
      <w:proofErr w:type="spellEnd"/>
      <w:r w:rsidRPr="004A7D49">
        <w:rPr>
          <w:rFonts w:ascii="Arial" w:hAnsi="Arial" w:cs="Arial"/>
          <w:color w:val="222222"/>
          <w:shd w:val="clear" w:color="auto" w:fill="FFFFFF"/>
        </w:rPr>
        <w:t xml:space="preserve">, M., </w:t>
      </w:r>
      <w:proofErr w:type="spellStart"/>
      <w:r w:rsidRPr="004A7D49">
        <w:rPr>
          <w:rFonts w:ascii="Arial" w:hAnsi="Arial" w:cs="Arial"/>
          <w:color w:val="222222"/>
          <w:shd w:val="clear" w:color="auto" w:fill="FFFFFF"/>
        </w:rPr>
        <w:t>Vodák</w:t>
      </w:r>
      <w:proofErr w:type="spellEnd"/>
      <w:r w:rsidRPr="004A7D49">
        <w:rPr>
          <w:rFonts w:ascii="Arial" w:hAnsi="Arial" w:cs="Arial"/>
          <w:color w:val="222222"/>
          <w:shd w:val="clear" w:color="auto" w:fill="FFFFFF"/>
        </w:rPr>
        <w:t xml:space="preserve">, J., </w:t>
      </w:r>
      <w:proofErr w:type="spellStart"/>
      <w:r w:rsidRPr="004A7D49">
        <w:rPr>
          <w:rFonts w:ascii="Arial" w:hAnsi="Arial" w:cs="Arial"/>
          <w:color w:val="222222"/>
          <w:shd w:val="clear" w:color="auto" w:fill="FFFFFF"/>
        </w:rPr>
        <w:t>Rechtorík</w:t>
      </w:r>
      <w:proofErr w:type="spellEnd"/>
      <w:r w:rsidRPr="004A7D49">
        <w:rPr>
          <w:rFonts w:ascii="Arial" w:hAnsi="Arial" w:cs="Arial"/>
          <w:color w:val="222222"/>
          <w:shd w:val="clear" w:color="auto" w:fill="FFFFFF"/>
        </w:rPr>
        <w:t xml:space="preserve">, M. and </w:t>
      </w:r>
      <w:proofErr w:type="spellStart"/>
      <w:r w:rsidRPr="004A7D49">
        <w:rPr>
          <w:rFonts w:ascii="Arial" w:hAnsi="Arial" w:cs="Arial"/>
          <w:color w:val="222222"/>
          <w:shd w:val="clear" w:color="auto" w:fill="FFFFFF"/>
        </w:rPr>
        <w:t>Pollák</w:t>
      </w:r>
      <w:proofErr w:type="spellEnd"/>
      <w:r w:rsidRPr="004A7D49">
        <w:rPr>
          <w:rFonts w:ascii="Arial" w:hAnsi="Arial" w:cs="Arial"/>
          <w:color w:val="222222"/>
          <w:shd w:val="clear" w:color="auto" w:fill="FFFFFF"/>
        </w:rPr>
        <w:t xml:space="preserve">, F., 2019. The Presentation of Automotive Brands in the On-Line Environment—The Perspective of KIA, Peugeot, </w:t>
      </w:r>
      <w:proofErr w:type="gramStart"/>
      <w:r w:rsidRPr="004A7D49">
        <w:rPr>
          <w:rFonts w:ascii="Arial" w:hAnsi="Arial" w:cs="Arial"/>
          <w:color w:val="222222"/>
          <w:shd w:val="clear" w:color="auto" w:fill="FFFFFF"/>
        </w:rPr>
        <w:t>Toyota</w:t>
      </w:r>
      <w:proofErr w:type="gramEnd"/>
      <w:r w:rsidRPr="004A7D49">
        <w:rPr>
          <w:rFonts w:ascii="Arial" w:hAnsi="Arial" w:cs="Arial"/>
          <w:color w:val="222222"/>
          <w:shd w:val="clear" w:color="auto" w:fill="FFFFFF"/>
        </w:rPr>
        <w:t xml:space="preserve"> and VW in the Slovak Republic. </w:t>
      </w:r>
      <w:r w:rsidRPr="004A7D49">
        <w:rPr>
          <w:rFonts w:ascii="Arial" w:hAnsi="Arial" w:cs="Arial"/>
          <w:i/>
          <w:iCs/>
          <w:color w:val="222222"/>
          <w:shd w:val="clear" w:color="auto" w:fill="FFFFFF"/>
        </w:rPr>
        <w:t>Sustainability</w:t>
      </w:r>
      <w:r w:rsidRPr="004A7D49">
        <w:rPr>
          <w:rFonts w:ascii="Arial" w:hAnsi="Arial" w:cs="Arial"/>
          <w:color w:val="222222"/>
          <w:shd w:val="clear" w:color="auto" w:fill="FFFFFF"/>
        </w:rPr>
        <w:t>, </w:t>
      </w:r>
      <w:r w:rsidRPr="004A7D49">
        <w:rPr>
          <w:rFonts w:ascii="Arial" w:hAnsi="Arial" w:cs="Arial"/>
          <w:i/>
          <w:iCs/>
          <w:color w:val="222222"/>
          <w:shd w:val="clear" w:color="auto" w:fill="FFFFFF"/>
        </w:rPr>
        <w:t>11</w:t>
      </w:r>
      <w:r w:rsidRPr="004A7D49">
        <w:rPr>
          <w:rFonts w:ascii="Arial" w:hAnsi="Arial" w:cs="Arial"/>
          <w:color w:val="222222"/>
          <w:shd w:val="clear" w:color="auto" w:fill="FFFFFF"/>
        </w:rPr>
        <w:t>(7), p.2132.</w:t>
      </w:r>
    </w:p>
    <w:p w14:paraId="6F531A27" w14:textId="77777777" w:rsidR="00CE60BE" w:rsidRPr="004A7D49" w:rsidRDefault="00CE60BE" w:rsidP="00CE60BE">
      <w:pPr>
        <w:pStyle w:val="NormalWeb"/>
        <w:rPr>
          <w:rFonts w:ascii="Arial" w:hAnsi="Arial" w:cs="Arial"/>
        </w:rPr>
      </w:pPr>
    </w:p>
    <w:p w14:paraId="117CBC85" w14:textId="72E71D86" w:rsidR="00CE60BE" w:rsidRPr="004A7D49" w:rsidRDefault="00D46016" w:rsidP="00CE60BE">
      <w:pPr>
        <w:pStyle w:val="NormalWeb"/>
        <w:numPr>
          <w:ilvl w:val="0"/>
          <w:numId w:val="1"/>
        </w:numPr>
        <w:rPr>
          <w:rFonts w:ascii="Arial" w:hAnsi="Arial" w:cs="Arial"/>
        </w:rPr>
      </w:pPr>
      <w:r w:rsidRPr="004A7D49">
        <w:rPr>
          <w:rFonts w:ascii="Arial" w:hAnsi="Arial" w:cs="Arial"/>
          <w:color w:val="222222"/>
          <w:shd w:val="clear" w:color="auto" w:fill="FFFFFF"/>
        </w:rPr>
        <w:t xml:space="preserve">Staffell, I., Scamman, D., Abad, A.V., Balcombe, P., Dodds, P.E., Ekins, P., Shah, </w:t>
      </w:r>
      <w:proofErr w:type="gramStart"/>
      <w:r w:rsidRPr="004A7D49">
        <w:rPr>
          <w:rFonts w:ascii="Arial" w:hAnsi="Arial" w:cs="Arial"/>
          <w:color w:val="222222"/>
          <w:shd w:val="clear" w:color="auto" w:fill="FFFFFF"/>
        </w:rPr>
        <w:t>N.</w:t>
      </w:r>
      <w:proofErr w:type="gramEnd"/>
      <w:r w:rsidRPr="004A7D49">
        <w:rPr>
          <w:rFonts w:ascii="Arial" w:hAnsi="Arial" w:cs="Arial"/>
          <w:color w:val="222222"/>
          <w:shd w:val="clear" w:color="auto" w:fill="FFFFFF"/>
        </w:rPr>
        <w:t xml:space="preserve"> and Ward, K.R., 2019. The role of hydrogen and fuel cells in the global energy system. </w:t>
      </w:r>
      <w:r w:rsidRPr="004A7D49">
        <w:rPr>
          <w:rFonts w:ascii="Arial" w:hAnsi="Arial" w:cs="Arial"/>
          <w:i/>
          <w:iCs/>
          <w:color w:val="222222"/>
          <w:shd w:val="clear" w:color="auto" w:fill="FFFFFF"/>
        </w:rPr>
        <w:t>Energy &amp; Environmental Science</w:t>
      </w:r>
      <w:r w:rsidRPr="004A7D49">
        <w:rPr>
          <w:rFonts w:ascii="Arial" w:hAnsi="Arial" w:cs="Arial"/>
          <w:color w:val="222222"/>
          <w:shd w:val="clear" w:color="auto" w:fill="FFFFFF"/>
        </w:rPr>
        <w:t>, </w:t>
      </w:r>
      <w:r w:rsidRPr="004A7D49">
        <w:rPr>
          <w:rFonts w:ascii="Arial" w:hAnsi="Arial" w:cs="Arial"/>
          <w:i/>
          <w:iCs/>
          <w:color w:val="222222"/>
          <w:shd w:val="clear" w:color="auto" w:fill="FFFFFF"/>
        </w:rPr>
        <w:t>12</w:t>
      </w:r>
      <w:r w:rsidRPr="004A7D49">
        <w:rPr>
          <w:rFonts w:ascii="Arial" w:hAnsi="Arial" w:cs="Arial"/>
          <w:color w:val="222222"/>
          <w:shd w:val="clear" w:color="auto" w:fill="FFFFFF"/>
        </w:rPr>
        <w:t>(2), pp.463-491.</w:t>
      </w:r>
    </w:p>
    <w:p w14:paraId="6EC16EBB" w14:textId="77777777" w:rsidR="00D46016" w:rsidRPr="004A7D49" w:rsidRDefault="00D46016">
      <w:pPr>
        <w:pStyle w:val="NormalWeb"/>
        <w:numPr>
          <w:ilvl w:val="0"/>
          <w:numId w:val="1"/>
        </w:numPr>
        <w:rPr>
          <w:rFonts w:ascii="Arial" w:hAnsi="Arial" w:cs="Arial"/>
        </w:rPr>
      </w:pPr>
      <w:r w:rsidRPr="004A7D49">
        <w:rPr>
          <w:rFonts w:ascii="Arial" w:hAnsi="Arial" w:cs="Arial"/>
          <w:color w:val="222222"/>
          <w:shd w:val="clear" w:color="auto" w:fill="FFFFFF"/>
        </w:rPr>
        <w:t xml:space="preserve">Swanson, </w:t>
      </w:r>
      <w:proofErr w:type="gramStart"/>
      <w:r w:rsidRPr="004A7D49">
        <w:rPr>
          <w:rFonts w:ascii="Arial" w:hAnsi="Arial" w:cs="Arial"/>
          <w:color w:val="222222"/>
          <w:shd w:val="clear" w:color="auto" w:fill="FFFFFF"/>
        </w:rPr>
        <w:t>R.A.</w:t>
      </w:r>
      <w:proofErr w:type="gramEnd"/>
      <w:r w:rsidRPr="004A7D49">
        <w:rPr>
          <w:rFonts w:ascii="Arial" w:hAnsi="Arial" w:cs="Arial"/>
          <w:color w:val="222222"/>
          <w:shd w:val="clear" w:color="auto" w:fill="FFFFFF"/>
        </w:rPr>
        <w:t xml:space="preserve"> and Holton, E.F., 2005. </w:t>
      </w:r>
      <w:r w:rsidRPr="004A7D49">
        <w:rPr>
          <w:rFonts w:ascii="Arial" w:hAnsi="Arial" w:cs="Arial"/>
          <w:i/>
          <w:iCs/>
          <w:color w:val="222222"/>
          <w:shd w:val="clear" w:color="auto" w:fill="FFFFFF"/>
        </w:rPr>
        <w:t>Research in organizations: Foundations and methods in inquiry</w:t>
      </w:r>
      <w:r w:rsidRPr="004A7D49">
        <w:rPr>
          <w:rFonts w:ascii="Arial" w:hAnsi="Arial" w:cs="Arial"/>
          <w:color w:val="222222"/>
          <w:shd w:val="clear" w:color="auto" w:fill="FFFFFF"/>
        </w:rPr>
        <w:t>. Berrett-Koehler Publishers.</w:t>
      </w:r>
    </w:p>
    <w:p w14:paraId="0605BC2C" w14:textId="77777777" w:rsidR="00CE60BE" w:rsidRPr="004A7D49" w:rsidRDefault="00CE60BE" w:rsidP="00CE60BE">
      <w:pPr>
        <w:pStyle w:val="NormalWeb"/>
        <w:rPr>
          <w:rFonts w:ascii="Arial" w:hAnsi="Arial" w:cs="Arial"/>
        </w:rPr>
      </w:pPr>
    </w:p>
    <w:p w14:paraId="727AB32E" w14:textId="4400254B" w:rsidR="00CE60BE" w:rsidRPr="004A7D49" w:rsidRDefault="00D46016" w:rsidP="00CE60BE">
      <w:pPr>
        <w:pStyle w:val="ListParagraph"/>
        <w:numPr>
          <w:ilvl w:val="0"/>
          <w:numId w:val="1"/>
        </w:numPr>
        <w:spacing w:before="100" w:beforeAutospacing="1" w:after="100" w:afterAutospacing="1" w:line="240" w:lineRule="auto"/>
        <w:rPr>
          <w:rFonts w:ascii="Arial" w:eastAsia="Times New Roman" w:hAnsi="Arial" w:cs="Arial"/>
          <w:kern w:val="0"/>
          <w:sz w:val="24"/>
          <w:szCs w:val="24"/>
          <w14:ligatures w14:val="none"/>
        </w:rPr>
      </w:pPr>
      <w:r w:rsidRPr="004A7D49">
        <w:rPr>
          <w:rFonts w:ascii="Arial" w:eastAsia="Times New Roman" w:hAnsi="Arial" w:cs="Arial"/>
          <w:kern w:val="0"/>
          <w:sz w:val="24"/>
          <w:szCs w:val="24"/>
          <w14:ligatures w14:val="none"/>
        </w:rPr>
        <w:t xml:space="preserve">Team, T.P. (2005) </w:t>
      </w:r>
      <w:r w:rsidRPr="004A7D49">
        <w:rPr>
          <w:rFonts w:ascii="Arial" w:eastAsia="Times New Roman" w:hAnsi="Arial" w:cs="Arial"/>
          <w:i/>
          <w:iCs/>
          <w:kern w:val="0"/>
          <w:sz w:val="24"/>
          <w:szCs w:val="24"/>
          <w14:ligatures w14:val="none"/>
        </w:rPr>
        <w:t xml:space="preserve">Toyota recruits </w:t>
      </w:r>
      <w:proofErr w:type="spellStart"/>
      <w:r w:rsidRPr="004A7D49">
        <w:rPr>
          <w:rFonts w:ascii="Arial" w:eastAsia="Times New Roman" w:hAnsi="Arial" w:cs="Arial"/>
          <w:i/>
          <w:iCs/>
          <w:kern w:val="0"/>
          <w:sz w:val="24"/>
          <w:szCs w:val="24"/>
          <w14:ligatures w14:val="none"/>
        </w:rPr>
        <w:t>Autogreen</w:t>
      </w:r>
      <w:proofErr w:type="spellEnd"/>
      <w:r w:rsidRPr="004A7D49">
        <w:rPr>
          <w:rFonts w:ascii="Arial" w:eastAsia="Times New Roman" w:hAnsi="Arial" w:cs="Arial"/>
          <w:i/>
          <w:iCs/>
          <w:kern w:val="0"/>
          <w:sz w:val="24"/>
          <w:szCs w:val="24"/>
          <w14:ligatures w14:val="none"/>
        </w:rPr>
        <w:t xml:space="preserve"> as end-of-life vehicle recycling partner</w:t>
      </w:r>
      <w:r w:rsidRPr="004A7D49">
        <w:rPr>
          <w:rFonts w:ascii="Arial" w:eastAsia="Times New Roman" w:hAnsi="Arial" w:cs="Arial"/>
          <w:kern w:val="0"/>
          <w:sz w:val="24"/>
          <w:szCs w:val="24"/>
          <w14:ligatures w14:val="none"/>
        </w:rPr>
        <w:t xml:space="preserve">, </w:t>
      </w:r>
      <w:r w:rsidRPr="004A7D49">
        <w:rPr>
          <w:rFonts w:ascii="Arial" w:eastAsia="Times New Roman" w:hAnsi="Arial" w:cs="Arial"/>
          <w:i/>
          <w:iCs/>
          <w:kern w:val="0"/>
          <w:sz w:val="24"/>
          <w:szCs w:val="24"/>
          <w14:ligatures w14:val="none"/>
        </w:rPr>
        <w:t>Toyota Media Site</w:t>
      </w:r>
      <w:r w:rsidRPr="004A7D49">
        <w:rPr>
          <w:rFonts w:ascii="Arial" w:eastAsia="Times New Roman" w:hAnsi="Arial" w:cs="Arial"/>
          <w:kern w:val="0"/>
          <w:sz w:val="24"/>
          <w:szCs w:val="24"/>
          <w14:ligatures w14:val="none"/>
        </w:rPr>
        <w:t xml:space="preserve">. Available at: https://media.toyota.co.uk/toyota-recruits-autogreen-as-end-of-life-vehicle-recycling-partner/ (Accessed: 30 December 2023). </w:t>
      </w:r>
    </w:p>
    <w:p w14:paraId="0BAE3B94" w14:textId="77777777" w:rsidR="00CE60BE" w:rsidRPr="004A7D49" w:rsidRDefault="00CE60BE" w:rsidP="00CE60BE">
      <w:pPr>
        <w:pStyle w:val="ListParagraph"/>
        <w:rPr>
          <w:rFonts w:ascii="Arial" w:eastAsia="Times New Roman" w:hAnsi="Arial" w:cs="Arial"/>
          <w:kern w:val="0"/>
          <w:sz w:val="24"/>
          <w:szCs w:val="24"/>
          <w14:ligatures w14:val="none"/>
        </w:rPr>
      </w:pPr>
    </w:p>
    <w:p w14:paraId="21F38C09" w14:textId="77777777" w:rsidR="00CE60BE" w:rsidRPr="004A7D49" w:rsidRDefault="00CE60BE" w:rsidP="00CE60BE">
      <w:pPr>
        <w:pStyle w:val="ListParagraph"/>
        <w:numPr>
          <w:ilvl w:val="0"/>
          <w:numId w:val="1"/>
        </w:numPr>
        <w:spacing w:before="100" w:beforeAutospacing="1" w:after="100" w:afterAutospacing="1" w:line="240" w:lineRule="auto"/>
        <w:rPr>
          <w:rFonts w:ascii="Arial" w:eastAsia="Times New Roman" w:hAnsi="Arial" w:cs="Arial"/>
          <w:kern w:val="0"/>
          <w:sz w:val="24"/>
          <w:szCs w:val="24"/>
          <w14:ligatures w14:val="none"/>
        </w:rPr>
      </w:pPr>
      <w:r w:rsidRPr="004A7D49">
        <w:rPr>
          <w:rFonts w:ascii="Arial" w:eastAsia="Times New Roman" w:hAnsi="Arial" w:cs="Arial"/>
          <w:kern w:val="0"/>
          <w:sz w:val="24"/>
          <w:szCs w:val="24"/>
          <w14:ligatures w14:val="none"/>
        </w:rPr>
        <w:t>(</w:t>
      </w:r>
      <w:r w:rsidRPr="004A7D49">
        <w:rPr>
          <w:rFonts w:ascii="Arial" w:eastAsia="Times New Roman" w:hAnsi="Arial" w:cs="Arial"/>
          <w:i/>
          <w:iCs/>
          <w:kern w:val="0"/>
          <w:sz w:val="24"/>
          <w:szCs w:val="24"/>
          <w14:ligatures w14:val="none"/>
        </w:rPr>
        <w:t>2023) Toyota Mirai Review, pricing, and Specs - Car and driver</w:t>
      </w:r>
      <w:r w:rsidRPr="004A7D49">
        <w:rPr>
          <w:rFonts w:ascii="Arial" w:eastAsia="Times New Roman" w:hAnsi="Arial" w:cs="Arial"/>
          <w:kern w:val="0"/>
          <w:sz w:val="24"/>
          <w:szCs w:val="24"/>
          <w14:ligatures w14:val="none"/>
        </w:rPr>
        <w:t xml:space="preserve">. Available at: https://www.caranddriver.com/toyota/mirai (Accessed: 30 December 2023). </w:t>
      </w:r>
    </w:p>
    <w:p w14:paraId="1FEDAE13" w14:textId="77777777" w:rsidR="00CE60BE" w:rsidRPr="004A7D49" w:rsidRDefault="00CE60BE" w:rsidP="00CE60BE">
      <w:pPr>
        <w:spacing w:before="100" w:beforeAutospacing="1" w:after="100" w:afterAutospacing="1" w:line="240" w:lineRule="auto"/>
        <w:rPr>
          <w:rFonts w:ascii="Arial" w:eastAsia="Times New Roman" w:hAnsi="Arial" w:cs="Arial"/>
          <w:kern w:val="0"/>
          <w:sz w:val="24"/>
          <w:szCs w:val="24"/>
          <w14:ligatures w14:val="none"/>
        </w:rPr>
      </w:pPr>
    </w:p>
    <w:p w14:paraId="1BDA8504" w14:textId="1F511382" w:rsidR="00CE60BE" w:rsidRPr="004A7D49" w:rsidRDefault="00D46016" w:rsidP="00CE60BE">
      <w:pPr>
        <w:pStyle w:val="NormalWeb"/>
        <w:numPr>
          <w:ilvl w:val="0"/>
          <w:numId w:val="1"/>
        </w:numPr>
        <w:rPr>
          <w:rFonts w:ascii="Arial" w:hAnsi="Arial" w:cs="Arial"/>
        </w:rPr>
      </w:pPr>
      <w:r w:rsidRPr="004A7D49">
        <w:rPr>
          <w:rFonts w:ascii="Arial" w:hAnsi="Arial" w:cs="Arial"/>
        </w:rPr>
        <w:t xml:space="preserve">Toyota Europe (2023) </w:t>
      </w:r>
      <w:r w:rsidRPr="004A7D49">
        <w:rPr>
          <w:rFonts w:ascii="Arial" w:hAnsi="Arial" w:cs="Arial"/>
          <w:i/>
          <w:iCs/>
        </w:rPr>
        <w:t>Homepage</w:t>
      </w:r>
      <w:r w:rsidRPr="004A7D49">
        <w:rPr>
          <w:rFonts w:ascii="Arial" w:hAnsi="Arial" w:cs="Arial"/>
        </w:rPr>
        <w:t xml:space="preserve">, </w:t>
      </w:r>
      <w:r w:rsidRPr="004A7D49">
        <w:rPr>
          <w:rFonts w:ascii="Arial" w:hAnsi="Arial" w:cs="Arial"/>
          <w:i/>
          <w:iCs/>
        </w:rPr>
        <w:t>Toyota Europe’s market share increases to a record 7.3%</w:t>
      </w:r>
      <w:r w:rsidRPr="004A7D49">
        <w:rPr>
          <w:rFonts w:ascii="Arial" w:hAnsi="Arial" w:cs="Arial"/>
        </w:rPr>
        <w:t xml:space="preserve">. Available at: https://newsroom.toyota.eu/toyota-motor-europes-market-share-increases-to-a-record-73-in-2022-09-points-year-on-year/ (Accessed: 15 December 2023). </w:t>
      </w:r>
    </w:p>
    <w:p w14:paraId="5EC8249E" w14:textId="77777777" w:rsidR="00CE60BE" w:rsidRPr="004A7D49" w:rsidRDefault="00CE60BE" w:rsidP="00CE60BE">
      <w:pPr>
        <w:pStyle w:val="NormalWeb"/>
        <w:ind w:left="720"/>
        <w:rPr>
          <w:rFonts w:ascii="Arial" w:hAnsi="Arial" w:cs="Arial"/>
        </w:rPr>
      </w:pPr>
    </w:p>
    <w:p w14:paraId="52B631EA" w14:textId="77777777" w:rsidR="00D46016" w:rsidRPr="004A7D49" w:rsidRDefault="00D46016">
      <w:pPr>
        <w:pStyle w:val="NormalWeb"/>
        <w:numPr>
          <w:ilvl w:val="0"/>
          <w:numId w:val="1"/>
        </w:numPr>
        <w:rPr>
          <w:rFonts w:ascii="Arial" w:hAnsi="Arial" w:cs="Arial"/>
        </w:rPr>
      </w:pPr>
      <w:r w:rsidRPr="004A7D49">
        <w:rPr>
          <w:rFonts w:ascii="Arial" w:hAnsi="Arial" w:cs="Arial"/>
        </w:rPr>
        <w:t xml:space="preserve">Toyota Europe (2023a) </w:t>
      </w:r>
      <w:r w:rsidRPr="004A7D49">
        <w:rPr>
          <w:rFonts w:ascii="Arial" w:hAnsi="Arial" w:cs="Arial"/>
          <w:i/>
          <w:iCs/>
        </w:rPr>
        <w:t>Homepage</w:t>
      </w:r>
      <w:r w:rsidRPr="004A7D49">
        <w:rPr>
          <w:rFonts w:ascii="Arial" w:hAnsi="Arial" w:cs="Arial"/>
        </w:rPr>
        <w:t xml:space="preserve">, </w:t>
      </w:r>
      <w:r w:rsidRPr="004A7D49">
        <w:rPr>
          <w:rFonts w:ascii="Arial" w:hAnsi="Arial" w:cs="Arial"/>
          <w:i/>
          <w:iCs/>
        </w:rPr>
        <w:t>Toyota Motor Europe’s sales grow to 573,976</w:t>
      </w:r>
      <w:r w:rsidRPr="004A7D49">
        <w:rPr>
          <w:rFonts w:ascii="Arial" w:hAnsi="Arial" w:cs="Arial"/>
        </w:rPr>
        <w:t xml:space="preserve">. Available at: https://newsroom.toyota.eu/toyota-motor-europes-sales-grow-to-573976/ (Accessed: 31 November 2023). </w:t>
      </w:r>
    </w:p>
    <w:p w14:paraId="6E67D5F5" w14:textId="77777777" w:rsidR="00CE60BE" w:rsidRPr="004A7D49" w:rsidRDefault="00CE60BE" w:rsidP="00CE60BE">
      <w:pPr>
        <w:pStyle w:val="NormalWeb"/>
        <w:rPr>
          <w:rFonts w:ascii="Arial" w:hAnsi="Arial" w:cs="Arial"/>
        </w:rPr>
      </w:pPr>
    </w:p>
    <w:p w14:paraId="32A5AC9C" w14:textId="77777777" w:rsidR="00D46016" w:rsidRPr="004A7D49" w:rsidRDefault="00D46016">
      <w:pPr>
        <w:pStyle w:val="NormalWeb"/>
        <w:numPr>
          <w:ilvl w:val="0"/>
          <w:numId w:val="1"/>
        </w:numPr>
        <w:rPr>
          <w:rFonts w:ascii="Arial" w:hAnsi="Arial" w:cs="Arial"/>
        </w:rPr>
      </w:pPr>
      <w:r w:rsidRPr="004A7D49">
        <w:rPr>
          <w:rFonts w:ascii="Arial" w:hAnsi="Arial" w:cs="Arial"/>
        </w:rPr>
        <w:t xml:space="preserve">Toyota United Kingdom (2022) </w:t>
      </w:r>
      <w:r w:rsidRPr="004A7D49">
        <w:rPr>
          <w:rFonts w:ascii="Arial" w:hAnsi="Arial" w:cs="Arial"/>
          <w:i/>
          <w:iCs/>
        </w:rPr>
        <w:t>Toyota ECO HQ: Discover Toyota: Toyota UK</w:t>
      </w:r>
      <w:r w:rsidRPr="004A7D49">
        <w:rPr>
          <w:rFonts w:ascii="Arial" w:hAnsi="Arial" w:cs="Arial"/>
        </w:rPr>
        <w:t xml:space="preserve">, </w:t>
      </w:r>
      <w:r w:rsidRPr="004A7D49">
        <w:rPr>
          <w:rFonts w:ascii="Arial" w:hAnsi="Arial" w:cs="Arial"/>
          <w:i/>
          <w:iCs/>
        </w:rPr>
        <w:t>Toyota GB</w:t>
      </w:r>
      <w:r w:rsidRPr="004A7D49">
        <w:rPr>
          <w:rFonts w:ascii="Arial" w:hAnsi="Arial" w:cs="Arial"/>
        </w:rPr>
        <w:t xml:space="preserve">. Available at: https://www.toyota.co.uk/discover-toyota/sustainability/governance/eco-hq (Accessed: 23 November 2023). </w:t>
      </w:r>
    </w:p>
    <w:p w14:paraId="65AA55EE" w14:textId="77777777" w:rsidR="00CE60BE" w:rsidRPr="004A7D49" w:rsidRDefault="00CE60BE" w:rsidP="00CE60BE">
      <w:pPr>
        <w:pStyle w:val="NormalWeb"/>
        <w:rPr>
          <w:rFonts w:ascii="Arial" w:hAnsi="Arial" w:cs="Arial"/>
        </w:rPr>
      </w:pPr>
    </w:p>
    <w:p w14:paraId="18DBA4E8" w14:textId="77777777" w:rsidR="00D46016" w:rsidRPr="004A7D49" w:rsidRDefault="00D46016">
      <w:pPr>
        <w:pStyle w:val="NormalWeb"/>
        <w:numPr>
          <w:ilvl w:val="0"/>
          <w:numId w:val="1"/>
        </w:numPr>
        <w:rPr>
          <w:rFonts w:ascii="Arial" w:hAnsi="Arial" w:cs="Arial"/>
        </w:rPr>
      </w:pPr>
      <w:r w:rsidRPr="004A7D49">
        <w:rPr>
          <w:rFonts w:ascii="Arial" w:hAnsi="Arial" w:cs="Arial"/>
          <w:color w:val="222222"/>
          <w:shd w:val="clear" w:color="auto" w:fill="FFFFFF"/>
        </w:rPr>
        <w:t>Tripathy, J.P., 2013. Secondary data analysis: Ethical issues and challenges. </w:t>
      </w:r>
      <w:r w:rsidRPr="004A7D49">
        <w:rPr>
          <w:rFonts w:ascii="Arial" w:hAnsi="Arial" w:cs="Arial"/>
          <w:i/>
          <w:iCs/>
          <w:color w:val="222222"/>
          <w:shd w:val="clear" w:color="auto" w:fill="FFFFFF"/>
        </w:rPr>
        <w:t>Iranian journal of public health</w:t>
      </w:r>
      <w:r w:rsidRPr="004A7D49">
        <w:rPr>
          <w:rFonts w:ascii="Arial" w:hAnsi="Arial" w:cs="Arial"/>
          <w:color w:val="222222"/>
          <w:shd w:val="clear" w:color="auto" w:fill="FFFFFF"/>
        </w:rPr>
        <w:t>, </w:t>
      </w:r>
      <w:r w:rsidRPr="004A7D49">
        <w:rPr>
          <w:rFonts w:ascii="Arial" w:hAnsi="Arial" w:cs="Arial"/>
          <w:i/>
          <w:iCs/>
          <w:color w:val="222222"/>
          <w:shd w:val="clear" w:color="auto" w:fill="FFFFFF"/>
        </w:rPr>
        <w:t>42</w:t>
      </w:r>
      <w:r w:rsidRPr="004A7D49">
        <w:rPr>
          <w:rFonts w:ascii="Arial" w:hAnsi="Arial" w:cs="Arial"/>
          <w:color w:val="222222"/>
          <w:shd w:val="clear" w:color="auto" w:fill="FFFFFF"/>
        </w:rPr>
        <w:t>(12), p.1478.</w:t>
      </w:r>
    </w:p>
    <w:p w14:paraId="73746A90" w14:textId="77777777" w:rsidR="00CE60BE" w:rsidRPr="004A7D49" w:rsidRDefault="00CE60BE" w:rsidP="00CE60BE">
      <w:pPr>
        <w:pStyle w:val="NormalWeb"/>
        <w:rPr>
          <w:rFonts w:ascii="Arial" w:hAnsi="Arial" w:cs="Arial"/>
        </w:rPr>
      </w:pPr>
    </w:p>
    <w:p w14:paraId="3D520FA7" w14:textId="77777777" w:rsidR="00D46016" w:rsidRPr="004A7D49" w:rsidRDefault="00D46016">
      <w:pPr>
        <w:pStyle w:val="NormalWeb"/>
        <w:numPr>
          <w:ilvl w:val="0"/>
          <w:numId w:val="1"/>
        </w:numPr>
        <w:rPr>
          <w:rFonts w:ascii="Arial" w:hAnsi="Arial" w:cs="Arial"/>
        </w:rPr>
      </w:pPr>
      <w:r w:rsidRPr="004A7D49">
        <w:rPr>
          <w:rFonts w:ascii="Arial" w:hAnsi="Arial" w:cs="Arial"/>
        </w:rPr>
        <w:t xml:space="preserve">Upadhyay, A. </w:t>
      </w:r>
      <w:r w:rsidRPr="004A7D49">
        <w:rPr>
          <w:rFonts w:ascii="Arial" w:hAnsi="Arial" w:cs="Arial"/>
          <w:i/>
          <w:iCs/>
        </w:rPr>
        <w:t>et al.</w:t>
      </w:r>
      <w:r w:rsidRPr="004A7D49">
        <w:rPr>
          <w:rFonts w:ascii="Arial" w:hAnsi="Arial" w:cs="Arial"/>
        </w:rPr>
        <w:t xml:space="preserve"> (2020) ‘A review of challenges and opportunities of blockchain adoption for operational excellence in the UK Automotive Industry’, </w:t>
      </w:r>
      <w:r w:rsidRPr="004A7D49">
        <w:rPr>
          <w:rFonts w:ascii="Arial" w:hAnsi="Arial" w:cs="Arial"/>
          <w:i/>
          <w:iCs/>
        </w:rPr>
        <w:t>Journal of Global Operations and Strategic Sourcing</w:t>
      </w:r>
      <w:r w:rsidRPr="004A7D49">
        <w:rPr>
          <w:rFonts w:ascii="Arial" w:hAnsi="Arial" w:cs="Arial"/>
        </w:rPr>
        <w:t xml:space="preserve">, 14(1), pp. 7–60. doi:10.1108/jgoss-05-2020-0024. </w:t>
      </w:r>
    </w:p>
    <w:p w14:paraId="41A5994E" w14:textId="77777777" w:rsidR="00CE60BE" w:rsidRPr="004A7D49" w:rsidRDefault="00CE60BE" w:rsidP="00CE60BE">
      <w:pPr>
        <w:pStyle w:val="NormalWeb"/>
        <w:rPr>
          <w:rFonts w:ascii="Arial" w:hAnsi="Arial" w:cs="Arial"/>
        </w:rPr>
      </w:pPr>
    </w:p>
    <w:p w14:paraId="102F5C6D" w14:textId="77777777" w:rsidR="00D46016" w:rsidRPr="004A7D49" w:rsidRDefault="00D46016">
      <w:pPr>
        <w:pStyle w:val="NormalWeb"/>
        <w:numPr>
          <w:ilvl w:val="0"/>
          <w:numId w:val="1"/>
        </w:numPr>
        <w:rPr>
          <w:rFonts w:ascii="Arial" w:hAnsi="Arial" w:cs="Arial"/>
        </w:rPr>
      </w:pPr>
      <w:r w:rsidRPr="004A7D49">
        <w:rPr>
          <w:rFonts w:ascii="Arial" w:hAnsi="Arial" w:cs="Arial"/>
        </w:rPr>
        <w:t xml:space="preserve">Winfield, I.J. and Kerrin, M. (1994) ‘Catalyst for organizational learning’, </w:t>
      </w:r>
      <w:r w:rsidRPr="004A7D49">
        <w:rPr>
          <w:rFonts w:ascii="Arial" w:hAnsi="Arial" w:cs="Arial"/>
          <w:i/>
          <w:iCs/>
        </w:rPr>
        <w:t>The Learning Organization</w:t>
      </w:r>
      <w:r w:rsidRPr="004A7D49">
        <w:rPr>
          <w:rFonts w:ascii="Arial" w:hAnsi="Arial" w:cs="Arial"/>
        </w:rPr>
        <w:t xml:space="preserve">, 1(3), pp. 4–9. doi:10.1108/09696479410072763. </w:t>
      </w:r>
    </w:p>
    <w:p w14:paraId="75B17A6B" w14:textId="77777777" w:rsidR="00CE60BE" w:rsidRPr="004A7D49" w:rsidRDefault="00CE60BE" w:rsidP="00CE60BE">
      <w:pPr>
        <w:pStyle w:val="NormalWeb"/>
        <w:rPr>
          <w:rFonts w:ascii="Arial" w:hAnsi="Arial" w:cs="Arial"/>
        </w:rPr>
      </w:pPr>
    </w:p>
    <w:p w14:paraId="03F98483" w14:textId="77777777" w:rsidR="00D46016" w:rsidRDefault="00D46016">
      <w:pPr>
        <w:pStyle w:val="NormalWeb"/>
        <w:numPr>
          <w:ilvl w:val="0"/>
          <w:numId w:val="1"/>
        </w:numPr>
        <w:rPr>
          <w:rFonts w:ascii="Arial" w:hAnsi="Arial" w:cs="Arial"/>
        </w:rPr>
      </w:pPr>
      <w:r w:rsidRPr="004A7D49">
        <w:rPr>
          <w:rFonts w:ascii="Arial" w:hAnsi="Arial" w:cs="Arial"/>
        </w:rPr>
        <w:t xml:space="preserve">Yan, Y.K. and Yazdanifard, R. (2014) </w:t>
      </w:r>
      <w:r w:rsidRPr="004A7D49">
        <w:rPr>
          <w:rFonts w:ascii="Arial" w:hAnsi="Arial" w:cs="Arial"/>
          <w:i/>
          <w:iCs/>
        </w:rPr>
        <w:t>The concept of Green Marketing and green product development on ...</w:t>
      </w:r>
      <w:r w:rsidRPr="004A7D49">
        <w:rPr>
          <w:rFonts w:ascii="Arial" w:hAnsi="Arial" w:cs="Arial"/>
        </w:rPr>
        <w:t xml:space="preserve">, </w:t>
      </w:r>
      <w:r w:rsidRPr="004A7D49">
        <w:rPr>
          <w:rFonts w:ascii="Arial" w:hAnsi="Arial" w:cs="Arial"/>
          <w:i/>
          <w:iCs/>
        </w:rPr>
        <w:t>www.gifre.org</w:t>
      </w:r>
      <w:r w:rsidRPr="004A7D49">
        <w:rPr>
          <w:rFonts w:ascii="Arial" w:hAnsi="Arial" w:cs="Arial"/>
        </w:rPr>
        <w:t xml:space="preserve">. Available at: https://www.researchgate.net/profile/Assoc-Prof-Dr-Rashad-Yazdanifard/publication/268747494_THE_CONCEPT_OF_GREEN_MARKETING_AND_GREEN_PRODUCT_DEVELOPMENT_ON_CONSUMER_BUYING_APPROACH/links/547561a10cf245eb4370c673/THE-CONCEPT-OF-GREEN-MARKETING-AND-GREEN-PRODUCT-DEVELOPMENT-ON-CONSUMER-BUYING-APPROACH.pdf (Accessed: 31 December 2023). </w:t>
      </w:r>
    </w:p>
    <w:p w14:paraId="127B0B1C" w14:textId="77777777" w:rsidR="00D23C2E" w:rsidRDefault="00D23C2E" w:rsidP="00D23C2E">
      <w:pPr>
        <w:pStyle w:val="ListParagraph"/>
        <w:rPr>
          <w:rFonts w:ascii="Arial" w:hAnsi="Arial" w:cs="Arial"/>
        </w:rPr>
      </w:pPr>
    </w:p>
    <w:p w14:paraId="264600DA" w14:textId="77777777" w:rsidR="008D7D85" w:rsidRPr="008D7D85" w:rsidRDefault="008D7D85" w:rsidP="00D23C2E">
      <w:pPr>
        <w:pStyle w:val="NormalWeb"/>
        <w:ind w:left="720"/>
        <w:rPr>
          <w:rFonts w:ascii="Arial" w:hAnsi="Arial" w:cs="Arial"/>
        </w:rPr>
      </w:pPr>
    </w:p>
    <w:p w14:paraId="5B9D617F" w14:textId="77777777" w:rsidR="00D23C2E" w:rsidRDefault="00D23C2E" w:rsidP="008D7D85">
      <w:pPr>
        <w:pStyle w:val="NormalWeb"/>
        <w:ind w:left="720"/>
        <w:rPr>
          <w:rFonts w:ascii="Arial" w:hAnsi="Arial" w:cs="Arial"/>
          <w:b/>
          <w:bCs/>
          <w:sz w:val="28"/>
          <w:szCs w:val="28"/>
        </w:rPr>
      </w:pPr>
    </w:p>
    <w:p w14:paraId="07120860" w14:textId="77777777" w:rsidR="00D23C2E" w:rsidRPr="00D23C2E" w:rsidRDefault="00D23C2E" w:rsidP="00D23C2E">
      <w:pPr>
        <w:pStyle w:val="NormalWeb"/>
        <w:ind w:left="720"/>
        <w:rPr>
          <w:rFonts w:ascii="Arial" w:hAnsi="Arial" w:cs="Arial"/>
        </w:rPr>
      </w:pPr>
    </w:p>
    <w:p w14:paraId="028085DB" w14:textId="77777777" w:rsidR="00E77831" w:rsidRDefault="00E77831">
      <w:pPr>
        <w:pStyle w:val="NormalWeb"/>
        <w:ind w:left="720"/>
        <w:rPr>
          <w:rFonts w:ascii="Arial" w:hAnsi="Arial" w:cs="Arial"/>
        </w:rPr>
      </w:pPr>
    </w:p>
    <w:p w14:paraId="179BD31D" w14:textId="77777777" w:rsidR="00E77831" w:rsidRDefault="00E77831">
      <w:pPr>
        <w:spacing w:line="360" w:lineRule="auto"/>
        <w:rPr>
          <w:rFonts w:ascii="Arial" w:hAnsi="Arial" w:cs="Arial"/>
          <w:sz w:val="24"/>
          <w:szCs w:val="24"/>
        </w:rPr>
      </w:pPr>
    </w:p>
    <w:p w14:paraId="4FFECDFD" w14:textId="77777777" w:rsidR="00E77831" w:rsidRDefault="00E77831">
      <w:pPr>
        <w:spacing w:line="360" w:lineRule="auto"/>
        <w:rPr>
          <w:rFonts w:ascii="Arial" w:hAnsi="Arial" w:cs="Arial"/>
          <w:sz w:val="24"/>
          <w:szCs w:val="24"/>
        </w:rPr>
      </w:pPr>
    </w:p>
    <w:sectPr w:rsidR="00E77831">
      <w:headerReference w:type="default" r:id="rId34"/>
      <w:footerReference w:type="default" r:id="rId35"/>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502DDC" w14:textId="77777777" w:rsidR="003D34CB" w:rsidRDefault="003D34CB">
      <w:pPr>
        <w:spacing w:after="0" w:line="240" w:lineRule="auto"/>
      </w:pPr>
      <w:r>
        <w:separator/>
      </w:r>
    </w:p>
  </w:endnote>
  <w:endnote w:type="continuationSeparator" w:id="0">
    <w:p w14:paraId="3E181FF8" w14:textId="77777777" w:rsidR="003D34CB" w:rsidRDefault="003D34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955BD6" w14:textId="77777777" w:rsidR="00E77831" w:rsidRDefault="00E77831">
    <w:pP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DB8391" w14:textId="77777777" w:rsidR="003D34CB" w:rsidRDefault="003D34CB">
      <w:pPr>
        <w:spacing w:after="0" w:line="240" w:lineRule="auto"/>
      </w:pPr>
      <w:r>
        <w:separator/>
      </w:r>
    </w:p>
  </w:footnote>
  <w:footnote w:type="continuationSeparator" w:id="0">
    <w:p w14:paraId="1E6EA780" w14:textId="77777777" w:rsidR="003D34CB" w:rsidRDefault="003D34C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2B6C57" w14:textId="77777777" w:rsidR="00E77831" w:rsidRDefault="00000000">
    <w:pPr>
      <w:pStyle w:val="Header"/>
      <w:jc w:val="right"/>
    </w:pPr>
    <w:r>
      <w:fldChar w:fldCharType="begin"/>
    </w:r>
    <w:r>
      <w:instrText xml:space="preserve"> PAGE   \* MERGEFORMAT </w:instrText>
    </w:r>
    <w:r>
      <w:fldChar w:fldCharType="separate"/>
    </w:r>
    <w:r>
      <w:rPr>
        <w:noProof/>
      </w:rPr>
      <w:t>2</w:t>
    </w:r>
    <w:r>
      <w:rPr>
        <w:noProof/>
      </w:rPr>
      <w:fldChar w:fldCharType="end"/>
    </w:r>
  </w:p>
  <w:p w14:paraId="48E803B9" w14:textId="77777777" w:rsidR="00E77831" w:rsidRDefault="00E77831">
    <w:pP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000000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0000002"/>
    <w:multiLevelType w:val="hybridMultilevel"/>
    <w:tmpl w:val="E06E74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0000003"/>
    <w:multiLevelType w:val="hybridMultilevel"/>
    <w:tmpl w:val="4BB0EFB4"/>
    <w:lvl w:ilvl="0" w:tplc="6D48F098">
      <w:start w:val="1"/>
      <w:numFmt w:val="bullet"/>
      <w:lvlText w:val="•"/>
      <w:lvlJc w:val="left"/>
      <w:pPr>
        <w:tabs>
          <w:tab w:val="left" w:pos="720"/>
        </w:tabs>
        <w:ind w:left="720" w:hanging="360"/>
      </w:pPr>
      <w:rPr>
        <w:rFonts w:ascii="Arial" w:hAnsi="Arial" w:hint="default"/>
      </w:rPr>
    </w:lvl>
    <w:lvl w:ilvl="1" w:tplc="98322A2C" w:tentative="1">
      <w:start w:val="1"/>
      <w:numFmt w:val="bullet"/>
      <w:lvlText w:val="•"/>
      <w:lvlJc w:val="left"/>
      <w:pPr>
        <w:tabs>
          <w:tab w:val="left" w:pos="1440"/>
        </w:tabs>
        <w:ind w:left="1440" w:hanging="360"/>
      </w:pPr>
      <w:rPr>
        <w:rFonts w:ascii="Arial" w:hAnsi="Arial" w:hint="default"/>
      </w:rPr>
    </w:lvl>
    <w:lvl w:ilvl="2" w:tplc="481488D0" w:tentative="1">
      <w:start w:val="1"/>
      <w:numFmt w:val="bullet"/>
      <w:lvlText w:val="•"/>
      <w:lvlJc w:val="left"/>
      <w:pPr>
        <w:tabs>
          <w:tab w:val="left" w:pos="2160"/>
        </w:tabs>
        <w:ind w:left="2160" w:hanging="360"/>
      </w:pPr>
      <w:rPr>
        <w:rFonts w:ascii="Arial" w:hAnsi="Arial" w:hint="default"/>
      </w:rPr>
    </w:lvl>
    <w:lvl w:ilvl="3" w:tplc="1A602104" w:tentative="1">
      <w:start w:val="1"/>
      <w:numFmt w:val="bullet"/>
      <w:lvlText w:val="•"/>
      <w:lvlJc w:val="left"/>
      <w:pPr>
        <w:tabs>
          <w:tab w:val="left" w:pos="2880"/>
        </w:tabs>
        <w:ind w:left="2880" w:hanging="360"/>
      </w:pPr>
      <w:rPr>
        <w:rFonts w:ascii="Arial" w:hAnsi="Arial" w:hint="default"/>
      </w:rPr>
    </w:lvl>
    <w:lvl w:ilvl="4" w:tplc="DE88BE0C" w:tentative="1">
      <w:start w:val="1"/>
      <w:numFmt w:val="bullet"/>
      <w:lvlText w:val="•"/>
      <w:lvlJc w:val="left"/>
      <w:pPr>
        <w:tabs>
          <w:tab w:val="left" w:pos="3600"/>
        </w:tabs>
        <w:ind w:left="3600" w:hanging="360"/>
      </w:pPr>
      <w:rPr>
        <w:rFonts w:ascii="Arial" w:hAnsi="Arial" w:hint="default"/>
      </w:rPr>
    </w:lvl>
    <w:lvl w:ilvl="5" w:tplc="6E9247D8" w:tentative="1">
      <w:start w:val="1"/>
      <w:numFmt w:val="bullet"/>
      <w:lvlText w:val="•"/>
      <w:lvlJc w:val="left"/>
      <w:pPr>
        <w:tabs>
          <w:tab w:val="left" w:pos="4320"/>
        </w:tabs>
        <w:ind w:left="4320" w:hanging="360"/>
      </w:pPr>
      <w:rPr>
        <w:rFonts w:ascii="Arial" w:hAnsi="Arial" w:hint="default"/>
      </w:rPr>
    </w:lvl>
    <w:lvl w:ilvl="6" w:tplc="75501D42" w:tentative="1">
      <w:start w:val="1"/>
      <w:numFmt w:val="bullet"/>
      <w:lvlText w:val="•"/>
      <w:lvlJc w:val="left"/>
      <w:pPr>
        <w:tabs>
          <w:tab w:val="left" w:pos="5040"/>
        </w:tabs>
        <w:ind w:left="5040" w:hanging="360"/>
      </w:pPr>
      <w:rPr>
        <w:rFonts w:ascii="Arial" w:hAnsi="Arial" w:hint="default"/>
      </w:rPr>
    </w:lvl>
    <w:lvl w:ilvl="7" w:tplc="BA608142" w:tentative="1">
      <w:start w:val="1"/>
      <w:numFmt w:val="bullet"/>
      <w:lvlText w:val="•"/>
      <w:lvlJc w:val="left"/>
      <w:pPr>
        <w:tabs>
          <w:tab w:val="left" w:pos="5760"/>
        </w:tabs>
        <w:ind w:left="5760" w:hanging="360"/>
      </w:pPr>
      <w:rPr>
        <w:rFonts w:ascii="Arial" w:hAnsi="Arial" w:hint="default"/>
      </w:rPr>
    </w:lvl>
    <w:lvl w:ilvl="8" w:tplc="44167850" w:tentative="1">
      <w:start w:val="1"/>
      <w:numFmt w:val="bullet"/>
      <w:lvlText w:val="•"/>
      <w:lvlJc w:val="left"/>
      <w:pPr>
        <w:tabs>
          <w:tab w:val="left" w:pos="6480"/>
        </w:tabs>
        <w:ind w:left="6480" w:hanging="360"/>
      </w:pPr>
      <w:rPr>
        <w:rFonts w:ascii="Arial" w:hAnsi="Arial" w:hint="default"/>
      </w:rPr>
    </w:lvl>
  </w:abstractNum>
  <w:abstractNum w:abstractNumId="3" w15:restartNumberingAfterBreak="0">
    <w:nsid w:val="00000004"/>
    <w:multiLevelType w:val="hybridMultilevel"/>
    <w:tmpl w:val="09DC9336"/>
    <w:lvl w:ilvl="0" w:tplc="04090011">
      <w:start w:val="1"/>
      <w:numFmt w:val="decimal"/>
      <w:lvlText w:val="%1)"/>
      <w:lvlJc w:val="left"/>
      <w:pPr>
        <w:ind w:left="720" w:hanging="360"/>
      </w:pPr>
    </w:lvl>
    <w:lvl w:ilvl="1" w:tplc="058C2F12" w:tentative="1">
      <w:start w:val="1"/>
      <w:numFmt w:val="lowerLetter"/>
      <w:lvlText w:val="%2."/>
      <w:lvlJc w:val="left"/>
      <w:pPr>
        <w:ind w:left="1440" w:hanging="360"/>
      </w:pPr>
    </w:lvl>
    <w:lvl w:ilvl="2" w:tplc="44C25230" w:tentative="1">
      <w:start w:val="1"/>
      <w:numFmt w:val="lowerRoman"/>
      <w:lvlText w:val="%3."/>
      <w:lvlJc w:val="right"/>
      <w:pPr>
        <w:ind w:left="2160" w:hanging="180"/>
      </w:pPr>
    </w:lvl>
    <w:lvl w:ilvl="3" w:tplc="79FE7222" w:tentative="1">
      <w:start w:val="1"/>
      <w:numFmt w:val="decimal"/>
      <w:lvlText w:val="%4."/>
      <w:lvlJc w:val="left"/>
      <w:pPr>
        <w:ind w:left="2880" w:hanging="360"/>
      </w:pPr>
    </w:lvl>
    <w:lvl w:ilvl="4" w:tplc="E3A26CFA" w:tentative="1">
      <w:start w:val="1"/>
      <w:numFmt w:val="lowerLetter"/>
      <w:lvlText w:val="%5."/>
      <w:lvlJc w:val="left"/>
      <w:pPr>
        <w:ind w:left="3600" w:hanging="360"/>
      </w:pPr>
    </w:lvl>
    <w:lvl w:ilvl="5" w:tplc="4426F576" w:tentative="1">
      <w:start w:val="1"/>
      <w:numFmt w:val="lowerRoman"/>
      <w:lvlText w:val="%6."/>
      <w:lvlJc w:val="right"/>
      <w:pPr>
        <w:ind w:left="4320" w:hanging="180"/>
      </w:pPr>
    </w:lvl>
    <w:lvl w:ilvl="6" w:tplc="649E7536" w:tentative="1">
      <w:start w:val="1"/>
      <w:numFmt w:val="decimal"/>
      <w:lvlText w:val="%7."/>
      <w:lvlJc w:val="left"/>
      <w:pPr>
        <w:ind w:left="5040" w:hanging="360"/>
      </w:pPr>
    </w:lvl>
    <w:lvl w:ilvl="7" w:tplc="376C7CC2" w:tentative="1">
      <w:start w:val="1"/>
      <w:numFmt w:val="lowerLetter"/>
      <w:lvlText w:val="%8."/>
      <w:lvlJc w:val="left"/>
      <w:pPr>
        <w:ind w:left="5760" w:hanging="360"/>
      </w:pPr>
    </w:lvl>
    <w:lvl w:ilvl="8" w:tplc="7F7AEC5A" w:tentative="1">
      <w:start w:val="1"/>
      <w:numFmt w:val="lowerRoman"/>
      <w:lvlText w:val="%9."/>
      <w:lvlJc w:val="right"/>
      <w:pPr>
        <w:ind w:left="6480" w:hanging="180"/>
      </w:pPr>
    </w:lvl>
  </w:abstractNum>
  <w:abstractNum w:abstractNumId="4" w15:restartNumberingAfterBreak="0">
    <w:nsid w:val="00000005"/>
    <w:multiLevelType w:val="hybridMultilevel"/>
    <w:tmpl w:val="000000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49E0913"/>
    <w:multiLevelType w:val="multilevel"/>
    <w:tmpl w:val="C0DC66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0"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4" w15:restartNumberingAfterBreak="0">
    <w:nsid w:val="368D6FC9"/>
    <w:multiLevelType w:val="hybridMultilevel"/>
    <w:tmpl w:val="000000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6"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3"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4"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5"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0"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2" w15:restartNumberingAfterBreak="0">
    <w:nsid w:val="74FE134E"/>
    <w:multiLevelType w:val="multilevel"/>
    <w:tmpl w:val="A14EBA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39465080">
    <w:abstractNumId w:val="3"/>
  </w:num>
  <w:num w:numId="2" w16cid:durableId="362830436">
    <w:abstractNumId w:val="4"/>
  </w:num>
  <w:num w:numId="3" w16cid:durableId="1989701126">
    <w:abstractNumId w:val="2"/>
  </w:num>
  <w:num w:numId="4" w16cid:durableId="2098094939">
    <w:abstractNumId w:val="14"/>
  </w:num>
  <w:num w:numId="5" w16cid:durableId="1207597844">
    <w:abstractNumId w:val="0"/>
  </w:num>
  <w:num w:numId="6" w16cid:durableId="1346982020">
    <w:abstractNumId w:val="1"/>
  </w:num>
  <w:num w:numId="7" w16cid:durableId="830946415">
    <w:abstractNumId w:val="17"/>
  </w:num>
  <w:num w:numId="8" w16cid:durableId="591008002">
    <w:abstractNumId w:val="26"/>
  </w:num>
  <w:num w:numId="9" w16cid:durableId="1014189411">
    <w:abstractNumId w:val="8"/>
  </w:num>
  <w:num w:numId="10" w16cid:durableId="1582326988">
    <w:abstractNumId w:val="31"/>
  </w:num>
  <w:num w:numId="11" w16cid:durableId="82000267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52509611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54914368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128425075">
    <w:abstractNumId w:val="9"/>
  </w:num>
  <w:num w:numId="15" w16cid:durableId="367146417">
    <w:abstractNumId w:val="13"/>
  </w:num>
  <w:num w:numId="16" w16cid:durableId="807284015">
    <w:abstractNumId w:val="15"/>
  </w:num>
  <w:num w:numId="17" w16cid:durableId="387654910">
    <w:abstractNumId w:val="29"/>
  </w:num>
  <w:num w:numId="18" w16cid:durableId="457259026">
    <w:abstractNumId w:val="27"/>
  </w:num>
  <w:num w:numId="19" w16cid:durableId="1785542325">
    <w:abstractNumId w:val="28"/>
  </w:num>
  <w:num w:numId="20" w16cid:durableId="1948921818">
    <w:abstractNumId w:val="5"/>
  </w:num>
  <w:num w:numId="21" w16cid:durableId="1086614484">
    <w:abstractNumId w:val="11"/>
  </w:num>
  <w:num w:numId="22" w16cid:durableId="1543327060">
    <w:abstractNumId w:val="12"/>
  </w:num>
  <w:num w:numId="23" w16cid:durableId="942881184">
    <w:abstractNumId w:val="18"/>
  </w:num>
  <w:num w:numId="24" w16cid:durableId="583999921">
    <w:abstractNumId w:val="20"/>
  </w:num>
  <w:num w:numId="25" w16cid:durableId="164395879">
    <w:abstractNumId w:val="30"/>
  </w:num>
  <w:num w:numId="26" w16cid:durableId="55469843">
    <w:abstractNumId w:val="10"/>
  </w:num>
  <w:num w:numId="27" w16cid:durableId="1337340588">
    <w:abstractNumId w:val="21"/>
  </w:num>
  <w:num w:numId="28" w16cid:durableId="625937266">
    <w:abstractNumId w:val="25"/>
  </w:num>
  <w:num w:numId="29" w16cid:durableId="1247421372">
    <w:abstractNumId w:val="6"/>
  </w:num>
  <w:num w:numId="30" w16cid:durableId="680160421">
    <w:abstractNumId w:val="16"/>
  </w:num>
  <w:num w:numId="31" w16cid:durableId="1182819998">
    <w:abstractNumId w:val="19"/>
  </w:num>
  <w:num w:numId="32" w16cid:durableId="1763795290">
    <w:abstractNumId w:val="33"/>
  </w:num>
  <w:num w:numId="33" w16cid:durableId="1927030465">
    <w:abstractNumId w:val="24"/>
  </w:num>
  <w:num w:numId="34" w16cid:durableId="1553344587">
    <w:abstractNumId w:val="32"/>
  </w:num>
  <w:num w:numId="35" w16cid:durableId="42357582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7831"/>
    <w:rsid w:val="000106B0"/>
    <w:rsid w:val="00056312"/>
    <w:rsid w:val="00107FF5"/>
    <w:rsid w:val="00167F88"/>
    <w:rsid w:val="00312F4F"/>
    <w:rsid w:val="00363568"/>
    <w:rsid w:val="003637F7"/>
    <w:rsid w:val="003D34CB"/>
    <w:rsid w:val="00464EDD"/>
    <w:rsid w:val="004A7D49"/>
    <w:rsid w:val="004F0A7F"/>
    <w:rsid w:val="005A09BD"/>
    <w:rsid w:val="00684079"/>
    <w:rsid w:val="006F05CD"/>
    <w:rsid w:val="00733FCF"/>
    <w:rsid w:val="00802F73"/>
    <w:rsid w:val="0083376C"/>
    <w:rsid w:val="008D7D85"/>
    <w:rsid w:val="00912B41"/>
    <w:rsid w:val="00A05403"/>
    <w:rsid w:val="00A063A1"/>
    <w:rsid w:val="00BB6D8B"/>
    <w:rsid w:val="00BC5797"/>
    <w:rsid w:val="00BE65DD"/>
    <w:rsid w:val="00CE60BE"/>
    <w:rsid w:val="00D153BF"/>
    <w:rsid w:val="00D23C2E"/>
    <w:rsid w:val="00D46016"/>
    <w:rsid w:val="00D924C2"/>
    <w:rsid w:val="00E27AD0"/>
    <w:rsid w:val="00E778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233E6CC"/>
  <w15:docId w15:val="{0A1EE6E0-BDE6-4A34-B1F3-F17504BC7B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SimSun"/>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8D7D85"/>
    <w:pPr>
      <w:keepNext/>
      <w:tabs>
        <w:tab w:val="left" w:pos="5103"/>
      </w:tabs>
      <w:spacing w:after="0" w:line="240" w:lineRule="auto"/>
      <w:jc w:val="center"/>
      <w:outlineLvl w:val="0"/>
    </w:pPr>
    <w:rPr>
      <w:rFonts w:ascii="Times New Roman" w:eastAsia="Times New Roman" w:hAnsi="Times New Roman" w:cs="Times New Roman"/>
      <w:b/>
      <w:bCs/>
      <w:kern w:val="0"/>
      <w:lang w:val="en-GB"/>
      <w14:ligatures w14:val="none"/>
    </w:rPr>
  </w:style>
  <w:style w:type="paragraph" w:styleId="Heading4">
    <w:name w:val="heading 4"/>
    <w:basedOn w:val="Normal"/>
    <w:next w:val="Normal"/>
    <w:link w:val="Heading4Char"/>
    <w:uiPriority w:val="99"/>
    <w:qFormat/>
    <w:rsid w:val="008D7D85"/>
    <w:pPr>
      <w:keepNext/>
      <w:spacing w:before="240" w:after="60" w:line="240" w:lineRule="auto"/>
      <w:outlineLvl w:val="3"/>
    </w:pPr>
    <w:rPr>
      <w:rFonts w:ascii="Times New Roman" w:eastAsia="Times New Roman" w:hAnsi="Times New Roman" w:cs="Times New Roman"/>
      <w:b/>
      <w:bCs/>
      <w:kern w:val="0"/>
      <w:sz w:val="28"/>
      <w:szCs w:val="28"/>
      <w:lang w:val="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paragraph" w:styleId="Header">
    <w:name w:val="header"/>
    <w:basedOn w:val="Normal"/>
    <w:link w:val="HeaderChar"/>
    <w:uiPriority w:val="99"/>
    <w:pPr>
      <w:tabs>
        <w:tab w:val="center" w:pos="4680"/>
        <w:tab w:val="right" w:pos="9360"/>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table" w:styleId="TableGrid">
    <w:name w:val="Table Grid"/>
    <w:basedOn w:val="TableNormal"/>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rPr>
      <w:color w:val="666666"/>
    </w:rPr>
  </w:style>
  <w:style w:type="paragraph" w:styleId="NoSpacing">
    <w:name w:val="No Spacing"/>
    <w:link w:val="NoSpacingChar"/>
    <w:uiPriority w:val="1"/>
    <w:qFormat/>
    <w:pPr>
      <w:spacing w:after="0" w:line="240" w:lineRule="auto"/>
    </w:pPr>
    <w:rPr>
      <w:rFonts w:eastAsia="SimSun"/>
      <w:kern w:val="0"/>
    </w:rPr>
  </w:style>
  <w:style w:type="character" w:customStyle="1" w:styleId="NoSpacingChar">
    <w:name w:val="No Spacing Char"/>
    <w:basedOn w:val="DefaultParagraphFont"/>
    <w:link w:val="NoSpacing"/>
    <w:uiPriority w:val="1"/>
    <w:rPr>
      <w:rFonts w:ascii="Calibri" w:eastAsia="SimSun" w:hAnsi="Calibri" w:cs="SimSun"/>
      <w:kern w:val="0"/>
    </w:rPr>
  </w:style>
  <w:style w:type="table" w:styleId="MediumGrid3">
    <w:name w:val="Medium Grid 3"/>
    <w:basedOn w:val="TableNormal"/>
    <w:uiPriority w:val="69"/>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C0C0C0"/>
    </w:tblPr>
    <w:tcPr>
      <w:shd w:val="clear" w:color="auto" w:fill="C0C0C0"/>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000000"/>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000000"/>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000000"/>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000000"/>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808080"/>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808080"/>
      </w:tcPr>
    </w:tblStylePr>
  </w:style>
  <w:style w:type="table" w:styleId="MediumGrid3-Accent1">
    <w:name w:val="Medium Grid 3 Accent 1"/>
    <w:basedOn w:val="TableNormal"/>
    <w:uiPriority w:val="69"/>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D3DFEE"/>
    </w:tblPr>
    <w:tcPr>
      <w:shd w:val="clear" w:color="auto" w:fill="D3DFEE"/>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4F81BD"/>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4F81BD"/>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4F81BD"/>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4F81BD"/>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A7BFDE"/>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A7BFDE"/>
      </w:tcPr>
    </w:tblStylePr>
  </w:style>
  <w:style w:type="table" w:styleId="MediumGrid3-Accent2">
    <w:name w:val="Medium Grid 3 Accent 2"/>
    <w:basedOn w:val="TableNormal"/>
    <w:uiPriority w:val="69"/>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EFD3D2"/>
    </w:tblPr>
    <w:tcPr>
      <w:shd w:val="clear" w:color="auto" w:fill="EFD3D2"/>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C0504D"/>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C0504D"/>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C0504D"/>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C0504D"/>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DFA7A6"/>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DFA7A6"/>
      </w:tcPr>
    </w:tblStylePr>
  </w:style>
  <w:style w:type="table" w:styleId="MediumGrid3-Accent3">
    <w:name w:val="Medium Grid 3 Accent 3"/>
    <w:basedOn w:val="TableNormal"/>
    <w:uiPriority w:val="69"/>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E6EED5"/>
    </w:tblPr>
    <w:tcPr>
      <w:shd w:val="clear" w:color="auto" w:fill="E6EED5"/>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9BBB59"/>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9BBB59"/>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9BBB59"/>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9BBB59"/>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CDDDAC"/>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CDDDAC"/>
      </w:tcPr>
    </w:tblStylePr>
  </w:style>
  <w:style w:type="table" w:styleId="MediumGrid3-Accent4">
    <w:name w:val="Medium Grid 3 Accent 4"/>
    <w:basedOn w:val="TableNormal"/>
    <w:uiPriority w:val="69"/>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DFD8E8"/>
    </w:tblPr>
    <w:tcPr>
      <w:shd w:val="clear" w:color="auto" w:fill="DFD8E8"/>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8064A2"/>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8064A2"/>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8064A2"/>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8064A2"/>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BFB1D0"/>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BFB1D0"/>
      </w:tcPr>
    </w:tblStylePr>
  </w:style>
  <w:style w:type="table" w:styleId="MediumGrid3-Accent5">
    <w:name w:val="Medium Grid 3 Accent 5"/>
    <w:basedOn w:val="TableNormal"/>
    <w:uiPriority w:val="69"/>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D2EAF1"/>
    </w:tblPr>
    <w:tcPr>
      <w:shd w:val="clear" w:color="auto" w:fill="D2EAF1"/>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4BACC6"/>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4BACC6"/>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4BACC6"/>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4BACC6"/>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A5D5E2"/>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A5D5E2"/>
      </w:tcPr>
    </w:tblStylePr>
  </w:style>
  <w:style w:type="table" w:styleId="MediumGrid3-Accent6">
    <w:name w:val="Medium Grid 3 Accent 6"/>
    <w:basedOn w:val="TableNormal"/>
    <w:uiPriority w:val="69"/>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FDE4D0"/>
    </w:tblPr>
    <w:tcPr>
      <w:shd w:val="clear" w:color="auto" w:fill="FDE4D0"/>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F79646"/>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F79646"/>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F79646"/>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F79646"/>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FBCAA2"/>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FBCAA2"/>
      </w:tcPr>
    </w:tblStylePr>
  </w:style>
  <w:style w:type="paragraph" w:styleId="NormalWeb">
    <w:name w:val="Normal (Web)"/>
    <w:basedOn w:val="Normal"/>
    <w:uiPriority w:val="99"/>
    <w:pPr>
      <w:spacing w:before="100" w:beforeAutospacing="1" w:after="100" w:afterAutospacing="1" w:line="240" w:lineRule="auto"/>
    </w:pPr>
    <w:rPr>
      <w:rFonts w:ascii="Times New Roman" w:eastAsia="Times New Roman" w:hAnsi="Times New Roman" w:cs="Times New Roman"/>
      <w:kern w:val="0"/>
      <w:sz w:val="24"/>
      <w:szCs w:val="24"/>
    </w:rPr>
  </w:style>
  <w:style w:type="character" w:customStyle="1" w:styleId="Heading1Char">
    <w:name w:val="Heading 1 Char"/>
    <w:basedOn w:val="DefaultParagraphFont"/>
    <w:link w:val="Heading1"/>
    <w:uiPriority w:val="99"/>
    <w:rsid w:val="008D7D85"/>
    <w:rPr>
      <w:rFonts w:ascii="Times New Roman" w:eastAsia="Times New Roman" w:hAnsi="Times New Roman" w:cs="Times New Roman"/>
      <w:b/>
      <w:bCs/>
      <w:kern w:val="0"/>
      <w:lang w:val="en-GB"/>
      <w14:ligatures w14:val="none"/>
    </w:rPr>
  </w:style>
  <w:style w:type="character" w:customStyle="1" w:styleId="Heading4Char">
    <w:name w:val="Heading 4 Char"/>
    <w:basedOn w:val="DefaultParagraphFont"/>
    <w:link w:val="Heading4"/>
    <w:uiPriority w:val="99"/>
    <w:rsid w:val="008D7D85"/>
    <w:rPr>
      <w:rFonts w:ascii="Times New Roman" w:eastAsia="Times New Roman" w:hAnsi="Times New Roman" w:cs="Times New Roman"/>
      <w:b/>
      <w:bCs/>
      <w:kern w:val="0"/>
      <w:sz w:val="28"/>
      <w:szCs w:val="28"/>
      <w:lang w:val="en-GB"/>
      <w14:ligatures w14:val="none"/>
    </w:rPr>
  </w:style>
  <w:style w:type="paragraph" w:styleId="BodyText2">
    <w:name w:val="Body Text 2"/>
    <w:basedOn w:val="Normal"/>
    <w:link w:val="BodyText2Char"/>
    <w:uiPriority w:val="99"/>
    <w:rsid w:val="008D7D85"/>
    <w:pPr>
      <w:spacing w:after="0" w:line="240" w:lineRule="auto"/>
      <w:ind w:left="720" w:hanging="720"/>
    </w:pPr>
    <w:rPr>
      <w:rFonts w:ascii="Times New Roman" w:eastAsia="Times New Roman" w:hAnsi="Times New Roman" w:cs="Times New Roman"/>
      <w:b/>
      <w:bCs/>
      <w:kern w:val="0"/>
      <w:lang w:val="en-GB"/>
      <w14:ligatures w14:val="none"/>
    </w:rPr>
  </w:style>
  <w:style w:type="character" w:customStyle="1" w:styleId="BodyText2Char">
    <w:name w:val="Body Text 2 Char"/>
    <w:basedOn w:val="DefaultParagraphFont"/>
    <w:link w:val="BodyText2"/>
    <w:uiPriority w:val="99"/>
    <w:rsid w:val="008D7D85"/>
    <w:rPr>
      <w:rFonts w:ascii="Times New Roman" w:eastAsia="Times New Roman" w:hAnsi="Times New Roman" w:cs="Times New Roman"/>
      <w:b/>
      <w:bCs/>
      <w:kern w:val="0"/>
      <w:lang w:val="en-GB"/>
      <w14:ligatures w14:val="none"/>
    </w:rPr>
  </w:style>
  <w:style w:type="paragraph" w:customStyle="1" w:styleId="deannah1">
    <w:name w:val="deannah1"/>
    <w:basedOn w:val="Normal"/>
    <w:uiPriority w:val="99"/>
    <w:rsid w:val="008D7D85"/>
    <w:pPr>
      <w:keepNext/>
      <w:spacing w:after="240" w:line="240" w:lineRule="auto"/>
    </w:pPr>
    <w:rPr>
      <w:rFonts w:ascii="Times New Roman" w:eastAsia="Times New Roman" w:hAnsi="Times New Roman" w:cs="Times New Roman"/>
      <w:b/>
      <w:bCs/>
      <w:kern w:val="0"/>
      <w:sz w:val="24"/>
      <w:szCs w:val="24"/>
      <w:lang w:val="en-GB"/>
      <w14:ligatures w14:val="none"/>
    </w:rPr>
  </w:style>
  <w:style w:type="paragraph" w:styleId="BalloonText">
    <w:name w:val="Balloon Text"/>
    <w:basedOn w:val="Normal"/>
    <w:link w:val="BalloonTextChar"/>
    <w:uiPriority w:val="99"/>
    <w:semiHidden/>
    <w:rsid w:val="008D7D85"/>
    <w:pPr>
      <w:spacing w:after="0" w:line="240" w:lineRule="auto"/>
    </w:pPr>
    <w:rPr>
      <w:rFonts w:ascii="Tahoma" w:eastAsia="Times New Roman" w:hAnsi="Tahoma" w:cs="Tahoma"/>
      <w:kern w:val="0"/>
      <w:sz w:val="16"/>
      <w:szCs w:val="16"/>
      <w:lang w:val="en-GB"/>
      <w14:ligatures w14:val="none"/>
    </w:rPr>
  </w:style>
  <w:style w:type="character" w:customStyle="1" w:styleId="BalloonTextChar">
    <w:name w:val="Balloon Text Char"/>
    <w:basedOn w:val="DefaultParagraphFont"/>
    <w:link w:val="BalloonText"/>
    <w:uiPriority w:val="99"/>
    <w:semiHidden/>
    <w:rsid w:val="008D7D85"/>
    <w:rPr>
      <w:rFonts w:ascii="Tahoma" w:eastAsia="Times New Roman" w:hAnsi="Tahoma" w:cs="Tahoma"/>
      <w:kern w:val="0"/>
      <w:sz w:val="16"/>
      <w:szCs w:val="16"/>
      <w:lang w:val="en-GB"/>
      <w14:ligatures w14:val="none"/>
    </w:rPr>
  </w:style>
  <w:style w:type="character" w:styleId="Hyperlink">
    <w:name w:val="Hyperlink"/>
    <w:uiPriority w:val="99"/>
    <w:rsid w:val="008D7D85"/>
    <w:rPr>
      <w:color w:val="0000FF"/>
      <w:u w:val="single"/>
    </w:rPr>
  </w:style>
  <w:style w:type="character" w:styleId="FollowedHyperlink">
    <w:name w:val="FollowedHyperlink"/>
    <w:uiPriority w:val="99"/>
    <w:semiHidden/>
    <w:rsid w:val="008D7D85"/>
    <w:rPr>
      <w:color w:val="800080"/>
      <w:u w:val="single"/>
    </w:rPr>
  </w:style>
  <w:style w:type="character" w:customStyle="1" w:styleId="Hyperlink1">
    <w:name w:val="Hyperlink1"/>
    <w:uiPriority w:val="99"/>
    <w:rsid w:val="008D7D85"/>
    <w:rPr>
      <w:color w:val="535353"/>
      <w:u w:val="single"/>
      <w:effect w:val="none"/>
    </w:rPr>
  </w:style>
  <w:style w:type="paragraph" w:customStyle="1" w:styleId="NormalWeb1">
    <w:name w:val="Normal (Web)1"/>
    <w:basedOn w:val="Normal"/>
    <w:uiPriority w:val="99"/>
    <w:rsid w:val="008D7D85"/>
    <w:pPr>
      <w:spacing w:before="100" w:beforeAutospacing="1" w:after="300" w:line="240" w:lineRule="auto"/>
    </w:pPr>
    <w:rPr>
      <w:rFonts w:ascii="Times New Roman" w:eastAsia="Times New Roman" w:hAnsi="Times New Roman" w:cs="Times New Roman"/>
      <w:kern w:val="0"/>
      <w:sz w:val="24"/>
      <w:szCs w:val="24"/>
      <w:lang w:val="en-GB" w:eastAsia="en-GB"/>
      <w14:ligatures w14:val="none"/>
    </w:rPr>
  </w:style>
  <w:style w:type="character" w:styleId="PageNumber">
    <w:name w:val="page number"/>
    <w:basedOn w:val="DefaultParagraphFont"/>
    <w:uiPriority w:val="99"/>
    <w:rsid w:val="008D7D85"/>
  </w:style>
  <w:style w:type="character" w:styleId="CommentReference">
    <w:name w:val="annotation reference"/>
    <w:uiPriority w:val="99"/>
    <w:semiHidden/>
    <w:unhideWhenUsed/>
    <w:rsid w:val="008D7D85"/>
    <w:rPr>
      <w:sz w:val="16"/>
      <w:szCs w:val="16"/>
    </w:rPr>
  </w:style>
  <w:style w:type="paragraph" w:styleId="CommentText">
    <w:name w:val="annotation text"/>
    <w:basedOn w:val="Normal"/>
    <w:link w:val="CommentTextChar"/>
    <w:uiPriority w:val="99"/>
    <w:semiHidden/>
    <w:unhideWhenUsed/>
    <w:rsid w:val="008D7D85"/>
    <w:pPr>
      <w:spacing w:after="0" w:line="240" w:lineRule="auto"/>
    </w:pPr>
    <w:rPr>
      <w:rFonts w:ascii="Times New Roman" w:eastAsia="Times New Roman" w:hAnsi="Times New Roman" w:cs="Times New Roman"/>
      <w:kern w:val="0"/>
      <w:sz w:val="20"/>
      <w:szCs w:val="20"/>
      <w:lang w:val="en-GB"/>
      <w14:ligatures w14:val="none"/>
    </w:rPr>
  </w:style>
  <w:style w:type="character" w:customStyle="1" w:styleId="CommentTextChar">
    <w:name w:val="Comment Text Char"/>
    <w:basedOn w:val="DefaultParagraphFont"/>
    <w:link w:val="CommentText"/>
    <w:uiPriority w:val="99"/>
    <w:semiHidden/>
    <w:rsid w:val="008D7D85"/>
    <w:rPr>
      <w:rFonts w:ascii="Times New Roman" w:eastAsia="Times New Roman" w:hAnsi="Times New Roman" w:cs="Times New Roman"/>
      <w:kern w:val="0"/>
      <w:sz w:val="20"/>
      <w:szCs w:val="20"/>
      <w:lang w:val="en-GB"/>
      <w14:ligatures w14:val="none"/>
    </w:rPr>
  </w:style>
  <w:style w:type="paragraph" w:styleId="CommentSubject">
    <w:name w:val="annotation subject"/>
    <w:basedOn w:val="CommentText"/>
    <w:next w:val="CommentText"/>
    <w:link w:val="CommentSubjectChar"/>
    <w:uiPriority w:val="99"/>
    <w:semiHidden/>
    <w:unhideWhenUsed/>
    <w:rsid w:val="008D7D85"/>
    <w:rPr>
      <w:b/>
      <w:bCs/>
    </w:rPr>
  </w:style>
  <w:style w:type="character" w:customStyle="1" w:styleId="CommentSubjectChar">
    <w:name w:val="Comment Subject Char"/>
    <w:basedOn w:val="CommentTextChar"/>
    <w:link w:val="CommentSubject"/>
    <w:uiPriority w:val="99"/>
    <w:semiHidden/>
    <w:rsid w:val="008D7D85"/>
    <w:rPr>
      <w:rFonts w:ascii="Times New Roman" w:eastAsia="Times New Roman" w:hAnsi="Times New Roman" w:cs="Times New Roman"/>
      <w:b/>
      <w:bCs/>
      <w:kern w:val="0"/>
      <w:sz w:val="20"/>
      <w:szCs w:val="20"/>
      <w:lang w:val="en-GB"/>
      <w14:ligatures w14:val="none"/>
    </w:rPr>
  </w:style>
  <w:style w:type="character" w:styleId="Strong">
    <w:name w:val="Strong"/>
    <w:uiPriority w:val="22"/>
    <w:qFormat/>
    <w:rsid w:val="008D7D85"/>
    <w:rPr>
      <w:b/>
      <w:bCs/>
    </w:rPr>
  </w:style>
  <w:style w:type="character" w:styleId="UnresolvedMention">
    <w:name w:val="Unresolved Mention"/>
    <w:basedOn w:val="DefaultParagraphFont"/>
    <w:uiPriority w:val="99"/>
    <w:semiHidden/>
    <w:unhideWhenUsed/>
    <w:rsid w:val="008D7D8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78458">
      <w:bodyDiv w:val="1"/>
      <w:marLeft w:val="0"/>
      <w:marRight w:val="0"/>
      <w:marTop w:val="0"/>
      <w:marBottom w:val="0"/>
      <w:divBdr>
        <w:top w:val="none" w:sz="0" w:space="0" w:color="auto"/>
        <w:left w:val="none" w:sz="0" w:space="0" w:color="auto"/>
        <w:bottom w:val="none" w:sz="0" w:space="0" w:color="auto"/>
        <w:right w:val="none" w:sz="0" w:space="0" w:color="auto"/>
      </w:divBdr>
    </w:div>
    <w:div w:id="418260015">
      <w:bodyDiv w:val="1"/>
      <w:marLeft w:val="0"/>
      <w:marRight w:val="0"/>
      <w:marTop w:val="0"/>
      <w:marBottom w:val="0"/>
      <w:divBdr>
        <w:top w:val="none" w:sz="0" w:space="0" w:color="auto"/>
        <w:left w:val="none" w:sz="0" w:space="0" w:color="auto"/>
        <w:bottom w:val="none" w:sz="0" w:space="0" w:color="auto"/>
        <w:right w:val="none" w:sz="0" w:space="0" w:color="auto"/>
      </w:divBdr>
    </w:div>
    <w:div w:id="1514883558">
      <w:bodyDiv w:val="1"/>
      <w:marLeft w:val="0"/>
      <w:marRight w:val="0"/>
      <w:marTop w:val="0"/>
      <w:marBottom w:val="0"/>
      <w:divBdr>
        <w:top w:val="none" w:sz="0" w:space="0" w:color="auto"/>
        <w:left w:val="none" w:sz="0" w:space="0" w:color="auto"/>
        <w:bottom w:val="none" w:sz="0" w:space="0" w:color="auto"/>
        <w:right w:val="none" w:sz="0" w:space="0" w:color="auto"/>
      </w:divBdr>
    </w:div>
    <w:div w:id="18607301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diagramLayout" Target="diagrams/layout1.xml"/><Relationship Id="rId18" Type="http://schemas.openxmlformats.org/officeDocument/2006/relationships/diagramLayout" Target="diagrams/layout2.xml"/><Relationship Id="rId26" Type="http://schemas.openxmlformats.org/officeDocument/2006/relationships/image" Target="media/image6.png"/><Relationship Id="rId21" Type="http://schemas.microsoft.com/office/2007/relationships/diagramDrawing" Target="diagrams/drawing2.xml"/><Relationship Id="rId34"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diagramData" Target="diagrams/data1.xml"/><Relationship Id="rId17" Type="http://schemas.openxmlformats.org/officeDocument/2006/relationships/diagramData" Target="diagrams/data2.xml"/><Relationship Id="rId25" Type="http://schemas.openxmlformats.org/officeDocument/2006/relationships/image" Target="media/image5.png"/><Relationship Id="rId33" Type="http://schemas.openxmlformats.org/officeDocument/2006/relationships/image" Target="media/image13.png"/><Relationship Id="rId2" Type="http://schemas.openxmlformats.org/officeDocument/2006/relationships/customXml" Target="../customXml/item2.xml"/><Relationship Id="rId16" Type="http://schemas.microsoft.com/office/2007/relationships/diagramDrawing" Target="diagrams/drawing1.xml"/><Relationship Id="rId20" Type="http://schemas.openxmlformats.org/officeDocument/2006/relationships/diagramColors" Target="diagrams/colors2.xml"/><Relationship Id="rId29"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4.png"/><Relationship Id="rId32" Type="http://schemas.openxmlformats.org/officeDocument/2006/relationships/image" Target="media/image12.jpeg"/><Relationship Id="rId37"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diagramColors" Target="diagrams/colors1.xml"/><Relationship Id="rId23" Type="http://schemas.openxmlformats.org/officeDocument/2006/relationships/image" Target="media/image3.png"/><Relationship Id="rId28" Type="http://schemas.openxmlformats.org/officeDocument/2006/relationships/image" Target="media/image8.png"/><Relationship Id="rId36"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diagramQuickStyle" Target="diagrams/quickStyle2.xml"/><Relationship Id="rId31" Type="http://schemas.openxmlformats.org/officeDocument/2006/relationships/image" Target="media/image11.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diagramQuickStyle" Target="diagrams/quickStyle1.xml"/><Relationship Id="rId22" Type="http://schemas.openxmlformats.org/officeDocument/2006/relationships/image" Target="media/image2.png"/><Relationship Id="rId27" Type="http://schemas.openxmlformats.org/officeDocument/2006/relationships/image" Target="media/image7.jpeg"/><Relationship Id="rId30" Type="http://schemas.openxmlformats.org/officeDocument/2006/relationships/image" Target="media/image10.png"/><Relationship Id="rId35" Type="http://schemas.openxmlformats.org/officeDocument/2006/relationships/footer" Target="footer1.xml"/><Relationship Id="rId8" Type="http://schemas.openxmlformats.org/officeDocument/2006/relationships/webSettings" Target="webSettings.xml"/><Relationship Id="rId3" Type="http://schemas.openxmlformats.org/officeDocument/2006/relationships/customXml" Target="../customXml/item3.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70165AF-D900-4CBD-ABDF-CEC42C82FA8C}" type="doc">
      <dgm:prSet loTypeId="urn:microsoft.com/office/officeart/2005/8/layout/radial5" loCatId="relationship" qsTypeId="urn:microsoft.com/office/officeart/2005/8/quickstyle/simple1" qsCatId="simple" csTypeId="urn:microsoft.com/office/officeart/2005/8/colors/accent1_2" csCatId="accent1" phldr="1"/>
      <dgm:spPr/>
      <dgm:t>
        <a:bodyPr/>
        <a:lstStyle/>
        <a:p>
          <a:endParaRPr lang="en-US"/>
        </a:p>
      </dgm:t>
    </dgm:pt>
    <dgm:pt modelId="{CCEC887C-9B15-4828-8492-AFA6F89026EB}">
      <dgm:prSet phldrT="[Text]" custT="1"/>
      <dgm:spPr/>
      <dgm:t>
        <a:bodyPr/>
        <a:lstStyle/>
        <a:p>
          <a:r>
            <a:rPr lang="en-US" sz="1000" b="1">
              <a:latin typeface="Arial" panose="020B0604020202020204" pitchFamily="34" charset="0"/>
              <a:cs typeface="Arial" panose="020B0604020202020204" pitchFamily="34" charset="0"/>
            </a:rPr>
            <a:t>Green Marketing Mix</a:t>
          </a:r>
        </a:p>
      </dgm:t>
    </dgm:pt>
    <dgm:pt modelId="{0960CBC2-7C26-4CAA-A4AF-A0540CA44B91}" type="parTrans" cxnId="{89E2A3B6-58A7-467B-88D5-11FA5FD43274}">
      <dgm:prSet/>
      <dgm:spPr/>
      <dgm:t>
        <a:bodyPr/>
        <a:lstStyle/>
        <a:p>
          <a:endParaRPr lang="en-US"/>
        </a:p>
      </dgm:t>
    </dgm:pt>
    <dgm:pt modelId="{E546A196-5044-48FE-8CED-C5FAB957A175}" type="sibTrans" cxnId="{89E2A3B6-58A7-467B-88D5-11FA5FD43274}">
      <dgm:prSet/>
      <dgm:spPr/>
      <dgm:t>
        <a:bodyPr/>
        <a:lstStyle/>
        <a:p>
          <a:endParaRPr lang="en-US"/>
        </a:p>
      </dgm:t>
    </dgm:pt>
    <dgm:pt modelId="{7381BA2F-9789-4BC6-829B-7788F35591A9}">
      <dgm:prSet phldrT="[Text]"/>
      <dgm:spPr>
        <a:solidFill>
          <a:schemeClr val="accent2">
            <a:lumMod val="75000"/>
          </a:schemeClr>
        </a:solidFill>
      </dgm:spPr>
      <dgm:t>
        <a:bodyPr/>
        <a:lstStyle/>
        <a:p>
          <a:r>
            <a:rPr lang="en-US">
              <a:latin typeface="Arial" panose="020B0604020202020204" pitchFamily="34" charset="0"/>
              <a:cs typeface="Arial" panose="020B0604020202020204" pitchFamily="34" charset="0"/>
            </a:rPr>
            <a:t>Green Product</a:t>
          </a:r>
        </a:p>
      </dgm:t>
    </dgm:pt>
    <dgm:pt modelId="{5E29D87D-8DD8-41B5-A7B0-37C7F4CE5795}" type="parTrans" cxnId="{8C953403-CEA9-4CF5-9501-02D159F8A925}">
      <dgm:prSet/>
      <dgm:spPr/>
      <dgm:t>
        <a:bodyPr/>
        <a:lstStyle/>
        <a:p>
          <a:endParaRPr lang="en-US"/>
        </a:p>
      </dgm:t>
    </dgm:pt>
    <dgm:pt modelId="{D675B5B3-F854-4A2A-83A9-5DDD9B85A3A9}" type="sibTrans" cxnId="{8C953403-CEA9-4CF5-9501-02D159F8A925}">
      <dgm:prSet/>
      <dgm:spPr/>
      <dgm:t>
        <a:bodyPr/>
        <a:lstStyle/>
        <a:p>
          <a:endParaRPr lang="en-US"/>
        </a:p>
      </dgm:t>
    </dgm:pt>
    <dgm:pt modelId="{BBB124A9-7E8A-41DA-ABD9-E7BF3087B02C}">
      <dgm:prSet phldrT="[Text]"/>
      <dgm:spPr>
        <a:solidFill>
          <a:srgbClr val="7030A0"/>
        </a:solidFill>
      </dgm:spPr>
      <dgm:t>
        <a:bodyPr/>
        <a:lstStyle/>
        <a:p>
          <a:r>
            <a:rPr lang="en-US">
              <a:latin typeface="Arial" panose="020B0604020202020204" pitchFamily="34" charset="0"/>
              <a:cs typeface="Arial" panose="020B0604020202020204" pitchFamily="34" charset="0"/>
            </a:rPr>
            <a:t>Green Price</a:t>
          </a:r>
        </a:p>
      </dgm:t>
    </dgm:pt>
    <dgm:pt modelId="{54FC86E0-D53B-465B-A146-E06D364D4921}" type="parTrans" cxnId="{EF07BE23-0708-4231-BE0E-84106D8C89EF}">
      <dgm:prSet/>
      <dgm:spPr/>
      <dgm:t>
        <a:bodyPr/>
        <a:lstStyle/>
        <a:p>
          <a:endParaRPr lang="en-US"/>
        </a:p>
      </dgm:t>
    </dgm:pt>
    <dgm:pt modelId="{8D61D9D5-4E10-4B44-A688-AA652B4A0B91}" type="sibTrans" cxnId="{EF07BE23-0708-4231-BE0E-84106D8C89EF}">
      <dgm:prSet/>
      <dgm:spPr/>
      <dgm:t>
        <a:bodyPr/>
        <a:lstStyle/>
        <a:p>
          <a:endParaRPr lang="en-US"/>
        </a:p>
      </dgm:t>
    </dgm:pt>
    <dgm:pt modelId="{BA53AD78-6829-4AB5-9FB1-C078D0D57FB4}">
      <dgm:prSet phldrT="[Text]"/>
      <dgm:spPr>
        <a:solidFill>
          <a:schemeClr val="bg1">
            <a:lumMod val="50000"/>
          </a:schemeClr>
        </a:solidFill>
      </dgm:spPr>
      <dgm:t>
        <a:bodyPr/>
        <a:lstStyle/>
        <a:p>
          <a:r>
            <a:rPr lang="en-US">
              <a:latin typeface="Arial" panose="020B0604020202020204" pitchFamily="34" charset="0"/>
              <a:cs typeface="Arial" panose="020B0604020202020204" pitchFamily="34" charset="0"/>
            </a:rPr>
            <a:t>Green Promotion</a:t>
          </a:r>
        </a:p>
      </dgm:t>
    </dgm:pt>
    <dgm:pt modelId="{90FA32C7-3573-4090-A01F-9695A9C5926F}" type="parTrans" cxnId="{4200C10D-7604-44A1-9672-6056364CD95F}">
      <dgm:prSet/>
      <dgm:spPr/>
      <dgm:t>
        <a:bodyPr/>
        <a:lstStyle/>
        <a:p>
          <a:endParaRPr lang="en-US"/>
        </a:p>
      </dgm:t>
    </dgm:pt>
    <dgm:pt modelId="{2427B0A1-7264-4E31-956F-98A360E2F7F1}" type="sibTrans" cxnId="{4200C10D-7604-44A1-9672-6056364CD95F}">
      <dgm:prSet/>
      <dgm:spPr/>
      <dgm:t>
        <a:bodyPr/>
        <a:lstStyle/>
        <a:p>
          <a:endParaRPr lang="en-US"/>
        </a:p>
      </dgm:t>
    </dgm:pt>
    <dgm:pt modelId="{DB278822-E4F1-4934-B9E9-45007AAFC4A2}">
      <dgm:prSet phldrT="[Text]"/>
      <dgm:spPr>
        <a:solidFill>
          <a:schemeClr val="accent6">
            <a:lumMod val="75000"/>
          </a:schemeClr>
        </a:solidFill>
      </dgm:spPr>
      <dgm:t>
        <a:bodyPr/>
        <a:lstStyle/>
        <a:p>
          <a:r>
            <a:rPr lang="en-US">
              <a:latin typeface="Arial" panose="020B0604020202020204" pitchFamily="34" charset="0"/>
              <a:cs typeface="Arial" panose="020B0604020202020204" pitchFamily="34" charset="0"/>
            </a:rPr>
            <a:t>Green Place</a:t>
          </a:r>
        </a:p>
      </dgm:t>
    </dgm:pt>
    <dgm:pt modelId="{D5A82326-09E6-4221-A434-E3C1D86E9DD0}" type="parTrans" cxnId="{CCFF494A-0808-4E78-AB4D-F99D1DFE5FA7}">
      <dgm:prSet/>
      <dgm:spPr/>
      <dgm:t>
        <a:bodyPr/>
        <a:lstStyle/>
        <a:p>
          <a:endParaRPr lang="en-US"/>
        </a:p>
      </dgm:t>
    </dgm:pt>
    <dgm:pt modelId="{78EB966A-7FEE-47DD-914A-C012B61E73D0}" type="sibTrans" cxnId="{CCFF494A-0808-4E78-AB4D-F99D1DFE5FA7}">
      <dgm:prSet/>
      <dgm:spPr/>
      <dgm:t>
        <a:bodyPr/>
        <a:lstStyle/>
        <a:p>
          <a:endParaRPr lang="en-US"/>
        </a:p>
      </dgm:t>
    </dgm:pt>
    <dgm:pt modelId="{3254A471-3142-4547-804E-B8357FD35B9A}" type="pres">
      <dgm:prSet presAssocID="{570165AF-D900-4CBD-ABDF-CEC42C82FA8C}" presName="Name0" presStyleCnt="0">
        <dgm:presLayoutVars>
          <dgm:chMax val="1"/>
          <dgm:dir/>
          <dgm:animLvl val="ctr"/>
          <dgm:resizeHandles val="exact"/>
        </dgm:presLayoutVars>
      </dgm:prSet>
      <dgm:spPr/>
    </dgm:pt>
    <dgm:pt modelId="{FFEEC24F-5E73-4EF9-A802-DFE9E596E705}" type="pres">
      <dgm:prSet presAssocID="{CCEC887C-9B15-4828-8492-AFA6F89026EB}" presName="centerShape" presStyleLbl="node0" presStyleIdx="0" presStyleCnt="1" custScaleX="155400"/>
      <dgm:spPr/>
    </dgm:pt>
    <dgm:pt modelId="{58C50CF9-9132-4A4D-BA5C-7A8C3B07C20E}" type="pres">
      <dgm:prSet presAssocID="{5E29D87D-8DD8-41B5-A7B0-37C7F4CE5795}" presName="parTrans" presStyleLbl="sibTrans2D1" presStyleIdx="0" presStyleCnt="4"/>
      <dgm:spPr/>
    </dgm:pt>
    <dgm:pt modelId="{38AC914E-B508-4795-B3D7-AA93F1CF0D53}" type="pres">
      <dgm:prSet presAssocID="{5E29D87D-8DD8-41B5-A7B0-37C7F4CE5795}" presName="connectorText" presStyleLbl="sibTrans2D1" presStyleIdx="0" presStyleCnt="4"/>
      <dgm:spPr/>
    </dgm:pt>
    <dgm:pt modelId="{963BE222-6AE3-43BB-A3ED-9687FBE43FCC}" type="pres">
      <dgm:prSet presAssocID="{7381BA2F-9789-4BC6-829B-7788F35591A9}" presName="node" presStyleLbl="node1" presStyleIdx="0" presStyleCnt="4" custRadScaleRad="99567" custRadScaleInc="-6453">
        <dgm:presLayoutVars>
          <dgm:bulletEnabled val="1"/>
        </dgm:presLayoutVars>
      </dgm:prSet>
      <dgm:spPr/>
    </dgm:pt>
    <dgm:pt modelId="{6F87C6FD-A17F-4CA2-B085-AC493F1AD650}" type="pres">
      <dgm:prSet presAssocID="{54FC86E0-D53B-465B-A146-E06D364D4921}" presName="parTrans" presStyleLbl="sibTrans2D1" presStyleIdx="1" presStyleCnt="4"/>
      <dgm:spPr/>
    </dgm:pt>
    <dgm:pt modelId="{2C02BE86-6115-44B2-BC69-7195B77805F1}" type="pres">
      <dgm:prSet presAssocID="{54FC86E0-D53B-465B-A146-E06D364D4921}" presName="connectorText" presStyleLbl="sibTrans2D1" presStyleIdx="1" presStyleCnt="4"/>
      <dgm:spPr/>
    </dgm:pt>
    <dgm:pt modelId="{294A9AF1-7646-43C2-B099-B5178EA6A987}" type="pres">
      <dgm:prSet presAssocID="{BBB124A9-7E8A-41DA-ABD9-E7BF3087B02C}" presName="node" presStyleLbl="node1" presStyleIdx="1" presStyleCnt="4" custRadScaleRad="113316" custRadScaleInc="144456">
        <dgm:presLayoutVars>
          <dgm:bulletEnabled val="1"/>
        </dgm:presLayoutVars>
      </dgm:prSet>
      <dgm:spPr/>
    </dgm:pt>
    <dgm:pt modelId="{DECE7F70-9192-4F5F-9CA7-1E8707F4E42A}" type="pres">
      <dgm:prSet presAssocID="{90FA32C7-3573-4090-A01F-9695A9C5926F}" presName="parTrans" presStyleLbl="sibTrans2D1" presStyleIdx="2" presStyleCnt="4"/>
      <dgm:spPr/>
    </dgm:pt>
    <dgm:pt modelId="{9B2D7A09-6038-4752-B3EB-9ECDD8B0E9FA}" type="pres">
      <dgm:prSet presAssocID="{90FA32C7-3573-4090-A01F-9695A9C5926F}" presName="connectorText" presStyleLbl="sibTrans2D1" presStyleIdx="2" presStyleCnt="4"/>
      <dgm:spPr/>
    </dgm:pt>
    <dgm:pt modelId="{DF485C5E-2BA6-43BC-8F05-1DCC4471FFDD}" type="pres">
      <dgm:prSet presAssocID="{BA53AD78-6829-4AB5-9FB1-C078D0D57FB4}" presName="node" presStyleLbl="node1" presStyleIdx="2" presStyleCnt="4" custRadScaleRad="113665" custRadScaleInc="59241">
        <dgm:presLayoutVars>
          <dgm:bulletEnabled val="1"/>
        </dgm:presLayoutVars>
      </dgm:prSet>
      <dgm:spPr/>
    </dgm:pt>
    <dgm:pt modelId="{37A6CFCE-7E3F-48D8-9F19-4F3048C7148D}" type="pres">
      <dgm:prSet presAssocID="{D5A82326-09E6-4221-A434-E3C1D86E9DD0}" presName="parTrans" presStyleLbl="sibTrans2D1" presStyleIdx="3" presStyleCnt="4"/>
      <dgm:spPr/>
    </dgm:pt>
    <dgm:pt modelId="{A4C9A4EA-CC1D-4D63-ACC0-1C60D4F58629}" type="pres">
      <dgm:prSet presAssocID="{D5A82326-09E6-4221-A434-E3C1D86E9DD0}" presName="connectorText" presStyleLbl="sibTrans2D1" presStyleIdx="3" presStyleCnt="4"/>
      <dgm:spPr/>
    </dgm:pt>
    <dgm:pt modelId="{B4EBAEDA-683B-4DE3-8E32-6AF8BE7BCA1C}" type="pres">
      <dgm:prSet presAssocID="{DB278822-E4F1-4934-B9E9-45007AAFC4A2}" presName="node" presStyleLbl="node1" presStyleIdx="3" presStyleCnt="4" custRadScaleRad="116274" custRadScaleInc="-2455">
        <dgm:presLayoutVars>
          <dgm:bulletEnabled val="1"/>
        </dgm:presLayoutVars>
      </dgm:prSet>
      <dgm:spPr/>
    </dgm:pt>
  </dgm:ptLst>
  <dgm:cxnLst>
    <dgm:cxn modelId="{8C953403-CEA9-4CF5-9501-02D159F8A925}" srcId="{CCEC887C-9B15-4828-8492-AFA6F89026EB}" destId="{7381BA2F-9789-4BC6-829B-7788F35591A9}" srcOrd="0" destOrd="0" parTransId="{5E29D87D-8DD8-41B5-A7B0-37C7F4CE5795}" sibTransId="{D675B5B3-F854-4A2A-83A9-5DDD9B85A3A9}"/>
    <dgm:cxn modelId="{4200C10D-7604-44A1-9672-6056364CD95F}" srcId="{CCEC887C-9B15-4828-8492-AFA6F89026EB}" destId="{BA53AD78-6829-4AB5-9FB1-C078D0D57FB4}" srcOrd="2" destOrd="0" parTransId="{90FA32C7-3573-4090-A01F-9695A9C5926F}" sibTransId="{2427B0A1-7264-4E31-956F-98A360E2F7F1}"/>
    <dgm:cxn modelId="{EF07BE23-0708-4231-BE0E-84106D8C89EF}" srcId="{CCEC887C-9B15-4828-8492-AFA6F89026EB}" destId="{BBB124A9-7E8A-41DA-ABD9-E7BF3087B02C}" srcOrd="1" destOrd="0" parTransId="{54FC86E0-D53B-465B-A146-E06D364D4921}" sibTransId="{8D61D9D5-4E10-4B44-A688-AA652B4A0B91}"/>
    <dgm:cxn modelId="{8352DC30-E88B-4806-A9E0-2FEEF26840AB}" type="presOf" srcId="{90FA32C7-3573-4090-A01F-9695A9C5926F}" destId="{9B2D7A09-6038-4752-B3EB-9ECDD8B0E9FA}" srcOrd="1" destOrd="0" presId="urn:microsoft.com/office/officeart/2005/8/layout/radial5"/>
    <dgm:cxn modelId="{91DEAC3F-EA9E-4C4E-9A98-671D149C8134}" type="presOf" srcId="{7381BA2F-9789-4BC6-829B-7788F35591A9}" destId="{963BE222-6AE3-43BB-A3ED-9687FBE43FCC}" srcOrd="0" destOrd="0" presId="urn:microsoft.com/office/officeart/2005/8/layout/radial5"/>
    <dgm:cxn modelId="{CCFF494A-0808-4E78-AB4D-F99D1DFE5FA7}" srcId="{CCEC887C-9B15-4828-8492-AFA6F89026EB}" destId="{DB278822-E4F1-4934-B9E9-45007AAFC4A2}" srcOrd="3" destOrd="0" parTransId="{D5A82326-09E6-4221-A434-E3C1D86E9DD0}" sibTransId="{78EB966A-7FEE-47DD-914A-C012B61E73D0}"/>
    <dgm:cxn modelId="{0D20B496-96FD-49FE-A776-A6CACDACBC42}" type="presOf" srcId="{D5A82326-09E6-4221-A434-E3C1D86E9DD0}" destId="{A4C9A4EA-CC1D-4D63-ACC0-1C60D4F58629}" srcOrd="1" destOrd="0" presId="urn:microsoft.com/office/officeart/2005/8/layout/radial5"/>
    <dgm:cxn modelId="{AE344C97-82A0-4D2C-92D8-4578C27E9D32}" type="presOf" srcId="{5E29D87D-8DD8-41B5-A7B0-37C7F4CE5795}" destId="{38AC914E-B508-4795-B3D7-AA93F1CF0D53}" srcOrd="1" destOrd="0" presId="urn:microsoft.com/office/officeart/2005/8/layout/radial5"/>
    <dgm:cxn modelId="{D91DFBA5-7D2D-4ECC-95B2-5FD303BA0201}" type="presOf" srcId="{BA53AD78-6829-4AB5-9FB1-C078D0D57FB4}" destId="{DF485C5E-2BA6-43BC-8F05-1DCC4471FFDD}" srcOrd="0" destOrd="0" presId="urn:microsoft.com/office/officeart/2005/8/layout/radial5"/>
    <dgm:cxn modelId="{0B5F33B1-EDFD-4AAB-912F-EFE93D8D5221}" type="presOf" srcId="{54FC86E0-D53B-465B-A146-E06D364D4921}" destId="{6F87C6FD-A17F-4CA2-B085-AC493F1AD650}" srcOrd="0" destOrd="0" presId="urn:microsoft.com/office/officeart/2005/8/layout/radial5"/>
    <dgm:cxn modelId="{89E2A3B6-58A7-467B-88D5-11FA5FD43274}" srcId="{570165AF-D900-4CBD-ABDF-CEC42C82FA8C}" destId="{CCEC887C-9B15-4828-8492-AFA6F89026EB}" srcOrd="0" destOrd="0" parTransId="{0960CBC2-7C26-4CAA-A4AF-A0540CA44B91}" sibTransId="{E546A196-5044-48FE-8CED-C5FAB957A175}"/>
    <dgm:cxn modelId="{FD90A2C3-B707-4274-B61C-1DEAAA5384AB}" type="presOf" srcId="{D5A82326-09E6-4221-A434-E3C1D86E9DD0}" destId="{37A6CFCE-7E3F-48D8-9F19-4F3048C7148D}" srcOrd="0" destOrd="0" presId="urn:microsoft.com/office/officeart/2005/8/layout/radial5"/>
    <dgm:cxn modelId="{696FFDC4-43B6-426E-8382-5A008525AF94}" type="presOf" srcId="{DB278822-E4F1-4934-B9E9-45007AAFC4A2}" destId="{B4EBAEDA-683B-4DE3-8E32-6AF8BE7BCA1C}" srcOrd="0" destOrd="0" presId="urn:microsoft.com/office/officeart/2005/8/layout/radial5"/>
    <dgm:cxn modelId="{BA04B3C6-BB72-4FF5-9841-742AEB925F20}" type="presOf" srcId="{570165AF-D900-4CBD-ABDF-CEC42C82FA8C}" destId="{3254A471-3142-4547-804E-B8357FD35B9A}" srcOrd="0" destOrd="0" presId="urn:microsoft.com/office/officeart/2005/8/layout/radial5"/>
    <dgm:cxn modelId="{713BDECA-F0FB-4567-8884-907C56D4D828}" type="presOf" srcId="{90FA32C7-3573-4090-A01F-9695A9C5926F}" destId="{DECE7F70-9192-4F5F-9CA7-1E8707F4E42A}" srcOrd="0" destOrd="0" presId="urn:microsoft.com/office/officeart/2005/8/layout/radial5"/>
    <dgm:cxn modelId="{C17538D6-22A5-46C5-A89C-AA9267A82192}" type="presOf" srcId="{5E29D87D-8DD8-41B5-A7B0-37C7F4CE5795}" destId="{58C50CF9-9132-4A4D-BA5C-7A8C3B07C20E}" srcOrd="0" destOrd="0" presId="urn:microsoft.com/office/officeart/2005/8/layout/radial5"/>
    <dgm:cxn modelId="{D36B11E1-16D7-4BC7-982E-0E0179D34281}" type="presOf" srcId="{54FC86E0-D53B-465B-A146-E06D364D4921}" destId="{2C02BE86-6115-44B2-BC69-7195B77805F1}" srcOrd="1" destOrd="0" presId="urn:microsoft.com/office/officeart/2005/8/layout/radial5"/>
    <dgm:cxn modelId="{F75440E4-2B49-45D3-B758-F6C5EFED1C2E}" type="presOf" srcId="{CCEC887C-9B15-4828-8492-AFA6F89026EB}" destId="{FFEEC24F-5E73-4EF9-A802-DFE9E596E705}" srcOrd="0" destOrd="0" presId="urn:microsoft.com/office/officeart/2005/8/layout/radial5"/>
    <dgm:cxn modelId="{2D5E87E8-E074-4380-B739-0759D85C96E3}" type="presOf" srcId="{BBB124A9-7E8A-41DA-ABD9-E7BF3087B02C}" destId="{294A9AF1-7646-43C2-B099-B5178EA6A987}" srcOrd="0" destOrd="0" presId="urn:microsoft.com/office/officeart/2005/8/layout/radial5"/>
    <dgm:cxn modelId="{D907042B-E875-4CA2-8E61-DF2A619E97DB}" type="presParOf" srcId="{3254A471-3142-4547-804E-B8357FD35B9A}" destId="{FFEEC24F-5E73-4EF9-A802-DFE9E596E705}" srcOrd="0" destOrd="0" presId="urn:microsoft.com/office/officeart/2005/8/layout/radial5"/>
    <dgm:cxn modelId="{9EF64D78-67CE-406C-9AF4-63854D917839}" type="presParOf" srcId="{3254A471-3142-4547-804E-B8357FD35B9A}" destId="{58C50CF9-9132-4A4D-BA5C-7A8C3B07C20E}" srcOrd="1" destOrd="0" presId="urn:microsoft.com/office/officeart/2005/8/layout/radial5"/>
    <dgm:cxn modelId="{55C376FF-C658-4FF3-805C-84646F476115}" type="presParOf" srcId="{58C50CF9-9132-4A4D-BA5C-7A8C3B07C20E}" destId="{38AC914E-B508-4795-B3D7-AA93F1CF0D53}" srcOrd="0" destOrd="0" presId="urn:microsoft.com/office/officeart/2005/8/layout/radial5"/>
    <dgm:cxn modelId="{C37CD659-E1A9-406D-AAFD-37989A64DDDB}" type="presParOf" srcId="{3254A471-3142-4547-804E-B8357FD35B9A}" destId="{963BE222-6AE3-43BB-A3ED-9687FBE43FCC}" srcOrd="2" destOrd="0" presId="urn:microsoft.com/office/officeart/2005/8/layout/radial5"/>
    <dgm:cxn modelId="{4025114D-D62C-4D9C-93A8-6EC6C5A1F5B8}" type="presParOf" srcId="{3254A471-3142-4547-804E-B8357FD35B9A}" destId="{6F87C6FD-A17F-4CA2-B085-AC493F1AD650}" srcOrd="3" destOrd="0" presId="urn:microsoft.com/office/officeart/2005/8/layout/radial5"/>
    <dgm:cxn modelId="{5C957175-E551-4406-B42E-D3EB337631F7}" type="presParOf" srcId="{6F87C6FD-A17F-4CA2-B085-AC493F1AD650}" destId="{2C02BE86-6115-44B2-BC69-7195B77805F1}" srcOrd="0" destOrd="0" presId="urn:microsoft.com/office/officeart/2005/8/layout/radial5"/>
    <dgm:cxn modelId="{B72F3B0F-4709-4965-8591-C993F0B47E61}" type="presParOf" srcId="{3254A471-3142-4547-804E-B8357FD35B9A}" destId="{294A9AF1-7646-43C2-B099-B5178EA6A987}" srcOrd="4" destOrd="0" presId="urn:microsoft.com/office/officeart/2005/8/layout/radial5"/>
    <dgm:cxn modelId="{878825DB-66DF-4AD4-95D5-E9E857FF2912}" type="presParOf" srcId="{3254A471-3142-4547-804E-B8357FD35B9A}" destId="{DECE7F70-9192-4F5F-9CA7-1E8707F4E42A}" srcOrd="5" destOrd="0" presId="urn:microsoft.com/office/officeart/2005/8/layout/radial5"/>
    <dgm:cxn modelId="{8F21308E-542A-4CF3-A211-0E8BF6661FE0}" type="presParOf" srcId="{DECE7F70-9192-4F5F-9CA7-1E8707F4E42A}" destId="{9B2D7A09-6038-4752-B3EB-9ECDD8B0E9FA}" srcOrd="0" destOrd="0" presId="urn:microsoft.com/office/officeart/2005/8/layout/radial5"/>
    <dgm:cxn modelId="{B0500EF3-3510-4046-AD9E-C0DD86EFBB4C}" type="presParOf" srcId="{3254A471-3142-4547-804E-B8357FD35B9A}" destId="{DF485C5E-2BA6-43BC-8F05-1DCC4471FFDD}" srcOrd="6" destOrd="0" presId="urn:microsoft.com/office/officeart/2005/8/layout/radial5"/>
    <dgm:cxn modelId="{511DE0FD-3DBC-4E2A-B4F3-242B59C9738C}" type="presParOf" srcId="{3254A471-3142-4547-804E-B8357FD35B9A}" destId="{37A6CFCE-7E3F-48D8-9F19-4F3048C7148D}" srcOrd="7" destOrd="0" presId="urn:microsoft.com/office/officeart/2005/8/layout/radial5"/>
    <dgm:cxn modelId="{246EB502-D2AC-4A86-976F-DF5A333DDBC4}" type="presParOf" srcId="{37A6CFCE-7E3F-48D8-9F19-4F3048C7148D}" destId="{A4C9A4EA-CC1D-4D63-ACC0-1C60D4F58629}" srcOrd="0" destOrd="0" presId="urn:microsoft.com/office/officeart/2005/8/layout/radial5"/>
    <dgm:cxn modelId="{D51EA0C9-3C4E-4E90-9BE4-7F0301A279F8}" type="presParOf" srcId="{3254A471-3142-4547-804E-B8357FD35B9A}" destId="{B4EBAEDA-683B-4DE3-8E32-6AF8BE7BCA1C}" srcOrd="8" destOrd="0" presId="urn:microsoft.com/office/officeart/2005/8/layout/radial5"/>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5B638A51-FA81-464E-B5BE-251461EFDE46}" type="doc">
      <dgm:prSet loTypeId="urn:microsoft.com/office/officeart/2005/8/layout/cycle7" loCatId="cycle" qsTypeId="urn:microsoft.com/office/officeart/2005/8/quickstyle/simple1" qsCatId="simple" csTypeId="urn:microsoft.com/office/officeart/2005/8/colors/accent1_2" csCatId="accent1" phldr="1"/>
      <dgm:spPr/>
      <dgm:t>
        <a:bodyPr/>
        <a:lstStyle/>
        <a:p>
          <a:endParaRPr lang="en-US"/>
        </a:p>
      </dgm:t>
    </dgm:pt>
    <dgm:pt modelId="{689C5737-5401-4D77-9622-0FF46CEE6D5D}">
      <dgm:prSet phldrT="[Text]" custT="1"/>
      <dgm:spPr/>
      <dgm:t>
        <a:bodyPr/>
        <a:lstStyle/>
        <a:p>
          <a:r>
            <a:rPr lang="en-US" sz="1200">
              <a:latin typeface="Arial" panose="020B0604020202020204" pitchFamily="34" charset="0"/>
              <a:cs typeface="Arial" panose="020B0604020202020204" pitchFamily="34" charset="0"/>
            </a:rPr>
            <a:t>Differentiation</a:t>
          </a:r>
        </a:p>
      </dgm:t>
    </dgm:pt>
    <dgm:pt modelId="{25A0BEEE-AE99-4493-8ADD-1925CCBBB67B}" type="parTrans" cxnId="{8666F05A-6CA1-4161-881A-5EB9D9D7CC69}">
      <dgm:prSet/>
      <dgm:spPr/>
      <dgm:t>
        <a:bodyPr/>
        <a:lstStyle/>
        <a:p>
          <a:endParaRPr lang="en-US"/>
        </a:p>
      </dgm:t>
    </dgm:pt>
    <dgm:pt modelId="{53E4DE3F-9E9A-45CC-99B4-4CD85B9F23BF}" type="sibTrans" cxnId="{8666F05A-6CA1-4161-881A-5EB9D9D7CC69}">
      <dgm:prSet/>
      <dgm:spPr/>
      <dgm:t>
        <a:bodyPr/>
        <a:lstStyle/>
        <a:p>
          <a:endParaRPr lang="en-US"/>
        </a:p>
      </dgm:t>
    </dgm:pt>
    <dgm:pt modelId="{72C654A5-7742-45CF-8502-D44817BBAF85}">
      <dgm:prSet phldrT="[Text]" custT="1"/>
      <dgm:spPr/>
      <dgm:t>
        <a:bodyPr/>
        <a:lstStyle/>
        <a:p>
          <a:r>
            <a:rPr lang="en-US" sz="1200">
              <a:latin typeface="Arial" panose="020B0604020202020204" pitchFamily="34" charset="0"/>
              <a:cs typeface="Arial" panose="020B0604020202020204" pitchFamily="34" charset="0"/>
            </a:rPr>
            <a:t>Cost Reduction</a:t>
          </a:r>
        </a:p>
      </dgm:t>
    </dgm:pt>
    <dgm:pt modelId="{2DF78265-700B-40E5-B968-F4531CA8DED2}" type="parTrans" cxnId="{6F95C581-4965-44D2-9EE6-3FADCFA8B63E}">
      <dgm:prSet/>
      <dgm:spPr/>
      <dgm:t>
        <a:bodyPr/>
        <a:lstStyle/>
        <a:p>
          <a:endParaRPr lang="en-US"/>
        </a:p>
      </dgm:t>
    </dgm:pt>
    <dgm:pt modelId="{555EF0B6-F65E-451E-A577-24A9A1D7B883}" type="sibTrans" cxnId="{6F95C581-4965-44D2-9EE6-3FADCFA8B63E}">
      <dgm:prSet/>
      <dgm:spPr/>
      <dgm:t>
        <a:bodyPr/>
        <a:lstStyle/>
        <a:p>
          <a:endParaRPr lang="en-US"/>
        </a:p>
      </dgm:t>
    </dgm:pt>
    <dgm:pt modelId="{A10BFDAD-C49F-4418-9C14-56CCD5B0B6E1}">
      <dgm:prSet phldrT="[Text]" custT="1"/>
      <dgm:spPr/>
      <dgm:t>
        <a:bodyPr/>
        <a:lstStyle/>
        <a:p>
          <a:r>
            <a:rPr lang="en-US" sz="1200">
              <a:latin typeface="Arial" panose="020B0604020202020204" pitchFamily="34" charset="0"/>
              <a:cs typeface="Arial" panose="020B0604020202020204" pitchFamily="34" charset="0"/>
            </a:rPr>
            <a:t>Green marketing Mix</a:t>
          </a:r>
        </a:p>
      </dgm:t>
    </dgm:pt>
    <dgm:pt modelId="{E6DC089E-BD60-4D81-92AE-3C194D8805B5}" type="sibTrans" cxnId="{C2B2BF35-2DA0-4680-AEE6-D68DEDCB2F2D}">
      <dgm:prSet/>
      <dgm:spPr/>
      <dgm:t>
        <a:bodyPr/>
        <a:lstStyle/>
        <a:p>
          <a:endParaRPr lang="en-US"/>
        </a:p>
      </dgm:t>
    </dgm:pt>
    <dgm:pt modelId="{ED6D0008-5E49-4B6B-ADED-26DED98D7BA7}" type="parTrans" cxnId="{C2B2BF35-2DA0-4680-AEE6-D68DEDCB2F2D}">
      <dgm:prSet/>
      <dgm:spPr/>
      <dgm:t>
        <a:bodyPr/>
        <a:lstStyle/>
        <a:p>
          <a:endParaRPr lang="en-US"/>
        </a:p>
      </dgm:t>
    </dgm:pt>
    <dgm:pt modelId="{62140A57-0C5D-4D7E-A596-0D08C8EBB100}">
      <dgm:prSet/>
      <dgm:spPr/>
      <dgm:t>
        <a:bodyPr/>
        <a:lstStyle/>
        <a:p>
          <a:r>
            <a:rPr lang="en-US">
              <a:latin typeface="Arial" panose="020B0604020202020204" pitchFamily="34" charset="0"/>
              <a:cs typeface="Arial" panose="020B0604020202020204" pitchFamily="34" charset="0"/>
            </a:rPr>
            <a:t>Sustainable Competition advantage</a:t>
          </a:r>
        </a:p>
      </dgm:t>
    </dgm:pt>
    <dgm:pt modelId="{9DE5D476-132B-40F0-8E25-ADEA9A9A2348}" type="parTrans" cxnId="{3E4C8D17-3536-478E-8F3A-32C1C7315D60}">
      <dgm:prSet/>
      <dgm:spPr/>
      <dgm:t>
        <a:bodyPr/>
        <a:lstStyle/>
        <a:p>
          <a:endParaRPr lang="en-US"/>
        </a:p>
      </dgm:t>
    </dgm:pt>
    <dgm:pt modelId="{1A1753C9-8B8D-45A5-B88E-00089E07B806}" type="sibTrans" cxnId="{3E4C8D17-3536-478E-8F3A-32C1C7315D60}">
      <dgm:prSet/>
      <dgm:spPr/>
      <dgm:t>
        <a:bodyPr/>
        <a:lstStyle/>
        <a:p>
          <a:endParaRPr lang="en-US"/>
        </a:p>
      </dgm:t>
    </dgm:pt>
    <dgm:pt modelId="{394E5CB9-6012-4FBF-93E3-0326B1B7F883}" type="pres">
      <dgm:prSet presAssocID="{5B638A51-FA81-464E-B5BE-251461EFDE46}" presName="Name0" presStyleCnt="0">
        <dgm:presLayoutVars>
          <dgm:dir/>
          <dgm:resizeHandles val="exact"/>
        </dgm:presLayoutVars>
      </dgm:prSet>
      <dgm:spPr/>
    </dgm:pt>
    <dgm:pt modelId="{CB72A71E-77BE-4CB9-98BF-22B928D39A5C}" type="pres">
      <dgm:prSet presAssocID="{689C5737-5401-4D77-9622-0FF46CEE6D5D}" presName="node" presStyleLbl="node1" presStyleIdx="0" presStyleCnt="4" custRadScaleRad="100073" custRadScaleInc="914">
        <dgm:presLayoutVars>
          <dgm:bulletEnabled val="1"/>
        </dgm:presLayoutVars>
      </dgm:prSet>
      <dgm:spPr/>
    </dgm:pt>
    <dgm:pt modelId="{4E585F4B-BA66-4026-BB0B-680E2A790C53}" type="pres">
      <dgm:prSet presAssocID="{53E4DE3F-9E9A-45CC-99B4-4CD85B9F23BF}" presName="sibTrans" presStyleLbl="sibTrans2D1" presStyleIdx="0" presStyleCnt="4"/>
      <dgm:spPr/>
    </dgm:pt>
    <dgm:pt modelId="{D628960D-4880-4E98-BEDB-75156CB77605}" type="pres">
      <dgm:prSet presAssocID="{53E4DE3F-9E9A-45CC-99B4-4CD85B9F23BF}" presName="connectorText" presStyleLbl="sibTrans2D1" presStyleIdx="0" presStyleCnt="4"/>
      <dgm:spPr/>
    </dgm:pt>
    <dgm:pt modelId="{7B64C58A-4821-4B3F-ACED-ECD0C01FD202}" type="pres">
      <dgm:prSet presAssocID="{62140A57-0C5D-4D7E-A596-0D08C8EBB100}" presName="node" presStyleLbl="node1" presStyleIdx="1" presStyleCnt="4">
        <dgm:presLayoutVars>
          <dgm:bulletEnabled val="1"/>
        </dgm:presLayoutVars>
      </dgm:prSet>
      <dgm:spPr/>
    </dgm:pt>
    <dgm:pt modelId="{D8A19FD1-86F3-44FB-B888-48463AA26C40}" type="pres">
      <dgm:prSet presAssocID="{1A1753C9-8B8D-45A5-B88E-00089E07B806}" presName="sibTrans" presStyleLbl="sibTrans2D1" presStyleIdx="1" presStyleCnt="4"/>
      <dgm:spPr/>
    </dgm:pt>
    <dgm:pt modelId="{4D27151B-8452-474D-BED8-E289CCABE100}" type="pres">
      <dgm:prSet presAssocID="{1A1753C9-8B8D-45A5-B88E-00089E07B806}" presName="connectorText" presStyleLbl="sibTrans2D1" presStyleIdx="1" presStyleCnt="4"/>
      <dgm:spPr/>
    </dgm:pt>
    <dgm:pt modelId="{3650D1E1-3BF4-405D-8C47-5C0321E9AD30}" type="pres">
      <dgm:prSet presAssocID="{72C654A5-7742-45CF-8502-D44817BBAF85}" presName="node" presStyleLbl="node1" presStyleIdx="2" presStyleCnt="4">
        <dgm:presLayoutVars>
          <dgm:bulletEnabled val="1"/>
        </dgm:presLayoutVars>
      </dgm:prSet>
      <dgm:spPr/>
    </dgm:pt>
    <dgm:pt modelId="{F140826A-98DE-4D5B-A41D-2B9DEF54D735}" type="pres">
      <dgm:prSet presAssocID="{555EF0B6-F65E-451E-A577-24A9A1D7B883}" presName="sibTrans" presStyleLbl="sibTrans2D1" presStyleIdx="2" presStyleCnt="4"/>
      <dgm:spPr/>
    </dgm:pt>
    <dgm:pt modelId="{1FFE18FE-6F0D-4AB0-A6C2-03E707AA0AF9}" type="pres">
      <dgm:prSet presAssocID="{555EF0B6-F65E-451E-A577-24A9A1D7B883}" presName="connectorText" presStyleLbl="sibTrans2D1" presStyleIdx="2" presStyleCnt="4"/>
      <dgm:spPr/>
    </dgm:pt>
    <dgm:pt modelId="{1806458C-8AF6-4807-BE41-17533CB81AE1}" type="pres">
      <dgm:prSet presAssocID="{A10BFDAD-C49F-4418-9C14-56CCD5B0B6E1}" presName="node" presStyleLbl="node1" presStyleIdx="3" presStyleCnt="4" custScaleY="91128">
        <dgm:presLayoutVars>
          <dgm:bulletEnabled val="1"/>
        </dgm:presLayoutVars>
      </dgm:prSet>
      <dgm:spPr/>
    </dgm:pt>
    <dgm:pt modelId="{950CE996-D7F5-4CAC-9C82-E42898C080AD}" type="pres">
      <dgm:prSet presAssocID="{E6DC089E-BD60-4D81-92AE-3C194D8805B5}" presName="sibTrans" presStyleLbl="sibTrans2D1" presStyleIdx="3" presStyleCnt="4"/>
      <dgm:spPr/>
    </dgm:pt>
    <dgm:pt modelId="{18AE6DC9-E349-424B-B0D8-550D1791C802}" type="pres">
      <dgm:prSet presAssocID="{E6DC089E-BD60-4D81-92AE-3C194D8805B5}" presName="connectorText" presStyleLbl="sibTrans2D1" presStyleIdx="3" presStyleCnt="4"/>
      <dgm:spPr/>
    </dgm:pt>
  </dgm:ptLst>
  <dgm:cxnLst>
    <dgm:cxn modelId="{26E57F02-A4B2-424F-9C83-2278D0A4A757}" type="presOf" srcId="{E6DC089E-BD60-4D81-92AE-3C194D8805B5}" destId="{950CE996-D7F5-4CAC-9C82-E42898C080AD}" srcOrd="0" destOrd="0" presId="urn:microsoft.com/office/officeart/2005/8/layout/cycle7"/>
    <dgm:cxn modelId="{CC95DA07-CBB8-496C-AB4F-E87100EB6541}" type="presOf" srcId="{689C5737-5401-4D77-9622-0FF46CEE6D5D}" destId="{CB72A71E-77BE-4CB9-98BF-22B928D39A5C}" srcOrd="0" destOrd="0" presId="urn:microsoft.com/office/officeart/2005/8/layout/cycle7"/>
    <dgm:cxn modelId="{C7928F0C-DA6B-4886-9A38-538DB79D6305}" type="presOf" srcId="{53E4DE3F-9E9A-45CC-99B4-4CD85B9F23BF}" destId="{4E585F4B-BA66-4026-BB0B-680E2A790C53}" srcOrd="0" destOrd="0" presId="urn:microsoft.com/office/officeart/2005/8/layout/cycle7"/>
    <dgm:cxn modelId="{24F8D60E-301B-4EF2-BBEA-F6BD311E2A52}" type="presOf" srcId="{1A1753C9-8B8D-45A5-B88E-00089E07B806}" destId="{D8A19FD1-86F3-44FB-B888-48463AA26C40}" srcOrd="0" destOrd="0" presId="urn:microsoft.com/office/officeart/2005/8/layout/cycle7"/>
    <dgm:cxn modelId="{3E4C8D17-3536-478E-8F3A-32C1C7315D60}" srcId="{5B638A51-FA81-464E-B5BE-251461EFDE46}" destId="{62140A57-0C5D-4D7E-A596-0D08C8EBB100}" srcOrd="1" destOrd="0" parTransId="{9DE5D476-132B-40F0-8E25-ADEA9A9A2348}" sibTransId="{1A1753C9-8B8D-45A5-B88E-00089E07B806}"/>
    <dgm:cxn modelId="{61272727-1ACC-4529-9372-FFE73E6D6445}" type="presOf" srcId="{5B638A51-FA81-464E-B5BE-251461EFDE46}" destId="{394E5CB9-6012-4FBF-93E3-0326B1B7F883}" srcOrd="0" destOrd="0" presId="urn:microsoft.com/office/officeart/2005/8/layout/cycle7"/>
    <dgm:cxn modelId="{C2B2BF35-2DA0-4680-AEE6-D68DEDCB2F2D}" srcId="{5B638A51-FA81-464E-B5BE-251461EFDE46}" destId="{A10BFDAD-C49F-4418-9C14-56CCD5B0B6E1}" srcOrd="3" destOrd="0" parTransId="{ED6D0008-5E49-4B6B-ADED-26DED98D7BA7}" sibTransId="{E6DC089E-BD60-4D81-92AE-3C194D8805B5}"/>
    <dgm:cxn modelId="{8FB0845C-F3A0-4A8B-98EF-10D28507035E}" type="presOf" srcId="{A10BFDAD-C49F-4418-9C14-56CCD5B0B6E1}" destId="{1806458C-8AF6-4807-BE41-17533CB81AE1}" srcOrd="0" destOrd="0" presId="urn:microsoft.com/office/officeart/2005/8/layout/cycle7"/>
    <dgm:cxn modelId="{3C42F164-94A3-4DB3-82BC-CB3B4E667197}" type="presOf" srcId="{1A1753C9-8B8D-45A5-B88E-00089E07B806}" destId="{4D27151B-8452-474D-BED8-E289CCABE100}" srcOrd="1" destOrd="0" presId="urn:microsoft.com/office/officeart/2005/8/layout/cycle7"/>
    <dgm:cxn modelId="{1BC0F26C-C890-4D6A-A811-0260E28DB9DE}" type="presOf" srcId="{72C654A5-7742-45CF-8502-D44817BBAF85}" destId="{3650D1E1-3BF4-405D-8C47-5C0321E9AD30}" srcOrd="0" destOrd="0" presId="urn:microsoft.com/office/officeart/2005/8/layout/cycle7"/>
    <dgm:cxn modelId="{F0AAD76E-8290-4BF6-88DF-9DDD3EF365DF}" type="presOf" srcId="{53E4DE3F-9E9A-45CC-99B4-4CD85B9F23BF}" destId="{D628960D-4880-4E98-BEDB-75156CB77605}" srcOrd="1" destOrd="0" presId="urn:microsoft.com/office/officeart/2005/8/layout/cycle7"/>
    <dgm:cxn modelId="{986DA650-065F-4F5E-B52D-9B55E12C9264}" type="presOf" srcId="{E6DC089E-BD60-4D81-92AE-3C194D8805B5}" destId="{18AE6DC9-E349-424B-B0D8-550D1791C802}" srcOrd="1" destOrd="0" presId="urn:microsoft.com/office/officeart/2005/8/layout/cycle7"/>
    <dgm:cxn modelId="{8666F05A-6CA1-4161-881A-5EB9D9D7CC69}" srcId="{5B638A51-FA81-464E-B5BE-251461EFDE46}" destId="{689C5737-5401-4D77-9622-0FF46CEE6D5D}" srcOrd="0" destOrd="0" parTransId="{25A0BEEE-AE99-4493-8ADD-1925CCBBB67B}" sibTransId="{53E4DE3F-9E9A-45CC-99B4-4CD85B9F23BF}"/>
    <dgm:cxn modelId="{6F95C581-4965-44D2-9EE6-3FADCFA8B63E}" srcId="{5B638A51-FA81-464E-B5BE-251461EFDE46}" destId="{72C654A5-7742-45CF-8502-D44817BBAF85}" srcOrd="2" destOrd="0" parTransId="{2DF78265-700B-40E5-B968-F4531CA8DED2}" sibTransId="{555EF0B6-F65E-451E-A577-24A9A1D7B883}"/>
    <dgm:cxn modelId="{2E20DBBE-A565-4880-B036-0EC31F4AC050}" type="presOf" srcId="{555EF0B6-F65E-451E-A577-24A9A1D7B883}" destId="{1FFE18FE-6F0D-4AB0-A6C2-03E707AA0AF9}" srcOrd="1" destOrd="0" presId="urn:microsoft.com/office/officeart/2005/8/layout/cycle7"/>
    <dgm:cxn modelId="{960E10C4-B869-4204-AD5E-CF8CB09884B4}" type="presOf" srcId="{62140A57-0C5D-4D7E-A596-0D08C8EBB100}" destId="{7B64C58A-4821-4B3F-ACED-ECD0C01FD202}" srcOrd="0" destOrd="0" presId="urn:microsoft.com/office/officeart/2005/8/layout/cycle7"/>
    <dgm:cxn modelId="{DADAFECD-6C8B-475C-ABB3-7DB2B43C62B3}" type="presOf" srcId="{555EF0B6-F65E-451E-A577-24A9A1D7B883}" destId="{F140826A-98DE-4D5B-A41D-2B9DEF54D735}" srcOrd="0" destOrd="0" presId="urn:microsoft.com/office/officeart/2005/8/layout/cycle7"/>
    <dgm:cxn modelId="{31602739-953F-45F5-8D5A-415188241233}" type="presParOf" srcId="{394E5CB9-6012-4FBF-93E3-0326B1B7F883}" destId="{CB72A71E-77BE-4CB9-98BF-22B928D39A5C}" srcOrd="0" destOrd="0" presId="urn:microsoft.com/office/officeart/2005/8/layout/cycle7"/>
    <dgm:cxn modelId="{6898A495-F265-4B12-AEB8-9D2D7A69235F}" type="presParOf" srcId="{394E5CB9-6012-4FBF-93E3-0326B1B7F883}" destId="{4E585F4B-BA66-4026-BB0B-680E2A790C53}" srcOrd="1" destOrd="0" presId="urn:microsoft.com/office/officeart/2005/8/layout/cycle7"/>
    <dgm:cxn modelId="{EABE02AD-40EC-49B9-9B02-4F5AEDFE9975}" type="presParOf" srcId="{4E585F4B-BA66-4026-BB0B-680E2A790C53}" destId="{D628960D-4880-4E98-BEDB-75156CB77605}" srcOrd="0" destOrd="0" presId="urn:microsoft.com/office/officeart/2005/8/layout/cycle7"/>
    <dgm:cxn modelId="{54468C15-1EBB-4B41-A23F-1BD5AD637A1D}" type="presParOf" srcId="{394E5CB9-6012-4FBF-93E3-0326B1B7F883}" destId="{7B64C58A-4821-4B3F-ACED-ECD0C01FD202}" srcOrd="2" destOrd="0" presId="urn:microsoft.com/office/officeart/2005/8/layout/cycle7"/>
    <dgm:cxn modelId="{C64C7B3F-3CE4-41A7-AC9A-0FC2EB956E59}" type="presParOf" srcId="{394E5CB9-6012-4FBF-93E3-0326B1B7F883}" destId="{D8A19FD1-86F3-44FB-B888-48463AA26C40}" srcOrd="3" destOrd="0" presId="urn:microsoft.com/office/officeart/2005/8/layout/cycle7"/>
    <dgm:cxn modelId="{694DA66B-AD83-4A63-8979-D897B8B71211}" type="presParOf" srcId="{D8A19FD1-86F3-44FB-B888-48463AA26C40}" destId="{4D27151B-8452-474D-BED8-E289CCABE100}" srcOrd="0" destOrd="0" presId="urn:microsoft.com/office/officeart/2005/8/layout/cycle7"/>
    <dgm:cxn modelId="{4A716503-75CB-41AF-95DD-DB6BE0101715}" type="presParOf" srcId="{394E5CB9-6012-4FBF-93E3-0326B1B7F883}" destId="{3650D1E1-3BF4-405D-8C47-5C0321E9AD30}" srcOrd="4" destOrd="0" presId="urn:microsoft.com/office/officeart/2005/8/layout/cycle7"/>
    <dgm:cxn modelId="{5E4A3995-0754-4E65-81D6-4C4B476CE8F3}" type="presParOf" srcId="{394E5CB9-6012-4FBF-93E3-0326B1B7F883}" destId="{F140826A-98DE-4D5B-A41D-2B9DEF54D735}" srcOrd="5" destOrd="0" presId="urn:microsoft.com/office/officeart/2005/8/layout/cycle7"/>
    <dgm:cxn modelId="{0A84CDBA-CD65-4474-A14F-E6A50F704281}" type="presParOf" srcId="{F140826A-98DE-4D5B-A41D-2B9DEF54D735}" destId="{1FFE18FE-6F0D-4AB0-A6C2-03E707AA0AF9}" srcOrd="0" destOrd="0" presId="urn:microsoft.com/office/officeart/2005/8/layout/cycle7"/>
    <dgm:cxn modelId="{AB470A72-E49E-45CB-A3AA-A31EA29F23E3}" type="presParOf" srcId="{394E5CB9-6012-4FBF-93E3-0326B1B7F883}" destId="{1806458C-8AF6-4807-BE41-17533CB81AE1}" srcOrd="6" destOrd="0" presId="urn:microsoft.com/office/officeart/2005/8/layout/cycle7"/>
    <dgm:cxn modelId="{F1DFD152-7AD2-4D92-B830-BE072548794D}" type="presParOf" srcId="{394E5CB9-6012-4FBF-93E3-0326B1B7F883}" destId="{950CE996-D7F5-4CAC-9C82-E42898C080AD}" srcOrd="7" destOrd="0" presId="urn:microsoft.com/office/officeart/2005/8/layout/cycle7"/>
    <dgm:cxn modelId="{298F5EBE-46AF-43DF-AA41-19853EF29EC4}" type="presParOf" srcId="{950CE996-D7F5-4CAC-9C82-E42898C080AD}" destId="{18AE6DC9-E349-424B-B0D8-550D1791C802}" srcOrd="0" destOrd="0" presId="urn:microsoft.com/office/officeart/2005/8/layout/cycle7"/>
  </dgm:cxnLst>
  <dgm:bg/>
  <dgm:whole/>
  <dgm:extLst>
    <a:ext uri="http://schemas.microsoft.com/office/drawing/2008/diagram">
      <dsp:dataModelExt xmlns:dsp="http://schemas.microsoft.com/office/drawing/2008/diagram" relId="rId2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FEEC24F-5E73-4EF9-A802-DFE9E596E705}">
      <dsp:nvSpPr>
        <dsp:cNvPr id="0" name=""/>
        <dsp:cNvSpPr/>
      </dsp:nvSpPr>
      <dsp:spPr>
        <a:xfrm>
          <a:off x="2165346" y="1228351"/>
          <a:ext cx="1155706" cy="743697"/>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US" sz="1000" b="1" kern="1200">
              <a:latin typeface="Arial" panose="020B0604020202020204" pitchFamily="34" charset="0"/>
              <a:cs typeface="Arial" panose="020B0604020202020204" pitchFamily="34" charset="0"/>
            </a:rPr>
            <a:t>Green Marketing Mix</a:t>
          </a:r>
        </a:p>
      </dsp:txBody>
      <dsp:txXfrm>
        <a:off x="2334595" y="1337263"/>
        <a:ext cx="817208" cy="525873"/>
      </dsp:txXfrm>
    </dsp:sp>
    <dsp:sp modelId="{58C50CF9-9132-4A4D-BA5C-7A8C3B07C20E}">
      <dsp:nvSpPr>
        <dsp:cNvPr id="0" name=""/>
        <dsp:cNvSpPr/>
      </dsp:nvSpPr>
      <dsp:spPr>
        <a:xfrm rot="16025769">
          <a:off x="2639178" y="959653"/>
          <a:ext cx="155885" cy="252857"/>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44500">
            <a:lnSpc>
              <a:spcPct val="90000"/>
            </a:lnSpc>
            <a:spcBef>
              <a:spcPct val="0"/>
            </a:spcBef>
            <a:spcAft>
              <a:spcPct val="35000"/>
            </a:spcAft>
            <a:buNone/>
          </a:pPr>
          <a:endParaRPr lang="en-US" sz="1000" kern="1200"/>
        </a:p>
      </dsp:txBody>
      <dsp:txXfrm rot="10800000">
        <a:off x="2663745" y="1033576"/>
        <a:ext cx="109120" cy="151715"/>
      </dsp:txXfrm>
    </dsp:sp>
    <dsp:sp modelId="{963BE222-6AE3-43BB-A3ED-9687FBE43FCC}">
      <dsp:nvSpPr>
        <dsp:cNvPr id="0" name=""/>
        <dsp:cNvSpPr/>
      </dsp:nvSpPr>
      <dsp:spPr>
        <a:xfrm>
          <a:off x="2224141" y="11583"/>
          <a:ext cx="923812" cy="923812"/>
        </a:xfrm>
        <a:prstGeom prst="ellipse">
          <a:avLst/>
        </a:prstGeom>
        <a:solidFill>
          <a:schemeClr val="accent2">
            <a:lumMod val="75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US" sz="1000" kern="1200">
              <a:latin typeface="Arial" panose="020B0604020202020204" pitchFamily="34" charset="0"/>
              <a:cs typeface="Arial" panose="020B0604020202020204" pitchFamily="34" charset="0"/>
            </a:rPr>
            <a:t>Green Product</a:t>
          </a:r>
        </a:p>
      </dsp:txBody>
      <dsp:txXfrm>
        <a:off x="2359430" y="146872"/>
        <a:ext cx="653234" cy="653234"/>
      </dsp:txXfrm>
    </dsp:sp>
    <dsp:sp modelId="{6F87C6FD-A17F-4CA2-B085-AC493F1AD650}">
      <dsp:nvSpPr>
        <dsp:cNvPr id="0" name=""/>
        <dsp:cNvSpPr/>
      </dsp:nvSpPr>
      <dsp:spPr>
        <a:xfrm rot="3871048">
          <a:off x="2889804" y="2006698"/>
          <a:ext cx="214778" cy="252857"/>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44500">
            <a:lnSpc>
              <a:spcPct val="90000"/>
            </a:lnSpc>
            <a:spcBef>
              <a:spcPct val="0"/>
            </a:spcBef>
            <a:spcAft>
              <a:spcPct val="35000"/>
            </a:spcAft>
            <a:buNone/>
          </a:pPr>
          <a:endParaRPr lang="en-US" sz="1000" kern="1200"/>
        </a:p>
      </dsp:txBody>
      <dsp:txXfrm>
        <a:off x="2908160" y="2028187"/>
        <a:ext cx="150345" cy="151715"/>
      </dsp:txXfrm>
    </dsp:sp>
    <dsp:sp modelId="{294A9AF1-7646-43C2-B099-B5178EA6A987}">
      <dsp:nvSpPr>
        <dsp:cNvPr id="0" name=""/>
        <dsp:cNvSpPr/>
      </dsp:nvSpPr>
      <dsp:spPr>
        <a:xfrm>
          <a:off x="2823806" y="2276587"/>
          <a:ext cx="923812" cy="923812"/>
        </a:xfrm>
        <a:prstGeom prst="ellipse">
          <a:avLst/>
        </a:prstGeom>
        <a:solidFill>
          <a:srgbClr val="7030A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US" sz="1000" kern="1200">
              <a:latin typeface="Arial" panose="020B0604020202020204" pitchFamily="34" charset="0"/>
              <a:cs typeface="Arial" panose="020B0604020202020204" pitchFamily="34" charset="0"/>
            </a:rPr>
            <a:t>Green Price</a:t>
          </a:r>
        </a:p>
      </dsp:txBody>
      <dsp:txXfrm>
        <a:off x="2959095" y="2411876"/>
        <a:ext cx="653234" cy="653234"/>
      </dsp:txXfrm>
    </dsp:sp>
    <dsp:sp modelId="{DECE7F70-9192-4F5F-9CA7-1E8707F4E42A}">
      <dsp:nvSpPr>
        <dsp:cNvPr id="0" name=""/>
        <dsp:cNvSpPr/>
      </dsp:nvSpPr>
      <dsp:spPr>
        <a:xfrm rot="7014848">
          <a:off x="2361106" y="2008120"/>
          <a:ext cx="221674" cy="252857"/>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44500">
            <a:lnSpc>
              <a:spcPct val="90000"/>
            </a:lnSpc>
            <a:spcBef>
              <a:spcPct val="0"/>
            </a:spcBef>
            <a:spcAft>
              <a:spcPct val="35000"/>
            </a:spcAft>
            <a:buNone/>
          </a:pPr>
          <a:endParaRPr lang="en-US" sz="1000" kern="1200"/>
        </a:p>
      </dsp:txBody>
      <dsp:txXfrm rot="10800000">
        <a:off x="2409408" y="2029042"/>
        <a:ext cx="155172" cy="151715"/>
      </dsp:txXfrm>
    </dsp:sp>
    <dsp:sp modelId="{DF485C5E-2BA6-43BC-8F05-1DCC4471FFDD}">
      <dsp:nvSpPr>
        <dsp:cNvPr id="0" name=""/>
        <dsp:cNvSpPr/>
      </dsp:nvSpPr>
      <dsp:spPr>
        <a:xfrm>
          <a:off x="1703451" y="2276587"/>
          <a:ext cx="923812" cy="923812"/>
        </a:xfrm>
        <a:prstGeom prst="ellipse">
          <a:avLst/>
        </a:prstGeom>
        <a:solidFill>
          <a:schemeClr val="bg1">
            <a:lumMod val="5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US" sz="1000" kern="1200">
              <a:latin typeface="Arial" panose="020B0604020202020204" pitchFamily="34" charset="0"/>
              <a:cs typeface="Arial" panose="020B0604020202020204" pitchFamily="34" charset="0"/>
            </a:rPr>
            <a:t>Green Promotion</a:t>
          </a:r>
        </a:p>
      </dsp:txBody>
      <dsp:txXfrm>
        <a:off x="1838740" y="2411876"/>
        <a:ext cx="653234" cy="653234"/>
      </dsp:txXfrm>
    </dsp:sp>
    <dsp:sp modelId="{37A6CFCE-7E3F-48D8-9F19-4F3048C7148D}">
      <dsp:nvSpPr>
        <dsp:cNvPr id="0" name=""/>
        <dsp:cNvSpPr/>
      </dsp:nvSpPr>
      <dsp:spPr>
        <a:xfrm rot="10733715">
          <a:off x="1957241" y="1487507"/>
          <a:ext cx="147261" cy="252857"/>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44500">
            <a:lnSpc>
              <a:spcPct val="90000"/>
            </a:lnSpc>
            <a:spcBef>
              <a:spcPct val="0"/>
            </a:spcBef>
            <a:spcAft>
              <a:spcPct val="35000"/>
            </a:spcAft>
            <a:buNone/>
          </a:pPr>
          <a:endParaRPr lang="en-US" sz="1000" kern="1200"/>
        </a:p>
      </dsp:txBody>
      <dsp:txXfrm rot="10800000">
        <a:off x="2001415" y="1537652"/>
        <a:ext cx="103083" cy="151715"/>
      </dsp:txXfrm>
    </dsp:sp>
    <dsp:sp modelId="{B4EBAEDA-683B-4DE3-8E32-6AF8BE7BCA1C}">
      <dsp:nvSpPr>
        <dsp:cNvPr id="0" name=""/>
        <dsp:cNvSpPr/>
      </dsp:nvSpPr>
      <dsp:spPr>
        <a:xfrm>
          <a:off x="964079" y="1163694"/>
          <a:ext cx="923812" cy="923812"/>
        </a:xfrm>
        <a:prstGeom prst="ellipse">
          <a:avLst/>
        </a:prstGeom>
        <a:solidFill>
          <a:schemeClr val="accent6">
            <a:lumMod val="75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US" sz="1000" kern="1200">
              <a:latin typeface="Arial" panose="020B0604020202020204" pitchFamily="34" charset="0"/>
              <a:cs typeface="Arial" panose="020B0604020202020204" pitchFamily="34" charset="0"/>
            </a:rPr>
            <a:t>Green Place</a:t>
          </a:r>
        </a:p>
      </dsp:txBody>
      <dsp:txXfrm>
        <a:off x="1099368" y="1298983"/>
        <a:ext cx="653234" cy="653234"/>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B72A71E-77BE-4CB9-98BF-22B928D39A5C}">
      <dsp:nvSpPr>
        <dsp:cNvPr id="0" name=""/>
        <dsp:cNvSpPr/>
      </dsp:nvSpPr>
      <dsp:spPr>
        <a:xfrm>
          <a:off x="2196319" y="0"/>
          <a:ext cx="1109067" cy="554533"/>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latin typeface="Arial" panose="020B0604020202020204" pitchFamily="34" charset="0"/>
              <a:cs typeface="Arial" panose="020B0604020202020204" pitchFamily="34" charset="0"/>
            </a:rPr>
            <a:t>Differentiation</a:t>
          </a:r>
        </a:p>
      </dsp:txBody>
      <dsp:txXfrm>
        <a:off x="2212561" y="16242"/>
        <a:ext cx="1076583" cy="522049"/>
      </dsp:txXfrm>
    </dsp:sp>
    <dsp:sp modelId="{4E585F4B-BA66-4026-BB0B-680E2A790C53}">
      <dsp:nvSpPr>
        <dsp:cNvPr id="0" name=""/>
        <dsp:cNvSpPr/>
      </dsp:nvSpPr>
      <dsp:spPr>
        <a:xfrm rot="2712959">
          <a:off x="2991621" y="713102"/>
          <a:ext cx="576216" cy="194086"/>
        </a:xfrm>
        <a:prstGeom prst="lef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US" sz="800" kern="1200"/>
        </a:p>
      </dsp:txBody>
      <dsp:txXfrm>
        <a:off x="3049847" y="751919"/>
        <a:ext cx="459764" cy="116452"/>
      </dsp:txXfrm>
    </dsp:sp>
    <dsp:sp modelId="{7B64C58A-4821-4B3F-ACED-ECD0C01FD202}">
      <dsp:nvSpPr>
        <dsp:cNvPr id="0" name=""/>
        <dsp:cNvSpPr/>
      </dsp:nvSpPr>
      <dsp:spPr>
        <a:xfrm>
          <a:off x="3254073" y="1065758"/>
          <a:ext cx="1109067" cy="554533"/>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sz="1100" kern="1200">
              <a:latin typeface="Arial" panose="020B0604020202020204" pitchFamily="34" charset="0"/>
              <a:cs typeface="Arial" panose="020B0604020202020204" pitchFamily="34" charset="0"/>
            </a:rPr>
            <a:t>Sustainable Competition advantage</a:t>
          </a:r>
        </a:p>
      </dsp:txBody>
      <dsp:txXfrm>
        <a:off x="3270315" y="1082000"/>
        <a:ext cx="1076583" cy="522049"/>
      </dsp:txXfrm>
    </dsp:sp>
    <dsp:sp modelId="{D8A19FD1-86F3-44FB-B888-48463AA26C40}">
      <dsp:nvSpPr>
        <dsp:cNvPr id="0" name=""/>
        <dsp:cNvSpPr/>
      </dsp:nvSpPr>
      <dsp:spPr>
        <a:xfrm rot="8100000">
          <a:off x="2987795" y="1778685"/>
          <a:ext cx="576216" cy="194086"/>
        </a:xfrm>
        <a:prstGeom prst="lef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US" sz="800" kern="1200"/>
        </a:p>
      </dsp:txBody>
      <dsp:txXfrm rot="10800000">
        <a:off x="3046021" y="1817502"/>
        <a:ext cx="459764" cy="116452"/>
      </dsp:txXfrm>
    </dsp:sp>
    <dsp:sp modelId="{3650D1E1-3BF4-405D-8C47-5C0321E9AD30}">
      <dsp:nvSpPr>
        <dsp:cNvPr id="0" name=""/>
        <dsp:cNvSpPr/>
      </dsp:nvSpPr>
      <dsp:spPr>
        <a:xfrm>
          <a:off x="2188666" y="2131165"/>
          <a:ext cx="1109067" cy="554533"/>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latin typeface="Arial" panose="020B0604020202020204" pitchFamily="34" charset="0"/>
              <a:cs typeface="Arial" panose="020B0604020202020204" pitchFamily="34" charset="0"/>
            </a:rPr>
            <a:t>Cost Reduction</a:t>
          </a:r>
        </a:p>
      </dsp:txBody>
      <dsp:txXfrm>
        <a:off x="2204908" y="2147407"/>
        <a:ext cx="1076583" cy="522049"/>
      </dsp:txXfrm>
    </dsp:sp>
    <dsp:sp modelId="{F140826A-98DE-4D5B-A41D-2B9DEF54D735}">
      <dsp:nvSpPr>
        <dsp:cNvPr id="0" name=""/>
        <dsp:cNvSpPr/>
      </dsp:nvSpPr>
      <dsp:spPr>
        <a:xfrm rot="13500000">
          <a:off x="1910088" y="1766385"/>
          <a:ext cx="576216" cy="194086"/>
        </a:xfrm>
        <a:prstGeom prst="lef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US" sz="800" kern="1200"/>
        </a:p>
      </dsp:txBody>
      <dsp:txXfrm rot="10800000">
        <a:off x="1968314" y="1805202"/>
        <a:ext cx="459764" cy="116452"/>
      </dsp:txXfrm>
    </dsp:sp>
    <dsp:sp modelId="{1806458C-8AF6-4807-BE41-17533CB81AE1}">
      <dsp:nvSpPr>
        <dsp:cNvPr id="0" name=""/>
        <dsp:cNvSpPr/>
      </dsp:nvSpPr>
      <dsp:spPr>
        <a:xfrm>
          <a:off x="1123259" y="1090357"/>
          <a:ext cx="1109067" cy="505335"/>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latin typeface="Arial" panose="020B0604020202020204" pitchFamily="34" charset="0"/>
              <a:cs typeface="Arial" panose="020B0604020202020204" pitchFamily="34" charset="0"/>
            </a:rPr>
            <a:t>Green marketing Mix</a:t>
          </a:r>
        </a:p>
      </dsp:txBody>
      <dsp:txXfrm>
        <a:off x="1138060" y="1105158"/>
        <a:ext cx="1079465" cy="475733"/>
      </dsp:txXfrm>
    </dsp:sp>
    <dsp:sp modelId="{950CE996-D7F5-4CAC-9C82-E42898C080AD}">
      <dsp:nvSpPr>
        <dsp:cNvPr id="0" name=""/>
        <dsp:cNvSpPr/>
      </dsp:nvSpPr>
      <dsp:spPr>
        <a:xfrm rot="18911737">
          <a:off x="1913831" y="725402"/>
          <a:ext cx="576216" cy="194086"/>
        </a:xfrm>
        <a:prstGeom prst="lef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US" sz="800" kern="1200"/>
        </a:p>
      </dsp:txBody>
      <dsp:txXfrm>
        <a:off x="1972057" y="764219"/>
        <a:ext cx="459764" cy="116452"/>
      </dsp:txXfrm>
    </dsp:sp>
  </dsp:spTree>
</dsp:drawing>
</file>

<file path=word/diagrams/layout1.xml><?xml version="1.0" encoding="utf-8"?>
<dgm:layoutDef xmlns:dgm="http://schemas.openxmlformats.org/drawingml/2006/diagram" xmlns:a="http://schemas.openxmlformats.org/drawingml/2006/main" uniqueId="urn:microsoft.com/office/officeart/2005/8/layout/radial5">
  <dgm:title val=""/>
  <dgm:desc val=""/>
  <dgm:catLst>
    <dgm:cat type="relationship" pri="23000"/>
    <dgm:cat type="cycle" pri="1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alg type="cycle">
          <dgm:param type="stAng" val="0"/>
          <dgm:param type="spanAng" val="360"/>
          <dgm:param type="ctrShpMap" val="fNode"/>
        </dgm:alg>
      </dgm:if>
      <dgm:else name="Name3">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parTrans" refType="w" refFor="ch" refForName="centerShape" fact="0.4"/>
      <dgm:constr type="w" for="ch" forName="node" refType="w" refFor="ch" refForName="centerShape" op="equ" fact="1.25"/>
      <dgm:constr type="sp" refType="w" refFor="ch" refForName="centerShape" op="equ" fact="0.4"/>
      <dgm:constr type="sibSp" refType="w" refFor="ch" refForName="node" fact="0.3"/>
      <dgm:constr type="primFontSz" for="ch" forName="centerShape" val="65"/>
      <dgm:constr type="primFontSz" for="des" forName="node" op="equ" val="65"/>
      <dgm:constr type="primFontSz" for="des" forName="node" refType="primFontSz" refFor="ch" refForName="centerShape" op="lte"/>
      <dgm:constr type="primFontSz" for="des" forName="connectorText" op="equ" val="55"/>
      <dgm:constr type="primFontSz" for="des" forName="connectorText" refType="primFontSz" refFor="ch" refForName="centerShape" op="lte" fact="0.8"/>
      <dgm:constr type="primFontSz" for="des" forName="connectorText" refType="primFontSz" refFor="des" refForName="node" op="lte"/>
    </dgm:constrLst>
    <dgm:choose name="Name4">
      <dgm:if name="Name5" axis="ch ch" ptType="node node" st="1 1" cnt="1 0" func="cnt" op="lte" val="6">
        <dgm:ruleLst>
          <dgm:rule type="w" for="ch" forName="node" val="NaN" fact="1" max="NaN"/>
        </dgm:ruleLst>
      </dgm:if>
      <dgm:if name="Name6" axis="ch ch" ptType="node node" st="1 1" cnt="1 0" func="cnt" op="lte" val="8">
        <dgm:ruleLst>
          <dgm:rule type="w" for="ch" forName="node" val="NaN" fact="0.9" max="NaN"/>
        </dgm:ruleLst>
      </dgm:if>
      <dgm:if name="Name7" axis="ch ch" ptType="node node" st="1 1" cnt="1 0" func="cnt" op="lte" val="10">
        <dgm:ruleLst>
          <dgm:rule type="w" for="ch" forName="node" val="NaN" fact="0.8" max="NaN"/>
        </dgm:ruleLst>
      </dgm:if>
      <dgm:if name="Name8" axis="ch ch" ptType="node node" st="1 1" cnt="1 0" func="cnt" op="lte" val="12">
        <dgm:ruleLst>
          <dgm:rule type="w" for="ch" forName="node" val="NaN" fact="0.7" max="NaN"/>
        </dgm:ruleLst>
      </dgm:if>
      <dgm:if name="Name9" axis="ch ch" ptType="node node" st="1 1" cnt="1 0" func="cnt" op="lte" val="14">
        <dgm:ruleLst>
          <dgm:rule type="w" for="ch" forName="node" val="NaN" fact="0.6" max="NaN"/>
        </dgm:ruleLst>
      </dgm:if>
      <dgm:else name="Name10">
        <dgm:ruleLst>
          <dgm:rule type="w" for="ch" forName="node" val="NaN" fact="0.5" max="NaN"/>
        </dgm:ruleLst>
      </dgm:else>
    </dgm:choose>
    <dgm:forEach name="Name11"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2" axis="ch">
        <dgm:forEach name="Name13" axis="self" ptType="parTrans">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h" refType="w" fact="0.85"/>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name="Name14"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w" val="INF" fact="NaN" max="NaN"/>
              <dgm:rule type="primFontSz" val="5" fact="NaN" max="NaN"/>
            </dgm:ruleLst>
          </dgm:layoutNode>
        </dgm:forEach>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cycle7">
  <dgm:title val=""/>
  <dgm:desc val=""/>
  <dgm:catLst>
    <dgm:cat type="cycle" pri="6000"/>
  </dgm:catLst>
  <dgm:sampData>
    <dgm:dataModel>
      <dgm:ptLst>
        <dgm:pt modelId="0" type="doc"/>
        <dgm:pt modelId="1">
          <dgm:prSet phldr="1"/>
        </dgm:pt>
        <dgm:pt modelId="2">
          <dgm:prSet phldr="1"/>
        </dgm:pt>
        <dgm:pt modelId="3">
          <dgm:prSet phldr="1"/>
        </dgm:pt>
      </dgm:ptLst>
      <dgm:cxnLst>
        <dgm:cxn modelId="6" srcId="0" destId="1" srcOrd="0" destOrd="0"/>
        <dgm:cxn modelId="7" srcId="0" destId="2" srcOrd="1" destOrd="0"/>
        <dgm:cxn modelId="8" srcId="0" destId="3" srcOrd="2"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Name0">
    <dgm:varLst>
      <dgm:dir/>
      <dgm:resizeHandles val="exact"/>
    </dgm:varLst>
    <dgm:choose name="Name1">
      <dgm:if name="Name2" func="var" arg="dir" op="equ" val="norm">
        <dgm:alg type="cycle">
          <dgm:param type="stAng" val="0"/>
          <dgm:param type="spanAng" val="360"/>
        </dgm:alg>
      </dgm:if>
      <dgm:else name="Name3">
        <dgm:alg type="cycle">
          <dgm:param type="stAng" val="0"/>
          <dgm:param type="spanAng" val="-360"/>
        </dgm:alg>
      </dgm:else>
    </dgm:choose>
    <dgm:shape xmlns:r="http://schemas.openxmlformats.org/officeDocument/2006/relationships" r:blip="">
      <dgm:adjLst/>
    </dgm:shape>
    <dgm:presOf/>
    <dgm:constrLst>
      <dgm:constr type="diam" refType="w"/>
      <dgm:constr type="w" for="ch" ptType="node" refType="w"/>
      <dgm:constr type="primFontSz" for="ch" ptType="node" op="equ" val="65"/>
      <dgm:constr type="w" for="ch" forName="sibTrans" refType="w" refFor="ch" refPtType="node" op="equ" fact="0.35"/>
      <dgm:constr type="connDist" for="ch" forName="sibTrans" op="equ"/>
      <dgm:constr type="primFontSz" for="des" forName="connectorText" op="equ" val="55"/>
      <dgm:constr type="primFontSz" for="des" forName="connectorText" refType="primFontSz" refFor="ch" refPtType="node" op="lte" fact="0.8"/>
      <dgm:constr type="sibSp" refType="w" refFor="ch" refPtType="node" op="equ" fact="0.65"/>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4">
        <dgm:if name="Name5" axis="par ch" ptType="doc node" func="cnt" op="gt" val="1">
          <dgm:forEach name="sibTransForEach" axis="followSib" ptType="sibTrans" hideLastTrans="0" cnt="1">
            <dgm:layoutNode name="sibTrans">
              <dgm:choose name="Name6">
                <dgm:if name="Name7" axis="par ch" ptType="doc node" func="posEven" op="equ" val="1">
                  <dgm:alg type="conn">
                    <dgm:param type="begPts" val="radial"/>
                    <dgm:param type="endPts" val="radial"/>
                    <dgm:param type="begSty" val="arr"/>
                    <dgm:param type="endSty" val="arr"/>
                  </dgm:alg>
                </dgm:if>
                <dgm:else name="Name8">
                  <dgm:alg type="conn">
                    <dgm:param type="begPts" val="auto"/>
                    <dgm:param type="endPts" val="auto"/>
                    <dgm:param type="begSty" val="arr"/>
                    <dgm:param type="endSty" val="arr"/>
                  </dgm:alg>
                </dgm:else>
              </dgm:choose>
              <dgm:shape xmlns:r="http://schemas.openxmlformats.org/officeDocument/2006/relationships" type="conn" r:blip="">
                <dgm:adjLst/>
              </dgm:shape>
              <dgm:presOf axis="self"/>
              <dgm:constrLst>
                <dgm:constr type="h" refType="w" fact="0.5"/>
                <dgm:constr type="connDist"/>
                <dgm:constr type="begPad" refType="connDist" fact="0.1"/>
                <dgm:constr type="endPad" refType="connDist" fact="0.1"/>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9"/>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8" ma:contentTypeDescription="Create a new document." ma:contentTypeScope="" ma:versionID="d2a679d14408e629ea28e3fd9e7692cf">
  <xsd:schema xmlns:xsd="http://www.w3.org/2001/XMLSchema" xmlns:xs="http://www.w3.org/2001/XMLSchema" xmlns:p="http://schemas.microsoft.com/office/2006/metadata/properties" xmlns:ns3="d8e79d84-78fb-44a9-92e9-d04bdd8f0359" xmlns:ns4="04c7059f-bde8-4ce9-bb0f-e52888740953" targetNamespace="http://schemas.microsoft.com/office/2006/metadata/properties" ma:root="true" ma:fieldsID="6ca988bcafbe858dc155ddaf6436b08a" ns3:_="" ns4:_="">
    <xsd:import namespace="d8e79d84-78fb-44a9-92e9-d04bdd8f0359"/>
    <xsd:import namespace="04c7059f-bde8-4ce9-bb0f-e52888740953"/>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_activity" minOccurs="0"/>
                <xsd:element ref="ns3:MediaServiceObjectDetectorVersion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e79d84-78fb-44a9-92e9-d04bdd8f03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_activity" ma:index="11" nillable="true" ma:displayName="_activity" ma:hidden="true" ma:internalName="_activity">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4c7059f-bde8-4ce9-bb0f-e52888740953"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d8e79d84-78fb-44a9-92e9-d04bdd8f0359"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30237D-92C4-4286-BDDF-1DCD536BDC8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e79d84-78fb-44a9-92e9-d04bdd8f0359"/>
    <ds:schemaRef ds:uri="04c7059f-bde8-4ce9-bb0f-e528887409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AE2602D-894D-402A-A091-A5B37574A5C6}">
  <ds:schemaRefs>
    <ds:schemaRef ds:uri="http://schemas.microsoft.com/sharepoint/v3/contenttype/forms"/>
  </ds:schemaRefs>
</ds:datastoreItem>
</file>

<file path=customXml/itemProps3.xml><?xml version="1.0" encoding="utf-8"?>
<ds:datastoreItem xmlns:ds="http://schemas.openxmlformats.org/officeDocument/2006/customXml" ds:itemID="{98206A57-5FC9-4488-A15C-AE85CD1A44C2}">
  <ds:schemaRefs>
    <ds:schemaRef ds:uri="http://schemas.microsoft.com/office/2006/metadata/properties"/>
    <ds:schemaRef ds:uri="http://schemas.microsoft.com/office/infopath/2007/PartnerControls"/>
    <ds:schemaRef ds:uri="d8e79d84-78fb-44a9-92e9-d04bdd8f0359"/>
  </ds:schemaRefs>
</ds:datastoreItem>
</file>

<file path=customXml/itemProps4.xml><?xml version="1.0" encoding="utf-8"?>
<ds:datastoreItem xmlns:ds="http://schemas.openxmlformats.org/officeDocument/2006/customXml" ds:itemID="{2F0BCE52-FAC7-42B4-BC27-DA2F32C8FF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78</Pages>
  <Words>18841</Words>
  <Characters>108150</Characters>
  <Application>Microsoft Office Word</Application>
  <DocSecurity>0</DocSecurity>
  <Lines>2163</Lines>
  <Paragraphs>693</Paragraphs>
  <ScaleCrop>false</ScaleCrop>
  <HeadingPairs>
    <vt:vector size="2" baseType="variant">
      <vt:variant>
        <vt:lpstr>Title</vt:lpstr>
      </vt:variant>
      <vt:variant>
        <vt:i4>1</vt:i4>
      </vt:variant>
    </vt:vector>
  </HeadingPairs>
  <TitlesOfParts>
    <vt:vector size="1" baseType="lpstr">
      <vt:lpstr>Analysis of Toyota’s marketing strategies and Marketing position in the UK automobile industry</vt:lpstr>
    </vt:vector>
  </TitlesOfParts>
  <Company/>
  <LinksUpToDate>false</LinksUpToDate>
  <CharactersWithSpaces>126298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Analysis of Toyota’s marketing strategies and Marketing position in the UK automobile industry</dc:title>
  <dc:creator>Ajay Thakur (2224974)</dc:creator>
  <cp:lastModifiedBy>Ajay Thakur (2224974)</cp:lastModifiedBy>
  <cp:revision>2</cp:revision>
  <dcterms:created xsi:type="dcterms:W3CDTF">2024-01-10T12:02:00Z</dcterms:created>
  <dcterms:modified xsi:type="dcterms:W3CDTF">2024-01-10T12:02:00Z</dcterms:modified>
  <cp:category>MBA General Management</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6a1eff5d-2dfc-4a76-a948-9c311c65ce76</vt:lpwstr>
  </property>
  <property fmtid="{D5CDD505-2E9C-101B-9397-08002B2CF9AE}" pid="3" name="ICV">
    <vt:lpwstr>2b24cb9441554154a7dd558c44f741aa</vt:lpwstr>
  </property>
  <property fmtid="{D5CDD505-2E9C-101B-9397-08002B2CF9AE}" pid="4" name="ContentTypeId">
    <vt:lpwstr>0x010100A20804DBFC42F64693D899720BA9B0FE</vt:lpwstr>
  </property>
</Properties>
</file>