
<file path=[Content_Types].xml><?xml version="1.0" encoding="utf-8"?>
<Types xmlns="http://schemas.openxmlformats.org/package/2006/content-types">
  <Default Extension="jpeg" ContentType="image/jpeg"/>
  <Default Extension="JPG" ContentType="image/.jpg"/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glossary/document.xml" ContentType="application/vnd.openxmlformats-officedocument.wordprocessingml.document.glossary+xml"/>
  <Override PartName="/word/glossary/endnotes.xml" ContentType="application/vnd.openxmlformats-officedocument.wordprocessingml.endnotes+xml"/>
  <Override PartName="/word/glossary/fontTable.xml" ContentType="application/vnd.openxmlformats-officedocument.wordprocessingml.fontTable+xml"/>
  <Override PartName="/word/glossary/footnotes.xml" ContentType="application/vnd.openxmlformats-officedocument.wordprocessingml.footnotes+xml"/>
  <Override PartName="/word/glossary/settings.xml" ContentType="application/vnd.openxmlformats-officedocument.wordprocessingml.settings+xml"/>
  <Override PartName="/word/glossary/styles.xml" ContentType="application/vnd.openxmlformats-officedocument.wordprocessingml.styl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widowControl w:val="0"/>
        <w:spacing w:after="0" w:line="240" w:lineRule="auto"/>
        <w:jc w:val="center"/>
        <w:rPr>
          <w:rFonts w:ascii="Arial" w:hAnsi="Arial" w:cs="Arial" w:eastAsiaTheme="minorEastAsia"/>
          <w:kern w:val="2"/>
          <w:sz w:val="32"/>
          <w:szCs w:val="32"/>
          <w:lang w:val="en-US" w:eastAsia="zh-CN"/>
          <w14:ligatures w14:val="none"/>
        </w:rPr>
      </w:pPr>
      <w:r>
        <w:rPr>
          <w:rFonts w:ascii="Arial" w:hAnsi="Arial" w:cs="Arial" w:eastAsiaTheme="minorEastAsia"/>
          <w:b/>
          <w:bCs/>
          <w:kern w:val="2"/>
          <w:sz w:val="56"/>
          <w:szCs w:val="72"/>
          <w:lang w:val="en-US" w:eastAsia="zh-CN"/>
          <w14:ligatures w14:val="none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220980</wp:posOffset>
            </wp:positionH>
            <wp:positionV relativeFrom="paragraph">
              <wp:posOffset>-51435</wp:posOffset>
            </wp:positionV>
            <wp:extent cx="4572000" cy="2286000"/>
            <wp:effectExtent l="0" t="0" r="0" b="0"/>
            <wp:wrapTopAndBottom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widowControl w:val="0"/>
        <w:spacing w:after="0" w:line="240" w:lineRule="auto"/>
        <w:jc w:val="center"/>
      </w:pPr>
    </w:p>
    <w:p>
      <w:pPr>
        <w:widowControl w:val="0"/>
        <w:spacing w:after="0" w:line="240" w:lineRule="auto"/>
        <w:jc w:val="center"/>
        <w:rPr>
          <w:rFonts w:hint="eastAsia" w:ascii="Arial" w:hAnsi="Arial" w:cs="Arial" w:eastAsiaTheme="minorEastAsia"/>
          <w:b/>
          <w:bCs/>
          <w:kern w:val="2"/>
          <w:sz w:val="56"/>
          <w:szCs w:val="72"/>
          <w:lang w:val="en-US" w:eastAsia="zh-CN"/>
          <w14:ligatures w14:val="none"/>
        </w:rPr>
      </w:pPr>
      <w:r>
        <w:drawing>
          <wp:inline distT="0" distB="0" distL="114300" distR="114300">
            <wp:extent cx="574040" cy="575945"/>
            <wp:effectExtent l="0" t="0" r="5080" b="3175"/>
            <wp:docPr id="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1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4040" cy="575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hint="eastAsia" w:ascii="Arial" w:hAnsi="Arial" w:cs="Arial" w:eastAsiaTheme="minorEastAsia"/>
          <w:b/>
          <w:bCs/>
          <w:kern w:val="2"/>
          <w:sz w:val="52"/>
          <w:szCs w:val="52"/>
          <w:lang w:val="en-US" w:eastAsia="zh-CN"/>
          <w14:ligatures w14:val="none"/>
        </w:rPr>
        <w:t>DJI Lingmu Technology Co., Ltd</w:t>
      </w:r>
    </w:p>
    <w:p>
      <w:pPr>
        <w:widowControl w:val="0"/>
        <w:spacing w:after="0" w:line="240" w:lineRule="auto"/>
        <w:jc w:val="center"/>
        <w:rPr>
          <w:rFonts w:hint="eastAsia" w:ascii="Arial" w:hAnsi="Arial" w:cs="Arial" w:eastAsiaTheme="minorEastAsia"/>
          <w:b/>
          <w:bCs/>
          <w:kern w:val="2"/>
          <w:sz w:val="56"/>
          <w:szCs w:val="72"/>
          <w:lang w:val="en-US" w:eastAsia="zh-CN"/>
          <w14:ligatures w14:val="none"/>
        </w:rPr>
      </w:pPr>
    </w:p>
    <w:p>
      <w:pPr>
        <w:widowControl w:val="0"/>
        <w:spacing w:after="0" w:line="240" w:lineRule="auto"/>
        <w:jc w:val="center"/>
        <w:rPr>
          <w:rFonts w:ascii="Arial" w:hAnsi="Arial" w:cs="Arial" w:eastAsiaTheme="minorEastAsia"/>
          <w:b w:val="0"/>
          <w:bCs w:val="0"/>
          <w:kern w:val="2"/>
          <w:sz w:val="36"/>
          <w:szCs w:val="40"/>
          <w:lang w:val="en-US" w:eastAsia="zh-CN"/>
          <w14:ligatures w14:val="none"/>
        </w:rPr>
      </w:pPr>
      <w:r>
        <w:rPr>
          <w:rFonts w:ascii="Arial" w:hAnsi="Arial" w:cs="Arial" w:eastAsiaTheme="minorEastAsia"/>
          <w:b w:val="0"/>
          <w:bCs w:val="0"/>
          <w:kern w:val="2"/>
          <w:sz w:val="32"/>
          <w:szCs w:val="36"/>
          <w:lang w:val="en-US" w:eastAsia="zh-CN"/>
          <w14:ligatures w14:val="none"/>
        </w:rPr>
        <w:t>Recruitment, Selection, and Onboarding in DJI</w:t>
      </w:r>
    </w:p>
    <w:p>
      <w:pPr>
        <w:widowControl w:val="0"/>
        <w:spacing w:after="0" w:line="240" w:lineRule="auto"/>
        <w:jc w:val="both"/>
        <w:rPr>
          <w:rFonts w:ascii="Arial" w:hAnsi="Arial" w:cs="Arial" w:eastAsiaTheme="minorEastAsia"/>
          <w:b/>
          <w:bCs/>
          <w:kern w:val="2"/>
          <w:sz w:val="48"/>
          <w:szCs w:val="52"/>
          <w:lang w:val="en-US" w:eastAsia="zh-CN"/>
          <w14:ligatures w14:val="none"/>
        </w:rPr>
      </w:pPr>
    </w:p>
    <w:p>
      <w:pPr>
        <w:widowControl w:val="0"/>
        <w:spacing w:after="0" w:line="240" w:lineRule="auto"/>
        <w:jc w:val="center"/>
        <w:rPr>
          <w:rFonts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</w:pPr>
      <w:r>
        <w:rPr>
          <w:rFonts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  <w:t>HUMAN RESOURCE MANAGEMENT</w:t>
      </w:r>
    </w:p>
    <w:p>
      <w:pPr>
        <w:widowControl w:val="0"/>
        <w:spacing w:after="0" w:line="240" w:lineRule="auto"/>
        <w:jc w:val="center"/>
        <w:rPr>
          <w:rFonts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</w:pPr>
      <w:r>
        <w:rPr>
          <w:rFonts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  <w:t>BMMB7007</w:t>
      </w:r>
    </w:p>
    <w:p>
      <w:pPr>
        <w:widowControl w:val="0"/>
        <w:spacing w:after="0" w:line="240" w:lineRule="auto"/>
        <w:jc w:val="center"/>
        <w:rPr>
          <w:rFonts w:hint="default"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</w:pPr>
      <w:r>
        <w:rPr>
          <w:rFonts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  <w:t>Student Name</w:t>
      </w:r>
      <w:r>
        <w:rPr>
          <w:rFonts w:hint="eastAsia"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  <w:t>：Wenxuan Liao</w:t>
      </w:r>
    </w:p>
    <w:p>
      <w:pPr>
        <w:jc w:val="center"/>
        <w:rPr>
          <w:rFonts w:hint="eastAsia"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</w:pPr>
      <w:r>
        <w:rPr>
          <w:rFonts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  <w:t xml:space="preserve">Student </w:t>
      </w:r>
      <w:r>
        <w:rPr>
          <w:rFonts w:hint="eastAsia"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  <w:t>ID ：2224763</w:t>
      </w:r>
    </w:p>
    <w:p>
      <w:pPr>
        <w:jc w:val="center"/>
        <w:rPr>
          <w:rFonts w:hint="eastAsia"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</w:pPr>
    </w:p>
    <w:p>
      <w:pPr>
        <w:jc w:val="center"/>
        <w:rPr>
          <w:rFonts w:hint="eastAsia"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</w:pPr>
    </w:p>
    <w:p>
      <w:pPr>
        <w:jc w:val="center"/>
        <w:rPr>
          <w:rFonts w:ascii="宋体" w:hAnsi="宋体" w:eastAsia="宋体" w:cs="宋体"/>
          <w:sz w:val="24"/>
          <w:szCs w:val="24"/>
        </w:rPr>
      </w:pPr>
      <w:r>
        <w:rPr>
          <w:rFonts w:hint="eastAsia" w:ascii="Arial" w:hAnsi="Arial" w:cs="Arial" w:eastAsiaTheme="minorEastAsia"/>
          <w:kern w:val="2"/>
          <w:sz w:val="24"/>
          <w:szCs w:val="24"/>
          <w:lang w:val="en-US" w:eastAsia="zh-CN"/>
          <w14:ligatures w14:val="none"/>
        </w:rPr>
        <w:t>Presentation link：</w:t>
      </w:r>
    </w:p>
    <w:p>
      <w:pPr>
        <w:jc w:val="center"/>
        <w:rPr>
          <w:rFonts w:hint="default" w:ascii="宋体" w:hAnsi="宋体" w:eastAsia="宋体" w:cs="宋体"/>
          <w:sz w:val="24"/>
          <w:szCs w:val="24"/>
          <w:lang w:val="en-US" w:eastAsia="zh-CN"/>
        </w:rPr>
      </w:pPr>
      <w:r>
        <w:rPr>
          <w:rFonts w:hint="default" w:ascii="宋体" w:hAnsi="宋体" w:eastAsia="宋体" w:cs="宋体"/>
          <w:sz w:val="24"/>
          <w:szCs w:val="24"/>
          <w:lang w:val="en-US" w:eastAsia="zh-CN"/>
        </w:rPr>
        <w:fldChar w:fldCharType="begin"/>
      </w:r>
      <w:r>
        <w:rPr>
          <w:rFonts w:hint="default" w:ascii="宋体" w:hAnsi="宋体" w:eastAsia="宋体" w:cs="宋体"/>
          <w:sz w:val="24"/>
          <w:szCs w:val="24"/>
          <w:lang w:val="en-US" w:eastAsia="zh-CN"/>
        </w:rPr>
        <w:instrText xml:space="preserve"> HYPERLINK "https://uowtsd-my.sharepoint.com/:v:/r/personal/2224763_student_uwtsd_ac_uk/Documents/HRM.mp4?csf=1&amp;web=1&amp;e=tIlZx7" </w:instrText>
      </w:r>
      <w:r>
        <w:rPr>
          <w:rFonts w:hint="default" w:ascii="宋体" w:hAnsi="宋体" w:eastAsia="宋体" w:cs="宋体"/>
          <w:sz w:val="24"/>
          <w:szCs w:val="24"/>
          <w:lang w:val="en-US" w:eastAsia="zh-CN"/>
        </w:rPr>
        <w:fldChar w:fldCharType="separate"/>
      </w:r>
      <w:r>
        <w:rPr>
          <w:rStyle w:val="5"/>
          <w:rFonts w:hint="default" w:ascii="宋体" w:hAnsi="宋体" w:eastAsia="宋体" w:cs="宋体"/>
          <w:sz w:val="24"/>
          <w:szCs w:val="24"/>
          <w:lang w:val="en-US" w:eastAsia="zh-CN"/>
        </w:rPr>
        <w:t>https://uowtsd-my.sharepoint.com/:v:/r/personal/2224763_student_uwtsd_ac_uk/Documents/HRM.mp4?csf=1&amp;web=1&amp;e=tIlZx7</w:t>
      </w:r>
      <w:r>
        <w:rPr>
          <w:rFonts w:hint="default" w:ascii="宋体" w:hAnsi="宋体" w:eastAsia="宋体" w:cs="宋体"/>
          <w:sz w:val="24"/>
          <w:szCs w:val="24"/>
          <w:lang w:val="en-US" w:eastAsia="zh-CN"/>
        </w:rPr>
        <w:fldChar w:fldCharType="end"/>
      </w:r>
    </w:p>
    <w:p>
      <w:pPr>
        <w:jc w:val="center"/>
        <w:rPr>
          <w:rFonts w:hint="default" w:ascii="宋体" w:hAnsi="宋体" w:eastAsia="宋体" w:cs="宋体"/>
          <w:sz w:val="24"/>
          <w:szCs w:val="24"/>
          <w:lang w:val="en-US" w:eastAsia="zh-CN"/>
        </w:rPr>
      </w:pPr>
    </w:p>
    <w:p>
      <w:pPr>
        <w:pStyle w:val="2"/>
      </w:pPr>
      <w:r>
        <w:t>References</w:t>
      </w:r>
    </w:p>
    <w:sdt>
      <w:sdtPr>
        <w:tag w:val="MENDELEY_BIBLIOGRAPHY"/>
        <w:id w:val="147716239"/>
        <w:placeholder>
          <w:docPart w:val="{ea904f04-6219-42b0-b160-a06b87a17b98}"/>
        </w:placeholder>
      </w:sdtPr>
      <w:sdtContent>
        <w:p>
          <w:pPr>
            <w:rPr>
              <w:rFonts w:eastAsia="Times New Roman"/>
              <w:szCs w:val="24"/>
              <w14:ligatures w14:val="none"/>
            </w:rPr>
          </w:pPr>
          <w:r>
            <w:rPr>
              <w:rFonts w:eastAsia="Times New Roman"/>
            </w:rPr>
            <w:t xml:space="preserve">Boxall, P. (2018) ‘The development of strategic HRM: reflections on a 30-year journey’, </w:t>
          </w:r>
          <w:r>
            <w:rPr>
              <w:rFonts w:eastAsia="Times New Roman"/>
              <w:i/>
              <w:iCs/>
            </w:rPr>
            <w:t>Labour &amp; Industry: a journal of the social and economic relations of work</w:t>
          </w:r>
          <w:r>
            <w:rPr>
              <w:rFonts w:eastAsia="Times New Roman"/>
            </w:rPr>
            <w:t>, 28(1), pp. 21–30.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>Brunetto, Y. and Beattie,</w:t>
          </w:r>
          <w:bookmarkStart w:id="0" w:name="_GoBack"/>
          <w:bookmarkEnd w:id="0"/>
          <w:r>
            <w:rPr>
              <w:rFonts w:eastAsia="Times New Roman"/>
            </w:rPr>
            <w:t xml:space="preserve"> R. (2020) ‘Changing role of HRM in the public sector’, </w:t>
          </w:r>
          <w:r>
            <w:rPr>
              <w:rFonts w:eastAsia="Times New Roman"/>
              <w:i/>
              <w:iCs/>
            </w:rPr>
            <w:t>Public Management Review</w:t>
          </w:r>
          <w:r>
            <w:rPr>
              <w:rFonts w:eastAsia="Times New Roman"/>
            </w:rPr>
            <w:t>. Taylor &amp; Francis, pp. 1–5.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Cook, M. (2016) </w:t>
          </w:r>
          <w:r>
            <w:rPr>
              <w:rFonts w:eastAsia="Times New Roman"/>
              <w:i/>
              <w:iCs/>
            </w:rPr>
            <w:t>Personnel selection: Adding value through people-A changing picture</w:t>
          </w:r>
          <w:r>
            <w:rPr>
              <w:rFonts w:eastAsia="Times New Roman"/>
            </w:rPr>
            <w:t>. John Wiley &amp; Sons.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DJI (2023) </w:t>
          </w:r>
          <w:r>
            <w:rPr>
              <w:rFonts w:eastAsia="Times New Roman"/>
              <w:i/>
              <w:iCs/>
            </w:rPr>
            <w:t>About Us - DJI</w:t>
          </w:r>
          <w:r>
            <w:rPr>
              <w:rFonts w:eastAsia="Times New Roman"/>
            </w:rPr>
            <w:t>. Available at: https://www.dji.com/company (Accessed: 17 June 2023).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Kinnie, N. and Swart, J. (2020) ‘Cross‐boundary working: Implications for HRM theory, methods, and practice’, </w:t>
          </w:r>
          <w:r>
            <w:rPr>
              <w:rFonts w:eastAsia="Times New Roman"/>
              <w:i/>
              <w:iCs/>
            </w:rPr>
            <w:t>Human Resource Management Journal</w:t>
          </w:r>
          <w:r>
            <w:rPr>
              <w:rFonts w:eastAsia="Times New Roman"/>
            </w:rPr>
            <w:t>, 30(1), pp. 86–99.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Koster, F. (2019) ‘Innovative HRM. A review of the literature’, </w:t>
          </w:r>
          <w:r>
            <w:rPr>
              <w:rFonts w:eastAsia="Times New Roman"/>
              <w:i/>
              <w:iCs/>
            </w:rPr>
            <w:t>Journal of technology management &amp; innovation</w:t>
          </w:r>
          <w:r>
            <w:rPr>
              <w:rFonts w:eastAsia="Times New Roman"/>
            </w:rPr>
            <w:t>, 14(2), pp. 97–106.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Liboni, L.B. </w:t>
          </w:r>
          <w:r>
            <w:rPr>
              <w:rFonts w:eastAsia="Times New Roman"/>
              <w:i/>
              <w:iCs/>
            </w:rPr>
            <w:t>et al.</w:t>
          </w:r>
          <w:r>
            <w:rPr>
              <w:rFonts w:eastAsia="Times New Roman"/>
            </w:rPr>
            <w:t xml:space="preserve"> (2019) ‘Smart industry and the pathways to HRM 4.0: implications for SCM’, </w:t>
          </w:r>
          <w:r>
            <w:rPr>
              <w:rFonts w:eastAsia="Times New Roman"/>
              <w:i/>
              <w:iCs/>
            </w:rPr>
            <w:t>Supply Chain Management: An International Journal</w:t>
          </w:r>
          <w:r>
            <w:rPr>
              <w:rFonts w:eastAsia="Times New Roman"/>
            </w:rPr>
            <w:t xml:space="preserve"> [Preprint].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Mazurchenko, A. and Maršíková, K. (2019) ‘Digitally-powered human resource management: Skills and roles in the digital era’, </w:t>
          </w:r>
          <w:r>
            <w:rPr>
              <w:rFonts w:eastAsia="Times New Roman"/>
              <w:i/>
              <w:iCs/>
            </w:rPr>
            <w:t>Acta Informatica Pragensia</w:t>
          </w:r>
          <w:r>
            <w:rPr>
              <w:rFonts w:eastAsia="Times New Roman"/>
            </w:rPr>
            <w:t>, 8(2), pp. 72–87.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Ogbonnaya, C. and Messersmith, J. (2019) ‘Employee performance, well‐being, and differential effects of human resource management subdimensions: Mutual gains or conflicting outcomes?’, </w:t>
          </w:r>
          <w:r>
            <w:rPr>
              <w:rFonts w:eastAsia="Times New Roman"/>
              <w:i/>
              <w:iCs/>
            </w:rPr>
            <w:t>Human Resource Management Journal</w:t>
          </w:r>
          <w:r>
            <w:rPr>
              <w:rFonts w:eastAsia="Times New Roman"/>
            </w:rPr>
            <w:t>, 29(3), pp. 509–526.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Okay‐Somerville, B. and Scholarios, D. (2019) ‘A multilevel examination of skills‐oriented human resource management and perceived skill utilization during recession: Implications for the well‐being of all workers’, </w:t>
          </w:r>
          <w:r>
            <w:rPr>
              <w:rFonts w:eastAsia="Times New Roman"/>
              <w:i/>
              <w:iCs/>
            </w:rPr>
            <w:t>Human Resource Management</w:t>
          </w:r>
          <w:r>
            <w:rPr>
              <w:rFonts w:eastAsia="Times New Roman"/>
            </w:rPr>
            <w:t>, 58(2), pp. 139–154.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Paauwe, J. and Boon, C. (2018) ‘Strategic HRM: A critical review’, </w:t>
          </w:r>
          <w:r>
            <w:rPr>
              <w:rFonts w:eastAsia="Times New Roman"/>
              <w:i/>
              <w:iCs/>
            </w:rPr>
            <w:t>Human resource management</w:t>
          </w:r>
          <w:r>
            <w:rPr>
              <w:rFonts w:eastAsia="Times New Roman"/>
            </w:rPr>
            <w:t>, pp. 49–73.</w:t>
          </w:r>
        </w:p>
        <w:p>
          <w:pPr>
            <w:rPr>
              <w:rFonts w:eastAsia="Times New Roman"/>
            </w:rPr>
          </w:pPr>
          <w:r>
            <w:rPr>
              <w:rFonts w:eastAsia="Times New Roman"/>
            </w:rPr>
            <w:t xml:space="preserve">Park, O., Bae, J. and Hong, W. (2019) ‘High-commitment HRM system, HR capability, and ambidextrous technological innovation’, </w:t>
          </w:r>
          <w:r>
            <w:rPr>
              <w:rFonts w:eastAsia="Times New Roman"/>
              <w:i/>
              <w:iCs/>
            </w:rPr>
            <w:t>The International Journal of Human Resource Management</w:t>
          </w:r>
          <w:r>
            <w:rPr>
              <w:rFonts w:eastAsia="Times New Roman"/>
            </w:rPr>
            <w:t>, 30(9), pp. 1526–1548.</w:t>
          </w:r>
        </w:p>
        <w:p>
          <w:r>
            <w:rPr>
              <w:rFonts w:eastAsia="Times New Roman"/>
            </w:rPr>
            <w:t> </w:t>
          </w:r>
        </w:p>
      </w:sdtContent>
    </w:sdt>
    <w:p>
      <w:pPr>
        <w:jc w:val="both"/>
        <w:rPr>
          <w:rFonts w:hint="default" w:ascii="Times New Roman" w:hAnsi="Times New Roman" w:cs="Times New Roman" w:eastAsiaTheme="minorEastAsia"/>
          <w:kern w:val="2"/>
          <w:sz w:val="24"/>
          <w:szCs w:val="24"/>
          <w:lang w:val="en-US" w:eastAsia="zh-CN"/>
          <w14:ligatures w14:val="none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汉仪君黑-45简">
    <w:panose1 w:val="020B0604020202020204"/>
    <w:charset w:val="86"/>
    <w:family w:val="auto"/>
    <w:pitch w:val="default"/>
    <w:sig w:usb0="A00002BF" w:usb1="0ACF7CFA" w:usb2="00000016" w:usb3="00000000" w:csb0="2004000F" w:csb1="00000000"/>
  </w:font>
  <w:font w:name="兰米正黑体">
    <w:panose1 w:val="02000503000000000000"/>
    <w:charset w:val="86"/>
    <w:family w:val="auto"/>
    <w:pitch w:val="default"/>
    <w:sig w:usb0="8000002F" w:usb1="084164F8" w:usb2="00000012" w:usb3="00000000" w:csb0="00040001" w:csb1="00000000"/>
  </w:font>
  <w:font w:name="新宋体">
    <w:panose1 w:val="02010609030101010101"/>
    <w:charset w:val="86"/>
    <w:family w:val="auto"/>
    <w:pitch w:val="default"/>
    <w:sig w:usb0="00000203" w:usb1="288F0000" w:usb2="00000006" w:usb3="00000000" w:csb0="00040001" w:csb1="00000000"/>
  </w:font>
  <w:font w:name="Consolas">
    <w:panose1 w:val="020B0609020204030204"/>
    <w:charset w:val="00"/>
    <w:family w:val="auto"/>
    <w:pitch w:val="default"/>
    <w:sig w:usb0="E00006FF" w:usb1="0000FCFF" w:usb2="00000001" w:usb3="00000000" w:csb0="6000019F" w:csb1="DFD70000"/>
  </w:font>
  <w:font w:name="Comic Sans MS">
    <w:panose1 w:val="030F0702030302020204"/>
    <w:charset w:val="00"/>
    <w:family w:val="auto"/>
    <w:pitch w:val="default"/>
    <w:sig w:usb0="00000287" w:usb1="00000013" w:usb2="00000000" w:usb3="00000000" w:csb0="2000009F" w:csb1="00000000"/>
  </w:font>
  <w:font w:name="Century Gothic">
    <w:panose1 w:val="020B0502020202020204"/>
    <w:charset w:val="00"/>
    <w:family w:val="auto"/>
    <w:pitch w:val="default"/>
    <w:sig w:usb0="00000287" w:usb1="00000000" w:usb2="00000000" w:usb3="00000000" w:csb0="2000009F" w:csb1="DFD70000"/>
  </w:font>
  <w:font w:name="Gadugi">
    <w:panose1 w:val="020B0502040204020203"/>
    <w:charset w:val="00"/>
    <w:family w:val="auto"/>
    <w:pitch w:val="default"/>
    <w:sig w:usb0="80000003" w:usb1="02000000" w:usb2="00003000" w:usb3="00000000" w:csb0="00000001" w:csb1="00000000"/>
  </w:font>
  <w:font w:name="Leelawadee UI Semilight">
    <w:panose1 w:val="020B0402040204020203"/>
    <w:charset w:val="00"/>
    <w:family w:val="auto"/>
    <w:pitch w:val="default"/>
    <w:sig w:usb0="83000003" w:usb1="00000000" w:usb2="00010000" w:usb3="00000001" w:csb0="00010101" w:csb1="00000000"/>
  </w:font>
  <w:font w:name="Microsoft New Tai Lue">
    <w:panose1 w:val="020B0502040204020203"/>
    <w:charset w:val="00"/>
    <w:family w:val="auto"/>
    <w:pitch w:val="default"/>
    <w:sig w:usb0="00000003" w:usb1="00000000" w:usb2="8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360" w:lineRule="auto"/>
      </w:pPr>
      <w:r>
        <w:separator/>
      </w:r>
    </w:p>
  </w:footnote>
  <w:footnote w:type="continuationSeparator" w:id="1">
    <w:p>
      <w:pPr>
        <w:spacing w:before="0" w:after="0" w:line="36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NDdiOTE4YzUxMjY0YjUwOGIyZTQwZTQ5NGNkNzBmN2MifQ=="/>
  </w:docVars>
  <w:rsids>
    <w:rsidRoot w:val="48C22B75"/>
    <w:rsid w:val="48C22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/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360" w:lineRule="auto"/>
    </w:pPr>
    <w:rPr>
      <w:rFonts w:ascii="Times New Roman" w:hAnsi="Times New Roman" w:eastAsiaTheme="minorHAnsi" w:cstheme="minorBidi"/>
      <w:sz w:val="24"/>
      <w:szCs w:val="22"/>
      <w:lang w:val="en-GB" w:eastAsia="en-US" w:bidi="ar-SA"/>
      <w14:ligatures w14:val="standardContextual"/>
    </w:rPr>
  </w:style>
  <w:style w:type="paragraph" w:styleId="2">
    <w:name w:val="heading 1"/>
    <w:basedOn w:val="1"/>
    <w:next w:val="1"/>
    <w:qFormat/>
    <w:uiPriority w:val="9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8"/>
      <w:szCs w:val="32"/>
      <w14:textFill>
        <w14:solidFill>
          <w14:schemeClr w14:val="tx1"/>
        </w14:solidFill>
      </w14:textFill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5">
    <w:name w:val="Hyperlink"/>
    <w:basedOn w:val="4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glossaryDocument" Target="glossary/document.xml"/><Relationship Id="rId8" Type="http://schemas.openxmlformats.org/officeDocument/2006/relationships/fontTable" Target="fontTable.xml"/><Relationship Id="rId7" Type="http://schemas.openxmlformats.org/officeDocument/2006/relationships/image" Target="media/image2.png"/><Relationship Id="rId6" Type="http://schemas.openxmlformats.org/officeDocument/2006/relationships/image" Target="media/image1.jpe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glossary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docParts>
    <w:docPart>
      <w:docPartPr>
        <w:name w:val="{ea904f04-6219-42b0-b160-a06b87a17b98}"/>
        <w:style w:val="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description w:val=""/>
        <w:guid w:val="{ea904f04-6219-42b0-b160-a06b87a17b98}"/>
      </w:docPartPr>
      <w:docPartBody>
        <w:p>
          <w:r>
            <w:rPr>
              <w:rStyle w:val="3"/>
            </w:rPr>
            <w:t>Click or tap here to enter text.</w:t>
          </w:r>
        </w:p>
      </w:docPartBody>
    </w:docPart>
  </w:docParts>
</w:glossaryDocument>
</file>

<file path=word/glossary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glossary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footnotePr>
    <w:footnote w:id="0"/>
    <w:footnote w:id="1"/>
  </w:footnotePr>
  <w:endnotePr>
    <w:endnote w:id="0"/>
    <w:endnote w:id="1"/>
  </w:endnotePr>
  <w:compat>
    <w:useFELayout/>
    <w:splitPgBreakAndParaMark/>
    <w:compatSetting w:name="compatibilityMode" w:uri="http://schemas.microsoft.com/office/word" w:val="14"/>
  </w:compat>
  <w:rsids>
    <w:rsidRoot w:val="00000000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glossary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uiPriority="1" w:name="Default Paragraph Font"/>
    <w:lsdException w:qFormat="1" w:unhideWhenUsed="0" w:uiPriority="99" w:name="Placeholder Text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kern w:val="2"/>
      <w:sz w:val="22"/>
      <w:szCs w:val="22"/>
      <w:lang w:val="en-GB" w:eastAsia="en-GB" w:bidi="ar-SA"/>
      <w14:ligatures w14:val="standardContextual"/>
    </w:rPr>
  </w:style>
  <w:style w:type="character" w:default="1" w:styleId="2">
    <w:name w:val="Default Paragraph Font"/>
    <w:semiHidden/>
    <w:unhideWhenUsed/>
    <w:uiPriority w:val="1"/>
  </w:style>
  <w:style w:type="character" w:styleId="3">
    <w:name w:val="Placeholder Text"/>
    <w:basedOn w:val="2"/>
    <w:semiHidden/>
    <w:qFormat/>
    <w:uiPriority w:val="99"/>
    <w:rPr>
      <w:color w:val="808080"/>
    </w:rPr>
  </w:style>
</w:style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94</TotalTime>
  <ScaleCrop>false</ScaleCrop>
  <LinksUpToDate>false</LinksUpToDate>
  <CharactersWithSpaces>0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2023-07-20T15:19:00Z</dcterms:created>
  <dc:creator>Vince Liao</dc:creator>
  <cp:lastModifiedBy>Vince Liao</cp:lastModifiedBy>
  <dcterms:modified xsi:type="dcterms:W3CDTF">2023-07-20T23:26:28Z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4B3CE414CCEF43039ADF3EF546C2E7E9_11</vt:lpwstr>
  </property>
</Properties>
</file>