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4A874" w14:textId="77777777" w:rsidR="000600BE" w:rsidRDefault="00807B2E">
      <w:pPr>
        <w:pStyle w:val="Header"/>
        <w:rPr>
          <w:b/>
          <w:bCs/>
        </w:rPr>
      </w:pPr>
      <w:r>
        <w:rPr>
          <w:b/>
          <w:bCs/>
        </w:rPr>
        <w:t>Sara Mason (2318063)</w:t>
      </w:r>
    </w:p>
    <w:p w14:paraId="2774A875" w14:textId="77777777" w:rsidR="000600BE" w:rsidRDefault="00807B2E">
      <w:pPr>
        <w:pStyle w:val="Header"/>
        <w:rPr>
          <w:color w:val="000000"/>
        </w:rPr>
      </w:pPr>
      <w:r>
        <w:rPr>
          <w:color w:val="000000"/>
        </w:rPr>
        <w:t>Programme: Professional Certificate in Education (PCET) (In-Service)</w:t>
      </w:r>
    </w:p>
    <w:p w14:paraId="2774A876" w14:textId="77777777" w:rsidR="000600BE" w:rsidRDefault="00807B2E">
      <w:pPr>
        <w:pStyle w:val="Header"/>
        <w:rPr>
          <w:color w:val="000000"/>
        </w:rPr>
      </w:pPr>
      <w:r>
        <w:rPr>
          <w:color w:val="000000"/>
        </w:rPr>
        <w:t>Module: Subject Specialism: Developing Professional Practice</w:t>
      </w:r>
    </w:p>
    <w:p w14:paraId="2774A877" w14:textId="77777777" w:rsidR="000600BE" w:rsidRDefault="00807B2E">
      <w:pPr>
        <w:pStyle w:val="Header"/>
        <w:rPr>
          <w:color w:val="000000"/>
        </w:rPr>
      </w:pPr>
      <w:r>
        <w:rPr>
          <w:color w:val="000000"/>
        </w:rPr>
        <w:t>Module Code: ECPT5006</w:t>
      </w:r>
    </w:p>
    <w:p w14:paraId="2774A878" w14:textId="77777777" w:rsidR="000600BE" w:rsidRDefault="000600BE">
      <w:pPr>
        <w:pStyle w:val="Header"/>
        <w:rPr>
          <w:color w:val="000000"/>
        </w:rPr>
      </w:pPr>
    </w:p>
    <w:p w14:paraId="2774A879" w14:textId="77777777" w:rsidR="000600BE" w:rsidRDefault="00807B2E">
      <w:pPr>
        <w:pStyle w:val="Header"/>
        <w:rPr>
          <w:b/>
          <w:bCs/>
          <w:color w:val="000000"/>
          <w:sz w:val="28"/>
          <w:szCs w:val="28"/>
        </w:rPr>
      </w:pPr>
      <w:r>
        <w:rPr>
          <w:b/>
          <w:bCs/>
          <w:color w:val="000000"/>
          <w:sz w:val="28"/>
          <w:szCs w:val="28"/>
        </w:rPr>
        <w:t xml:space="preserve">PORTFOLIO: Reflective Evaluation </w:t>
      </w:r>
    </w:p>
    <w:p w14:paraId="2774A87A" w14:textId="77777777" w:rsidR="000600BE" w:rsidRDefault="000600BE">
      <w:pPr>
        <w:pStyle w:val="Header"/>
        <w:rPr>
          <w:b/>
          <w:bCs/>
          <w:color w:val="000000"/>
          <w:sz w:val="28"/>
          <w:szCs w:val="28"/>
        </w:rPr>
      </w:pPr>
    </w:p>
    <w:p w14:paraId="2774A87B" w14:textId="77777777" w:rsidR="000600BE" w:rsidRDefault="00807B2E">
      <w:pPr>
        <w:jc w:val="both"/>
      </w:pPr>
      <w:r>
        <w:rPr>
          <w:rFonts w:cs="Calibri"/>
          <w:color w:val="000000"/>
        </w:rPr>
        <w:t xml:space="preserve">For a long time, I have </w:t>
      </w:r>
      <w:r>
        <w:rPr>
          <w:rFonts w:cs="Calibri"/>
          <w:color w:val="000000"/>
        </w:rPr>
        <w:t xml:space="preserve">wanted to be a teacher. I looked into various programmes before joining Gwent Police in 2012, but at the time I became more drawn to serving the community and applied to be a </w:t>
      </w:r>
      <w:r>
        <w:rPr>
          <w:rFonts w:cs="Calibri"/>
          <w:i/>
          <w:iCs/>
          <w:color w:val="000000"/>
        </w:rPr>
        <w:t xml:space="preserve">Police </w:t>
      </w:r>
      <w:r>
        <w:rPr>
          <w:rFonts w:cs="Calibri"/>
          <w:color w:val="000000"/>
        </w:rPr>
        <w:t>Community Support Officer (CSO). Over the following years I took every opportunity to develop projects and presentations surrounding local crime trends and deliver in schools and community groups, and when the opportunity to become a trainer presented in 2021, I embraced it and started working my way up through lower-level quali</w:t>
      </w:r>
      <w:r>
        <w:rPr>
          <w:rFonts w:cs="Calibri"/>
          <w:color w:val="000000"/>
        </w:rPr>
        <w:t xml:space="preserve">fications to get on the PCET Programme. </w:t>
      </w:r>
    </w:p>
    <w:p w14:paraId="2774A87C" w14:textId="77777777" w:rsidR="000600BE" w:rsidRDefault="00807B2E">
      <w:pPr>
        <w:jc w:val="both"/>
      </w:pPr>
      <w:r>
        <w:rPr>
          <w:rFonts w:cs="Calibri"/>
          <w:color w:val="000000"/>
        </w:rPr>
        <w:t xml:space="preserve">The roles I have performed, and the teacher training I have completed has given me a good insight into the diverse ways of learning, the individual students, and experience of what works and what does not. I have learned how to reflect on my process and ask for feedback and help when I need it. Training and technology changes so often that you need to be aware of any developments and reflect on what will and will not work for your students and their individual needs. This is why I agree with this quote. </w:t>
      </w:r>
    </w:p>
    <w:p w14:paraId="2774A87D" w14:textId="77777777" w:rsidR="000600BE" w:rsidRDefault="00807B2E">
      <w:pPr>
        <w:jc w:val="both"/>
      </w:pPr>
      <w:r>
        <w:rPr>
          <w:rFonts w:cs="Calibri"/>
          <w:i/>
          <w:iCs/>
          <w:color w:val="000000"/>
        </w:rPr>
        <w:t>“Teaching requires an understanding of the context of practice alongside enabling individual capacities to navigate the curriculum. It is not enough for a teacher to be ‘intuitive’ effectiveness requires reflection on how, why, and what works when”</w:t>
      </w:r>
      <w:r>
        <w:rPr>
          <w:rFonts w:cs="Calibri"/>
          <w:color w:val="000000"/>
        </w:rPr>
        <w:t xml:space="preserve"> (Avis, Fisher, and Thompson, 2019, p127).</w:t>
      </w:r>
    </w:p>
    <w:p w14:paraId="2774A87E" w14:textId="77777777" w:rsidR="000600BE" w:rsidRDefault="00807B2E">
      <w:pPr>
        <w:jc w:val="both"/>
        <w:rPr>
          <w:rFonts w:cs="Calibri"/>
          <w:color w:val="000000"/>
        </w:rPr>
      </w:pPr>
      <w:r>
        <w:rPr>
          <w:rFonts w:cs="Calibri"/>
          <w:color w:val="000000"/>
        </w:rPr>
        <w:t>When I began my teaching journey, I was not confident in myself and experienced ‘Imposer Syndrome.’ I was fearful of mediocre performance and bad feedback, so did not seek it, and began to work harder to try and prove to myself and my team that I was fully competent and able to succeed in the role. Eventually after a few courses, I was able to show myself that I could retain all the information that I was required to teach and instil that knowledge on others, which was proven during assessment. Developing c</w:t>
      </w:r>
      <w:r>
        <w:rPr>
          <w:rFonts w:cs="Calibri"/>
          <w:color w:val="000000"/>
        </w:rPr>
        <w:t xml:space="preserve">onfidence has helped me to move on in my department and become responsible for developing a brand-new training programme centred around a new command and control system that is coming into force. </w:t>
      </w:r>
    </w:p>
    <w:p w14:paraId="2774A87F" w14:textId="77777777" w:rsidR="000600BE" w:rsidRDefault="00807B2E">
      <w:pPr>
        <w:jc w:val="both"/>
      </w:pPr>
      <w:r>
        <w:rPr>
          <w:rFonts w:cs="Calibri"/>
          <w:color w:val="000000"/>
        </w:rPr>
        <w:t>I pride myself on being organised, I find it difficult to function confidently if I am not, and do not have plans in place, lists to support me, and processes to follow. I am a perfectionist and want to make sure that my students have everything they need before I conduct any teaching. This is reflected in my feedback for the observations I have completed, my mentor David Tomsa, states that I “</w:t>
      </w:r>
      <w:r>
        <w:rPr>
          <w:rFonts w:cs="Calibri"/>
          <w:i/>
          <w:iCs/>
          <w:color w:val="000000"/>
        </w:rPr>
        <w:t xml:space="preserve">prepared a detailed lesson plan with relevant aims and objectives, and accurate timings”, </w:t>
      </w:r>
      <w:r>
        <w:rPr>
          <w:rFonts w:cs="Calibri"/>
          <w:color w:val="000000"/>
        </w:rPr>
        <w:t>that I “</w:t>
      </w:r>
      <w:r>
        <w:rPr>
          <w:rFonts w:cs="Calibri"/>
          <w:i/>
          <w:iCs/>
          <w:color w:val="000000"/>
        </w:rPr>
        <w:t>arrived early making sure the classroom was set up</w:t>
      </w:r>
      <w:r>
        <w:rPr>
          <w:rFonts w:cs="Calibri"/>
          <w:color w:val="000000"/>
        </w:rPr>
        <w:t>”, and that I “</w:t>
      </w:r>
      <w:r>
        <w:rPr>
          <w:rFonts w:cs="Calibri"/>
          <w:i/>
          <w:iCs/>
          <w:color w:val="000000"/>
        </w:rPr>
        <w:t>checked on their knowledge in assessing to gage their experience in the topic to adapt delivery</w:t>
      </w:r>
      <w:r>
        <w:rPr>
          <w:rFonts w:cs="Calibri"/>
          <w:color w:val="000000"/>
        </w:rPr>
        <w:t>”. I understand that a solid scheme of work and/or a lesson plan with clear aims and objectives is fundamental in delivering an enjoyable and successful session, “</w:t>
      </w:r>
      <w:r>
        <w:rPr>
          <w:rFonts w:cs="Calibri"/>
          <w:i/>
          <w:iCs/>
          <w:color w:val="000000"/>
        </w:rPr>
        <w:t>It is important to know where you want your students to finish and what you want them to le</w:t>
      </w:r>
      <w:r>
        <w:rPr>
          <w:rFonts w:cs="Calibri"/>
          <w:i/>
          <w:iCs/>
          <w:color w:val="000000"/>
        </w:rPr>
        <w:t>arn. In this way you know when they have got there</w:t>
      </w:r>
      <w:r>
        <w:rPr>
          <w:rFonts w:cs="Calibri"/>
          <w:color w:val="000000"/>
        </w:rPr>
        <w:t xml:space="preserve">” (Reece &amp; Walker, 2007, p11). Since moving training teams, I have noticed a difference in lesson planning. The team I am with now is more technical and due to certain processes in training software packages the lesson plans are far more detailed than CSO Training. I have learned more about standardisation practices and ways to layout modules and training plans which are more helpful than standard lesson plans, which I will embrace moving forward. </w:t>
      </w:r>
    </w:p>
    <w:p w14:paraId="2774A880" w14:textId="77777777" w:rsidR="000600BE" w:rsidRDefault="00807B2E">
      <w:pPr>
        <w:jc w:val="both"/>
      </w:pPr>
      <w:r>
        <w:rPr>
          <w:rFonts w:cs="Calibri"/>
          <w:color w:val="000000"/>
        </w:rPr>
        <w:t xml:space="preserve">Communication is key with any organisation, but more so when working within policing. Learning to communicate and listen more effectively and exploring the different communication strategies have helped me to further develop myself and my confidence in learning and teaching. By exploring the ‘12 </w:t>
      </w:r>
      <w:r>
        <w:rPr>
          <w:rFonts w:cs="Calibri"/>
          <w:color w:val="000000"/>
        </w:rPr>
        <w:lastRenderedPageBreak/>
        <w:t xml:space="preserve">Roadblocks to Effective Listening’ (Thomas, 2000) I realised that I compared to some, particularly </w:t>
      </w:r>
      <w:r>
        <w:rPr>
          <w:rFonts w:cs="Calibri"/>
          <w:i/>
          <w:iCs/>
          <w:color w:val="000000"/>
        </w:rPr>
        <w:t>Rehearsing</w:t>
      </w:r>
      <w:r>
        <w:rPr>
          <w:rFonts w:cs="Calibri"/>
          <w:color w:val="000000"/>
        </w:rPr>
        <w:t xml:space="preserve"> – practising what I am going to say instead of listening, </w:t>
      </w:r>
      <w:r>
        <w:rPr>
          <w:rFonts w:cs="Calibri"/>
          <w:i/>
          <w:iCs/>
          <w:color w:val="000000"/>
        </w:rPr>
        <w:t>Filtering</w:t>
      </w:r>
      <w:r>
        <w:rPr>
          <w:rFonts w:cs="Calibri"/>
          <w:color w:val="000000"/>
        </w:rPr>
        <w:t xml:space="preserve"> – listening to some things and only hearing what I want to hear, and in particular </w:t>
      </w:r>
      <w:r>
        <w:rPr>
          <w:rFonts w:cs="Calibri"/>
          <w:i/>
          <w:iCs/>
          <w:color w:val="000000"/>
        </w:rPr>
        <w:t xml:space="preserve">Placating </w:t>
      </w:r>
      <w:r>
        <w:rPr>
          <w:rFonts w:cs="Calibri"/>
          <w:color w:val="000000"/>
        </w:rPr>
        <w:t xml:space="preserve">– trying to be too nice so I agree with everything and only half listen. This is likely to do with being an anxious person and wanting to impress and be liked, so I knew that further development was needed in this area to be able to provide </w:t>
      </w:r>
      <w:r>
        <w:rPr>
          <w:rFonts w:cs="Calibri"/>
          <w:color w:val="000000"/>
        </w:rPr>
        <w:t>negative feedback and deal with challenging behaviour in the classroom. In my role as a CSO Trainer, I have needed to challenge certain behaviours and perceptions as my students have been people of varying age and backgrounds who have come straight from university or jobs out in the community into a disciplined organisation, policies and procedures need to be followed and attitudes needed to change. By working on listening and communication strategies and techniques I have managed to ask the right questions</w:t>
      </w:r>
      <w:r>
        <w:rPr>
          <w:rFonts w:cs="Calibri"/>
          <w:color w:val="000000"/>
        </w:rPr>
        <w:t xml:space="preserve"> and work with these officers over the training period and help them accept that their knowledge and life will change just by working for the police service. An example of my success comes from a parent of one of my students, who at their passing out ceremony came up to me and thanked me for the positive change he had seen in his son over the 9-week training period. This particular officer began with an immature and boastful persona, and by working with him over this time, taking the time to explain process</w:t>
      </w:r>
      <w:r>
        <w:rPr>
          <w:rFonts w:cs="Calibri"/>
          <w:color w:val="000000"/>
        </w:rPr>
        <w:t xml:space="preserve">es to him, and allowing him to express his own thoughts and ideas, he developed into a more mature and dependable person who is always keen to learn, and continues to develop to this day. I have also learned how to pick up non-verbal ques from students and speak with them to establish if there are any ongoing personal or developmental issues that are of concern and discuss a plan with them to continue confidently and successfully. </w:t>
      </w:r>
    </w:p>
    <w:p w14:paraId="2774A881" w14:textId="77777777" w:rsidR="000600BE" w:rsidRDefault="00807B2E">
      <w:pPr>
        <w:jc w:val="both"/>
        <w:rPr>
          <w:rFonts w:cs="Calibri"/>
          <w:color w:val="000000"/>
        </w:rPr>
      </w:pPr>
      <w:r>
        <w:rPr>
          <w:rFonts w:cs="Calibri"/>
          <w:color w:val="000000"/>
        </w:rPr>
        <w:t>I often refer to Gibbs Reflective Cycle (1998) to reflect on planning and delivery of lessons, as it allows you to think about what has occurred, how you feel about how the lesson went and reflect on what went well and what did not, what might have happened and what you can change and have learned yourself. Following this cycle can also help me prepare for different models of learning I face. For example, Self-Directed Learning is a process involving students conducting a self-evaluation of their study habi</w:t>
      </w:r>
      <w:r>
        <w:rPr>
          <w:rFonts w:cs="Calibri"/>
          <w:color w:val="000000"/>
        </w:rPr>
        <w:t>ts, living situation and support network before then setting learning goals, engaging in the learning process and evaluate themselves by engaging in self-reflection. Andragogy (Knowles, 1968) is similar as it recognises the ways that adults learn as they are self-directed and have more experience to draw from and have reasons why they want to learn. Understanding the different models of learning and how it relates to your students can help you understand their individual needs and reasoning for learning. Yo</w:t>
      </w:r>
      <w:r>
        <w:rPr>
          <w:rFonts w:cs="Calibri"/>
          <w:color w:val="000000"/>
        </w:rPr>
        <w:t xml:space="preserve">u may be able to gauge success and if Transformative Learning (Mezirow, 1978) has taken place following discussions and feedback surrounding the students possible change of feelings and perspectives. </w:t>
      </w:r>
    </w:p>
    <w:p w14:paraId="2774A882" w14:textId="77777777" w:rsidR="000600BE" w:rsidRDefault="00807B2E">
      <w:pPr>
        <w:jc w:val="both"/>
      </w:pPr>
      <w:r>
        <w:rPr>
          <w:rFonts w:cs="Calibri"/>
          <w:color w:val="000000"/>
        </w:rPr>
        <w:t>A huge part of education is understanding differentiation and inclusive practice. I have come across a range of students from divergent backgrounds who have varying personalities and attitudes towards learning. A mixture of these identities can have a positive and negative affect on learning and classroom management, as ‘</w:t>
      </w:r>
      <w:r>
        <w:rPr>
          <w:rFonts w:cs="Calibri"/>
          <w:i/>
          <w:iCs/>
          <w:color w:val="000000"/>
        </w:rPr>
        <w:t>Identity is about belonging, about what you have in common with some people and what differentiates you from others’</w:t>
      </w:r>
      <w:r>
        <w:rPr>
          <w:rFonts w:cs="Calibri"/>
          <w:color w:val="000000"/>
        </w:rPr>
        <w:t xml:space="preserve"> (Thompson, 2007, p148). Certain attitudes, needs and behaviours can make an impact on your session and delivery, which in turn can make struggling students become unfocused and give up on themselves, and more proficient students feel unchallenged. “</w:t>
      </w:r>
      <w:r>
        <w:rPr>
          <w:rFonts w:cs="Calibri"/>
          <w:i/>
          <w:iCs/>
          <w:color w:val="000000"/>
        </w:rPr>
        <w:t>In order to effectively differentiate the individual student learning experience, we need to be able to offer a variety of opportunities and asses</w:t>
      </w:r>
      <w:r>
        <w:rPr>
          <w:rFonts w:cs="Calibri"/>
          <w:i/>
          <w:iCs/>
          <w:color w:val="000000"/>
        </w:rPr>
        <w:t>s a broad spectrum of achievement”</w:t>
      </w:r>
      <w:r>
        <w:rPr>
          <w:rFonts w:cs="Calibri"/>
          <w:color w:val="000000"/>
        </w:rPr>
        <w:t xml:space="preserve"> (Race &amp; Pickford, 2007, p124). The problem with the training we deliver, is that it is standardised across all forces, and follows different technical and legal processes, so it is difficult to derive from the curriculum set and allow the more proficient students the flexibility to explore more. We do have optional workbooks with exercises that can be completed in addition to the structured training package. This is something that I can consider moving forward with the new</w:t>
      </w:r>
      <w:r>
        <w:rPr>
          <w:rFonts w:cs="Calibri"/>
          <w:color w:val="000000"/>
        </w:rPr>
        <w:t xml:space="preserve"> training package as we are going to make more use of eLearning for certain modules, which may help to promote more self-directed learning and flexibility to the course structure. As for less able students who find our software overwhelming, or difficult to understand, we do offer additional one to one sessions to go over any </w:t>
      </w:r>
      <w:r>
        <w:rPr>
          <w:rFonts w:cs="Calibri"/>
          <w:color w:val="000000"/>
        </w:rPr>
        <w:lastRenderedPageBreak/>
        <w:t>modules and answer questions at their own pace. My additional experience of being a Neurodiversity Champion for Gwent Police has helped me greatly in understanding additional needs and</w:t>
      </w:r>
      <w:r>
        <w:rPr>
          <w:rFonts w:cs="Calibri"/>
          <w:color w:val="000000"/>
        </w:rPr>
        <w:t xml:space="preserve"> providing extra support where needed, as “</w:t>
      </w:r>
      <w:r>
        <w:rPr>
          <w:rFonts w:cs="Calibri"/>
          <w:i/>
          <w:iCs/>
          <w:color w:val="000000"/>
        </w:rPr>
        <w:t xml:space="preserve">your classroom should welcome diversity not isolate individuals” (Duckworth, 2014, p47). </w:t>
      </w:r>
    </w:p>
    <w:p w14:paraId="2774A883" w14:textId="77777777" w:rsidR="000600BE" w:rsidRDefault="00807B2E">
      <w:pPr>
        <w:jc w:val="both"/>
      </w:pPr>
      <w:r>
        <w:rPr>
          <w:rFonts w:cs="Calibri"/>
          <w:color w:val="000000"/>
        </w:rPr>
        <w:t>By working with a range of people, having additional training and experience of being a Hate Crime Support Officer, and by training CSOs, I know there is a positive range of equality and diversity characteristics and attitudes towards people from travelling backgrounds, who have a disability, and People of Ethic Heritage. The Equality Act 2010 allows for people with protected characteristics to be employed fairly which is heavily promoted in Gwent Police, which is fantastic as ultimately our officers have a</w:t>
      </w:r>
      <w:r>
        <w:rPr>
          <w:rFonts w:cs="Calibri"/>
          <w:color w:val="000000"/>
        </w:rPr>
        <w:t>ll joined the police service to serve the community and make a difference. As “</w:t>
      </w:r>
      <w:r>
        <w:rPr>
          <w:rFonts w:cs="Calibri"/>
          <w:i/>
          <w:iCs/>
          <w:color w:val="000000"/>
        </w:rPr>
        <w:t>Identity is also about belonging – we identify with others and our shared values, attitudes and beliefs are what keep us together as a family, group or community</w:t>
      </w:r>
      <w:r>
        <w:rPr>
          <w:rFonts w:cs="Calibri"/>
          <w:color w:val="000000"/>
        </w:rPr>
        <w:t xml:space="preserve">” (Knowles &amp; Lander, 2011, P7), they all have the same goal and with the varying experiences and knowledge they bring into force, and it can only promote a positive change and ensure that Welsh public bodies adhere to the Well-being of Future Generations (Wales) Act 2015 </w:t>
      </w:r>
      <w:r>
        <w:rPr>
          <w:rFonts w:cs="Calibri"/>
          <w:color w:val="000000"/>
        </w:rPr>
        <w:t xml:space="preserve">and continue promoting a better future for our local communities. </w:t>
      </w:r>
    </w:p>
    <w:p w14:paraId="2774A884" w14:textId="77777777" w:rsidR="000600BE" w:rsidRDefault="00807B2E">
      <w:pPr>
        <w:jc w:val="both"/>
      </w:pPr>
      <w:r>
        <w:rPr>
          <w:rFonts w:cs="Calibri"/>
          <w:color w:val="000000"/>
        </w:rPr>
        <w:t xml:space="preserve">It is important for any teacher to look after themselves mentally and consider their own training needs. Phil Race (2020, p256) provides a self-assessment checklist to ensure that you </w:t>
      </w:r>
      <w:r>
        <w:rPr>
          <w:rFonts w:cs="Calibri"/>
          <w:color w:val="000000"/>
        </w:rPr>
        <w:t>are looking after your own wellbeing as well as your students. It asks questions that make you think about if you are managing your time well, taking proper meal breaks striking a comfortable work/life balance, keeping on top of session preparations. It comes in a useful table format where you can gauge if you are feeling comfortable with the outcome, if you need to become better, or if you need to act. I look at this regularly and have found that it does help with maintaining my own wellbeing and mental he</w:t>
      </w:r>
      <w:r>
        <w:rPr>
          <w:rFonts w:cs="Calibri"/>
          <w:color w:val="000000"/>
        </w:rPr>
        <w:t xml:space="preserve">alth and reflect on my priorities. Moving forward, I need to explore reflective writing, as this will help me to collect my ideas and draw on experiences without feeling overwhelmed. It will also help me to keep track of my Continuous Professional Development, identify needs, and which direction I am going on my career path. </w:t>
      </w:r>
    </w:p>
    <w:p w14:paraId="2774A885" w14:textId="77777777" w:rsidR="000600BE" w:rsidRDefault="00807B2E">
      <w:pPr>
        <w:jc w:val="both"/>
        <w:rPr>
          <w:rFonts w:cs="Calibri"/>
          <w:color w:val="000000"/>
        </w:rPr>
      </w:pPr>
      <w:r>
        <w:rPr>
          <w:rFonts w:cs="Calibri"/>
          <w:color w:val="000000"/>
        </w:rPr>
        <w:t xml:space="preserve">My style of teaching has always been quite structured which can be tedious for my students and myself. I need to vary my planning in using a range of teaching strategies and start thinking creatively, not be afraid to go off track and add extra activities, such as non-lesson related quizzes, conundrums, and games. I should not be afraid to experiment with the PowerPoint slides and add a conundrum at break time for the students to discuss and mull over. A target for development in my first observation by my </w:t>
      </w:r>
      <w:r>
        <w:rPr>
          <w:rFonts w:cs="Calibri"/>
          <w:color w:val="000000"/>
        </w:rPr>
        <w:t>mentor was to introduce a quiz to confirm knowledge, which I took into consideration on my following observations. There is a training colleague in Gwent Police who uses inspirational quotes between slides to keep the content fresh and engaging. He uses music at the start of lesson while waiting for everyone to arrive which instantly creates a calm environment, this gives me the impression that he is enthusiastic and makes an effort. Points like this are covered by Gornall, Chambers and Claxton (2005) where</w:t>
      </w:r>
      <w:r>
        <w:rPr>
          <w:rFonts w:cs="Calibri"/>
          <w:color w:val="000000"/>
        </w:rPr>
        <w:t xml:space="preserve"> the authors discuss different Learning-Power dispositions such as Resilience (emotional), Resourcefulness (cognitive), Reflectiveness (strategic) and Reciprocity (social) aspects of learning and provide insights throughout of different ways to engage with your students and promote learning. </w:t>
      </w:r>
    </w:p>
    <w:p w14:paraId="2774A886" w14:textId="77777777" w:rsidR="000600BE" w:rsidRDefault="00807B2E">
      <w:pPr>
        <w:jc w:val="both"/>
        <w:rPr>
          <w:rFonts w:cs="Calibri"/>
          <w:color w:val="000000"/>
        </w:rPr>
      </w:pPr>
      <w:r>
        <w:rPr>
          <w:rFonts w:cs="Calibri"/>
          <w:color w:val="000000"/>
        </w:rPr>
        <w:t>Another habit of mine that needs to be improved on and was noted by my mentor during the third observation, is that I do tend to put too much detail on my presentations and that I should break it down into more slides. I also need to plan my lessons to suit my group size instead of having a standard plan. I think that the reason I do this is because I am afraid of forgetting what I am saying and need a ‘prompt’ without referring to notes all the time (which was in my feedback from my mentor on my second obs</w:t>
      </w:r>
      <w:r>
        <w:rPr>
          <w:rFonts w:cs="Calibri"/>
          <w:color w:val="000000"/>
        </w:rPr>
        <w:t xml:space="preserve">ervation) – but sometimes the topic can be quite legalisation heavy, so I need to have notes to refer to. Since observing one of my colleagues using a podium to place his notes on for the Critical Reflective Report, I have started to do this and have found that I feel more in control and not rush as I have that barrier to compose myself behind and can step out and engage with the class when I am </w:t>
      </w:r>
      <w:r>
        <w:rPr>
          <w:rFonts w:cs="Calibri"/>
          <w:color w:val="000000"/>
        </w:rPr>
        <w:lastRenderedPageBreak/>
        <w:t>ready. I have completed ‘Effective Presentation’ training through Gwent Police and come to understand the ‘rule o</w:t>
      </w:r>
      <w:r>
        <w:rPr>
          <w:rFonts w:cs="Calibri"/>
          <w:color w:val="000000"/>
        </w:rPr>
        <w:t xml:space="preserve">f three’ (only focusing on three main points on a slide so not to overwhelm your audience) and will keep this in mind moving forward. </w:t>
      </w:r>
    </w:p>
    <w:p w14:paraId="2774A887" w14:textId="77777777" w:rsidR="000600BE" w:rsidRDefault="00807B2E">
      <w:pPr>
        <w:jc w:val="both"/>
      </w:pPr>
      <w:r>
        <w:rPr>
          <w:rFonts w:cs="Calibri"/>
          <w:color w:val="000000"/>
        </w:rPr>
        <w:t>The feedback from my mentor for the three observations has also been incredibly positive. He spoke of how I ‘</w:t>
      </w:r>
      <w:r>
        <w:rPr>
          <w:rFonts w:cs="Calibri"/>
          <w:i/>
          <w:iCs/>
          <w:color w:val="000000"/>
        </w:rPr>
        <w:t>delivered in a professional manner demonstrating extensive knowledge and experience in assessment’</w:t>
      </w:r>
      <w:r>
        <w:rPr>
          <w:rFonts w:cs="Calibri"/>
          <w:color w:val="000000"/>
        </w:rPr>
        <w:t>, and how I have a ‘</w:t>
      </w:r>
      <w:r>
        <w:rPr>
          <w:rFonts w:cs="Calibri"/>
          <w:i/>
          <w:iCs/>
          <w:color w:val="000000"/>
        </w:rPr>
        <w:t>calming voice and delivers the lesson at a good pace which allowed for a good learning environment’</w:t>
      </w:r>
      <w:r>
        <w:rPr>
          <w:rFonts w:cs="Calibri"/>
          <w:color w:val="000000"/>
        </w:rPr>
        <w:t xml:space="preserve"> and refers to how I regularly check the student’s knowledge throughout and ‘</w:t>
      </w:r>
      <w:r>
        <w:rPr>
          <w:rFonts w:cs="Calibri"/>
          <w:i/>
          <w:iCs/>
          <w:color w:val="000000"/>
        </w:rPr>
        <w:t>used praise and encouragement to all throughout the</w:t>
      </w:r>
      <w:r>
        <w:rPr>
          <w:rFonts w:cs="Calibri"/>
          <w:color w:val="000000"/>
        </w:rPr>
        <w:t xml:space="preserve"> lesson’. I am pleased that these points were noticed as I strongly believe that your student will only learn if they are comfortable and feel that they are appreciate</w:t>
      </w:r>
      <w:r>
        <w:rPr>
          <w:rFonts w:cs="Calibri"/>
          <w:color w:val="000000"/>
        </w:rPr>
        <w:t xml:space="preserve">d. It creates a positive learning environment which will impact on the drive of your student and their continuing desire to learn. </w:t>
      </w:r>
    </w:p>
    <w:p w14:paraId="2774A888" w14:textId="77777777" w:rsidR="000600BE" w:rsidRDefault="00807B2E">
      <w:pPr>
        <w:jc w:val="both"/>
        <w:rPr>
          <w:rFonts w:cs="Calibri"/>
          <w:color w:val="000000"/>
        </w:rPr>
      </w:pPr>
      <w:r>
        <w:rPr>
          <w:rFonts w:cs="Calibri"/>
          <w:color w:val="000000"/>
        </w:rPr>
        <w:t>I was recently approached by a previous student of mine who is in training to be a Police Constable, and he told me that if it were not for me and my training, he would not have had the confidence to stay in the police and go on to become a PC. He found me to be a particularly good trainer and very approachable. It is remarks like this that inspire me to move forward in education and realise that despite my lack of confidence in the beginning, and feelings of uselessness, I have had influence, and I am beco</w:t>
      </w:r>
      <w:r>
        <w:rPr>
          <w:rFonts w:cs="Calibri"/>
          <w:color w:val="000000"/>
        </w:rPr>
        <w:t xml:space="preserve">ming a successful trainer and person. </w:t>
      </w:r>
    </w:p>
    <w:p w14:paraId="2774A889" w14:textId="77777777" w:rsidR="000600BE" w:rsidRDefault="00807B2E">
      <w:pPr>
        <w:jc w:val="both"/>
        <w:rPr>
          <w:rFonts w:cs="Calibri"/>
          <w:i/>
          <w:iCs/>
          <w:color w:val="000000"/>
          <w:sz w:val="16"/>
          <w:szCs w:val="16"/>
        </w:rPr>
      </w:pPr>
      <w:r>
        <w:rPr>
          <w:rFonts w:cs="Calibri"/>
          <w:i/>
          <w:iCs/>
          <w:color w:val="000000"/>
          <w:sz w:val="16"/>
          <w:szCs w:val="16"/>
        </w:rPr>
        <w:t>(2500 words)</w:t>
      </w:r>
    </w:p>
    <w:p w14:paraId="2774A88A" w14:textId="77777777" w:rsidR="000600BE" w:rsidRDefault="00807B2E">
      <w:pPr>
        <w:jc w:val="both"/>
        <w:rPr>
          <w:rFonts w:cs="Calibri"/>
          <w:b/>
          <w:bCs/>
          <w:color w:val="000000"/>
          <w:u w:val="single"/>
        </w:rPr>
      </w:pPr>
      <w:r>
        <w:rPr>
          <w:rFonts w:cs="Calibri"/>
          <w:b/>
          <w:bCs/>
          <w:color w:val="000000"/>
          <w:u w:val="single"/>
        </w:rPr>
        <w:t>Reference List:</w:t>
      </w:r>
    </w:p>
    <w:p w14:paraId="2774A88B" w14:textId="77777777" w:rsidR="000600BE" w:rsidRDefault="00807B2E">
      <w:pPr>
        <w:jc w:val="both"/>
      </w:pPr>
      <w:r>
        <w:rPr>
          <w:rFonts w:cs="Calibri"/>
          <w:color w:val="000000"/>
        </w:rPr>
        <w:t xml:space="preserve">Duckworth, V. (2014) </w:t>
      </w:r>
      <w:r>
        <w:rPr>
          <w:rFonts w:cs="Calibri"/>
          <w:i/>
          <w:iCs/>
          <w:color w:val="000000"/>
        </w:rPr>
        <w:t xml:space="preserve">How to be a brilliant FE Teacher: A practical guide to being effective and innovative. </w:t>
      </w:r>
      <w:r>
        <w:rPr>
          <w:rFonts w:cs="Calibri"/>
          <w:color w:val="000000"/>
        </w:rPr>
        <w:t>Abingdon, Oxon: Routledge.</w:t>
      </w:r>
    </w:p>
    <w:p w14:paraId="2774A88C" w14:textId="77777777" w:rsidR="000600BE" w:rsidRDefault="00807B2E">
      <w:pPr>
        <w:jc w:val="both"/>
      </w:pPr>
      <w:r>
        <w:rPr>
          <w:rFonts w:cs="Calibri"/>
          <w:color w:val="000000"/>
        </w:rPr>
        <w:t xml:space="preserve">Gordon, Dr, Thomas. </w:t>
      </w:r>
      <w:r>
        <w:rPr>
          <w:rFonts w:cs="Calibri"/>
          <w:i/>
          <w:iCs/>
          <w:color w:val="000000"/>
        </w:rPr>
        <w:t>Parent Effectiveness Training (P.E.T),</w:t>
      </w:r>
      <w:r>
        <w:rPr>
          <w:rFonts w:cs="Calibri"/>
          <w:color w:val="000000"/>
        </w:rPr>
        <w:t xml:space="preserve"> New York: Three Rivers Press. 2000. Print</w:t>
      </w:r>
    </w:p>
    <w:p w14:paraId="2774A88D" w14:textId="77777777" w:rsidR="000600BE" w:rsidRDefault="00807B2E">
      <w:pPr>
        <w:jc w:val="both"/>
      </w:pPr>
      <w:r>
        <w:rPr>
          <w:rFonts w:cs="Calibri"/>
          <w:color w:val="000000"/>
        </w:rPr>
        <w:t xml:space="preserve">Gornall. S, Chambers. M, and Claxton. G, (2005) </w:t>
      </w:r>
      <w:r>
        <w:rPr>
          <w:rFonts w:cs="Calibri"/>
          <w:i/>
          <w:iCs/>
          <w:color w:val="000000"/>
        </w:rPr>
        <w:t>Building Learning Power in Action</w:t>
      </w:r>
      <w:r>
        <w:rPr>
          <w:rFonts w:cs="Calibri"/>
          <w:color w:val="000000"/>
        </w:rPr>
        <w:t>. Bristol: TLO Limited</w:t>
      </w:r>
    </w:p>
    <w:p w14:paraId="2774A88E" w14:textId="77777777" w:rsidR="000600BE" w:rsidRDefault="00807B2E">
      <w:pPr>
        <w:jc w:val="both"/>
      </w:pPr>
      <w:r>
        <w:rPr>
          <w:rFonts w:cs="Calibri"/>
          <w:color w:val="000000"/>
        </w:rPr>
        <w:t xml:space="preserve">James Avis, Roy Fisher, and Ron Thompson (2019) </w:t>
      </w:r>
      <w:r>
        <w:rPr>
          <w:rFonts w:cs="Calibri"/>
          <w:i/>
          <w:iCs/>
          <w:color w:val="000000"/>
        </w:rPr>
        <w:t xml:space="preserve">Teaching in Lifelong Learning 3e A Guide to Theory and Practice. </w:t>
      </w:r>
      <w:r>
        <w:rPr>
          <w:rFonts w:cs="Calibri"/>
          <w:color w:val="000000"/>
        </w:rPr>
        <w:t xml:space="preserve">London, England: Open University Press (UK Higher Education Humanities &amp; Social Sciences Study Skills). </w:t>
      </w:r>
    </w:p>
    <w:p w14:paraId="2774A88F" w14:textId="77777777" w:rsidR="000600BE" w:rsidRDefault="00807B2E">
      <w:pPr>
        <w:jc w:val="both"/>
      </w:pPr>
      <w:r>
        <w:rPr>
          <w:rFonts w:cs="Calibri"/>
          <w:color w:val="000000"/>
        </w:rPr>
        <w:t>Knowles, G. and Lander, V. (2011) </w:t>
      </w:r>
      <w:r>
        <w:rPr>
          <w:rFonts w:cs="Calibri"/>
          <w:i/>
          <w:iCs/>
          <w:color w:val="000000"/>
        </w:rPr>
        <w:t>Diversity, Equality and Achievement in Education</w:t>
      </w:r>
      <w:r>
        <w:rPr>
          <w:rFonts w:cs="Calibri"/>
          <w:color w:val="000000"/>
        </w:rPr>
        <w:t>. London: SAGE Publications Ltd.</w:t>
      </w:r>
    </w:p>
    <w:p w14:paraId="2774A890" w14:textId="77777777" w:rsidR="000600BE" w:rsidRDefault="00807B2E">
      <w:pPr>
        <w:jc w:val="both"/>
      </w:pPr>
      <w:r>
        <w:rPr>
          <w:rFonts w:cs="Calibri"/>
          <w:color w:val="000000"/>
        </w:rPr>
        <w:t xml:space="preserve">Race. P (2020) </w:t>
      </w:r>
      <w:r>
        <w:rPr>
          <w:rFonts w:cs="Calibri"/>
          <w:i/>
          <w:iCs/>
          <w:color w:val="000000"/>
        </w:rPr>
        <w:t>The Lecturer’s Toolkit: A Practical Guide to Assessment, Learning and Teaching</w:t>
      </w:r>
      <w:r>
        <w:rPr>
          <w:rFonts w:cs="Calibri"/>
          <w:color w:val="000000"/>
        </w:rPr>
        <w:t>. Abingdon, Oxon: Routledge.</w:t>
      </w:r>
    </w:p>
    <w:p w14:paraId="2774A891" w14:textId="77777777" w:rsidR="000600BE" w:rsidRDefault="00807B2E">
      <w:pPr>
        <w:jc w:val="both"/>
      </w:pPr>
      <w:r>
        <w:rPr>
          <w:rFonts w:cs="Calibri"/>
          <w:color w:val="000000"/>
        </w:rPr>
        <w:t xml:space="preserve">Race, P. Pickford, R (2007) </w:t>
      </w:r>
      <w:r>
        <w:rPr>
          <w:rFonts w:cs="Calibri"/>
          <w:i/>
          <w:iCs/>
          <w:color w:val="000000"/>
        </w:rPr>
        <w:t>Making Teaching Work</w:t>
      </w:r>
      <w:r>
        <w:rPr>
          <w:rFonts w:cs="Calibri"/>
          <w:color w:val="000000"/>
        </w:rPr>
        <w:t>. Trowbridge, Wiltshire: The Cromwell Press</w:t>
      </w:r>
    </w:p>
    <w:p w14:paraId="2774A892" w14:textId="77777777" w:rsidR="000600BE" w:rsidRDefault="00807B2E">
      <w:pPr>
        <w:jc w:val="both"/>
      </w:pPr>
      <w:r>
        <w:rPr>
          <w:rFonts w:cs="Calibri"/>
          <w:color w:val="000000"/>
        </w:rPr>
        <w:t xml:space="preserve">Reece, I, Walker, S (2007) </w:t>
      </w:r>
      <w:r>
        <w:rPr>
          <w:rFonts w:cs="Calibri"/>
          <w:i/>
          <w:iCs/>
          <w:color w:val="000000"/>
        </w:rPr>
        <w:t>Teaching, training &amp; learning: A practical guide.</w:t>
      </w:r>
      <w:r>
        <w:rPr>
          <w:rFonts w:cs="Calibri"/>
          <w:color w:val="000000"/>
        </w:rPr>
        <w:t xml:space="preserve"> Tyne &amp; Wear: Business Education Publishers Ltd. </w:t>
      </w:r>
    </w:p>
    <w:p w14:paraId="2774A893" w14:textId="77777777" w:rsidR="000600BE" w:rsidRDefault="00807B2E">
      <w:pPr>
        <w:jc w:val="both"/>
      </w:pPr>
      <w:r>
        <w:rPr>
          <w:rFonts w:cs="Calibri"/>
          <w:color w:val="000000"/>
        </w:rPr>
        <w:t>Thompson, R, (2007) ‘</w:t>
      </w:r>
      <w:r>
        <w:rPr>
          <w:rFonts w:cs="Calibri"/>
          <w:i/>
          <w:iCs/>
          <w:color w:val="000000"/>
        </w:rPr>
        <w:t>Belonging</w:t>
      </w:r>
      <w:r>
        <w:rPr>
          <w:rFonts w:cs="Calibri"/>
          <w:color w:val="000000"/>
        </w:rPr>
        <w:t xml:space="preserve">’, in M.J Kehily (ed) (2007) </w:t>
      </w:r>
      <w:r>
        <w:rPr>
          <w:rFonts w:cs="Calibri"/>
          <w:i/>
          <w:iCs/>
          <w:color w:val="000000"/>
        </w:rPr>
        <w:t>Understanding Youth: Perspectives, Identities and Practices</w:t>
      </w:r>
      <w:r>
        <w:rPr>
          <w:rFonts w:cs="Calibri"/>
          <w:color w:val="000000"/>
        </w:rPr>
        <w:t xml:space="preserve">. London: Sage in association with The Open University. </w:t>
      </w:r>
    </w:p>
    <w:p w14:paraId="2774A894" w14:textId="77777777" w:rsidR="000600BE" w:rsidRDefault="00807B2E">
      <w:r>
        <w:rPr>
          <w:i/>
          <w:iCs/>
          <w:color w:val="000000"/>
        </w:rPr>
        <w:t>Andragogy – Adult Learning Theory (Knowles)</w:t>
      </w:r>
      <w:r>
        <w:rPr>
          <w:color w:val="000000"/>
        </w:rPr>
        <w:t xml:space="preserve"> </w:t>
      </w:r>
      <w:r>
        <w:rPr>
          <w:color w:val="000000"/>
        </w:rPr>
        <w:t xml:space="preserve">(2024). Available at: </w:t>
      </w:r>
      <w:hyperlink r:id="rId6" w:history="1">
        <w:r>
          <w:rPr>
            <w:rStyle w:val="Hyperlink"/>
            <w:color w:val="000000"/>
            <w:u w:val="none"/>
          </w:rPr>
          <w:t>https://learning-theories.com/andragogy-adult-learning-theory-knowles.html</w:t>
        </w:r>
      </w:hyperlink>
      <w:r>
        <w:rPr>
          <w:color w:val="000000"/>
        </w:rPr>
        <w:t xml:space="preserve"> (Accessed: 17</w:t>
      </w:r>
      <w:r>
        <w:rPr>
          <w:color w:val="000000"/>
          <w:vertAlign w:val="superscript"/>
        </w:rPr>
        <w:t>th</w:t>
      </w:r>
      <w:r>
        <w:rPr>
          <w:color w:val="000000"/>
        </w:rPr>
        <w:t xml:space="preserve"> May 2024) </w:t>
      </w:r>
    </w:p>
    <w:p w14:paraId="2774A895" w14:textId="77777777" w:rsidR="000600BE" w:rsidRDefault="00807B2E">
      <w:r>
        <w:rPr>
          <w:rFonts w:cs="Calibri"/>
          <w:i/>
          <w:iCs/>
          <w:color w:val="000000"/>
        </w:rPr>
        <w:t>The Well-being of Future Generations (Wales) Act 2015</w:t>
      </w:r>
      <w:r>
        <w:rPr>
          <w:rFonts w:cs="Calibri"/>
          <w:color w:val="000000"/>
        </w:rPr>
        <w:t>, (2024). Available at: https://www.futuregenerations.w</w:t>
      </w:r>
      <w:bookmarkStart w:id="0" w:name="_Hlt166840189"/>
      <w:bookmarkStart w:id="1" w:name="_Hlt166840190"/>
      <w:r>
        <w:rPr>
          <w:rFonts w:cs="Calibri"/>
          <w:color w:val="000000"/>
        </w:rPr>
        <w:t>a</w:t>
      </w:r>
      <w:bookmarkEnd w:id="0"/>
      <w:bookmarkEnd w:id="1"/>
      <w:r>
        <w:rPr>
          <w:rFonts w:cs="Calibri"/>
          <w:color w:val="000000"/>
        </w:rPr>
        <w:t>les/about-us/future-generations-act/ (Accessed: 17</w:t>
      </w:r>
      <w:r>
        <w:rPr>
          <w:rFonts w:cs="Calibri"/>
          <w:color w:val="000000"/>
          <w:vertAlign w:val="superscript"/>
        </w:rPr>
        <w:t>th</w:t>
      </w:r>
      <w:r>
        <w:rPr>
          <w:rFonts w:cs="Calibri"/>
          <w:color w:val="000000"/>
        </w:rPr>
        <w:t xml:space="preserve"> May 2024) </w:t>
      </w:r>
    </w:p>
    <w:p w14:paraId="2774A896" w14:textId="77777777" w:rsidR="000600BE" w:rsidRDefault="00807B2E">
      <w:r>
        <w:rPr>
          <w:rFonts w:cs="Calibri"/>
          <w:i/>
          <w:iCs/>
          <w:color w:val="000000"/>
        </w:rPr>
        <w:t>Self-Directed Learning: A Four-Step Process</w:t>
      </w:r>
      <w:r>
        <w:rPr>
          <w:rFonts w:cs="Calibri"/>
          <w:color w:val="000000"/>
        </w:rPr>
        <w:t xml:space="preserve">. Centre for Teaching Excellence, University of Waterloo. (2024) Available at: </w:t>
      </w:r>
      <w:r>
        <w:rPr>
          <w:color w:val="000000"/>
        </w:rPr>
        <w:t>Self-Directed Learning: A Four-Ste</w:t>
      </w:r>
      <w:bookmarkStart w:id="2" w:name="_Hlt166840219"/>
      <w:bookmarkStart w:id="3" w:name="_Hlt166840220"/>
      <w:r>
        <w:rPr>
          <w:color w:val="000000"/>
        </w:rPr>
        <w:t>p</w:t>
      </w:r>
      <w:bookmarkEnd w:id="2"/>
      <w:bookmarkEnd w:id="3"/>
      <w:r>
        <w:rPr>
          <w:color w:val="000000"/>
        </w:rPr>
        <w:t xml:space="preserve"> Process | Centre for Teaching Excellence (uwaterloo.ca) (Accessed: 17</w:t>
      </w:r>
      <w:r>
        <w:rPr>
          <w:color w:val="000000"/>
          <w:vertAlign w:val="superscript"/>
        </w:rPr>
        <w:t>th</w:t>
      </w:r>
      <w:r>
        <w:rPr>
          <w:color w:val="000000"/>
        </w:rPr>
        <w:t xml:space="preserve"> May 2024) </w:t>
      </w:r>
    </w:p>
    <w:sectPr w:rsidR="000600B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4A878" w14:textId="77777777" w:rsidR="00807B2E" w:rsidRDefault="00807B2E">
      <w:pPr>
        <w:spacing w:after="0"/>
      </w:pPr>
      <w:r>
        <w:separator/>
      </w:r>
    </w:p>
  </w:endnote>
  <w:endnote w:type="continuationSeparator" w:id="0">
    <w:p w14:paraId="2774A87A" w14:textId="77777777" w:rsidR="00807B2E" w:rsidRDefault="00807B2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4A874" w14:textId="77777777" w:rsidR="00807B2E" w:rsidRDefault="00807B2E">
      <w:pPr>
        <w:spacing w:after="0"/>
      </w:pPr>
      <w:r>
        <w:rPr>
          <w:color w:val="000000"/>
        </w:rPr>
        <w:separator/>
      </w:r>
    </w:p>
  </w:footnote>
  <w:footnote w:type="continuationSeparator" w:id="0">
    <w:p w14:paraId="2774A876" w14:textId="77777777" w:rsidR="00807B2E" w:rsidRDefault="00807B2E">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600BE"/>
    <w:rsid w:val="000600BE"/>
    <w:rsid w:val="00807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4A874"/>
  <w15:docId w15:val="{50D08075-48A2-4A8D-BB26-52E8AE469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rPr>
      <w:color w:val="0000FF"/>
      <w:u w:val="single"/>
    </w:rPr>
  </w:style>
  <w:style w:type="character" w:styleId="Emphasis">
    <w:name w:val="Emphasis"/>
    <w:basedOn w:val="DefaultParagraphFont"/>
    <w:rPr>
      <w:i/>
      <w:iCs/>
    </w:rPr>
  </w:style>
  <w:style w:type="character" w:styleId="FollowedHyperlink">
    <w:name w:val="FollowedHyperlink"/>
    <w:basedOn w:val="DefaultParagraphFont"/>
    <w:rPr>
      <w:color w:val="954F72"/>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rning-theories.com/andragogy-adult-learning-theory-knowles.html" TargetMode="Externa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2534</Words>
  <Characters>14448</Characters>
  <Application>Microsoft Office Word</Application>
  <DocSecurity>0</DocSecurity>
  <Lines>120</Lines>
  <Paragraphs>33</Paragraphs>
  <ScaleCrop>false</ScaleCrop>
  <Company>Gwent Police</Company>
  <LinksUpToDate>false</LinksUpToDate>
  <CharactersWithSpaces>16949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 Sara</dc:creator>
  <dc:description/>
  <cp:lastModifiedBy>Mason, Sara</cp:lastModifiedBy>
  <cp:revision>2</cp:revision>
  <dcterms:created xsi:type="dcterms:W3CDTF">2024-06-03T08:13:00Z</dcterms:created>
  <dcterms:modified xsi:type="dcterms:W3CDTF">2024-06-03T08:13:00Z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2023-10-23T11:11:56Z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cf1177db-bf0e-4350-8260-89832273d404</vt:lpwstr>
  </property>
  <property fmtid="{D5CDD505-2E9C-101B-9397-08002B2CF9AE}" pid="8" name="MSIP_Label_f2acd28b-79a3-4a0f-b0ff-4b75658b1549_ContentBits">
    <vt:lpwstr>0</vt:lpwstr>
  </property>
</Properties>
</file>