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93DAA" w14:textId="77777777" w:rsidR="00BA6434" w:rsidRDefault="00BA6434" w:rsidP="00BA6434">
      <w:pPr>
        <w:spacing w:line="360" w:lineRule="auto"/>
        <w:jc w:val="center"/>
        <w:rPr>
          <w:rFonts w:ascii="Times New Roman" w:hAnsi="Times New Roman" w:cs="Times New Roman"/>
          <w:b/>
          <w:bCs/>
          <w:sz w:val="40"/>
          <w:szCs w:val="40"/>
        </w:rPr>
      </w:pPr>
    </w:p>
    <w:p w14:paraId="35C135E1" w14:textId="77777777" w:rsidR="00BA6434" w:rsidRDefault="00BA6434" w:rsidP="00BA6434">
      <w:pPr>
        <w:spacing w:line="360" w:lineRule="auto"/>
        <w:jc w:val="center"/>
        <w:rPr>
          <w:rFonts w:ascii="Times New Roman" w:hAnsi="Times New Roman" w:cs="Times New Roman"/>
          <w:b/>
          <w:bCs/>
          <w:sz w:val="40"/>
          <w:szCs w:val="40"/>
        </w:rPr>
      </w:pPr>
    </w:p>
    <w:p w14:paraId="45EEE5E4" w14:textId="77777777" w:rsidR="00BA6434" w:rsidRDefault="00BA6434" w:rsidP="00BA6434">
      <w:pPr>
        <w:spacing w:line="360" w:lineRule="auto"/>
        <w:jc w:val="center"/>
        <w:rPr>
          <w:rFonts w:ascii="Times New Roman" w:hAnsi="Times New Roman" w:cs="Times New Roman"/>
          <w:b/>
          <w:bCs/>
          <w:sz w:val="40"/>
          <w:szCs w:val="40"/>
        </w:rPr>
      </w:pPr>
    </w:p>
    <w:p w14:paraId="16480BE3" w14:textId="77777777" w:rsidR="00BA6434" w:rsidRDefault="00BA6434" w:rsidP="00BA6434">
      <w:pPr>
        <w:spacing w:line="360" w:lineRule="auto"/>
        <w:jc w:val="center"/>
        <w:rPr>
          <w:rFonts w:ascii="Times New Roman" w:hAnsi="Times New Roman" w:cs="Times New Roman"/>
          <w:b/>
          <w:bCs/>
          <w:sz w:val="40"/>
          <w:szCs w:val="40"/>
        </w:rPr>
      </w:pPr>
    </w:p>
    <w:p w14:paraId="4D06189A" w14:textId="77777777" w:rsidR="00BA6434" w:rsidRDefault="00BA6434" w:rsidP="00BA6434">
      <w:pPr>
        <w:spacing w:line="360" w:lineRule="auto"/>
        <w:jc w:val="center"/>
        <w:rPr>
          <w:rFonts w:ascii="Times New Roman" w:hAnsi="Times New Roman" w:cs="Times New Roman"/>
          <w:b/>
          <w:bCs/>
          <w:sz w:val="40"/>
          <w:szCs w:val="40"/>
        </w:rPr>
      </w:pPr>
    </w:p>
    <w:p w14:paraId="30708477" w14:textId="77777777" w:rsidR="00BA6434" w:rsidRDefault="00BA6434" w:rsidP="00BA6434">
      <w:pPr>
        <w:spacing w:line="360" w:lineRule="auto"/>
        <w:jc w:val="center"/>
        <w:rPr>
          <w:rFonts w:ascii="Times New Roman" w:hAnsi="Times New Roman" w:cs="Times New Roman"/>
          <w:b/>
          <w:bCs/>
          <w:sz w:val="40"/>
          <w:szCs w:val="40"/>
        </w:rPr>
      </w:pPr>
    </w:p>
    <w:p w14:paraId="216FFA85" w14:textId="7DEAB6B7" w:rsidR="001358E7" w:rsidRPr="00BA6434" w:rsidRDefault="001358E7" w:rsidP="00BA6434">
      <w:pPr>
        <w:spacing w:line="360" w:lineRule="auto"/>
        <w:jc w:val="center"/>
        <w:rPr>
          <w:rFonts w:ascii="Times New Roman" w:hAnsi="Times New Roman" w:cs="Times New Roman"/>
          <w:b/>
          <w:bCs/>
          <w:sz w:val="40"/>
          <w:szCs w:val="40"/>
        </w:rPr>
      </w:pPr>
      <w:r w:rsidRPr="00BA6434">
        <w:rPr>
          <w:rFonts w:ascii="Times New Roman" w:hAnsi="Times New Roman" w:cs="Times New Roman"/>
          <w:b/>
          <w:bCs/>
          <w:sz w:val="40"/>
          <w:szCs w:val="40"/>
        </w:rPr>
        <w:t>Comparing the Wars in Yugoslavia and Ukraine: Old and New Forms of Conflict in the Global Era</w:t>
      </w:r>
    </w:p>
    <w:p w14:paraId="5FEA7B0F" w14:textId="77777777" w:rsidR="001358E7" w:rsidRDefault="001358E7" w:rsidP="001358E7">
      <w:pPr>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br w:type="page"/>
      </w:r>
    </w:p>
    <w:p w14:paraId="29C5B61D" w14:textId="5B8E2356" w:rsidR="001358E7" w:rsidRPr="00BA6434" w:rsidRDefault="001358E7" w:rsidP="00BA6434">
      <w:pPr>
        <w:rPr>
          <w:rFonts w:ascii="Times New Roman" w:eastAsia="Times New Roman" w:hAnsi="Times New Roman" w:cs="Times New Roman"/>
          <w:b/>
          <w:bCs/>
          <w:kern w:val="0"/>
          <w:sz w:val="32"/>
          <w:szCs w:val="32"/>
          <w:lang w:eastAsia="en-GB"/>
          <w14:ligatures w14:val="none"/>
        </w:rPr>
      </w:pPr>
      <w:bookmarkStart w:id="0" w:name="_Toc214031930"/>
      <w:r w:rsidRPr="00BA6434">
        <w:rPr>
          <w:rFonts w:ascii="Times New Roman" w:eastAsia="Times New Roman" w:hAnsi="Times New Roman" w:cs="Times New Roman"/>
          <w:b/>
          <w:bCs/>
          <w:sz w:val="32"/>
          <w:szCs w:val="32"/>
          <w:lang w:eastAsia="en-GB"/>
        </w:rPr>
        <w:lastRenderedPageBreak/>
        <w:t>Introduction</w:t>
      </w:r>
      <w:bookmarkEnd w:id="0"/>
    </w:p>
    <w:p w14:paraId="20E84B0E" w14:textId="77777777" w:rsidR="001358E7" w:rsidRDefault="001358E7" w:rsidP="001358E7">
      <w:p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The world has experienced numerous types of war that are difficult to comprehend since the conclusion of the cold war. The distinction between the war and the peace, or the state and the non-state groups, is not so obvious anymore. Due to the effect of globalisation, various nations are interlinked and this transforms the way and reason people engage in a fight. Moreover, at the same time when the mega ideological blocks came to an end, new wars arose concerning identity and culture. The war in the former Yugoslavia during the 1990s and a current war in Ukraine represent two very powerful examples of such contemporary wars. They are similar in that they share such aspects as identity violence, foreign influence, and effects across the globe, but they are also quite different. Yugoslav wars were the result of the disintegration of a multi-national federation and nationalism, and the war in Ukraine has begun as a political and historical clash between Russia and the West (Woodward, 1995; Snyder, 2018).</w:t>
      </w:r>
    </w:p>
    <w:p w14:paraId="0A942DBC" w14:textId="77777777" w:rsidR="001358E7" w:rsidRDefault="001358E7" w:rsidP="001358E7">
      <w:p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In this essay, the origins of these two wars, their similarities, differences and the outcomes will be compared. </w:t>
      </w:r>
      <w:r w:rsidRPr="00BA6434">
        <w:rPr>
          <w:rFonts w:ascii="Times New Roman" w:eastAsia="Times New Roman" w:hAnsi="Times New Roman" w:cs="Times New Roman"/>
          <w:bCs/>
          <w:kern w:val="0"/>
          <w:lang w:eastAsia="en-GB"/>
          <w14:ligatures w14:val="none"/>
        </w:rPr>
        <w:t>It will be based on the concepts of the theory of New Wars by Mary Kaldor (2012) and Greed and Grievance (2004) by Collier and Hoeffler.</w:t>
      </w:r>
      <w:r>
        <w:rPr>
          <w:rFonts w:ascii="Times New Roman" w:eastAsia="Times New Roman" w:hAnsi="Times New Roman" w:cs="Times New Roman"/>
          <w:kern w:val="0"/>
          <w:lang w:eastAsia="en-GB"/>
          <w14:ligatures w14:val="none"/>
        </w:rPr>
        <w:t xml:space="preserve"> Kaldor states that the contemporary war is not between states but between the networks of state and non-state actors, which usually control people with the help of identity, fear, and global communication. These new wars are decentralised; armies are not always the target and often are civilians. However, Collier and Hoeffler explain the initiations of wars by considering two primary causes, i.e., greed, often craving money, power, or resources, and grievance, i.e. vituperation of inequality, injustice, or discrimination. This argument is that the two theories assist in explaining the various sides of these conflicts. The conflicts in Yugoslavia and Ukraine combine the old and the new forms of violence. They have political and economic issues behind them, yet they relate to identity and world. Knowing them, one can see of how the contemporary war has transformed in the era of globalisation (Duffield, 2001; Kalyvas, 2001).</w:t>
      </w:r>
    </w:p>
    <w:p w14:paraId="71AB2A02" w14:textId="77777777" w:rsidR="001358E7" w:rsidRPr="00BA6434" w:rsidRDefault="001358E7" w:rsidP="001358E7">
      <w:pPr>
        <w:pStyle w:val="Heading2"/>
        <w:numPr>
          <w:ilvl w:val="1"/>
          <w:numId w:val="0"/>
        </w:numPr>
        <w:ind w:left="576" w:hanging="576"/>
        <w:rPr>
          <w:rFonts w:ascii="Times New Roman" w:eastAsia="Times New Roman" w:hAnsi="Times New Roman" w:cs="Times New Roman"/>
          <w:b/>
          <w:bCs/>
          <w:i/>
          <w:color w:val="auto"/>
          <w:lang w:eastAsia="en-GB"/>
        </w:rPr>
      </w:pPr>
      <w:bookmarkStart w:id="1" w:name="_Toc214031931"/>
      <w:r w:rsidRPr="00BA6434">
        <w:rPr>
          <w:rFonts w:ascii="Times New Roman" w:eastAsia="Times New Roman" w:hAnsi="Times New Roman" w:cs="Times New Roman"/>
          <w:b/>
          <w:bCs/>
          <w:color w:val="auto"/>
          <w:lang w:eastAsia="en-GB"/>
        </w:rPr>
        <w:lastRenderedPageBreak/>
        <w:t>Origins of the Conflicts</w:t>
      </w:r>
      <w:bookmarkEnd w:id="1"/>
    </w:p>
    <w:p w14:paraId="4E778F14" w14:textId="77777777" w:rsidR="001358E7" w:rsidRDefault="001358E7" w:rsidP="001358E7">
      <w:pPr>
        <w:spacing w:before="100" w:beforeAutospacing="1" w:after="100" w:afterAutospacing="1" w:line="48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The start of both wars was about power, identity, and broken systems of government (Judah, 1997).</w:t>
      </w:r>
    </w:p>
    <w:p w14:paraId="5BB8D1F3" w14:textId="77777777" w:rsidR="001358E7" w:rsidRDefault="001358E7" w:rsidP="001358E7">
      <w:p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The collapse of the Cold War in Yugoslavia destroyed the socialist Union that formerly held most ethnic groups such as Serbs, Croats, and Bosniaks among others. The killing of Tito made the communist system weak, and new ethnic and politically based leaders, like Slobodan </w:t>
      </w:r>
      <w:proofErr w:type="spellStart"/>
      <w:r>
        <w:rPr>
          <w:rFonts w:ascii="Times New Roman" w:eastAsia="Times New Roman" w:hAnsi="Times New Roman" w:cs="Times New Roman"/>
          <w:kern w:val="0"/>
          <w:lang w:eastAsia="en-GB"/>
          <w14:ligatures w14:val="none"/>
        </w:rPr>
        <w:t>Miloševic</w:t>
      </w:r>
      <w:proofErr w:type="spellEnd"/>
      <w:r>
        <w:rPr>
          <w:rFonts w:ascii="Times New Roman" w:eastAsia="Times New Roman" w:hAnsi="Times New Roman" w:cs="Times New Roman"/>
          <w:kern w:val="0"/>
          <w:lang w:eastAsia="en-GB"/>
          <w14:ligatures w14:val="none"/>
        </w:rPr>
        <w:t xml:space="preserve"> came into power (Gagnon, 2004). Other major economic issues in the country included unemployment, inflation and corruption. Woodward (1995) argues that poor economy and inequitable allocation of resources resulted in anger and grievance among people, as well as greed among them. When the federal system failed, every republic desired greater autonomy. The elites in politics found an outlet in nationalism as a way of defending their positions. According to Silver and Little (1997) propaganda and terror were employed to get backing and militias were formed and the state was losing control.</w:t>
      </w:r>
    </w:p>
    <w:p w14:paraId="5C5B2F64" w14:textId="77777777" w:rsidR="001358E7" w:rsidRDefault="001358E7" w:rsidP="001358E7">
      <w:p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The causes of the war in Ukraine can be also related to politics, power and imperial legacy. Ukraine was an independent country after the collapse of the Soviet Union; however, it was divided into a western, pro-European part and east, Russian-speaking part (Toal, 2017). Corruption, poor institutions, and the need to assert national identity were some of the challenges the new state had to deal with. The Maidan Revolution of 2014 began as a political demonstration against the corruption and against the refusal of the president to sign an EU agreement. The fall of the government resulted in annexation of Crimea by Russia and assurance of separatists in Donbas (Mearsheimer, 2014). Snyder (2018) says that the fear of democracy and a desire to restore its sphere of influence were the motives behind the actions of Russia. The invasion became an international war of significant importance in 2022 (Freedman, 2022). Wars in both instances occurred due to a loss of political legitimacy, </w:t>
      </w:r>
      <w:r>
        <w:rPr>
          <w:rFonts w:ascii="Times New Roman" w:eastAsia="Times New Roman" w:hAnsi="Times New Roman" w:cs="Times New Roman"/>
          <w:kern w:val="0"/>
          <w:lang w:eastAsia="en-GB"/>
          <w14:ligatures w14:val="none"/>
        </w:rPr>
        <w:lastRenderedPageBreak/>
        <w:t>economic stress, and identity playing by leaders. This is greed and resentment, lust and bitterness in one (economic aspiration and social retaliation) and Kaldor New Wars, in which the state is feeble, and violence enters the political calculus (Kaldor, 2012). Nevertheless, although Yugoslavia failed internally, Ukraine became a victim of an aggressive neighbour who was more powerful than itself (</w:t>
      </w:r>
      <w:proofErr w:type="spellStart"/>
      <w:r>
        <w:rPr>
          <w:rFonts w:ascii="Times New Roman" w:eastAsia="Times New Roman" w:hAnsi="Times New Roman" w:cs="Times New Roman"/>
          <w:kern w:val="0"/>
          <w:lang w:eastAsia="en-GB"/>
          <w14:ligatures w14:val="none"/>
        </w:rPr>
        <w:t>Heletiy</w:t>
      </w:r>
      <w:proofErr w:type="spellEnd"/>
      <w:r>
        <w:rPr>
          <w:rFonts w:ascii="Times New Roman" w:eastAsia="Times New Roman" w:hAnsi="Times New Roman" w:cs="Times New Roman"/>
          <w:kern w:val="0"/>
          <w:lang w:eastAsia="en-GB"/>
          <w14:ligatures w14:val="none"/>
        </w:rPr>
        <w:t>, 2017).</w:t>
      </w:r>
    </w:p>
    <w:p w14:paraId="3136008C" w14:textId="77777777" w:rsidR="001358E7" w:rsidRPr="00BA6434" w:rsidRDefault="001358E7" w:rsidP="001358E7">
      <w:pPr>
        <w:pStyle w:val="Heading2"/>
        <w:numPr>
          <w:ilvl w:val="1"/>
          <w:numId w:val="0"/>
        </w:numPr>
        <w:ind w:left="576" w:hanging="576"/>
        <w:rPr>
          <w:rFonts w:ascii="Times New Roman" w:eastAsia="Times New Roman" w:hAnsi="Times New Roman" w:cs="Times New Roman"/>
          <w:b/>
          <w:bCs/>
          <w:i/>
          <w:color w:val="auto"/>
          <w:lang w:eastAsia="en-GB"/>
        </w:rPr>
      </w:pPr>
      <w:bookmarkStart w:id="2" w:name="_Toc214031932"/>
      <w:r w:rsidRPr="00BA6434">
        <w:rPr>
          <w:rFonts w:ascii="Times New Roman" w:eastAsia="Times New Roman" w:hAnsi="Times New Roman" w:cs="Times New Roman"/>
          <w:b/>
          <w:bCs/>
          <w:color w:val="auto"/>
          <w:lang w:eastAsia="en-GB"/>
        </w:rPr>
        <w:t>Ethnic, Political, and Religious Identity</w:t>
      </w:r>
      <w:bookmarkEnd w:id="2"/>
    </w:p>
    <w:p w14:paraId="7FBFBFF1" w14:textId="77777777" w:rsidR="001358E7" w:rsidRDefault="001358E7" w:rsidP="001358E7">
      <w:p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In </w:t>
      </w:r>
      <w:r w:rsidRPr="00BA6434">
        <w:rPr>
          <w:rFonts w:ascii="Times New Roman" w:eastAsia="Times New Roman" w:hAnsi="Times New Roman" w:cs="Times New Roman"/>
          <w:kern w:val="0"/>
          <w:lang w:eastAsia="en-GB"/>
          <w14:ligatures w14:val="none"/>
        </w:rPr>
        <w:t>Yugoslavia,</w:t>
      </w:r>
      <w:r>
        <w:rPr>
          <w:rFonts w:ascii="Times New Roman" w:eastAsia="Times New Roman" w:hAnsi="Times New Roman" w:cs="Times New Roman"/>
          <w:kern w:val="0"/>
          <w:lang w:eastAsia="en-GB"/>
          <w14:ligatures w14:val="none"/>
        </w:rPr>
        <w:t xml:space="preserve"> identity was both political and ethnic. Under socialism, different groups lived together under one system, but when that system broke down, leaders used old divisions to gain political control (Judah, 1997). The war became a way to build new states and protect political power. Religion was used symbolically the Serbian Orthodox Church supported the idea of a “Greater Serbia,” and national myths became political tools. Gagnon (2004) explains that Milošević and others used ethnic fear not only to divide people but also to replace communist ideology with nationalism. The wars were therefore about who controls the state and who has the right to rule, not only about faith or language. In </w:t>
      </w:r>
      <w:r w:rsidRPr="00BA6434">
        <w:rPr>
          <w:rFonts w:ascii="Times New Roman" w:eastAsia="Times New Roman" w:hAnsi="Times New Roman" w:cs="Times New Roman"/>
          <w:kern w:val="0"/>
          <w:lang w:eastAsia="en-GB"/>
          <w14:ligatures w14:val="none"/>
        </w:rPr>
        <w:t>Ukraine,</w:t>
      </w:r>
      <w:r>
        <w:rPr>
          <w:rFonts w:ascii="Times New Roman" w:eastAsia="Times New Roman" w:hAnsi="Times New Roman" w:cs="Times New Roman"/>
          <w:kern w:val="0"/>
          <w:lang w:eastAsia="en-GB"/>
          <w14:ligatures w14:val="none"/>
        </w:rPr>
        <w:t xml:space="preserve"> identity is also political but in a different way. For many years, the Soviet Union tried to erase national differences and replace them with one Soviet identity (</w:t>
      </w:r>
      <w:proofErr w:type="spellStart"/>
      <w:r>
        <w:rPr>
          <w:rFonts w:ascii="Times New Roman" w:eastAsia="Times New Roman" w:hAnsi="Times New Roman" w:cs="Times New Roman"/>
          <w:kern w:val="0"/>
          <w:lang w:eastAsia="en-GB"/>
          <w14:ligatures w14:val="none"/>
        </w:rPr>
        <w:t>Heletiy</w:t>
      </w:r>
      <w:proofErr w:type="spellEnd"/>
      <w:r>
        <w:rPr>
          <w:rFonts w:ascii="Times New Roman" w:eastAsia="Times New Roman" w:hAnsi="Times New Roman" w:cs="Times New Roman"/>
          <w:kern w:val="0"/>
          <w:lang w:eastAsia="en-GB"/>
          <w14:ligatures w14:val="none"/>
        </w:rPr>
        <w:t xml:space="preserve">, 2017). After independence, Ukraine tried to build democracy and join European institutions, while Russia wanted to keep it in its own political orbit (Toal, 2017). The conflict shows a struggle between two political systems: democracy and authoritarianism. Religion plays a smaller role, though the separation of the Ukrainian Orthodox Church from Moscow in 2018 became another symbol of independence (Bianchini and Minakov, 2018). In both countries, identity was used by political elites to justify war and protect their authority. In that sense, </w:t>
      </w:r>
      <w:r w:rsidRPr="00BA6434">
        <w:rPr>
          <w:rFonts w:ascii="Times New Roman" w:eastAsia="Times New Roman" w:hAnsi="Times New Roman" w:cs="Times New Roman"/>
          <w:kern w:val="0"/>
          <w:lang w:eastAsia="en-GB"/>
          <w14:ligatures w14:val="none"/>
        </w:rPr>
        <w:t>ethnic and political nationalism became weapons of power</w:t>
      </w:r>
      <w:r>
        <w:rPr>
          <w:rFonts w:ascii="Times New Roman" w:eastAsia="Times New Roman" w:hAnsi="Times New Roman" w:cs="Times New Roman"/>
          <w:kern w:val="0"/>
          <w:lang w:eastAsia="en-GB"/>
          <w14:ligatures w14:val="none"/>
        </w:rPr>
        <w:t>, supporting both Kaldor’s and Collier &amp; Hoeffler’s arguments that modern wars are driven by a mix of identity, politics, and economic interests.</w:t>
      </w:r>
    </w:p>
    <w:p w14:paraId="7A336C85" w14:textId="77777777" w:rsidR="001358E7" w:rsidRPr="00BA6434" w:rsidRDefault="001358E7" w:rsidP="001358E7">
      <w:pPr>
        <w:pStyle w:val="Heading2"/>
        <w:numPr>
          <w:ilvl w:val="1"/>
          <w:numId w:val="0"/>
        </w:numPr>
        <w:ind w:left="576" w:hanging="576"/>
        <w:rPr>
          <w:rFonts w:ascii="Times New Roman" w:eastAsia="Times New Roman" w:hAnsi="Times New Roman" w:cs="Times New Roman"/>
          <w:b/>
          <w:bCs/>
          <w:i/>
          <w:color w:val="auto"/>
          <w:szCs w:val="24"/>
          <w:lang w:eastAsia="en-GB"/>
        </w:rPr>
      </w:pPr>
      <w:bookmarkStart w:id="3" w:name="_Toc214031933"/>
      <w:r w:rsidRPr="00BA6434">
        <w:rPr>
          <w:rFonts w:ascii="Times New Roman" w:eastAsia="Times New Roman" w:hAnsi="Times New Roman" w:cs="Times New Roman"/>
          <w:b/>
          <w:bCs/>
          <w:color w:val="auto"/>
          <w:lang w:eastAsia="en-GB"/>
        </w:rPr>
        <w:lastRenderedPageBreak/>
        <w:t>Similarities Between the Two Conflicts</w:t>
      </w:r>
      <w:bookmarkEnd w:id="3"/>
    </w:p>
    <w:p w14:paraId="21D720C8" w14:textId="77777777" w:rsidR="001358E7" w:rsidRDefault="001358E7" w:rsidP="001358E7">
      <w:pPr>
        <w:spacing w:before="100" w:beforeAutospacing="1" w:after="100" w:afterAutospacing="1" w:line="48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Even if these wars happened in different times, they have many things in common.</w:t>
      </w:r>
    </w:p>
    <w:p w14:paraId="551152E0" w14:textId="77777777" w:rsidR="001358E7" w:rsidRDefault="001358E7" w:rsidP="001358E7">
      <w:p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First, they both concern identity politics. In Yugoslavia, people fought each other by being manipulated by ethnicity and nationalism. Identity is also important in Ukraine since Russia asserts that it is defending the Russian world, and it refuses to grant Ukraine independence (</w:t>
      </w:r>
      <w:proofErr w:type="spellStart"/>
      <w:r>
        <w:rPr>
          <w:rFonts w:ascii="Times New Roman" w:eastAsia="Times New Roman" w:hAnsi="Times New Roman" w:cs="Times New Roman"/>
          <w:kern w:val="0"/>
          <w:lang w:eastAsia="en-GB"/>
          <w14:ligatures w14:val="none"/>
        </w:rPr>
        <w:t>Zhurzhenko</w:t>
      </w:r>
      <w:proofErr w:type="spellEnd"/>
      <w:r>
        <w:rPr>
          <w:rFonts w:ascii="Times New Roman" w:eastAsia="Times New Roman" w:hAnsi="Times New Roman" w:cs="Times New Roman"/>
          <w:kern w:val="0"/>
          <w:lang w:eastAsia="en-GB"/>
          <w14:ligatures w14:val="none"/>
        </w:rPr>
        <w:t xml:space="preserve">, 2014). Secondly, the two reveal the vulnerability of the state. In the case of the Yugoslavia, militia and local leaders seized power in case of the breakdown of the federal government (Kaldor, 2012). At the time of the 2014 crisis in Ukraine, the government lost control over certain areas of the eastern region where separatists formed new governments with Russian assistance (Galeotti, 2019). Third, the two wars were turned into international conflicts. The UN, NATO and numerous NGOs were introduced by the Yugoslav wars. </w:t>
      </w:r>
    </w:p>
    <w:p w14:paraId="14A53A63" w14:textId="717EF795" w:rsidR="001358E7" w:rsidRDefault="001358E7" w:rsidP="001358E7">
      <w:p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The conflict in Ukraine is also international due to the involvement of NATO, EU and the US in the war (Duffield, </w:t>
      </w:r>
      <w:r w:rsidR="007A6B5B">
        <w:rPr>
          <w:rFonts w:ascii="Times New Roman" w:eastAsia="Times New Roman" w:hAnsi="Times New Roman" w:cs="Times New Roman"/>
          <w:kern w:val="0"/>
          <w:lang w:eastAsia="en-GB"/>
          <w14:ligatures w14:val="none"/>
        </w:rPr>
        <w:t>2001</w:t>
      </w:r>
      <w:r>
        <w:rPr>
          <w:rFonts w:ascii="Times New Roman" w:eastAsia="Times New Roman" w:hAnsi="Times New Roman" w:cs="Times New Roman"/>
          <w:kern w:val="0"/>
          <w:lang w:eastAsia="en-GB"/>
          <w14:ligatures w14:val="none"/>
        </w:rPr>
        <w:t xml:space="preserve">; Buzan and </w:t>
      </w:r>
      <w:proofErr w:type="spellStart"/>
      <w:r>
        <w:rPr>
          <w:rFonts w:ascii="Times New Roman" w:eastAsia="Times New Roman" w:hAnsi="Times New Roman" w:cs="Times New Roman"/>
          <w:kern w:val="0"/>
          <w:lang w:eastAsia="en-GB"/>
          <w14:ligatures w14:val="none"/>
        </w:rPr>
        <w:t>Waever</w:t>
      </w:r>
      <w:proofErr w:type="spellEnd"/>
      <w:r>
        <w:rPr>
          <w:rFonts w:ascii="Times New Roman" w:eastAsia="Times New Roman" w:hAnsi="Times New Roman" w:cs="Times New Roman"/>
          <w:kern w:val="0"/>
          <w:lang w:eastAsia="en-GB"/>
          <w14:ligatures w14:val="none"/>
        </w:rPr>
        <w:t>, 2003). Fourth, civilians were the greatest victims of both wars. This was genocide in Bosnia and destruction of many cities in Ukraine (Freedman, 2022). According to Kaldor (2012), civilians tend to be the primary target population in new wars since they use violence to control populations and not necessarily to win battles. Lastly, the two wars are dependent on information and propaganda. In Yugoslavia, the hate and the lies were propagated through state television (Silber and Little, 1997). Digital propaganda and manipulation of social media became a significant portion of the war in Ukraine (Bronk et al., 2023). According to Nordstrom (2004), in the new conflicts, the power of control is the power of perception rather than the military control.</w:t>
      </w:r>
    </w:p>
    <w:p w14:paraId="21BDA7BB" w14:textId="77777777" w:rsidR="001358E7" w:rsidRPr="00BA6434" w:rsidRDefault="001358E7" w:rsidP="001358E7">
      <w:pPr>
        <w:pStyle w:val="Heading2"/>
        <w:numPr>
          <w:ilvl w:val="1"/>
          <w:numId w:val="0"/>
        </w:numPr>
        <w:ind w:left="576" w:hanging="576"/>
        <w:rPr>
          <w:rFonts w:ascii="Times New Roman" w:eastAsia="Times New Roman" w:hAnsi="Times New Roman" w:cs="Times New Roman"/>
          <w:b/>
          <w:bCs/>
          <w:i/>
          <w:color w:val="auto"/>
          <w:lang w:eastAsia="en-GB"/>
        </w:rPr>
      </w:pPr>
      <w:bookmarkStart w:id="4" w:name="_Toc214031934"/>
      <w:r w:rsidRPr="00BA6434">
        <w:rPr>
          <w:rFonts w:ascii="Times New Roman" w:eastAsia="Times New Roman" w:hAnsi="Times New Roman" w:cs="Times New Roman"/>
          <w:b/>
          <w:bCs/>
          <w:color w:val="auto"/>
          <w:lang w:eastAsia="en-GB"/>
        </w:rPr>
        <w:lastRenderedPageBreak/>
        <w:t>Differences Between the Two Conflicts</w:t>
      </w:r>
      <w:bookmarkEnd w:id="4"/>
    </w:p>
    <w:p w14:paraId="03D87A84" w14:textId="77777777" w:rsidR="001358E7" w:rsidRDefault="001358E7" w:rsidP="001358E7">
      <w:pPr>
        <w:spacing w:before="100" w:beforeAutospacing="1" w:after="100" w:afterAutospacing="1" w:line="48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The first key distinction lies in the person that fights. The Yugoslav wars were primarily domestic civil wars in collapsing federation, whereas the war in Ukraine is an inter-interstate conflict due to the invasion of a sovereign state (Toal, 2017). It is also a hybrid war, which involves the use of military, disinformation, and cyberattacks (Keen, 2012). The other difference is motivation. The wars in Yugoslavia were concerned with the power in the area and the construction of the new states after the defeat of the communism (Woodward, 1995). In Ukraine, it is because of geopolitics: Russia does not want to give NATO too much power, and restore its dominance in the region (Mearsheimer, 2014).</w:t>
      </w:r>
    </w:p>
    <w:p w14:paraId="22E0DBAB" w14:textId="77777777" w:rsidR="001358E7" w:rsidRDefault="001358E7" w:rsidP="001358E7">
      <w:p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The economic aspects are also various. Local militias and elites were making money in black markets and looting in Yugoslavia (Collier and Hoeffler, 2004). This depicts the greed aspect of the theory in which business turns into a business of war. Economics in Ukraine is globalised: energy, sanctions, and reconstruction help are at the centre stage (Bergmann and Romanyshyn, 2022). Russia has employed gas exports as a political weapon and the Western states have employed sanctions as a new warfare weapon (Stegen, 2011). The world response was different. NATO has directly intervened in Bosnia and Kosovo by airstrikes in Yugoslavia (Judah, 1997). In Ukraine, NATO does not go to war, only offering weapons, intelligence, and economic support (Freedman, 2022). Lastly, there is the difference between the media and technology. During the 1990s, there was a slow passage of propaganda via the television and newspapers. The Ukrainian war nowadays is fought on the battlefield and online, where news is exposed in real-time (Bronk et al., 2023).</w:t>
      </w:r>
    </w:p>
    <w:p w14:paraId="2757EE10" w14:textId="77777777" w:rsidR="001358E7" w:rsidRPr="00BA6434" w:rsidRDefault="001358E7" w:rsidP="001358E7">
      <w:pPr>
        <w:pStyle w:val="Heading2"/>
        <w:numPr>
          <w:ilvl w:val="1"/>
          <w:numId w:val="0"/>
        </w:numPr>
        <w:ind w:left="576" w:hanging="576"/>
        <w:rPr>
          <w:rFonts w:ascii="Times New Roman" w:eastAsia="Times New Roman" w:hAnsi="Times New Roman" w:cs="Times New Roman"/>
          <w:b/>
          <w:bCs/>
          <w:i/>
          <w:color w:val="auto"/>
          <w:lang w:eastAsia="en-GB"/>
        </w:rPr>
      </w:pPr>
      <w:bookmarkStart w:id="5" w:name="_Toc214031935"/>
      <w:r w:rsidRPr="00BA6434">
        <w:rPr>
          <w:rFonts w:ascii="Times New Roman" w:eastAsia="Times New Roman" w:hAnsi="Times New Roman" w:cs="Times New Roman"/>
          <w:b/>
          <w:bCs/>
          <w:color w:val="auto"/>
          <w:lang w:eastAsia="en-GB"/>
        </w:rPr>
        <w:t>Outcomes and Consequences</w:t>
      </w:r>
      <w:bookmarkEnd w:id="5"/>
    </w:p>
    <w:p w14:paraId="7354A577" w14:textId="77777777" w:rsidR="001358E7" w:rsidRDefault="001358E7" w:rsidP="001358E7">
      <w:p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The war in Yugoslavia left the entire federation and gave birth to several new states. It caused the death of about 130,000 persons and millions of people lost their homes. The horror of the </w:t>
      </w:r>
      <w:r>
        <w:rPr>
          <w:rFonts w:ascii="Times New Roman" w:eastAsia="Times New Roman" w:hAnsi="Times New Roman" w:cs="Times New Roman"/>
          <w:kern w:val="0"/>
          <w:lang w:eastAsia="en-GB"/>
          <w14:ligatures w14:val="none"/>
        </w:rPr>
        <w:lastRenderedPageBreak/>
        <w:t>genocide in Srebrenica turned into the icon of the failure of the international community. The former Yugoslavia also formed the international criminal tribunal (ICTY) that was meant to administer justice on war crimes because of the war (Silber and Little, 1997). As Judah (1997) adds the war resulted in some profound trauma, but it also transformed the European thinking on the issue of peacekeeping and intervention (Duffield, 2001).</w:t>
      </w:r>
    </w:p>
    <w:p w14:paraId="115CB547" w14:textId="77777777" w:rsidR="001358E7" w:rsidRDefault="001358E7" w:rsidP="001358E7">
      <w:p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The outcomes remain unpredictable in Ukraine. Thousands of people, millions of people and shifting of the global political order are the results of the war. Nevertheless, it has provided strength to the Ukrainian national identity and the cohesion of the West as well (Freedman, 2022; Galeotti, 2019). The war re-defined NATO and its intention and it questioned international security institutions. According to Bekkers et al., (2019), the conflict is the beginning of the new wave of the war in Europe characterized by new elements economic sanctions, media war, and hybrid tactics.</w:t>
      </w:r>
    </w:p>
    <w:p w14:paraId="2CA31FC3" w14:textId="77777777" w:rsidR="001358E7" w:rsidRPr="00BA6434" w:rsidRDefault="001358E7" w:rsidP="001358E7">
      <w:pPr>
        <w:pStyle w:val="Heading1"/>
        <w:ind w:left="432" w:hanging="432"/>
        <w:rPr>
          <w:rFonts w:ascii="Times New Roman" w:eastAsia="Times New Roman" w:hAnsi="Times New Roman" w:cs="Times New Roman"/>
          <w:b/>
          <w:bCs/>
          <w:color w:val="auto"/>
          <w:sz w:val="32"/>
          <w:szCs w:val="32"/>
          <w:lang w:eastAsia="en-GB"/>
        </w:rPr>
      </w:pPr>
      <w:bookmarkStart w:id="6" w:name="_Toc214031936"/>
      <w:r w:rsidRPr="00BA6434">
        <w:rPr>
          <w:rFonts w:ascii="Times New Roman" w:eastAsia="Times New Roman" w:hAnsi="Times New Roman" w:cs="Times New Roman"/>
          <w:b/>
          <w:bCs/>
          <w:color w:val="auto"/>
          <w:sz w:val="32"/>
          <w:szCs w:val="32"/>
          <w:lang w:eastAsia="en-GB"/>
        </w:rPr>
        <w:t>Conclusion</w:t>
      </w:r>
      <w:bookmarkEnd w:id="6"/>
    </w:p>
    <w:p w14:paraId="090653CF" w14:textId="77777777" w:rsidR="001358E7" w:rsidRDefault="001358E7" w:rsidP="001358E7">
      <w:p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The conflicts in Yugoslavia and Ukraine reveal the development of modern war. They both began with political crises, economic disparity, and measures to rival concepts of statehood (Bianchini and Minakov, 2018). They are similar in characteristics such as nationalism, propaganda and civilian sufferings, yet vary in their organization and purpose. The wars that Yugoslavia had to fight were internal and national self-determination, whereas the war in Ukraine is international and is </w:t>
      </w:r>
      <w:proofErr w:type="spellStart"/>
      <w:r>
        <w:rPr>
          <w:rFonts w:ascii="Times New Roman" w:eastAsia="Times New Roman" w:hAnsi="Times New Roman" w:cs="Times New Roman"/>
          <w:kern w:val="0"/>
          <w:lang w:eastAsia="en-GB"/>
          <w14:ligatures w14:val="none"/>
        </w:rPr>
        <w:t>fueled</w:t>
      </w:r>
      <w:proofErr w:type="spellEnd"/>
      <w:r>
        <w:rPr>
          <w:rFonts w:ascii="Times New Roman" w:eastAsia="Times New Roman" w:hAnsi="Times New Roman" w:cs="Times New Roman"/>
          <w:kern w:val="0"/>
          <w:lang w:eastAsia="en-GB"/>
          <w14:ligatures w14:val="none"/>
        </w:rPr>
        <w:t xml:space="preserve"> by global power politics (Toal, 2017). The two cases support the fact that there are new and old wars coexisting together. The article by Collier and Hoeffler titled Greed and Grievance can be used to clarify the economic and political causes of conflicts whereas the article by Kaldor titled New Wars shows the social, identity based and globalised character of contemporary violence (Kaldor, 2012). Theories cannot be used to </w:t>
      </w:r>
      <w:r>
        <w:rPr>
          <w:rFonts w:ascii="Times New Roman" w:eastAsia="Times New Roman" w:hAnsi="Times New Roman" w:cs="Times New Roman"/>
          <w:kern w:val="0"/>
          <w:lang w:eastAsia="en-GB"/>
          <w14:ligatures w14:val="none"/>
        </w:rPr>
        <w:lastRenderedPageBreak/>
        <w:t xml:space="preserve">explain the complexity of war, but a combination of the two would help in the realization of why wars are still taking place in the 21 </w:t>
      </w:r>
      <w:proofErr w:type="spellStart"/>
      <w:r>
        <w:rPr>
          <w:rFonts w:ascii="Times New Roman" w:eastAsia="Times New Roman" w:hAnsi="Times New Roman" w:cs="Times New Roman"/>
          <w:kern w:val="0"/>
          <w:lang w:eastAsia="en-GB"/>
          <w14:ligatures w14:val="none"/>
        </w:rPr>
        <w:t>st</w:t>
      </w:r>
      <w:proofErr w:type="spellEnd"/>
      <w:r>
        <w:rPr>
          <w:rFonts w:ascii="Times New Roman" w:eastAsia="Times New Roman" w:hAnsi="Times New Roman" w:cs="Times New Roman"/>
          <w:kern w:val="0"/>
          <w:lang w:eastAsia="en-GB"/>
          <w14:ligatures w14:val="none"/>
        </w:rPr>
        <w:t xml:space="preserve"> century.</w:t>
      </w:r>
    </w:p>
    <w:p w14:paraId="52C9E91D" w14:textId="77777777" w:rsidR="001358E7" w:rsidRDefault="001358E7" w:rsidP="001358E7">
      <w:p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In both wars, there is also the presence of globalisation and media that globalize local wars. They remind us that peace is not merely the end of violence, but also a solution to injustice, corruption and lack of faith in political institutions. Lastly, Yugoslavia and Ukraine show how the delimiting line between the old and the new wars is </w:t>
      </w:r>
      <w:proofErr w:type="spellStart"/>
      <w:r>
        <w:rPr>
          <w:rFonts w:ascii="Times New Roman" w:eastAsia="Times New Roman" w:hAnsi="Times New Roman" w:cs="Times New Roman"/>
          <w:kern w:val="0"/>
          <w:lang w:eastAsia="en-GB"/>
          <w14:ligatures w14:val="none"/>
        </w:rPr>
        <w:t>gray</w:t>
      </w:r>
      <w:proofErr w:type="spellEnd"/>
      <w:r>
        <w:rPr>
          <w:rFonts w:ascii="Times New Roman" w:eastAsia="Times New Roman" w:hAnsi="Times New Roman" w:cs="Times New Roman"/>
          <w:kern w:val="0"/>
          <w:lang w:eastAsia="en-GB"/>
          <w14:ligatures w14:val="none"/>
        </w:rPr>
        <w:t xml:space="preserve"> and that regardless of the change of causes, human sufferings are the same (Galtung, 1990). These conflicts are significant to understand in its role to demonstrate that war is not only about armies or borders. It is concerning the failure of societies to cope with diversity, share power and defend a democracy. These examples can be used to learn and avoid future conflicts and create a more just and cooperative global system.</w:t>
      </w:r>
    </w:p>
    <w:p w14:paraId="2700F13A" w14:textId="5684B339" w:rsidR="001358E7" w:rsidRDefault="001358E7" w:rsidP="001358E7">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br w:type="page"/>
      </w:r>
    </w:p>
    <w:p w14:paraId="6A3302ED" w14:textId="5684B339" w:rsidR="001358E7" w:rsidRDefault="001358E7" w:rsidP="00D22620">
      <w:pPr>
        <w:pStyle w:val="Heading1"/>
        <w:rPr>
          <w:rFonts w:ascii="Times New Roman" w:eastAsia="Times New Roman" w:hAnsi="Times New Roman" w:cs="Times New Roman"/>
          <w:b/>
          <w:bCs/>
          <w:color w:val="auto"/>
          <w:lang w:eastAsia="en-GB"/>
        </w:rPr>
      </w:pPr>
      <w:bookmarkStart w:id="7" w:name="_Toc214031937"/>
      <w:r w:rsidRPr="00D22620">
        <w:rPr>
          <w:rFonts w:ascii="Times New Roman" w:eastAsia="Times New Roman" w:hAnsi="Times New Roman" w:cs="Times New Roman"/>
          <w:b/>
          <w:bCs/>
          <w:color w:val="auto"/>
          <w:lang w:eastAsia="en-GB"/>
        </w:rPr>
        <w:lastRenderedPageBreak/>
        <w:t>References</w:t>
      </w:r>
      <w:bookmarkEnd w:id="7"/>
      <w:r w:rsidRPr="00D22620">
        <w:rPr>
          <w:rFonts w:ascii="Times New Roman" w:eastAsia="Times New Roman" w:hAnsi="Times New Roman" w:cs="Times New Roman"/>
          <w:b/>
          <w:bCs/>
          <w:color w:val="auto"/>
          <w:lang w:eastAsia="en-GB"/>
        </w:rPr>
        <w:t xml:space="preserve"> </w:t>
      </w:r>
    </w:p>
    <w:p w14:paraId="5672504D" w14:textId="77777777" w:rsidR="00D22620" w:rsidRPr="00D22620" w:rsidRDefault="00D22620" w:rsidP="00D22620">
      <w:pPr>
        <w:rPr>
          <w:lang w:eastAsia="en-GB"/>
        </w:rPr>
      </w:pPr>
    </w:p>
    <w:p w14:paraId="42043B87" w14:textId="77777777" w:rsidR="001358E7" w:rsidRDefault="001358E7" w:rsidP="001358E7">
      <w:pPr>
        <w:pStyle w:val="NormalWeb"/>
        <w:spacing w:before="0" w:beforeAutospacing="0" w:after="0" w:afterAutospacing="0" w:line="480" w:lineRule="auto"/>
        <w:ind w:left="720" w:hanging="720"/>
      </w:pPr>
      <w:bookmarkStart w:id="8" w:name="_Hlk213853027"/>
      <w:bookmarkStart w:id="9" w:name="_Hlk213796465"/>
      <w:bookmarkStart w:id="10" w:name="_Hlk213796252"/>
      <w:r>
        <w:t>Bekkers</w:t>
      </w:r>
      <w:bookmarkEnd w:id="8"/>
      <w:r>
        <w:t xml:space="preserve">, F., Meessen, R. and </w:t>
      </w:r>
      <w:proofErr w:type="spellStart"/>
      <w:r>
        <w:t>Lassche</w:t>
      </w:r>
      <w:proofErr w:type="spellEnd"/>
      <w:r>
        <w:t>, D., (2019). Hybrid Conflicts: The New Normal?. Den Haag: TNO.</w:t>
      </w:r>
    </w:p>
    <w:p w14:paraId="376C866E" w14:textId="77777777" w:rsidR="001358E7" w:rsidRDefault="001358E7" w:rsidP="001358E7">
      <w:pPr>
        <w:pStyle w:val="NormalWeb"/>
        <w:spacing w:before="0" w:beforeAutospacing="0" w:after="0" w:afterAutospacing="0" w:line="480" w:lineRule="auto"/>
        <w:ind w:left="720" w:hanging="720"/>
      </w:pPr>
      <w:r>
        <w:t>Bergmann, J. and Romanyshyn, I., (2022</w:t>
      </w:r>
      <w:bookmarkEnd w:id="9"/>
      <w:r>
        <w:t>). Rebuilding Ukraine: How the EU should support Ukraine's reconstruction and recovery (No. 6/2022). IDOS Policy Brief.</w:t>
      </w:r>
    </w:p>
    <w:p w14:paraId="596E0260" w14:textId="77777777" w:rsidR="001358E7" w:rsidRDefault="001358E7" w:rsidP="001358E7">
      <w:pPr>
        <w:pStyle w:val="NormalWeb"/>
        <w:spacing w:before="0" w:beforeAutospacing="0" w:after="0" w:afterAutospacing="0" w:line="480" w:lineRule="auto"/>
        <w:ind w:left="720" w:hanging="720"/>
      </w:pPr>
      <w:r>
        <w:t xml:space="preserve">Bianchini, S. and Minakov, M., (2018). </w:t>
      </w:r>
      <w:bookmarkEnd w:id="10"/>
      <w:r>
        <w:t xml:space="preserve">State-building politics after the </w:t>
      </w:r>
      <w:proofErr w:type="spellStart"/>
      <w:r>
        <w:t>yugoslav</w:t>
      </w:r>
      <w:proofErr w:type="spellEnd"/>
      <w:r>
        <w:t xml:space="preserve"> and soviet collapse–The Western Balkans and Ukraine in a comparative perspective: An introduction. Southeastern Europe, 42(3), pp.291-304.</w:t>
      </w:r>
    </w:p>
    <w:p w14:paraId="6C5E0399" w14:textId="77777777" w:rsidR="001358E7" w:rsidRDefault="001358E7" w:rsidP="001358E7">
      <w:pPr>
        <w:pStyle w:val="NormalWeb"/>
        <w:spacing w:before="0" w:beforeAutospacing="0" w:after="0" w:afterAutospacing="0" w:line="480" w:lineRule="auto"/>
        <w:ind w:left="720" w:hanging="720"/>
      </w:pPr>
      <w:r>
        <w:t>Buzan, B. and Wæver, O. (2003) Regions and Powers: The Structure of International Security. Cambridge: Cambridge University Press.</w:t>
      </w:r>
    </w:p>
    <w:p w14:paraId="6DBD05E8" w14:textId="77777777" w:rsidR="001358E7" w:rsidRDefault="001358E7" w:rsidP="001358E7">
      <w:pPr>
        <w:pStyle w:val="NormalWeb"/>
        <w:spacing w:before="0" w:beforeAutospacing="0" w:after="0" w:afterAutospacing="0" w:line="480" w:lineRule="auto"/>
        <w:ind w:left="720" w:hanging="720"/>
      </w:pPr>
      <w:r>
        <w:t xml:space="preserve">Bronk, C., Collins, G. and Wallach, D.S., (2023). The Ukrainian information and cyber war. The Cyber </w:t>
      </w:r>
      <w:proofErr w:type="spellStart"/>
      <w:r>
        <w:t>Defense</w:t>
      </w:r>
      <w:proofErr w:type="spellEnd"/>
      <w:r>
        <w:t xml:space="preserve"> Review, 8(3), pp.33-50.</w:t>
      </w:r>
    </w:p>
    <w:p w14:paraId="079882E8" w14:textId="77777777" w:rsidR="001358E7" w:rsidRDefault="001358E7" w:rsidP="001358E7">
      <w:pPr>
        <w:pStyle w:val="NormalWeb"/>
        <w:spacing w:before="0" w:beforeAutospacing="0" w:after="0" w:afterAutospacing="0" w:line="480" w:lineRule="auto"/>
        <w:ind w:left="720" w:hanging="720"/>
      </w:pPr>
      <w:r>
        <w:t>Collier, P. and Hoeffler, A. (2004) ‘Greed and Grievance in Civil War’, Oxford Economic Papers, 56(4), pp.563–595.</w:t>
      </w:r>
    </w:p>
    <w:p w14:paraId="00E2A7DF" w14:textId="77777777" w:rsidR="001358E7" w:rsidRDefault="001358E7" w:rsidP="001358E7">
      <w:pPr>
        <w:pStyle w:val="NormalWeb"/>
        <w:spacing w:before="0" w:beforeAutospacing="0" w:after="0" w:afterAutospacing="0" w:line="480" w:lineRule="auto"/>
        <w:ind w:left="720" w:hanging="720"/>
      </w:pPr>
      <w:r>
        <w:t>Duffield, M. (2001) Global Governance and the New Wars. London: Zed Books.</w:t>
      </w:r>
    </w:p>
    <w:p w14:paraId="124EC239" w14:textId="77777777" w:rsidR="001358E7" w:rsidRDefault="001358E7" w:rsidP="001358E7">
      <w:pPr>
        <w:pStyle w:val="NormalWeb"/>
        <w:spacing w:before="0" w:beforeAutospacing="0" w:after="0" w:afterAutospacing="0" w:line="480" w:lineRule="auto"/>
        <w:ind w:left="720" w:hanging="720"/>
      </w:pPr>
      <w:r>
        <w:t>Freedman, L. (2019) Ukraine and the Art of Strategy. Oxford: Oxford University Press.</w:t>
      </w:r>
    </w:p>
    <w:p w14:paraId="727DBEA0" w14:textId="77777777" w:rsidR="001358E7" w:rsidRDefault="001358E7" w:rsidP="001358E7">
      <w:pPr>
        <w:pStyle w:val="NormalWeb"/>
        <w:spacing w:before="0" w:beforeAutospacing="0" w:after="0" w:afterAutospacing="0" w:line="480" w:lineRule="auto"/>
        <w:ind w:left="720" w:hanging="720"/>
      </w:pPr>
      <w:r>
        <w:t>Gagnon, V. P. (2004) The Myth of Ethnic War: Serbia and Croatia in the 1990s. Ithaca: Cornell University Press.</w:t>
      </w:r>
    </w:p>
    <w:p w14:paraId="5D06F520" w14:textId="77777777" w:rsidR="001358E7" w:rsidRDefault="001358E7" w:rsidP="001358E7">
      <w:pPr>
        <w:pStyle w:val="NormalWeb"/>
        <w:spacing w:before="0" w:beforeAutospacing="0" w:after="0" w:afterAutospacing="0" w:line="480" w:lineRule="auto"/>
        <w:ind w:left="720" w:hanging="720"/>
      </w:pPr>
      <w:r>
        <w:t>Galeotti, M. (2019) We Need to Talk About Putin: How the West Gets Him Wrong. London: Penguin.</w:t>
      </w:r>
    </w:p>
    <w:p w14:paraId="6EF6AB8E" w14:textId="77777777" w:rsidR="001358E7" w:rsidRDefault="001358E7" w:rsidP="001358E7">
      <w:pPr>
        <w:pStyle w:val="NormalWeb"/>
        <w:spacing w:before="0" w:beforeAutospacing="0" w:after="0" w:afterAutospacing="0" w:line="480" w:lineRule="auto"/>
        <w:ind w:left="720" w:hanging="720"/>
      </w:pPr>
      <w:r>
        <w:t>Galtung, J. (1990) ‘Cultural Violence’, Journal of Peace Research, 27(3), pp.291–305.</w:t>
      </w:r>
      <w:bookmarkStart w:id="11" w:name="_Hlk213796946"/>
    </w:p>
    <w:p w14:paraId="08206C1D" w14:textId="77777777" w:rsidR="001358E7" w:rsidRDefault="001358E7" w:rsidP="001358E7">
      <w:pPr>
        <w:pStyle w:val="NormalWeb"/>
        <w:spacing w:before="0" w:beforeAutospacing="0" w:after="0" w:afterAutospacing="0" w:line="480" w:lineRule="auto"/>
        <w:ind w:left="720" w:hanging="720"/>
      </w:pPr>
      <w:proofErr w:type="spellStart"/>
      <w:r>
        <w:t>Heletiy</w:t>
      </w:r>
      <w:proofErr w:type="spellEnd"/>
      <w:r>
        <w:t xml:space="preserve">, M., (2017). </w:t>
      </w:r>
      <w:bookmarkEnd w:id="11"/>
      <w:r>
        <w:t>Conflicts in the former Yugoslavia and their lessons for Ukraine. Ukraine Analytica, 3(03 (9)), pp.58-66.</w:t>
      </w:r>
    </w:p>
    <w:p w14:paraId="5EE03C05" w14:textId="77777777" w:rsidR="001358E7" w:rsidRDefault="001358E7" w:rsidP="001358E7">
      <w:pPr>
        <w:pStyle w:val="NormalWeb"/>
        <w:spacing w:before="0" w:beforeAutospacing="0" w:after="0" w:afterAutospacing="0" w:line="480" w:lineRule="auto"/>
        <w:ind w:left="720" w:hanging="720"/>
      </w:pPr>
      <w:r>
        <w:lastRenderedPageBreak/>
        <w:t>Judah, T. (1997) The Serbs: History, Myth and the Destruction of Yugoslavia. New Haven: Yale University Press.</w:t>
      </w:r>
    </w:p>
    <w:p w14:paraId="5B6B8174" w14:textId="77777777" w:rsidR="001358E7" w:rsidRDefault="001358E7" w:rsidP="001358E7">
      <w:pPr>
        <w:pStyle w:val="NormalWeb"/>
        <w:spacing w:before="0" w:beforeAutospacing="0" w:after="0" w:afterAutospacing="0" w:line="480" w:lineRule="auto"/>
        <w:ind w:left="720" w:hanging="720"/>
      </w:pPr>
      <w:r>
        <w:t>Kaldor, M. (2012) New and Old Wars: Organised Violence in a Global Era. 3rd ed. Cambridge: Polity Press.</w:t>
      </w:r>
    </w:p>
    <w:p w14:paraId="46521FB9" w14:textId="77777777" w:rsidR="001358E7" w:rsidRDefault="001358E7" w:rsidP="001358E7">
      <w:pPr>
        <w:pStyle w:val="NormalWeb"/>
        <w:spacing w:before="0" w:beforeAutospacing="0" w:after="0" w:afterAutospacing="0" w:line="480" w:lineRule="auto"/>
        <w:ind w:left="720" w:hanging="720"/>
      </w:pPr>
      <w:r>
        <w:t>Kalyvas, S. N. (2001) ‘“New” and “Old” Civil Wars: A Valid Distinction?’, World Politics, 54(1), pp.99–118.</w:t>
      </w:r>
    </w:p>
    <w:p w14:paraId="5797DB37" w14:textId="77777777" w:rsidR="001358E7" w:rsidRDefault="001358E7" w:rsidP="001358E7">
      <w:pPr>
        <w:pStyle w:val="NormalWeb"/>
        <w:spacing w:before="0" w:beforeAutospacing="0" w:after="0" w:afterAutospacing="0" w:line="480" w:lineRule="auto"/>
        <w:ind w:left="720" w:hanging="720"/>
      </w:pPr>
      <w:r>
        <w:t>Keen, D. (2012) Useful Enemies: When Waging War Is More Important Than Winning Them. New Haven: Yale University Press.</w:t>
      </w:r>
    </w:p>
    <w:p w14:paraId="77C1B31B" w14:textId="77777777" w:rsidR="001358E7" w:rsidRDefault="001358E7" w:rsidP="001358E7">
      <w:pPr>
        <w:pStyle w:val="NormalWeb"/>
        <w:spacing w:before="0" w:beforeAutospacing="0" w:after="0" w:afterAutospacing="0" w:line="480" w:lineRule="auto"/>
        <w:ind w:left="720" w:hanging="720"/>
      </w:pPr>
      <w:r>
        <w:t>Mearsheimer, J. (2014) ‘Why the Ukraine Crisis Is the West’s Fault’, Foreign Affairs, 93(5), pp.77–89.</w:t>
      </w:r>
    </w:p>
    <w:p w14:paraId="5D0102C0" w14:textId="77777777" w:rsidR="001358E7" w:rsidRDefault="001358E7" w:rsidP="001358E7">
      <w:pPr>
        <w:pStyle w:val="NormalWeb"/>
        <w:spacing w:before="0" w:beforeAutospacing="0" w:after="0" w:afterAutospacing="0" w:line="480" w:lineRule="auto"/>
        <w:ind w:left="720" w:hanging="720"/>
      </w:pPr>
      <w:r>
        <w:t>Nordstrom, C. (2004) Shadows of War: Violence, Power, and International Profiteering in the Twenty-First Century. Berkeley: University of California Press.</w:t>
      </w:r>
    </w:p>
    <w:p w14:paraId="0AD367FB" w14:textId="77777777" w:rsidR="001358E7" w:rsidRDefault="001358E7" w:rsidP="001358E7">
      <w:pPr>
        <w:pStyle w:val="NormalWeb"/>
        <w:spacing w:before="0" w:beforeAutospacing="0" w:after="0" w:afterAutospacing="0" w:line="480" w:lineRule="auto"/>
        <w:ind w:left="720" w:hanging="720"/>
      </w:pPr>
      <w:r>
        <w:t>Silber, L. and Little, A., (1997). Yugoslavia: Death of a nation (p. 416). New York: Penguin Books.</w:t>
      </w:r>
    </w:p>
    <w:p w14:paraId="6B48AEB2" w14:textId="77777777" w:rsidR="001358E7" w:rsidRDefault="001358E7" w:rsidP="001358E7">
      <w:pPr>
        <w:pStyle w:val="NormalWeb"/>
        <w:spacing w:before="0" w:beforeAutospacing="0" w:after="0" w:afterAutospacing="0" w:line="480" w:lineRule="auto"/>
        <w:ind w:left="720" w:hanging="720"/>
      </w:pPr>
      <w:r>
        <w:t>Snyder, T. (2018) The Road to Unfreedom: Russia, Europe, America. New York: Tim Duggan Books.</w:t>
      </w:r>
      <w:bookmarkStart w:id="12" w:name="_Hlk213796662"/>
    </w:p>
    <w:p w14:paraId="5E62CA70" w14:textId="77777777" w:rsidR="001358E7" w:rsidRDefault="001358E7" w:rsidP="001358E7">
      <w:pPr>
        <w:pStyle w:val="NormalWeb"/>
        <w:spacing w:before="0" w:beforeAutospacing="0" w:after="0" w:afterAutospacing="0" w:line="480" w:lineRule="auto"/>
        <w:ind w:left="720" w:hanging="720"/>
      </w:pPr>
      <w:r>
        <w:t xml:space="preserve">Stegen, K.S., (2011). </w:t>
      </w:r>
      <w:bookmarkEnd w:id="12"/>
      <w:r>
        <w:t>Deconstructing the “energy weapon”: Russia's threat to Europe as case study. Energy policy, 39(10), pp.6505-6513.</w:t>
      </w:r>
    </w:p>
    <w:p w14:paraId="0EFD1A8F" w14:textId="77777777" w:rsidR="001358E7" w:rsidRDefault="001358E7" w:rsidP="001358E7">
      <w:pPr>
        <w:pStyle w:val="NormalWeb"/>
        <w:spacing w:before="0" w:beforeAutospacing="0" w:after="0" w:afterAutospacing="0" w:line="480" w:lineRule="auto"/>
        <w:ind w:left="720" w:hanging="720"/>
      </w:pPr>
      <w:r>
        <w:t>Toal, G. (2017) Near Abroad: Putin, the West and the Contest over Ukraine and the Caucasus. Oxford: Oxford University Press.</w:t>
      </w:r>
    </w:p>
    <w:p w14:paraId="1EF09AB2" w14:textId="77777777" w:rsidR="001358E7" w:rsidRDefault="001358E7" w:rsidP="001358E7">
      <w:pPr>
        <w:pStyle w:val="NormalWeb"/>
        <w:spacing w:before="0" w:beforeAutospacing="0" w:after="0" w:afterAutospacing="0" w:line="480" w:lineRule="auto"/>
        <w:ind w:left="720" w:hanging="720"/>
      </w:pPr>
      <w:r>
        <w:t>Woodward, S. (1995) Balkan Tragedy: Chaos and Dissolution after the Cold War.</w:t>
      </w:r>
    </w:p>
    <w:p w14:paraId="0F6B61BA" w14:textId="77777777" w:rsidR="001358E7" w:rsidRDefault="001358E7" w:rsidP="001358E7">
      <w:pPr>
        <w:pStyle w:val="NormalWeb"/>
        <w:spacing w:before="0" w:beforeAutospacing="0" w:after="0" w:afterAutospacing="0" w:line="480" w:lineRule="auto"/>
        <w:ind w:left="720" w:hanging="720"/>
      </w:pPr>
      <w:r>
        <w:t>Zhurzhenko, T., (2014). A divided nation? Reconsidering the role of identity politics in the Ukraine crisis. Die Friedens-Warte, pp.249-267.</w:t>
      </w:r>
    </w:p>
    <w:p w14:paraId="2590E5DA" w14:textId="77777777" w:rsidR="001358E7" w:rsidRDefault="001358E7" w:rsidP="001358E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2CEA866" w14:textId="77777777" w:rsidR="001358E7" w:rsidRDefault="001358E7" w:rsidP="001358E7"/>
    <w:p w14:paraId="0D1F207B" w14:textId="77777777" w:rsidR="001358E7" w:rsidRDefault="001358E7" w:rsidP="001358E7"/>
    <w:p w14:paraId="7E2DD6D6" w14:textId="77777777" w:rsidR="001358E7" w:rsidRDefault="001358E7" w:rsidP="001358E7">
      <w:pPr>
        <w:spacing w:before="100" w:beforeAutospacing="1" w:after="100" w:afterAutospacing="1" w:line="240" w:lineRule="auto"/>
        <w:outlineLvl w:val="2"/>
      </w:pPr>
    </w:p>
    <w:p w14:paraId="72AAC604" w14:textId="77777777" w:rsidR="001D4E9E" w:rsidRDefault="001D4E9E"/>
    <w:sectPr w:rsidR="001D4E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8E7"/>
    <w:rsid w:val="0006715D"/>
    <w:rsid w:val="000A7A37"/>
    <w:rsid w:val="001358E7"/>
    <w:rsid w:val="001D4E9E"/>
    <w:rsid w:val="00704418"/>
    <w:rsid w:val="00721004"/>
    <w:rsid w:val="007A6B5B"/>
    <w:rsid w:val="008A44B4"/>
    <w:rsid w:val="00941494"/>
    <w:rsid w:val="00BA6434"/>
    <w:rsid w:val="00D22620"/>
    <w:rsid w:val="00E57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DDD2CE"/>
  <w15:chartTrackingRefBased/>
  <w15:docId w15:val="{F0BA7EFA-8601-4623-B3E6-341613A18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8E7"/>
  </w:style>
  <w:style w:type="paragraph" w:styleId="Heading1">
    <w:name w:val="heading 1"/>
    <w:basedOn w:val="Normal"/>
    <w:next w:val="Normal"/>
    <w:link w:val="Heading1Char"/>
    <w:uiPriority w:val="9"/>
    <w:qFormat/>
    <w:rsid w:val="001358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58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58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58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58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58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58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58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58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8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58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58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58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58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58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58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58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58E7"/>
    <w:rPr>
      <w:rFonts w:eastAsiaTheme="majorEastAsia" w:cstheme="majorBidi"/>
      <w:color w:val="272727" w:themeColor="text1" w:themeTint="D8"/>
    </w:rPr>
  </w:style>
  <w:style w:type="paragraph" w:styleId="Title">
    <w:name w:val="Title"/>
    <w:basedOn w:val="Normal"/>
    <w:next w:val="Normal"/>
    <w:link w:val="TitleChar"/>
    <w:uiPriority w:val="10"/>
    <w:qFormat/>
    <w:rsid w:val="001358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8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58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58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58E7"/>
    <w:pPr>
      <w:spacing w:before="160"/>
      <w:jc w:val="center"/>
    </w:pPr>
    <w:rPr>
      <w:i/>
      <w:iCs/>
      <w:color w:val="404040" w:themeColor="text1" w:themeTint="BF"/>
    </w:rPr>
  </w:style>
  <w:style w:type="character" w:customStyle="1" w:styleId="QuoteChar">
    <w:name w:val="Quote Char"/>
    <w:basedOn w:val="DefaultParagraphFont"/>
    <w:link w:val="Quote"/>
    <w:uiPriority w:val="29"/>
    <w:rsid w:val="001358E7"/>
    <w:rPr>
      <w:i/>
      <w:iCs/>
      <w:color w:val="404040" w:themeColor="text1" w:themeTint="BF"/>
    </w:rPr>
  </w:style>
  <w:style w:type="paragraph" w:styleId="ListParagraph">
    <w:name w:val="List Paragraph"/>
    <w:basedOn w:val="Normal"/>
    <w:uiPriority w:val="34"/>
    <w:qFormat/>
    <w:rsid w:val="001358E7"/>
    <w:pPr>
      <w:ind w:left="720"/>
      <w:contextualSpacing/>
    </w:pPr>
  </w:style>
  <w:style w:type="character" w:styleId="IntenseEmphasis">
    <w:name w:val="Intense Emphasis"/>
    <w:basedOn w:val="DefaultParagraphFont"/>
    <w:uiPriority w:val="21"/>
    <w:qFormat/>
    <w:rsid w:val="001358E7"/>
    <w:rPr>
      <w:i/>
      <w:iCs/>
      <w:color w:val="0F4761" w:themeColor="accent1" w:themeShade="BF"/>
    </w:rPr>
  </w:style>
  <w:style w:type="paragraph" w:styleId="IntenseQuote">
    <w:name w:val="Intense Quote"/>
    <w:basedOn w:val="Normal"/>
    <w:next w:val="Normal"/>
    <w:link w:val="IntenseQuoteChar"/>
    <w:uiPriority w:val="30"/>
    <w:qFormat/>
    <w:rsid w:val="001358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58E7"/>
    <w:rPr>
      <w:i/>
      <w:iCs/>
      <w:color w:val="0F4761" w:themeColor="accent1" w:themeShade="BF"/>
    </w:rPr>
  </w:style>
  <w:style w:type="character" w:styleId="IntenseReference">
    <w:name w:val="Intense Reference"/>
    <w:basedOn w:val="DefaultParagraphFont"/>
    <w:uiPriority w:val="32"/>
    <w:qFormat/>
    <w:rsid w:val="001358E7"/>
    <w:rPr>
      <w:b/>
      <w:bCs/>
      <w:smallCaps/>
      <w:color w:val="0F4761" w:themeColor="accent1" w:themeShade="BF"/>
      <w:spacing w:val="5"/>
    </w:rPr>
  </w:style>
  <w:style w:type="character" w:styleId="Hyperlink">
    <w:name w:val="Hyperlink"/>
    <w:basedOn w:val="DefaultParagraphFont"/>
    <w:uiPriority w:val="99"/>
    <w:unhideWhenUsed/>
    <w:rsid w:val="001358E7"/>
    <w:rPr>
      <w:color w:val="467886" w:themeColor="hyperlink"/>
      <w:u w:val="single"/>
    </w:rPr>
  </w:style>
  <w:style w:type="paragraph" w:styleId="NormalWeb">
    <w:name w:val="Normal (Web)"/>
    <w:basedOn w:val="Normal"/>
    <w:uiPriority w:val="99"/>
    <w:unhideWhenUsed/>
    <w:rsid w:val="001358E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1">
    <w:name w:val="toc 1"/>
    <w:basedOn w:val="Normal"/>
    <w:next w:val="Normal"/>
    <w:autoRedefine/>
    <w:uiPriority w:val="39"/>
    <w:unhideWhenUsed/>
    <w:rsid w:val="001358E7"/>
    <w:pPr>
      <w:spacing w:after="100"/>
    </w:pPr>
  </w:style>
  <w:style w:type="paragraph" w:styleId="TOC2">
    <w:name w:val="toc 2"/>
    <w:basedOn w:val="Normal"/>
    <w:next w:val="Normal"/>
    <w:autoRedefine/>
    <w:uiPriority w:val="39"/>
    <w:unhideWhenUsed/>
    <w:rsid w:val="001358E7"/>
    <w:pPr>
      <w:spacing w:after="100"/>
      <w:ind w:left="240"/>
    </w:pPr>
  </w:style>
  <w:style w:type="paragraph" w:customStyle="1" w:styleId="TOCHeading1">
    <w:name w:val="TOC Heading1"/>
    <w:basedOn w:val="Heading1"/>
    <w:next w:val="Normal"/>
    <w:uiPriority w:val="39"/>
    <w:unhideWhenUsed/>
    <w:qFormat/>
    <w:rsid w:val="001358E7"/>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2723</Words>
  <Characters>13239</Characters>
  <Application>Microsoft Office Word</Application>
  <DocSecurity>0</DocSecurity>
  <Lines>259</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dc:creator>
  <cp:keywords/>
  <dc:description/>
  <cp:lastModifiedBy>Alina Lis</cp:lastModifiedBy>
  <cp:revision>2</cp:revision>
  <dcterms:created xsi:type="dcterms:W3CDTF">2025-12-11T18:16:00Z</dcterms:created>
  <dcterms:modified xsi:type="dcterms:W3CDTF">2025-12-11T18:16:00Z</dcterms:modified>
</cp:coreProperties>
</file>