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35"/>
      </w:tblGrid>
      <w:tr w:rsidR="00F927A1" w:rsidRPr="005D3F07" w14:paraId="68CAA39D" w14:textId="77777777" w:rsidTr="00075DFE">
        <w:trPr>
          <w:trHeight w:val="3923"/>
        </w:trPr>
        <w:tc>
          <w:tcPr>
            <w:tcW w:w="10535" w:type="dxa"/>
          </w:tcPr>
          <w:p w14:paraId="02F8EE88" w14:textId="726A22CF"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075DFE">
              <w:rPr>
                <w:rFonts w:ascii="Times New Roman" w:hAnsi="Times New Roman" w:cs="Times New Roman"/>
                <w:b/>
                <w:color w:val="auto"/>
                <w:sz w:val="48"/>
              </w:rPr>
              <w:t>Hayley Jones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3DD658E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075DFE">
              <w:rPr>
                <w:rFonts w:ascii="Times New Roman" w:hAnsi="Times New Roman" w:cs="Times New Roman"/>
                <w:b/>
                <w:color w:val="auto"/>
                <w:sz w:val="48"/>
              </w:rPr>
              <w:t xml:space="preserve"> </w:t>
            </w:r>
            <w:r w:rsidR="00075DFE" w:rsidRPr="00075DFE">
              <w:rPr>
                <w:rFonts w:ascii="Times New Roman" w:hAnsi="Times New Roman" w:cs="Times New Roman"/>
                <w:b/>
                <w:color w:val="auto"/>
                <w:sz w:val="48"/>
              </w:rPr>
              <w:t>2521751@student.uwtsd.ac.uk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2BA9368"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075DFE">
              <w:rPr>
                <w:rFonts w:ascii="Times New Roman" w:hAnsi="Times New Roman" w:cs="Times New Roman"/>
                <w:b/>
                <w:color w:val="auto"/>
                <w:sz w:val="48"/>
              </w:rPr>
              <w:t xml:space="preserve"> 252751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112B0226" w14:textId="77777777" w:rsidR="003235CB" w:rsidRPr="003235CB" w:rsidRDefault="003235CB" w:rsidP="003235CB">
            <w:pPr>
              <w:jc w:val="both"/>
              <w:rPr>
                <w:b/>
                <w:bCs/>
                <w:iCs/>
                <w:sz w:val="24"/>
                <w:szCs w:val="24"/>
                <w:u w:val="single"/>
              </w:rPr>
            </w:pPr>
          </w:p>
          <w:p w14:paraId="68D79CDC" w14:textId="77777777" w:rsidR="00862AE1" w:rsidRDefault="00862AE1" w:rsidP="00862AE1">
            <w:pPr>
              <w:jc w:val="both"/>
              <w:rPr>
                <w:iCs/>
                <w:sz w:val="24"/>
                <w:szCs w:val="24"/>
              </w:rPr>
            </w:pPr>
            <w:r w:rsidRPr="00862AE1">
              <w:rPr>
                <w:iCs/>
                <w:sz w:val="24"/>
                <w:szCs w:val="24"/>
              </w:rPr>
              <w:t xml:space="preserve">This essay critically reflects on a safeguarding case I was allocated as a Social Worker in South Wales. All information has been anonymised in accordance with the Social Care Wales (SCW) Code of Professional Practice, the Data Protection Act 2018 and UK GDPR. </w:t>
            </w:r>
          </w:p>
          <w:p w14:paraId="2EBCEBCF" w14:textId="77777777" w:rsidR="00862AE1" w:rsidRDefault="00862AE1" w:rsidP="00862AE1">
            <w:pPr>
              <w:jc w:val="both"/>
              <w:rPr>
                <w:iCs/>
                <w:sz w:val="24"/>
                <w:szCs w:val="24"/>
              </w:rPr>
            </w:pPr>
          </w:p>
          <w:p w14:paraId="7A0ED2DA" w14:textId="32A994C4" w:rsidR="00862AE1" w:rsidRDefault="00862AE1" w:rsidP="00862AE1">
            <w:pPr>
              <w:jc w:val="both"/>
              <w:rPr>
                <w:iCs/>
                <w:sz w:val="24"/>
                <w:szCs w:val="24"/>
              </w:rPr>
            </w:pPr>
            <w:r w:rsidRPr="00862AE1">
              <w:rPr>
                <w:iCs/>
                <w:sz w:val="24"/>
                <w:szCs w:val="24"/>
              </w:rPr>
              <w:t>The case involved an older adult, referred to as 1, whose circumstances raised significant safeguarding concerns relating to self</w:t>
            </w:r>
            <w:r w:rsidRPr="00862AE1">
              <w:rPr>
                <w:iCs/>
                <w:sz w:val="24"/>
                <w:szCs w:val="24"/>
              </w:rPr>
              <w:noBreakHyphen/>
              <w:t>neglect, financial exploitation, deteriorating home conditions and possible cognitive decline. The purpose of this reflection is to evaluate how assessment, analysis, multi</w:t>
            </w:r>
            <w:r w:rsidRPr="00862AE1">
              <w:rPr>
                <w:iCs/>
                <w:sz w:val="24"/>
                <w:szCs w:val="24"/>
              </w:rPr>
              <w:noBreakHyphen/>
              <w:t>agency collaboration and professional judgement shaped safeguarding intervention, while demonstrating how legislation, policy, theory and Welsh</w:t>
            </w:r>
            <w:r w:rsidRPr="00862AE1">
              <w:rPr>
                <w:iCs/>
                <w:sz w:val="24"/>
                <w:szCs w:val="24"/>
              </w:rPr>
              <w:noBreakHyphen/>
              <w:t>specific practice requirements informed decision</w:t>
            </w:r>
            <w:r w:rsidRPr="00862AE1">
              <w:rPr>
                <w:iCs/>
                <w:sz w:val="24"/>
                <w:szCs w:val="24"/>
              </w:rPr>
              <w:noBreakHyphen/>
              <w:t>making. In doing so, the essay highlights the complexity of safeguarding practice and the importance of reflective, rights</w:t>
            </w:r>
            <w:r w:rsidRPr="00862AE1">
              <w:rPr>
                <w:iCs/>
                <w:sz w:val="24"/>
                <w:szCs w:val="24"/>
              </w:rPr>
              <w:noBreakHyphen/>
              <w:t>based, person</w:t>
            </w:r>
            <w:r w:rsidRPr="00862AE1">
              <w:rPr>
                <w:iCs/>
                <w:sz w:val="24"/>
                <w:szCs w:val="24"/>
              </w:rPr>
              <w:noBreakHyphen/>
              <w:t>centred intervention. </w:t>
            </w:r>
          </w:p>
          <w:p w14:paraId="7DFA36A8" w14:textId="77777777" w:rsidR="00862AE1" w:rsidRPr="00862AE1" w:rsidRDefault="00862AE1" w:rsidP="00862AE1">
            <w:pPr>
              <w:jc w:val="both"/>
              <w:rPr>
                <w:iCs/>
                <w:sz w:val="24"/>
                <w:szCs w:val="24"/>
              </w:rPr>
            </w:pPr>
          </w:p>
          <w:p w14:paraId="25BBF074" w14:textId="77777777" w:rsidR="00862AE1" w:rsidRDefault="00862AE1" w:rsidP="00862AE1">
            <w:pPr>
              <w:jc w:val="both"/>
              <w:rPr>
                <w:iCs/>
                <w:sz w:val="24"/>
                <w:szCs w:val="24"/>
              </w:rPr>
            </w:pPr>
            <w:r w:rsidRPr="00862AE1">
              <w:rPr>
                <w:iCs/>
                <w:sz w:val="24"/>
                <w:szCs w:val="24"/>
              </w:rPr>
              <w:t>1 lived in a privately owned end</w:t>
            </w:r>
            <w:r w:rsidRPr="00862AE1">
              <w:rPr>
                <w:iCs/>
                <w:sz w:val="24"/>
                <w:szCs w:val="24"/>
              </w:rPr>
              <w:noBreakHyphen/>
              <w:t>of</w:t>
            </w:r>
            <w:r w:rsidRPr="00862AE1">
              <w:rPr>
                <w:iCs/>
                <w:sz w:val="24"/>
                <w:szCs w:val="24"/>
              </w:rPr>
              <w:noBreakHyphen/>
              <w:t>terrace property in a rural South Wales village. She had lived there her entire life with her husband, adult son and adult daughter. The family’s long</w:t>
            </w:r>
            <w:r w:rsidRPr="00862AE1">
              <w:rPr>
                <w:iCs/>
                <w:sz w:val="24"/>
                <w:szCs w:val="24"/>
              </w:rPr>
              <w:noBreakHyphen/>
              <w:t>standing connection to the local community reflected the strong sense of identity and belonging often associated with Welsh valley communities. While such connections can promote resilience, Braye, Orr and Cooper (2014) note that community familiarity can normalise deteriorating living conditions, delaying safeguarding referrals. This appeared relevant in 1’s situation, as neighbours had become accustomed to disturbances and environmental decline before escalating concerns to the police. </w:t>
            </w:r>
          </w:p>
          <w:p w14:paraId="0CCCD2F6" w14:textId="77777777" w:rsidR="00862AE1" w:rsidRPr="00862AE1" w:rsidRDefault="00862AE1" w:rsidP="00862AE1">
            <w:pPr>
              <w:jc w:val="both"/>
              <w:rPr>
                <w:iCs/>
                <w:sz w:val="24"/>
                <w:szCs w:val="24"/>
              </w:rPr>
            </w:pPr>
          </w:p>
          <w:p w14:paraId="36046457" w14:textId="77777777" w:rsidR="00862AE1" w:rsidRDefault="00862AE1" w:rsidP="00862AE1">
            <w:pPr>
              <w:jc w:val="both"/>
              <w:rPr>
                <w:iCs/>
                <w:sz w:val="24"/>
                <w:szCs w:val="24"/>
              </w:rPr>
            </w:pPr>
            <w:r w:rsidRPr="00862AE1">
              <w:rPr>
                <w:iCs/>
                <w:sz w:val="24"/>
                <w:szCs w:val="24"/>
              </w:rPr>
              <w:lastRenderedPageBreak/>
              <w:t>The family context was complex and required careful analysis. 1’s son was known to South Wales Police due to substance misuse, alcohol misuse and abusive behaviour towards former partners. Her daughter had experienced traumatic bereavement and lived with complex post</w:t>
            </w:r>
            <w:r w:rsidRPr="00862AE1">
              <w:rPr>
                <w:iCs/>
                <w:sz w:val="24"/>
                <w:szCs w:val="24"/>
              </w:rPr>
              <w:noBreakHyphen/>
              <w:t>traumatic stress disorder (PTSD). Her husband was also noted to have cognitive decline. Research indicates that unresolved trauma and bereavement can significantly affect family functioning, coping capacity and caregiving relationships (Hugenschmidt et al., 2024). Understanding these dynamics was essential when assessing risk, as safeguarding concerns rarely arise in isolation but are shaped by wider relational and environmental factors. </w:t>
            </w:r>
          </w:p>
          <w:p w14:paraId="4C7FF592" w14:textId="77777777" w:rsidR="00862AE1" w:rsidRPr="00862AE1" w:rsidRDefault="00862AE1" w:rsidP="00862AE1">
            <w:pPr>
              <w:jc w:val="both"/>
              <w:rPr>
                <w:iCs/>
                <w:sz w:val="24"/>
                <w:szCs w:val="24"/>
              </w:rPr>
            </w:pPr>
          </w:p>
          <w:p w14:paraId="618A1B0C" w14:textId="77777777" w:rsidR="00862AE1" w:rsidRDefault="00862AE1" w:rsidP="00862AE1">
            <w:pPr>
              <w:jc w:val="both"/>
              <w:rPr>
                <w:iCs/>
                <w:sz w:val="24"/>
                <w:szCs w:val="24"/>
              </w:rPr>
            </w:pPr>
            <w:r w:rsidRPr="00862AE1">
              <w:rPr>
                <w:iCs/>
                <w:sz w:val="24"/>
                <w:szCs w:val="24"/>
              </w:rPr>
              <w:t>Practising in Wales required consideration of duties under the Welsh Language (Wales) Measure 2011 (Welsh Government, 2011) and the ‘More Than Just Words’ framework (Welsh Government, 2022). Although 1 did not require Welsh</w:t>
            </w:r>
            <w:r w:rsidRPr="00862AE1">
              <w:rPr>
                <w:iCs/>
                <w:sz w:val="24"/>
                <w:szCs w:val="24"/>
              </w:rPr>
              <w:noBreakHyphen/>
              <w:t>language services, respecting language choice remained important in promoting dignity, participation and the principle of voice and control embedded within the Social Services and Well</w:t>
            </w:r>
            <w:r w:rsidRPr="00862AE1">
              <w:rPr>
                <w:iCs/>
                <w:sz w:val="24"/>
                <w:szCs w:val="24"/>
              </w:rPr>
              <w:noBreakHyphen/>
              <w:t>being (Wales) Act 2014 (Welsh Government, 2014). These duties reflect the broader Welsh policy context, which emphasises cultural identity, linguistic rights and person</w:t>
            </w:r>
            <w:r w:rsidRPr="00862AE1">
              <w:rPr>
                <w:iCs/>
                <w:sz w:val="24"/>
                <w:szCs w:val="24"/>
              </w:rPr>
              <w:noBreakHyphen/>
              <w:t>centred practice. </w:t>
            </w:r>
          </w:p>
          <w:p w14:paraId="5812335F" w14:textId="77777777" w:rsidR="00B0265A" w:rsidRDefault="00B0265A" w:rsidP="00862AE1">
            <w:pPr>
              <w:jc w:val="both"/>
              <w:rPr>
                <w:iCs/>
                <w:sz w:val="24"/>
                <w:szCs w:val="24"/>
              </w:rPr>
            </w:pPr>
          </w:p>
          <w:p w14:paraId="6CE734CA" w14:textId="77777777" w:rsidR="00B0265A" w:rsidRPr="00B0265A" w:rsidRDefault="00B0265A" w:rsidP="00B0265A">
            <w:pPr>
              <w:jc w:val="both"/>
              <w:rPr>
                <w:iCs/>
                <w:sz w:val="24"/>
                <w:szCs w:val="24"/>
              </w:rPr>
            </w:pPr>
            <w:r w:rsidRPr="00B0265A">
              <w:rPr>
                <w:iCs/>
                <w:sz w:val="24"/>
                <w:szCs w:val="24"/>
              </w:rPr>
              <w:t>The Social Services and Well-being (Wales) Act 2014 reflects a distinctive Welsh approach to social care through its emphasis on wellbeing, prevention, co-production and strengths-based practice. These principles influenced intervention throughout the case by promoting engagement, participation and least restrictive decision-making. The rural nature of the area also highlighted challenges associated with service accessibility and social isolation that can be particularly relevant within parts of Wales.</w:t>
            </w:r>
          </w:p>
          <w:p w14:paraId="1BB07CAC" w14:textId="77777777" w:rsidR="00B0265A" w:rsidRDefault="00B0265A" w:rsidP="00862AE1">
            <w:pPr>
              <w:jc w:val="both"/>
              <w:rPr>
                <w:iCs/>
                <w:sz w:val="24"/>
                <w:szCs w:val="24"/>
              </w:rPr>
            </w:pPr>
          </w:p>
          <w:p w14:paraId="0A3C731B" w14:textId="77777777" w:rsidR="00862AE1" w:rsidRDefault="00862AE1" w:rsidP="00862AE1">
            <w:pPr>
              <w:jc w:val="both"/>
              <w:rPr>
                <w:iCs/>
                <w:sz w:val="24"/>
                <w:szCs w:val="24"/>
              </w:rPr>
            </w:pPr>
            <w:r w:rsidRPr="00862AE1">
              <w:rPr>
                <w:iCs/>
                <w:sz w:val="24"/>
                <w:szCs w:val="24"/>
              </w:rPr>
              <w:t>Initial safeguarding concerns emerged following multiple police reports from neighbours and passers</w:t>
            </w:r>
            <w:r w:rsidRPr="00862AE1">
              <w:rPr>
                <w:iCs/>
                <w:sz w:val="24"/>
                <w:szCs w:val="24"/>
              </w:rPr>
              <w:noBreakHyphen/>
              <w:t>by who heard shouting and disturbances from the property. Despite repeated welfare checks, 1 refused access to the home, allowing professionals only into the hallway. Police officers described her as unkempt and raised concerns about poor living conditions. The frequency of reports indicated escalating concern rather than isolated incidents. While individuals have the right to make unwise decisions, social workers must consider whether lifestyle choices conceal abuse, neglect or unmet care and support needs. This required careful balancing of autonomy and protection, a recurring theme throughout the case. </w:t>
            </w:r>
          </w:p>
          <w:p w14:paraId="713C8EC2" w14:textId="77777777" w:rsidR="00862AE1" w:rsidRPr="00862AE1" w:rsidRDefault="00862AE1" w:rsidP="00862AE1">
            <w:pPr>
              <w:jc w:val="both"/>
              <w:rPr>
                <w:iCs/>
                <w:sz w:val="24"/>
                <w:szCs w:val="24"/>
              </w:rPr>
            </w:pPr>
          </w:p>
          <w:p w14:paraId="4C187AD2" w14:textId="77777777" w:rsidR="00862AE1" w:rsidRDefault="00862AE1" w:rsidP="00862AE1">
            <w:pPr>
              <w:jc w:val="both"/>
              <w:rPr>
                <w:iCs/>
                <w:sz w:val="24"/>
                <w:szCs w:val="24"/>
              </w:rPr>
            </w:pPr>
            <w:r w:rsidRPr="00862AE1">
              <w:rPr>
                <w:iCs/>
                <w:sz w:val="24"/>
                <w:szCs w:val="24"/>
              </w:rPr>
              <w:t>The information presented required careful analysis rather than assumptions based solely on the home’s condition. The combination of 1’s reluctance to allow access, concerns about family members, and her appearance required consideration of whether she met the statutory definition of an adult at risk under the Social Services and Well</w:t>
            </w:r>
            <w:r w:rsidRPr="00862AE1">
              <w:rPr>
                <w:iCs/>
                <w:sz w:val="24"/>
                <w:szCs w:val="24"/>
              </w:rPr>
              <w:noBreakHyphen/>
              <w:t>being (Wales) Act 2014. The Act defines an adult at risk as someone with care and support needs who is experiencing or at risk of abuse or neglect and unable to protect themselves. At this stage, it was unclear whether concerns reflected choice, self</w:t>
            </w:r>
            <w:r w:rsidRPr="00862AE1">
              <w:rPr>
                <w:iCs/>
                <w:sz w:val="24"/>
                <w:szCs w:val="24"/>
              </w:rPr>
              <w:noBreakHyphen/>
              <w:t>neglect, coercion or multiple interacting factors. This highlighted the need to balance respect for autonomy with safeguarding responsibilities. </w:t>
            </w:r>
          </w:p>
          <w:p w14:paraId="450D2919" w14:textId="77777777" w:rsidR="00862AE1" w:rsidRPr="00862AE1" w:rsidRDefault="00862AE1" w:rsidP="00862AE1">
            <w:pPr>
              <w:jc w:val="both"/>
              <w:rPr>
                <w:iCs/>
                <w:sz w:val="24"/>
                <w:szCs w:val="24"/>
              </w:rPr>
            </w:pPr>
          </w:p>
          <w:p w14:paraId="219736FB" w14:textId="77777777" w:rsidR="00364D53" w:rsidRDefault="00364D53" w:rsidP="00364D53">
            <w:pPr>
              <w:jc w:val="both"/>
              <w:rPr>
                <w:iCs/>
                <w:sz w:val="24"/>
                <w:szCs w:val="24"/>
              </w:rPr>
            </w:pPr>
            <w:r w:rsidRPr="00364D53">
              <w:rPr>
                <w:iCs/>
                <w:sz w:val="24"/>
                <w:szCs w:val="24"/>
              </w:rPr>
              <w:t xml:space="preserve">Section 126 safeguarding enquiries commenced, and a multi-agency assessment process began. Information was gathered from police reports, district nurses, environmental health officers, family members and 1 herself. </w:t>
            </w:r>
          </w:p>
          <w:p w14:paraId="446292D9" w14:textId="77777777" w:rsidR="00364D53" w:rsidRDefault="00364D53" w:rsidP="00364D53">
            <w:pPr>
              <w:jc w:val="both"/>
              <w:rPr>
                <w:iCs/>
                <w:sz w:val="24"/>
                <w:szCs w:val="24"/>
              </w:rPr>
            </w:pPr>
          </w:p>
          <w:p w14:paraId="0AAC1EA5" w14:textId="412505F6" w:rsidR="00364D53" w:rsidRDefault="00364D53" w:rsidP="00364D53">
            <w:pPr>
              <w:jc w:val="both"/>
              <w:rPr>
                <w:iCs/>
                <w:sz w:val="24"/>
                <w:szCs w:val="24"/>
              </w:rPr>
            </w:pPr>
            <w:r w:rsidRPr="00364D53">
              <w:rPr>
                <w:iCs/>
                <w:sz w:val="24"/>
                <w:szCs w:val="24"/>
              </w:rPr>
              <w:lastRenderedPageBreak/>
              <w:t>Effective assessment requires more than information collection; it requires critical analysis to understand interactions between risk, vulnerability, resilience and protective factors (Helm, 2010). Initially, self-neglect linked to home conditions appeared the primary concern, but further issues emerged as assessment progressed.</w:t>
            </w:r>
          </w:p>
          <w:p w14:paraId="1E7B308C" w14:textId="77777777" w:rsidR="00BF14CB" w:rsidRDefault="00BF14CB" w:rsidP="00364D53">
            <w:pPr>
              <w:jc w:val="both"/>
              <w:rPr>
                <w:iCs/>
                <w:sz w:val="24"/>
                <w:szCs w:val="24"/>
              </w:rPr>
            </w:pPr>
          </w:p>
          <w:p w14:paraId="5B8E2344" w14:textId="77777777" w:rsidR="00BF14CB" w:rsidRDefault="00BF14CB" w:rsidP="00BF14CB">
            <w:pPr>
              <w:jc w:val="both"/>
              <w:rPr>
                <w:iCs/>
                <w:sz w:val="24"/>
                <w:szCs w:val="24"/>
              </w:rPr>
            </w:pPr>
            <w:r w:rsidRPr="00BF14CB">
              <w:rPr>
                <w:iCs/>
                <w:sz w:val="24"/>
                <w:szCs w:val="24"/>
              </w:rPr>
              <w:t xml:space="preserve">Assessment within safeguarding is not a linear process but an evolving activity requiring practitioners to continually analyse and reinterpret information as it becomes available. Milner and O'Byrne (2009) argue that effective assessment relies upon the integration of observation, communication, evidence gathering and critical reflection. </w:t>
            </w:r>
          </w:p>
          <w:p w14:paraId="52076526" w14:textId="77777777" w:rsidR="00BF14CB" w:rsidRDefault="00BF14CB" w:rsidP="00BF14CB">
            <w:pPr>
              <w:jc w:val="both"/>
              <w:rPr>
                <w:iCs/>
                <w:sz w:val="24"/>
                <w:szCs w:val="24"/>
              </w:rPr>
            </w:pPr>
          </w:p>
          <w:p w14:paraId="4E291980" w14:textId="76EBE043" w:rsidR="00BF14CB" w:rsidRDefault="00BF14CB" w:rsidP="00BF14CB">
            <w:pPr>
              <w:jc w:val="both"/>
              <w:rPr>
                <w:iCs/>
                <w:sz w:val="24"/>
                <w:szCs w:val="24"/>
              </w:rPr>
            </w:pPr>
            <w:r w:rsidRPr="00BF14CB">
              <w:rPr>
                <w:iCs/>
                <w:sz w:val="24"/>
                <w:szCs w:val="24"/>
              </w:rPr>
              <w:t>In this case, the assessment initially focused on environmental concerns and apparent self-neglect. However, as additional information emerged from family members, health professionals and partner agencies, the analysis evolved to include cognitive decline, financial exploitation and coercive family dynamics. This demonstrated the importance of moving beyond presenting concerns and maintaining an investigative and analytical approach throughout the safeguarding process.</w:t>
            </w:r>
          </w:p>
          <w:p w14:paraId="25A7716B" w14:textId="77777777" w:rsidR="00505BF9" w:rsidRPr="00BF14CB" w:rsidRDefault="00505BF9" w:rsidP="00BF14CB">
            <w:pPr>
              <w:jc w:val="both"/>
              <w:rPr>
                <w:iCs/>
                <w:sz w:val="24"/>
                <w:szCs w:val="24"/>
              </w:rPr>
            </w:pPr>
          </w:p>
          <w:p w14:paraId="19C43099" w14:textId="302049E2" w:rsidR="00BF14CB" w:rsidRPr="00BF14CB" w:rsidRDefault="00D258BF" w:rsidP="00BF14CB">
            <w:pPr>
              <w:jc w:val="both"/>
              <w:rPr>
                <w:iCs/>
                <w:sz w:val="24"/>
                <w:szCs w:val="24"/>
              </w:rPr>
            </w:pPr>
            <w:r>
              <w:rPr>
                <w:iCs/>
                <w:sz w:val="24"/>
                <w:szCs w:val="24"/>
              </w:rPr>
              <w:t>T</w:t>
            </w:r>
            <w:r w:rsidR="00BF14CB" w:rsidRPr="00BF14CB">
              <w:rPr>
                <w:iCs/>
                <w:sz w:val="24"/>
                <w:szCs w:val="24"/>
              </w:rPr>
              <w:t>here was a risk that the visibly poor property conditions could have dominated professional thinking and narrowed the scope of assessment. The concept of ‘start again syndrome’ identified in safeguarding reviews highlights how professionals can become focused on immediate concerns whilst overlooking wider patterns of abuse or neglect. Ongoing analysis, supervision and multi-agency discussion proved essential in broadening understanding and ensuring that assessment remained holistic rather than issue specific.</w:t>
            </w:r>
          </w:p>
          <w:p w14:paraId="282FF0F5" w14:textId="77777777" w:rsidR="00BF14CB" w:rsidRDefault="00BF14CB" w:rsidP="00364D53">
            <w:pPr>
              <w:jc w:val="both"/>
              <w:rPr>
                <w:iCs/>
                <w:sz w:val="24"/>
                <w:szCs w:val="24"/>
              </w:rPr>
            </w:pPr>
          </w:p>
          <w:p w14:paraId="08205B83" w14:textId="77777777" w:rsidR="00364D53" w:rsidRDefault="00364D53" w:rsidP="00364D53">
            <w:pPr>
              <w:jc w:val="both"/>
              <w:rPr>
                <w:iCs/>
                <w:sz w:val="24"/>
                <w:szCs w:val="24"/>
              </w:rPr>
            </w:pPr>
            <w:r w:rsidRPr="00364D53">
              <w:rPr>
                <w:iCs/>
                <w:sz w:val="24"/>
                <w:szCs w:val="24"/>
              </w:rPr>
              <w:t xml:space="preserve">During a meeting at the GP surgery, 1's daughter disclosed feeling overwhelmed and expressed concerns regarding both parents' cognitive decline. She also described fearing social services involvement. Professional curiosity was essential in exploring factors beyond environmental concerns, including trauma, caregiving responsibilities and family dynamics. As the assessment progressed, it became apparent that her responses were influenced by previous trauma and bereavement. Applying trauma-informed principles of safety, collaboration, empowerment and choice (Walsh, 2016) enabled professionals to adapt their approach and build trust. </w:t>
            </w:r>
            <w:r w:rsidRPr="00505BF9">
              <w:rPr>
                <w:sz w:val="24"/>
                <w:szCs w:val="24"/>
              </w:rPr>
              <w:t>Reflecting on the case</w:t>
            </w:r>
            <w:r w:rsidRPr="00505BF9">
              <w:rPr>
                <w:iCs/>
                <w:sz w:val="24"/>
                <w:szCs w:val="24"/>
              </w:rPr>
              <w:t>,</w:t>
            </w:r>
            <w:r w:rsidRPr="00364D53">
              <w:rPr>
                <w:iCs/>
                <w:sz w:val="24"/>
                <w:szCs w:val="24"/>
              </w:rPr>
              <w:t xml:space="preserve"> recognising the impact of trauma at an earlier stage may have strengthened engagement and reduced anxiety surrounding statutory intervention.</w:t>
            </w:r>
          </w:p>
          <w:p w14:paraId="5FEA4B5D" w14:textId="77777777" w:rsidR="00364D53" w:rsidRPr="00364D53" w:rsidRDefault="00364D53" w:rsidP="00364D53">
            <w:pPr>
              <w:jc w:val="both"/>
              <w:rPr>
                <w:iCs/>
                <w:sz w:val="24"/>
                <w:szCs w:val="24"/>
              </w:rPr>
            </w:pPr>
          </w:p>
          <w:p w14:paraId="5C637393" w14:textId="77777777" w:rsidR="00364D53" w:rsidRDefault="00364D53" w:rsidP="00364D53">
            <w:pPr>
              <w:jc w:val="both"/>
              <w:rPr>
                <w:iCs/>
                <w:sz w:val="24"/>
                <w:szCs w:val="24"/>
              </w:rPr>
            </w:pPr>
            <w:r w:rsidRPr="00364D53">
              <w:rPr>
                <w:iCs/>
                <w:sz w:val="24"/>
                <w:szCs w:val="24"/>
              </w:rPr>
              <w:t>Systems Theory (Payne, 2020) provided a useful analytical framework. Rather than viewing 1's difficulties in isolation, the theory enabled consideration of how each family member contributed to the wider system. The daughter's grief, the son's substance misuse, the husband's deteriorating health and 1's increasing dependency interacted to create cumulative risk. Ecological Systems Theory (Bronfenbrenner, 1979) further informed assessment by highlighting environmental influences. At a micro level, family relationships were strained. At a mezzo level, multiple agencies became involved. At a macro level, rurality, poverty, ageing and access to services shaped vulnerability. This reinforced that safeguarding concerns were not attributable to one individual but reflected wider systemic issues.</w:t>
            </w:r>
          </w:p>
          <w:p w14:paraId="7D76ABA7" w14:textId="77777777" w:rsidR="00BF14CB" w:rsidRDefault="00BF14CB" w:rsidP="00364D53">
            <w:pPr>
              <w:jc w:val="both"/>
              <w:rPr>
                <w:iCs/>
                <w:sz w:val="24"/>
                <w:szCs w:val="24"/>
              </w:rPr>
            </w:pPr>
          </w:p>
          <w:p w14:paraId="2D28FB5B" w14:textId="35753BF2" w:rsidR="00364D53" w:rsidRDefault="00BF14CB" w:rsidP="00364D53">
            <w:pPr>
              <w:jc w:val="both"/>
              <w:rPr>
                <w:iCs/>
                <w:sz w:val="24"/>
                <w:szCs w:val="24"/>
              </w:rPr>
            </w:pPr>
            <w:r w:rsidRPr="00BF14CB">
              <w:rPr>
                <w:iCs/>
                <w:sz w:val="24"/>
                <w:szCs w:val="24"/>
              </w:rPr>
              <w:lastRenderedPageBreak/>
              <w:t>Whilst Systems Theory and Ecological Systems Theory provided useful explanatory frameworks, they did not fully account for issues of power and control within the family. Dominelli (2018) argues that social work theories should be applied critically rather than used in isolation. The son's apparent financial control and influence over decision-making required analysis of power relationships, which was better understood through anti-oppressive and safeguarding perspectives. This highlighted the importance of integrating multiple theoretical frameworks when working with complex family situations.</w:t>
            </w:r>
          </w:p>
          <w:p w14:paraId="519BD1C4" w14:textId="77777777" w:rsidR="00BF14CB" w:rsidRPr="00364D53" w:rsidRDefault="00BF14CB" w:rsidP="00364D53">
            <w:pPr>
              <w:jc w:val="both"/>
              <w:rPr>
                <w:iCs/>
                <w:sz w:val="24"/>
                <w:szCs w:val="24"/>
              </w:rPr>
            </w:pPr>
          </w:p>
          <w:p w14:paraId="11749CCA" w14:textId="77777777" w:rsidR="002C3B84" w:rsidRPr="002C3B84" w:rsidRDefault="00364D53" w:rsidP="002C3B84">
            <w:pPr>
              <w:jc w:val="both"/>
              <w:rPr>
                <w:iCs/>
                <w:sz w:val="24"/>
                <w:szCs w:val="24"/>
              </w:rPr>
            </w:pPr>
            <w:r w:rsidRPr="00364D53">
              <w:rPr>
                <w:iCs/>
                <w:sz w:val="24"/>
                <w:szCs w:val="24"/>
              </w:rPr>
              <w:t>A strengths-based perspective (Saleebey, 2013) also informed practice. Despite significant risks, the family demonstrated strengths, including 1's strong attachment to her home and community, her daughter's willingness to engage despite fears and professionals' persistence in building relationships over time. Recognising these strengths aligned with the Social Services and Well-being (Wales) Act 2014, which emphasises well-being, voice and control. This approach helped avoid a deficit-focused assessment and ensured resilience was recognised alongside vulnerability.</w:t>
            </w:r>
            <w:r w:rsidR="00BF14CB">
              <w:rPr>
                <w:iCs/>
                <w:sz w:val="24"/>
                <w:szCs w:val="24"/>
              </w:rPr>
              <w:t xml:space="preserve"> </w:t>
            </w:r>
            <w:r w:rsidR="002C3B84" w:rsidRPr="002C3B84">
              <w:rPr>
                <w:iCs/>
                <w:sz w:val="24"/>
                <w:szCs w:val="24"/>
              </w:rPr>
              <w:t>Whilst a strengths-based perspective informed practice, it is important to acknowledge that this perspective has been criticised for potentially overlooking risk when practitioners focus excessively on resilience and assets (Gray, 2011).</w:t>
            </w:r>
          </w:p>
          <w:p w14:paraId="0E93C83B" w14:textId="41AFABE7" w:rsidR="00BF14CB" w:rsidRPr="00BF14CB" w:rsidRDefault="00BF14CB" w:rsidP="00BF14CB">
            <w:pPr>
              <w:jc w:val="both"/>
              <w:rPr>
                <w:iCs/>
                <w:sz w:val="24"/>
                <w:szCs w:val="24"/>
              </w:rPr>
            </w:pPr>
            <w:r w:rsidRPr="00BF14CB">
              <w:rPr>
                <w:iCs/>
                <w:sz w:val="24"/>
                <w:szCs w:val="24"/>
              </w:rPr>
              <w:t>In this case, recognising family strengths was important in building relationships and supporting engagement; however, these strengths could not be viewed independently from the significant safeguarding concerns that were present. Balancing strengths and risks remained an important aspect of professional judgement throughout the case.</w:t>
            </w:r>
          </w:p>
          <w:p w14:paraId="2FF1DD25" w14:textId="77777777" w:rsidR="00BF14CB" w:rsidRDefault="00BF14CB" w:rsidP="00364D53">
            <w:pPr>
              <w:jc w:val="both"/>
              <w:rPr>
                <w:iCs/>
                <w:sz w:val="24"/>
                <w:szCs w:val="24"/>
              </w:rPr>
            </w:pPr>
          </w:p>
          <w:p w14:paraId="2F840E8E" w14:textId="77777777" w:rsidR="00BF14CB" w:rsidRDefault="00BF14CB" w:rsidP="00BF14CB">
            <w:pPr>
              <w:jc w:val="both"/>
              <w:rPr>
                <w:iCs/>
                <w:sz w:val="24"/>
                <w:szCs w:val="24"/>
              </w:rPr>
            </w:pPr>
            <w:r w:rsidRPr="00BF14CB">
              <w:rPr>
                <w:iCs/>
                <w:sz w:val="24"/>
                <w:szCs w:val="24"/>
              </w:rPr>
              <w:t>Anti-oppressive practice also informed intervention. Thompson's PCS model (2021) highlights how discrimination and disadvantage operate at personal, cultural and structural levels. Although 1 did not experience discrimination in a traditional sense, age-related assumptions may have resulted in professionals viewing her circumstances solely through the lens of ageing and self-neglect. Maintaining an anti-oppressive perspective ensured that her voice, history and personal circumstances remained central to assessment rather than assumptions based upon age, vulnerability or appearance.</w:t>
            </w:r>
          </w:p>
          <w:p w14:paraId="36B03CCD" w14:textId="77777777" w:rsidR="00ED05A7" w:rsidRDefault="00ED05A7" w:rsidP="00BF14CB">
            <w:pPr>
              <w:jc w:val="both"/>
              <w:rPr>
                <w:iCs/>
                <w:sz w:val="24"/>
                <w:szCs w:val="24"/>
              </w:rPr>
            </w:pPr>
          </w:p>
          <w:p w14:paraId="5394303F" w14:textId="0130EC68" w:rsidR="00ED05A7" w:rsidRPr="00ED05A7" w:rsidRDefault="00ED05A7" w:rsidP="00ED05A7">
            <w:pPr>
              <w:jc w:val="both"/>
              <w:rPr>
                <w:iCs/>
                <w:sz w:val="24"/>
                <w:szCs w:val="24"/>
              </w:rPr>
            </w:pPr>
            <w:r w:rsidRPr="00ED05A7">
              <w:rPr>
                <w:iCs/>
                <w:sz w:val="24"/>
                <w:szCs w:val="24"/>
              </w:rPr>
              <w:t xml:space="preserve">Equality and anti-discriminatory principles were also relevant throughout the safeguarding process. The Equality Act 2010 protects individuals from discrimination </w:t>
            </w:r>
            <w:r w:rsidR="00505BF9" w:rsidRPr="00ED05A7">
              <w:rPr>
                <w:iCs/>
                <w:sz w:val="24"/>
                <w:szCs w:val="24"/>
              </w:rPr>
              <w:t>based on</w:t>
            </w:r>
            <w:r w:rsidRPr="00ED05A7">
              <w:rPr>
                <w:iCs/>
                <w:sz w:val="24"/>
                <w:szCs w:val="24"/>
              </w:rPr>
              <w:t xml:space="preserve"> protected characteristics, including age and disability (UK Government, 2010). As concerns regarding cognitive decline emerged, it was important to ensure that 1 was not viewed </w:t>
            </w:r>
            <w:r w:rsidR="00505BF9">
              <w:rPr>
                <w:iCs/>
                <w:sz w:val="24"/>
                <w:szCs w:val="24"/>
              </w:rPr>
              <w:t>just about her</w:t>
            </w:r>
            <w:r w:rsidRPr="00ED05A7">
              <w:rPr>
                <w:iCs/>
                <w:sz w:val="24"/>
                <w:szCs w:val="24"/>
              </w:rPr>
              <w:t xml:space="preserve"> age or p</w:t>
            </w:r>
            <w:r w:rsidR="00505BF9">
              <w:rPr>
                <w:iCs/>
                <w:sz w:val="24"/>
                <w:szCs w:val="24"/>
              </w:rPr>
              <w:t>otential</w:t>
            </w:r>
            <w:r w:rsidRPr="00ED05A7">
              <w:rPr>
                <w:iCs/>
                <w:sz w:val="24"/>
                <w:szCs w:val="24"/>
              </w:rPr>
              <w:t xml:space="preserve"> vulnerability. Applying an equality-focused approach helped ensure that </w:t>
            </w:r>
            <w:r w:rsidR="00505BF9">
              <w:rPr>
                <w:iCs/>
                <w:sz w:val="24"/>
                <w:szCs w:val="24"/>
              </w:rPr>
              <w:t xml:space="preserve">the </w:t>
            </w:r>
            <w:r w:rsidRPr="00ED05A7">
              <w:rPr>
                <w:iCs/>
                <w:sz w:val="24"/>
                <w:szCs w:val="24"/>
              </w:rPr>
              <w:t>assessment remained individualised and rights-based, promoting participation and avoiding assumptions that could have undermined her voice and control. This reflected both anti-oppressive social work values and statutory responsibilities to promote equality and inclusion.</w:t>
            </w:r>
          </w:p>
          <w:p w14:paraId="4107C2F6" w14:textId="77777777" w:rsidR="00ED05A7" w:rsidRPr="00BF14CB" w:rsidRDefault="00ED05A7" w:rsidP="00BF14CB">
            <w:pPr>
              <w:jc w:val="both"/>
              <w:rPr>
                <w:iCs/>
                <w:sz w:val="24"/>
                <w:szCs w:val="24"/>
              </w:rPr>
            </w:pPr>
          </w:p>
          <w:p w14:paraId="695D4A96" w14:textId="77777777" w:rsidR="00364D53" w:rsidRDefault="00364D53" w:rsidP="00364D53">
            <w:pPr>
              <w:jc w:val="both"/>
              <w:rPr>
                <w:iCs/>
                <w:sz w:val="24"/>
                <w:szCs w:val="24"/>
              </w:rPr>
            </w:pPr>
            <w:r w:rsidRPr="00364D53">
              <w:rPr>
                <w:iCs/>
                <w:sz w:val="24"/>
                <w:szCs w:val="24"/>
              </w:rPr>
              <w:t>Accurate recording was essential throughout the safeguarding process. Clear records enabled the multi-disciplinary team to establish a chronology of concerns, identify escalation, evidence risk and support defensible decision-making. They also demonstrated how professional analysis evolved from initial concerns about self-neglect to broader issues involving cognitive decline, financial exploitation and safeguarding risk.</w:t>
            </w:r>
          </w:p>
          <w:p w14:paraId="714AD672" w14:textId="77777777" w:rsidR="00364D53" w:rsidRPr="00364D53" w:rsidRDefault="00364D53" w:rsidP="00364D53">
            <w:pPr>
              <w:jc w:val="both"/>
              <w:rPr>
                <w:iCs/>
                <w:sz w:val="24"/>
                <w:szCs w:val="24"/>
              </w:rPr>
            </w:pPr>
          </w:p>
          <w:p w14:paraId="1C14C24F" w14:textId="77777777" w:rsidR="00BF14CB" w:rsidRDefault="00364D53" w:rsidP="00364D53">
            <w:pPr>
              <w:jc w:val="both"/>
              <w:rPr>
                <w:iCs/>
                <w:sz w:val="24"/>
                <w:szCs w:val="24"/>
              </w:rPr>
            </w:pPr>
            <w:r w:rsidRPr="00364D53">
              <w:rPr>
                <w:iCs/>
                <w:sz w:val="24"/>
                <w:szCs w:val="24"/>
              </w:rPr>
              <w:lastRenderedPageBreak/>
              <w:t xml:space="preserve">When district nurses eventually gained access to the property, the conditions were significantly worse than previously understood. The family had no heating or hot water, no usable kitchen or bathroom and only a single functioning toilet. Rodent infestation was evident, and the property was assessed as hazardous. </w:t>
            </w:r>
          </w:p>
          <w:p w14:paraId="3772A7D4" w14:textId="77777777" w:rsidR="00BF14CB" w:rsidRDefault="00BF14CB" w:rsidP="00364D53">
            <w:pPr>
              <w:jc w:val="both"/>
              <w:rPr>
                <w:iCs/>
                <w:sz w:val="24"/>
                <w:szCs w:val="24"/>
              </w:rPr>
            </w:pPr>
          </w:p>
          <w:p w14:paraId="3B0351E8" w14:textId="636F1482" w:rsidR="00364D53" w:rsidRDefault="00364D53" w:rsidP="00364D53">
            <w:pPr>
              <w:jc w:val="both"/>
              <w:rPr>
                <w:iCs/>
                <w:sz w:val="24"/>
                <w:szCs w:val="24"/>
              </w:rPr>
            </w:pPr>
            <w:r w:rsidRPr="00364D53">
              <w:rPr>
                <w:iCs/>
                <w:sz w:val="24"/>
                <w:szCs w:val="24"/>
              </w:rPr>
              <w:t>Environmental Health subsequently issued Prohibition and Public Health Orders under the Housing Act 2004. Despite this, 1 and her family remained resistant to leaving the property, illustrating how emotional attachment, family influence and fear of change can complicate safeguarding intervention.</w:t>
            </w:r>
          </w:p>
          <w:p w14:paraId="0C7563F2" w14:textId="77777777" w:rsidR="00ED05A7" w:rsidRDefault="00ED05A7" w:rsidP="00364D53">
            <w:pPr>
              <w:jc w:val="both"/>
              <w:rPr>
                <w:iCs/>
                <w:sz w:val="24"/>
                <w:szCs w:val="24"/>
              </w:rPr>
            </w:pPr>
          </w:p>
          <w:p w14:paraId="5B9404E8" w14:textId="77777777" w:rsidR="00ED05A7" w:rsidRPr="00ED05A7" w:rsidRDefault="00ED05A7" w:rsidP="00ED05A7">
            <w:pPr>
              <w:jc w:val="both"/>
              <w:rPr>
                <w:iCs/>
                <w:sz w:val="24"/>
                <w:szCs w:val="24"/>
              </w:rPr>
            </w:pPr>
            <w:r w:rsidRPr="00ED05A7">
              <w:rPr>
                <w:iCs/>
                <w:sz w:val="24"/>
                <w:szCs w:val="24"/>
              </w:rPr>
              <w:t>Health and safety considerations were also relevant for both the family and professionals involved in the assessment. The hazardous condition of the property, including rodent infestation, lack of sanitation and structural concerns, presented potential risks to occupants and visiting professionals. The Health and Safety at Work etc. Act 1974 places duties upon employers and employees to identify and manage risks within working environments (UK Government, 1974). Consequently, professionals needed to balance their safeguarding responsibilities with their own safety when undertaking home visits. This highlighted the importance of risk assessment, inter-agency planning and professional accountability within safeguarding practice.</w:t>
            </w:r>
          </w:p>
          <w:p w14:paraId="5EAEC4AE" w14:textId="77777777" w:rsidR="00BF14CB" w:rsidRDefault="00BF14CB" w:rsidP="00364D53">
            <w:pPr>
              <w:jc w:val="both"/>
              <w:rPr>
                <w:iCs/>
                <w:sz w:val="24"/>
                <w:szCs w:val="24"/>
              </w:rPr>
            </w:pPr>
          </w:p>
          <w:p w14:paraId="3549D154" w14:textId="4CE9F718" w:rsidR="00BF14CB" w:rsidRPr="00BF14CB" w:rsidRDefault="00BF14CB" w:rsidP="00BF14CB">
            <w:pPr>
              <w:jc w:val="both"/>
              <w:rPr>
                <w:iCs/>
                <w:sz w:val="24"/>
                <w:szCs w:val="24"/>
              </w:rPr>
            </w:pPr>
            <w:r w:rsidRPr="00BF14CB">
              <w:rPr>
                <w:iCs/>
                <w:sz w:val="24"/>
                <w:szCs w:val="24"/>
              </w:rPr>
              <w:t>The case also highlighted the complexities of self-neglect</w:t>
            </w:r>
            <w:r w:rsidR="005E3E4F">
              <w:rPr>
                <w:iCs/>
                <w:sz w:val="24"/>
                <w:szCs w:val="24"/>
              </w:rPr>
              <w:t xml:space="preserve"> within</w:t>
            </w:r>
            <w:r w:rsidRPr="00BF14CB">
              <w:rPr>
                <w:iCs/>
                <w:sz w:val="24"/>
                <w:szCs w:val="24"/>
              </w:rPr>
              <w:t xml:space="preserve"> safeguarding practice. Braye et al. (2014) describe</w:t>
            </w:r>
            <w:r w:rsidR="00505BF9">
              <w:rPr>
                <w:iCs/>
                <w:sz w:val="24"/>
                <w:szCs w:val="24"/>
              </w:rPr>
              <w:t>s</w:t>
            </w:r>
            <w:r w:rsidRPr="00BF14CB">
              <w:rPr>
                <w:iCs/>
                <w:sz w:val="24"/>
                <w:szCs w:val="24"/>
              </w:rPr>
              <w:t xml:space="preserve"> self-neglect as a multifaceted issue involving personal, environmental and behavioural factors. In this case, the deteriorating home conditions could not be understood solely as a lifestyle choice. Instead, they reflected an interaction between cognitive decline, family dynamics, reduced coping capacity and financial exploitation. This reinforced the importance of avoiding simplistic explanations and recognising self-neglect as a safeguarding issue requiring holistic assessment.</w:t>
            </w:r>
          </w:p>
          <w:p w14:paraId="468EED26" w14:textId="77777777" w:rsidR="00364D53" w:rsidRPr="00364D53" w:rsidRDefault="00364D53" w:rsidP="00364D53">
            <w:pPr>
              <w:jc w:val="both"/>
              <w:rPr>
                <w:iCs/>
                <w:sz w:val="24"/>
                <w:szCs w:val="24"/>
              </w:rPr>
            </w:pPr>
          </w:p>
          <w:p w14:paraId="3013D817" w14:textId="47D7D4D0" w:rsidR="00BF14CB" w:rsidRDefault="00364D53" w:rsidP="00BF14CB">
            <w:pPr>
              <w:jc w:val="both"/>
              <w:rPr>
                <w:iCs/>
                <w:sz w:val="24"/>
                <w:szCs w:val="24"/>
              </w:rPr>
            </w:pPr>
            <w:r w:rsidRPr="00364D53">
              <w:rPr>
                <w:iCs/>
                <w:sz w:val="24"/>
                <w:szCs w:val="24"/>
              </w:rPr>
              <w:t>Professional judgement became increasingly important as the assessment deepened. Safeguarding rarely involves straightforward decisions, and practitioners often work with incomplete or conflicting information. Kemshall (2010) highlights that risk assessment requires weighing evidence, managing uncertainty and making defensible decisions. In this case, professionals needed to determine whether 1's refusal to leave reflected autonomous choice, impaired capacity or external influence. This required careful exploration rather than assumption.</w:t>
            </w:r>
            <w:r w:rsidR="00505BF9">
              <w:rPr>
                <w:iCs/>
                <w:sz w:val="24"/>
                <w:szCs w:val="24"/>
              </w:rPr>
              <w:t xml:space="preserve">  </w:t>
            </w:r>
            <w:r w:rsidR="00BF14CB" w:rsidRPr="00BF14CB">
              <w:rPr>
                <w:iCs/>
                <w:sz w:val="24"/>
                <w:szCs w:val="24"/>
              </w:rPr>
              <w:t>This reinforced the importance of revisiting professional assumptions as new information emerges. Professional judgement is therefore not a single decision but an evolving process requiring practitioners to remain open to alternative interpretations.</w:t>
            </w:r>
          </w:p>
          <w:p w14:paraId="0243DE99" w14:textId="77777777" w:rsidR="0008214B" w:rsidRPr="00364D53" w:rsidRDefault="0008214B" w:rsidP="0008214B">
            <w:pPr>
              <w:jc w:val="both"/>
              <w:rPr>
                <w:iCs/>
                <w:sz w:val="24"/>
                <w:szCs w:val="24"/>
              </w:rPr>
            </w:pPr>
          </w:p>
          <w:p w14:paraId="00BF38AD" w14:textId="77777777" w:rsidR="0008214B" w:rsidRDefault="0008214B" w:rsidP="0008214B">
            <w:pPr>
              <w:jc w:val="both"/>
              <w:rPr>
                <w:iCs/>
                <w:sz w:val="24"/>
                <w:szCs w:val="24"/>
              </w:rPr>
            </w:pPr>
            <w:r w:rsidRPr="00364D53">
              <w:rPr>
                <w:iCs/>
                <w:sz w:val="24"/>
                <w:szCs w:val="24"/>
              </w:rPr>
              <w:t>Financial concerns also became increasingly prominent. Despite receiving a substantial income, 1 had limited access to her finances, and evidence suggested her son was using her money to support his lifestyle. This raised concerns regarding financial abuse and coercive influence. Although his behaviour did not meet the threshold for domestic abuse under the Violence Against Women, Domestic Abuse and Sexual Violence (Wales) Act 2015, it appeared to reduce 1's autonomy and increase vulnerability. Recognising these power imbalances was essential in understanding the wider safeguarding risks and ensuring intervention addressed underlying causes rather than solely observable behaviours.</w:t>
            </w:r>
          </w:p>
          <w:p w14:paraId="42EDF4F4" w14:textId="77777777" w:rsidR="0008214B" w:rsidRDefault="0008214B" w:rsidP="0008214B">
            <w:pPr>
              <w:jc w:val="both"/>
              <w:rPr>
                <w:iCs/>
                <w:sz w:val="24"/>
                <w:szCs w:val="24"/>
              </w:rPr>
            </w:pPr>
          </w:p>
          <w:p w14:paraId="6CF4BF02" w14:textId="77777777" w:rsidR="00ED05A7" w:rsidRPr="00ED05A7" w:rsidRDefault="00ED05A7" w:rsidP="00ED05A7">
            <w:pPr>
              <w:jc w:val="both"/>
              <w:rPr>
                <w:iCs/>
                <w:sz w:val="24"/>
                <w:szCs w:val="24"/>
              </w:rPr>
            </w:pPr>
            <w:r w:rsidRPr="00ED05A7">
              <w:rPr>
                <w:iCs/>
                <w:sz w:val="24"/>
                <w:szCs w:val="24"/>
              </w:rPr>
              <w:t>The case also highlighted significant power differentials operating at multiple levels. Within the family, the son appeared to exercise influence over financial decision-making, reducing 1’s autonomy and increasing dependency. Equally, social workers hold statutory authority that can create an imbalance of power between practitioners and individuals receiving support. Thompson (2021) argues that social workers must remain aware of these dynamics to avoid oppressive practice. One of the central dilemmas within this case involved balancing empowerment with protection. Whilst safeguarding intervention was necessary to reduce significant risk, there was also a responsibility to respect 1’s wishes, preserve dignity and promote participation in decision-making. Navigating these competing priorities required continual reflection, supervision and adherence to ethical and legal frameworks.</w:t>
            </w:r>
          </w:p>
          <w:p w14:paraId="364882AA" w14:textId="77777777" w:rsidR="00ED05A7" w:rsidRPr="00364D53" w:rsidRDefault="00ED05A7" w:rsidP="0008214B">
            <w:pPr>
              <w:jc w:val="both"/>
              <w:rPr>
                <w:iCs/>
                <w:sz w:val="24"/>
                <w:szCs w:val="24"/>
              </w:rPr>
            </w:pPr>
          </w:p>
          <w:p w14:paraId="3DDB16A4" w14:textId="77777777" w:rsidR="0008214B" w:rsidRDefault="0008214B" w:rsidP="0008214B">
            <w:pPr>
              <w:jc w:val="both"/>
              <w:rPr>
                <w:iCs/>
                <w:sz w:val="24"/>
                <w:szCs w:val="24"/>
              </w:rPr>
            </w:pPr>
            <w:r w:rsidRPr="00364D53">
              <w:rPr>
                <w:iCs/>
                <w:sz w:val="24"/>
                <w:szCs w:val="24"/>
              </w:rPr>
              <w:t>The multi-agency response was fundamental to developing a comprehensive understanding of risk. Police, district nurses, environmental health, GPs and social services each held important information that contributed to the overall assessment. Effective and proportionate information sharing, guided by the Wales Safeguarding Procedures (2019), the Data Protection Act 2018 and UK GDPR, enabled a coordinated response and ensured safeguarding decisions were informed by the fullest possible picture of 1's circumstances. Multi-agency meetings provided opportunities to challenge assumptions, share professional perspectives and maintain a shared understanding of risk.</w:t>
            </w:r>
          </w:p>
          <w:p w14:paraId="19006ECB" w14:textId="77777777" w:rsidR="0008214B" w:rsidRDefault="0008214B" w:rsidP="0008214B">
            <w:pPr>
              <w:jc w:val="both"/>
              <w:rPr>
                <w:iCs/>
                <w:sz w:val="24"/>
                <w:szCs w:val="24"/>
              </w:rPr>
            </w:pPr>
          </w:p>
          <w:p w14:paraId="40A713B9" w14:textId="77777777" w:rsidR="0008214B" w:rsidRPr="00BF14CB" w:rsidRDefault="0008214B" w:rsidP="0008214B">
            <w:pPr>
              <w:jc w:val="both"/>
              <w:rPr>
                <w:iCs/>
                <w:sz w:val="24"/>
                <w:szCs w:val="24"/>
              </w:rPr>
            </w:pPr>
            <w:r>
              <w:rPr>
                <w:iCs/>
                <w:sz w:val="24"/>
                <w:szCs w:val="24"/>
              </w:rPr>
              <w:t>It is noted that e</w:t>
            </w:r>
            <w:r w:rsidRPr="00BF14CB">
              <w:rPr>
                <w:iCs/>
                <w:sz w:val="24"/>
                <w:szCs w:val="24"/>
              </w:rPr>
              <w:t>ffective safeguarding relies upon collaborative working, yet multi-agency practice can create challenges where agencies hold different interpretations of risk. For example, Environmental Health focused primarily on the property and public health implications of the living conditions, whereas health professionals were concerned with cognitive decline, physical wellbeing and capacity. Social work required consideration of the interplay between protection, autonomy, wellbeing and statutory duties. While these professional perspectives occasionally differed, they ultimately strengthened the safeguarding process by promoting constructive challenge and reducing the likelihood of professional bias.</w:t>
            </w:r>
          </w:p>
          <w:p w14:paraId="64AC7FF7" w14:textId="3E0C05F5" w:rsidR="0008214B" w:rsidRPr="00BF14CB" w:rsidRDefault="0008214B" w:rsidP="0008214B">
            <w:pPr>
              <w:jc w:val="both"/>
              <w:rPr>
                <w:iCs/>
                <w:sz w:val="24"/>
                <w:szCs w:val="24"/>
              </w:rPr>
            </w:pPr>
            <w:r w:rsidRPr="00BF14CB">
              <w:rPr>
                <w:iCs/>
                <w:sz w:val="24"/>
                <w:szCs w:val="24"/>
              </w:rPr>
              <w:t>This reflected the principles underpinning the Wales Safeguarding Procedures (2019), which emphasise shared responsibility, professional challenge and coordinated intervention. Reflecting on the case, I recognise that effective multi-agency working involves more than information sharing; it requires the development of shared analysis and collective responsibility for managing risk.</w:t>
            </w:r>
          </w:p>
          <w:p w14:paraId="0A09E9A9" w14:textId="77777777" w:rsidR="0008214B" w:rsidRPr="00364D53" w:rsidRDefault="0008214B" w:rsidP="0008214B">
            <w:pPr>
              <w:jc w:val="both"/>
              <w:rPr>
                <w:iCs/>
                <w:sz w:val="24"/>
                <w:szCs w:val="24"/>
              </w:rPr>
            </w:pPr>
          </w:p>
          <w:p w14:paraId="3955BDDB" w14:textId="77777777" w:rsidR="0008214B" w:rsidRPr="00364D53" w:rsidRDefault="0008214B" w:rsidP="0008214B">
            <w:pPr>
              <w:jc w:val="both"/>
              <w:rPr>
                <w:iCs/>
                <w:sz w:val="24"/>
                <w:szCs w:val="24"/>
              </w:rPr>
            </w:pPr>
            <w:r w:rsidRPr="00364D53">
              <w:rPr>
                <w:iCs/>
                <w:sz w:val="24"/>
                <w:szCs w:val="24"/>
              </w:rPr>
              <w:t>As concerns regarding cognitive decline increased, formal capacity assessments were undertaken in relation to care, support, accommodation and finances. The Mental Capacity Act 2005 provides a clear framework for assessing capacity, emphasising the presumption of capacity, support for decision-making and respect for unwise decisions. However, evidence suggested that 1 struggled to understand, retain and weigh information concerning the risks she faced. Capacity assessments concluded that she lacked capacity regarding care, support, accommodation and, subsequently, financial matters.</w:t>
            </w:r>
          </w:p>
          <w:p w14:paraId="29613CA6" w14:textId="77777777" w:rsidR="0008214B" w:rsidRDefault="0008214B" w:rsidP="0008214B">
            <w:pPr>
              <w:jc w:val="both"/>
              <w:rPr>
                <w:iCs/>
                <w:sz w:val="24"/>
                <w:szCs w:val="24"/>
              </w:rPr>
            </w:pPr>
            <w:r w:rsidRPr="00B0265A">
              <w:rPr>
                <w:iCs/>
                <w:sz w:val="24"/>
                <w:szCs w:val="24"/>
              </w:rPr>
              <w:t xml:space="preserve">The application of the Mental Capacity Act 2005 presented several ethical dilemmas. Respect for autonomy is a core social work value; however, practitioners also have duties to protect individuals from significant harm. Dickens (2020) suggests that capacity assessments should not be viewed solely as legal exercises but as mechanisms for supporting rights-based </w:t>
            </w:r>
            <w:r w:rsidRPr="00B0265A">
              <w:rPr>
                <w:iCs/>
                <w:sz w:val="24"/>
                <w:szCs w:val="24"/>
              </w:rPr>
              <w:lastRenderedPageBreak/>
              <w:t>decision-making. Throughout this case, there was a continual tension between respecting 1’s wishes to remain at home and recognising that these wishes may have been influenced by cognitive impairment, dependency and coercive family relationships.</w:t>
            </w:r>
          </w:p>
          <w:p w14:paraId="126067BA" w14:textId="77777777" w:rsidR="0008214B" w:rsidRDefault="0008214B" w:rsidP="0008214B">
            <w:pPr>
              <w:jc w:val="both"/>
              <w:rPr>
                <w:iCs/>
                <w:sz w:val="24"/>
                <w:szCs w:val="24"/>
              </w:rPr>
            </w:pPr>
          </w:p>
          <w:p w14:paraId="71964150" w14:textId="4941A43D" w:rsidR="0008214B" w:rsidRPr="00B0265A" w:rsidRDefault="00D258BF" w:rsidP="0008214B">
            <w:pPr>
              <w:jc w:val="both"/>
              <w:rPr>
                <w:iCs/>
                <w:sz w:val="24"/>
                <w:szCs w:val="24"/>
              </w:rPr>
            </w:pPr>
            <w:r>
              <w:rPr>
                <w:iCs/>
                <w:sz w:val="24"/>
                <w:szCs w:val="24"/>
              </w:rPr>
              <w:t>I</w:t>
            </w:r>
            <w:r w:rsidR="0008214B" w:rsidRPr="00B0265A">
              <w:rPr>
                <w:iCs/>
                <w:sz w:val="24"/>
                <w:szCs w:val="24"/>
              </w:rPr>
              <w:t>t could be argued that earlier consideration of capacity may have enabled swifter intervention. However, undertaking assessments prematurely may have risked undermining 1's rights and autonomy. This tension reinforced the importance of balancing legal duties with ethical responsibilities and highlighted the complexity of safeguarding adults whose capacity fluctuates or is influenced by external factors.</w:t>
            </w:r>
          </w:p>
          <w:p w14:paraId="2C549000" w14:textId="77777777" w:rsidR="0008214B" w:rsidRPr="00364D53" w:rsidRDefault="0008214B" w:rsidP="0008214B">
            <w:pPr>
              <w:jc w:val="both"/>
              <w:rPr>
                <w:iCs/>
                <w:sz w:val="24"/>
                <w:szCs w:val="24"/>
              </w:rPr>
            </w:pPr>
          </w:p>
          <w:p w14:paraId="4325263E" w14:textId="77777777" w:rsidR="0008214B" w:rsidRDefault="0008214B" w:rsidP="0008214B">
            <w:pPr>
              <w:jc w:val="both"/>
              <w:rPr>
                <w:iCs/>
                <w:sz w:val="24"/>
                <w:szCs w:val="24"/>
              </w:rPr>
            </w:pPr>
            <w:r w:rsidRPr="00364D53">
              <w:rPr>
                <w:iCs/>
                <w:sz w:val="24"/>
                <w:szCs w:val="24"/>
              </w:rPr>
              <w:t>The death of 1's husband introduced further complexity. The family experienced significant emotional distress, and professionals recognised the need to balance safeguarding intervention with compassion. It was agreed that legal processes would be paused temporarily to allow the family space to grieve while maintaining oversight of identified risk. This reflected the importance of proportionality, empathy and recognition of emotional context within safeguarding practice.</w:t>
            </w:r>
          </w:p>
          <w:p w14:paraId="0338F4FD" w14:textId="77777777" w:rsidR="0008214B" w:rsidRPr="00364D53" w:rsidRDefault="0008214B" w:rsidP="0008214B">
            <w:pPr>
              <w:jc w:val="both"/>
              <w:rPr>
                <w:iCs/>
                <w:sz w:val="24"/>
                <w:szCs w:val="24"/>
              </w:rPr>
            </w:pPr>
          </w:p>
          <w:p w14:paraId="3B1B46EE" w14:textId="77777777" w:rsidR="0008214B" w:rsidRDefault="0008214B" w:rsidP="0008214B">
            <w:pPr>
              <w:jc w:val="both"/>
              <w:rPr>
                <w:iCs/>
                <w:sz w:val="24"/>
                <w:szCs w:val="24"/>
              </w:rPr>
            </w:pPr>
            <w:r w:rsidRPr="00364D53">
              <w:rPr>
                <w:iCs/>
                <w:sz w:val="24"/>
                <w:szCs w:val="24"/>
              </w:rPr>
              <w:t>Human rights considerations remained central throughout. Article 8 of the European Convention on Human Rights protects an individual's right to private and family life; however, this must be balanced alongside Article 2, the right to life, and Article 3, protection from inhuman or degrading treatment. Allowing 1 to remain in hazardous conditions would have exposed her to significant harm, particularly given the findings of the capacity assessments. Safeguarding intervention therefore required a proportionate, rights-based approach that balanced autonomy with protection while ensuring the least restrictive option remained central to decision-making.</w:t>
            </w:r>
          </w:p>
          <w:p w14:paraId="207CFB12" w14:textId="77777777" w:rsidR="0008214B" w:rsidRDefault="0008214B" w:rsidP="0008214B">
            <w:pPr>
              <w:jc w:val="both"/>
              <w:rPr>
                <w:iCs/>
                <w:sz w:val="24"/>
                <w:szCs w:val="24"/>
              </w:rPr>
            </w:pPr>
          </w:p>
          <w:p w14:paraId="5B43B988" w14:textId="77777777" w:rsidR="00ED05A7" w:rsidRPr="00ED05A7" w:rsidRDefault="0008214B" w:rsidP="00ED05A7">
            <w:pPr>
              <w:jc w:val="both"/>
              <w:rPr>
                <w:iCs/>
                <w:sz w:val="24"/>
                <w:szCs w:val="24"/>
              </w:rPr>
            </w:pPr>
            <w:r w:rsidRPr="00BF14CB">
              <w:rPr>
                <w:iCs/>
                <w:sz w:val="24"/>
                <w:szCs w:val="24"/>
              </w:rPr>
              <w:t xml:space="preserve">Safeguarding practice in Wales operates within a wider legal and policy framework extending beyond devolved social care legislation. The Social Services and Well-being (Wales) Act 2014 sits alongside UK-wide legislation including the Mental Capacity Act 2005, Human Rights Act 1998 and Data Protection Act 2018. Human rights principles originate from the European Convention on Human Rights, incorporated into UK law through the Human Rights Act 1998. Although the United Kingdom has left the European Union, retained human rights obligations continue to influence safeguarding decision-making. Furthermore, Welsh safeguarding practice reflects international principles contained within the United Nations Principles for Older Persons (United Nations, 1991) and the United Nations Convention on the Rights of Persons with Disabilities (United Nations, 2006), both of which emphasise dignity, autonomy, participation and protection. </w:t>
            </w:r>
            <w:r w:rsidR="00ED05A7" w:rsidRPr="00ED05A7">
              <w:rPr>
                <w:iCs/>
                <w:sz w:val="24"/>
                <w:szCs w:val="24"/>
              </w:rPr>
              <w:t>This demonstrates how safeguarding decisions made within local authority social work practice are informed not only by Welsh and UK legislation, but also by wider European human rights principles and international frameworks, including the United Nations Convention on the Rights of Persons with Disabilities and broader United Nations human rights standards.</w:t>
            </w:r>
          </w:p>
          <w:p w14:paraId="27B2C357" w14:textId="77777777" w:rsidR="0008214B" w:rsidRPr="00364D53" w:rsidRDefault="0008214B" w:rsidP="0008214B">
            <w:pPr>
              <w:jc w:val="both"/>
              <w:rPr>
                <w:iCs/>
                <w:sz w:val="24"/>
                <w:szCs w:val="24"/>
              </w:rPr>
            </w:pPr>
          </w:p>
          <w:p w14:paraId="0FFC96DB" w14:textId="77777777" w:rsidR="0008214B" w:rsidRDefault="0008214B" w:rsidP="0008214B">
            <w:pPr>
              <w:jc w:val="both"/>
              <w:rPr>
                <w:iCs/>
                <w:sz w:val="24"/>
                <w:szCs w:val="24"/>
              </w:rPr>
            </w:pPr>
            <w:r w:rsidRPr="00364D53">
              <w:rPr>
                <w:iCs/>
                <w:sz w:val="24"/>
                <w:szCs w:val="24"/>
              </w:rPr>
              <w:t>The Social Care Wales Code of Professional Practice emphasises accountability, integrity and partnership working. These principles guided the safeguarding response, ensuring decisions were evidence based, appropriately recorded and shared proportionately between agencies.</w:t>
            </w:r>
          </w:p>
          <w:p w14:paraId="68341683" w14:textId="77777777" w:rsidR="0008214B" w:rsidRDefault="0008214B" w:rsidP="0008214B">
            <w:pPr>
              <w:jc w:val="both"/>
              <w:rPr>
                <w:iCs/>
                <w:sz w:val="24"/>
                <w:szCs w:val="24"/>
              </w:rPr>
            </w:pPr>
          </w:p>
          <w:p w14:paraId="3150A051" w14:textId="77777777" w:rsidR="0008214B" w:rsidRPr="00B0265A" w:rsidRDefault="0008214B" w:rsidP="0008214B">
            <w:pPr>
              <w:jc w:val="both"/>
              <w:rPr>
                <w:iCs/>
                <w:sz w:val="24"/>
                <w:szCs w:val="24"/>
              </w:rPr>
            </w:pPr>
            <w:r w:rsidRPr="00B0265A">
              <w:rPr>
                <w:iCs/>
                <w:sz w:val="24"/>
                <w:szCs w:val="24"/>
              </w:rPr>
              <w:t>Throughout the safeguarding enquiry, assessment, analysis, collaborative working and professional judgement functioned as interconnected processes rather than separate activities. Information gathered through assessment informed professional analysis, which in turn influenced the decisions requiring multi-agency involvement. As concerns escalated from environmental neglect to include cognitive decline, financial exploitation and bereavement, professional judgement became increasingly dependent upon shared assessment and collaborative analysis. This demonstrated that safeguarding practice is iterative, with understanding developing through ongoing information gathering, critical reflection and partnership working rather than through a single assessment event.</w:t>
            </w:r>
          </w:p>
          <w:p w14:paraId="7D231F82" w14:textId="77777777" w:rsidR="0008214B" w:rsidRDefault="0008214B" w:rsidP="0008214B">
            <w:pPr>
              <w:jc w:val="both"/>
              <w:rPr>
                <w:iCs/>
                <w:sz w:val="24"/>
                <w:szCs w:val="24"/>
              </w:rPr>
            </w:pPr>
          </w:p>
          <w:p w14:paraId="18FE23FD" w14:textId="77777777" w:rsidR="0008214B" w:rsidRDefault="0008214B" w:rsidP="0008214B">
            <w:pPr>
              <w:jc w:val="both"/>
              <w:rPr>
                <w:iCs/>
                <w:sz w:val="24"/>
                <w:szCs w:val="24"/>
              </w:rPr>
            </w:pPr>
            <w:r w:rsidRPr="00364D53">
              <w:rPr>
                <w:iCs/>
                <w:sz w:val="24"/>
                <w:szCs w:val="24"/>
              </w:rPr>
              <w:t>Reflective practice and supervision were essential in supporting professional judgement throughout the case. Schön's concept of reflection-in-action enabled continuous analysis as new information emerged and risks evolved. Supervision provided opportunities to challenge assumptions, consider alternative perspectives and explore ethical dilemmas, helping ensure decisions remained evidence based, proportionate and person centred.</w:t>
            </w:r>
          </w:p>
          <w:p w14:paraId="68B75402" w14:textId="77777777" w:rsidR="0008214B" w:rsidRPr="00364D53" w:rsidRDefault="0008214B" w:rsidP="0008214B">
            <w:pPr>
              <w:jc w:val="both"/>
              <w:rPr>
                <w:iCs/>
                <w:sz w:val="24"/>
                <w:szCs w:val="24"/>
              </w:rPr>
            </w:pPr>
          </w:p>
          <w:p w14:paraId="5C1ECC48" w14:textId="77777777" w:rsidR="0008214B" w:rsidRDefault="0008214B" w:rsidP="0008214B">
            <w:pPr>
              <w:jc w:val="both"/>
              <w:rPr>
                <w:iCs/>
                <w:sz w:val="24"/>
                <w:szCs w:val="24"/>
              </w:rPr>
            </w:pPr>
            <w:r w:rsidRPr="00364D53">
              <w:rPr>
                <w:iCs/>
                <w:sz w:val="24"/>
                <w:szCs w:val="24"/>
              </w:rPr>
              <w:t>The turning point in the case occurred when the property's electricity supply failed and contractors refused entry due to the hazardous environment. This highlighted the immediacy of risk and created an opportunity for intervention. With support from family members and professionals, 1 agreed to leave the property voluntarily. This avoided court proceedings and ensured safeguarding concerns could be addressed through the least restrictive option. The outcome demonstrated the value of persistence, relationship building and recognising opportunities for engagement within complex safeguarding situations.</w:t>
            </w:r>
          </w:p>
          <w:p w14:paraId="248FD427" w14:textId="77777777" w:rsidR="0008214B" w:rsidRPr="00364D53" w:rsidRDefault="0008214B" w:rsidP="0008214B">
            <w:pPr>
              <w:jc w:val="both"/>
              <w:rPr>
                <w:iCs/>
                <w:sz w:val="24"/>
                <w:szCs w:val="24"/>
              </w:rPr>
            </w:pPr>
          </w:p>
          <w:p w14:paraId="3CCAA885" w14:textId="77777777" w:rsidR="0008214B" w:rsidRDefault="0008214B" w:rsidP="0008214B">
            <w:pPr>
              <w:jc w:val="both"/>
              <w:rPr>
                <w:iCs/>
                <w:sz w:val="24"/>
                <w:szCs w:val="24"/>
              </w:rPr>
            </w:pPr>
            <w:r w:rsidRPr="00364D53">
              <w:rPr>
                <w:iCs/>
                <w:sz w:val="24"/>
                <w:szCs w:val="24"/>
              </w:rPr>
              <w:t>Once 1 left the property, the focus shifted toward ensuring her safety, wellbeing and access to appropriate support. The multidisciplinary team worked collaboratively to arrange temporary accommodation, reassess care and support needs and safeguard her finances. Following a financial capacity assessment, the local authority assumed responsibility for managing her income in her best interests, reflecting both statutory duties and evidence of financial exploitation.</w:t>
            </w:r>
          </w:p>
          <w:p w14:paraId="7AFF738D" w14:textId="77777777" w:rsidR="002C3B84" w:rsidRDefault="002C3B84" w:rsidP="0008214B">
            <w:pPr>
              <w:jc w:val="both"/>
              <w:rPr>
                <w:iCs/>
                <w:sz w:val="24"/>
                <w:szCs w:val="24"/>
              </w:rPr>
            </w:pPr>
          </w:p>
          <w:p w14:paraId="031C6B51" w14:textId="77777777" w:rsidR="002C3B84" w:rsidRDefault="002C3B84" w:rsidP="002C3B84">
            <w:pPr>
              <w:jc w:val="both"/>
              <w:rPr>
                <w:iCs/>
                <w:sz w:val="24"/>
                <w:szCs w:val="24"/>
              </w:rPr>
            </w:pPr>
            <w:r w:rsidRPr="002C3B84">
              <w:rPr>
                <w:iCs/>
                <w:sz w:val="24"/>
                <w:szCs w:val="24"/>
              </w:rPr>
              <w:t xml:space="preserve">Relationship-based practice was also central to the safeguarding intervention. Ruch, Turney and Ward (2018) argue that effective social work depends upon developing purposeful professional relationships that facilitate trust, engagement and participation. This was particularly relevant as both 1 and members of the family initially demonstrated resistance towards professional involvement. </w:t>
            </w:r>
          </w:p>
          <w:p w14:paraId="42541C7D" w14:textId="77777777" w:rsidR="002C3B84" w:rsidRDefault="002C3B84" w:rsidP="002C3B84">
            <w:pPr>
              <w:jc w:val="both"/>
              <w:rPr>
                <w:iCs/>
                <w:sz w:val="24"/>
                <w:szCs w:val="24"/>
              </w:rPr>
            </w:pPr>
            <w:r w:rsidRPr="002C3B84">
              <w:rPr>
                <w:iCs/>
                <w:sz w:val="24"/>
                <w:szCs w:val="24"/>
              </w:rPr>
              <w:t xml:space="preserve">Building and maintaining engagement required persistence, empathy and transparency regarding safeguarding concerns whilst continuing to fulfil statutory responsibilities. </w:t>
            </w:r>
          </w:p>
          <w:p w14:paraId="33FC6199" w14:textId="77777777" w:rsidR="002C3B84" w:rsidRDefault="002C3B84" w:rsidP="002C3B84">
            <w:pPr>
              <w:jc w:val="both"/>
              <w:rPr>
                <w:iCs/>
                <w:sz w:val="24"/>
                <w:szCs w:val="24"/>
              </w:rPr>
            </w:pPr>
            <w:r w:rsidRPr="002C3B84">
              <w:rPr>
                <w:iCs/>
                <w:sz w:val="24"/>
                <w:szCs w:val="24"/>
              </w:rPr>
              <w:t xml:space="preserve">Reflecting on this aspect of practice reinforced my understanding that safeguarding is not solely a procedural activity but also a relational one. </w:t>
            </w:r>
          </w:p>
          <w:p w14:paraId="0C7591F2" w14:textId="2FD5B137" w:rsidR="002C3B84" w:rsidRPr="002C3B84" w:rsidRDefault="002C3B84" w:rsidP="002C3B84">
            <w:pPr>
              <w:jc w:val="both"/>
              <w:rPr>
                <w:iCs/>
                <w:sz w:val="24"/>
                <w:szCs w:val="24"/>
              </w:rPr>
            </w:pPr>
            <w:r w:rsidRPr="002C3B84">
              <w:rPr>
                <w:iCs/>
                <w:sz w:val="24"/>
                <w:szCs w:val="24"/>
              </w:rPr>
              <w:t>Whilst legislation and policy provided the framework for intervention, positive outcomes were supported through respectful communication, collaborative working and sustained engagement with the family. The eventual decision for 1 to leave the property voluntarily demonstrated the value of relationship-based practice in promoting person-centred outcomes whilst safeguarding individuals from harm.</w:t>
            </w:r>
          </w:p>
          <w:p w14:paraId="7BBC938D" w14:textId="77777777" w:rsidR="002C3B84" w:rsidRDefault="002C3B84" w:rsidP="0008214B">
            <w:pPr>
              <w:jc w:val="both"/>
              <w:rPr>
                <w:iCs/>
                <w:sz w:val="24"/>
                <w:szCs w:val="24"/>
              </w:rPr>
            </w:pPr>
          </w:p>
          <w:p w14:paraId="05587A21" w14:textId="77777777" w:rsidR="0008214B" w:rsidRDefault="0008214B" w:rsidP="0008214B">
            <w:pPr>
              <w:jc w:val="both"/>
              <w:rPr>
                <w:iCs/>
                <w:sz w:val="24"/>
                <w:szCs w:val="24"/>
              </w:rPr>
            </w:pPr>
            <w:r w:rsidRPr="0008214B">
              <w:rPr>
                <w:iCs/>
                <w:sz w:val="24"/>
                <w:szCs w:val="24"/>
              </w:rPr>
              <w:t xml:space="preserve">Reflecting on this case has enhanced my understanding of safeguarding as a dynamic and evolving process. Earlier exploration of financial exploitation and coercive family dynamics may have strengthened intervention and reduced risk at a sooner stage. </w:t>
            </w:r>
          </w:p>
          <w:p w14:paraId="6FF0795B" w14:textId="77777777" w:rsidR="00505BF9" w:rsidRDefault="00505BF9" w:rsidP="0008214B">
            <w:pPr>
              <w:jc w:val="both"/>
              <w:rPr>
                <w:iCs/>
                <w:sz w:val="24"/>
                <w:szCs w:val="24"/>
              </w:rPr>
            </w:pPr>
          </w:p>
          <w:p w14:paraId="2E51F525" w14:textId="77777777" w:rsidR="0008214B" w:rsidRDefault="0008214B" w:rsidP="0008214B">
            <w:pPr>
              <w:jc w:val="both"/>
              <w:rPr>
                <w:iCs/>
                <w:sz w:val="24"/>
                <w:szCs w:val="24"/>
              </w:rPr>
            </w:pPr>
            <w:r w:rsidRPr="0008214B">
              <w:rPr>
                <w:iCs/>
                <w:sz w:val="24"/>
                <w:szCs w:val="24"/>
              </w:rPr>
              <w:t>The experience reinforced the importance of professional curiosity and highlighted the need to remain open to alternative explanations rather than focusing solely on the most visible presenting concerns.</w:t>
            </w:r>
          </w:p>
          <w:p w14:paraId="1C50B1B5" w14:textId="77777777" w:rsidR="00505BF9" w:rsidRPr="0008214B" w:rsidRDefault="00505BF9" w:rsidP="0008214B">
            <w:pPr>
              <w:jc w:val="both"/>
              <w:rPr>
                <w:iCs/>
                <w:sz w:val="24"/>
                <w:szCs w:val="24"/>
              </w:rPr>
            </w:pPr>
          </w:p>
          <w:p w14:paraId="193645EA" w14:textId="77777777" w:rsidR="0008214B" w:rsidRDefault="0008214B" w:rsidP="0008214B">
            <w:pPr>
              <w:jc w:val="both"/>
              <w:rPr>
                <w:iCs/>
                <w:sz w:val="24"/>
                <w:szCs w:val="24"/>
              </w:rPr>
            </w:pPr>
            <w:r w:rsidRPr="0008214B">
              <w:rPr>
                <w:iCs/>
                <w:sz w:val="24"/>
                <w:szCs w:val="24"/>
              </w:rPr>
              <w:t xml:space="preserve">The case also strengthened my appreciation of trauma-informed, anti-oppressive and rights-based practice. Understanding the influence of trauma upon family engagement enabled a more sensitive and effective response, whilst maintaining a focus on autonomy and human rights. </w:t>
            </w:r>
          </w:p>
          <w:p w14:paraId="40B3346A" w14:textId="77777777" w:rsidR="00505BF9" w:rsidRDefault="00505BF9" w:rsidP="0008214B">
            <w:pPr>
              <w:jc w:val="both"/>
              <w:rPr>
                <w:iCs/>
                <w:sz w:val="24"/>
                <w:szCs w:val="24"/>
              </w:rPr>
            </w:pPr>
          </w:p>
          <w:p w14:paraId="5224E1B2" w14:textId="77777777" w:rsidR="0008214B" w:rsidRDefault="0008214B" w:rsidP="0008214B">
            <w:pPr>
              <w:jc w:val="both"/>
              <w:rPr>
                <w:iCs/>
                <w:sz w:val="24"/>
                <w:szCs w:val="24"/>
              </w:rPr>
            </w:pPr>
            <w:r w:rsidRPr="0008214B">
              <w:rPr>
                <w:iCs/>
                <w:sz w:val="24"/>
                <w:szCs w:val="24"/>
              </w:rPr>
              <w:t>Furthermore, the case demonstrated how effective safeguarding depends upon the integration of assessment, theory, legislation, professional judgement and collaborative working rather than reliance on any single source of information.</w:t>
            </w:r>
          </w:p>
          <w:p w14:paraId="1D651533" w14:textId="77777777" w:rsidR="00505BF9" w:rsidRPr="0008214B" w:rsidRDefault="00505BF9" w:rsidP="0008214B">
            <w:pPr>
              <w:jc w:val="both"/>
              <w:rPr>
                <w:iCs/>
                <w:sz w:val="24"/>
                <w:szCs w:val="24"/>
              </w:rPr>
            </w:pPr>
          </w:p>
          <w:p w14:paraId="6BF352A3" w14:textId="77777777" w:rsidR="0008214B" w:rsidRPr="0008214B" w:rsidRDefault="0008214B" w:rsidP="0008214B">
            <w:pPr>
              <w:jc w:val="both"/>
              <w:rPr>
                <w:iCs/>
                <w:sz w:val="24"/>
                <w:szCs w:val="24"/>
              </w:rPr>
            </w:pPr>
            <w:r w:rsidRPr="0008214B">
              <w:rPr>
                <w:iCs/>
                <w:sz w:val="24"/>
                <w:szCs w:val="24"/>
              </w:rPr>
              <w:t>The emotional complexity of the case emphasised the value of supervision and reflective practice. Through supervision, I was able to challenge assumptions, explore ethical dilemmas and consider alternative perspectives. This helped support defensible decision-making and reinforced my confidence when working with uncertainty. The learning gained will continue to inform my future practice by encouraging deeper analysis, earlier identification of hidden harm and a continued commitment to person-centred safeguarding interventions.</w:t>
            </w:r>
          </w:p>
          <w:p w14:paraId="70B62369" w14:textId="77777777" w:rsidR="0008214B" w:rsidRDefault="0008214B" w:rsidP="0008214B">
            <w:pPr>
              <w:jc w:val="both"/>
              <w:rPr>
                <w:iCs/>
                <w:sz w:val="24"/>
                <w:szCs w:val="24"/>
              </w:rPr>
            </w:pPr>
          </w:p>
          <w:p w14:paraId="16795813" w14:textId="45E79B30" w:rsidR="0008214B" w:rsidRDefault="0008214B" w:rsidP="0008214B">
            <w:pPr>
              <w:jc w:val="both"/>
              <w:rPr>
                <w:iCs/>
                <w:sz w:val="24"/>
                <w:szCs w:val="24"/>
              </w:rPr>
            </w:pPr>
            <w:r w:rsidRPr="00B0265A">
              <w:rPr>
                <w:iCs/>
                <w:sz w:val="24"/>
                <w:szCs w:val="24"/>
              </w:rPr>
              <w:t xml:space="preserve">An important learning point arising from this case relates </w:t>
            </w:r>
            <w:r w:rsidR="002C3B84">
              <w:rPr>
                <w:iCs/>
                <w:sz w:val="24"/>
                <w:szCs w:val="24"/>
              </w:rPr>
              <w:t>to</w:t>
            </w:r>
            <w:r w:rsidRPr="00B0265A">
              <w:rPr>
                <w:iCs/>
                <w:sz w:val="24"/>
                <w:szCs w:val="24"/>
              </w:rPr>
              <w:t xml:space="preserve"> defensible decision-making. Safeguarding practitioners are frequently required to make decisions in situations characterised by uncertainty, conflicting information and evolving levels of risk. Kemshall (2010) argues that defensible decision-making is not about achieving perfect outcomes but about demonstrating that decisions are based upon available evidence, sound professional reasoning and appropriate legal and ethical frameworks. </w:t>
            </w:r>
          </w:p>
          <w:p w14:paraId="48349E27" w14:textId="77777777" w:rsidR="0008214B" w:rsidRDefault="0008214B" w:rsidP="0008214B">
            <w:pPr>
              <w:jc w:val="both"/>
              <w:rPr>
                <w:iCs/>
                <w:sz w:val="24"/>
                <w:szCs w:val="24"/>
              </w:rPr>
            </w:pPr>
          </w:p>
          <w:p w14:paraId="25A4226D" w14:textId="77777777" w:rsidR="0008214B" w:rsidRDefault="0008214B" w:rsidP="0008214B">
            <w:pPr>
              <w:jc w:val="both"/>
              <w:rPr>
                <w:iCs/>
                <w:sz w:val="24"/>
                <w:szCs w:val="24"/>
              </w:rPr>
            </w:pPr>
            <w:r w:rsidRPr="00B0265A">
              <w:rPr>
                <w:iCs/>
                <w:sz w:val="24"/>
                <w:szCs w:val="24"/>
              </w:rPr>
              <w:t>Throughout this case, decisions regarding safeguarding enquiries, information sharing, capacity assessments and intervention were supported through multi-agency discussion, supervision and ongoing assessment. This helped ensure that decision-making remained transparent, proportionate and accountable.</w:t>
            </w:r>
          </w:p>
          <w:p w14:paraId="24C9646D" w14:textId="77777777" w:rsidR="0008214B" w:rsidRPr="00B0265A" w:rsidRDefault="0008214B" w:rsidP="0008214B">
            <w:pPr>
              <w:jc w:val="both"/>
              <w:rPr>
                <w:iCs/>
                <w:sz w:val="24"/>
                <w:szCs w:val="24"/>
              </w:rPr>
            </w:pPr>
          </w:p>
          <w:p w14:paraId="5D1E5F3F" w14:textId="6139594D" w:rsidR="0008214B" w:rsidRDefault="0008214B" w:rsidP="0008214B">
            <w:pPr>
              <w:jc w:val="both"/>
              <w:rPr>
                <w:iCs/>
                <w:sz w:val="24"/>
                <w:szCs w:val="24"/>
              </w:rPr>
            </w:pPr>
            <w:r w:rsidRPr="00B0265A">
              <w:rPr>
                <w:iCs/>
                <w:sz w:val="24"/>
                <w:szCs w:val="24"/>
              </w:rPr>
              <w:t>The case reinforced that risk can rarely be eliminated entirely. Instead, social workers are often required to balance competing rights, responsibilities and ethical considerations. In this instance, tensions emerged between respecting 1's autonomy and protecting her from significant harm. Whilst the Mental Capacity Act 2005 provided a legal framework for intervention, there remained uncertainty regarding the extent to which her decisions were influenced by cognitive decline, family relationships and environmental factors. This highlighted the importance of recognising uncertainty as an inherent aspect of safeguarding practice rather than viewing it as professional failure.</w:t>
            </w:r>
          </w:p>
          <w:p w14:paraId="7138CFD2" w14:textId="77777777" w:rsidR="0008214B" w:rsidRPr="00B0265A" w:rsidRDefault="0008214B" w:rsidP="0008214B">
            <w:pPr>
              <w:jc w:val="both"/>
              <w:rPr>
                <w:iCs/>
                <w:sz w:val="24"/>
                <w:szCs w:val="24"/>
              </w:rPr>
            </w:pPr>
          </w:p>
          <w:p w14:paraId="663AF3FC" w14:textId="77777777" w:rsidR="0008214B" w:rsidRDefault="0008214B" w:rsidP="0008214B">
            <w:pPr>
              <w:jc w:val="both"/>
              <w:rPr>
                <w:iCs/>
                <w:sz w:val="24"/>
                <w:szCs w:val="24"/>
              </w:rPr>
            </w:pPr>
            <w:r w:rsidRPr="00B0265A">
              <w:rPr>
                <w:iCs/>
                <w:sz w:val="24"/>
                <w:szCs w:val="24"/>
              </w:rPr>
              <w:lastRenderedPageBreak/>
              <w:t>Reflecting on the wider context, the case highlighted the importance of safeguarding practice being informed by multiple legislative and policy frameworks. Whilst the Social Services and Well-being (Wales) Act 2014 provided the primary safeguarding framework, intervention was also informed by UK legislation, including the Mental Capacity Act 2005, Data Protection Act 2018 and Human Rights Act 1998. Furthermore, principles originating from the European Convention on Human Rights and international conventions concerning disability and older people's rights influenced assessment and decision-making. This reinforced the interconnected nature of safeguarding practice and highlighted how local social work interventions are shaped by national and international rights-based frameworks.</w:t>
            </w:r>
          </w:p>
          <w:p w14:paraId="7EAEF278" w14:textId="77777777" w:rsidR="0008214B" w:rsidRPr="00B0265A" w:rsidRDefault="0008214B" w:rsidP="0008214B">
            <w:pPr>
              <w:jc w:val="both"/>
              <w:rPr>
                <w:iCs/>
                <w:sz w:val="24"/>
                <w:szCs w:val="24"/>
              </w:rPr>
            </w:pPr>
          </w:p>
          <w:p w14:paraId="1898E353" w14:textId="77777777" w:rsidR="0008214B" w:rsidRPr="00B0265A" w:rsidRDefault="0008214B" w:rsidP="0008214B">
            <w:pPr>
              <w:jc w:val="both"/>
              <w:rPr>
                <w:iCs/>
                <w:sz w:val="24"/>
                <w:szCs w:val="24"/>
              </w:rPr>
            </w:pPr>
            <w:r w:rsidRPr="00B0265A">
              <w:rPr>
                <w:iCs/>
                <w:sz w:val="24"/>
                <w:szCs w:val="24"/>
              </w:rPr>
              <w:t>Finally, this case has significantly informed my future practice. It reinforced the importance of maintaining professional curiosity, recognising hidden forms of abuse and considering the broader social and environmental context surrounding safeguarding concerns. It also strengthened my appreciation of trauma-informed, anti-oppressive and rights-based practice. Most importantly, it demonstrated the value of reflective supervision and collaborative working in supporting effective safeguarding intervention. Moving forward, I will continue to apply these lessons to ensure that assessments remain person-centred, evidence-based and responsive to complexity.</w:t>
            </w:r>
          </w:p>
          <w:p w14:paraId="2B8B95AD" w14:textId="77777777" w:rsidR="0008214B" w:rsidRPr="00364D53" w:rsidRDefault="0008214B" w:rsidP="0008214B">
            <w:pPr>
              <w:jc w:val="both"/>
              <w:rPr>
                <w:iCs/>
                <w:sz w:val="24"/>
                <w:szCs w:val="24"/>
              </w:rPr>
            </w:pPr>
          </w:p>
          <w:p w14:paraId="2EE68B95" w14:textId="77777777" w:rsidR="00D8413D" w:rsidRDefault="0008214B" w:rsidP="0008214B">
            <w:pPr>
              <w:jc w:val="both"/>
              <w:rPr>
                <w:iCs/>
                <w:sz w:val="24"/>
                <w:szCs w:val="24"/>
              </w:rPr>
            </w:pPr>
            <w:r w:rsidRPr="0008214B">
              <w:rPr>
                <w:iCs/>
                <w:sz w:val="24"/>
                <w:szCs w:val="24"/>
              </w:rPr>
              <w:t xml:space="preserve">In conclusion, this case highlighted the complexity of safeguarding practice in Wales and demonstrated the integration of assessment, analysis, collaborative working and professional judgement in increasingly complex circumstances. </w:t>
            </w:r>
          </w:p>
          <w:p w14:paraId="24F9DB7A" w14:textId="15D531DC" w:rsidR="0008214B" w:rsidRDefault="0008214B" w:rsidP="0008214B">
            <w:pPr>
              <w:jc w:val="both"/>
              <w:rPr>
                <w:iCs/>
                <w:sz w:val="24"/>
                <w:szCs w:val="24"/>
              </w:rPr>
            </w:pPr>
            <w:r w:rsidRPr="0008214B">
              <w:rPr>
                <w:iCs/>
                <w:sz w:val="24"/>
                <w:szCs w:val="24"/>
              </w:rPr>
              <w:t>Safeguarding concerns relating to self-neglect, cognitive decline, financial exploitation and environmental risk required continual reassessment as new information emerged. This reinforced the importance of professional curiosity, evidence-based decision-making and reflective practice.</w:t>
            </w:r>
          </w:p>
          <w:p w14:paraId="683046F8" w14:textId="77777777" w:rsidR="00D8413D" w:rsidRPr="0008214B" w:rsidRDefault="00D8413D" w:rsidP="0008214B">
            <w:pPr>
              <w:jc w:val="both"/>
              <w:rPr>
                <w:iCs/>
                <w:sz w:val="24"/>
                <w:szCs w:val="24"/>
              </w:rPr>
            </w:pPr>
          </w:p>
          <w:p w14:paraId="15850270" w14:textId="77777777" w:rsidR="00D8413D" w:rsidRDefault="0008214B" w:rsidP="0008214B">
            <w:pPr>
              <w:jc w:val="both"/>
              <w:rPr>
                <w:iCs/>
                <w:sz w:val="24"/>
                <w:szCs w:val="24"/>
              </w:rPr>
            </w:pPr>
            <w:r w:rsidRPr="0008214B">
              <w:rPr>
                <w:iCs/>
                <w:sz w:val="24"/>
                <w:szCs w:val="24"/>
              </w:rPr>
              <w:t xml:space="preserve">The Social Services and Well-being (Wales) Act 2014, Mental Capacity Act 2005, Human Rights Act 1998 and Wales Safeguarding Procedures provided the legislative and procedural framework for intervention, while Systems Theory, Ecological Systems Theory, strengths-based practice and anti-oppressive approaches informed analysis and understanding. </w:t>
            </w:r>
          </w:p>
          <w:p w14:paraId="6BE5D1BF" w14:textId="77777777" w:rsidR="00D8413D" w:rsidRDefault="00D8413D" w:rsidP="0008214B">
            <w:pPr>
              <w:jc w:val="both"/>
              <w:rPr>
                <w:iCs/>
                <w:sz w:val="24"/>
                <w:szCs w:val="24"/>
              </w:rPr>
            </w:pPr>
          </w:p>
          <w:p w14:paraId="206591B1" w14:textId="2ABB3B7C" w:rsidR="0008214B" w:rsidRDefault="0008214B" w:rsidP="0008214B">
            <w:pPr>
              <w:jc w:val="both"/>
              <w:rPr>
                <w:iCs/>
                <w:sz w:val="24"/>
                <w:szCs w:val="24"/>
              </w:rPr>
            </w:pPr>
            <w:r w:rsidRPr="0008214B">
              <w:rPr>
                <w:iCs/>
                <w:sz w:val="24"/>
                <w:szCs w:val="24"/>
              </w:rPr>
              <w:t>The case further demonstrated how safeguarding practice in Wales is influenced by Welsh, UK, European and international frameworks that promote dignity, participation, autonomy and protection.</w:t>
            </w:r>
          </w:p>
          <w:p w14:paraId="74EE58D0" w14:textId="77777777" w:rsidR="00D8413D" w:rsidRPr="0008214B" w:rsidRDefault="00D8413D" w:rsidP="0008214B">
            <w:pPr>
              <w:jc w:val="both"/>
              <w:rPr>
                <w:iCs/>
                <w:sz w:val="24"/>
                <w:szCs w:val="24"/>
              </w:rPr>
            </w:pPr>
          </w:p>
          <w:p w14:paraId="7392F9E1" w14:textId="77777777" w:rsidR="0008214B" w:rsidRPr="0008214B" w:rsidRDefault="0008214B" w:rsidP="0008214B">
            <w:pPr>
              <w:jc w:val="both"/>
              <w:rPr>
                <w:iCs/>
                <w:sz w:val="24"/>
                <w:szCs w:val="24"/>
              </w:rPr>
            </w:pPr>
            <w:r w:rsidRPr="0008214B">
              <w:rPr>
                <w:iCs/>
                <w:sz w:val="24"/>
                <w:szCs w:val="24"/>
              </w:rPr>
              <w:t>Critically reflecting on this case strengthened my understanding of the importance of balancing autonomy with protection, recognising hidden forms of abuse and making defensible decisions within situations characterised by uncertainty and complexity. The learning gained will continue to inform my future practice and support effective, person-centred and rights-based safeguarding interventions.</w:t>
            </w:r>
          </w:p>
          <w:p w14:paraId="6704BC04" w14:textId="77777777" w:rsidR="0008214B" w:rsidRPr="00BF14CB" w:rsidRDefault="0008214B" w:rsidP="00BF14CB">
            <w:pPr>
              <w:jc w:val="both"/>
              <w:rPr>
                <w:iCs/>
                <w:sz w:val="24"/>
                <w:szCs w:val="24"/>
              </w:rPr>
            </w:pPr>
          </w:p>
          <w:p w14:paraId="04EB11D5" w14:textId="77777777" w:rsidR="00BF14CB" w:rsidRDefault="00BF14CB" w:rsidP="00364D53">
            <w:pPr>
              <w:jc w:val="both"/>
              <w:rPr>
                <w:iCs/>
                <w:sz w:val="24"/>
                <w:szCs w:val="24"/>
              </w:rPr>
            </w:pPr>
          </w:p>
          <w:p w14:paraId="6DE6546F" w14:textId="77777777" w:rsidR="00364D53" w:rsidRPr="00364D53" w:rsidRDefault="00364D53" w:rsidP="00364D53">
            <w:pPr>
              <w:jc w:val="both"/>
              <w:rPr>
                <w:iCs/>
                <w:sz w:val="24"/>
                <w:szCs w:val="24"/>
              </w:rPr>
            </w:pPr>
          </w:p>
          <w:p w14:paraId="334E6835" w14:textId="77777777" w:rsidR="00862AE1" w:rsidRPr="00862AE1" w:rsidRDefault="00862AE1" w:rsidP="00862AE1">
            <w:pPr>
              <w:jc w:val="both"/>
              <w:rPr>
                <w:iCs/>
                <w:sz w:val="24"/>
                <w:szCs w:val="24"/>
              </w:rPr>
            </w:pPr>
            <w:r w:rsidRPr="00862AE1">
              <w:rPr>
                <w:iCs/>
                <w:sz w:val="24"/>
                <w:szCs w:val="24"/>
              </w:rPr>
              <w:t> </w:t>
            </w:r>
          </w:p>
          <w:p w14:paraId="43CA65F6" w14:textId="72EC1B7F" w:rsidR="00D3203C" w:rsidRPr="00ED05A7" w:rsidRDefault="0072407A" w:rsidP="00FF7EBB">
            <w:pPr>
              <w:jc w:val="both"/>
              <w:rPr>
                <w:b/>
                <w:bCs/>
                <w:iCs/>
                <w:sz w:val="24"/>
                <w:szCs w:val="24"/>
              </w:rPr>
            </w:pPr>
            <w:r w:rsidRPr="00862AE1">
              <w:rPr>
                <w:b/>
                <w:bCs/>
                <w:iCs/>
                <w:sz w:val="24"/>
                <w:szCs w:val="24"/>
              </w:rPr>
              <w:t>WORD COUNT- 4</w:t>
            </w:r>
            <w:r w:rsidR="00D8413D">
              <w:rPr>
                <w:b/>
                <w:bCs/>
                <w:iCs/>
                <w:sz w:val="24"/>
                <w:szCs w:val="24"/>
              </w:rPr>
              <w:t>1</w:t>
            </w:r>
            <w:r w:rsidR="00D258BF">
              <w:rPr>
                <w:b/>
                <w:bCs/>
                <w:iCs/>
                <w:sz w:val="24"/>
                <w:szCs w:val="24"/>
              </w:rPr>
              <w:t>01</w:t>
            </w: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DCD3A" w14:textId="77777777" w:rsidR="008B4691" w:rsidRDefault="008B4691">
      <w:r>
        <w:separator/>
      </w:r>
    </w:p>
  </w:endnote>
  <w:endnote w:type="continuationSeparator" w:id="0">
    <w:p w14:paraId="1DF46AB6" w14:textId="77777777" w:rsidR="008B4691" w:rsidRDefault="008B4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B137E0" w14:textId="77777777" w:rsidR="008B4691" w:rsidRDefault="008B4691">
      <w:r>
        <w:separator/>
      </w:r>
    </w:p>
  </w:footnote>
  <w:footnote w:type="continuationSeparator" w:id="0">
    <w:p w14:paraId="4D44FEB0" w14:textId="77777777" w:rsidR="008B4691" w:rsidRDefault="008B46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6CBD"/>
    <w:rsid w:val="000372B2"/>
    <w:rsid w:val="0004079F"/>
    <w:rsid w:val="00043543"/>
    <w:rsid w:val="00045B87"/>
    <w:rsid w:val="00045C07"/>
    <w:rsid w:val="00045C40"/>
    <w:rsid w:val="00046861"/>
    <w:rsid w:val="00054A07"/>
    <w:rsid w:val="00055D43"/>
    <w:rsid w:val="00056FAC"/>
    <w:rsid w:val="00057751"/>
    <w:rsid w:val="00062E39"/>
    <w:rsid w:val="00063DC9"/>
    <w:rsid w:val="00064063"/>
    <w:rsid w:val="0006581A"/>
    <w:rsid w:val="00074461"/>
    <w:rsid w:val="00075DFE"/>
    <w:rsid w:val="000766EC"/>
    <w:rsid w:val="00080E58"/>
    <w:rsid w:val="0008214B"/>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0183"/>
    <w:rsid w:val="000C378F"/>
    <w:rsid w:val="000C54D1"/>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0F721C"/>
    <w:rsid w:val="0010312C"/>
    <w:rsid w:val="00105026"/>
    <w:rsid w:val="0010662B"/>
    <w:rsid w:val="00106DC7"/>
    <w:rsid w:val="00112391"/>
    <w:rsid w:val="00114F52"/>
    <w:rsid w:val="00130119"/>
    <w:rsid w:val="00132812"/>
    <w:rsid w:val="00133B25"/>
    <w:rsid w:val="001347F8"/>
    <w:rsid w:val="001359EE"/>
    <w:rsid w:val="00137BB5"/>
    <w:rsid w:val="00137E05"/>
    <w:rsid w:val="001447F6"/>
    <w:rsid w:val="00147DE3"/>
    <w:rsid w:val="00150794"/>
    <w:rsid w:val="00151DA6"/>
    <w:rsid w:val="001608C4"/>
    <w:rsid w:val="00164832"/>
    <w:rsid w:val="00171418"/>
    <w:rsid w:val="001772BF"/>
    <w:rsid w:val="001772DE"/>
    <w:rsid w:val="001840AE"/>
    <w:rsid w:val="0019496C"/>
    <w:rsid w:val="001961CF"/>
    <w:rsid w:val="001A59BB"/>
    <w:rsid w:val="001A607E"/>
    <w:rsid w:val="001A6A51"/>
    <w:rsid w:val="001A79C4"/>
    <w:rsid w:val="001B158C"/>
    <w:rsid w:val="001B331A"/>
    <w:rsid w:val="001C0237"/>
    <w:rsid w:val="001C0E74"/>
    <w:rsid w:val="001C266D"/>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3B84"/>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35CB"/>
    <w:rsid w:val="00324B99"/>
    <w:rsid w:val="00330881"/>
    <w:rsid w:val="00331CD2"/>
    <w:rsid w:val="00332426"/>
    <w:rsid w:val="00335C41"/>
    <w:rsid w:val="00335FC5"/>
    <w:rsid w:val="0033771E"/>
    <w:rsid w:val="00337FEF"/>
    <w:rsid w:val="00354B6D"/>
    <w:rsid w:val="00355210"/>
    <w:rsid w:val="00355CFD"/>
    <w:rsid w:val="00364D53"/>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E6918"/>
    <w:rsid w:val="003F1233"/>
    <w:rsid w:val="003F67A4"/>
    <w:rsid w:val="00400786"/>
    <w:rsid w:val="00401FDA"/>
    <w:rsid w:val="004046F0"/>
    <w:rsid w:val="0040668F"/>
    <w:rsid w:val="00406A4C"/>
    <w:rsid w:val="00411EF7"/>
    <w:rsid w:val="00412677"/>
    <w:rsid w:val="00420A95"/>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728"/>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05BF9"/>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5B33"/>
    <w:rsid w:val="0057780F"/>
    <w:rsid w:val="00581E0A"/>
    <w:rsid w:val="00586D89"/>
    <w:rsid w:val="005877C8"/>
    <w:rsid w:val="00587923"/>
    <w:rsid w:val="00594F9F"/>
    <w:rsid w:val="005A1B4C"/>
    <w:rsid w:val="005A545C"/>
    <w:rsid w:val="005A5CEB"/>
    <w:rsid w:val="005B271A"/>
    <w:rsid w:val="005B3A2D"/>
    <w:rsid w:val="005C1567"/>
    <w:rsid w:val="005C28D3"/>
    <w:rsid w:val="005C6CE5"/>
    <w:rsid w:val="005D3F07"/>
    <w:rsid w:val="005D4438"/>
    <w:rsid w:val="005D4A1E"/>
    <w:rsid w:val="005D4F72"/>
    <w:rsid w:val="005E13EA"/>
    <w:rsid w:val="005E17F1"/>
    <w:rsid w:val="005E3E4F"/>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90B"/>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407A"/>
    <w:rsid w:val="007257C4"/>
    <w:rsid w:val="0072678F"/>
    <w:rsid w:val="007276E5"/>
    <w:rsid w:val="00727C4C"/>
    <w:rsid w:val="00734809"/>
    <w:rsid w:val="0073714E"/>
    <w:rsid w:val="007374EF"/>
    <w:rsid w:val="007406E1"/>
    <w:rsid w:val="00743E40"/>
    <w:rsid w:val="00745016"/>
    <w:rsid w:val="0075031F"/>
    <w:rsid w:val="00751263"/>
    <w:rsid w:val="007523FB"/>
    <w:rsid w:val="007544FC"/>
    <w:rsid w:val="00754601"/>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3179"/>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276E3"/>
    <w:rsid w:val="008308AE"/>
    <w:rsid w:val="00830DD1"/>
    <w:rsid w:val="0083166E"/>
    <w:rsid w:val="00831DC3"/>
    <w:rsid w:val="008322C7"/>
    <w:rsid w:val="008336E9"/>
    <w:rsid w:val="008340BA"/>
    <w:rsid w:val="00834F1D"/>
    <w:rsid w:val="00836FEC"/>
    <w:rsid w:val="00841F9D"/>
    <w:rsid w:val="008420E1"/>
    <w:rsid w:val="00844D98"/>
    <w:rsid w:val="00846D84"/>
    <w:rsid w:val="00850233"/>
    <w:rsid w:val="0085230E"/>
    <w:rsid w:val="008550A1"/>
    <w:rsid w:val="00861038"/>
    <w:rsid w:val="00862AE1"/>
    <w:rsid w:val="00865B58"/>
    <w:rsid w:val="00866B50"/>
    <w:rsid w:val="00867A63"/>
    <w:rsid w:val="008708F1"/>
    <w:rsid w:val="00871960"/>
    <w:rsid w:val="0087369F"/>
    <w:rsid w:val="00880539"/>
    <w:rsid w:val="00884628"/>
    <w:rsid w:val="008859E8"/>
    <w:rsid w:val="0088737B"/>
    <w:rsid w:val="00891078"/>
    <w:rsid w:val="00892716"/>
    <w:rsid w:val="00893067"/>
    <w:rsid w:val="008933DE"/>
    <w:rsid w:val="00895FCE"/>
    <w:rsid w:val="00897F3E"/>
    <w:rsid w:val="008A21B4"/>
    <w:rsid w:val="008B07DE"/>
    <w:rsid w:val="008B1309"/>
    <w:rsid w:val="008B28E7"/>
    <w:rsid w:val="008B4691"/>
    <w:rsid w:val="008B67F6"/>
    <w:rsid w:val="008B719B"/>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380F"/>
    <w:rsid w:val="00916FB2"/>
    <w:rsid w:val="00920E5B"/>
    <w:rsid w:val="00926436"/>
    <w:rsid w:val="00926C53"/>
    <w:rsid w:val="0093018C"/>
    <w:rsid w:val="0094495F"/>
    <w:rsid w:val="009544C0"/>
    <w:rsid w:val="00954FA4"/>
    <w:rsid w:val="00956AE9"/>
    <w:rsid w:val="009602E4"/>
    <w:rsid w:val="00964CC6"/>
    <w:rsid w:val="00966F7C"/>
    <w:rsid w:val="00967BFA"/>
    <w:rsid w:val="0098262C"/>
    <w:rsid w:val="0098427C"/>
    <w:rsid w:val="00986B43"/>
    <w:rsid w:val="00986C0B"/>
    <w:rsid w:val="00986D46"/>
    <w:rsid w:val="00991FDA"/>
    <w:rsid w:val="00992ACA"/>
    <w:rsid w:val="00993B24"/>
    <w:rsid w:val="009A5F3B"/>
    <w:rsid w:val="009A5F79"/>
    <w:rsid w:val="009A6F87"/>
    <w:rsid w:val="009B0B61"/>
    <w:rsid w:val="009B28C0"/>
    <w:rsid w:val="009B3178"/>
    <w:rsid w:val="009B3E46"/>
    <w:rsid w:val="009B7136"/>
    <w:rsid w:val="009C337F"/>
    <w:rsid w:val="009C53E7"/>
    <w:rsid w:val="009C6092"/>
    <w:rsid w:val="009C7342"/>
    <w:rsid w:val="009D2049"/>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2F0"/>
    <w:rsid w:val="00A24406"/>
    <w:rsid w:val="00A25F64"/>
    <w:rsid w:val="00A275F6"/>
    <w:rsid w:val="00A303B9"/>
    <w:rsid w:val="00A37416"/>
    <w:rsid w:val="00A37C27"/>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65A"/>
    <w:rsid w:val="00B0296A"/>
    <w:rsid w:val="00B037B0"/>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14CB"/>
    <w:rsid w:val="00C01D14"/>
    <w:rsid w:val="00C01D97"/>
    <w:rsid w:val="00C025B4"/>
    <w:rsid w:val="00C029EC"/>
    <w:rsid w:val="00C05916"/>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58BF"/>
    <w:rsid w:val="00D3203C"/>
    <w:rsid w:val="00D33491"/>
    <w:rsid w:val="00D3442D"/>
    <w:rsid w:val="00D36F00"/>
    <w:rsid w:val="00D425F7"/>
    <w:rsid w:val="00D44B67"/>
    <w:rsid w:val="00D44F8E"/>
    <w:rsid w:val="00D51FD5"/>
    <w:rsid w:val="00D55DE0"/>
    <w:rsid w:val="00D607EF"/>
    <w:rsid w:val="00D60F88"/>
    <w:rsid w:val="00D646BD"/>
    <w:rsid w:val="00D65558"/>
    <w:rsid w:val="00D71201"/>
    <w:rsid w:val="00D720C7"/>
    <w:rsid w:val="00D77CE5"/>
    <w:rsid w:val="00D8413D"/>
    <w:rsid w:val="00D84841"/>
    <w:rsid w:val="00D876E6"/>
    <w:rsid w:val="00D90958"/>
    <w:rsid w:val="00DA1025"/>
    <w:rsid w:val="00DA22EC"/>
    <w:rsid w:val="00DA5682"/>
    <w:rsid w:val="00DA5860"/>
    <w:rsid w:val="00DA5C0C"/>
    <w:rsid w:val="00DB21F9"/>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26BAF"/>
    <w:rsid w:val="00E3288D"/>
    <w:rsid w:val="00E35112"/>
    <w:rsid w:val="00E35BEC"/>
    <w:rsid w:val="00E41A6A"/>
    <w:rsid w:val="00E50821"/>
    <w:rsid w:val="00E51F91"/>
    <w:rsid w:val="00E5498A"/>
    <w:rsid w:val="00E559CE"/>
    <w:rsid w:val="00E5754C"/>
    <w:rsid w:val="00E60F42"/>
    <w:rsid w:val="00E6746C"/>
    <w:rsid w:val="00E7086E"/>
    <w:rsid w:val="00E71248"/>
    <w:rsid w:val="00E73C41"/>
    <w:rsid w:val="00E75911"/>
    <w:rsid w:val="00E7598F"/>
    <w:rsid w:val="00E76F60"/>
    <w:rsid w:val="00E812B5"/>
    <w:rsid w:val="00E829CC"/>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434"/>
    <w:rsid w:val="00EC569F"/>
    <w:rsid w:val="00EC59A5"/>
    <w:rsid w:val="00EC6E15"/>
    <w:rsid w:val="00ED05A7"/>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2578"/>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23D"/>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B3193E7F-A46E-4FD5-BBF0-4EBA90B3C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796</TotalTime>
  <Pages>12</Pages>
  <Words>4929</Words>
  <Characters>28096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Hayley Bickle</cp:lastModifiedBy>
  <cp:revision>7</cp:revision>
  <cp:lastPrinted>2020-02-11T19:20:00Z</cp:lastPrinted>
  <dcterms:created xsi:type="dcterms:W3CDTF">2026-08-29T09:02:00Z</dcterms:created>
  <dcterms:modified xsi:type="dcterms:W3CDTF">2026-09-23T12:25:00Z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