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E4C867B" w:rsidP="57E9EC40" w:rsidRDefault="5E4C867B" w14:paraId="1617AC8F" w14:textId="47A3BF7B">
      <w:pPr>
        <w:pStyle w:val="Normal"/>
        <w:spacing w:line="480" w:lineRule="auto"/>
        <w:ind w:left="1440" w:firstLine="0"/>
        <w:rPr>
          <w:rFonts w:ascii="Times New Roman" w:hAnsi="Times New Roman" w:eastAsia="Times New Roman" w:cs="Times New Roman"/>
        </w:rPr>
      </w:pPr>
      <w:r w:rsidRPr="57E9EC40" w:rsidR="5E4C867B">
        <w:rPr>
          <w:rFonts w:ascii="Times New Roman" w:hAnsi="Times New Roman" w:eastAsia="Times New Roman" w:cs="Times New Roman"/>
        </w:rPr>
        <w:t xml:space="preserve">I have acknowledged the AI </w:t>
      </w:r>
      <w:r w:rsidRPr="57E9EC40" w:rsidR="5E4C867B">
        <w:rPr>
          <w:rFonts w:ascii="Times New Roman" w:hAnsi="Times New Roman" w:eastAsia="Times New Roman" w:cs="Times New Roman"/>
        </w:rPr>
        <w:t>statement,</w:t>
      </w:r>
      <w:r w:rsidRPr="57E9EC40" w:rsidR="5E4C867B">
        <w:rPr>
          <w:rFonts w:ascii="Times New Roman" w:hAnsi="Times New Roman" w:eastAsia="Times New Roman" w:cs="Times New Roman"/>
        </w:rPr>
        <w:t xml:space="preserve"> and this essay has been written with no AI being used.</w:t>
      </w:r>
    </w:p>
    <w:p w:rsidR="57E9EC40" w:rsidRDefault="57E9EC40" w14:paraId="6A5AF377" w14:textId="07369B33">
      <w:r>
        <w:br w:type="page"/>
      </w:r>
    </w:p>
    <w:p w:rsidR="05088CA6" w:rsidP="57E9EC40" w:rsidRDefault="05088CA6" w14:paraId="1BB9AAC4" w14:textId="4F63180F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</w:rPr>
      </w:pPr>
      <w:r w:rsidRPr="57E9EC40" w:rsidR="05088CA6">
        <w:rPr>
          <w:rFonts w:ascii="Times New Roman" w:hAnsi="Times New Roman" w:eastAsia="Times New Roman" w:cs="Times New Roman"/>
        </w:rPr>
        <w:t xml:space="preserve">The criminal justice system is designed to be as fair as possible. Is it? This essay will look at one of the main procedures in a criminal case, eyewitness testimonies (EWT). EWT’s </w:t>
      </w:r>
      <w:r w:rsidRPr="57E9EC40" w:rsidR="64DDF8A9">
        <w:rPr>
          <w:rFonts w:ascii="Times New Roman" w:hAnsi="Times New Roman" w:eastAsia="Times New Roman" w:cs="Times New Roman"/>
        </w:rPr>
        <w:t xml:space="preserve">have had increased psychological study to highlight positives </w:t>
      </w:r>
      <w:r w:rsidRPr="57E9EC40" w:rsidR="2AF5D876">
        <w:rPr>
          <w:rFonts w:ascii="Times New Roman" w:hAnsi="Times New Roman" w:eastAsia="Times New Roman" w:cs="Times New Roman"/>
        </w:rPr>
        <w:t>like their prosecution rate</w:t>
      </w:r>
      <w:r w:rsidRPr="57E9EC40" w:rsidR="6A27E47E">
        <w:rPr>
          <w:rFonts w:ascii="Times New Roman" w:hAnsi="Times New Roman" w:eastAsia="Times New Roman" w:cs="Times New Roman"/>
        </w:rPr>
        <w:t>.</w:t>
      </w:r>
      <w:r w:rsidRPr="57E9EC40" w:rsidR="2AF5D876">
        <w:rPr>
          <w:rFonts w:ascii="Times New Roman" w:hAnsi="Times New Roman" w:eastAsia="Times New Roman" w:cs="Times New Roman"/>
        </w:rPr>
        <w:t xml:space="preserve"> </w:t>
      </w:r>
      <w:r w:rsidRPr="57E9EC40" w:rsidR="7D454885">
        <w:rPr>
          <w:rFonts w:ascii="Times New Roman" w:hAnsi="Times New Roman" w:eastAsia="Times New Roman" w:cs="Times New Roman"/>
        </w:rPr>
        <w:t>Y</w:t>
      </w:r>
      <w:r w:rsidRPr="57E9EC40" w:rsidR="2AF5D876">
        <w:rPr>
          <w:rFonts w:ascii="Times New Roman" w:hAnsi="Times New Roman" w:eastAsia="Times New Roman" w:cs="Times New Roman"/>
        </w:rPr>
        <w:t xml:space="preserve">et literature shows </w:t>
      </w:r>
      <w:r w:rsidRPr="57E9EC40" w:rsidR="0B459E09">
        <w:rPr>
          <w:rFonts w:ascii="Times New Roman" w:hAnsi="Times New Roman" w:eastAsia="Times New Roman" w:cs="Times New Roman"/>
        </w:rPr>
        <w:t xml:space="preserve">how estimator and systemic variables can alter the course of a criminal case leading to the prosecution of innocence. </w:t>
      </w:r>
      <w:r w:rsidRPr="57E9EC40" w:rsidR="5F18F1E3">
        <w:rPr>
          <w:rFonts w:ascii="Times New Roman" w:hAnsi="Times New Roman" w:eastAsia="Times New Roman" w:cs="Times New Roman"/>
        </w:rPr>
        <w:t>Furthermore, the essay will look at how the individual differences of people</w:t>
      </w:r>
      <w:r w:rsidRPr="57E9EC40" w:rsidR="71CC1F60">
        <w:rPr>
          <w:rFonts w:ascii="Times New Roman" w:hAnsi="Times New Roman" w:eastAsia="Times New Roman" w:cs="Times New Roman"/>
        </w:rPr>
        <w:t>’s cognitive processes affect EWT and how the CJS interpret their testimonies.</w:t>
      </w:r>
      <w:r>
        <w:tab/>
      </w:r>
    </w:p>
    <w:p w:rsidR="54619809" w:rsidP="57E9EC40" w:rsidRDefault="54619809" w14:paraId="0C2A5485" w14:textId="212608DD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E9EC40" w:rsidR="54619809">
        <w:rPr>
          <w:rFonts w:ascii="Times New Roman" w:hAnsi="Times New Roman" w:eastAsia="Times New Roman" w:cs="Times New Roman"/>
        </w:rPr>
        <w:t xml:space="preserve">Estimator variables </w:t>
      </w:r>
      <w:r w:rsidRPr="57E9EC40" w:rsidR="500F1C72">
        <w:rPr>
          <w:rFonts w:ascii="Times New Roman" w:hAnsi="Times New Roman" w:eastAsia="Times New Roman" w:cs="Times New Roman"/>
        </w:rPr>
        <w:t>within laboratory settings reveal</w:t>
      </w:r>
      <w:r w:rsidRPr="57E9EC40" w:rsidR="47D51A86">
        <w:rPr>
          <w:rFonts w:ascii="Times New Roman" w:hAnsi="Times New Roman" w:eastAsia="Times New Roman" w:cs="Times New Roman"/>
        </w:rPr>
        <w:t xml:space="preserve"> individual cognition </w:t>
      </w:r>
      <w:r w:rsidRPr="57E9EC40" w:rsidR="7BF67B49">
        <w:rPr>
          <w:rFonts w:ascii="Times New Roman" w:hAnsi="Times New Roman" w:eastAsia="Times New Roman" w:cs="Times New Roman"/>
        </w:rPr>
        <w:t xml:space="preserve">is a determining factor </w:t>
      </w:r>
      <w:r w:rsidRPr="57E9EC40" w:rsidR="548AFC72">
        <w:rPr>
          <w:rFonts w:ascii="Times New Roman" w:hAnsi="Times New Roman" w:eastAsia="Times New Roman" w:cs="Times New Roman"/>
        </w:rPr>
        <w:t xml:space="preserve">of successful eyewitness testimonies. </w:t>
      </w:r>
      <w:r w:rsidRPr="57E9EC40" w:rsidR="43DE4EB1">
        <w:rPr>
          <w:rFonts w:ascii="Times New Roman" w:hAnsi="Times New Roman" w:eastAsia="Times New Roman" w:cs="Times New Roman"/>
        </w:rPr>
        <w:t>Laboratory studies revealed that exposure duration and frequency</w:t>
      </w:r>
      <w:r w:rsidRPr="57E9EC40" w:rsidR="7C0FC282">
        <w:rPr>
          <w:rFonts w:ascii="Times New Roman" w:hAnsi="Times New Roman" w:eastAsia="Times New Roman" w:cs="Times New Roman"/>
        </w:rPr>
        <w:t xml:space="preserve">, speed of event (if situations occur quicker, information processing is more difficult.) </w:t>
      </w:r>
      <w:r w:rsidRPr="57E9EC40" w:rsidR="081E5B5B">
        <w:rPr>
          <w:rFonts w:ascii="Times New Roman" w:hAnsi="Times New Roman" w:eastAsia="Times New Roman" w:cs="Times New Roman"/>
        </w:rPr>
        <w:t>then finally the longer the exposure accuracy is lost due to</w:t>
      </w:r>
      <w:r w:rsidRPr="57E9EC40" w:rsidR="674E6F93">
        <w:rPr>
          <w:rFonts w:ascii="Times New Roman" w:hAnsi="Times New Roman" w:eastAsia="Times New Roman" w:cs="Times New Roman"/>
        </w:rPr>
        <w:t xml:space="preserve"> higher cognitive load.</w:t>
      </w:r>
      <w:r w:rsidRPr="57E9EC40" w:rsidR="6798F369">
        <w:rPr>
          <w:rFonts w:ascii="Times New Roman" w:hAnsi="Times New Roman" w:eastAsia="Times New Roman" w:cs="Times New Roman"/>
        </w:rPr>
        <w:t xml:space="preserve"> </w:t>
      </w:r>
      <w:r w:rsidRPr="57E9EC40" w:rsidR="6798F3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(Wells, 1978)</w:t>
      </w:r>
      <w:r w:rsidRPr="57E9EC40" w:rsidR="737AD3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7E9EC40" w:rsidR="737AD3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Estimator </w:t>
      </w:r>
      <w:r w:rsidRPr="57E9EC40" w:rsidR="544B04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variables</w:t>
      </w:r>
      <w:r w:rsidRPr="57E9EC40" w:rsidR="737AD3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can be distorted through poor </w:t>
      </w:r>
      <w:r w:rsidRPr="57E9EC40" w:rsidR="29A756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witnessing conditions (</w:t>
      </w:r>
      <w:r w:rsidRPr="57E9EC40" w:rsidR="7B60C5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e.g.</w:t>
      </w:r>
      <w:r w:rsidRPr="57E9EC40" w:rsidR="29A756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weapon presence or extended </w:t>
      </w:r>
      <w:r w:rsidRPr="57E9EC40" w:rsidR="227778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period</w:t>
      </w:r>
      <w:r w:rsidRPr="57E9EC40" w:rsidR="29A756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between even</w:t>
      </w:r>
      <w:r w:rsidRPr="57E9EC40" w:rsidR="3F75EC1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57E9EC40" w:rsidR="29A756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witness</w:t>
      </w:r>
      <w:r w:rsidRPr="57E9EC40" w:rsidR="36BA16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identification.)</w:t>
      </w:r>
      <w:r w:rsidRPr="57E9EC40" w:rsidR="2F2217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(Behrman &amp; Davey, 2001) </w:t>
      </w:r>
      <w:r w:rsidRPr="57E9EC40" w:rsidR="17841E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Witness conditions prove vital during information extraction with some </w:t>
      </w:r>
      <w:r w:rsidRPr="57E9EC40" w:rsidR="51B2E6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logically hypothesizing that eyewitnesses' confidence declines </w:t>
      </w:r>
      <w:r w:rsidRPr="57E9EC40" w:rsidR="17B0F3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if viewing of the crime is </w:t>
      </w:r>
      <w:r w:rsidRPr="57E9EC40" w:rsidR="580061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substandard.</w:t>
      </w:r>
      <w:r w:rsidRPr="57E9EC40" w:rsidR="26BD25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(Carlson et al., 2016) </w:t>
      </w:r>
      <w:r w:rsidRPr="57E9EC40" w:rsidR="037753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Contrary to this finding, </w:t>
      </w:r>
      <w:r w:rsidRPr="57E9EC40" w:rsidR="6968CB5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Lampinen et al. (2014) found that if the witness was confident in her sighting that even if </w:t>
      </w:r>
      <w:r w:rsidRPr="57E9EC40" w:rsidR="2560E6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they were far away, very short sighting of perpetrators face</w:t>
      </w:r>
      <w:r w:rsidRPr="57E9EC40" w:rsidR="02E422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there attention was split from task and crime</w:t>
      </w:r>
      <w:r w:rsidRPr="57E9EC40" w:rsidR="243C4B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or weapon presence was involved. </w:t>
      </w:r>
      <w:r w:rsidRPr="57E9EC40" w:rsidR="735C48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(Lampinen et al., 2014; Wells et al., 2006</w:t>
      </w:r>
      <w:r w:rsidRPr="57E9EC40" w:rsidR="735C48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57E9EC40" w:rsidR="59ADF1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Other researchers have argued that even if eyewitness</w:t>
      </w:r>
      <w:r w:rsidRPr="57E9EC40" w:rsidR="59ADF1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E9EC40" w:rsidR="59ADF1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may be confident</w:t>
      </w:r>
      <w:r w:rsidRPr="57E9EC40" w:rsidR="4F3056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accuracy</w:t>
      </w:r>
      <w:r w:rsidRPr="57E9EC40" w:rsidR="6B74C8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the assessor</w:t>
      </w:r>
      <w:r w:rsidRPr="57E9EC40" w:rsidR="5D99BE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’s </w:t>
      </w:r>
      <w:r w:rsidRPr="57E9EC40" w:rsidR="5D99BE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perception</w:t>
      </w:r>
      <w:r w:rsidRPr="57E9EC40" w:rsidR="5D99BE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eyewitness accounts is </w:t>
      </w:r>
      <w:r w:rsidRPr="57E9EC40" w:rsidR="21B7B4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prominent. Certain studies have concluded that some evaluators base judgement off </w:t>
      </w:r>
      <w:r w:rsidRPr="57E9EC40" w:rsidR="062298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hubris alone</w:t>
      </w:r>
      <w:r w:rsidRPr="57E9EC40" w:rsidR="64CD905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resultant from inconsideration of witnessing conditions.</w:t>
      </w:r>
      <w:r w:rsidRPr="57E9EC40" w:rsidR="03C192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(Cutler et al., 1990)</w:t>
      </w:r>
      <w:r w:rsidRPr="57E9EC40" w:rsidR="4D0DD86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only other factor that </w:t>
      </w:r>
      <w:r w:rsidRPr="57E9EC40" w:rsidR="7DA7E1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largely affected</w:t>
      </w:r>
      <w:r w:rsidRPr="57E9EC40" w:rsidR="7DA7E1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jurors view on eyewitness conditions was if alcohol were present.</w:t>
      </w:r>
      <w:r w:rsidRPr="57E9EC40" w:rsidR="3CD551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(Desmarais &amp; </w:t>
      </w:r>
      <w:r w:rsidRPr="57E9EC40" w:rsidR="3CD551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Read</w:t>
      </w:r>
      <w:r w:rsidRPr="57E9EC40" w:rsidR="3CD551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7E9EC40" w:rsidR="3CD551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2011)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7E9EC40" w:rsidR="071DB3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Furthermore, a study gave </w:t>
      </w:r>
      <w:r w:rsidRPr="57E9EC40" w:rsidR="63E8AC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participants</w:t>
      </w:r>
      <w:r w:rsidRPr="57E9EC40" w:rsidR="071DB3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transcripts of eyewitness accounts with </w:t>
      </w:r>
      <w:r w:rsidRPr="57E9EC40" w:rsidR="4AF19F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five variables being manipulated. Eyewitness confidence and length of time </w:t>
      </w:r>
      <w:r w:rsidRPr="57E9EC40" w:rsidR="717C08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witness paid attention to the suspect being two of them. Findings suggested that attention </w:t>
      </w:r>
      <w:r w:rsidRPr="57E9EC40" w:rsidR="706303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of time paid to the suspect was mediated by the confidence </w:t>
      </w:r>
      <w:r w:rsidRPr="57E9EC40" w:rsidR="1E6F9D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 accuracy of the witness</w:t>
      </w:r>
      <w:r w:rsidRPr="57E9EC40" w:rsidR="706303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Secondly, </w:t>
      </w:r>
      <w:r w:rsidRPr="57E9EC40" w:rsidR="39E89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evaluators </w:t>
      </w:r>
      <w:r w:rsidRPr="57E9EC40" w:rsidR="4F868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perceive incorrect </w:t>
      </w:r>
      <w:r w:rsidRPr="57E9EC40" w:rsidR="3D3B20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judgements</w:t>
      </w:r>
      <w:r w:rsidRPr="57E9EC40" w:rsidR="4F868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from h</w:t>
      </w:r>
      <w:r w:rsidRPr="57E9EC40" w:rsidR="70AF39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igh confidence testimonies more harshly than lesser confident accounts</w:t>
      </w:r>
      <w:r w:rsidRPr="57E9EC40" w:rsidR="70AF39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7E9EC40" w:rsidR="39E89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E9EC40" w:rsidR="663011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E9EC40" w:rsidR="706303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7E9EC40" w:rsidR="6A8A59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Why is confidence such a decisive factor within eyewitness test</w:t>
      </w:r>
      <w:r w:rsidRPr="57E9EC40" w:rsidR="3B0CC6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imonies?</w:t>
      </w:r>
      <w:r w:rsidRPr="57E9EC40" w:rsidR="0213E28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E9EC40" w:rsidR="46E119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Previous</w:t>
      </w:r>
      <w:r w:rsidRPr="57E9EC40" w:rsidR="46E119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research has suggested that confidence calibration is an attributing factor.</w:t>
      </w:r>
      <w:r w:rsidRPr="57E9EC40" w:rsidR="3FB369B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(Davis, 2017) </w:t>
      </w:r>
      <w:r w:rsidRPr="57E9EC40" w:rsidR="616ADF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High confidence identifications with errors are determined to have a calibration issue. (</w:t>
      </w:r>
      <w:r w:rsidRPr="57E9EC40" w:rsidR="240991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Incongruence between confidence and accuracy.) Evaluators ar</w:t>
      </w:r>
      <w:r w:rsidRPr="57E9EC40" w:rsidR="3E25BF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 more likely to believe an incorrect testimony with moderate confidence than an </w:t>
      </w:r>
      <w:r w:rsidRPr="57E9EC40" w:rsidR="441CD9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incorrect high confidence witness</w:t>
      </w:r>
      <w:r w:rsidRPr="57E9EC40" w:rsidR="182D5D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7E9EC40" w:rsidR="7F4583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Due to the confidence level being better aligned with the </w:t>
      </w:r>
      <w:r w:rsidRPr="57E9EC40" w:rsidR="06E618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identification result.</w:t>
      </w:r>
      <w:r w:rsidRPr="57E9EC40" w:rsidR="38AEC0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>
        <w:tab/>
      </w:r>
      <w:r>
        <w:tab/>
      </w:r>
    </w:p>
    <w:p w:rsidR="03C192AC" w:rsidP="57E9EC40" w:rsidRDefault="03C192AC" w14:paraId="73D2EBD0" w14:textId="47ECB6FC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E9EC40" w:rsidR="03C192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 find out why some assessors </w:t>
      </w:r>
      <w:r w:rsidRPr="57E9EC40" w:rsidR="4CDFD1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do not consider </w:t>
      </w:r>
      <w:r w:rsidRPr="57E9EC40" w:rsidR="4CDFD1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witnessing</w:t>
      </w:r>
      <w:r w:rsidRPr="57E9EC40" w:rsidR="4CDFD1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conditions, </w:t>
      </w:r>
      <w:r w:rsidRPr="57E9EC40" w:rsidR="38AFCD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Cutler et al. (1988) </w:t>
      </w:r>
      <w:r w:rsidRPr="57E9EC40" w:rsidR="1EB739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used ten independent variables to adversely </w:t>
      </w:r>
      <w:r w:rsidRPr="57E9EC40" w:rsidR="0CBC7A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affect</w:t>
      </w:r>
      <w:r w:rsidRPr="57E9EC40" w:rsidR="1EB739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eyewi</w:t>
      </w:r>
      <w:r w:rsidRPr="57E9EC40" w:rsidR="1832D2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tness accuracy (e.g.</w:t>
      </w:r>
      <w:r w:rsidRPr="57E9EC40" w:rsidR="1CB1DB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7E9EC40" w:rsidR="6F819E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weapon focus, disguise</w:t>
      </w:r>
      <w:r w:rsidRPr="57E9EC40" w:rsidR="1D7975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7E9EC40" w:rsidR="6F819E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violence</w:t>
      </w:r>
      <w:r w:rsidRPr="57E9EC40" w:rsidR="02C4AB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 during a videotaped trial. Results yielded </w:t>
      </w:r>
      <w:r w:rsidRPr="57E9EC40" w:rsidR="68752E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 confidence was still paramount in accuracy and finding the guilty suspect.</w:t>
      </w:r>
      <w:r w:rsidRPr="57E9EC40" w:rsidR="337A2D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Further studies expanded upon this using </w:t>
      </w:r>
      <w:r w:rsidRPr="57E9EC40" w:rsidR="624C82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expert testimonies and jury instructions</w:t>
      </w:r>
      <w:r w:rsidRPr="57E9EC40" w:rsidR="37A2DF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intentionally made </w:t>
      </w:r>
      <w:r w:rsidRPr="57E9EC40" w:rsidR="43AA77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for jurors to factor in eyewitness viewing conditions</w:t>
      </w:r>
      <w:r w:rsidRPr="57E9EC40" w:rsidR="42F97B8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Confidence </w:t>
      </w:r>
      <w:r w:rsidRPr="57E9EC40" w:rsidR="549E54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remained</w:t>
      </w:r>
      <w:r w:rsidRPr="57E9EC40" w:rsidR="549E54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dominant factor from juror's responses. </w:t>
      </w:r>
      <w:r w:rsidRPr="57E9EC40" w:rsidR="0768BA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(Cutler et al., 1990)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7E9EC40" w:rsidR="58DF7C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Systamic variables however </w:t>
      </w:r>
      <w:r w:rsidRPr="57E9EC40" w:rsidR="383DFD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can create a bias within the criminal justice system (CJS) from lineup manipulation/errors to</w:t>
      </w:r>
      <w:r w:rsidRPr="57E9EC40" w:rsidR="6E280F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suggestive</w:t>
      </w:r>
      <w:r w:rsidRPr="57E9EC40" w:rsidR="6E5717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techniques.</w:t>
      </w:r>
      <w:r w:rsidRPr="57E9EC40" w:rsidR="22736E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57E9EC40" w:rsidR="22736E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Schot</w:t>
      </w:r>
      <w:r w:rsidRPr="57E9EC40" w:rsidR="22736E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2024) </w:t>
      </w:r>
      <w:r w:rsidRPr="57E9EC40" w:rsidR="26FC0D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Like estimator variables, knowledge of the effect of system variables are poorly know</w:t>
      </w:r>
      <w:r w:rsidRPr="57E9EC40" w:rsidR="0DB171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</w:t>
      </w:r>
      <w:r w:rsidRPr="57E9EC40" w:rsidR="26FC0D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amongst </w:t>
      </w:r>
      <w:r w:rsidRPr="57E9EC40" w:rsidR="093C8E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workers in the CJS.</w:t>
      </w:r>
      <w:r w:rsidRPr="57E9EC40" w:rsidR="59F7BB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E9EC40" w:rsidR="20C225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Jiang and Luo (2016) found that CJS workers were ill-informed of post</w:t>
      </w:r>
      <w:r w:rsidRPr="57E9EC40" w:rsidR="53EB76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event information contamination. A positive remark from </w:t>
      </w:r>
      <w:r w:rsidRPr="57E9EC40" w:rsidR="4CF11B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 officer to an eyewitness after a lineup </w:t>
      </w:r>
      <w:r w:rsidRPr="57E9EC40" w:rsidR="1EDD58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can lead witnesses to be </w:t>
      </w:r>
      <w:r w:rsidRPr="57E9EC40" w:rsidR="19C2F3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incorrectly </w:t>
      </w:r>
      <w:r w:rsidRPr="57E9EC40" w:rsidR="1EDD58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overconfident during identification </w:t>
      </w:r>
      <w:r w:rsidRPr="57E9EC40" w:rsidR="32C378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 a trial. (</w:t>
      </w:r>
      <w:r w:rsidRPr="57E9EC40" w:rsidR="32C378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Steblay</w:t>
      </w:r>
      <w:r w:rsidRPr="57E9EC40" w:rsidR="32C378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et al., 2014)</w:t>
      </w:r>
      <w:r w:rsidRPr="57E9EC40" w:rsidR="395215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Which can be detrimental to a trial as previously </w:t>
      </w:r>
      <w:r w:rsidRPr="57E9EC40" w:rsidR="395215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stated</w:t>
      </w:r>
      <w:r w:rsidRPr="57E9EC40" w:rsidR="395215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confidence during witness identification is</w:t>
      </w:r>
      <w:r w:rsidRPr="57E9EC40" w:rsidR="59EC24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large factor in evaluators belief.</w:t>
      </w:r>
      <w:r w:rsidRPr="57E9EC40" w:rsidR="605370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Some witnesses see mugshots before lineups which then creates mugshot bias</w:t>
      </w:r>
      <w:r w:rsidRPr="57E9EC40" w:rsidR="79AA88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7E9EC40" w:rsidR="66B31E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(Bjørndal et al., 2020)</w:t>
      </w:r>
      <w:r w:rsidRPr="57E9EC40" w:rsidR="7EA252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E9EC40" w:rsidR="1BD275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Studies have shown that different lineup types can alter (EWT). These studies carry merit as different countries </w:t>
      </w:r>
      <w:r w:rsidRPr="57E9EC40" w:rsidR="1BD275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utilize</w:t>
      </w:r>
      <w:r w:rsidRPr="57E9EC40" w:rsidR="1BD275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varying lineu</w:t>
      </w:r>
      <w:r w:rsidRPr="57E9EC40" w:rsidR="636BD4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 types.</w:t>
      </w:r>
      <w:r w:rsidRPr="57E9EC40" w:rsidR="4D882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E9EC40" w:rsidR="62B0CD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Mickes in 2015 conducted a study </w:t>
      </w:r>
      <w:r w:rsidRPr="57E9EC40" w:rsidR="0F24BE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 which they varied lineup procedure</w:t>
      </w:r>
      <w:r w:rsidRPr="57E9EC40" w:rsidR="19D775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using receiver operating </w:t>
      </w:r>
      <w:r w:rsidRPr="57E9EC40" w:rsidR="058ECC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characteristic analysis</w:t>
      </w:r>
      <w:r w:rsidRPr="57E9EC40" w:rsidR="19D775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(ROC). </w:t>
      </w:r>
      <w:r w:rsidRPr="57E9EC40" w:rsidR="2E334C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During experiment 1, simultaneous and sequential lineups were tested</w:t>
      </w:r>
      <w:r w:rsidRPr="57E9EC40" w:rsidR="1965E2D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results found using ROC analysis </w:t>
      </w:r>
      <w:r w:rsidRPr="57E9EC40" w:rsidR="1ABF21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were that </w:t>
      </w:r>
      <w:r w:rsidRPr="57E9EC40" w:rsidR="453D0D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simultaneous lineups had greater discriminability than sequentia</w:t>
      </w:r>
      <w:r w:rsidRPr="57E9EC40" w:rsidR="3F56BC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</w:t>
      </w:r>
      <w:r w:rsidRPr="57E9EC40" w:rsidR="1CBB5F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7E9EC40" w:rsidR="4F0664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(Steblay et al., 2001)</w:t>
      </w:r>
      <w:r w:rsidRPr="57E9EC40" w:rsidR="3C96FE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This goes against earlier studies in which simultaneous lineups </w:t>
      </w:r>
      <w:r w:rsidRPr="57E9EC40" w:rsidR="5B7B99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outperform sequential lineups using ROC analysis.</w:t>
      </w:r>
      <w:r w:rsidRPr="57E9EC40" w:rsidR="0A1A8B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(Carlson &amp; Carlson, 2014</w:t>
      </w:r>
      <w:r w:rsidRPr="57E9EC40" w:rsidR="31F4D2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; Dobolyi &amp; Dodson, 2013)</w:t>
      </w:r>
      <w:r>
        <w:tab/>
      </w:r>
      <w:r>
        <w:tab/>
      </w:r>
      <w:r>
        <w:tab/>
      </w:r>
      <w:r>
        <w:tab/>
      </w:r>
      <w:r w:rsidRPr="57E9EC40" w:rsidR="7D79FD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Solutions for imp</w:t>
      </w:r>
      <w:r w:rsidRPr="57E9EC40" w:rsidR="2E0879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roving lineup procedure have been postulated, for</w:t>
      </w:r>
      <w:r>
        <w:tab/>
      </w:r>
      <w:r w:rsidRPr="57E9EC40" w:rsidR="374629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example making all participants match the witness’ descriptions and appe</w:t>
      </w:r>
      <w:r w:rsidRPr="57E9EC40" w:rsidR="4AABA0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arance</w:t>
      </w:r>
      <w:r w:rsidRPr="57E9EC40" w:rsidR="44EBA0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7E9EC40" w:rsidR="4AABA0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E9EC40" w:rsidR="4401D3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(Luus &amp; Wells, 1991)</w:t>
      </w:r>
      <w:r w:rsidRPr="57E9EC40" w:rsidR="399D05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communicating to the witness that the main suspect may not be present</w:t>
      </w:r>
      <w:r w:rsidRPr="57E9EC40" w:rsidR="71F90F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57E9EC40" w:rsidR="71F90F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Steblay</w:t>
      </w:r>
      <w:r w:rsidRPr="57E9EC40" w:rsidR="71F90F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1997) and making sure the </w:t>
      </w:r>
      <w:r w:rsidRPr="57E9EC40" w:rsidR="2BB56F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officer in charge of the procedure does not know which is the suspect.</w:t>
      </w:r>
      <w:r w:rsidRPr="57E9EC40" w:rsidR="288132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57E9EC40" w:rsidR="288132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Kovera</w:t>
      </w:r>
      <w:r w:rsidRPr="57E9EC40" w:rsidR="288132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&amp; Evelo, 2017) </w:t>
      </w:r>
      <w:r w:rsidRPr="57E9EC40" w:rsidR="326064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Furt</w:t>
      </w:r>
      <w:r w:rsidRPr="57E9EC40" w:rsidR="365B06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</w:t>
      </w:r>
      <w:r w:rsidRPr="57E9EC40" w:rsidR="326064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er studies look</w:t>
      </w:r>
      <w:r w:rsidRPr="57E9EC40" w:rsidR="4A4265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</w:t>
      </w:r>
      <w:r w:rsidRPr="57E9EC40" w:rsidR="326064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E9EC40" w:rsidR="2953DD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solve</w:t>
      </w:r>
      <w:r w:rsidRPr="57E9EC40" w:rsidR="4C40AC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identification issues using a third approach</w:t>
      </w:r>
      <w:r w:rsidRPr="57E9EC40" w:rsidR="5FE5B2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which will avoid </w:t>
      </w:r>
      <w:r w:rsidRPr="57E9EC40" w:rsidR="5E6717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problems caused by non-mnemonic factors within </w:t>
      </w:r>
      <w:r w:rsidRPr="57E9EC40" w:rsidR="7B3DD3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identification decision making</w:t>
      </w:r>
      <w:r w:rsidRPr="57E9EC40" w:rsidR="1084C6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Secondly providing credible information other than </w:t>
      </w:r>
      <w:r w:rsidRPr="57E9EC40" w:rsidR="0A314C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high confidence decision</w:t>
      </w:r>
      <w:r w:rsidRPr="57E9EC40" w:rsidR="1BE76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57E9EC40" w:rsidR="0A314C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7E9EC40" w:rsidR="161F96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(Sauer et al., 2008)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7E9EC40" w:rsidR="1FD48C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Another systemic factor that can alter case outcomes drastically is police interviews. </w:t>
      </w:r>
      <w:r w:rsidRPr="57E9EC40" w:rsidR="120755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Police interviews for laypeople are often nerving, </w:t>
      </w:r>
      <w:r w:rsidRPr="57E9EC40" w:rsidR="411C60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unfamiliarity with the situation and social stereotypes feed into people’s</w:t>
      </w:r>
      <w:r w:rsidRPr="57E9EC40" w:rsidR="0872A8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preconceptions of police procedures.</w:t>
      </w:r>
      <w:r w:rsidRPr="57E9EC40" w:rsidR="39F01A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Feelings toward police questioning vary depending on country or culture, </w:t>
      </w:r>
      <w:r w:rsidRPr="57E9EC40" w:rsidR="5ED8A5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the US for example police use more of an accusatory style </w:t>
      </w:r>
      <w:r w:rsidRPr="57E9EC40" w:rsidR="2B7BD5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than based off the Reid </w:t>
      </w:r>
      <w:r w:rsidRPr="57E9EC40" w:rsidR="6989B9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model of interrogation. </w:t>
      </w:r>
      <w:r w:rsidRPr="57E9EC40" w:rsidR="5B760C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(Grano et al., 1999)</w:t>
      </w:r>
      <w:r w:rsidRPr="57E9EC40" w:rsidR="06F960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This accusatory method looks for a “confession” from the interviewee, </w:t>
      </w:r>
      <w:r w:rsidRPr="57E9EC40" w:rsidR="658910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almost implicitly</w:t>
      </w:r>
      <w:r w:rsidRPr="57E9EC40" w:rsidR="658910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making them feel targeted by the interviewer.</w:t>
      </w:r>
      <w:r w:rsidRPr="57E9EC40" w:rsidR="0E6549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E9EC40" w:rsidR="1A143CC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purpose of police interviews </w:t>
      </w:r>
      <w:r w:rsidRPr="57E9EC40" w:rsidR="2964DA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from research is to define a clear picture of the case</w:t>
      </w:r>
      <w:r w:rsidRPr="57E9EC40" w:rsidR="07E483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with respect to evidence and suspects be</w:t>
      </w:r>
      <w:r w:rsidRPr="57E9EC40" w:rsidR="7C169E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haviour</w:t>
      </w:r>
      <w:r w:rsidRPr="57E9EC40" w:rsidR="2964DA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7E9EC40" w:rsidR="2964DA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establish</w:t>
      </w:r>
      <w:r w:rsidRPr="57E9EC40" w:rsidR="2964DA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motive</w:t>
      </w:r>
      <w:r w:rsidRPr="57E9EC40" w:rsidR="2C6954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(MCCONVILLE &amp; BALDWIN, 1982) </w:t>
      </w:r>
      <w:r w:rsidRPr="57E9EC40" w:rsidR="2964DA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or to serve justice.</w:t>
      </w:r>
      <w:r w:rsidRPr="57E9EC40" w:rsidR="0F94A6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E9EC40" w:rsidR="22DD8D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(HARVEY, 1990)</w:t>
      </w:r>
      <w:r w:rsidRPr="57E9EC40" w:rsidR="0E6549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>
        <w:tab/>
      </w:r>
      <w:r w:rsidRPr="57E9EC40" w:rsidR="3DD179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>
        <w:tab/>
      </w:r>
      <w:r w:rsidRPr="57E9EC40" w:rsidR="78AA905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 </w:t>
      </w:r>
      <w:r w:rsidRPr="57E9EC40" w:rsidR="78AA905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acquire</w:t>
      </w:r>
      <w:r w:rsidRPr="57E9EC40" w:rsidR="78AA905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information effectively, conversations need to be conducted meticulously </w:t>
      </w:r>
      <w:r w:rsidRPr="57E9EC40" w:rsidR="2D502E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</w:t>
      </w:r>
      <w:r w:rsidRPr="57E9EC40" w:rsidR="2D502E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well managed</w:t>
      </w:r>
      <w:r w:rsidRPr="57E9EC40" w:rsidR="2D502E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To achieve thi</w:t>
      </w:r>
      <w:r w:rsidRPr="57E9EC40" w:rsidR="600AC9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s, officers</w:t>
      </w:r>
      <w:r w:rsidRPr="57E9EC40" w:rsidR="41FF9E8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must be skilled in communicating from a position of authority </w:t>
      </w:r>
      <w:r w:rsidRPr="57E9EC40" w:rsidR="123EF6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 a way that does not portray</w:t>
      </w:r>
      <w:r w:rsidRPr="57E9EC40" w:rsidR="131501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 “us against you” mentality.</w:t>
      </w:r>
      <w:r w:rsidRPr="57E9EC40" w:rsidR="123EF6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E9EC40" w:rsidR="3B0CFC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This deliberate action method highlights the </w:t>
      </w:r>
      <w:r w:rsidRPr="57E9EC40" w:rsidR="7F2DE7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importance of an officer's ability to change the suspects willing or unwillingness to co-operate.</w:t>
      </w:r>
      <w:r w:rsidRPr="57E9EC40" w:rsidR="446866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(Seiter &amp; Gass, 2013) Contras</w:t>
      </w:r>
      <w:r w:rsidRPr="57E9EC40" w:rsidR="45F965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tingly, although research has shown how interviewing techniques effect information gathering. </w:t>
      </w:r>
      <w:r w:rsidRPr="57E9EC40" w:rsidR="45F965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Very litt</w:t>
      </w:r>
      <w:r w:rsidRPr="57E9EC40" w:rsidR="1BD1C1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</w:t>
      </w:r>
      <w:r w:rsidRPr="57E9EC40" w:rsidR="1BD1C1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studies have </w:t>
      </w:r>
      <w:r w:rsidRPr="57E9EC40" w:rsidR="59BEF8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looked at interviewing from the influencing perspect</w:t>
      </w:r>
      <w:r w:rsidRPr="57E9EC40" w:rsidR="7FDADA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ive. Meaning the effectiveness of influencing factors are not widely known.</w:t>
      </w:r>
      <w:r w:rsidRPr="57E9EC40" w:rsidR="31B0F4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E9EC40" w:rsidR="1BFF35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Furthermore, </w:t>
      </w:r>
      <w:r w:rsidRPr="57E9EC40" w:rsidR="2AFD31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due to cultural differences </w:t>
      </w:r>
      <w:r w:rsidRPr="57E9EC40" w:rsidR="0B562B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this research is important </w:t>
      </w:r>
      <w:r w:rsidRPr="57E9EC40" w:rsidR="217B8C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 more countries becoming multicultural.</w:t>
      </w:r>
      <w:r w:rsidRPr="57E9EC40" w:rsidR="118E37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(Mount, 2006)</w:t>
      </w:r>
      <w:r>
        <w:tab/>
      </w:r>
      <w:r>
        <w:tab/>
      </w:r>
      <w:r>
        <w:tab/>
      </w:r>
      <w:r w:rsidRPr="57E9EC40" w:rsidR="3CEC67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 recent study looked at how police </w:t>
      </w:r>
      <w:r w:rsidRPr="57E9EC40" w:rsidR="479B33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officers used influential behaviour </w:t>
      </w:r>
      <w:r w:rsidRPr="57E9EC40" w:rsidR="287DC8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when interacting with </w:t>
      </w:r>
      <w:r w:rsidRPr="57E9EC40" w:rsidR="3A5C4C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mock theft suspects who did not cooperate at the beginning of the interview. </w:t>
      </w:r>
      <w:r w:rsidRPr="57E9EC40" w:rsidR="35DF1D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Findings resulted in two behavioural factors</w:t>
      </w:r>
      <w:r w:rsidRPr="57E9EC40" w:rsidR="7B5869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found, rational arguments and being kind </w:t>
      </w:r>
      <w:r w:rsidRPr="57E9EC40" w:rsidR="087215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were shown to be effective aspects during interviews. </w:t>
      </w:r>
      <w:r w:rsidRPr="57E9EC40" w:rsidR="214AEA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Arguably more</w:t>
      </w:r>
      <w:r w:rsidRPr="57E9EC40" w:rsidR="214AEA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important was </w:t>
      </w:r>
      <w:r w:rsidRPr="57E9EC40" w:rsidR="6F0EF3C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that Dutch suspects responded differently compared to suspects of Turkish and Moroccan origin. </w:t>
      </w:r>
      <w:r w:rsidRPr="57E9EC40" w:rsidR="23F3DA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studies validity can be questioned as </w:t>
      </w:r>
      <w:r w:rsidRPr="57E9EC40" w:rsidR="5202EC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 is a simulation with each variable being under laboratory control.</w:t>
      </w:r>
      <w:r w:rsidRPr="57E9EC40" w:rsidR="45DCD6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57E9EC40" w:rsidR="45DCD6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Beune</w:t>
      </w:r>
      <w:r w:rsidRPr="57E9EC40" w:rsidR="45DCD6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et al., 2009)</w:t>
      </w:r>
      <w:r w:rsidRPr="57E9EC40" w:rsidR="122CC8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Secondly, pressure, time, </w:t>
      </w:r>
      <w:r w:rsidRPr="57E9EC40" w:rsidR="122CC8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money</w:t>
      </w:r>
      <w:r w:rsidRPr="57E9EC40" w:rsidR="122CC8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reputation</w:t>
      </w:r>
      <w:r w:rsidRPr="57E9EC40" w:rsidR="5C5D5B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are all underlying factors of real police investigations. Pressure </w:t>
      </w:r>
      <w:r w:rsidRPr="57E9EC40" w:rsidR="779DFC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has seen to negatively affect people in </w:t>
      </w:r>
      <w:r w:rsidRPr="57E9EC40" w:rsidR="779DFC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numerous</w:t>
      </w:r>
      <w:r w:rsidRPr="57E9EC40" w:rsidR="779DFC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roles as well as policing.</w:t>
      </w:r>
      <w:r w:rsidRPr="57E9EC40" w:rsidR="0B677C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E9EC40" w:rsidR="0B677C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Arguably the</w:t>
      </w:r>
      <w:r w:rsidRPr="57E9EC40" w:rsidR="0B677C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most punishing </w:t>
      </w:r>
      <w:r w:rsidRPr="57E9EC40" w:rsidR="0B677C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possible effect</w:t>
      </w:r>
      <w:r w:rsidRPr="57E9EC40" w:rsidR="0B677C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would be reputational damage, especially </w:t>
      </w:r>
      <w:r w:rsidRPr="57E9EC40" w:rsidR="467009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with</w:t>
      </w:r>
      <w:r w:rsidRPr="57E9EC40" w:rsidR="0B677C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social media</w:t>
      </w:r>
      <w:r w:rsidRPr="57E9EC40" w:rsidR="67A9A7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’s viral contagion effect.</w:t>
      </w:r>
      <w:r w:rsidRPr="57E9EC40" w:rsidR="0B677C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E9EC40" w:rsidR="5E8A47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(“From Media Hype to Twitter Storm,” 2018)</w:t>
      </w:r>
      <w:r w:rsidRPr="57E9EC40" w:rsidR="0B677C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E9EC40" w:rsidR="122CC8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>
        <w:tab/>
      </w:r>
      <w:r w:rsidRPr="57E9EC40" w:rsidR="479B33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7E9EC40" w:rsidR="5F3038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aim of the study was to see </w:t>
      </w:r>
      <w:r w:rsidRPr="57E9EC40" w:rsidR="4AABCD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if the results could be transferable to real life. </w:t>
      </w:r>
      <w:r w:rsidRPr="57E9EC40" w:rsidR="7C2A1A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study implemented three different behavioural strategies</w:t>
      </w:r>
      <w:r w:rsidRPr="57E9EC40" w:rsidR="186D0D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intimidation, rational arguments and being kind.</w:t>
      </w:r>
      <w:r w:rsidRPr="57E9EC40" w:rsidR="110D7F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Instead of judging results of outcome for this study, they instead looked at </w:t>
      </w:r>
      <w:r w:rsidRPr="57E9EC40" w:rsidR="110D7F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behavioral</w:t>
      </w:r>
      <w:r w:rsidRPr="57E9EC40" w:rsidR="110D7F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effects on information gathering.</w:t>
      </w:r>
      <w:r w:rsidRPr="57E9EC40" w:rsidR="2E0F3D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E9EC40" w:rsidR="0F29DC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27 interviews were conducted with 11 </w:t>
      </w:r>
      <w:r w:rsidRPr="57E9EC40" w:rsidR="460FF6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Dutch</w:t>
      </w:r>
      <w:r w:rsidRPr="57E9EC40" w:rsidR="0F29DC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participants</w:t>
      </w:r>
      <w:r w:rsidRPr="57E9EC40" w:rsidR="1AA8E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(1 female)</w:t>
      </w:r>
      <w:r w:rsidRPr="57E9EC40" w:rsidR="0F29DC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15 Moroccan</w:t>
      </w:r>
      <w:r w:rsidRPr="57E9EC40" w:rsidR="5EF585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(all male).</w:t>
      </w:r>
      <w:r w:rsidRPr="57E9EC40" w:rsidR="59E92A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thematic analysis was used to sort results.</w:t>
      </w:r>
      <w:r w:rsidRPr="57E9EC40" w:rsidR="5E243D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E9EC40" w:rsidR="04C80D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Speaking turns totalled 17,066 (8,</w:t>
      </w:r>
      <w:r w:rsidRPr="57E9EC40" w:rsidR="6888C2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536 police officer, 8,530 suspect). 21.7</w:t>
      </w:r>
      <w:r w:rsidRPr="57E9EC40" w:rsidR="36FFB4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% of these turns were categorised in four behaviours,</w:t>
      </w:r>
      <w:r w:rsidRPr="57E9EC40" w:rsidR="4F8ACC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being kind (9.5%), rational arguments (7.</w:t>
      </w:r>
      <w:r w:rsidRPr="57E9EC40" w:rsidR="048C0F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6%), intimidating the suspect (4.3%)</w:t>
      </w:r>
      <w:r w:rsidRPr="57E9EC40" w:rsidR="0045C9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intimidating the context (0.3%). </w:t>
      </w:r>
      <w:r w:rsidRPr="57E9EC40" w:rsidR="667B07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Whilst for suspects, (18.7%) of speaking turns </w:t>
      </w:r>
      <w:r w:rsidRPr="57E9EC40" w:rsidR="02FB84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were categorised as case related information. 3.2% were derived to be refusal to give </w:t>
      </w:r>
      <w:r w:rsidRPr="57E9EC40" w:rsidR="25AA1F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information.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7E9EC40" w:rsidR="028473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                                                          </w:t>
      </w:r>
      <w:r>
        <w:tab/>
      </w:r>
      <w:r w:rsidRPr="57E9EC40" w:rsidR="02022339">
        <w:rPr>
          <w:rFonts w:ascii="Times New Roman" w:hAnsi="Times New Roman" w:eastAsia="Times New Roman" w:cs="Times New Roman"/>
        </w:rPr>
        <w:t xml:space="preserve">Individual </w:t>
      </w:r>
      <w:r w:rsidRPr="57E9EC40" w:rsidR="45E91140">
        <w:rPr>
          <w:rFonts w:ascii="Times New Roman" w:hAnsi="Times New Roman" w:eastAsia="Times New Roman" w:cs="Times New Roman"/>
        </w:rPr>
        <w:t xml:space="preserve">differences </w:t>
      </w:r>
      <w:r w:rsidRPr="57E9EC40" w:rsidR="3325A4ED">
        <w:rPr>
          <w:rFonts w:ascii="Times New Roman" w:hAnsi="Times New Roman" w:eastAsia="Times New Roman" w:cs="Times New Roman"/>
        </w:rPr>
        <w:t xml:space="preserve">can </w:t>
      </w:r>
      <w:r w:rsidRPr="57E9EC40" w:rsidR="3325A4ED">
        <w:rPr>
          <w:rFonts w:ascii="Times New Roman" w:hAnsi="Times New Roman" w:eastAsia="Times New Roman" w:cs="Times New Roman"/>
        </w:rPr>
        <w:t>largely dictate</w:t>
      </w:r>
      <w:r w:rsidRPr="57E9EC40" w:rsidR="3325A4ED">
        <w:rPr>
          <w:rFonts w:ascii="Times New Roman" w:hAnsi="Times New Roman" w:eastAsia="Times New Roman" w:cs="Times New Roman"/>
        </w:rPr>
        <w:t xml:space="preserve"> the effectiveness of </w:t>
      </w:r>
      <w:r w:rsidRPr="57E9EC40" w:rsidR="0718F8E7">
        <w:rPr>
          <w:rFonts w:ascii="Times New Roman" w:hAnsi="Times New Roman" w:eastAsia="Times New Roman" w:cs="Times New Roman"/>
        </w:rPr>
        <w:t>eyewitness</w:t>
      </w:r>
      <w:r w:rsidRPr="57E9EC40" w:rsidR="3325A4ED">
        <w:rPr>
          <w:rFonts w:ascii="Times New Roman" w:hAnsi="Times New Roman" w:eastAsia="Times New Roman" w:cs="Times New Roman"/>
        </w:rPr>
        <w:t xml:space="preserve"> testimony</w:t>
      </w:r>
      <w:r w:rsidRPr="57E9EC40" w:rsidR="49279622">
        <w:rPr>
          <w:rFonts w:ascii="Times New Roman" w:hAnsi="Times New Roman" w:eastAsia="Times New Roman" w:cs="Times New Roman"/>
        </w:rPr>
        <w:t xml:space="preserve"> (EWT)</w:t>
      </w:r>
      <w:r w:rsidRPr="57E9EC40" w:rsidR="3325A4ED">
        <w:rPr>
          <w:rFonts w:ascii="Times New Roman" w:hAnsi="Times New Roman" w:eastAsia="Times New Roman" w:cs="Times New Roman"/>
        </w:rPr>
        <w:t>.</w:t>
      </w:r>
      <w:r w:rsidRPr="57E9EC40" w:rsidR="6AE1E812">
        <w:rPr>
          <w:rFonts w:ascii="Times New Roman" w:hAnsi="Times New Roman" w:eastAsia="Times New Roman" w:cs="Times New Roman"/>
        </w:rPr>
        <w:t xml:space="preserve"> Memory recall, stress toleranc</w:t>
      </w:r>
      <w:r w:rsidRPr="57E9EC40" w:rsidR="27F1122D">
        <w:rPr>
          <w:rFonts w:ascii="Times New Roman" w:hAnsi="Times New Roman" w:eastAsia="Times New Roman" w:cs="Times New Roman"/>
        </w:rPr>
        <w:t xml:space="preserve">e, anxiety </w:t>
      </w:r>
      <w:r w:rsidRPr="57E9EC40" w:rsidR="27F1122D">
        <w:rPr>
          <w:rFonts w:ascii="Times New Roman" w:hAnsi="Times New Roman" w:eastAsia="Times New Roman" w:cs="Times New Roman"/>
        </w:rPr>
        <w:t>levels</w:t>
      </w:r>
      <w:r w:rsidRPr="57E9EC40" w:rsidR="27F1122D">
        <w:rPr>
          <w:rFonts w:ascii="Times New Roman" w:hAnsi="Times New Roman" w:eastAsia="Times New Roman" w:cs="Times New Roman"/>
        </w:rPr>
        <w:t xml:space="preserve"> and </w:t>
      </w:r>
      <w:r w:rsidRPr="57E9EC40" w:rsidR="27F1122D">
        <w:rPr>
          <w:rFonts w:ascii="Times New Roman" w:hAnsi="Times New Roman" w:eastAsia="Times New Roman" w:cs="Times New Roman"/>
        </w:rPr>
        <w:t>perception</w:t>
      </w:r>
      <w:r w:rsidRPr="57E9EC40" w:rsidR="27F1122D">
        <w:rPr>
          <w:rFonts w:ascii="Times New Roman" w:hAnsi="Times New Roman" w:eastAsia="Times New Roman" w:cs="Times New Roman"/>
        </w:rPr>
        <w:t xml:space="preserve"> </w:t>
      </w:r>
      <w:r w:rsidRPr="57E9EC40" w:rsidR="641CCE77">
        <w:rPr>
          <w:rFonts w:ascii="Times New Roman" w:hAnsi="Times New Roman" w:eastAsia="Times New Roman" w:cs="Times New Roman"/>
        </w:rPr>
        <w:t xml:space="preserve">all </w:t>
      </w:r>
      <w:r w:rsidRPr="57E9EC40" w:rsidR="27F1122D">
        <w:rPr>
          <w:rFonts w:ascii="Times New Roman" w:hAnsi="Times New Roman" w:eastAsia="Times New Roman" w:cs="Times New Roman"/>
        </w:rPr>
        <w:t>alter the utility of (EWT)</w:t>
      </w:r>
      <w:r w:rsidRPr="57E9EC40" w:rsidR="539CDABB">
        <w:rPr>
          <w:rFonts w:ascii="Times New Roman" w:hAnsi="Times New Roman" w:eastAsia="Times New Roman" w:cs="Times New Roman"/>
        </w:rPr>
        <w:t xml:space="preserve"> positively and negatively</w:t>
      </w:r>
      <w:r w:rsidRPr="57E9EC40" w:rsidR="5DE59A96">
        <w:rPr>
          <w:rFonts w:ascii="Times New Roman" w:hAnsi="Times New Roman" w:eastAsia="Times New Roman" w:cs="Times New Roman"/>
        </w:rPr>
        <w:t>.</w:t>
      </w:r>
      <w:r w:rsidRPr="57E9EC40" w:rsidR="1D2AA09B">
        <w:rPr>
          <w:rFonts w:ascii="Times New Roman" w:hAnsi="Times New Roman" w:eastAsia="Times New Roman" w:cs="Times New Roman"/>
        </w:rPr>
        <w:t xml:space="preserve"> </w:t>
      </w:r>
      <w:r w:rsidRPr="57E9EC40" w:rsidR="513890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(Zohar et al., 2003), </w:t>
      </w:r>
      <w:r w:rsidRPr="57E9EC40" w:rsidR="56DC45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(Sheahan et al., 2017), </w:t>
      </w:r>
      <w:r w:rsidRPr="57E9EC40" w:rsidR="76EB11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(Marr et al., 2021).</w:t>
      </w:r>
      <w:r w:rsidRPr="57E9EC40" w:rsidR="547C52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E9EC40" w:rsidR="7CC616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Violence has shown to negatively alter memory recall, especially </w:t>
      </w:r>
      <w:r w:rsidRPr="57E9EC40" w:rsidR="55488A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if a weapon is involved</w:t>
      </w:r>
      <w:r w:rsidRPr="57E9EC40" w:rsidR="143269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The arousal/threat hypothesis believes that intense physical/emotional </w:t>
      </w:r>
      <w:r w:rsidRPr="57E9EC40" w:rsidR="2DAA96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stimulation heightens</w:t>
      </w:r>
      <w:r w:rsidRPr="57E9EC40" w:rsidR="76A13B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focus on one object or person</w:t>
      </w:r>
      <w:r w:rsidRPr="57E9EC40" w:rsidR="02F5C9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whilst sacrificing peripheral vision. </w:t>
      </w:r>
      <w:r w:rsidRPr="57E9EC40" w:rsidR="547ED1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Subsequently diminishing successful identification during police lineups. (Fawcett et al., 2013)</w:t>
      </w:r>
      <w:r w:rsidRPr="57E9EC40" w:rsidR="565B27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E9EC40" w:rsidR="38D272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Support for the arousal/threat hypothesis </w:t>
      </w:r>
      <w:r w:rsidRPr="57E9EC40" w:rsidR="796271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difficult to study as </w:t>
      </w:r>
      <w:r w:rsidRPr="57E9EC40" w:rsidR="796271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previous</w:t>
      </w:r>
      <w:r w:rsidRPr="57E9EC40" w:rsidR="796271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studies </w:t>
      </w:r>
      <w:r w:rsidRPr="57E9EC40" w:rsidR="6695A3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show that </w:t>
      </w:r>
      <w:r w:rsidRPr="57E9EC40" w:rsidR="41982B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eliciting</w:t>
      </w:r>
      <w:r w:rsidRPr="57E9EC40" w:rsidR="6695A3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 arousal response is difficult </w:t>
      </w:r>
      <w:r w:rsidRPr="57E9EC40" w:rsidR="3BE454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within artificial situations.</w:t>
      </w:r>
      <w:r w:rsidRPr="57E9EC40" w:rsidR="34BAB3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E9EC40" w:rsidR="3E43C5D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Supposed arousal responses can also be misinterpreted due to raised fe</w:t>
      </w:r>
      <w:r w:rsidRPr="57E9EC40" w:rsidR="647ACA7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ar or anxiety. </w:t>
      </w:r>
      <w:r w:rsidRPr="57E9EC40" w:rsidR="0F86C6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First-hand accounts of violence have shown higher levels of alertness leading</w:t>
      </w:r>
      <w:r w:rsidRPr="57E9EC40" w:rsidR="2A062F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increased situational awareness resulting in better descriptions of details in violent encounters.</w:t>
      </w:r>
      <w:r w:rsidRPr="57E9EC40" w:rsidR="36E4FA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E9EC40" w:rsidR="632DC5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(Hope &amp; Wright, 2007; </w:t>
      </w:r>
      <w:r w:rsidRPr="57E9EC40" w:rsidR="36E4FA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VANGIEZEN et al., 2005)</w:t>
      </w:r>
    </w:p>
    <w:p w:rsidR="56734ABB" w:rsidP="57E9EC40" w:rsidRDefault="56734ABB" w14:paraId="46BC9BCC" w14:textId="6B0BCD3C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B65DD2F" w:rsidR="769E91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 conclude, the psychological underpinnings of EWT cannot be understated</w:t>
      </w:r>
      <w:r w:rsidRPr="2B65DD2F" w:rsidR="7C68CE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Estimator variables show how each individual mental and emotional processes in unfamiliar, stressful environments</w:t>
      </w:r>
      <w:r w:rsidRPr="2B65DD2F" w:rsidR="296743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affect their memory and </w:t>
      </w:r>
      <w:r w:rsidRPr="2B65DD2F" w:rsidR="296743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perception</w:t>
      </w:r>
      <w:r w:rsidRPr="2B65DD2F" w:rsidR="296743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Systematic variables </w:t>
      </w:r>
      <w:r w:rsidRPr="2B65DD2F" w:rsidR="150F01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highlighted the pitfalls and difficulties the CJS </w:t>
      </w:r>
      <w:r w:rsidRPr="2B65DD2F" w:rsidR="557BCA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face yet</w:t>
      </w:r>
      <w:r w:rsidRPr="2B65DD2F" w:rsidR="150F01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also create through a lack of psychological knowledge of</w:t>
      </w:r>
      <w:r w:rsidRPr="2B65DD2F" w:rsidR="74A380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how their systems can be improved procedurally and humanistically.</w:t>
      </w:r>
      <w:r w:rsidRPr="2B65DD2F" w:rsidR="737327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2B65DD2F" w:rsidP="2B65DD2F" w:rsidRDefault="2B65DD2F" w14:paraId="12314FA4" w14:textId="48596D7D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B65DD2F" w:rsidP="2B65DD2F" w:rsidRDefault="2B65DD2F" w14:paraId="468CA77B" w14:textId="561916B8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B65DD2F" w:rsidP="2B65DD2F" w:rsidRDefault="2B65DD2F" w14:paraId="18F276FA" w14:textId="5B4253BA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B65DD2F" w:rsidP="2B65DD2F" w:rsidRDefault="2B65DD2F" w14:paraId="2AFF73CC" w14:textId="086E6388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B65DD2F" w:rsidP="2B65DD2F" w:rsidRDefault="2B65DD2F" w14:paraId="35B0FFE9" w14:textId="0655FE07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B65DD2F" w:rsidP="2B65DD2F" w:rsidRDefault="2B65DD2F" w14:paraId="25F82EE1" w14:textId="02AA349B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B65DD2F" w:rsidP="2B65DD2F" w:rsidRDefault="2B65DD2F" w14:paraId="6D78BA25" w14:textId="429C8605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B65DD2F" w:rsidP="2B65DD2F" w:rsidRDefault="2B65DD2F" w14:paraId="1ABD37AF" w14:textId="760003D7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B65DD2F" w:rsidP="2B65DD2F" w:rsidRDefault="2B65DD2F" w14:paraId="18E907D9" w14:textId="6A386093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B65DD2F" w:rsidP="2B65DD2F" w:rsidRDefault="2B65DD2F" w14:paraId="1D2B676D" w14:textId="5648EFC5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B65DD2F" w:rsidP="2B65DD2F" w:rsidRDefault="2B65DD2F" w14:paraId="5E072561" w14:textId="3718D5CD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B65DD2F" w:rsidP="2B65DD2F" w:rsidRDefault="2B65DD2F" w14:paraId="3963AFDD" w14:textId="596FD8CC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B65DD2F" w:rsidP="2B65DD2F" w:rsidRDefault="2B65DD2F" w14:paraId="167BC583" w14:textId="7C58BA58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B65DD2F" w:rsidP="2B65DD2F" w:rsidRDefault="2B65DD2F" w14:paraId="1C442FEE" w14:textId="32EB2AD6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B65DD2F" w:rsidP="2B65DD2F" w:rsidRDefault="2B65DD2F" w14:paraId="171E886D" w14:textId="0280E59B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B65DD2F" w:rsidP="2B65DD2F" w:rsidRDefault="2B65DD2F" w14:paraId="5F11A8D2" w14:textId="5F443EDF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B65DD2F" w:rsidP="2B65DD2F" w:rsidRDefault="2B65DD2F" w14:paraId="3931A426" w14:textId="4E49F627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B65DD2F" w:rsidP="2B65DD2F" w:rsidRDefault="2B65DD2F" w14:paraId="720FFA30" w14:textId="2EB6EB01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E868687" w:rsidP="2B65DD2F" w:rsidRDefault="1E868687" w14:paraId="2DB1FD4E" w14:textId="3DCCF1AB">
      <w:pPr>
        <w:pStyle w:val="Heading1"/>
        <w:spacing w:before="0" w:beforeAutospacing="off" w:after="0" w:afterAutospacing="off" w:line="480" w:lineRule="auto"/>
        <w:jc w:val="center"/>
      </w:pPr>
      <w:r w:rsidRPr="2B65DD2F" w:rsidR="1E868687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References</w:t>
      </w:r>
    </w:p>
    <w:p w:rsidR="1E868687" w:rsidP="2B65DD2F" w:rsidRDefault="1E868687" w14:paraId="4C058191" w14:textId="220B0685">
      <w:pPr>
        <w:spacing w:before="0" w:beforeAutospacing="off" w:after="0" w:after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Behrman, B. W., &amp; Davey, S. L. (2001). Eyewitness identification in actual criminal cases: An archival analysis.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Law and Human Behavior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25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(5), 475–491. </w:t>
      </w:r>
      <w:hyperlink r:id="Rde9ddc0363364dce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https://doi.org/10.1023/a:1012840831846</w:t>
        </w:r>
      </w:hyperlink>
    </w:p>
    <w:p w:rsidR="1E868687" w:rsidP="2B65DD2F" w:rsidRDefault="1E868687" w14:paraId="35B7819E" w14:textId="700390BF">
      <w:pPr>
        <w:spacing w:before="0" w:beforeAutospacing="off" w:after="0" w:after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Beune, K., Giebels, E., &amp; Sanders, K. (2009). Are you talking to me? Influencing behaviour and culture in police interviews.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Psychology, Crime &amp; Law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15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(7), 597–617. </w:t>
      </w:r>
      <w:hyperlink r:id="R2c40052cb82b4112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https://doi.org/10.1080/10683160802442835</w:t>
        </w:r>
      </w:hyperlink>
    </w:p>
    <w:p w:rsidR="1E868687" w:rsidP="2B65DD2F" w:rsidRDefault="1E868687" w14:paraId="0EE85F3C" w14:textId="601156B5">
      <w:pPr>
        <w:spacing w:before="0" w:beforeAutospacing="off" w:after="0" w:after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Bjørndal, L. D., McGill, L., Magnussen, S., Richardson, S., Saraiva, R., Stadel, M., &amp; Brennen, T. (2020). Norwegian judges’ knowledge of factors affecting eyewitness testimony: A 12-year follow-up.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Psychiatry, Psychology and Law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28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(5), 1–18. </w:t>
      </w:r>
      <w:hyperlink r:id="Rb42fd3e731c7415b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https://doi.org/10.1080/13218719.2020.1837028</w:t>
        </w:r>
      </w:hyperlink>
    </w:p>
    <w:p w:rsidR="1E868687" w:rsidP="2B65DD2F" w:rsidRDefault="1E868687" w14:paraId="59717827" w14:textId="4E997CD7">
      <w:pPr>
        <w:spacing w:before="0" w:beforeAutospacing="off" w:after="0" w:after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Carlson, C. A., &amp; Carlson, M. A. (2014). An evaluation of lineup presentation, weapon presence, and a distinctive feature using ROC analysis.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Applied Research in Memory and Cognition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3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(2), 45–53. </w:t>
      </w:r>
      <w:hyperlink r:id="R52c02a51094048d4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https://doi.org/10.1016/j.jarmac.2014.03.004</w:t>
        </w:r>
      </w:hyperlink>
    </w:p>
    <w:p w:rsidR="1E868687" w:rsidP="2B65DD2F" w:rsidRDefault="1E868687" w14:paraId="43FEBBD0" w14:textId="5599056A">
      <w:pPr>
        <w:spacing w:before="0" w:beforeAutospacing="off" w:after="0" w:after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Carlson, C. A., Young, D. F., Weatherford, D. R., Carlson, M. A., Bednarz, J. E., &amp; Jones, A. R. (2016). The Influence of Perpetrator Exposure Time and Weapon Presence/Timing on Eyewitness Confidence and Accuracy.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Applied Cognitive Psychology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30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(6), 898–910. </w:t>
      </w:r>
      <w:hyperlink r:id="Ra2e15474ca7d4ac7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https://doi.org/10.1002/acp.3275</w:t>
        </w:r>
      </w:hyperlink>
    </w:p>
    <w:p w:rsidR="1E868687" w:rsidP="2B65DD2F" w:rsidRDefault="1E868687" w14:paraId="4DEE6A1A" w14:textId="125472AE">
      <w:pPr>
        <w:spacing w:before="0" w:beforeAutospacing="off" w:after="0" w:after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Cutler, B. L., Dexter, H. R., &amp; Penrod, S. D. (1990). Nonadversarial Methods for Sensitizing Jurors to Eyewitness Evidence.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Applied Social Psychology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20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(14), 1197–1207. </w:t>
      </w:r>
      <w:hyperlink r:id="Rc28bd55817ab47b0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https://doi.org/10.1111/j.1559-1816.1990.tb00400.x</w:t>
        </w:r>
      </w:hyperlink>
    </w:p>
    <w:p w:rsidR="1E868687" w:rsidP="2B65DD2F" w:rsidRDefault="1E868687" w14:paraId="489EA53D" w14:textId="0D53C9FE">
      <w:pPr>
        <w:spacing w:before="0" w:beforeAutospacing="off" w:after="0" w:after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Cutler, B. L., Penrod, S. D., &amp; Stuve, T. E. (1988). Juror decision making in eyewitness identification cases.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Law and Human Behavior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12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(1), 41–55. </w:t>
      </w:r>
      <w:hyperlink r:id="R4f2677f81e3d4a0f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https://doi.org/10.1007/bf01064273</w:t>
        </w:r>
      </w:hyperlink>
    </w:p>
    <w:p w:rsidR="1E868687" w:rsidP="2B65DD2F" w:rsidRDefault="1E868687" w14:paraId="33DAA044" w14:textId="3C1D36BD">
      <w:pPr>
        <w:spacing w:before="0" w:beforeAutospacing="off" w:after="0" w:after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Davis, A. M. (2017). Better-Informed Juries Will Yield More Reliably Just Outcomes: A Commentary on Wixted and Wells (2017).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Psychological Science in the Public Interest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18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(1), 3–5. </w:t>
      </w:r>
      <w:hyperlink r:id="R88d2525e940a49af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https://doi.org/10.1177/1529100617699229</w:t>
        </w:r>
      </w:hyperlink>
    </w:p>
    <w:p w:rsidR="1E868687" w:rsidP="2B65DD2F" w:rsidRDefault="1E868687" w14:paraId="4C8B5432" w14:textId="34E56400">
      <w:pPr>
        <w:spacing w:before="0" w:beforeAutospacing="off" w:after="0" w:after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Desmarais, S. L., &amp; Read, J. D. (2011). After 30 years, what do we know about what jurors know? A meta-analytic review of lay knowledge regarding eyewitness factors.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Law and Human Behavior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35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(3), 200–210. </w:t>
      </w:r>
      <w:hyperlink r:id="R7022f4e94e844f93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https://doi.org/10.1007/s10979-010-9232-6</w:t>
        </w:r>
      </w:hyperlink>
    </w:p>
    <w:p w:rsidR="1E868687" w:rsidP="2B65DD2F" w:rsidRDefault="1E868687" w14:paraId="21697285" w14:textId="7D2216BC">
      <w:pPr>
        <w:spacing w:before="0" w:beforeAutospacing="off" w:after="0" w:after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Dobolyi, D. G., &amp; Dodson, C. S. (2013). Eyewitness confidence in simultaneous and sequential lineups: A criterion shift account for sequential mistaken identification overconfidence.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Experimental Psychology: Applied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19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(4), 345–357. </w:t>
      </w:r>
      <w:hyperlink r:id="Rdb1b7f2c50b14ce7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https://doi.org/10.1037/a0034596</w:t>
        </w:r>
      </w:hyperlink>
    </w:p>
    <w:p w:rsidR="1E868687" w:rsidP="2B65DD2F" w:rsidRDefault="1E868687" w14:paraId="383E1D32" w14:textId="2BA69DDC">
      <w:pPr>
        <w:spacing w:before="0" w:beforeAutospacing="off" w:after="0" w:after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Fawcett, J. M., Russell, E. J., Peace, K. A., &amp; Christie, J. (2013). Of guns and geese: a meta-analytic review of the “weapon focus” literature.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Psychology, Crime &amp; Law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19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(1), 35–66. </w:t>
      </w:r>
      <w:hyperlink r:id="R6ca62e4095604631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https://doi.org/10.1080/1068316x.2011.599325</w:t>
        </w:r>
      </w:hyperlink>
    </w:p>
    <w:p w:rsidR="1E868687" w:rsidP="2B65DD2F" w:rsidRDefault="1E868687" w14:paraId="138C5506" w14:textId="4FB3C873">
      <w:pPr>
        <w:spacing w:before="0" w:beforeAutospacing="off" w:after="0" w:after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From Media Hype to Twitter Storm. (2018). In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Amsterdam University Press eBooks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Amsterdam University Press. </w:t>
      </w:r>
      <w:hyperlink r:id="Rfdca173d33394b51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https://doi.org/10.1515/9789048532100</w:t>
        </w:r>
      </w:hyperlink>
    </w:p>
    <w:p w:rsidR="1E868687" w:rsidP="2B65DD2F" w:rsidRDefault="1E868687" w14:paraId="203DBCC6" w14:textId="0289F449">
      <w:pPr>
        <w:spacing w:before="0" w:beforeAutospacing="off" w:after="0" w:after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Grano, J. D., Inbau, F. E., Reid, J. E., &amp; Buckley, J. P. (1999). Selling the Idea to Tell the Truth: The Professional Interrogator and Modern Confessions Law.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Journal of Criminal Law and Criminology (1973-)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89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(4), 1465. </w:t>
      </w:r>
      <w:hyperlink r:id="Rb9da64798a8e4aa0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https://doi.org/10.2307/1144195</w:t>
        </w:r>
      </w:hyperlink>
    </w:p>
    <w:p w:rsidR="1E868687" w:rsidP="2B65DD2F" w:rsidRDefault="1E868687" w14:paraId="50D729F8" w14:textId="5C873C7E">
      <w:pPr>
        <w:spacing w:before="0" w:beforeAutospacing="off" w:after="0" w:after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HARVEY, K. (1990). The Power of Positive Questioning: Skillful questioning can persuade people to accept change.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Nursing Management (Springhouse)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21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(5), 96A. </w:t>
      </w:r>
      <w:hyperlink r:id="R6a79dc6d9a9040e0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https://doi.org/10.1097/00006247-199005000-00020</w:t>
        </w:r>
      </w:hyperlink>
    </w:p>
    <w:p w:rsidR="1E868687" w:rsidP="2B65DD2F" w:rsidRDefault="1E868687" w14:paraId="6C5B4DD1" w14:textId="3D195FD5">
      <w:pPr>
        <w:spacing w:before="0" w:beforeAutospacing="off" w:after="0" w:after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Hope, L., &amp; Wright, D. (2007). Beyond unusual? Examining the role of attention in the weapon focus effect.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Applied Cognitive Psychology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21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(7), 951–961. </w:t>
      </w:r>
      <w:hyperlink r:id="Rf2fc50942b7846d9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https://doi.org/10.1002/acp.1307</w:t>
        </w:r>
      </w:hyperlink>
    </w:p>
    <w:p w:rsidR="1E868687" w:rsidP="2B65DD2F" w:rsidRDefault="1E868687" w14:paraId="788919A0" w14:textId="14BB43AD">
      <w:pPr>
        <w:spacing w:before="0" w:beforeAutospacing="off" w:after="0" w:after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Jiang, L., &amp; Luo, D. (2016). Legal Professionals’ Knowledge of Eyewitness Testimony in China: A Cross-Sectional Survey.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PLOS ONE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11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(2), e0148116. </w:t>
      </w:r>
      <w:hyperlink r:id="Ra99d1808e8cb476f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https://doi.org/10.1371/journal.pone.0148116</w:t>
        </w:r>
      </w:hyperlink>
    </w:p>
    <w:p w:rsidR="1E868687" w:rsidP="2B65DD2F" w:rsidRDefault="1E868687" w14:paraId="187818ED" w14:textId="32BD1731">
      <w:pPr>
        <w:spacing w:before="0" w:beforeAutospacing="off" w:after="0" w:after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Kovera, M. B., &amp; Evelo, A. J. (2017). The case for double-blind lineup administration.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Psychology, Public Policy, and Law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23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(4), 421–437. </w:t>
      </w:r>
      <w:hyperlink r:id="R0c829dd458b34d7d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https://doi.org/10.1037/law0000139</w:t>
        </w:r>
      </w:hyperlink>
    </w:p>
    <w:p w:rsidR="1E868687" w:rsidP="2B65DD2F" w:rsidRDefault="1E868687" w14:paraId="0E6D5DD1" w14:textId="065CAE9C">
      <w:pPr>
        <w:spacing w:before="0" w:beforeAutospacing="off" w:after="0" w:after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Lampinen, J. M., Erickson, W. B., Moore, K. N., &amp; Hittson, A. (2014). Effects of distance on face recognition: implications for eyewitness identification.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Psychonomic Bulletin &amp; Review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21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(6), 1489–1494. </w:t>
      </w:r>
      <w:hyperlink r:id="R713ce617ad664023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https://doi.org/10.3758/s13423-014-0641-2</w:t>
        </w:r>
      </w:hyperlink>
    </w:p>
    <w:p w:rsidR="1E868687" w:rsidP="2B65DD2F" w:rsidRDefault="1E868687" w14:paraId="452E068B" w14:textId="4388D12A">
      <w:pPr>
        <w:spacing w:before="0" w:before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Luus, C. A. E., &amp; Wells, G. L. (1991). Eyewitness identification and the selection of distracters for lineups.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Law and Human Behavior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15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(1), 43–57. </w:t>
      </w:r>
      <w:hyperlink r:id="R68864e3ed7de4008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https://doi.org/10.1007/bf01044829</w:t>
        </w:r>
      </w:hyperlink>
    </w:p>
    <w:p w:rsidR="1E868687" w:rsidP="2B65DD2F" w:rsidRDefault="1E868687" w14:paraId="4713C59D" w14:textId="4ABA8D4D">
      <w:pPr>
        <w:spacing w:before="0" w:before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Marr, C., Sauerland, M., Otgaar, H., Quaedflieg, C. W. E. M., &amp; Hope, L. (2021). The effects of acute stress on eyewitness memory: an integrative review for eyewitness researchers.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Memory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29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(8), 1091–1100. </w:t>
      </w:r>
      <w:hyperlink r:id="R3da91540224f459b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https://doi.org/10.1080/09658211.2021.1955935</w:t>
        </w:r>
      </w:hyperlink>
    </w:p>
    <w:p w:rsidR="1E868687" w:rsidP="2B65DD2F" w:rsidRDefault="1E868687" w14:paraId="2C342A64" w14:textId="58CD3DBB">
      <w:pPr>
        <w:spacing w:before="0" w:before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MCCONVILLE, M., &amp; BALDWIN, J. (1982). THE ROLE OF INTERROGATION IN GRIME DISCOVERY AND CONVICTION.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British Journal of Criminology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22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(2), 165–175. </w:t>
      </w:r>
      <w:hyperlink r:id="Rf4766dbca6354d7c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https://doi.org/10.1093/oxfordjournals.bjc.a047296</w:t>
        </w:r>
      </w:hyperlink>
    </w:p>
    <w:p w:rsidR="1E868687" w:rsidP="2B65DD2F" w:rsidRDefault="1E868687" w14:paraId="089BA409" w14:textId="423CB97C">
      <w:pPr>
        <w:spacing w:before="0" w:before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Mickes, L. (2015). Receiver operating characteristic analysis and confidence–accuracy characteristic analysis in investigations of system variables and estimator variables that affect eyewitness memory.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Applied Research in Memory and Cognition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4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(2), 93–102. </w:t>
      </w:r>
      <w:hyperlink r:id="R45af13e495344ef8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https://doi.org/10.1016/j.jarmac.2015.01.003</w:t>
        </w:r>
      </w:hyperlink>
    </w:p>
    <w:p w:rsidR="1E868687" w:rsidP="2B65DD2F" w:rsidRDefault="1E868687" w14:paraId="5986606D" w14:textId="06AE7DD6">
      <w:pPr>
        <w:spacing w:before="0" w:before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Mount, G. R. (2006). PTSD and the Hostage Negotiator.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Police Crisis Negotiations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6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(2), 129–133. </w:t>
      </w:r>
      <w:hyperlink r:id="Rc5d8ae202d5c48cf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https://doi.org/10.1300/j173v06n02_11</w:t>
        </w:r>
      </w:hyperlink>
    </w:p>
    <w:p w:rsidR="1E868687" w:rsidP="2B65DD2F" w:rsidRDefault="1E868687" w14:paraId="0C8ED6BD" w14:textId="58ADBBE4">
      <w:pPr>
        <w:spacing w:before="0" w:before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Sauer, J. D., Brewer, N., &amp; Weber, N. (2008). Multiple confidence estimates as indices of eyewitness memory.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Experimental Psychology: General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137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(3), 528–547. </w:t>
      </w:r>
      <w:hyperlink r:id="R12c0e02b7c3b4981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https://doi.org/10.1037/a0012712</w:t>
        </w:r>
      </w:hyperlink>
    </w:p>
    <w:p w:rsidR="1E868687" w:rsidP="2B65DD2F" w:rsidRDefault="1E868687" w14:paraId="764E316F" w14:textId="12BEF7D6">
      <w:pPr>
        <w:spacing w:before="0" w:before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Schot, S. (2024).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Traumatised Witnesses in International Criminal Trials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Taylor &amp; Francis.</w:t>
      </w:r>
    </w:p>
    <w:p w:rsidR="1E868687" w:rsidP="2B65DD2F" w:rsidRDefault="1E868687" w14:paraId="55F246DE" w14:textId="5C651EBF">
      <w:pPr>
        <w:spacing w:before="0" w:before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Seiter, J. S., &amp; Gass, R. H. (2013). Persuasion on Trial: An Exercise for Understanding the Benefits of Studying Persuasion.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Communication Teacher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27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(3), 127–131. </w:t>
      </w:r>
      <w:hyperlink r:id="Rf9374c1901aa4d45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https://doi.org/10.1080/17404622.2013.775468</w:t>
        </w:r>
      </w:hyperlink>
    </w:p>
    <w:p w:rsidR="1E868687" w:rsidP="2B65DD2F" w:rsidRDefault="1E868687" w14:paraId="222C6822" w14:textId="19688FE5">
      <w:pPr>
        <w:spacing w:before="0" w:before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Sheahan, C. L., Pozzulo, J. D., Reed, J. E., &amp; Pica, E. (2017). The Role of Familiarity with the Defendant, Type of Descriptor Discrepancy, and Eyewitness Age on Mock Jurors’ Perceptions of Eyewitness Testimony.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Police and Criminal Psychology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33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(1), 35–44. </w:t>
      </w:r>
      <w:hyperlink r:id="R6a0e7036ebba467d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https://doi.org/10.1007/s11896-017-9232-2</w:t>
        </w:r>
      </w:hyperlink>
    </w:p>
    <w:p w:rsidR="1E868687" w:rsidP="2B65DD2F" w:rsidRDefault="1E868687" w14:paraId="39230CE4" w14:textId="7F087FE1">
      <w:pPr>
        <w:spacing w:before="0" w:before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Steblay, N. K., Wells, G. L., &amp; Douglass, A. B. (2014). The eyewitness post identification feedback effect 15 years later: Theoretical and policy implications.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Psychology, Public Policy, and Law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20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(1), 1–18. </w:t>
      </w:r>
      <w:hyperlink r:id="R13627d4cdcbe4107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https://doi.org/10.1037/law0000001</w:t>
        </w:r>
      </w:hyperlink>
    </w:p>
    <w:p w:rsidR="1E868687" w:rsidP="2B65DD2F" w:rsidRDefault="1E868687" w14:paraId="6DB41695" w14:textId="06137B35">
      <w:pPr>
        <w:spacing w:before="0" w:before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Steblay, N. M. (1997). Social influence in eyewitness recall: A meta-analytic review of lineup instruction effects.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Law and Human Behavior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21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(3), 283–297. </w:t>
      </w:r>
      <w:hyperlink r:id="Rcabaf6555e3a404d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https://doi.org/10.1023/a:1024890732059</w:t>
        </w:r>
      </w:hyperlink>
    </w:p>
    <w:p w:rsidR="1E868687" w:rsidP="2B65DD2F" w:rsidRDefault="1E868687" w14:paraId="2DE39D05" w14:textId="7B6EDD09">
      <w:pPr>
        <w:spacing w:before="0" w:before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Steblay, N., Dysart, J., Fulero, S., &amp; Lindsay, R. C. L. (2001). Eyewitness accuracy rates in sequential and simultaneous lineup presentations: A meta-analytic comparison.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Law and Human Behavior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25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(5), 459–473. </w:t>
      </w:r>
      <w:hyperlink r:id="R7bae467bd9b34290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https://doi.org/10.1023/a:1012888715007</w:t>
        </w:r>
      </w:hyperlink>
    </w:p>
    <w:p w:rsidR="1E868687" w:rsidP="2B65DD2F" w:rsidRDefault="1E868687" w14:paraId="3936F9C3" w14:textId="6D3590B3">
      <w:pPr>
        <w:spacing w:before="0" w:before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VANGIEZEN, A., ARENSMAN, E., SPINHOVEN, P., &amp; WOLTERS, G. (2005). Consistency of memory for emotionally arousing events: A review of prospective and experimental studies.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Clinical Psychology Review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25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(7), 935–953. </w:t>
      </w:r>
      <w:hyperlink r:id="R30e097e59bf04698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https://doi.org/10.1016/j.cpr.2005.04.011</w:t>
        </w:r>
      </w:hyperlink>
    </w:p>
    <w:p w:rsidR="1E868687" w:rsidP="2B65DD2F" w:rsidRDefault="1E868687" w14:paraId="78C342AA" w14:textId="348C28F2">
      <w:pPr>
        <w:spacing w:before="0" w:before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Wells, G. L. (1978). Applied eyewitness-testimony research: System variables and estimator variables.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Personality and Social Psychology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36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(12), 1546–1557. </w:t>
      </w:r>
      <w:hyperlink r:id="Rd8313e7c9deb4c2c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https://doi.org/10.1037//0022-3514.36.12.1546</w:t>
        </w:r>
      </w:hyperlink>
    </w:p>
    <w:p w:rsidR="1E868687" w:rsidP="2B65DD2F" w:rsidRDefault="1E868687" w14:paraId="61A37E45" w14:textId="59CBF880">
      <w:pPr>
        <w:spacing w:before="0" w:before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Wells, G. L., Memon, A., &amp; Penrod, S. D. (2006). Eyewitness evidence: Improving its Probative Value.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Psychological Science in the Public Interest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7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(2), 45–75. </w:t>
      </w:r>
      <w:hyperlink r:id="Rd73a41f40bac46dd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https://doi.org/10.1111/j.1529-1006.2006.00027.x</w:t>
        </w:r>
      </w:hyperlink>
    </w:p>
    <w:p w:rsidR="1E868687" w:rsidP="2B65DD2F" w:rsidRDefault="1E868687" w14:paraId="63864B8B" w14:textId="3550B0FF">
      <w:pPr>
        <w:spacing w:before="0" w:beforeAutospacing="off" w:line="480" w:lineRule="auto"/>
        <w:ind w:left="720" w:right="0" w:hanging="720"/>
      </w:pP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Zohar, D., Livne, Y., &amp; Fine, J. (2003). The effect of anxiety on linguistic parameters of public speech: A verbal impairment model.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Anxiety, Stress &amp; Coping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65DD2F" w:rsidR="1E8686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16</w:t>
      </w:r>
      <w:r w:rsidRPr="2B65DD2F" w:rsidR="1E8686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(3), 293–306. </w:t>
      </w:r>
      <w:hyperlink r:id="Rb657562dbcbb4977">
        <w:r w:rsidRPr="2B65DD2F" w:rsidR="1E86868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https://doi.org/10.1080/1061580031000095443</w:t>
        </w:r>
      </w:hyperlink>
    </w:p>
    <w:p w:rsidR="2B65DD2F" w:rsidP="2B65DD2F" w:rsidRDefault="2B65DD2F" w14:paraId="32A0081D" w14:textId="4F350731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7E9EC40" w:rsidP="57E9EC40" w:rsidRDefault="57E9EC40" w14:paraId="262082C9" w14:textId="69DFF343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B22531"/>
    <w:rsid w:val="0045C9D4"/>
    <w:rsid w:val="00AA3B95"/>
    <w:rsid w:val="014F0A6B"/>
    <w:rsid w:val="015D2C63"/>
    <w:rsid w:val="01A1B130"/>
    <w:rsid w:val="02022339"/>
    <w:rsid w:val="0213E28B"/>
    <w:rsid w:val="028473CD"/>
    <w:rsid w:val="02B22531"/>
    <w:rsid w:val="02BF7FD0"/>
    <w:rsid w:val="02C4ABCF"/>
    <w:rsid w:val="02E42275"/>
    <w:rsid w:val="02E85C75"/>
    <w:rsid w:val="02F5C900"/>
    <w:rsid w:val="02FB8403"/>
    <w:rsid w:val="0301367A"/>
    <w:rsid w:val="037753C1"/>
    <w:rsid w:val="03A77045"/>
    <w:rsid w:val="03C192AC"/>
    <w:rsid w:val="03CDFE7A"/>
    <w:rsid w:val="04220DC5"/>
    <w:rsid w:val="048C0FF0"/>
    <w:rsid w:val="04C3B3FD"/>
    <w:rsid w:val="04C80D3B"/>
    <w:rsid w:val="05088CA6"/>
    <w:rsid w:val="0552F76D"/>
    <w:rsid w:val="058ECC7F"/>
    <w:rsid w:val="0597516F"/>
    <w:rsid w:val="05B98C92"/>
    <w:rsid w:val="05D065BC"/>
    <w:rsid w:val="062298B9"/>
    <w:rsid w:val="06598D95"/>
    <w:rsid w:val="06897E47"/>
    <w:rsid w:val="06AD31E1"/>
    <w:rsid w:val="06D972E9"/>
    <w:rsid w:val="06E61866"/>
    <w:rsid w:val="06F960CB"/>
    <w:rsid w:val="0718F8E7"/>
    <w:rsid w:val="071DB365"/>
    <w:rsid w:val="072B3417"/>
    <w:rsid w:val="074059CF"/>
    <w:rsid w:val="0752AC64"/>
    <w:rsid w:val="0768BAC7"/>
    <w:rsid w:val="07A8E9CB"/>
    <w:rsid w:val="07C3D349"/>
    <w:rsid w:val="07CBFB17"/>
    <w:rsid w:val="07E4834A"/>
    <w:rsid w:val="07EC2332"/>
    <w:rsid w:val="081E5B5B"/>
    <w:rsid w:val="087215D0"/>
    <w:rsid w:val="0872A8A9"/>
    <w:rsid w:val="08A3B5A7"/>
    <w:rsid w:val="08DF7798"/>
    <w:rsid w:val="08F6AD5A"/>
    <w:rsid w:val="09185EA8"/>
    <w:rsid w:val="093C8E7B"/>
    <w:rsid w:val="0960DD56"/>
    <w:rsid w:val="098A0DA4"/>
    <w:rsid w:val="099DFF6B"/>
    <w:rsid w:val="09A178BC"/>
    <w:rsid w:val="0A1A8B99"/>
    <w:rsid w:val="0A314C0F"/>
    <w:rsid w:val="0A43C6A7"/>
    <w:rsid w:val="0A47C9FF"/>
    <w:rsid w:val="0AF24D05"/>
    <w:rsid w:val="0AFC5272"/>
    <w:rsid w:val="0B0B7201"/>
    <w:rsid w:val="0B459E09"/>
    <w:rsid w:val="0B562B26"/>
    <w:rsid w:val="0B57ECE4"/>
    <w:rsid w:val="0B677CF9"/>
    <w:rsid w:val="0BF1518F"/>
    <w:rsid w:val="0C61928C"/>
    <w:rsid w:val="0C69CE76"/>
    <w:rsid w:val="0CBC7A09"/>
    <w:rsid w:val="0D1A9AAC"/>
    <w:rsid w:val="0DB17121"/>
    <w:rsid w:val="0E07CD17"/>
    <w:rsid w:val="0E6549DC"/>
    <w:rsid w:val="0ED2EBEE"/>
    <w:rsid w:val="0F206FA4"/>
    <w:rsid w:val="0F24BEE0"/>
    <w:rsid w:val="0F29DCC7"/>
    <w:rsid w:val="0F86C6F4"/>
    <w:rsid w:val="0F8799F6"/>
    <w:rsid w:val="0F918816"/>
    <w:rsid w:val="0F94A6F1"/>
    <w:rsid w:val="10172D50"/>
    <w:rsid w:val="10360B8F"/>
    <w:rsid w:val="1052DF67"/>
    <w:rsid w:val="1084C69A"/>
    <w:rsid w:val="109D6B25"/>
    <w:rsid w:val="10DBAE53"/>
    <w:rsid w:val="110D7FCA"/>
    <w:rsid w:val="1122219D"/>
    <w:rsid w:val="115D8597"/>
    <w:rsid w:val="118E376C"/>
    <w:rsid w:val="11AEB0A7"/>
    <w:rsid w:val="11B4BAAF"/>
    <w:rsid w:val="11B63D11"/>
    <w:rsid w:val="11C01AF2"/>
    <w:rsid w:val="11ED58F8"/>
    <w:rsid w:val="1207554A"/>
    <w:rsid w:val="12112EC0"/>
    <w:rsid w:val="121B0B38"/>
    <w:rsid w:val="122BB393"/>
    <w:rsid w:val="122CC869"/>
    <w:rsid w:val="123B98AF"/>
    <w:rsid w:val="123CAE40"/>
    <w:rsid w:val="123EF6FD"/>
    <w:rsid w:val="12C50F4F"/>
    <w:rsid w:val="12DB66C6"/>
    <w:rsid w:val="12EDD895"/>
    <w:rsid w:val="1312FD2F"/>
    <w:rsid w:val="1315014D"/>
    <w:rsid w:val="135670C8"/>
    <w:rsid w:val="140C4580"/>
    <w:rsid w:val="141BAA6C"/>
    <w:rsid w:val="14326913"/>
    <w:rsid w:val="150F0185"/>
    <w:rsid w:val="1531DE00"/>
    <w:rsid w:val="161CA7FF"/>
    <w:rsid w:val="161F968D"/>
    <w:rsid w:val="163D10FB"/>
    <w:rsid w:val="16EAA6AC"/>
    <w:rsid w:val="175D6F0F"/>
    <w:rsid w:val="178281C4"/>
    <w:rsid w:val="17841E71"/>
    <w:rsid w:val="17B0F3B9"/>
    <w:rsid w:val="17C161AB"/>
    <w:rsid w:val="182D5DA5"/>
    <w:rsid w:val="1832D206"/>
    <w:rsid w:val="1846F69F"/>
    <w:rsid w:val="1869B3EC"/>
    <w:rsid w:val="186D0D5A"/>
    <w:rsid w:val="188974CA"/>
    <w:rsid w:val="18D61CCC"/>
    <w:rsid w:val="18DAC971"/>
    <w:rsid w:val="1965E2D1"/>
    <w:rsid w:val="19919273"/>
    <w:rsid w:val="19C2F341"/>
    <w:rsid w:val="19D77513"/>
    <w:rsid w:val="1A143CC8"/>
    <w:rsid w:val="1A2D2527"/>
    <w:rsid w:val="1A72B28D"/>
    <w:rsid w:val="1A8B4E94"/>
    <w:rsid w:val="1A989F83"/>
    <w:rsid w:val="1A9DF773"/>
    <w:rsid w:val="1AA30E0F"/>
    <w:rsid w:val="1AA8E1E9"/>
    <w:rsid w:val="1ABF21ED"/>
    <w:rsid w:val="1ABFE45F"/>
    <w:rsid w:val="1ACCB831"/>
    <w:rsid w:val="1ADF9C2D"/>
    <w:rsid w:val="1B3AE915"/>
    <w:rsid w:val="1B472933"/>
    <w:rsid w:val="1B7C278D"/>
    <w:rsid w:val="1BC15803"/>
    <w:rsid w:val="1BD03CAA"/>
    <w:rsid w:val="1BD1C14C"/>
    <w:rsid w:val="1BD275CB"/>
    <w:rsid w:val="1BE76F33"/>
    <w:rsid w:val="1BFF35B7"/>
    <w:rsid w:val="1CB1DB59"/>
    <w:rsid w:val="1CBB5FC2"/>
    <w:rsid w:val="1CBF18D6"/>
    <w:rsid w:val="1CFEAB54"/>
    <w:rsid w:val="1D2AA09B"/>
    <w:rsid w:val="1D369690"/>
    <w:rsid w:val="1D566DEB"/>
    <w:rsid w:val="1D59266C"/>
    <w:rsid w:val="1D6EADE6"/>
    <w:rsid w:val="1D7975A3"/>
    <w:rsid w:val="1E07734E"/>
    <w:rsid w:val="1E43E3F1"/>
    <w:rsid w:val="1E6F9DDD"/>
    <w:rsid w:val="1E868687"/>
    <w:rsid w:val="1EA524E8"/>
    <w:rsid w:val="1EABB368"/>
    <w:rsid w:val="1EB739AF"/>
    <w:rsid w:val="1EDD586C"/>
    <w:rsid w:val="1F0ABF2B"/>
    <w:rsid w:val="1F402097"/>
    <w:rsid w:val="1F7A15A2"/>
    <w:rsid w:val="1FD48CE1"/>
    <w:rsid w:val="200C0700"/>
    <w:rsid w:val="2017C2E8"/>
    <w:rsid w:val="20444B91"/>
    <w:rsid w:val="20834C76"/>
    <w:rsid w:val="20C22547"/>
    <w:rsid w:val="20E33EB4"/>
    <w:rsid w:val="20EAA0C4"/>
    <w:rsid w:val="214AEA28"/>
    <w:rsid w:val="214FC1A5"/>
    <w:rsid w:val="215F124E"/>
    <w:rsid w:val="2179B266"/>
    <w:rsid w:val="217B8C27"/>
    <w:rsid w:val="21B7B403"/>
    <w:rsid w:val="21CC0BAA"/>
    <w:rsid w:val="21F871BD"/>
    <w:rsid w:val="22736EE1"/>
    <w:rsid w:val="22777825"/>
    <w:rsid w:val="22811E61"/>
    <w:rsid w:val="2282A099"/>
    <w:rsid w:val="22C21FF6"/>
    <w:rsid w:val="22DD8D96"/>
    <w:rsid w:val="2307530B"/>
    <w:rsid w:val="232F1FD8"/>
    <w:rsid w:val="233C7882"/>
    <w:rsid w:val="23F3DA3A"/>
    <w:rsid w:val="24099129"/>
    <w:rsid w:val="241A12E6"/>
    <w:rsid w:val="243C4B5A"/>
    <w:rsid w:val="2441A565"/>
    <w:rsid w:val="24535F4A"/>
    <w:rsid w:val="249BB854"/>
    <w:rsid w:val="25068797"/>
    <w:rsid w:val="254148EA"/>
    <w:rsid w:val="2560E675"/>
    <w:rsid w:val="257BC489"/>
    <w:rsid w:val="25AA1F78"/>
    <w:rsid w:val="25C4DDF4"/>
    <w:rsid w:val="25E493B1"/>
    <w:rsid w:val="268DC1BD"/>
    <w:rsid w:val="26BD2537"/>
    <w:rsid w:val="26BF1F4D"/>
    <w:rsid w:val="26FC0D14"/>
    <w:rsid w:val="275336D5"/>
    <w:rsid w:val="27782371"/>
    <w:rsid w:val="2782CEE8"/>
    <w:rsid w:val="27920312"/>
    <w:rsid w:val="27937FAB"/>
    <w:rsid w:val="27C79A5D"/>
    <w:rsid w:val="27D470B6"/>
    <w:rsid w:val="27F1122D"/>
    <w:rsid w:val="2873EB4E"/>
    <w:rsid w:val="287DC84F"/>
    <w:rsid w:val="28813213"/>
    <w:rsid w:val="28E98230"/>
    <w:rsid w:val="29449DC8"/>
    <w:rsid w:val="2953DD83"/>
    <w:rsid w:val="2964DAE7"/>
    <w:rsid w:val="29674322"/>
    <w:rsid w:val="296A526F"/>
    <w:rsid w:val="29826D65"/>
    <w:rsid w:val="29A75651"/>
    <w:rsid w:val="29B9E79E"/>
    <w:rsid w:val="29BED188"/>
    <w:rsid w:val="29C0E2A2"/>
    <w:rsid w:val="2A02DA21"/>
    <w:rsid w:val="2A062F2B"/>
    <w:rsid w:val="2A65F7FF"/>
    <w:rsid w:val="2A73D5A9"/>
    <w:rsid w:val="2AAFFD7C"/>
    <w:rsid w:val="2AF5D876"/>
    <w:rsid w:val="2AFD3137"/>
    <w:rsid w:val="2B29B5BA"/>
    <w:rsid w:val="2B525E58"/>
    <w:rsid w:val="2B63AC73"/>
    <w:rsid w:val="2B65DD2F"/>
    <w:rsid w:val="2B7BD5F6"/>
    <w:rsid w:val="2BB56FBF"/>
    <w:rsid w:val="2BD4341F"/>
    <w:rsid w:val="2BD89882"/>
    <w:rsid w:val="2C1BC9FA"/>
    <w:rsid w:val="2C695442"/>
    <w:rsid w:val="2C6AF887"/>
    <w:rsid w:val="2C8927D0"/>
    <w:rsid w:val="2CB3050B"/>
    <w:rsid w:val="2CCFDC12"/>
    <w:rsid w:val="2CEF6A3D"/>
    <w:rsid w:val="2D224BD9"/>
    <w:rsid w:val="2D40BAD0"/>
    <w:rsid w:val="2D502E6E"/>
    <w:rsid w:val="2D8B1849"/>
    <w:rsid w:val="2DAA9697"/>
    <w:rsid w:val="2DE7A470"/>
    <w:rsid w:val="2E08798C"/>
    <w:rsid w:val="2E0D4A07"/>
    <w:rsid w:val="2E0F3DED"/>
    <w:rsid w:val="2E334C0A"/>
    <w:rsid w:val="2ECBABE5"/>
    <w:rsid w:val="2ED22530"/>
    <w:rsid w:val="2F006EF8"/>
    <w:rsid w:val="2F2217D4"/>
    <w:rsid w:val="2FA7E74D"/>
    <w:rsid w:val="2FB7EDCD"/>
    <w:rsid w:val="30BD56E5"/>
    <w:rsid w:val="30FD7938"/>
    <w:rsid w:val="315FA620"/>
    <w:rsid w:val="317C0163"/>
    <w:rsid w:val="3199E5A0"/>
    <w:rsid w:val="319EA8CA"/>
    <w:rsid w:val="31B0F43A"/>
    <w:rsid w:val="31F4A988"/>
    <w:rsid w:val="31F4D261"/>
    <w:rsid w:val="3260641E"/>
    <w:rsid w:val="32644302"/>
    <w:rsid w:val="32857421"/>
    <w:rsid w:val="32C37847"/>
    <w:rsid w:val="3325A4ED"/>
    <w:rsid w:val="3346592E"/>
    <w:rsid w:val="337A2D03"/>
    <w:rsid w:val="337A2F63"/>
    <w:rsid w:val="337B779C"/>
    <w:rsid w:val="34293C6E"/>
    <w:rsid w:val="348B14BC"/>
    <w:rsid w:val="34A1D789"/>
    <w:rsid w:val="34A88E5C"/>
    <w:rsid w:val="34BAB387"/>
    <w:rsid w:val="34BE0196"/>
    <w:rsid w:val="34ED7650"/>
    <w:rsid w:val="350A50EC"/>
    <w:rsid w:val="3539FC44"/>
    <w:rsid w:val="358911A8"/>
    <w:rsid w:val="35CAEEF4"/>
    <w:rsid w:val="35DF1DDC"/>
    <w:rsid w:val="35F4555D"/>
    <w:rsid w:val="3650BB09"/>
    <w:rsid w:val="365B0613"/>
    <w:rsid w:val="36B927C4"/>
    <w:rsid w:val="36BA16F4"/>
    <w:rsid w:val="36C4CC17"/>
    <w:rsid w:val="36D6E7FB"/>
    <w:rsid w:val="36E4FA07"/>
    <w:rsid w:val="36F8518B"/>
    <w:rsid w:val="36FFB446"/>
    <w:rsid w:val="37199998"/>
    <w:rsid w:val="374629A0"/>
    <w:rsid w:val="37924F9B"/>
    <w:rsid w:val="37A2DF8D"/>
    <w:rsid w:val="37E15E43"/>
    <w:rsid w:val="3815F2FE"/>
    <w:rsid w:val="383DFD42"/>
    <w:rsid w:val="388ECE45"/>
    <w:rsid w:val="38AEC0AC"/>
    <w:rsid w:val="38AFCDB3"/>
    <w:rsid w:val="38D27202"/>
    <w:rsid w:val="38D7A8AA"/>
    <w:rsid w:val="38E8AEA6"/>
    <w:rsid w:val="3906DAAD"/>
    <w:rsid w:val="39463EFE"/>
    <w:rsid w:val="3952158A"/>
    <w:rsid w:val="399D053D"/>
    <w:rsid w:val="39A207A2"/>
    <w:rsid w:val="39E89203"/>
    <w:rsid w:val="39F01ABD"/>
    <w:rsid w:val="39F2A4C6"/>
    <w:rsid w:val="3A16EDAA"/>
    <w:rsid w:val="3A5C4C5C"/>
    <w:rsid w:val="3AEE2B79"/>
    <w:rsid w:val="3B0CC669"/>
    <w:rsid w:val="3B0CFC87"/>
    <w:rsid w:val="3B141445"/>
    <w:rsid w:val="3B27C35D"/>
    <w:rsid w:val="3B569E47"/>
    <w:rsid w:val="3B785D6E"/>
    <w:rsid w:val="3B8E8387"/>
    <w:rsid w:val="3BE454F9"/>
    <w:rsid w:val="3BFB41F5"/>
    <w:rsid w:val="3C25B764"/>
    <w:rsid w:val="3C75829A"/>
    <w:rsid w:val="3C7BC52D"/>
    <w:rsid w:val="3C7DEDE0"/>
    <w:rsid w:val="3C96FE95"/>
    <w:rsid w:val="3CA264CE"/>
    <w:rsid w:val="3CD551C6"/>
    <w:rsid w:val="3CEC6735"/>
    <w:rsid w:val="3D3AB62E"/>
    <w:rsid w:val="3D3B2095"/>
    <w:rsid w:val="3D445409"/>
    <w:rsid w:val="3D96E38A"/>
    <w:rsid w:val="3DD179D8"/>
    <w:rsid w:val="3DF53F0D"/>
    <w:rsid w:val="3E01467E"/>
    <w:rsid w:val="3E25BFBF"/>
    <w:rsid w:val="3E43C5D1"/>
    <w:rsid w:val="3EA23922"/>
    <w:rsid w:val="3EF54E23"/>
    <w:rsid w:val="3F4E2272"/>
    <w:rsid w:val="3F53AF9D"/>
    <w:rsid w:val="3F56BC9D"/>
    <w:rsid w:val="3F75EC15"/>
    <w:rsid w:val="3FB369B1"/>
    <w:rsid w:val="3FF10177"/>
    <w:rsid w:val="40070F3B"/>
    <w:rsid w:val="409E7100"/>
    <w:rsid w:val="40CC372E"/>
    <w:rsid w:val="40E26E41"/>
    <w:rsid w:val="411C600E"/>
    <w:rsid w:val="41466C86"/>
    <w:rsid w:val="4149517E"/>
    <w:rsid w:val="416D8B73"/>
    <w:rsid w:val="417017CA"/>
    <w:rsid w:val="41982BF0"/>
    <w:rsid w:val="41AF5CB1"/>
    <w:rsid w:val="41F242F5"/>
    <w:rsid w:val="41FF9E80"/>
    <w:rsid w:val="4251FA69"/>
    <w:rsid w:val="425BC827"/>
    <w:rsid w:val="42CFAC89"/>
    <w:rsid w:val="42D71DEC"/>
    <w:rsid w:val="42E17F3E"/>
    <w:rsid w:val="42F97B8B"/>
    <w:rsid w:val="4313C531"/>
    <w:rsid w:val="4348AD24"/>
    <w:rsid w:val="437A0102"/>
    <w:rsid w:val="43A46CC8"/>
    <w:rsid w:val="43AA77BA"/>
    <w:rsid w:val="43C91E0D"/>
    <w:rsid w:val="43DE4EB1"/>
    <w:rsid w:val="4401D3C7"/>
    <w:rsid w:val="441CD9A9"/>
    <w:rsid w:val="442E6F8D"/>
    <w:rsid w:val="444ECBB8"/>
    <w:rsid w:val="44686631"/>
    <w:rsid w:val="44A14FB6"/>
    <w:rsid w:val="44D7123B"/>
    <w:rsid w:val="44D79AC3"/>
    <w:rsid w:val="44EBA051"/>
    <w:rsid w:val="4507A2FE"/>
    <w:rsid w:val="453D0D53"/>
    <w:rsid w:val="455702FB"/>
    <w:rsid w:val="455FE99E"/>
    <w:rsid w:val="457BAE21"/>
    <w:rsid w:val="4595A41F"/>
    <w:rsid w:val="45A18454"/>
    <w:rsid w:val="45BB61FE"/>
    <w:rsid w:val="45D338BE"/>
    <w:rsid w:val="45D39FF5"/>
    <w:rsid w:val="45DCD671"/>
    <w:rsid w:val="45E91140"/>
    <w:rsid w:val="45F96545"/>
    <w:rsid w:val="460FF6D2"/>
    <w:rsid w:val="46175639"/>
    <w:rsid w:val="463130A2"/>
    <w:rsid w:val="467009E9"/>
    <w:rsid w:val="46830D71"/>
    <w:rsid w:val="46BC034C"/>
    <w:rsid w:val="46E11997"/>
    <w:rsid w:val="476F6349"/>
    <w:rsid w:val="479B33DB"/>
    <w:rsid w:val="47B213BD"/>
    <w:rsid w:val="47D51A86"/>
    <w:rsid w:val="47DB45B4"/>
    <w:rsid w:val="4830C456"/>
    <w:rsid w:val="484078E8"/>
    <w:rsid w:val="4883C97D"/>
    <w:rsid w:val="4911D16D"/>
    <w:rsid w:val="49252159"/>
    <w:rsid w:val="49279622"/>
    <w:rsid w:val="49357EC7"/>
    <w:rsid w:val="493936DC"/>
    <w:rsid w:val="49A9EEC6"/>
    <w:rsid w:val="49C13409"/>
    <w:rsid w:val="49F637B3"/>
    <w:rsid w:val="4A0C42F5"/>
    <w:rsid w:val="4A4265CA"/>
    <w:rsid w:val="4AABA0B0"/>
    <w:rsid w:val="4AABCD82"/>
    <w:rsid w:val="4AF19F51"/>
    <w:rsid w:val="4B1ADADB"/>
    <w:rsid w:val="4B603B0B"/>
    <w:rsid w:val="4BBEA449"/>
    <w:rsid w:val="4BEA7E93"/>
    <w:rsid w:val="4C40ACED"/>
    <w:rsid w:val="4CAF10D6"/>
    <w:rsid w:val="4CDE73E6"/>
    <w:rsid w:val="4CDFD160"/>
    <w:rsid w:val="4CF11BC2"/>
    <w:rsid w:val="4CFED9EB"/>
    <w:rsid w:val="4CFF19F2"/>
    <w:rsid w:val="4D05F11A"/>
    <w:rsid w:val="4D0DD86B"/>
    <w:rsid w:val="4D6231FA"/>
    <w:rsid w:val="4D7AF7C7"/>
    <w:rsid w:val="4D7D712F"/>
    <w:rsid w:val="4D882648"/>
    <w:rsid w:val="4D93DFBF"/>
    <w:rsid w:val="4D97758B"/>
    <w:rsid w:val="4E2DCA5C"/>
    <w:rsid w:val="4E4F5A6C"/>
    <w:rsid w:val="4E51EA7C"/>
    <w:rsid w:val="4E6A1CB5"/>
    <w:rsid w:val="4EA1F381"/>
    <w:rsid w:val="4EC3671F"/>
    <w:rsid w:val="4EDDF8D7"/>
    <w:rsid w:val="4EE6DBD8"/>
    <w:rsid w:val="4EEDF973"/>
    <w:rsid w:val="4F0664D7"/>
    <w:rsid w:val="4F305654"/>
    <w:rsid w:val="4F61F444"/>
    <w:rsid w:val="4F78EC81"/>
    <w:rsid w:val="4F868897"/>
    <w:rsid w:val="4F8ACCEA"/>
    <w:rsid w:val="4FDF591D"/>
    <w:rsid w:val="500F1C72"/>
    <w:rsid w:val="5055D7C9"/>
    <w:rsid w:val="50EE1E84"/>
    <w:rsid w:val="51389081"/>
    <w:rsid w:val="51401916"/>
    <w:rsid w:val="5153D217"/>
    <w:rsid w:val="515D0B34"/>
    <w:rsid w:val="51779B12"/>
    <w:rsid w:val="51B2E679"/>
    <w:rsid w:val="5202EC82"/>
    <w:rsid w:val="525A8190"/>
    <w:rsid w:val="52A4F4E4"/>
    <w:rsid w:val="52A5B9AE"/>
    <w:rsid w:val="5398DA6D"/>
    <w:rsid w:val="539CDABB"/>
    <w:rsid w:val="53E2E52D"/>
    <w:rsid w:val="53EB76D2"/>
    <w:rsid w:val="5434BB32"/>
    <w:rsid w:val="54391EE1"/>
    <w:rsid w:val="544B0487"/>
    <w:rsid w:val="54619809"/>
    <w:rsid w:val="547C5246"/>
    <w:rsid w:val="547ED132"/>
    <w:rsid w:val="548AFC72"/>
    <w:rsid w:val="549E540A"/>
    <w:rsid w:val="54EB884B"/>
    <w:rsid w:val="54F18F8F"/>
    <w:rsid w:val="55488A92"/>
    <w:rsid w:val="557BCAF4"/>
    <w:rsid w:val="55F8C146"/>
    <w:rsid w:val="5624649F"/>
    <w:rsid w:val="565B27D3"/>
    <w:rsid w:val="56734ABB"/>
    <w:rsid w:val="56A8BA50"/>
    <w:rsid w:val="56DC45F3"/>
    <w:rsid w:val="56F26DDB"/>
    <w:rsid w:val="57104C34"/>
    <w:rsid w:val="5778EC1E"/>
    <w:rsid w:val="577CBC53"/>
    <w:rsid w:val="57932C1E"/>
    <w:rsid w:val="579E1421"/>
    <w:rsid w:val="57E9EC40"/>
    <w:rsid w:val="57EEEF43"/>
    <w:rsid w:val="5800617A"/>
    <w:rsid w:val="58241C54"/>
    <w:rsid w:val="5830BC06"/>
    <w:rsid w:val="58329D63"/>
    <w:rsid w:val="584C705E"/>
    <w:rsid w:val="5870BDD2"/>
    <w:rsid w:val="58774239"/>
    <w:rsid w:val="58CFB597"/>
    <w:rsid w:val="58DF7C32"/>
    <w:rsid w:val="58F0F037"/>
    <w:rsid w:val="592329C7"/>
    <w:rsid w:val="593CBADF"/>
    <w:rsid w:val="59542E97"/>
    <w:rsid w:val="596E61AD"/>
    <w:rsid w:val="5981F900"/>
    <w:rsid w:val="5988CFFE"/>
    <w:rsid w:val="59961CE8"/>
    <w:rsid w:val="59ADF1C0"/>
    <w:rsid w:val="59BEF8AF"/>
    <w:rsid w:val="59E92AFA"/>
    <w:rsid w:val="59E942AE"/>
    <w:rsid w:val="59EC24DF"/>
    <w:rsid w:val="59F7BBAA"/>
    <w:rsid w:val="5A656311"/>
    <w:rsid w:val="5A8BD320"/>
    <w:rsid w:val="5A934A65"/>
    <w:rsid w:val="5B0F31FE"/>
    <w:rsid w:val="5B20972D"/>
    <w:rsid w:val="5B6B04A7"/>
    <w:rsid w:val="5B760CD9"/>
    <w:rsid w:val="5B7B9986"/>
    <w:rsid w:val="5BCA1E1C"/>
    <w:rsid w:val="5BE7F036"/>
    <w:rsid w:val="5C56262F"/>
    <w:rsid w:val="5C5D5BF3"/>
    <w:rsid w:val="5CA99DF5"/>
    <w:rsid w:val="5CD89699"/>
    <w:rsid w:val="5D54EBD7"/>
    <w:rsid w:val="5D8BBC88"/>
    <w:rsid w:val="5D99BE98"/>
    <w:rsid w:val="5DE59A96"/>
    <w:rsid w:val="5E01B2D7"/>
    <w:rsid w:val="5E243D1D"/>
    <w:rsid w:val="5E475CCB"/>
    <w:rsid w:val="5E4C867B"/>
    <w:rsid w:val="5E639D87"/>
    <w:rsid w:val="5E67171F"/>
    <w:rsid w:val="5E80B9AD"/>
    <w:rsid w:val="5E8A4765"/>
    <w:rsid w:val="5E9AE889"/>
    <w:rsid w:val="5EA6C746"/>
    <w:rsid w:val="5ED8A50B"/>
    <w:rsid w:val="5EF585BD"/>
    <w:rsid w:val="5F18F1E3"/>
    <w:rsid w:val="5F1B6116"/>
    <w:rsid w:val="5F1E101D"/>
    <w:rsid w:val="5F30380F"/>
    <w:rsid w:val="5F889B8E"/>
    <w:rsid w:val="5FE2FA5F"/>
    <w:rsid w:val="5FE5B2C0"/>
    <w:rsid w:val="5FFA6432"/>
    <w:rsid w:val="600AC91A"/>
    <w:rsid w:val="605370D5"/>
    <w:rsid w:val="607A1D9D"/>
    <w:rsid w:val="6080DC09"/>
    <w:rsid w:val="60902A48"/>
    <w:rsid w:val="60C939FF"/>
    <w:rsid w:val="60F09E51"/>
    <w:rsid w:val="612095A8"/>
    <w:rsid w:val="61443A0C"/>
    <w:rsid w:val="616ADFB5"/>
    <w:rsid w:val="61BFD133"/>
    <w:rsid w:val="61F391C1"/>
    <w:rsid w:val="6204076C"/>
    <w:rsid w:val="6222D9A1"/>
    <w:rsid w:val="624C82E2"/>
    <w:rsid w:val="6267800C"/>
    <w:rsid w:val="62B0CD05"/>
    <w:rsid w:val="62E58D16"/>
    <w:rsid w:val="632DC509"/>
    <w:rsid w:val="6345B7E0"/>
    <w:rsid w:val="636BD464"/>
    <w:rsid w:val="638BD946"/>
    <w:rsid w:val="63E8AC37"/>
    <w:rsid w:val="641851E1"/>
    <w:rsid w:val="641CCE77"/>
    <w:rsid w:val="6460810B"/>
    <w:rsid w:val="64793165"/>
    <w:rsid w:val="647ACA7D"/>
    <w:rsid w:val="647E038B"/>
    <w:rsid w:val="6495A031"/>
    <w:rsid w:val="64CD9055"/>
    <w:rsid w:val="64DDF8A9"/>
    <w:rsid w:val="651A873E"/>
    <w:rsid w:val="654F2E8E"/>
    <w:rsid w:val="6582C601"/>
    <w:rsid w:val="65891088"/>
    <w:rsid w:val="6593B099"/>
    <w:rsid w:val="65C41723"/>
    <w:rsid w:val="65C630EA"/>
    <w:rsid w:val="65C73C5B"/>
    <w:rsid w:val="66154E79"/>
    <w:rsid w:val="6630110C"/>
    <w:rsid w:val="667B075D"/>
    <w:rsid w:val="668AD537"/>
    <w:rsid w:val="6695A31C"/>
    <w:rsid w:val="66B31E1B"/>
    <w:rsid w:val="66C55E32"/>
    <w:rsid w:val="66DA5F1B"/>
    <w:rsid w:val="66FF4719"/>
    <w:rsid w:val="674E6F93"/>
    <w:rsid w:val="678F8991"/>
    <w:rsid w:val="6798F369"/>
    <w:rsid w:val="67A9A744"/>
    <w:rsid w:val="67CA3D82"/>
    <w:rsid w:val="67CEB9E5"/>
    <w:rsid w:val="6815077A"/>
    <w:rsid w:val="68752E83"/>
    <w:rsid w:val="6888C249"/>
    <w:rsid w:val="689AA548"/>
    <w:rsid w:val="68E99343"/>
    <w:rsid w:val="68F7751C"/>
    <w:rsid w:val="69278D5B"/>
    <w:rsid w:val="695EC1EF"/>
    <w:rsid w:val="6968CB50"/>
    <w:rsid w:val="697CDB5D"/>
    <w:rsid w:val="6989B9F4"/>
    <w:rsid w:val="699C5336"/>
    <w:rsid w:val="69CA588B"/>
    <w:rsid w:val="6A27E47E"/>
    <w:rsid w:val="6A8A5971"/>
    <w:rsid w:val="6AE1E812"/>
    <w:rsid w:val="6AE300D0"/>
    <w:rsid w:val="6B39D172"/>
    <w:rsid w:val="6B50D71A"/>
    <w:rsid w:val="6B53A0FB"/>
    <w:rsid w:val="6B6ED90E"/>
    <w:rsid w:val="6B74C8B8"/>
    <w:rsid w:val="6BC2B1C9"/>
    <w:rsid w:val="6BC6EA8E"/>
    <w:rsid w:val="6BEA54C9"/>
    <w:rsid w:val="6C7F3016"/>
    <w:rsid w:val="6CA4E2D2"/>
    <w:rsid w:val="6D29C308"/>
    <w:rsid w:val="6D7DDBDF"/>
    <w:rsid w:val="6DB0B009"/>
    <w:rsid w:val="6E280FDE"/>
    <w:rsid w:val="6E571741"/>
    <w:rsid w:val="6E8C541E"/>
    <w:rsid w:val="6F0EF3CC"/>
    <w:rsid w:val="6F0F5562"/>
    <w:rsid w:val="6F819E93"/>
    <w:rsid w:val="6FABC99D"/>
    <w:rsid w:val="7008B9E5"/>
    <w:rsid w:val="701F1090"/>
    <w:rsid w:val="70218DAB"/>
    <w:rsid w:val="706303FB"/>
    <w:rsid w:val="70639476"/>
    <w:rsid w:val="70AF39B2"/>
    <w:rsid w:val="70CD7F00"/>
    <w:rsid w:val="70E9355D"/>
    <w:rsid w:val="70FA8282"/>
    <w:rsid w:val="710B1C16"/>
    <w:rsid w:val="713415D1"/>
    <w:rsid w:val="717C0827"/>
    <w:rsid w:val="718E8357"/>
    <w:rsid w:val="71CC1F60"/>
    <w:rsid w:val="71F90FBC"/>
    <w:rsid w:val="72934CB5"/>
    <w:rsid w:val="73064DEB"/>
    <w:rsid w:val="732390B6"/>
    <w:rsid w:val="7332A769"/>
    <w:rsid w:val="73561127"/>
    <w:rsid w:val="735C482B"/>
    <w:rsid w:val="73732703"/>
    <w:rsid w:val="7376C8CF"/>
    <w:rsid w:val="737AD358"/>
    <w:rsid w:val="739BC447"/>
    <w:rsid w:val="73A686A6"/>
    <w:rsid w:val="73CD0420"/>
    <w:rsid w:val="74181EDC"/>
    <w:rsid w:val="742EA257"/>
    <w:rsid w:val="745E52E4"/>
    <w:rsid w:val="749B9407"/>
    <w:rsid w:val="74A380BD"/>
    <w:rsid w:val="74FE7902"/>
    <w:rsid w:val="7508E4CC"/>
    <w:rsid w:val="7528E84C"/>
    <w:rsid w:val="752E78F9"/>
    <w:rsid w:val="75623052"/>
    <w:rsid w:val="7578904E"/>
    <w:rsid w:val="76146570"/>
    <w:rsid w:val="762FDCFD"/>
    <w:rsid w:val="763B6218"/>
    <w:rsid w:val="76413885"/>
    <w:rsid w:val="764A71E8"/>
    <w:rsid w:val="764D47D5"/>
    <w:rsid w:val="769E9132"/>
    <w:rsid w:val="76A13B9E"/>
    <w:rsid w:val="76A63B81"/>
    <w:rsid w:val="76EB113D"/>
    <w:rsid w:val="7722C542"/>
    <w:rsid w:val="774C6DA3"/>
    <w:rsid w:val="779DFC4E"/>
    <w:rsid w:val="77C8C372"/>
    <w:rsid w:val="77E64611"/>
    <w:rsid w:val="77E7D481"/>
    <w:rsid w:val="77EB66C0"/>
    <w:rsid w:val="786E6847"/>
    <w:rsid w:val="78AA905B"/>
    <w:rsid w:val="7921DF33"/>
    <w:rsid w:val="79591F1E"/>
    <w:rsid w:val="79627135"/>
    <w:rsid w:val="79754262"/>
    <w:rsid w:val="799852CA"/>
    <w:rsid w:val="799A0D56"/>
    <w:rsid w:val="79AA8898"/>
    <w:rsid w:val="79D83C63"/>
    <w:rsid w:val="7ABC6A92"/>
    <w:rsid w:val="7ACAF1BC"/>
    <w:rsid w:val="7AD165AE"/>
    <w:rsid w:val="7AD67FC0"/>
    <w:rsid w:val="7B3DD36E"/>
    <w:rsid w:val="7B5869B6"/>
    <w:rsid w:val="7B60C55F"/>
    <w:rsid w:val="7B773447"/>
    <w:rsid w:val="7BC4B226"/>
    <w:rsid w:val="7BD68ED5"/>
    <w:rsid w:val="7BF67B49"/>
    <w:rsid w:val="7BFBBD1A"/>
    <w:rsid w:val="7C03BEE2"/>
    <w:rsid w:val="7C0FC282"/>
    <w:rsid w:val="7C169EA5"/>
    <w:rsid w:val="7C2A1AAE"/>
    <w:rsid w:val="7C68CE7E"/>
    <w:rsid w:val="7C82CEDE"/>
    <w:rsid w:val="7CBF665A"/>
    <w:rsid w:val="7CC6161F"/>
    <w:rsid w:val="7D12058B"/>
    <w:rsid w:val="7D454885"/>
    <w:rsid w:val="7D79FDFD"/>
    <w:rsid w:val="7D9D9833"/>
    <w:rsid w:val="7D9FAFAF"/>
    <w:rsid w:val="7DA7E171"/>
    <w:rsid w:val="7E59A451"/>
    <w:rsid w:val="7E982480"/>
    <w:rsid w:val="7EA2526E"/>
    <w:rsid w:val="7EFC6EE1"/>
    <w:rsid w:val="7F219209"/>
    <w:rsid w:val="7F2DE786"/>
    <w:rsid w:val="7F307796"/>
    <w:rsid w:val="7F45837A"/>
    <w:rsid w:val="7FDADA71"/>
    <w:rsid w:val="7FE3E161"/>
    <w:rsid w:val="7FF8E8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B22531"/>
  <w15:chartTrackingRefBased/>
  <w15:docId w15:val="{3F976578-3B37-47A5-95B3-2944D272F92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7E9EC40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2B65DD2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023/a:1012840831846" TargetMode="External" Id="Rde9ddc0363364dce" /><Relationship Type="http://schemas.openxmlformats.org/officeDocument/2006/relationships/hyperlink" Target="https://doi.org/10.1080/10683160802442835" TargetMode="External" Id="R2c40052cb82b4112" /><Relationship Type="http://schemas.openxmlformats.org/officeDocument/2006/relationships/hyperlink" Target="https://doi.org/10.1080/13218719.2020.1837028" TargetMode="External" Id="Rb42fd3e731c7415b" /><Relationship Type="http://schemas.openxmlformats.org/officeDocument/2006/relationships/hyperlink" Target="https://doi.org/10.1016/j.jarmac.2014.03.004" TargetMode="External" Id="R52c02a51094048d4" /><Relationship Type="http://schemas.openxmlformats.org/officeDocument/2006/relationships/hyperlink" Target="https://doi.org/10.1002/acp.3275" TargetMode="External" Id="Ra2e15474ca7d4ac7" /><Relationship Type="http://schemas.openxmlformats.org/officeDocument/2006/relationships/hyperlink" Target="https://doi.org/10.1111/j.1559-1816.1990.tb00400.x" TargetMode="External" Id="Rc28bd55817ab47b0" /><Relationship Type="http://schemas.openxmlformats.org/officeDocument/2006/relationships/hyperlink" Target="https://doi.org/10.1007/bf01064273" TargetMode="External" Id="R4f2677f81e3d4a0f" /><Relationship Type="http://schemas.openxmlformats.org/officeDocument/2006/relationships/hyperlink" Target="https://doi.org/10.1177/1529100617699229" TargetMode="External" Id="R88d2525e940a49af" /><Relationship Type="http://schemas.openxmlformats.org/officeDocument/2006/relationships/hyperlink" Target="https://doi.org/10.1007/s10979-010-9232-6" TargetMode="External" Id="R7022f4e94e844f93" /><Relationship Type="http://schemas.openxmlformats.org/officeDocument/2006/relationships/hyperlink" Target="https://doi.org/10.1037/a0034596" TargetMode="External" Id="Rdb1b7f2c50b14ce7" /><Relationship Type="http://schemas.openxmlformats.org/officeDocument/2006/relationships/hyperlink" Target="https://doi.org/10.1080/1068316x.2011.599325" TargetMode="External" Id="R6ca62e4095604631" /><Relationship Type="http://schemas.openxmlformats.org/officeDocument/2006/relationships/hyperlink" Target="https://doi.org/10.1515/9789048532100" TargetMode="External" Id="Rfdca173d33394b51" /><Relationship Type="http://schemas.openxmlformats.org/officeDocument/2006/relationships/hyperlink" Target="https://doi.org/10.2307/1144195" TargetMode="External" Id="Rb9da64798a8e4aa0" /><Relationship Type="http://schemas.openxmlformats.org/officeDocument/2006/relationships/hyperlink" Target="https://doi.org/10.1097/00006247-199005000-00020" TargetMode="External" Id="R6a79dc6d9a9040e0" /><Relationship Type="http://schemas.openxmlformats.org/officeDocument/2006/relationships/hyperlink" Target="https://doi.org/10.1002/acp.1307" TargetMode="External" Id="Rf2fc50942b7846d9" /><Relationship Type="http://schemas.openxmlformats.org/officeDocument/2006/relationships/hyperlink" Target="https://doi.org/10.1371/journal.pone.0148116" TargetMode="External" Id="Ra99d1808e8cb476f" /><Relationship Type="http://schemas.openxmlformats.org/officeDocument/2006/relationships/hyperlink" Target="https://doi.org/10.1037/law0000139" TargetMode="External" Id="R0c829dd458b34d7d" /><Relationship Type="http://schemas.openxmlformats.org/officeDocument/2006/relationships/hyperlink" Target="https://doi.org/10.3758/s13423-014-0641-2" TargetMode="External" Id="R713ce617ad664023" /><Relationship Type="http://schemas.openxmlformats.org/officeDocument/2006/relationships/hyperlink" Target="https://doi.org/10.1007/bf01044829" TargetMode="External" Id="R68864e3ed7de4008" /><Relationship Type="http://schemas.openxmlformats.org/officeDocument/2006/relationships/hyperlink" Target="https://doi.org/10.1080/09658211.2021.1955935" TargetMode="External" Id="R3da91540224f459b" /><Relationship Type="http://schemas.openxmlformats.org/officeDocument/2006/relationships/hyperlink" Target="https://doi.org/10.1093/oxfordjournals.bjc.a047296" TargetMode="External" Id="Rf4766dbca6354d7c" /><Relationship Type="http://schemas.openxmlformats.org/officeDocument/2006/relationships/hyperlink" Target="https://doi.org/10.1016/j.jarmac.2015.01.003" TargetMode="External" Id="R45af13e495344ef8" /><Relationship Type="http://schemas.openxmlformats.org/officeDocument/2006/relationships/hyperlink" Target="https://doi.org/10.1300/j173v06n02_11" TargetMode="External" Id="Rc5d8ae202d5c48cf" /><Relationship Type="http://schemas.openxmlformats.org/officeDocument/2006/relationships/hyperlink" Target="https://doi.org/10.1037/a0012712" TargetMode="External" Id="R12c0e02b7c3b4981" /><Relationship Type="http://schemas.openxmlformats.org/officeDocument/2006/relationships/hyperlink" Target="https://doi.org/10.1080/17404622.2013.775468" TargetMode="External" Id="Rf9374c1901aa4d45" /><Relationship Type="http://schemas.openxmlformats.org/officeDocument/2006/relationships/hyperlink" Target="https://doi.org/10.1007/s11896-017-9232-2" TargetMode="External" Id="R6a0e7036ebba467d" /><Relationship Type="http://schemas.openxmlformats.org/officeDocument/2006/relationships/hyperlink" Target="https://doi.org/10.1037/law0000001" TargetMode="External" Id="R13627d4cdcbe4107" /><Relationship Type="http://schemas.openxmlformats.org/officeDocument/2006/relationships/hyperlink" Target="https://doi.org/10.1023/a:1024890732059" TargetMode="External" Id="Rcabaf6555e3a404d" /><Relationship Type="http://schemas.openxmlformats.org/officeDocument/2006/relationships/hyperlink" Target="https://doi.org/10.1023/a:1012888715007" TargetMode="External" Id="R7bae467bd9b34290" /><Relationship Type="http://schemas.openxmlformats.org/officeDocument/2006/relationships/hyperlink" Target="https://doi.org/10.1016/j.cpr.2005.04.011" TargetMode="External" Id="R30e097e59bf04698" /><Relationship Type="http://schemas.openxmlformats.org/officeDocument/2006/relationships/hyperlink" Target="https://doi.org/10.1037//0022-3514.36.12.1546" TargetMode="External" Id="Rd8313e7c9deb4c2c" /><Relationship Type="http://schemas.openxmlformats.org/officeDocument/2006/relationships/hyperlink" Target="https://doi.org/10.1111/j.1529-1006.2006.00027.x" TargetMode="External" Id="Rd73a41f40bac46dd" /><Relationship Type="http://schemas.openxmlformats.org/officeDocument/2006/relationships/hyperlink" Target="https://doi.org/10.1080/1061580031000095443" TargetMode="External" Id="Rb657562dbcbb497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Ethan Price (2317158)</dc:creator>
  <keywords/>
  <dc:description/>
  <lastModifiedBy>Ethan Price (2317158)</lastModifiedBy>
  <revision>3</revision>
  <dcterms:created xsi:type="dcterms:W3CDTF">2025-10-31T16:06:22.6730872Z</dcterms:created>
  <dcterms:modified xsi:type="dcterms:W3CDTF">2025-11-04T23:44:19.9026538Z</dcterms:modified>
</coreProperties>
</file>