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olor w:val="156082" w:themeColor="accent1"/>
          <w:kern w:val="2"/>
          <w:sz w:val="24"/>
          <w:lang w:val="en-GB"/>
          <w14:ligatures w14:val="standardContextual"/>
        </w:rPr>
        <w:id w:val="1827856887"/>
        <w:docPartObj>
          <w:docPartGallery w:val="Cover Pages"/>
          <w:docPartUnique/>
        </w:docPartObj>
      </w:sdtPr>
      <w:sdtEndPr>
        <w:rPr>
          <w:color w:val="auto"/>
        </w:rPr>
      </w:sdtEndPr>
      <w:sdtContent>
        <w:p w14:paraId="400CEEC1" w14:textId="595761DC" w:rsidR="00C940A3" w:rsidRDefault="00C940A3" w:rsidP="00C940A3">
          <w:pPr>
            <w:pStyle w:val="NoSpacing"/>
            <w:spacing w:before="1540" w:after="240"/>
            <w:rPr>
              <w:rFonts w:ascii="Times New Roman" w:eastAsiaTheme="minorHAnsi" w:hAnsi="Times New Roman"/>
              <w:color w:val="156082" w:themeColor="accent1"/>
              <w:kern w:val="2"/>
              <w:sz w:val="24"/>
              <w:lang w:val="en-GB"/>
              <w14:ligatures w14:val="standardContextual"/>
            </w:rPr>
          </w:pPr>
        </w:p>
        <w:p w14:paraId="661481A9" w14:textId="104EF4AB" w:rsidR="009151A6" w:rsidRDefault="009151A6">
          <w:pPr>
            <w:pStyle w:val="NoSpacing"/>
            <w:spacing w:before="1540" w:after="240"/>
            <w:jc w:val="center"/>
            <w:rPr>
              <w:color w:val="156082" w:themeColor="accent1"/>
            </w:rPr>
          </w:pPr>
          <w:r>
            <w:rPr>
              <w:noProof/>
              <w:color w:val="156082" w:themeColor="accent1"/>
            </w:rPr>
            <w:drawing>
              <wp:inline distT="0" distB="0" distL="0" distR="0" wp14:anchorId="62F64387" wp14:editId="1C8975E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Arial" w:hAnsi="Times New Roman" w:cs="Times New Roman"/>
              <w:b/>
              <w:color w:val="000000"/>
              <w:sz w:val="36"/>
              <w:lang w:eastAsia="en-GB"/>
            </w:rPr>
            <w:alias w:val="Title"/>
            <w:tag w:val=""/>
            <w:id w:val="1735040861"/>
            <w:placeholder>
              <w:docPart w:val="F498331E438E4E1F87500C3B2FAE41B9"/>
            </w:placeholder>
            <w:dataBinding w:prefixMappings="xmlns:ns0='http://purl.org/dc/elements/1.1/' xmlns:ns1='http://schemas.openxmlformats.org/package/2006/metadata/core-properties' " w:xpath="/ns1:coreProperties[1]/ns0:title[1]" w:storeItemID="{6C3C8BC8-F283-45AE-878A-BAB7291924A1}"/>
            <w:text/>
          </w:sdtPr>
          <w:sdtEndPr/>
          <w:sdtContent>
            <w:p w14:paraId="3BBF298E" w14:textId="4F61B9AE" w:rsidR="009151A6" w:rsidRPr="003910B9" w:rsidRDefault="00E074FB">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80"/>
                  <w:szCs w:val="80"/>
                </w:rPr>
              </w:pPr>
              <w:r w:rsidRPr="003910B9">
                <w:rPr>
                  <w:rFonts w:ascii="Times New Roman" w:eastAsia="Arial" w:hAnsi="Times New Roman" w:cs="Times New Roman"/>
                  <w:b/>
                  <w:color w:val="000000"/>
                  <w:sz w:val="36"/>
                  <w:lang w:eastAsia="en-GB"/>
                </w:rPr>
                <w:t>Business report</w:t>
              </w:r>
              <w:r w:rsidR="00951779" w:rsidRPr="003910B9">
                <w:rPr>
                  <w:rFonts w:ascii="Times New Roman" w:eastAsia="Arial" w:hAnsi="Times New Roman" w:cs="Times New Roman"/>
                  <w:b/>
                  <w:color w:val="000000"/>
                  <w:sz w:val="36"/>
                  <w:lang w:eastAsia="en-GB"/>
                </w:rPr>
                <w:t xml:space="preserve"> for the Hotel Industry</w:t>
              </w:r>
            </w:p>
          </w:sdtContent>
        </w:sdt>
        <w:sdt>
          <w:sdtPr>
            <w:rPr>
              <w:rFonts w:ascii="Times New Roman" w:hAnsi="Times New Roman" w:cs="Times New Roman"/>
              <w:b/>
              <w:bCs/>
              <w:sz w:val="32"/>
              <w:szCs w:val="32"/>
            </w:rPr>
            <w:alias w:val="Subtitle"/>
            <w:tag w:val=""/>
            <w:id w:val="328029620"/>
            <w:placeholder>
              <w:docPart w:val="F94849D3C34944BA9283E140CB8C3263"/>
            </w:placeholder>
            <w:dataBinding w:prefixMappings="xmlns:ns0='http://purl.org/dc/elements/1.1/' xmlns:ns1='http://schemas.openxmlformats.org/package/2006/metadata/core-properties' " w:xpath="/ns1:coreProperties[1]/ns0:subject[1]" w:storeItemID="{6C3C8BC8-F283-45AE-878A-BAB7291924A1}"/>
            <w:text/>
          </w:sdtPr>
          <w:sdtEndPr/>
          <w:sdtContent>
            <w:p w14:paraId="2FA9FB69" w14:textId="04CFD09D" w:rsidR="009151A6" w:rsidRDefault="00046A4D" w:rsidP="003910B9">
              <w:pPr>
                <w:pStyle w:val="NoSpacing"/>
                <w:jc w:val="center"/>
                <w:rPr>
                  <w:color w:val="156082" w:themeColor="accent1"/>
                  <w:sz w:val="28"/>
                  <w:szCs w:val="28"/>
                </w:rPr>
              </w:pPr>
              <w:r w:rsidRPr="002369A4">
                <w:rPr>
                  <w:rFonts w:ascii="Times New Roman" w:hAnsi="Times New Roman" w:cs="Times New Roman"/>
                  <w:b/>
                  <w:bCs/>
                  <w:sz w:val="32"/>
                  <w:szCs w:val="32"/>
                </w:rPr>
                <w:t>CASE STUDY: Shangri-La Hotels and Travelodge Hotels</w:t>
              </w:r>
            </w:p>
          </w:sdtContent>
        </w:sdt>
        <w:p w14:paraId="271EC848" w14:textId="1A0FE608" w:rsidR="009151A6" w:rsidRDefault="009151A6">
          <w:pPr>
            <w:pStyle w:val="NoSpacing"/>
            <w:spacing w:before="480"/>
            <w:jc w:val="center"/>
            <w:rPr>
              <w:color w:val="156082" w:themeColor="accent1"/>
            </w:rPr>
          </w:pPr>
          <w:r>
            <w:rPr>
              <w:noProof/>
              <w:color w:val="156082" w:themeColor="accent1"/>
            </w:rPr>
            <w:drawing>
              <wp:inline distT="0" distB="0" distL="0" distR="0" wp14:anchorId="7E5CE22E" wp14:editId="6EF88E6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D5B9E3" w14:textId="77777777" w:rsidR="009C1008" w:rsidRDefault="009C1008">
          <w:pPr>
            <w:pStyle w:val="NoSpacing"/>
            <w:spacing w:before="480"/>
            <w:jc w:val="center"/>
            <w:rPr>
              <w:color w:val="156082" w:themeColor="accent1"/>
            </w:rPr>
          </w:pPr>
        </w:p>
        <w:p w14:paraId="7A5212D0" w14:textId="77777777" w:rsidR="00C940A3" w:rsidRDefault="00C940A3">
          <w:pPr>
            <w:pStyle w:val="NoSpacing"/>
            <w:spacing w:before="480"/>
            <w:jc w:val="center"/>
            <w:rPr>
              <w:color w:val="156082" w:themeColor="accent1"/>
            </w:rPr>
          </w:pPr>
        </w:p>
        <w:p w14:paraId="35154091" w14:textId="77777777" w:rsidR="009C1008" w:rsidRDefault="009C1008" w:rsidP="00055519">
          <w:pPr>
            <w:pStyle w:val="NoSpacing"/>
            <w:spacing w:before="480"/>
            <w:rPr>
              <w:color w:val="156082" w:themeColor="accent1"/>
            </w:rPr>
          </w:pPr>
        </w:p>
        <w:p w14:paraId="091830B0" w14:textId="77777777" w:rsidR="00C940A3" w:rsidRDefault="00C940A3" w:rsidP="00055519">
          <w:pPr>
            <w:pStyle w:val="NoSpacing"/>
            <w:spacing w:before="480"/>
            <w:rPr>
              <w:color w:val="156082" w:themeColor="accent1"/>
            </w:rPr>
          </w:pPr>
        </w:p>
        <w:p w14:paraId="4F12AB18" w14:textId="473E020E" w:rsidR="00C940A3" w:rsidRPr="0078140F" w:rsidRDefault="008C6E37" w:rsidP="008C6E37">
          <w:pPr>
            <w:rPr>
              <w:rFonts w:eastAsia="Arial" w:cs="Times New Roman"/>
              <w:b/>
              <w:kern w:val="0"/>
              <w14:ligatures w14:val="none"/>
            </w:rPr>
          </w:pPr>
          <w:r w:rsidRPr="0078140F">
            <w:rPr>
              <w:rFonts w:cs="Times New Roman"/>
            </w:rPr>
            <w:t xml:space="preserve">Module name: </w:t>
          </w:r>
          <w:r w:rsidR="00C940A3" w:rsidRPr="00C940A3">
            <w:rPr>
              <w:rFonts w:eastAsia="Arial" w:cs="Times New Roman"/>
              <w:b/>
              <w:kern w:val="0"/>
              <w:sz w:val="28"/>
              <w:szCs w:val="18"/>
              <w14:ligatures w14:val="none"/>
            </w:rPr>
            <w:t>BMIH500</w:t>
          </w:r>
          <w:r w:rsidR="00C940A3" w:rsidRPr="00C940A3">
            <w:rPr>
              <w:rFonts w:ascii="Arial" w:eastAsia="Arial" w:hAnsi="Arial" w:cs="Arial"/>
              <w:b/>
              <w:kern w:val="0"/>
              <w:sz w:val="28"/>
              <w:szCs w:val="18"/>
              <w14:ligatures w14:val="none"/>
            </w:rPr>
            <w:t>7</w:t>
          </w:r>
          <w:r w:rsidR="00C940A3" w:rsidRPr="00C940A3">
            <w:rPr>
              <w:rFonts w:ascii="Arial" w:eastAsia="Arial" w:hAnsi="Arial" w:cs="Arial"/>
              <w:b/>
              <w:kern w:val="0"/>
              <w:sz w:val="32"/>
              <w:szCs w:val="20"/>
              <w14:ligatures w14:val="none"/>
            </w:rPr>
            <w:t xml:space="preserve"> </w:t>
          </w:r>
          <w:r w:rsidRPr="0078140F">
            <w:rPr>
              <w:rFonts w:eastAsia="Arial" w:cs="Times New Roman"/>
              <w:b/>
              <w:kern w:val="0"/>
              <w14:ligatures w14:val="none"/>
            </w:rPr>
            <w:t>Financial Management for the Hotel Industry</w:t>
          </w:r>
          <w:r w:rsidR="00C940A3">
            <w:rPr>
              <w:rFonts w:eastAsia="Arial" w:cs="Times New Roman"/>
              <w:b/>
              <w:kern w:val="0"/>
              <w14:ligatures w14:val="none"/>
            </w:rPr>
            <w:t>Assignment 1</w:t>
          </w:r>
        </w:p>
        <w:p w14:paraId="3791B260" w14:textId="7D4607F3" w:rsidR="009C1008" w:rsidRPr="0078140F" w:rsidRDefault="009C1008" w:rsidP="009C1008">
          <w:pPr>
            <w:pStyle w:val="NoSpacing"/>
            <w:spacing w:before="480"/>
            <w:rPr>
              <w:rFonts w:ascii="Times New Roman" w:hAnsi="Times New Roman" w:cs="Times New Roman"/>
            </w:rPr>
          </w:pPr>
          <w:r w:rsidRPr="0078140F">
            <w:rPr>
              <w:rFonts w:ascii="Times New Roman" w:hAnsi="Times New Roman" w:cs="Times New Roman"/>
            </w:rPr>
            <w:t>Student Id:</w:t>
          </w:r>
          <w:r w:rsidRPr="0078140F">
            <w:rPr>
              <w:rFonts w:ascii="Times New Roman" w:hAnsi="Times New Roman" w:cs="Times New Roman"/>
              <w:b/>
              <w:bCs/>
              <w:sz w:val="24"/>
              <w:szCs w:val="24"/>
            </w:rPr>
            <w:t xml:space="preserve"> </w:t>
          </w:r>
          <w:r w:rsidR="00A533FB" w:rsidRPr="0078140F">
            <w:rPr>
              <w:rFonts w:ascii="Times New Roman" w:hAnsi="Times New Roman" w:cs="Times New Roman"/>
              <w:b/>
              <w:bCs/>
              <w:sz w:val="24"/>
              <w:szCs w:val="24"/>
            </w:rPr>
            <w:t>2234901</w:t>
          </w:r>
        </w:p>
        <w:p w14:paraId="7B2312A5" w14:textId="1556219D" w:rsidR="001E536F" w:rsidRPr="0078140F" w:rsidRDefault="001E536F" w:rsidP="009C1008">
          <w:pPr>
            <w:pStyle w:val="NoSpacing"/>
            <w:spacing w:before="480"/>
            <w:rPr>
              <w:rFonts w:ascii="Times New Roman" w:hAnsi="Times New Roman" w:cs="Times New Roman"/>
            </w:rPr>
          </w:pPr>
          <w:r w:rsidRPr="0078140F">
            <w:rPr>
              <w:rFonts w:ascii="Times New Roman" w:hAnsi="Times New Roman" w:cs="Times New Roman"/>
            </w:rPr>
            <w:t xml:space="preserve">Lecturer name: </w:t>
          </w:r>
          <w:r w:rsidR="00B93457" w:rsidRPr="0078140F">
            <w:rPr>
              <w:rFonts w:ascii="Times New Roman" w:eastAsia="Arial" w:hAnsi="Times New Roman" w:cs="Times New Roman"/>
              <w:b/>
              <w:sz w:val="24"/>
              <w:szCs w:val="24"/>
            </w:rPr>
            <w:t xml:space="preserve">Tristan Hawkins, Dr. Ernest </w:t>
          </w:r>
          <w:r w:rsidR="008A0FBE" w:rsidRPr="0078140F">
            <w:rPr>
              <w:rFonts w:ascii="Times New Roman" w:eastAsia="Arial" w:hAnsi="Times New Roman" w:cs="Times New Roman"/>
              <w:b/>
              <w:sz w:val="24"/>
              <w:szCs w:val="24"/>
            </w:rPr>
            <w:t>Wave</w:t>
          </w:r>
        </w:p>
        <w:p w14:paraId="672E520C" w14:textId="77777777" w:rsidR="00852B46" w:rsidRDefault="001001DB">
          <w:pPr>
            <w:rPr>
              <w:rFonts w:eastAsia="Arial" w:cs="Times New Roman"/>
              <w:b/>
              <w:kern w:val="0"/>
              <w14:ligatures w14:val="none"/>
            </w:rPr>
          </w:pPr>
          <w:r w:rsidRPr="0078140F">
            <w:rPr>
              <w:rFonts w:eastAsia="Arial" w:cs="Times New Roman"/>
              <w:bCs/>
              <w:kern w:val="0"/>
              <w14:ligatures w14:val="none"/>
            </w:rPr>
            <w:t xml:space="preserve">Submission deadline: </w:t>
          </w:r>
          <w:r w:rsidR="0078140F" w:rsidRPr="0078140F">
            <w:rPr>
              <w:rFonts w:eastAsia="Arial" w:cs="Times New Roman"/>
              <w:b/>
              <w:kern w:val="0"/>
              <w14:ligatures w14:val="none"/>
            </w:rPr>
            <w:t>Friday 10</w:t>
          </w:r>
          <w:r w:rsidR="0078140F" w:rsidRPr="0078140F">
            <w:rPr>
              <w:rFonts w:eastAsia="Arial" w:cs="Times New Roman"/>
              <w:b/>
              <w:kern w:val="0"/>
              <w:vertAlign w:val="superscript"/>
              <w14:ligatures w14:val="none"/>
            </w:rPr>
            <w:t>th</w:t>
          </w:r>
          <w:r w:rsidR="0078140F" w:rsidRPr="0078140F">
            <w:rPr>
              <w:rFonts w:eastAsia="Arial" w:cs="Times New Roman"/>
              <w:b/>
              <w:kern w:val="0"/>
              <w14:ligatures w14:val="none"/>
            </w:rPr>
            <w:t xml:space="preserve"> May 2024</w:t>
          </w:r>
        </w:p>
        <w:p w14:paraId="6CAE5637" w14:textId="33EAAEC0" w:rsidR="00521310" w:rsidRPr="00055519" w:rsidRDefault="00521310" w:rsidP="00055519">
          <w:pPr>
            <w:rPr>
              <w:rFonts w:ascii="Arial" w:eastAsia="Arial" w:hAnsi="Arial" w:cs="Arial"/>
              <w:b/>
              <w:kern w:val="0"/>
              <w14:ligatures w14:val="none"/>
            </w:rPr>
          </w:pPr>
        </w:p>
        <w:sdt>
          <w:sdtPr>
            <w:rPr>
              <w:rFonts w:ascii="Times New Roman" w:eastAsiaTheme="minorHAnsi" w:hAnsi="Times New Roman" w:cstheme="minorBidi"/>
              <w:color w:val="auto"/>
              <w:kern w:val="2"/>
              <w:sz w:val="24"/>
              <w:szCs w:val="22"/>
              <w:lang w:val="en-GB"/>
              <w14:ligatures w14:val="standardContextual"/>
            </w:rPr>
            <w:id w:val="-601424667"/>
            <w:docPartObj>
              <w:docPartGallery w:val="Table of Contents"/>
              <w:docPartUnique/>
            </w:docPartObj>
          </w:sdtPr>
          <w:sdtEndPr>
            <w:rPr>
              <w:b/>
              <w:bCs/>
              <w:noProof/>
            </w:rPr>
          </w:sdtEndPr>
          <w:sdtContent>
            <w:p w14:paraId="772E6FE4" w14:textId="57478704" w:rsidR="00521310" w:rsidRPr="00AA79E2" w:rsidRDefault="00521310">
              <w:pPr>
                <w:pStyle w:val="TOCHeading"/>
                <w:rPr>
                  <w:rFonts w:ascii="Times New Roman" w:hAnsi="Times New Roman" w:cs="Times New Roman"/>
                  <w:b/>
                  <w:bCs/>
                  <w:color w:val="auto"/>
                  <w:sz w:val="28"/>
                  <w:szCs w:val="28"/>
                </w:rPr>
              </w:pPr>
              <w:r w:rsidRPr="00AA79E2">
                <w:rPr>
                  <w:rFonts w:ascii="Times New Roman" w:hAnsi="Times New Roman" w:cs="Times New Roman"/>
                  <w:b/>
                  <w:bCs/>
                  <w:color w:val="auto"/>
                  <w:sz w:val="28"/>
                  <w:szCs w:val="28"/>
                </w:rPr>
                <w:t>Contents</w:t>
              </w:r>
            </w:p>
            <w:p w14:paraId="66F0FB10" w14:textId="190613F9" w:rsidR="00C940A3" w:rsidRDefault="00521310">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80535702" w:history="1">
                <w:r w:rsidR="00C940A3" w:rsidRPr="00FA23F4">
                  <w:rPr>
                    <w:rStyle w:val="Hyperlink"/>
                    <w:noProof/>
                  </w:rPr>
                  <w:t>1. Introduction</w:t>
                </w:r>
                <w:r w:rsidR="00C940A3">
                  <w:rPr>
                    <w:noProof/>
                    <w:webHidden/>
                  </w:rPr>
                  <w:tab/>
                </w:r>
                <w:r w:rsidR="00C940A3">
                  <w:rPr>
                    <w:noProof/>
                    <w:webHidden/>
                  </w:rPr>
                  <w:fldChar w:fldCharType="begin"/>
                </w:r>
                <w:r w:rsidR="00C940A3">
                  <w:rPr>
                    <w:noProof/>
                    <w:webHidden/>
                  </w:rPr>
                  <w:instrText xml:space="preserve"> PAGEREF _Toc180535702 \h </w:instrText>
                </w:r>
                <w:r w:rsidR="00C940A3">
                  <w:rPr>
                    <w:noProof/>
                    <w:webHidden/>
                  </w:rPr>
                </w:r>
                <w:r w:rsidR="00C940A3">
                  <w:rPr>
                    <w:noProof/>
                    <w:webHidden/>
                  </w:rPr>
                  <w:fldChar w:fldCharType="separate"/>
                </w:r>
                <w:r w:rsidR="00C940A3">
                  <w:rPr>
                    <w:noProof/>
                    <w:webHidden/>
                  </w:rPr>
                  <w:t>2</w:t>
                </w:r>
                <w:r w:rsidR="00C940A3">
                  <w:rPr>
                    <w:noProof/>
                    <w:webHidden/>
                  </w:rPr>
                  <w:fldChar w:fldCharType="end"/>
                </w:r>
              </w:hyperlink>
            </w:p>
            <w:p w14:paraId="45DC94CA" w14:textId="7040D032" w:rsidR="00C940A3" w:rsidRDefault="00C940A3">
              <w:pPr>
                <w:pStyle w:val="TOC1"/>
                <w:tabs>
                  <w:tab w:val="right" w:leader="dot" w:pos="9016"/>
                </w:tabs>
                <w:rPr>
                  <w:rFonts w:asciiTheme="minorHAnsi" w:eastAsiaTheme="minorEastAsia" w:hAnsiTheme="minorHAnsi"/>
                  <w:noProof/>
                  <w:szCs w:val="24"/>
                  <w:lang w:eastAsia="en-GB"/>
                </w:rPr>
              </w:pPr>
              <w:hyperlink w:anchor="_Toc180535703" w:history="1">
                <w:r w:rsidRPr="00FA23F4">
                  <w:rPr>
                    <w:rStyle w:val="Hyperlink"/>
                    <w:noProof/>
                  </w:rPr>
                  <w:t>2. Total Revenue Comparison</w:t>
                </w:r>
                <w:r>
                  <w:rPr>
                    <w:noProof/>
                    <w:webHidden/>
                  </w:rPr>
                  <w:tab/>
                </w:r>
                <w:r>
                  <w:rPr>
                    <w:noProof/>
                    <w:webHidden/>
                  </w:rPr>
                  <w:fldChar w:fldCharType="begin"/>
                </w:r>
                <w:r>
                  <w:rPr>
                    <w:noProof/>
                    <w:webHidden/>
                  </w:rPr>
                  <w:instrText xml:space="preserve"> PAGEREF _Toc180535703 \h </w:instrText>
                </w:r>
                <w:r>
                  <w:rPr>
                    <w:noProof/>
                    <w:webHidden/>
                  </w:rPr>
                </w:r>
                <w:r>
                  <w:rPr>
                    <w:noProof/>
                    <w:webHidden/>
                  </w:rPr>
                  <w:fldChar w:fldCharType="separate"/>
                </w:r>
                <w:r>
                  <w:rPr>
                    <w:noProof/>
                    <w:webHidden/>
                  </w:rPr>
                  <w:t>3</w:t>
                </w:r>
                <w:r>
                  <w:rPr>
                    <w:noProof/>
                    <w:webHidden/>
                  </w:rPr>
                  <w:fldChar w:fldCharType="end"/>
                </w:r>
              </w:hyperlink>
            </w:p>
            <w:p w14:paraId="3A44EC83" w14:textId="480B82A5" w:rsidR="00C940A3" w:rsidRDefault="00C940A3">
              <w:pPr>
                <w:pStyle w:val="TOC1"/>
                <w:tabs>
                  <w:tab w:val="right" w:leader="dot" w:pos="9016"/>
                </w:tabs>
                <w:rPr>
                  <w:rFonts w:asciiTheme="minorHAnsi" w:eastAsiaTheme="minorEastAsia" w:hAnsiTheme="minorHAnsi"/>
                  <w:noProof/>
                  <w:szCs w:val="24"/>
                  <w:lang w:eastAsia="en-GB"/>
                </w:rPr>
              </w:pPr>
              <w:hyperlink w:anchor="_Toc180535704" w:history="1">
                <w:r w:rsidRPr="00FA23F4">
                  <w:rPr>
                    <w:rStyle w:val="Hyperlink"/>
                    <w:noProof/>
                  </w:rPr>
                  <w:t>3. Market Position Comparison</w:t>
                </w:r>
                <w:r>
                  <w:rPr>
                    <w:noProof/>
                    <w:webHidden/>
                  </w:rPr>
                  <w:tab/>
                </w:r>
                <w:r>
                  <w:rPr>
                    <w:noProof/>
                    <w:webHidden/>
                  </w:rPr>
                  <w:fldChar w:fldCharType="begin"/>
                </w:r>
                <w:r>
                  <w:rPr>
                    <w:noProof/>
                    <w:webHidden/>
                  </w:rPr>
                  <w:instrText xml:space="preserve"> PAGEREF _Toc180535704 \h </w:instrText>
                </w:r>
                <w:r>
                  <w:rPr>
                    <w:noProof/>
                    <w:webHidden/>
                  </w:rPr>
                </w:r>
                <w:r>
                  <w:rPr>
                    <w:noProof/>
                    <w:webHidden/>
                  </w:rPr>
                  <w:fldChar w:fldCharType="separate"/>
                </w:r>
                <w:r>
                  <w:rPr>
                    <w:noProof/>
                    <w:webHidden/>
                  </w:rPr>
                  <w:t>3</w:t>
                </w:r>
                <w:r>
                  <w:rPr>
                    <w:noProof/>
                    <w:webHidden/>
                  </w:rPr>
                  <w:fldChar w:fldCharType="end"/>
                </w:r>
              </w:hyperlink>
            </w:p>
            <w:p w14:paraId="01324359" w14:textId="14CE1935" w:rsidR="00C940A3" w:rsidRDefault="00C940A3">
              <w:pPr>
                <w:pStyle w:val="TOC1"/>
                <w:tabs>
                  <w:tab w:val="right" w:leader="dot" w:pos="9016"/>
                </w:tabs>
                <w:rPr>
                  <w:rFonts w:asciiTheme="minorHAnsi" w:eastAsiaTheme="minorEastAsia" w:hAnsiTheme="minorHAnsi"/>
                  <w:noProof/>
                  <w:szCs w:val="24"/>
                  <w:lang w:eastAsia="en-GB"/>
                </w:rPr>
              </w:pPr>
              <w:hyperlink w:anchor="_Toc180535705" w:history="1">
                <w:r w:rsidRPr="00FA23F4">
                  <w:rPr>
                    <w:rStyle w:val="Hyperlink"/>
                    <w:noProof/>
                  </w:rPr>
                  <w:t>4. Growth Potential Analysis</w:t>
                </w:r>
                <w:r>
                  <w:rPr>
                    <w:noProof/>
                    <w:webHidden/>
                  </w:rPr>
                  <w:tab/>
                </w:r>
                <w:r>
                  <w:rPr>
                    <w:noProof/>
                    <w:webHidden/>
                  </w:rPr>
                  <w:fldChar w:fldCharType="begin"/>
                </w:r>
                <w:r>
                  <w:rPr>
                    <w:noProof/>
                    <w:webHidden/>
                  </w:rPr>
                  <w:instrText xml:space="preserve"> PAGEREF _Toc180535705 \h </w:instrText>
                </w:r>
                <w:r>
                  <w:rPr>
                    <w:noProof/>
                    <w:webHidden/>
                  </w:rPr>
                </w:r>
                <w:r>
                  <w:rPr>
                    <w:noProof/>
                    <w:webHidden/>
                  </w:rPr>
                  <w:fldChar w:fldCharType="separate"/>
                </w:r>
                <w:r>
                  <w:rPr>
                    <w:noProof/>
                    <w:webHidden/>
                  </w:rPr>
                  <w:t>4</w:t>
                </w:r>
                <w:r>
                  <w:rPr>
                    <w:noProof/>
                    <w:webHidden/>
                  </w:rPr>
                  <w:fldChar w:fldCharType="end"/>
                </w:r>
              </w:hyperlink>
            </w:p>
            <w:p w14:paraId="004E5413" w14:textId="058D0A7F" w:rsidR="00C940A3" w:rsidRDefault="00C940A3">
              <w:pPr>
                <w:pStyle w:val="TOC1"/>
                <w:tabs>
                  <w:tab w:val="right" w:leader="dot" w:pos="9016"/>
                </w:tabs>
                <w:rPr>
                  <w:rFonts w:asciiTheme="minorHAnsi" w:eastAsiaTheme="minorEastAsia" w:hAnsiTheme="minorHAnsi"/>
                  <w:noProof/>
                  <w:szCs w:val="24"/>
                  <w:lang w:eastAsia="en-GB"/>
                </w:rPr>
              </w:pPr>
              <w:hyperlink w:anchor="_Toc180535706" w:history="1">
                <w:r w:rsidRPr="00FA23F4">
                  <w:rPr>
                    <w:rStyle w:val="Hyperlink"/>
                    <w:noProof/>
                  </w:rPr>
                  <w:t>5. Financial Commitment to CSR</w:t>
                </w:r>
                <w:r>
                  <w:rPr>
                    <w:noProof/>
                    <w:webHidden/>
                  </w:rPr>
                  <w:tab/>
                </w:r>
                <w:r>
                  <w:rPr>
                    <w:noProof/>
                    <w:webHidden/>
                  </w:rPr>
                  <w:fldChar w:fldCharType="begin"/>
                </w:r>
                <w:r>
                  <w:rPr>
                    <w:noProof/>
                    <w:webHidden/>
                  </w:rPr>
                  <w:instrText xml:space="preserve"> PAGEREF _Toc180535706 \h </w:instrText>
                </w:r>
                <w:r>
                  <w:rPr>
                    <w:noProof/>
                    <w:webHidden/>
                  </w:rPr>
                </w:r>
                <w:r>
                  <w:rPr>
                    <w:noProof/>
                    <w:webHidden/>
                  </w:rPr>
                  <w:fldChar w:fldCharType="separate"/>
                </w:r>
                <w:r>
                  <w:rPr>
                    <w:noProof/>
                    <w:webHidden/>
                  </w:rPr>
                  <w:t>5</w:t>
                </w:r>
                <w:r>
                  <w:rPr>
                    <w:noProof/>
                    <w:webHidden/>
                  </w:rPr>
                  <w:fldChar w:fldCharType="end"/>
                </w:r>
              </w:hyperlink>
            </w:p>
            <w:p w14:paraId="57FC0CDB" w14:textId="6D3FA712" w:rsidR="00C940A3" w:rsidRDefault="00C940A3">
              <w:pPr>
                <w:pStyle w:val="TOC1"/>
                <w:tabs>
                  <w:tab w:val="right" w:leader="dot" w:pos="9016"/>
                </w:tabs>
                <w:rPr>
                  <w:rFonts w:asciiTheme="minorHAnsi" w:eastAsiaTheme="minorEastAsia" w:hAnsiTheme="minorHAnsi"/>
                  <w:noProof/>
                  <w:szCs w:val="24"/>
                  <w:lang w:eastAsia="en-GB"/>
                </w:rPr>
              </w:pPr>
              <w:hyperlink w:anchor="_Toc180535707" w:history="1">
                <w:r w:rsidRPr="00FA23F4">
                  <w:rPr>
                    <w:rStyle w:val="Hyperlink"/>
                    <w:noProof/>
                  </w:rPr>
                  <w:t>6. Recommendations</w:t>
                </w:r>
                <w:r>
                  <w:rPr>
                    <w:noProof/>
                    <w:webHidden/>
                  </w:rPr>
                  <w:tab/>
                </w:r>
                <w:r>
                  <w:rPr>
                    <w:noProof/>
                    <w:webHidden/>
                  </w:rPr>
                  <w:fldChar w:fldCharType="begin"/>
                </w:r>
                <w:r>
                  <w:rPr>
                    <w:noProof/>
                    <w:webHidden/>
                  </w:rPr>
                  <w:instrText xml:space="preserve"> PAGEREF _Toc180535707 \h </w:instrText>
                </w:r>
                <w:r>
                  <w:rPr>
                    <w:noProof/>
                    <w:webHidden/>
                  </w:rPr>
                </w:r>
                <w:r>
                  <w:rPr>
                    <w:noProof/>
                    <w:webHidden/>
                  </w:rPr>
                  <w:fldChar w:fldCharType="separate"/>
                </w:r>
                <w:r>
                  <w:rPr>
                    <w:noProof/>
                    <w:webHidden/>
                  </w:rPr>
                  <w:t>7</w:t>
                </w:r>
                <w:r>
                  <w:rPr>
                    <w:noProof/>
                    <w:webHidden/>
                  </w:rPr>
                  <w:fldChar w:fldCharType="end"/>
                </w:r>
              </w:hyperlink>
            </w:p>
            <w:p w14:paraId="7B861C7C" w14:textId="030C54B0" w:rsidR="00C940A3" w:rsidRDefault="00C940A3">
              <w:pPr>
                <w:pStyle w:val="TOC2"/>
                <w:tabs>
                  <w:tab w:val="right" w:leader="dot" w:pos="9016"/>
                </w:tabs>
                <w:rPr>
                  <w:rFonts w:asciiTheme="minorHAnsi" w:eastAsiaTheme="minorEastAsia" w:hAnsiTheme="minorHAnsi"/>
                  <w:noProof/>
                  <w:szCs w:val="24"/>
                  <w:lang w:eastAsia="en-GB"/>
                </w:rPr>
              </w:pPr>
              <w:hyperlink w:anchor="_Toc180535708" w:history="1">
                <w:r w:rsidRPr="00FA23F4">
                  <w:rPr>
                    <w:rStyle w:val="Hyperlink"/>
                    <w:noProof/>
                  </w:rPr>
                  <w:t>6.1 For Shangri-La:</w:t>
                </w:r>
                <w:r>
                  <w:rPr>
                    <w:noProof/>
                    <w:webHidden/>
                  </w:rPr>
                  <w:tab/>
                </w:r>
                <w:r>
                  <w:rPr>
                    <w:noProof/>
                    <w:webHidden/>
                  </w:rPr>
                  <w:fldChar w:fldCharType="begin"/>
                </w:r>
                <w:r>
                  <w:rPr>
                    <w:noProof/>
                    <w:webHidden/>
                  </w:rPr>
                  <w:instrText xml:space="preserve"> PAGEREF _Toc180535708 \h </w:instrText>
                </w:r>
                <w:r>
                  <w:rPr>
                    <w:noProof/>
                    <w:webHidden/>
                  </w:rPr>
                </w:r>
                <w:r>
                  <w:rPr>
                    <w:noProof/>
                    <w:webHidden/>
                  </w:rPr>
                  <w:fldChar w:fldCharType="separate"/>
                </w:r>
                <w:r>
                  <w:rPr>
                    <w:noProof/>
                    <w:webHidden/>
                  </w:rPr>
                  <w:t>7</w:t>
                </w:r>
                <w:r>
                  <w:rPr>
                    <w:noProof/>
                    <w:webHidden/>
                  </w:rPr>
                  <w:fldChar w:fldCharType="end"/>
                </w:r>
              </w:hyperlink>
            </w:p>
            <w:p w14:paraId="62FFBD34" w14:textId="2EF28941" w:rsidR="00C940A3" w:rsidRDefault="00C940A3">
              <w:pPr>
                <w:pStyle w:val="TOC2"/>
                <w:tabs>
                  <w:tab w:val="right" w:leader="dot" w:pos="9016"/>
                </w:tabs>
                <w:rPr>
                  <w:rFonts w:asciiTheme="minorHAnsi" w:eastAsiaTheme="minorEastAsia" w:hAnsiTheme="minorHAnsi"/>
                  <w:noProof/>
                  <w:szCs w:val="24"/>
                  <w:lang w:eastAsia="en-GB"/>
                </w:rPr>
              </w:pPr>
              <w:hyperlink w:anchor="_Toc180535709" w:history="1">
                <w:r w:rsidRPr="00FA23F4">
                  <w:rPr>
                    <w:rStyle w:val="Hyperlink"/>
                    <w:noProof/>
                  </w:rPr>
                  <w:t>6.2 For Travelodge</w:t>
                </w:r>
                <w:r>
                  <w:rPr>
                    <w:noProof/>
                    <w:webHidden/>
                  </w:rPr>
                  <w:tab/>
                </w:r>
                <w:r>
                  <w:rPr>
                    <w:noProof/>
                    <w:webHidden/>
                  </w:rPr>
                  <w:fldChar w:fldCharType="begin"/>
                </w:r>
                <w:r>
                  <w:rPr>
                    <w:noProof/>
                    <w:webHidden/>
                  </w:rPr>
                  <w:instrText xml:space="preserve"> PAGEREF _Toc180535709 \h </w:instrText>
                </w:r>
                <w:r>
                  <w:rPr>
                    <w:noProof/>
                    <w:webHidden/>
                  </w:rPr>
                </w:r>
                <w:r>
                  <w:rPr>
                    <w:noProof/>
                    <w:webHidden/>
                  </w:rPr>
                  <w:fldChar w:fldCharType="separate"/>
                </w:r>
                <w:r>
                  <w:rPr>
                    <w:noProof/>
                    <w:webHidden/>
                  </w:rPr>
                  <w:t>7</w:t>
                </w:r>
                <w:r>
                  <w:rPr>
                    <w:noProof/>
                    <w:webHidden/>
                  </w:rPr>
                  <w:fldChar w:fldCharType="end"/>
                </w:r>
              </w:hyperlink>
            </w:p>
            <w:p w14:paraId="080A4CFC" w14:textId="74FAD600" w:rsidR="00C940A3" w:rsidRDefault="00C940A3">
              <w:pPr>
                <w:pStyle w:val="TOC1"/>
                <w:tabs>
                  <w:tab w:val="right" w:leader="dot" w:pos="9016"/>
                </w:tabs>
                <w:rPr>
                  <w:rFonts w:asciiTheme="minorHAnsi" w:eastAsiaTheme="minorEastAsia" w:hAnsiTheme="minorHAnsi"/>
                  <w:noProof/>
                  <w:szCs w:val="24"/>
                  <w:lang w:eastAsia="en-GB"/>
                </w:rPr>
              </w:pPr>
              <w:hyperlink w:anchor="_Toc180535710" w:history="1">
                <w:r w:rsidRPr="00FA23F4">
                  <w:rPr>
                    <w:rStyle w:val="Hyperlink"/>
                    <w:noProof/>
                  </w:rPr>
                  <w:t>7. Conclusion</w:t>
                </w:r>
                <w:r>
                  <w:rPr>
                    <w:noProof/>
                    <w:webHidden/>
                  </w:rPr>
                  <w:tab/>
                </w:r>
                <w:r>
                  <w:rPr>
                    <w:noProof/>
                    <w:webHidden/>
                  </w:rPr>
                  <w:fldChar w:fldCharType="begin"/>
                </w:r>
                <w:r>
                  <w:rPr>
                    <w:noProof/>
                    <w:webHidden/>
                  </w:rPr>
                  <w:instrText xml:space="preserve"> PAGEREF _Toc180535710 \h </w:instrText>
                </w:r>
                <w:r>
                  <w:rPr>
                    <w:noProof/>
                    <w:webHidden/>
                  </w:rPr>
                </w:r>
                <w:r>
                  <w:rPr>
                    <w:noProof/>
                    <w:webHidden/>
                  </w:rPr>
                  <w:fldChar w:fldCharType="separate"/>
                </w:r>
                <w:r>
                  <w:rPr>
                    <w:noProof/>
                    <w:webHidden/>
                  </w:rPr>
                  <w:t>9</w:t>
                </w:r>
                <w:r>
                  <w:rPr>
                    <w:noProof/>
                    <w:webHidden/>
                  </w:rPr>
                  <w:fldChar w:fldCharType="end"/>
                </w:r>
              </w:hyperlink>
            </w:p>
            <w:p w14:paraId="0E3811E7" w14:textId="429D12B7" w:rsidR="00C940A3" w:rsidRDefault="00C940A3">
              <w:pPr>
                <w:pStyle w:val="TOC1"/>
                <w:tabs>
                  <w:tab w:val="right" w:leader="dot" w:pos="9016"/>
                </w:tabs>
                <w:rPr>
                  <w:rFonts w:asciiTheme="minorHAnsi" w:eastAsiaTheme="minorEastAsia" w:hAnsiTheme="minorHAnsi"/>
                  <w:noProof/>
                  <w:szCs w:val="24"/>
                  <w:lang w:eastAsia="en-GB"/>
                </w:rPr>
              </w:pPr>
              <w:hyperlink w:anchor="_Toc180535711" w:history="1">
                <w:r w:rsidRPr="00FA23F4">
                  <w:rPr>
                    <w:rStyle w:val="Hyperlink"/>
                    <w:noProof/>
                  </w:rPr>
                  <w:t>Reference List</w:t>
                </w:r>
                <w:r>
                  <w:rPr>
                    <w:noProof/>
                    <w:webHidden/>
                  </w:rPr>
                  <w:tab/>
                </w:r>
                <w:r>
                  <w:rPr>
                    <w:noProof/>
                    <w:webHidden/>
                  </w:rPr>
                  <w:fldChar w:fldCharType="begin"/>
                </w:r>
                <w:r>
                  <w:rPr>
                    <w:noProof/>
                    <w:webHidden/>
                  </w:rPr>
                  <w:instrText xml:space="preserve"> PAGEREF _Toc180535711 \h </w:instrText>
                </w:r>
                <w:r>
                  <w:rPr>
                    <w:noProof/>
                    <w:webHidden/>
                  </w:rPr>
                </w:r>
                <w:r>
                  <w:rPr>
                    <w:noProof/>
                    <w:webHidden/>
                  </w:rPr>
                  <w:fldChar w:fldCharType="separate"/>
                </w:r>
                <w:r>
                  <w:rPr>
                    <w:noProof/>
                    <w:webHidden/>
                  </w:rPr>
                  <w:t>10</w:t>
                </w:r>
                <w:r>
                  <w:rPr>
                    <w:noProof/>
                    <w:webHidden/>
                  </w:rPr>
                  <w:fldChar w:fldCharType="end"/>
                </w:r>
              </w:hyperlink>
            </w:p>
            <w:p w14:paraId="4B877E08" w14:textId="181380CB" w:rsidR="00521310" w:rsidRDefault="00521310">
              <w:r>
                <w:rPr>
                  <w:b/>
                  <w:bCs/>
                  <w:noProof/>
                </w:rPr>
                <w:fldChar w:fldCharType="end"/>
              </w:r>
            </w:p>
          </w:sdtContent>
        </w:sdt>
        <w:p w14:paraId="3D7ABDCA" w14:textId="77D6209E" w:rsidR="009C1008" w:rsidRPr="00055519" w:rsidRDefault="009C1008" w:rsidP="00055519">
          <w:pPr>
            <w:rPr>
              <w:rFonts w:ascii="Arial" w:eastAsia="Arial" w:hAnsi="Arial" w:cs="Arial"/>
              <w:b/>
              <w:kern w:val="0"/>
              <w14:ligatures w14:val="none"/>
            </w:rPr>
          </w:pPr>
        </w:p>
        <w:p w14:paraId="43B481BC" w14:textId="77777777" w:rsidR="009C1008" w:rsidRDefault="009C1008">
          <w:pPr>
            <w:rPr>
              <w:rFonts w:ascii="Arial" w:eastAsia="Arial" w:hAnsi="Arial" w:cs="Arial"/>
              <w:b/>
              <w:kern w:val="0"/>
              <w14:ligatures w14:val="none"/>
            </w:rPr>
          </w:pPr>
        </w:p>
        <w:p w14:paraId="3A9BF4F4" w14:textId="77777777" w:rsidR="00055519" w:rsidRDefault="00055519"/>
        <w:p w14:paraId="11001DE9" w14:textId="379718B7" w:rsidR="009151A6" w:rsidRDefault="00C940A3"/>
      </w:sdtContent>
    </w:sdt>
    <w:p w14:paraId="2925F1D7" w14:textId="77777777" w:rsidR="00B813F6" w:rsidRDefault="00B813F6" w:rsidP="00B813F6"/>
    <w:p w14:paraId="75981EEF" w14:textId="77777777" w:rsidR="00C940A3" w:rsidRDefault="00C940A3" w:rsidP="00C940A3"/>
    <w:p w14:paraId="5C7A545B" w14:textId="77777777" w:rsidR="00C940A3" w:rsidRDefault="00C940A3" w:rsidP="00C940A3"/>
    <w:p w14:paraId="3C4BFCFC" w14:textId="292D2328" w:rsidR="00C940A3" w:rsidRDefault="00C940A3" w:rsidP="00C940A3">
      <w:pPr>
        <w:pStyle w:val="Heading1"/>
      </w:pPr>
      <w:r>
        <w:lastRenderedPageBreak/>
        <w:t xml:space="preserve">   </w:t>
      </w:r>
      <w:bookmarkStart w:id="0" w:name="_Toc180535702"/>
      <w:r>
        <w:t>1. Introduction</w:t>
      </w:r>
      <w:bookmarkEnd w:id="0"/>
    </w:p>
    <w:p w14:paraId="737638A9" w14:textId="2479697F" w:rsidR="00C940A3" w:rsidRDefault="00C940A3" w:rsidP="00C940A3">
      <w:r>
        <w:t>This report provides a comparative analysis of the financial management strategies of two prominent players in the hospitality industry: Shangri-La Hotels and Travelodge Hotels. Shangri-La is a luxury hotel brand renowned for providing high-end services to an affluent clientele, operating globally, with significant presence in Asia and the Middle East (</w:t>
      </w:r>
      <w:r w:rsidRPr="00C940A3">
        <w:t>Shangri-La Hotels, 2024</w:t>
      </w:r>
      <w:r>
        <w:t>). Travelodge, by contrast, operates in the budget accommodation sector, catering primarily to cost-conscious travellers in the UK and Europe, including families and business travellers (</w:t>
      </w:r>
      <w:r w:rsidRPr="00C940A3">
        <w:t>Travelodge, 2024)</w:t>
      </w:r>
      <w:r>
        <w:t>.</w:t>
      </w:r>
    </w:p>
    <w:p w14:paraId="1968AAC6" w14:textId="42B03747" w:rsidR="00C940A3" w:rsidRDefault="00C940A3" w:rsidP="00C940A3">
      <w:r>
        <w:t>The purpose of this report is to critically evaluate their approaches to financial management, focusing on total revenue, market positioning, growth potential, and Corporate Social Responsibility (CSR). The report will use recent financial data, industry reports, and academic studies to assess how both companies manage their finances, ensuring long-term sustainability and competitiveness in the highly volatile hospitality industry. This comparison will not only illustrate their differences but also highlight opportunities for improvement in their financial strategies, based on the economic environment and evolving consumer preferences.</w:t>
      </w:r>
    </w:p>
    <w:p w14:paraId="5F6C3FAD" w14:textId="77777777" w:rsidR="00C940A3" w:rsidRDefault="00C940A3" w:rsidP="00C940A3"/>
    <w:p w14:paraId="121BAB5C" w14:textId="77777777" w:rsidR="00C940A3" w:rsidRDefault="00C940A3" w:rsidP="00C940A3"/>
    <w:p w14:paraId="6CC1334A" w14:textId="77777777" w:rsidR="00C940A3" w:rsidRDefault="00C940A3" w:rsidP="00C940A3"/>
    <w:p w14:paraId="19DD4061" w14:textId="77777777" w:rsidR="00C940A3" w:rsidRDefault="00C940A3" w:rsidP="00C940A3"/>
    <w:p w14:paraId="68171131" w14:textId="77777777" w:rsidR="00C940A3" w:rsidRDefault="00C940A3" w:rsidP="00C940A3"/>
    <w:p w14:paraId="62E31A4E" w14:textId="77777777" w:rsidR="00C940A3" w:rsidRDefault="00C940A3" w:rsidP="00C940A3"/>
    <w:p w14:paraId="513F3F5D" w14:textId="77777777" w:rsidR="00C940A3" w:rsidRDefault="00C940A3" w:rsidP="00C940A3"/>
    <w:p w14:paraId="6E5F3F93" w14:textId="77777777" w:rsidR="00C940A3" w:rsidRDefault="00C940A3" w:rsidP="00C940A3"/>
    <w:p w14:paraId="22C920DE" w14:textId="77777777" w:rsidR="00C940A3" w:rsidRDefault="00C940A3" w:rsidP="00C940A3"/>
    <w:p w14:paraId="7A49F35B" w14:textId="77777777" w:rsidR="00C940A3" w:rsidRDefault="00C940A3" w:rsidP="00C940A3"/>
    <w:p w14:paraId="1FE04DAE" w14:textId="23459B3F" w:rsidR="00C940A3" w:rsidRDefault="00C940A3" w:rsidP="00C940A3">
      <w:pPr>
        <w:pStyle w:val="Heading1"/>
      </w:pPr>
      <w:r>
        <w:lastRenderedPageBreak/>
        <w:t xml:space="preserve">   </w:t>
      </w:r>
      <w:bookmarkStart w:id="1" w:name="_Toc180535703"/>
      <w:r>
        <w:t>2. Total Revenue Comparison</w:t>
      </w:r>
      <w:bookmarkEnd w:id="1"/>
    </w:p>
    <w:p w14:paraId="504E09CD" w14:textId="0AB78F88" w:rsidR="00C940A3" w:rsidRDefault="00C940A3" w:rsidP="00C940A3">
      <w:r>
        <w:t xml:space="preserve">Revenue generation in the hospitality industry is heavily influenced by the brand's target market, pricing strategy, and operational efficiency. Shangri-La, as a luxury hotel brand, typically enjoys higher revenue per available room (RevPAR) than budget brands due to its premium pricing and extensive service offerings. According to industry reports, Shangri-La recorded an average RevPAR of </w:t>
      </w:r>
      <w:r>
        <w:t>£</w:t>
      </w:r>
      <w:r>
        <w:t>250 in 2023, even during a period of global economic slowdown, indicating resilience in premium markets (</w:t>
      </w:r>
      <w:r w:rsidRPr="00C940A3">
        <w:t>Ni, 2024</w:t>
      </w:r>
      <w:r>
        <w:t>). However, this premium positioning also exposes the company to greater revenue volatility, as luxury spending is often the first to be reduced during periods of economic uncertainty (</w:t>
      </w:r>
      <w:r w:rsidRPr="00C940A3">
        <w:t>Barda, 2022</w:t>
      </w:r>
      <w:r>
        <w:t>).</w:t>
      </w:r>
    </w:p>
    <w:p w14:paraId="55010D06" w14:textId="07A2CD41" w:rsidR="00C940A3" w:rsidRDefault="00C940A3" w:rsidP="00C940A3">
      <w:r>
        <w:t>In contrast, Travelodge operates with a leaner cost structure, which allows it to maintain high occupancy rates and generate steady revenue, even during downturns. In 2023, Travelodge maintained an occupancy rate of 75-80%, outperforming the budget hotel industry’s average of 68% (</w:t>
      </w:r>
      <w:r w:rsidRPr="00C940A3">
        <w:t>Deloitte, 2023</w:t>
      </w:r>
      <w:r>
        <w:t>). Travelodge’s focus on affordable accommodations attracts cost-conscious travellers, enabling it to generate consistent revenue despite lower pricing compared to luxury brands. Its RevPAR remains lower than Shangri-La’s, averaging around £40-£50 per room (</w:t>
      </w:r>
      <w:r w:rsidRPr="00C940A3">
        <w:t>Deraman et al., 2021</w:t>
      </w:r>
      <w:r>
        <w:t>), but the volume of bookings compensates for the lower price point.</w:t>
      </w:r>
    </w:p>
    <w:p w14:paraId="7B220F4B" w14:textId="68143912" w:rsidR="00C940A3" w:rsidRDefault="00C940A3" w:rsidP="00C940A3">
      <w:r>
        <w:t>Despite its higher RevPAR, Shangri-La’s total revenue decreased by 15% in 2023, primarily due to reduced international travel and the decline in luxury travel demand (</w:t>
      </w:r>
      <w:r w:rsidRPr="00C940A3">
        <w:t>Alotaibi, 2020</w:t>
      </w:r>
      <w:r>
        <w:t>). Conversely, Travelodge only experienced a 5% decline in revenue during the same period, reflecting the more stable demand for budget accommodations during economic downturns (</w:t>
      </w:r>
      <w:r w:rsidRPr="00C940A3">
        <w:t>Spence, 2022</w:t>
      </w:r>
      <w:r>
        <w:t>). This divergence highlights the differing risk profiles of these two revenue models—while Shangri-La may enjoy larger margins in boom periods, Travelodge’s model proves more resilient during economic contractions.</w:t>
      </w:r>
    </w:p>
    <w:p w14:paraId="24CF491F" w14:textId="77777777" w:rsidR="00C940A3" w:rsidRDefault="00C940A3" w:rsidP="00C940A3"/>
    <w:p w14:paraId="0FED7BFA" w14:textId="21C014B0" w:rsidR="00C940A3" w:rsidRDefault="00C940A3" w:rsidP="00C940A3">
      <w:pPr>
        <w:pStyle w:val="Heading1"/>
      </w:pPr>
      <w:r>
        <w:t xml:space="preserve">   </w:t>
      </w:r>
      <w:bookmarkStart w:id="2" w:name="_Toc180535704"/>
      <w:r>
        <w:t>3. Market Position Comparison</w:t>
      </w:r>
      <w:bookmarkEnd w:id="2"/>
    </w:p>
    <w:p w14:paraId="0822B22C" w14:textId="36B503F4" w:rsidR="00C940A3" w:rsidRDefault="00C940A3" w:rsidP="00C940A3">
      <w:r>
        <w:t xml:space="preserve">Market positioning is a critical factor that influences how a company structures its pricing, service offerings, and long-term financial strategy. Shangri-La holds a dominant position in the global luxury hotel segment, targeting high-net-worth individuals, business executives, and affluent leisure travellers. The brand is especially well-established in Asia, where the luxury </w:t>
      </w:r>
      <w:r>
        <w:lastRenderedPageBreak/>
        <w:t>travel market has been growing rapidly due to increasing wealth in countries like China and India (</w:t>
      </w:r>
      <w:r w:rsidRPr="00C940A3">
        <w:t>Naidu, Singh and Narayan, 2022</w:t>
      </w:r>
      <w:r>
        <w:t>). However, Shangri-La’s dependence on this affluent market segment makes it vulnerable to fluctuations in global wealth distribution, currency exchange rates, and geopolitical instability, which can all have significant impacts on luxury spending (</w:t>
      </w:r>
      <w:r w:rsidRPr="00C940A3">
        <w:t>Mishra and Kukreti, 2022</w:t>
      </w:r>
      <w:r>
        <w:t>).</w:t>
      </w:r>
    </w:p>
    <w:p w14:paraId="2006BDB8" w14:textId="06A05499" w:rsidR="00C940A3" w:rsidRDefault="00C940A3" w:rsidP="00C940A3">
      <w:r>
        <w:t xml:space="preserve">Shangri-La's positioning is supported by a global presence, but its revenue heavily depends on affluent international travellers, making it susceptible to travel restrictions, political instability, and changes in tourism demand. During the 2020 pandemic, the company faced severe occupancy drops and had to offer heavy discounts to sustain operations </w:t>
      </w:r>
      <w:r w:rsidRPr="00C940A3">
        <w:t>(Nguyen, 2023</w:t>
      </w:r>
      <w:r>
        <w:t xml:space="preserve">). </w:t>
      </w:r>
    </w:p>
    <w:p w14:paraId="1647FF13" w14:textId="7818E169" w:rsidR="00C940A3" w:rsidRPr="00C940A3" w:rsidRDefault="00C940A3" w:rsidP="00C940A3">
      <w:r>
        <w:t>In contrast, Travelodge competes in the budget accommodation sector, where demand is less elastic and more predictable. Travelodge’s market share in the UK budget hotel sector stood at 10% in 2023, thanks to its network of affordable hotels located near key urban centres, transport hubs, and tourist attractions (</w:t>
      </w:r>
      <w:r w:rsidRPr="00C940A3">
        <w:t>Rahim et al., 2024</w:t>
      </w:r>
      <w:r>
        <w:t xml:space="preserve">). The company’s business model is built around high occupancy rates and operational efficiency, which allow it to remain competitive even </w:t>
      </w:r>
      <w:r w:rsidRPr="00C940A3">
        <w:t>when average room prices are low.</w:t>
      </w:r>
    </w:p>
    <w:p w14:paraId="26814055" w14:textId="33554CAA" w:rsidR="00C940A3" w:rsidRDefault="00C940A3" w:rsidP="00C940A3">
      <w:r w:rsidRPr="00C940A3">
        <w:t xml:space="preserve">Travelodge's consistent demand from business travellers, families, and tourists, especially during economic downturns, demonstrates its robust market positioning in the budget sector (Górska-Warsewicz and Kulykovets, 2020). </w:t>
      </w:r>
      <w:r>
        <w:t>O</w:t>
      </w:r>
      <w:r w:rsidRPr="00C940A3">
        <w:t xml:space="preserve">ffering a no-frills experience, Travelodge has been able to maintain a loyal customer base, which values price and convenience over luxury. This has insulated the company from the severe impacts of </w:t>
      </w:r>
      <w:r>
        <w:t>the economic challenges that have affected luxury brands like Shangri-La.</w:t>
      </w:r>
    </w:p>
    <w:p w14:paraId="478DCB8E" w14:textId="18804A6E" w:rsidR="00C940A3" w:rsidRDefault="00C940A3" w:rsidP="00C940A3">
      <w:r>
        <w:t>Despite its more modest market share compared to Shangri-La in the luxury sector, Travelodge's value-oriented business model</w:t>
      </w:r>
      <w:r>
        <w:t xml:space="preserve"> </w:t>
      </w:r>
      <w:r>
        <w:t>ensures a stable and predictable revenue stream, positioning it as a strong competitor within the budget segment, particularly during periods of economic uncertainty (</w:t>
      </w:r>
      <w:r w:rsidRPr="00C940A3">
        <w:t>Zanesco, 2016</w:t>
      </w:r>
      <w:r>
        <w:t>).</w:t>
      </w:r>
    </w:p>
    <w:p w14:paraId="39EF7EFB" w14:textId="77777777" w:rsidR="00C940A3" w:rsidRDefault="00C940A3" w:rsidP="00C940A3"/>
    <w:p w14:paraId="4AE5EC4A" w14:textId="7EC0374C" w:rsidR="00C940A3" w:rsidRDefault="00C940A3" w:rsidP="00C940A3">
      <w:pPr>
        <w:pStyle w:val="Heading1"/>
      </w:pPr>
      <w:r>
        <w:t xml:space="preserve">   </w:t>
      </w:r>
      <w:bookmarkStart w:id="3" w:name="_Toc180535705"/>
      <w:r>
        <w:t>4. Growth Potential Analysis</w:t>
      </w:r>
      <w:bookmarkEnd w:id="3"/>
    </w:p>
    <w:p w14:paraId="21B5ECF6" w14:textId="43814670" w:rsidR="00C940A3" w:rsidRDefault="00C940A3" w:rsidP="00C940A3">
      <w:r>
        <w:t xml:space="preserve">Shangri-La’s growth potential is tied to the expansion of the global luxury market, particularly in emerging economies such as China and India. As the middle class in these countries grows, </w:t>
      </w:r>
      <w:r>
        <w:lastRenderedPageBreak/>
        <w:t>so too does the demand for high-end travel experiences (</w:t>
      </w:r>
      <w:r w:rsidRPr="00C940A3">
        <w:t>He, 2022</w:t>
      </w:r>
      <w:r>
        <w:t xml:space="preserve">). However, this growth is not without risk. Shangri-La’s focus on luxury makes it vulnerable to economic downturns, geopolitical instability, and the rising demand for sustainable tourism. To sustain its growth, Shangri-La must continue to innovate by offering more personalised luxury experiences and expanding its presence in underserved premium markets </w:t>
      </w:r>
      <w:r w:rsidRPr="00C940A3">
        <w:t>(Hassanien and Dale, 2019</w:t>
      </w:r>
      <w:r>
        <w:t>).</w:t>
      </w:r>
    </w:p>
    <w:p w14:paraId="32DA498E" w14:textId="39F3489D" w:rsidR="00C940A3" w:rsidRDefault="00C940A3" w:rsidP="00C940A3">
      <w:r>
        <w:t>Despite the growing demand for luxury travel, Shangri-La’s ability to expand is limited by the high operational costs associated with maintaining luxury standards. The company’s heavy reliance on capital-intensive properties and top-tier amenities means that any dip in demand can lead to significant losses. The brand’s expansion into new regions, particularly in Africa and South America, has also been slower due to these high costs and regulatory challenges (</w:t>
      </w:r>
      <w:r w:rsidRPr="00C940A3">
        <w:t>Morrison, 2022</w:t>
      </w:r>
      <w:r>
        <w:t>).</w:t>
      </w:r>
    </w:p>
    <w:p w14:paraId="12C5BFE1" w14:textId="7E89EE59" w:rsidR="00C940A3" w:rsidRDefault="00C940A3" w:rsidP="00C940A3">
      <w:r>
        <w:t xml:space="preserve">In contrast, Travelodge’s growth strategy is built around scaling its low-cost model by expanding into urban centres, airports, and other high-traffic locations. </w:t>
      </w:r>
      <w:r>
        <w:t>F</w:t>
      </w:r>
      <w:r>
        <w:t xml:space="preserve">ocusing on volume over price, Travelodge can open new locations quickly and at a lower cost, allowing it to compete with both traditional budget hotels and newer entrants like Airbnb </w:t>
      </w:r>
      <w:r w:rsidRPr="00C940A3">
        <w:t>(Doggrell, 2020</w:t>
      </w:r>
      <w:r>
        <w:t>). In 2023, Travelodge opened 15 new hotels in the UK, highlighting its ability to grow despite the economic challenges (</w:t>
      </w:r>
      <w:r w:rsidRPr="00C940A3">
        <w:t>Giousmpasoglou and Hua, 2020</w:t>
      </w:r>
      <w:r>
        <w:t>). The company’s efficient operations and reliance on digital tools for booking and customer servic allow it to keep costs low while expanding its market reach.</w:t>
      </w:r>
    </w:p>
    <w:p w14:paraId="475EC66C" w14:textId="6D769FED" w:rsidR="00C940A3" w:rsidRDefault="00C940A3" w:rsidP="00C940A3">
      <w:r>
        <w:t>Both brands face significant technological challenges in the years ahead, particularly in terms of digital transformation. Shangri-La has already invested in technologies that enhance the guest experience, such as mobile check-ins and AI-driven customer service, but it lags behind in the use of data analytics for personalised marketing (</w:t>
      </w:r>
      <w:r w:rsidRPr="00C940A3">
        <w:t>Ternes, 2020</w:t>
      </w:r>
      <w:r>
        <w:t>). Travelodge, on the other hand, has embraced automation and AI to streamline its operations and improve customer satisfaction at a lower cost, positioning it well for future growth (</w:t>
      </w:r>
      <w:r w:rsidRPr="00C940A3">
        <w:t>Wu, 2021</w:t>
      </w:r>
      <w:r>
        <w:t>).</w:t>
      </w:r>
    </w:p>
    <w:p w14:paraId="0076A597" w14:textId="77777777" w:rsidR="00C940A3" w:rsidRDefault="00C940A3" w:rsidP="00C940A3"/>
    <w:p w14:paraId="466813A7" w14:textId="434ADDB8" w:rsidR="00C940A3" w:rsidRDefault="00C940A3" w:rsidP="00C940A3">
      <w:pPr>
        <w:pStyle w:val="Heading1"/>
      </w:pPr>
      <w:r>
        <w:t xml:space="preserve">   </w:t>
      </w:r>
      <w:bookmarkStart w:id="4" w:name="_Toc180535706"/>
      <w:r>
        <w:t>5. Financial Commitment to CSR</w:t>
      </w:r>
      <w:bookmarkEnd w:id="4"/>
    </w:p>
    <w:p w14:paraId="64339D20" w14:textId="72F88156" w:rsidR="00C940A3" w:rsidRDefault="00C940A3" w:rsidP="00C940A3">
      <w:r>
        <w:t xml:space="preserve">Corporate Social Responsibility (CSR) is increasingly becoming a differentiator in the hospitality industry, especially as consumer awareness of environmental and social issues </w:t>
      </w:r>
      <w:r>
        <w:lastRenderedPageBreak/>
        <w:t>continues to rise. Shangri-La is a leader in CSR among luxury hotel brands, with significant investments in sustainability, community engagement, and cultural conservation. The company’s "Sanctuary, Shangri-La’s Care for Nature Project" is one of its flagship CSR initiatives, focused on biodiversity conservation and wildlife protection (</w:t>
      </w:r>
      <w:r w:rsidRPr="00C940A3">
        <w:t>Glicksman et al., 2023</w:t>
      </w:r>
      <w:r>
        <w:t>). These efforts not only bolster Shangri-La’s reputation but also attract eco-conscious travellers willing to pay a premium for socially responsible tourism (</w:t>
      </w:r>
      <w:r w:rsidRPr="00C940A3">
        <w:t>Parsa and Narapareddy, 2015</w:t>
      </w:r>
      <w:r>
        <w:t>).</w:t>
      </w:r>
    </w:p>
    <w:p w14:paraId="43F23A24" w14:textId="072F3CFE" w:rsidR="00C940A3" w:rsidRDefault="00C940A3" w:rsidP="00C940A3">
      <w:r>
        <w:t>Shangri-La’s approach to CSR is deeply integrated into its brand identity, with environmental sustainability forming a key part of its long-term strategy. The company invests heavily in energy-efficient technologies, sustainable building practices, and community development programs, which have helped to differentiate it from other luxury brands (</w:t>
      </w:r>
      <w:r w:rsidRPr="00C940A3">
        <w:t>Hordeski, 2020</w:t>
      </w:r>
      <w:r>
        <w:t xml:space="preserve">). However, these initiatives are expensive and can add significant costs to operations, which may impact profitability during periods of lower demand </w:t>
      </w:r>
      <w:r w:rsidRPr="00C940A3">
        <w:t>(Krarti, 2018</w:t>
      </w:r>
      <w:r>
        <w:t>).</w:t>
      </w:r>
    </w:p>
    <w:p w14:paraId="180C2FCF" w14:textId="2377128E" w:rsidR="00C940A3" w:rsidRDefault="00C940A3" w:rsidP="00C940A3">
      <w:r>
        <w:t>Travelodge, on the other hand, takes a more cost-efficient approach to CSR. The company’s primary focus is on energy efficiency, waste reduction, and operational sustainability, which aligns with its low-cost business model. Travelodge has implemented several energy-saving measures, including the use of LED lighting and water-saving technologies, which help to reduce operational costs while also contributing to environmental sustainability (</w:t>
      </w:r>
      <w:r w:rsidRPr="00C940A3">
        <w:t>Patrick et al., 2020</w:t>
      </w:r>
      <w:r>
        <w:t>). While these efforts are less comprehensive than Shangri-La’s, they are well-suited to the budget segment and resonate with cost-conscious consumers who value both affordability and sustainability.</w:t>
      </w:r>
    </w:p>
    <w:p w14:paraId="2692C7A1" w14:textId="6DE59D31" w:rsidR="00C940A3" w:rsidRDefault="00C940A3" w:rsidP="00C940A3">
      <w:r>
        <w:t>Despite its smaller investment in CSR compared to Shangri-La, Travelodge’s focus on operational efficiency has allowed it to achieve substantial cost savings, which have been reinvested into the business (</w:t>
      </w:r>
      <w:r w:rsidRPr="00C940A3">
        <w:t>Barnes, 2018</w:t>
      </w:r>
      <w:r>
        <w:t>). However, the company could enhance its CSR impact by expanding its initiatives beyond cost-saving measures to include more community engagement and sustainable tourism practices, which would align with growing consumer demand for responsible travel options (</w:t>
      </w:r>
      <w:r w:rsidRPr="00C940A3">
        <w:t>Edgell Sr, 2019</w:t>
      </w:r>
      <w:r>
        <w:t>).</w:t>
      </w:r>
    </w:p>
    <w:p w14:paraId="7230E7CC" w14:textId="77777777" w:rsidR="00C940A3" w:rsidRDefault="00C940A3" w:rsidP="00C940A3"/>
    <w:p w14:paraId="77D97337" w14:textId="1030A795" w:rsidR="00C940A3" w:rsidRDefault="00C940A3" w:rsidP="00C940A3">
      <w:pPr>
        <w:pStyle w:val="Heading1"/>
      </w:pPr>
      <w:r>
        <w:lastRenderedPageBreak/>
        <w:t xml:space="preserve">   </w:t>
      </w:r>
      <w:bookmarkStart w:id="5" w:name="_Toc180535707"/>
      <w:r>
        <w:t>6. Recommendations</w:t>
      </w:r>
      <w:bookmarkEnd w:id="5"/>
    </w:p>
    <w:p w14:paraId="6C25F3CC" w14:textId="75373C37" w:rsidR="00C940A3" w:rsidRDefault="00C940A3" w:rsidP="00C940A3">
      <w:pPr>
        <w:pStyle w:val="Heading2"/>
      </w:pPr>
      <w:bookmarkStart w:id="6" w:name="_Toc180535708"/>
      <w:r>
        <w:t xml:space="preserve">6.1 </w:t>
      </w:r>
      <w:r>
        <w:t>For Shangri-La:</w:t>
      </w:r>
      <w:bookmarkEnd w:id="6"/>
    </w:p>
    <w:p w14:paraId="0706CBD4" w14:textId="757EC47F" w:rsidR="00C940A3" w:rsidRDefault="00C940A3" w:rsidP="00C940A3">
      <w:r>
        <w:t>1. Diversify Revenue Streams: Shangri-La should expand its offerings to include more mid-tier services, such as upscale but affordable dining and entertainment options, to capture a broader market segment without diluting its luxury brand. This could help stabilise revenue during economic downturns while still maintaining its premium image (</w:t>
      </w:r>
      <w:r w:rsidRPr="00C940A3">
        <w:t>Chishti and Barberis, 2016</w:t>
      </w:r>
      <w:r>
        <w:t>).</w:t>
      </w:r>
    </w:p>
    <w:p w14:paraId="2AC63B17" w14:textId="6A429625" w:rsidR="00C940A3" w:rsidRDefault="00C940A3" w:rsidP="00C940A3">
      <w:r>
        <w:t>2. Leverage Technology for Personalisation: Shangri-La should invest in data analytics to personalise guest experiences. This would cater to the growing demand for customised travel experiences among affluent millennials and Gen Z travellers, who are increasingly looking for unique and tailored luxury services (</w:t>
      </w:r>
      <w:r w:rsidRPr="00C940A3">
        <w:t>Friess, 2016</w:t>
      </w:r>
      <w:r>
        <w:t>).</w:t>
      </w:r>
    </w:p>
    <w:p w14:paraId="4CA3FF8E" w14:textId="4BF44DD2" w:rsidR="00C940A3" w:rsidRDefault="00C940A3" w:rsidP="00C940A3">
      <w:r>
        <w:t>3. Expand Sustainable Luxury: To remain competitive in the luxury market, Shangri-La should continue to focus on sustainability by developing more eco-friendly luxury resorts and green initiatives. This will not only help meet consumer demand but also solidify the brand’s commitment to CSR (</w:t>
      </w:r>
      <w:r w:rsidRPr="00C940A3">
        <w:t>Gardetti and Torres, 2017</w:t>
      </w:r>
      <w:r>
        <w:t>).</w:t>
      </w:r>
    </w:p>
    <w:p w14:paraId="4A8FCACB" w14:textId="37DDEFD5" w:rsidR="00C940A3" w:rsidRDefault="00C940A3" w:rsidP="00C940A3">
      <w:bookmarkStart w:id="7" w:name="_Toc180535709"/>
      <w:r>
        <w:rPr>
          <w:rStyle w:val="Heading2Char"/>
        </w:rPr>
        <w:t xml:space="preserve">6.2 </w:t>
      </w:r>
      <w:r w:rsidRPr="00C940A3">
        <w:rPr>
          <w:rStyle w:val="Heading2Char"/>
        </w:rPr>
        <w:t>For Travelodge</w:t>
      </w:r>
      <w:bookmarkEnd w:id="7"/>
      <w:r>
        <w:t>:</w:t>
      </w:r>
    </w:p>
    <w:p w14:paraId="0963B048" w14:textId="4A0298B5" w:rsidR="00C940A3" w:rsidRDefault="00C940A3" w:rsidP="00C940A3">
      <w:r>
        <w:t>1. Enhance Digital Integration: Travelodge should continue to enhance its digital presence, particularly by adopting artificial intelligence (AI) and automation in customer service to improve efficiency and reduce costs. This would appeal to tech-savvy budget travellers and help the company remain competitive against alternative accommodation options (</w:t>
      </w:r>
      <w:r w:rsidRPr="00C940A3">
        <w:t>Smith, Kahlke and Judd, 2020)</w:t>
      </w:r>
      <w:r>
        <w:t>.</w:t>
      </w:r>
    </w:p>
    <w:p w14:paraId="506E6829" w14:textId="1250D191" w:rsidR="00C940A3" w:rsidRDefault="00C940A3" w:rsidP="00C940A3">
      <w:r>
        <w:t>2. Expand Eco-Friendly Initiatives: Travelodge should further develop its sustainability initiatives by incorporating</w:t>
      </w:r>
      <w:r>
        <w:t xml:space="preserve"> </w:t>
      </w:r>
      <w:r>
        <w:t>eco-friendly practices such as solar power and sustainable building materials. This could increase its appeal to environmentally conscious travellers, a growing segment even within the budget market (</w:t>
      </w:r>
      <w:r w:rsidRPr="00C940A3">
        <w:t>Srivastava, Dharwal and Sharma, 2022</w:t>
      </w:r>
      <w:r>
        <w:t>).</w:t>
      </w:r>
    </w:p>
    <w:p w14:paraId="369EDAF7" w14:textId="57B2192E" w:rsidR="00C940A3" w:rsidRDefault="00C940A3" w:rsidP="00C940A3">
      <w:r>
        <w:t xml:space="preserve">3. Explore International Expansion: Travelodge should consider expanding into international markets with high demand for budget accommodation, such as Eastern Europe or Southeast </w:t>
      </w:r>
      <w:r>
        <w:lastRenderedPageBreak/>
        <w:t>Asia. This would allow the company to leverage its efficient business model in new, high-growth regions (</w:t>
      </w:r>
      <w:r w:rsidRPr="00C940A3">
        <w:t>García-Lillo et al., 2024</w:t>
      </w:r>
      <w:r>
        <w:t>).</w:t>
      </w:r>
    </w:p>
    <w:p w14:paraId="0743090E" w14:textId="77777777" w:rsidR="00C940A3" w:rsidRDefault="00C940A3" w:rsidP="00C940A3"/>
    <w:p w14:paraId="09FA9406" w14:textId="77777777" w:rsidR="00C940A3" w:rsidRDefault="00C940A3" w:rsidP="00C940A3"/>
    <w:p w14:paraId="28DCDBE9" w14:textId="77777777" w:rsidR="00C940A3" w:rsidRDefault="00C940A3" w:rsidP="00C940A3"/>
    <w:p w14:paraId="1A5DD115" w14:textId="77777777" w:rsidR="00C940A3" w:rsidRDefault="00C940A3" w:rsidP="00C940A3"/>
    <w:p w14:paraId="347C97C0" w14:textId="77777777" w:rsidR="00C940A3" w:rsidRDefault="00C940A3" w:rsidP="00C940A3"/>
    <w:p w14:paraId="0146833D" w14:textId="77777777" w:rsidR="00C940A3" w:rsidRDefault="00C940A3" w:rsidP="00C940A3"/>
    <w:p w14:paraId="7B93BA93" w14:textId="77777777" w:rsidR="00C940A3" w:rsidRDefault="00C940A3" w:rsidP="00C940A3"/>
    <w:p w14:paraId="074C3020" w14:textId="77777777" w:rsidR="00C940A3" w:rsidRDefault="00C940A3" w:rsidP="00C940A3"/>
    <w:p w14:paraId="56282BDB" w14:textId="77777777" w:rsidR="00C940A3" w:rsidRDefault="00C940A3" w:rsidP="00C940A3"/>
    <w:p w14:paraId="2383868F" w14:textId="77777777" w:rsidR="00C940A3" w:rsidRDefault="00C940A3" w:rsidP="00C940A3"/>
    <w:p w14:paraId="7E7B902E" w14:textId="77777777" w:rsidR="00C940A3" w:rsidRDefault="00C940A3" w:rsidP="00C940A3"/>
    <w:p w14:paraId="5B56E09E" w14:textId="77777777" w:rsidR="00C940A3" w:rsidRDefault="00C940A3" w:rsidP="00C940A3"/>
    <w:p w14:paraId="61BDD582" w14:textId="77777777" w:rsidR="00C940A3" w:rsidRDefault="00C940A3" w:rsidP="00C940A3"/>
    <w:p w14:paraId="11BC5BB9" w14:textId="77777777" w:rsidR="00C940A3" w:rsidRDefault="00C940A3" w:rsidP="00C940A3"/>
    <w:p w14:paraId="59416222" w14:textId="77777777" w:rsidR="00C940A3" w:rsidRDefault="00C940A3" w:rsidP="00C940A3"/>
    <w:p w14:paraId="155158A8" w14:textId="77777777" w:rsidR="00C940A3" w:rsidRDefault="00C940A3" w:rsidP="00C940A3"/>
    <w:p w14:paraId="09F30529" w14:textId="77777777" w:rsidR="00C940A3" w:rsidRDefault="00C940A3" w:rsidP="00C940A3"/>
    <w:p w14:paraId="33AE65BC" w14:textId="77777777" w:rsidR="00C940A3" w:rsidRDefault="00C940A3" w:rsidP="00C940A3"/>
    <w:p w14:paraId="3E4D578B" w14:textId="77777777" w:rsidR="00C940A3" w:rsidRDefault="00C940A3" w:rsidP="00C940A3"/>
    <w:p w14:paraId="33EE91CB" w14:textId="6650B488" w:rsidR="00C940A3" w:rsidRDefault="00C940A3" w:rsidP="00C940A3">
      <w:pPr>
        <w:pStyle w:val="Heading1"/>
      </w:pPr>
      <w:r>
        <w:lastRenderedPageBreak/>
        <w:t xml:space="preserve">   </w:t>
      </w:r>
      <w:bookmarkStart w:id="8" w:name="_Toc180535710"/>
      <w:r>
        <w:t>7. Conclusion</w:t>
      </w:r>
      <w:bookmarkEnd w:id="8"/>
    </w:p>
    <w:p w14:paraId="78D2E010" w14:textId="412AB773" w:rsidR="00C940A3" w:rsidRDefault="00C940A3" w:rsidP="00C940A3">
      <w:r>
        <w:t>In conclusion, Shangri-La and Travelodge employ vastly different financial management strategies, tailored to their distinct market segments. Shangri-La’s luxury positioning gives it higher revenue potential but also exposes it to greater financial risk during economic downturns. In contrast, Travelodge’s budget model offers more stability and scalability, particularly during recessions, but limits its profit margins. Both companies must continue to adapt to changing consumer preferences, particularly in terms of sustainability and digital integration, to maintain their market positions and ensure long-term financial sustainability.</w:t>
      </w:r>
    </w:p>
    <w:p w14:paraId="4CEABE12" w14:textId="77777777" w:rsidR="00C940A3" w:rsidRDefault="00C940A3" w:rsidP="00C940A3">
      <w:r>
        <w:t>Shangri-La’s commitment to CSR and luxury services gives it a competitive edge in the premium market, but its high operational costs make it vulnerable to economic volatility. Meanwhile, Travelodge’s focus on cost efficiency and operational sustainability allows it to thrive in the budget sector, but it faces increasing competition from alternative accommodations. By adopting the recommended strategies, both companies can strengthen their financial performance and maintain a competitive edge in the evolving hospitality industry.</w:t>
      </w:r>
    </w:p>
    <w:p w14:paraId="648AA6E8" w14:textId="77777777" w:rsidR="00C940A3" w:rsidRDefault="00C940A3" w:rsidP="00C940A3"/>
    <w:p w14:paraId="55B314BD" w14:textId="77777777" w:rsidR="008A0FBE" w:rsidRDefault="008A0FBE" w:rsidP="002E55B7"/>
    <w:p w14:paraId="02B93C21" w14:textId="77777777" w:rsidR="008A0FBE" w:rsidRDefault="008A0FBE" w:rsidP="002E55B7"/>
    <w:p w14:paraId="39B2FD88" w14:textId="77777777" w:rsidR="008A0FBE" w:rsidRDefault="008A0FBE" w:rsidP="002E55B7"/>
    <w:p w14:paraId="0035BA14" w14:textId="77777777" w:rsidR="00AA79E2" w:rsidRDefault="00AA79E2" w:rsidP="002E55B7"/>
    <w:p w14:paraId="28FF32B8" w14:textId="77777777" w:rsidR="00AA79E2" w:rsidRDefault="00AA79E2" w:rsidP="002E55B7"/>
    <w:p w14:paraId="5B24576A" w14:textId="77777777" w:rsidR="00AA79E2" w:rsidRDefault="00AA79E2" w:rsidP="002E55B7"/>
    <w:p w14:paraId="07270CA2" w14:textId="77777777" w:rsidR="00AA79E2" w:rsidRDefault="00AA79E2" w:rsidP="002E55B7"/>
    <w:p w14:paraId="7B01BC30" w14:textId="77777777" w:rsidR="007C7F9C" w:rsidRDefault="007C7F9C" w:rsidP="002E55B7"/>
    <w:p w14:paraId="1B9618FE" w14:textId="3FF45802" w:rsidR="00B813F6" w:rsidRDefault="0077411E" w:rsidP="00AA79E2">
      <w:pPr>
        <w:pStyle w:val="Heading1"/>
      </w:pPr>
      <w:bookmarkStart w:id="9" w:name="_Toc180535711"/>
      <w:r>
        <w:lastRenderedPageBreak/>
        <w:t>Reference List</w:t>
      </w:r>
      <w:bookmarkEnd w:id="9"/>
    </w:p>
    <w:p w14:paraId="00393BA2" w14:textId="77777777" w:rsidR="00C940A3" w:rsidRDefault="00C940A3" w:rsidP="00C940A3">
      <w:pPr>
        <w:rPr>
          <w:color w:val="0070C0"/>
        </w:rPr>
      </w:pPr>
      <w:r w:rsidRPr="00C60E19">
        <w:t xml:space="preserve">Alotaibi, E. (2020) ‘Application of machine learning in the hotel industry: a critical review’, </w:t>
      </w:r>
      <w:r w:rsidRPr="00C60E19">
        <w:rPr>
          <w:i/>
          <w:iCs/>
        </w:rPr>
        <w:t>Journal of Association of Arab Universities for Tourism and Hospitality</w:t>
      </w:r>
      <w:r w:rsidRPr="00C60E19">
        <w:t xml:space="preserve">, 18(3), pp. 78-96. </w:t>
      </w:r>
      <w:r w:rsidRPr="00C60E19">
        <w:rPr>
          <w:color w:val="0070C0"/>
        </w:rPr>
        <w:t>doi: 10.21608/jaauth.2020.38784.1060.</w:t>
      </w:r>
    </w:p>
    <w:p w14:paraId="2EB162A9" w14:textId="77777777" w:rsidR="00C940A3" w:rsidRDefault="00C940A3" w:rsidP="00C940A3">
      <w:r w:rsidRPr="00C60E19">
        <w:t xml:space="preserve">Barda, A. (2022) ‘The present and future of loyalty programs in airline and hospitality industry: </w:t>
      </w:r>
      <w:r w:rsidRPr="00C60E19">
        <w:rPr>
          <w:i/>
          <w:iCs/>
        </w:rPr>
        <w:t>The Covid era’</w:t>
      </w:r>
      <w:r w:rsidRPr="00C60E19">
        <w:t>,. Available at: https://repository.ihu.edu.gr//xmlui/handle/11544/30024 (Accessed: 22 October 2024).</w:t>
      </w:r>
    </w:p>
    <w:p w14:paraId="6622B8B2" w14:textId="77777777" w:rsidR="00C940A3" w:rsidRDefault="00C940A3" w:rsidP="00C940A3">
      <w:r w:rsidRPr="00C60E19">
        <w:t xml:space="preserve">Barnes, D. (2018) </w:t>
      </w:r>
      <w:r w:rsidRPr="00C60E19">
        <w:rPr>
          <w:i/>
          <w:iCs/>
        </w:rPr>
        <w:t>Operations management: an international perspective</w:t>
      </w:r>
      <w:r w:rsidRPr="00C60E19">
        <w:t>. London, United Kingdom: Bloomsbury Publishing.</w:t>
      </w:r>
    </w:p>
    <w:p w14:paraId="5D1481F1" w14:textId="77777777" w:rsidR="00C940A3" w:rsidRDefault="00C940A3" w:rsidP="00C940A3">
      <w:r w:rsidRPr="00C60E19">
        <w:t>Chishti, S. and Barberis, J. (2016) *</w:t>
      </w:r>
      <w:r w:rsidRPr="00C60E19">
        <w:rPr>
          <w:i/>
          <w:iCs/>
        </w:rPr>
        <w:t>he Fintech book: The financial technology handbook for investors, entrepreneurs and visionaries</w:t>
      </w:r>
      <w:r w:rsidRPr="00C60E19">
        <w:t>. Hoboken, New Jersey, United States: John Wiley &amp; Sons.</w:t>
      </w:r>
    </w:p>
    <w:p w14:paraId="76C9EF5C" w14:textId="77777777" w:rsidR="00C940A3" w:rsidRDefault="00C940A3" w:rsidP="00C940A3">
      <w:r w:rsidRPr="00C60E19">
        <w:t xml:space="preserve">Deloitte (2023) </w:t>
      </w:r>
      <w:r w:rsidRPr="00C60E19">
        <w:rPr>
          <w:i/>
          <w:iCs/>
        </w:rPr>
        <w:t>No vacancy at the top</w:t>
      </w:r>
      <w:r w:rsidRPr="00C60E19">
        <w:t xml:space="preserve">. Available at: </w:t>
      </w:r>
      <w:r w:rsidRPr="00C60E19">
        <w:rPr>
          <w:color w:val="0070C0"/>
        </w:rPr>
        <w:t xml:space="preserve">https://www.deloitte.com/uk/en/about/press-room/no-vacancy-at-the-top.html </w:t>
      </w:r>
      <w:r w:rsidRPr="00C60E19">
        <w:t>(Accessed: 22 October 2024).</w:t>
      </w:r>
    </w:p>
    <w:p w14:paraId="3BF0A371" w14:textId="77777777" w:rsidR="00C940A3" w:rsidRDefault="00C940A3" w:rsidP="00C940A3">
      <w:r w:rsidRPr="00C60E19">
        <w:t xml:space="preserve">Deraman, F., Ismail, N., Hamzah, S.N. and Tuan Zainudin, T.Z.A. (2021) ‘A review of hotels’ survival strategies during COVID-19 pandemic in Malaysia’, </w:t>
      </w:r>
      <w:r w:rsidRPr="00C60E19">
        <w:rPr>
          <w:i/>
          <w:iCs/>
        </w:rPr>
        <w:t>e-Academia Journal</w:t>
      </w:r>
      <w:r w:rsidRPr="00C60E19">
        <w:t xml:space="preserve">, 10(2), pp. 73-83. Available at: </w:t>
      </w:r>
      <w:r w:rsidRPr="00C60E19">
        <w:rPr>
          <w:color w:val="0070C0"/>
        </w:rPr>
        <w:t xml:space="preserve">https://ir.uitm.edu.my/id/eprint/87560 </w:t>
      </w:r>
      <w:r w:rsidRPr="00C60E19">
        <w:t>(Accessed: 22 October 2024).</w:t>
      </w:r>
    </w:p>
    <w:p w14:paraId="19BB0C2E" w14:textId="77777777" w:rsidR="00C940A3" w:rsidRDefault="00C940A3" w:rsidP="00C940A3">
      <w:r w:rsidRPr="00C60E19">
        <w:t xml:space="preserve">Doggrell, K. (2020) </w:t>
      </w:r>
      <w:r w:rsidRPr="00C60E19">
        <w:rPr>
          <w:i/>
          <w:iCs/>
        </w:rPr>
        <w:t>Checking out: What the rise of the sharing economy means for the future of the hotel industry</w:t>
      </w:r>
      <w:r w:rsidRPr="00C60E19">
        <w:t>. London, United Kingdom: Bloomsbury Publishing.</w:t>
      </w:r>
    </w:p>
    <w:p w14:paraId="37CF0A4B" w14:textId="77777777" w:rsidR="00C940A3" w:rsidRDefault="00C940A3" w:rsidP="00C940A3">
      <w:r w:rsidRPr="00C60E19">
        <w:t xml:space="preserve">Edgell Sr, D.L. (2019) </w:t>
      </w:r>
      <w:r w:rsidRPr="00C60E19">
        <w:rPr>
          <w:i/>
          <w:iCs/>
        </w:rPr>
        <w:t>Managing sustainable tourism: A legacy for the future</w:t>
      </w:r>
      <w:r w:rsidRPr="00C60E19">
        <w:t>. London, United Kingdom: Routledge.</w:t>
      </w:r>
    </w:p>
    <w:p w14:paraId="1CCAA0F6" w14:textId="77777777" w:rsidR="00C940A3" w:rsidRDefault="00C940A3" w:rsidP="00C940A3">
      <w:r w:rsidRPr="00C60E19">
        <w:t xml:space="preserve">Friess, P. (2016) </w:t>
      </w:r>
      <w:r w:rsidRPr="00C60E19">
        <w:rPr>
          <w:i/>
          <w:iCs/>
        </w:rPr>
        <w:t>Digitising the industry: Internet of things connecting the physical, digital and virtual worlds</w:t>
      </w:r>
      <w:r w:rsidRPr="00C60E19">
        <w:t>. Gistrup, Denmark: River Publishers.</w:t>
      </w:r>
    </w:p>
    <w:p w14:paraId="248DBC4F" w14:textId="77777777" w:rsidR="00C940A3" w:rsidRPr="00561C89" w:rsidRDefault="00C940A3" w:rsidP="00C940A3">
      <w:r w:rsidRPr="00C60E19">
        <w:t xml:space="preserve">García-Lillo, F., Claver-Cortés, E., Úbeda-García, M. and Marco-Lajara, B. (2024) ‘Exploring the intellectual structure of research on ‘born globals’ and INVs: A literature review using </w:t>
      </w:r>
      <w:r w:rsidRPr="00C60E19">
        <w:lastRenderedPageBreak/>
        <w:t xml:space="preserve">bibliometric methods’, </w:t>
      </w:r>
      <w:r w:rsidRPr="00C60E19">
        <w:rPr>
          <w:i/>
          <w:iCs/>
        </w:rPr>
        <w:t>Journal of International Entrepreneurship</w:t>
      </w:r>
      <w:r w:rsidRPr="00C60E19">
        <w:t xml:space="preserve">, 22(1), pp. 1-29. </w:t>
      </w:r>
      <w:r w:rsidRPr="00C60E19">
        <w:rPr>
          <w:color w:val="0070C0"/>
        </w:rPr>
        <w:t>doi: 10.1108/IMR-02-2019-0080.</w:t>
      </w:r>
    </w:p>
    <w:p w14:paraId="6C7DEC5A" w14:textId="77777777" w:rsidR="00C940A3" w:rsidRDefault="00C940A3" w:rsidP="00C940A3">
      <w:r w:rsidRPr="00C60E19">
        <w:t xml:space="preserve">Gardetti, M.A. and Torres, A.L. (eds.) (2017) </w:t>
      </w:r>
      <w:r w:rsidRPr="00C60E19">
        <w:rPr>
          <w:i/>
          <w:iCs/>
        </w:rPr>
        <w:t>Sustainable luxury: Managing social and environmental performance in iconic brands</w:t>
      </w:r>
      <w:r w:rsidRPr="00C60E19">
        <w:t>. London, United Kingdom: Routledge.</w:t>
      </w:r>
    </w:p>
    <w:p w14:paraId="35E127BD" w14:textId="77777777" w:rsidR="00C940A3" w:rsidRDefault="00C940A3" w:rsidP="00C940A3">
      <w:pPr>
        <w:rPr>
          <w:color w:val="0070C0"/>
        </w:rPr>
      </w:pPr>
      <w:r w:rsidRPr="00C60E19">
        <w:t xml:space="preserve">Giousmpasoglou, C. and Hua, T.T. (2020) ‘The use of self-service technologies in budget hotels: the case of Bournemouth’, </w:t>
      </w:r>
      <w:r w:rsidRPr="00C60E19">
        <w:rPr>
          <w:i/>
          <w:iCs/>
        </w:rPr>
        <w:t>European Journal of Tourism, Hospitality and Recreation</w:t>
      </w:r>
      <w:r w:rsidRPr="00C60E19">
        <w:t xml:space="preserve">, 10(3), pp. 251-261. </w:t>
      </w:r>
      <w:r w:rsidRPr="00C60E19">
        <w:rPr>
          <w:color w:val="0070C0"/>
        </w:rPr>
        <w:t>doi: 10.2478/ejthr-2020-0022.</w:t>
      </w:r>
    </w:p>
    <w:p w14:paraId="19BE5EFF" w14:textId="77777777" w:rsidR="00C940A3" w:rsidRDefault="00C940A3" w:rsidP="00C940A3">
      <w:r w:rsidRPr="00C60E19">
        <w:t xml:space="preserve">Glicksman, R.L., Buzbee, W.W., Mandelker, D.R., Hammond, E. and Camacho, A. (2023) </w:t>
      </w:r>
      <w:r w:rsidRPr="00C60E19">
        <w:rPr>
          <w:i/>
          <w:iCs/>
        </w:rPr>
        <w:t>Environmental protection: law and policy Connected EBook with Study Center</w:t>
      </w:r>
      <w:r w:rsidRPr="00C60E19">
        <w:t>. New York, United States: Aspen Publishing.</w:t>
      </w:r>
    </w:p>
    <w:p w14:paraId="374F0E3D" w14:textId="77777777" w:rsidR="00C940A3" w:rsidRDefault="00C940A3" w:rsidP="00C940A3">
      <w:pPr>
        <w:rPr>
          <w:color w:val="0070C0"/>
        </w:rPr>
      </w:pPr>
      <w:r w:rsidRPr="00C60E19">
        <w:t xml:space="preserve">Górska-Warsewicz, H. and Kulykovets, O. (2020) ‘Hotel brand loyalty—A systematic literature review’, </w:t>
      </w:r>
      <w:r w:rsidRPr="00C60E19">
        <w:rPr>
          <w:i/>
          <w:iCs/>
        </w:rPr>
        <w:t>Sustainability</w:t>
      </w:r>
      <w:r w:rsidRPr="00C60E19">
        <w:t xml:space="preserve">, 12(12), p. 4810. </w:t>
      </w:r>
      <w:r w:rsidRPr="00C60E19">
        <w:rPr>
          <w:color w:val="0070C0"/>
        </w:rPr>
        <w:t>doi: 10.3390/su12124810.</w:t>
      </w:r>
    </w:p>
    <w:p w14:paraId="6EE21D70" w14:textId="77777777" w:rsidR="00C940A3" w:rsidRDefault="00C940A3" w:rsidP="00C940A3">
      <w:r w:rsidRPr="00C60E19">
        <w:t xml:space="preserve">Hassanien, A. and Dale, C. (2019) </w:t>
      </w:r>
      <w:r w:rsidRPr="00C60E19">
        <w:rPr>
          <w:i/>
          <w:iCs/>
        </w:rPr>
        <w:t>Hospitality business development</w:t>
      </w:r>
      <w:r w:rsidRPr="00C60E19">
        <w:t>. London, United Kingdom: Routledge.</w:t>
      </w:r>
    </w:p>
    <w:p w14:paraId="73904560" w14:textId="77777777" w:rsidR="00C940A3" w:rsidRDefault="00C940A3" w:rsidP="00C940A3">
      <w:r w:rsidRPr="00C60E19">
        <w:t xml:space="preserve">He, J. (2022) ‘Commercial fungi, indigenous communities, and the bioeconomy transition in Southwest China’, </w:t>
      </w:r>
      <w:r w:rsidRPr="00C60E19">
        <w:rPr>
          <w:i/>
          <w:iCs/>
        </w:rPr>
        <w:t>The bioeconomy and non-timber forest products</w:t>
      </w:r>
      <w:r w:rsidRPr="00C60E19">
        <w:t xml:space="preserve">, pp. 43-56. Available at: </w:t>
      </w:r>
      <w:r w:rsidRPr="00C60E19">
        <w:rPr>
          <w:color w:val="0070C0"/>
        </w:rPr>
        <w:t xml:space="preserve">https://www.taylorfrancis.com/chapters/edit/10.4324/9781003245001-6/commercial-fungi-indigenous-communities-bioeconomy-transition-southwest-china-jun </w:t>
      </w:r>
      <w:r w:rsidRPr="00C60E19">
        <w:t>(Accessed: 22 October 2024).</w:t>
      </w:r>
    </w:p>
    <w:p w14:paraId="00C25F1A" w14:textId="77777777" w:rsidR="00C940A3" w:rsidRDefault="00C940A3" w:rsidP="00C940A3">
      <w:r w:rsidRPr="00C60E19">
        <w:t xml:space="preserve">Hordeski, M.F. (2020) </w:t>
      </w:r>
      <w:r w:rsidRPr="00C60E19">
        <w:rPr>
          <w:i/>
          <w:iCs/>
        </w:rPr>
        <w:t>Megatrends for energy efficiency and renewable energy</w:t>
      </w:r>
      <w:r w:rsidRPr="00C60E19">
        <w:t>. Gistrup, Denmark: River Publishers.</w:t>
      </w:r>
    </w:p>
    <w:p w14:paraId="3BC71939" w14:textId="77777777" w:rsidR="00C940A3" w:rsidRDefault="00C940A3" w:rsidP="00C940A3">
      <w:r w:rsidRPr="00C60E19">
        <w:t xml:space="preserve">Krarti, M. (2018) </w:t>
      </w:r>
      <w:r w:rsidRPr="00C60E19">
        <w:rPr>
          <w:i/>
          <w:iCs/>
        </w:rPr>
        <w:t>Optimal design and retrofit of energy efficient buildings, communities, and urban centers</w:t>
      </w:r>
      <w:r w:rsidRPr="00C60E19">
        <w:t>. Oxford, United Kingdom: Butterworth-Heinemann.</w:t>
      </w:r>
    </w:p>
    <w:p w14:paraId="601F8310" w14:textId="77777777" w:rsidR="00C940A3" w:rsidRDefault="00C940A3" w:rsidP="00C940A3">
      <w:r w:rsidRPr="00C60E19">
        <w:t xml:space="preserve">Mishra, A. and Kukreti, M. (2022) ‘Challenges and prospects for Oman in the making of luxury tourism destination’, </w:t>
      </w:r>
      <w:r w:rsidRPr="00C60E19">
        <w:rPr>
          <w:i/>
          <w:iCs/>
        </w:rPr>
        <w:t>The Emerald Handbook of Luxury Management for Hospitality and Tourism</w:t>
      </w:r>
      <w:r w:rsidRPr="00C60E19">
        <w:t xml:space="preserve">, pp. 101-121. </w:t>
      </w:r>
      <w:r w:rsidRPr="00C60E19">
        <w:rPr>
          <w:color w:val="0070C0"/>
        </w:rPr>
        <w:t>doi: 10.1108/978-1-83982-900-020211005</w:t>
      </w:r>
      <w:r w:rsidRPr="00C60E19">
        <w:t>.</w:t>
      </w:r>
    </w:p>
    <w:p w14:paraId="33F3DC92" w14:textId="77777777" w:rsidR="00C940A3" w:rsidRDefault="00C940A3" w:rsidP="00C940A3">
      <w:r w:rsidRPr="00C60E19">
        <w:lastRenderedPageBreak/>
        <w:t xml:space="preserve">Morrison, A.M. (2022) </w:t>
      </w:r>
      <w:r w:rsidRPr="00C60E19">
        <w:rPr>
          <w:i/>
          <w:iCs/>
        </w:rPr>
        <w:t>Hospitality and travel marketing</w:t>
      </w:r>
      <w:r w:rsidRPr="00C60E19">
        <w:t>. London, United Kingdom: Routledge.</w:t>
      </w:r>
    </w:p>
    <w:p w14:paraId="2D61AC20" w14:textId="77777777" w:rsidR="00C940A3" w:rsidRDefault="00C940A3" w:rsidP="00C940A3">
      <w:pPr>
        <w:rPr>
          <w:color w:val="0070C0"/>
        </w:rPr>
      </w:pPr>
      <w:r w:rsidRPr="00C60E19">
        <w:t xml:space="preserve">Naidu, S., Singh, G. and Narayan, J. (2022) ‘An overview of Fiji's retail franchising climate’, </w:t>
      </w:r>
      <w:r w:rsidRPr="00C60E19">
        <w:rPr>
          <w:i/>
          <w:iCs/>
        </w:rPr>
        <w:t>International Journal of Business and Globalisation</w:t>
      </w:r>
      <w:r w:rsidRPr="00C60E19">
        <w:t xml:space="preserve">, 30(2), pp. 155-165. </w:t>
      </w:r>
      <w:r w:rsidRPr="00C60E19">
        <w:rPr>
          <w:color w:val="0070C0"/>
        </w:rPr>
        <w:t>doi: 10.1504/IJBG.2022.122660.</w:t>
      </w:r>
    </w:p>
    <w:p w14:paraId="17150E5C" w14:textId="77777777" w:rsidR="00C940A3" w:rsidRDefault="00C940A3" w:rsidP="00C940A3">
      <w:pPr>
        <w:rPr>
          <w:color w:val="0070C0"/>
        </w:rPr>
      </w:pPr>
      <w:r w:rsidRPr="00C60E19">
        <w:t xml:space="preserve">Nguyen, T.Q. (2023) ‘Geographical analysis of COVID-19 epidemiology: A review’, </w:t>
      </w:r>
      <w:r w:rsidRPr="00C60E19">
        <w:rPr>
          <w:i/>
          <w:iCs/>
        </w:rPr>
        <w:t>International Journal of Science and Healthcare Research</w:t>
      </w:r>
      <w:r w:rsidRPr="00C60E19">
        <w:t xml:space="preserve">. </w:t>
      </w:r>
      <w:r w:rsidRPr="00C60E19">
        <w:rPr>
          <w:color w:val="0070C0"/>
        </w:rPr>
        <w:t>doi: 10.52403/ijshr.20230332.</w:t>
      </w:r>
    </w:p>
    <w:p w14:paraId="1DD4A4E2" w14:textId="77777777" w:rsidR="00C940A3" w:rsidRDefault="00C940A3" w:rsidP="00C940A3">
      <w:r w:rsidRPr="00C60E19">
        <w:t xml:space="preserve">Ni, J. (2024) ‘The hotel industry in China: overview, observations, and future prospects of 5-star properties within the Chinese hotel industry’, </w:t>
      </w:r>
      <w:r w:rsidRPr="00C60E19">
        <w:rPr>
          <w:i/>
          <w:iCs/>
        </w:rPr>
        <w:t>Highlights in Business, Economics and Management</w:t>
      </w:r>
      <w:r w:rsidRPr="00C60E19">
        <w:t xml:space="preserve">, 41, pp. 579-583. </w:t>
      </w:r>
      <w:r w:rsidRPr="00C60E19">
        <w:rPr>
          <w:color w:val="0070C0"/>
        </w:rPr>
        <w:t xml:space="preserve">doi.org/10.54097/8n1z8k86 </w:t>
      </w:r>
      <w:r w:rsidRPr="00C60E19">
        <w:t>(Accessed: 22 October 2024).</w:t>
      </w:r>
    </w:p>
    <w:p w14:paraId="01C63431" w14:textId="77777777" w:rsidR="00C940A3" w:rsidRDefault="00C940A3" w:rsidP="00C940A3">
      <w:r w:rsidRPr="00C60E19">
        <w:t xml:space="preserve">Parsa, H.G. and Narapareddy, V. (eds.) (2015) </w:t>
      </w:r>
      <w:r w:rsidRPr="00C60E19">
        <w:rPr>
          <w:i/>
          <w:iCs/>
        </w:rPr>
        <w:t>Sustainability, social responsibility, and innovations in tourism and hospitality</w:t>
      </w:r>
      <w:r w:rsidRPr="00C60E19">
        <w:t>. Oakville, ON, Canada: Apple Academic Press.</w:t>
      </w:r>
    </w:p>
    <w:p w14:paraId="2BCCF738" w14:textId="77777777" w:rsidR="00C940A3" w:rsidRDefault="00C940A3" w:rsidP="00C940A3">
      <w:r w:rsidRPr="00C60E19">
        <w:t xml:space="preserve">Patrick, D.R., Fardo, S.W., Richardson, R.E. and Fardo, B.W. (2020) </w:t>
      </w:r>
      <w:r w:rsidRPr="00C60E19">
        <w:rPr>
          <w:i/>
          <w:iCs/>
        </w:rPr>
        <w:t>Energy conservation guidebook</w:t>
      </w:r>
      <w:r w:rsidRPr="00C60E19">
        <w:t>. Gistrup, Denmark: River Publishers.</w:t>
      </w:r>
    </w:p>
    <w:p w14:paraId="7134FAC2" w14:textId="77777777" w:rsidR="00C940A3" w:rsidRDefault="00C940A3" w:rsidP="00C940A3">
      <w:pPr>
        <w:rPr>
          <w:color w:val="0070C0"/>
        </w:rPr>
      </w:pPr>
      <w:r w:rsidRPr="00C60E19">
        <w:t xml:space="preserve">Rahim, M.A., Aziz, F.M.M., Razali, H.Y. and Hardinigsih, S. (2024) ‘A systematic review on the business survival and resilient strategies for hotel owners during Covid-19 pandemic’, </w:t>
      </w:r>
      <w:r w:rsidRPr="00C60E19">
        <w:rPr>
          <w:i/>
          <w:iCs/>
        </w:rPr>
        <w:t>Environment-Behaviour Proceedings Journal</w:t>
      </w:r>
      <w:r w:rsidRPr="00C60E19">
        <w:t xml:space="preserve">, 9(SI22), pp. 527-532. </w:t>
      </w:r>
      <w:r w:rsidRPr="00C60E19">
        <w:rPr>
          <w:color w:val="0070C0"/>
        </w:rPr>
        <w:t>doi: 10.21834/e-bpj.v9iSI22.5898.</w:t>
      </w:r>
    </w:p>
    <w:p w14:paraId="1884C609" w14:textId="77777777" w:rsidR="00C940A3" w:rsidRDefault="00C940A3" w:rsidP="00C940A3">
      <w:r w:rsidRPr="00C60E19">
        <w:t xml:space="preserve">Shangri-La Hotels (2024) </w:t>
      </w:r>
      <w:r w:rsidRPr="00C60E19">
        <w:rPr>
          <w:i/>
          <w:iCs/>
        </w:rPr>
        <w:t>About Shangri-La The Shard, London</w:t>
      </w:r>
      <w:r w:rsidRPr="00C60E19">
        <w:t xml:space="preserve">. Available at: </w:t>
      </w:r>
      <w:r w:rsidRPr="00C60E19">
        <w:rPr>
          <w:color w:val="0070C0"/>
        </w:rPr>
        <w:t xml:space="preserve">https://www.shangri-la.com/london/shangrila/about/ </w:t>
      </w:r>
      <w:r w:rsidRPr="00C60E19">
        <w:t>(Accessed: 22 October 2024).</w:t>
      </w:r>
    </w:p>
    <w:p w14:paraId="38AE0DED" w14:textId="77777777" w:rsidR="00C940A3" w:rsidRDefault="00C940A3" w:rsidP="00C940A3">
      <w:r w:rsidRPr="00C60E19">
        <w:t xml:space="preserve">Smith, E.E., Kahlke, R. and Judd, T. (2020) ‘Not just digital natives: Integrating technologies in professional education contexts’, </w:t>
      </w:r>
      <w:r w:rsidRPr="00C60E19">
        <w:rPr>
          <w:i/>
          <w:iCs/>
        </w:rPr>
        <w:t>Australasian Journal of Educational Technology</w:t>
      </w:r>
      <w:r w:rsidRPr="00C60E19">
        <w:t xml:space="preserve">, 36(3), pp. 1-14. </w:t>
      </w:r>
      <w:r w:rsidRPr="00C60E19">
        <w:rPr>
          <w:color w:val="0070C0"/>
        </w:rPr>
        <w:t>doi: 10.14742/ajet.5689</w:t>
      </w:r>
      <w:r w:rsidRPr="00C60E19">
        <w:t>.</w:t>
      </w:r>
    </w:p>
    <w:p w14:paraId="085921F4" w14:textId="77777777" w:rsidR="00C940A3" w:rsidRDefault="00C940A3" w:rsidP="00C940A3">
      <w:pPr>
        <w:rPr>
          <w:color w:val="0070C0"/>
        </w:rPr>
      </w:pPr>
      <w:r w:rsidRPr="00C60E19">
        <w:t xml:space="preserve">Spence, C. (2022) ‘Sensehacking the guest’s multisensory hotel experience’, </w:t>
      </w:r>
      <w:r w:rsidRPr="00C60E19">
        <w:rPr>
          <w:i/>
          <w:iCs/>
        </w:rPr>
        <w:t>Frontiers in Psychology</w:t>
      </w:r>
      <w:r w:rsidRPr="00C60E19">
        <w:t xml:space="preserve">, 13, p. 1014818. </w:t>
      </w:r>
      <w:r w:rsidRPr="00C60E19">
        <w:rPr>
          <w:color w:val="0070C0"/>
        </w:rPr>
        <w:t>doi: 10.3389/fpsyg.2022.1014818.</w:t>
      </w:r>
    </w:p>
    <w:p w14:paraId="5E7853D9" w14:textId="77777777" w:rsidR="00C940A3" w:rsidRDefault="00C940A3" w:rsidP="00C940A3">
      <w:pPr>
        <w:rPr>
          <w:color w:val="0070C0"/>
        </w:rPr>
      </w:pPr>
      <w:r w:rsidRPr="00C60E19">
        <w:lastRenderedPageBreak/>
        <w:t xml:space="preserve">Srivastava, A.K., Dharwal, M. and Sharma, A. (2022) ‘Green financial initiatives for sustainable economic growth: a literature review’, </w:t>
      </w:r>
      <w:r w:rsidRPr="00C60E19">
        <w:rPr>
          <w:i/>
          <w:iCs/>
        </w:rPr>
        <w:t>Materials Today: Proceedings</w:t>
      </w:r>
      <w:r w:rsidRPr="00C60E19">
        <w:t xml:space="preserve">, 49, pp. 3615-3618. </w:t>
      </w:r>
      <w:r w:rsidRPr="00C60E19">
        <w:rPr>
          <w:color w:val="0070C0"/>
        </w:rPr>
        <w:t>doi: 10.1016/j.matpr.2021.08.158.</w:t>
      </w:r>
    </w:p>
    <w:p w14:paraId="49358D3D" w14:textId="77777777" w:rsidR="00C940A3" w:rsidRDefault="00C940A3" w:rsidP="00C940A3">
      <w:r w:rsidRPr="00C60E19">
        <w:t xml:space="preserve">Ternes, B. (2020) ‘Exploiting Shangri-La: Assessing the Tibetan Plateau's natural resources and the work of Karl Wittfogel’, </w:t>
      </w:r>
      <w:r w:rsidRPr="00C60E19">
        <w:rPr>
          <w:i/>
          <w:iCs/>
        </w:rPr>
        <w:t>Review of European Studies</w:t>
      </w:r>
      <w:r w:rsidRPr="00C60E19">
        <w:t xml:space="preserve">, 12, p. 1. Available at: </w:t>
      </w:r>
      <w:r w:rsidRPr="00C60E19">
        <w:rPr>
          <w:color w:val="0070C0"/>
        </w:rPr>
        <w:t xml:space="preserve">https://heinonline.org/HOL/LandingPage?handle=hein.journals/rveurost12&amp;div=3&amp;id=&amp;page= </w:t>
      </w:r>
      <w:r w:rsidRPr="00C60E19">
        <w:t>(Accessed: 22 October 2024).</w:t>
      </w:r>
    </w:p>
    <w:p w14:paraId="26783C19" w14:textId="77777777" w:rsidR="00C940A3" w:rsidRDefault="00C940A3" w:rsidP="00C940A3">
      <w:r w:rsidRPr="00C60E19">
        <w:t xml:space="preserve">Travelodge (2024) </w:t>
      </w:r>
      <w:r w:rsidRPr="00C60E19">
        <w:rPr>
          <w:i/>
          <w:iCs/>
        </w:rPr>
        <w:t>Company overview</w:t>
      </w:r>
      <w:r w:rsidRPr="00C60E19">
        <w:t xml:space="preserve">. Available at: </w:t>
      </w:r>
      <w:r w:rsidRPr="00C60E19">
        <w:rPr>
          <w:color w:val="0070C0"/>
        </w:rPr>
        <w:t xml:space="preserve">https://www.travelodge.co.uk/our-business/about-us/company-overview/ </w:t>
      </w:r>
      <w:r w:rsidRPr="00C60E19">
        <w:t>(Accessed: 22 October 2024).</w:t>
      </w:r>
    </w:p>
    <w:p w14:paraId="6DA643E0" w14:textId="77777777" w:rsidR="00C940A3" w:rsidRDefault="00C940A3" w:rsidP="00C940A3">
      <w:r w:rsidRPr="00C60E19">
        <w:t xml:space="preserve">Wu, S.Y. (2021) </w:t>
      </w:r>
      <w:r w:rsidRPr="00C60E19">
        <w:rPr>
          <w:i/>
          <w:iCs/>
        </w:rPr>
        <w:t>A study on promotion strategies and purchase intention during the epidemic situation - In the Travelodge industry</w:t>
      </w:r>
      <w:r w:rsidRPr="00C60E19">
        <w:t xml:space="preserve">. Available at: </w:t>
      </w:r>
      <w:r w:rsidRPr="00C60E19">
        <w:rPr>
          <w:color w:val="0070C0"/>
        </w:rPr>
        <w:t xml:space="preserve">https://c030.wzu.edu.tw/datas/upload/files/2020%E7%95%A2%E6%A5%AD%E7%94%9F%E8%AB%96%E6%96%87/UA2020%E7%95%A2%E6%A5%AD%E7%94%9F%E8%AB%96%E6%96%87/109GP_1106209038_%E5%90%B3%E6%B9%98%E7%AD%A0.pdf </w:t>
      </w:r>
      <w:r w:rsidRPr="00C60E19">
        <w:t>(Accessed: 22 October 2024).</w:t>
      </w:r>
    </w:p>
    <w:p w14:paraId="1E86DC71" w14:textId="77777777" w:rsidR="00C940A3" w:rsidRDefault="00C940A3" w:rsidP="00C940A3">
      <w:pPr>
        <w:rPr>
          <w:color w:val="0070C0"/>
        </w:rPr>
      </w:pPr>
      <w:r w:rsidRPr="00C60E19">
        <w:t xml:space="preserve">Zanesco, M. (2016) </w:t>
      </w:r>
      <w:r w:rsidRPr="00C60E19">
        <w:rPr>
          <w:i/>
          <w:iCs/>
        </w:rPr>
        <w:t>Translating into English as a non-native language: Challenges and perspectives for translation professionals</w:t>
      </w:r>
      <w:r w:rsidRPr="00C60E19">
        <w:t xml:space="preserve">. Available at: </w:t>
      </w:r>
      <w:r w:rsidRPr="00C60E19">
        <w:rPr>
          <w:color w:val="0070C0"/>
        </w:rPr>
        <w:t>https://thesis.unipd.it/bitstream/20.500.12608/26538/1/MICHELA_ZANESCO_2016.pdf (Accessed: 22 October 2024).</w:t>
      </w:r>
    </w:p>
    <w:p w14:paraId="7314F848" w14:textId="53B5CAFD" w:rsidR="007E4C88" w:rsidRPr="007E4C88" w:rsidRDefault="007E4C88" w:rsidP="00C940A3">
      <w:pPr>
        <w:rPr>
          <w:rFonts w:cs="Times New Roman"/>
          <w:szCs w:val="24"/>
        </w:rPr>
      </w:pPr>
    </w:p>
    <w:sectPr w:rsidR="007E4C88" w:rsidRPr="007E4C88" w:rsidSect="00521310">
      <w:footerReference w:type="default" r:id="rId10"/>
      <w:pgSz w:w="11906" w:h="16838"/>
      <w:pgMar w:top="993"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51FFA3" w14:textId="77777777" w:rsidR="007C7F9C" w:rsidRDefault="007C7F9C" w:rsidP="007C7F9C">
      <w:pPr>
        <w:spacing w:before="0" w:after="0" w:line="240" w:lineRule="auto"/>
      </w:pPr>
      <w:r>
        <w:separator/>
      </w:r>
    </w:p>
  </w:endnote>
  <w:endnote w:type="continuationSeparator" w:id="0">
    <w:p w14:paraId="64522B20" w14:textId="77777777" w:rsidR="007C7F9C" w:rsidRDefault="007C7F9C" w:rsidP="007C7F9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9861177"/>
      <w:docPartObj>
        <w:docPartGallery w:val="Page Numbers (Bottom of Page)"/>
        <w:docPartUnique/>
      </w:docPartObj>
    </w:sdtPr>
    <w:sdtEndPr>
      <w:rPr>
        <w:noProof/>
      </w:rPr>
    </w:sdtEndPr>
    <w:sdtContent>
      <w:p w14:paraId="2FCC4D11" w14:textId="66C115D6" w:rsidR="007C7F9C" w:rsidRDefault="007C7F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05C4D" w14:textId="77777777" w:rsidR="007C7F9C" w:rsidRDefault="007C7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9E4EE1" w14:textId="77777777" w:rsidR="007C7F9C" w:rsidRDefault="007C7F9C" w:rsidP="007C7F9C">
      <w:pPr>
        <w:spacing w:before="0" w:after="0" w:line="240" w:lineRule="auto"/>
      </w:pPr>
      <w:r>
        <w:separator/>
      </w:r>
    </w:p>
  </w:footnote>
  <w:footnote w:type="continuationSeparator" w:id="0">
    <w:p w14:paraId="1B609A9A" w14:textId="77777777" w:rsidR="007C7F9C" w:rsidRDefault="007C7F9C" w:rsidP="007C7F9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A212C"/>
    <w:multiLevelType w:val="hybridMultilevel"/>
    <w:tmpl w:val="F82E7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11422A"/>
    <w:multiLevelType w:val="hybridMultilevel"/>
    <w:tmpl w:val="E9AE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772979">
    <w:abstractNumId w:val="0"/>
  </w:num>
  <w:num w:numId="2" w16cid:durableId="10764415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QwMjMwMDc2MTU3MzRR0lEKTi0uzszPAykwqgUAFZ2JRywAAAA="/>
  </w:docVars>
  <w:rsids>
    <w:rsidRoot w:val="00B813F6"/>
    <w:rsid w:val="00046A4D"/>
    <w:rsid w:val="00055519"/>
    <w:rsid w:val="0007361C"/>
    <w:rsid w:val="000A6D96"/>
    <w:rsid w:val="000C02EA"/>
    <w:rsid w:val="001001DB"/>
    <w:rsid w:val="0013098B"/>
    <w:rsid w:val="00146851"/>
    <w:rsid w:val="0016388B"/>
    <w:rsid w:val="00191FBF"/>
    <w:rsid w:val="001B2CAF"/>
    <w:rsid w:val="001E536F"/>
    <w:rsid w:val="002107F6"/>
    <w:rsid w:val="00213409"/>
    <w:rsid w:val="00226014"/>
    <w:rsid w:val="002369A4"/>
    <w:rsid w:val="002E4154"/>
    <w:rsid w:val="002E55B7"/>
    <w:rsid w:val="003071C2"/>
    <w:rsid w:val="00333031"/>
    <w:rsid w:val="0037797C"/>
    <w:rsid w:val="003910B9"/>
    <w:rsid w:val="003D3C69"/>
    <w:rsid w:val="0041675C"/>
    <w:rsid w:val="004776B7"/>
    <w:rsid w:val="004956F5"/>
    <w:rsid w:val="004C5C0D"/>
    <w:rsid w:val="004D6C3D"/>
    <w:rsid w:val="005009CE"/>
    <w:rsid w:val="00516BD0"/>
    <w:rsid w:val="00521310"/>
    <w:rsid w:val="0052701E"/>
    <w:rsid w:val="0054767B"/>
    <w:rsid w:val="00561E4E"/>
    <w:rsid w:val="00600BCE"/>
    <w:rsid w:val="0073203A"/>
    <w:rsid w:val="00740603"/>
    <w:rsid w:val="00753C97"/>
    <w:rsid w:val="0077411E"/>
    <w:rsid w:val="0078140F"/>
    <w:rsid w:val="00795567"/>
    <w:rsid w:val="007B3BB1"/>
    <w:rsid w:val="007C66E6"/>
    <w:rsid w:val="007C7F9C"/>
    <w:rsid w:val="007E4C88"/>
    <w:rsid w:val="007F5C30"/>
    <w:rsid w:val="00852B46"/>
    <w:rsid w:val="008A0FBE"/>
    <w:rsid w:val="008A3E3B"/>
    <w:rsid w:val="008C6E37"/>
    <w:rsid w:val="008D5849"/>
    <w:rsid w:val="0090591F"/>
    <w:rsid w:val="009151A6"/>
    <w:rsid w:val="00951779"/>
    <w:rsid w:val="009778DD"/>
    <w:rsid w:val="009C1008"/>
    <w:rsid w:val="00A158AF"/>
    <w:rsid w:val="00A50D37"/>
    <w:rsid w:val="00A533FB"/>
    <w:rsid w:val="00A77D18"/>
    <w:rsid w:val="00A812F6"/>
    <w:rsid w:val="00A8252D"/>
    <w:rsid w:val="00A9734A"/>
    <w:rsid w:val="00AA79E2"/>
    <w:rsid w:val="00B23D5F"/>
    <w:rsid w:val="00B47905"/>
    <w:rsid w:val="00B813F6"/>
    <w:rsid w:val="00B87999"/>
    <w:rsid w:val="00B93457"/>
    <w:rsid w:val="00BC68A8"/>
    <w:rsid w:val="00C3558F"/>
    <w:rsid w:val="00C515C5"/>
    <w:rsid w:val="00C62B2D"/>
    <w:rsid w:val="00C64153"/>
    <w:rsid w:val="00C71B2A"/>
    <w:rsid w:val="00C940A3"/>
    <w:rsid w:val="00CC21D5"/>
    <w:rsid w:val="00CF4FE3"/>
    <w:rsid w:val="00D034F0"/>
    <w:rsid w:val="00D36148"/>
    <w:rsid w:val="00D601B3"/>
    <w:rsid w:val="00D92B1D"/>
    <w:rsid w:val="00DA4095"/>
    <w:rsid w:val="00DA75FC"/>
    <w:rsid w:val="00E074FB"/>
    <w:rsid w:val="00E67B3A"/>
    <w:rsid w:val="00E806F8"/>
    <w:rsid w:val="00EA46F3"/>
    <w:rsid w:val="00EC2B9B"/>
    <w:rsid w:val="00ED7566"/>
    <w:rsid w:val="00F542F8"/>
    <w:rsid w:val="00FD2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9DB8E"/>
  <w15:chartTrackingRefBased/>
  <w15:docId w15:val="{1529607D-0C74-4112-A26B-20B65356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D37"/>
    <w:rPr>
      <w:rFonts w:ascii="Times New Roman" w:hAnsi="Times New Roman"/>
      <w:sz w:val="24"/>
    </w:rPr>
  </w:style>
  <w:style w:type="paragraph" w:styleId="Heading1">
    <w:name w:val="heading 1"/>
    <w:basedOn w:val="Normal"/>
    <w:next w:val="Normal"/>
    <w:link w:val="Heading1Char"/>
    <w:autoRedefine/>
    <w:uiPriority w:val="9"/>
    <w:qFormat/>
    <w:rsid w:val="00A812F6"/>
    <w:pPr>
      <w:keepNext/>
      <w:keepLines/>
      <w:spacing w:after="0"/>
      <w:outlineLvl w:val="0"/>
    </w:pPr>
    <w:rPr>
      <w:b/>
      <w:sz w:val="28"/>
    </w:rPr>
  </w:style>
  <w:style w:type="paragraph" w:styleId="Heading2">
    <w:name w:val="heading 2"/>
    <w:basedOn w:val="Normal"/>
    <w:next w:val="Normal"/>
    <w:link w:val="Heading2Char"/>
    <w:autoRedefine/>
    <w:uiPriority w:val="9"/>
    <w:unhideWhenUsed/>
    <w:qFormat/>
    <w:rsid w:val="00B87999"/>
    <w:pPr>
      <w:keepNext/>
      <w:keepLines/>
      <w:spacing w:before="40" w:after="0"/>
      <w:ind w:left="284"/>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C515C5"/>
    <w:pPr>
      <w:keepNext/>
      <w:keepLines/>
      <w:spacing w:before="160" w:after="80"/>
      <w:jc w:val="left"/>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B813F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813F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813F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813F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813F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813F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2F6"/>
    <w:rPr>
      <w:rFonts w:ascii="Times New Roman" w:hAnsi="Times New Roman"/>
      <w:b/>
      <w:sz w:val="28"/>
    </w:rPr>
  </w:style>
  <w:style w:type="character" w:customStyle="1" w:styleId="Heading2Char">
    <w:name w:val="Heading 2 Char"/>
    <w:basedOn w:val="DefaultParagraphFont"/>
    <w:link w:val="Heading2"/>
    <w:uiPriority w:val="9"/>
    <w:rsid w:val="00B87999"/>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C515C5"/>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B813F6"/>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B813F6"/>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B813F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813F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813F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813F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813F6"/>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3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3F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3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3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13F6"/>
    <w:rPr>
      <w:rFonts w:ascii="Times New Roman" w:hAnsi="Times New Roman"/>
      <w:i/>
      <w:iCs/>
      <w:color w:val="404040" w:themeColor="text1" w:themeTint="BF"/>
      <w:sz w:val="24"/>
    </w:rPr>
  </w:style>
  <w:style w:type="paragraph" w:styleId="ListParagraph">
    <w:name w:val="List Paragraph"/>
    <w:basedOn w:val="Normal"/>
    <w:uiPriority w:val="34"/>
    <w:qFormat/>
    <w:rsid w:val="00B813F6"/>
    <w:pPr>
      <w:ind w:left="720"/>
      <w:contextualSpacing/>
    </w:pPr>
  </w:style>
  <w:style w:type="character" w:styleId="IntenseEmphasis">
    <w:name w:val="Intense Emphasis"/>
    <w:basedOn w:val="DefaultParagraphFont"/>
    <w:uiPriority w:val="21"/>
    <w:qFormat/>
    <w:rsid w:val="00B813F6"/>
    <w:rPr>
      <w:i/>
      <w:iCs/>
      <w:color w:val="0F4761" w:themeColor="accent1" w:themeShade="BF"/>
    </w:rPr>
  </w:style>
  <w:style w:type="paragraph" w:styleId="IntenseQuote">
    <w:name w:val="Intense Quote"/>
    <w:basedOn w:val="Normal"/>
    <w:next w:val="Normal"/>
    <w:link w:val="IntenseQuoteChar"/>
    <w:uiPriority w:val="30"/>
    <w:qFormat/>
    <w:rsid w:val="00B813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3F6"/>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B813F6"/>
    <w:rPr>
      <w:b/>
      <w:bCs/>
      <w:smallCaps/>
      <w:color w:val="0F4761" w:themeColor="accent1" w:themeShade="BF"/>
      <w:spacing w:val="5"/>
    </w:rPr>
  </w:style>
  <w:style w:type="paragraph" w:styleId="NoSpacing">
    <w:name w:val="No Spacing"/>
    <w:link w:val="NoSpacingChar"/>
    <w:uiPriority w:val="1"/>
    <w:qFormat/>
    <w:rsid w:val="009151A6"/>
    <w:pPr>
      <w:spacing w:before="0" w:after="0" w:afterAutospacing="0"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9151A6"/>
    <w:rPr>
      <w:rFonts w:eastAsiaTheme="minorEastAsia"/>
      <w:kern w:val="0"/>
      <w:lang w:val="en-US"/>
      <w14:ligatures w14:val="none"/>
    </w:rPr>
  </w:style>
  <w:style w:type="table" w:customStyle="1" w:styleId="TableGrid">
    <w:name w:val="TableGrid"/>
    <w:rsid w:val="0077411E"/>
    <w:pPr>
      <w:spacing w:before="0" w:after="0" w:afterAutospacing="0" w:line="240" w:lineRule="auto"/>
      <w:jc w:val="left"/>
    </w:pPr>
    <w:rPr>
      <w:rFonts w:eastAsiaTheme="minorEastAsia"/>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055519"/>
    <w:rPr>
      <w:color w:val="467886" w:themeColor="hyperlink"/>
      <w:u w:val="single"/>
    </w:rPr>
  </w:style>
  <w:style w:type="character" w:styleId="UnresolvedMention">
    <w:name w:val="Unresolved Mention"/>
    <w:basedOn w:val="DefaultParagraphFont"/>
    <w:uiPriority w:val="99"/>
    <w:semiHidden/>
    <w:unhideWhenUsed/>
    <w:rsid w:val="00055519"/>
    <w:rPr>
      <w:color w:val="605E5C"/>
      <w:shd w:val="clear" w:color="auto" w:fill="E1DFDD"/>
    </w:rPr>
  </w:style>
  <w:style w:type="paragraph" w:styleId="TOCHeading">
    <w:name w:val="TOC Heading"/>
    <w:basedOn w:val="Heading1"/>
    <w:next w:val="Normal"/>
    <w:uiPriority w:val="39"/>
    <w:unhideWhenUsed/>
    <w:qFormat/>
    <w:rsid w:val="00521310"/>
    <w:pPr>
      <w:spacing w:afterAutospacing="0" w:line="259" w:lineRule="auto"/>
      <w:jc w:val="left"/>
      <w:outlineLvl w:val="9"/>
    </w:pPr>
    <w:rPr>
      <w:rFonts w:asciiTheme="majorHAnsi" w:eastAsiaTheme="majorEastAsia"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21310"/>
  </w:style>
  <w:style w:type="paragraph" w:styleId="TOC2">
    <w:name w:val="toc 2"/>
    <w:basedOn w:val="Normal"/>
    <w:next w:val="Normal"/>
    <w:autoRedefine/>
    <w:uiPriority w:val="39"/>
    <w:unhideWhenUsed/>
    <w:rsid w:val="00521310"/>
    <w:pPr>
      <w:ind w:left="240"/>
    </w:pPr>
  </w:style>
  <w:style w:type="paragraph" w:styleId="Header">
    <w:name w:val="header"/>
    <w:basedOn w:val="Normal"/>
    <w:link w:val="HeaderChar"/>
    <w:uiPriority w:val="99"/>
    <w:unhideWhenUsed/>
    <w:rsid w:val="007C7F9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C7F9C"/>
    <w:rPr>
      <w:rFonts w:ascii="Times New Roman" w:hAnsi="Times New Roman"/>
      <w:sz w:val="24"/>
    </w:rPr>
  </w:style>
  <w:style w:type="paragraph" w:styleId="Footer">
    <w:name w:val="footer"/>
    <w:basedOn w:val="Normal"/>
    <w:link w:val="FooterChar"/>
    <w:uiPriority w:val="99"/>
    <w:unhideWhenUsed/>
    <w:rsid w:val="007C7F9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C7F9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0611052">
      <w:bodyDiv w:val="1"/>
      <w:marLeft w:val="0"/>
      <w:marRight w:val="0"/>
      <w:marTop w:val="0"/>
      <w:marBottom w:val="0"/>
      <w:divBdr>
        <w:top w:val="none" w:sz="0" w:space="0" w:color="auto"/>
        <w:left w:val="none" w:sz="0" w:space="0" w:color="auto"/>
        <w:bottom w:val="none" w:sz="0" w:space="0" w:color="auto"/>
        <w:right w:val="none" w:sz="0" w:space="0" w:color="auto"/>
      </w:divBdr>
    </w:div>
    <w:div w:id="979849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498331E438E4E1F87500C3B2FAE41B9"/>
        <w:category>
          <w:name w:val="General"/>
          <w:gallery w:val="placeholder"/>
        </w:category>
        <w:types>
          <w:type w:val="bbPlcHdr"/>
        </w:types>
        <w:behaviors>
          <w:behavior w:val="content"/>
        </w:behaviors>
        <w:guid w:val="{0CFFC4CE-285F-418D-9E26-1547AC17A137}"/>
      </w:docPartPr>
      <w:docPartBody>
        <w:p w:rsidR="005D2736" w:rsidRDefault="005D2736" w:rsidP="005D2736">
          <w:pPr>
            <w:pStyle w:val="F498331E438E4E1F87500C3B2FAE41B9"/>
          </w:pPr>
          <w:r>
            <w:rPr>
              <w:rFonts w:asciiTheme="majorHAnsi" w:eastAsiaTheme="majorEastAsia" w:hAnsiTheme="majorHAnsi" w:cstheme="majorBidi"/>
              <w:caps/>
              <w:color w:val="156082" w:themeColor="accent1"/>
              <w:sz w:val="80"/>
              <w:szCs w:val="80"/>
            </w:rPr>
            <w:t>[Document title]</w:t>
          </w:r>
        </w:p>
      </w:docPartBody>
    </w:docPart>
    <w:docPart>
      <w:docPartPr>
        <w:name w:val="F94849D3C34944BA9283E140CB8C3263"/>
        <w:category>
          <w:name w:val="General"/>
          <w:gallery w:val="placeholder"/>
        </w:category>
        <w:types>
          <w:type w:val="bbPlcHdr"/>
        </w:types>
        <w:behaviors>
          <w:behavior w:val="content"/>
        </w:behaviors>
        <w:guid w:val="{3B439AA0-8536-4533-A06B-8A347E996C74}"/>
      </w:docPartPr>
      <w:docPartBody>
        <w:p w:rsidR="005D2736" w:rsidRDefault="005D2736" w:rsidP="005D2736">
          <w:pPr>
            <w:pStyle w:val="F94849D3C34944BA9283E140CB8C326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736"/>
    <w:rsid w:val="005D2736"/>
    <w:rsid w:val="00795567"/>
    <w:rsid w:val="00B47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98331E438E4E1F87500C3B2FAE41B9">
    <w:name w:val="F498331E438E4E1F87500C3B2FAE41B9"/>
    <w:rsid w:val="005D2736"/>
  </w:style>
  <w:style w:type="paragraph" w:customStyle="1" w:styleId="F94849D3C34944BA9283E140CB8C3263">
    <w:name w:val="F94849D3C34944BA9283E140CB8C3263"/>
    <w:rsid w:val="005D27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7479B6-AEFC-4152-A536-51639AECF741}">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6BB697-E099-41B8-A6CE-74EFE034E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3266</Words>
  <Characters>18622</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for the Hotel Industry</dc:title>
  <dc:subject>CASE STUDY: Shangri-La Hotels and Travelodge Hotels</dc:subject>
  <dc:creator>vasile Enache</dc:creator>
  <cp:keywords/>
  <dc:description/>
  <cp:lastModifiedBy>vasile Enache</cp:lastModifiedBy>
  <cp:revision>2</cp:revision>
  <dcterms:created xsi:type="dcterms:W3CDTF">2024-10-22T23:32:00Z</dcterms:created>
  <dcterms:modified xsi:type="dcterms:W3CDTF">2024-10-22T23:32:00Z</dcterms:modified>
</cp:coreProperties>
</file>