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9E60C7">
      <w:pPr>
        <w:rPr>
          <w:rFonts w:ascii="Arial" w:hAnsi="Arial" w:cs="Arial"/>
          <w:b/>
          <w:bCs/>
          <w:sz w:val="22"/>
          <w:szCs w:val="22"/>
        </w:rPr>
      </w:pPr>
    </w:p>
    <w:p w14:paraId="176E387B">
      <w:pPr>
        <w:jc w:val="center"/>
        <w:rPr>
          <w:rFonts w:ascii="Arial" w:hAnsi="Arial" w:cs="Arial"/>
          <w:b/>
          <w:bCs/>
          <w:sz w:val="22"/>
          <w:szCs w:val="22"/>
        </w:rPr>
      </w:pPr>
    </w:p>
    <w:p w14:paraId="25A016E8">
      <w:pPr>
        <w:jc w:val="center"/>
        <w:rPr>
          <w:rFonts w:ascii="Arial" w:hAnsi="Arial" w:cs="Arial"/>
          <w:b/>
          <w:bCs/>
          <w:sz w:val="22"/>
          <w:szCs w:val="22"/>
        </w:rPr>
      </w:pPr>
    </w:p>
    <w:p w14:paraId="3045B401">
      <w:pPr>
        <w:jc w:val="center"/>
        <w:rPr>
          <w:rFonts w:ascii="Arial" w:hAnsi="Arial" w:cs="Arial"/>
          <w:b/>
          <w:bCs/>
          <w:sz w:val="22"/>
          <w:szCs w:val="22"/>
        </w:rPr>
      </w:pPr>
    </w:p>
    <w:p w14:paraId="2130D2DE">
      <w:pPr>
        <w:jc w:val="center"/>
        <w:rPr>
          <w:rFonts w:ascii="Arial" w:hAnsi="Arial" w:cs="Arial"/>
          <w:sz w:val="22"/>
          <w:szCs w:val="22"/>
        </w:rPr>
      </w:pPr>
      <w:r>
        <w:rPr>
          <w:rFonts w:ascii="Arial" w:hAnsi="Arial" w:cs="Arial"/>
          <w:b/>
          <w:bCs/>
          <w:sz w:val="22"/>
          <w:szCs w:val="22"/>
        </w:rPr>
        <w:t>Component 1: Written Report</w:t>
      </w:r>
    </w:p>
    <w:p w14:paraId="69165FF2">
      <w:pPr>
        <w:jc w:val="center"/>
        <w:rPr>
          <w:rFonts w:ascii="Arial" w:hAnsi="Arial" w:cs="Arial"/>
          <w:b/>
          <w:bCs/>
          <w:sz w:val="22"/>
          <w:szCs w:val="22"/>
        </w:rPr>
      </w:pPr>
    </w:p>
    <w:p w14:paraId="1A6BA3D4">
      <w:pPr>
        <w:jc w:val="center"/>
        <w:rPr>
          <w:rFonts w:ascii="Arial" w:hAnsi="Arial" w:cs="Arial"/>
          <w:b/>
          <w:bCs/>
          <w:sz w:val="22"/>
          <w:szCs w:val="22"/>
        </w:rPr>
      </w:pPr>
    </w:p>
    <w:p w14:paraId="2E78B87C">
      <w:pPr>
        <w:jc w:val="center"/>
        <w:rPr>
          <w:rFonts w:ascii="Arial" w:hAnsi="Arial" w:cs="Arial"/>
          <w:b/>
          <w:bCs/>
          <w:sz w:val="22"/>
          <w:szCs w:val="22"/>
        </w:rPr>
      </w:pPr>
    </w:p>
    <w:p w14:paraId="684A36ED">
      <w:pPr>
        <w:jc w:val="center"/>
        <w:rPr>
          <w:rFonts w:ascii="Arial" w:hAnsi="Arial" w:cs="Arial"/>
          <w:b/>
          <w:bCs/>
          <w:sz w:val="22"/>
          <w:szCs w:val="22"/>
        </w:rPr>
      </w:pPr>
    </w:p>
    <w:p w14:paraId="0229FFB0">
      <w:pPr>
        <w:jc w:val="center"/>
        <w:rPr>
          <w:rFonts w:ascii="Arial" w:hAnsi="Arial" w:cs="Arial"/>
          <w:b/>
          <w:bCs/>
          <w:sz w:val="22"/>
          <w:szCs w:val="22"/>
        </w:rPr>
      </w:pPr>
    </w:p>
    <w:p w14:paraId="2042B165">
      <w:pPr>
        <w:jc w:val="center"/>
        <w:rPr>
          <w:rFonts w:ascii="Arial" w:hAnsi="Arial" w:cs="Arial"/>
          <w:b/>
          <w:bCs/>
          <w:sz w:val="22"/>
          <w:szCs w:val="22"/>
        </w:rPr>
      </w:pPr>
    </w:p>
    <w:p w14:paraId="399C3AD9">
      <w:pPr>
        <w:jc w:val="center"/>
        <w:rPr>
          <w:rFonts w:ascii="Arial" w:hAnsi="Arial" w:cs="Arial"/>
          <w:b/>
          <w:bCs/>
          <w:sz w:val="22"/>
          <w:szCs w:val="22"/>
        </w:rPr>
      </w:pPr>
    </w:p>
    <w:p w14:paraId="06632572">
      <w:pPr>
        <w:jc w:val="center"/>
        <w:rPr>
          <w:rFonts w:ascii="Arial" w:hAnsi="Arial" w:cs="Arial"/>
          <w:b/>
          <w:bCs/>
          <w:sz w:val="22"/>
          <w:szCs w:val="22"/>
        </w:rPr>
      </w:pPr>
    </w:p>
    <w:p w14:paraId="3069C20E">
      <w:pPr>
        <w:jc w:val="center"/>
        <w:rPr>
          <w:rFonts w:ascii="Arial" w:hAnsi="Arial" w:cs="Arial"/>
          <w:b/>
          <w:bCs/>
          <w:sz w:val="22"/>
          <w:szCs w:val="22"/>
        </w:rPr>
      </w:pPr>
    </w:p>
    <w:p w14:paraId="7B4C6319">
      <w:pPr>
        <w:jc w:val="center"/>
        <w:rPr>
          <w:rFonts w:ascii="Arial" w:hAnsi="Arial" w:cs="Arial"/>
          <w:b/>
          <w:bCs/>
          <w:sz w:val="22"/>
          <w:szCs w:val="22"/>
        </w:rPr>
      </w:pPr>
    </w:p>
    <w:p w14:paraId="398A686E">
      <w:pPr>
        <w:jc w:val="center"/>
        <w:rPr>
          <w:rFonts w:ascii="Arial" w:hAnsi="Arial" w:cs="Arial"/>
          <w:sz w:val="22"/>
          <w:szCs w:val="22"/>
        </w:rPr>
      </w:pPr>
      <w:r>
        <w:rPr>
          <w:rFonts w:ascii="Arial" w:hAnsi="Arial" w:cs="Arial"/>
          <w:sz w:val="22"/>
          <w:szCs w:val="22"/>
        </w:rPr>
        <w:t>by</w:t>
      </w:r>
      <w:bookmarkStart w:id="0" w:name="_GoBack"/>
      <w:bookmarkEnd w:id="0"/>
    </w:p>
    <w:p w14:paraId="0DD51663">
      <w:pPr>
        <w:jc w:val="center"/>
        <w:rPr>
          <w:rFonts w:ascii="Arial" w:hAnsi="Arial" w:cs="Arial"/>
          <w:sz w:val="22"/>
          <w:szCs w:val="22"/>
        </w:rPr>
      </w:pPr>
    </w:p>
    <w:p w14:paraId="42C87FF3">
      <w:pPr>
        <w:jc w:val="center"/>
        <w:rPr>
          <w:rFonts w:ascii="Arial" w:hAnsi="Arial" w:cs="Arial"/>
          <w:sz w:val="22"/>
          <w:szCs w:val="22"/>
        </w:rPr>
      </w:pPr>
    </w:p>
    <w:p w14:paraId="20E158A8">
      <w:pPr>
        <w:jc w:val="center"/>
        <w:rPr>
          <w:rFonts w:hint="default" w:ascii="Arial" w:hAnsi="Arial" w:cs="Arial"/>
          <w:sz w:val="22"/>
          <w:szCs w:val="22"/>
          <w:lang w:val="en-US"/>
        </w:rPr>
      </w:pPr>
      <w:r>
        <w:rPr>
          <w:rFonts w:ascii="Arial" w:hAnsi="Arial" w:cs="Arial"/>
          <w:sz w:val="22"/>
          <w:szCs w:val="22"/>
        </w:rPr>
        <w:t>Student Name</w:t>
      </w:r>
      <w:r>
        <w:rPr>
          <w:rFonts w:hint="default" w:ascii="Arial" w:hAnsi="Arial" w:cs="Arial"/>
          <w:sz w:val="22"/>
          <w:szCs w:val="22"/>
          <w:lang w:val="en-US"/>
        </w:rPr>
        <w:t xml:space="preserve">:Pavlin Enchev </w:t>
      </w:r>
    </w:p>
    <w:p w14:paraId="0B5EC0CA">
      <w:pPr>
        <w:jc w:val="center"/>
        <w:rPr>
          <w:rFonts w:hint="default" w:ascii="Arial" w:hAnsi="Arial" w:cs="Arial"/>
          <w:sz w:val="22"/>
          <w:szCs w:val="22"/>
          <w:lang w:val="en-US"/>
        </w:rPr>
      </w:pPr>
      <w:r>
        <w:rPr>
          <w:rFonts w:hint="default" w:ascii="Arial" w:hAnsi="Arial" w:cs="Arial"/>
          <w:sz w:val="22"/>
          <w:szCs w:val="22"/>
          <w:lang w:val="en-US"/>
        </w:rPr>
        <w:t>Student Number:2327272</w:t>
      </w:r>
    </w:p>
    <w:p w14:paraId="0012F489">
      <w:pPr>
        <w:jc w:val="center"/>
        <w:rPr>
          <w:rFonts w:ascii="Arial"/>
          <w:bCs/>
          <w:spacing w:val="-2"/>
          <w:sz w:val="22"/>
        </w:rPr>
      </w:pPr>
      <w:r>
        <w:rPr>
          <w:rFonts w:ascii="Arial" w:hAnsi="Arial" w:cs="Arial"/>
          <w:sz w:val="22"/>
          <w:szCs w:val="22"/>
        </w:rPr>
        <w:t>BMHP6026:</w:t>
      </w:r>
      <w:r>
        <w:rPr>
          <w:rFonts w:ascii="Arial"/>
          <w:b/>
          <w:sz w:val="22"/>
        </w:rPr>
        <w:t xml:space="preserve"> </w:t>
      </w:r>
      <w:r>
        <w:rPr>
          <w:rFonts w:ascii="Arial"/>
          <w:bCs/>
          <w:sz w:val="22"/>
        </w:rPr>
        <w:t>Digital</w:t>
      </w:r>
      <w:r>
        <w:rPr>
          <w:rFonts w:ascii="Arial"/>
          <w:bCs/>
          <w:spacing w:val="-5"/>
          <w:sz w:val="22"/>
        </w:rPr>
        <w:t xml:space="preserve"> </w:t>
      </w:r>
      <w:r>
        <w:rPr>
          <w:rFonts w:ascii="Arial"/>
          <w:bCs/>
          <w:sz w:val="22"/>
        </w:rPr>
        <w:t>Transformation</w:t>
      </w:r>
      <w:r>
        <w:rPr>
          <w:rFonts w:ascii="Arial"/>
          <w:bCs/>
          <w:spacing w:val="-8"/>
          <w:sz w:val="22"/>
        </w:rPr>
        <w:t xml:space="preserve"> </w:t>
      </w:r>
      <w:r>
        <w:rPr>
          <w:rFonts w:ascii="Arial"/>
          <w:bCs/>
          <w:sz w:val="22"/>
        </w:rPr>
        <w:t>in</w:t>
      </w:r>
      <w:r>
        <w:rPr>
          <w:rFonts w:ascii="Arial"/>
          <w:bCs/>
          <w:spacing w:val="-5"/>
          <w:sz w:val="22"/>
        </w:rPr>
        <w:t xml:space="preserve"> </w:t>
      </w:r>
      <w:r>
        <w:rPr>
          <w:rFonts w:ascii="Arial"/>
          <w:bCs/>
          <w:sz w:val="22"/>
        </w:rPr>
        <w:t>the</w:t>
      </w:r>
      <w:r>
        <w:rPr>
          <w:rFonts w:ascii="Arial"/>
          <w:bCs/>
          <w:spacing w:val="-4"/>
          <w:sz w:val="22"/>
        </w:rPr>
        <w:t xml:space="preserve"> </w:t>
      </w:r>
      <w:r>
        <w:rPr>
          <w:rFonts w:ascii="Arial"/>
          <w:bCs/>
          <w:sz w:val="22"/>
        </w:rPr>
        <w:t>Health</w:t>
      </w:r>
      <w:r>
        <w:rPr>
          <w:rFonts w:ascii="Arial"/>
          <w:bCs/>
          <w:spacing w:val="-3"/>
          <w:sz w:val="22"/>
        </w:rPr>
        <w:t xml:space="preserve"> </w:t>
      </w:r>
      <w:r>
        <w:rPr>
          <w:rFonts w:ascii="Arial"/>
          <w:bCs/>
          <w:sz w:val="22"/>
        </w:rPr>
        <w:t>and</w:t>
      </w:r>
      <w:r>
        <w:rPr>
          <w:rFonts w:ascii="Arial"/>
          <w:bCs/>
          <w:spacing w:val="-6"/>
          <w:sz w:val="22"/>
        </w:rPr>
        <w:t xml:space="preserve"> </w:t>
      </w:r>
      <w:r>
        <w:rPr>
          <w:rFonts w:ascii="Arial"/>
          <w:bCs/>
          <w:sz w:val="22"/>
        </w:rPr>
        <w:t>Care</w:t>
      </w:r>
      <w:r>
        <w:rPr>
          <w:rFonts w:ascii="Arial"/>
          <w:bCs/>
          <w:spacing w:val="-7"/>
          <w:sz w:val="22"/>
        </w:rPr>
        <w:t xml:space="preserve"> </w:t>
      </w:r>
      <w:r>
        <w:rPr>
          <w:rFonts w:ascii="Arial"/>
          <w:bCs/>
          <w:spacing w:val="-2"/>
          <w:sz w:val="22"/>
        </w:rPr>
        <w:t>Professions</w:t>
      </w:r>
    </w:p>
    <w:p w14:paraId="24EA1602">
      <w:pPr>
        <w:jc w:val="center"/>
        <w:rPr>
          <w:rFonts w:ascii="Arial" w:hAnsi="Arial" w:cs="Arial"/>
          <w:bCs/>
          <w:sz w:val="22"/>
          <w:szCs w:val="22"/>
        </w:rPr>
      </w:pPr>
      <w:r>
        <w:rPr>
          <w:rFonts w:ascii="Arial"/>
          <w:bCs/>
          <w:spacing w:val="-2"/>
          <w:sz w:val="22"/>
        </w:rPr>
        <w:t>Dr. Laila Surani</w:t>
      </w:r>
    </w:p>
    <w:p w14:paraId="723BD487">
      <w:pPr>
        <w:jc w:val="center"/>
        <w:rPr>
          <w:rFonts w:ascii="Arial" w:hAnsi="Arial" w:cs="Arial"/>
          <w:sz w:val="22"/>
          <w:szCs w:val="22"/>
        </w:rPr>
      </w:pPr>
      <w:r>
        <w:rPr>
          <w:rFonts w:ascii="Arial" w:hAnsi="Arial" w:cs="Arial"/>
          <w:sz w:val="22"/>
          <w:szCs w:val="22"/>
        </w:rPr>
        <w:t>20</w:t>
      </w:r>
      <w:r>
        <w:rPr>
          <w:rFonts w:ascii="Arial" w:hAnsi="Arial" w:cs="Arial"/>
          <w:sz w:val="22"/>
          <w:szCs w:val="22"/>
          <w:vertAlign w:val="superscript"/>
        </w:rPr>
        <w:t>th</w:t>
      </w:r>
      <w:r>
        <w:rPr>
          <w:rFonts w:ascii="Arial" w:hAnsi="Arial" w:cs="Arial"/>
          <w:sz w:val="22"/>
          <w:szCs w:val="22"/>
        </w:rPr>
        <w:t xml:space="preserve"> July 2026</w:t>
      </w:r>
    </w:p>
    <w:p w14:paraId="2876D45D">
      <w:pPr>
        <w:rPr>
          <w:rFonts w:ascii="Arial" w:hAnsi="Arial" w:cs="Arial"/>
          <w:sz w:val="22"/>
          <w:szCs w:val="22"/>
        </w:rPr>
      </w:pPr>
    </w:p>
    <w:p w14:paraId="1C04BEFC">
      <w:pPr>
        <w:rPr>
          <w:rFonts w:ascii="Arial" w:hAnsi="Arial" w:cs="Arial"/>
          <w:sz w:val="22"/>
          <w:szCs w:val="22"/>
        </w:rPr>
      </w:pPr>
    </w:p>
    <w:p w14:paraId="3D651155">
      <w:pPr>
        <w:rPr>
          <w:rFonts w:ascii="Arial" w:hAnsi="Arial" w:cs="Arial"/>
          <w:sz w:val="22"/>
          <w:szCs w:val="22"/>
        </w:rPr>
      </w:pPr>
    </w:p>
    <w:p w14:paraId="4134B4CA">
      <w:pPr>
        <w:rPr>
          <w:rFonts w:ascii="Arial" w:hAnsi="Arial" w:cs="Arial"/>
          <w:sz w:val="22"/>
          <w:szCs w:val="22"/>
        </w:rPr>
      </w:pPr>
    </w:p>
    <w:p w14:paraId="49EF18BD">
      <w:pPr>
        <w:rPr>
          <w:rFonts w:ascii="Arial" w:hAnsi="Arial" w:cs="Arial"/>
          <w:sz w:val="22"/>
          <w:szCs w:val="22"/>
        </w:rPr>
      </w:pPr>
    </w:p>
    <w:p w14:paraId="0E3FDD7D">
      <w:pPr>
        <w:rPr>
          <w:rFonts w:ascii="Arial" w:hAnsi="Arial" w:cs="Arial"/>
          <w:sz w:val="22"/>
          <w:szCs w:val="22"/>
        </w:rPr>
      </w:pPr>
    </w:p>
    <w:p w14:paraId="1BD74EA6">
      <w:pPr>
        <w:rPr>
          <w:rFonts w:ascii="Arial" w:hAnsi="Arial" w:cs="Arial"/>
          <w:sz w:val="22"/>
          <w:szCs w:val="22"/>
        </w:rPr>
      </w:pPr>
    </w:p>
    <w:p w14:paraId="110E4F42">
      <w:pPr>
        <w:jc w:val="center"/>
        <w:rPr>
          <w:rFonts w:ascii="Arial" w:hAnsi="Arial" w:cs="Arial"/>
          <w:sz w:val="22"/>
          <w:szCs w:val="22"/>
        </w:rPr>
      </w:pPr>
      <w:r>
        <w:rPr>
          <w:rFonts w:ascii="Arial" w:hAnsi="Arial" w:cs="Arial"/>
          <w:b/>
          <w:bCs/>
          <w:sz w:val="22"/>
          <w:szCs w:val="22"/>
        </w:rPr>
        <w:t>Digital Transformation in Health and Social Care: A Critical Evaluation of the NHS App</w:t>
      </w:r>
    </w:p>
    <w:p w14:paraId="01A9DEF3">
      <w:pPr>
        <w:rPr>
          <w:rFonts w:ascii="Arial" w:hAnsi="Arial" w:cs="Arial"/>
          <w:b/>
          <w:bCs/>
          <w:sz w:val="22"/>
          <w:szCs w:val="22"/>
        </w:rPr>
      </w:pPr>
      <w:r>
        <w:rPr>
          <w:rFonts w:ascii="Arial" w:hAnsi="Arial" w:cs="Arial"/>
          <w:b/>
          <w:bCs/>
          <w:sz w:val="22"/>
          <w:szCs w:val="22"/>
        </w:rPr>
        <w:t>Introduction</w:t>
      </w:r>
    </w:p>
    <w:p w14:paraId="55C77F2D">
      <w:pPr>
        <w:spacing w:line="480" w:lineRule="auto"/>
        <w:ind w:firstLine="720"/>
        <w:rPr>
          <w:rFonts w:ascii="Arial" w:hAnsi="Arial" w:cs="Arial"/>
          <w:sz w:val="22"/>
          <w:szCs w:val="22"/>
        </w:rPr>
      </w:pPr>
      <w:r>
        <w:rPr>
          <w:rFonts w:ascii="Arial" w:hAnsi="Arial" w:cs="Arial"/>
          <w:sz w:val="22"/>
          <w:szCs w:val="22"/>
        </w:rPr>
        <w:t>Digitising healthcare through digital transformation is a major priority for the health and social care sector in the UK. The goal is to achieve better healthcare through digital innovations with enhanced quality of care, greater efficiency and increased accessibility. The Department of Health and Social Care (DHSC) 2022 outlines that the Uk Gov and nhs have put in considerable resources towards the development of digital tools to help achieve patient satisfaction, reduce the burden of paperwork, and provide more joined-up care.</w:t>
      </w:r>
    </w:p>
    <w:p w14:paraId="3233F1AE">
      <w:pPr>
        <w:spacing w:line="480" w:lineRule="auto"/>
        <w:ind w:firstLine="720"/>
        <w:rPr>
          <w:rFonts w:ascii="Arial" w:hAnsi="Arial" w:cs="Arial"/>
          <w:sz w:val="22"/>
          <w:szCs w:val="22"/>
        </w:rPr>
      </w:pPr>
      <w:r>
        <w:rPr>
          <w:rFonts w:ascii="Arial" w:hAnsi="Arial" w:cs="Arial"/>
          <w:sz w:val="22"/>
          <w:szCs w:val="22"/>
        </w:rPr>
        <w:t>The development of the NHS app is one major highlight in this initiative. Launched in 2019, it was rapidly expanded during and after the pandemic caused by the virus. Its features let users book appointments, get repeat prescriptions, view medical records, and get health related information, either through a phone or a tablet, as stated in NHS England 2024. The NHS app has redefined patient access to health services and altered service delivery by professionals. It is quite convenient for patients to use and very efficient. It But has brought about digital exclusion, workforce readjustment, and data security threats as its major issues. A critical evaluation of the NHS app's rolling out is carried out in this report. It explores its effects on the healthcare workforce and service provision, considering both the advantages and disadvantages.</w:t>
      </w:r>
    </w:p>
    <w:p w14:paraId="0DCB70E9">
      <w:pPr>
        <w:jc w:val="center"/>
        <w:rPr>
          <w:rFonts w:ascii="Arial" w:hAnsi="Arial" w:cs="Arial"/>
          <w:b/>
          <w:bCs/>
          <w:sz w:val="22"/>
          <w:szCs w:val="22"/>
        </w:rPr>
      </w:pPr>
      <w:r>
        <w:rPr>
          <w:rFonts w:ascii="Arial" w:hAnsi="Arial" w:cs="Arial"/>
          <w:b/>
          <w:bCs/>
          <w:sz w:val="22"/>
          <w:szCs w:val="22"/>
        </w:rPr>
        <w:t>Overview of the NHS App</w:t>
      </w:r>
    </w:p>
    <w:p w14:paraId="04B2B793">
      <w:pPr>
        <w:spacing w:line="480" w:lineRule="auto"/>
        <w:ind w:firstLine="720"/>
        <w:rPr>
          <w:rFonts w:ascii="Arial" w:hAnsi="Arial" w:cs="Arial"/>
          <w:sz w:val="22"/>
          <w:szCs w:val="22"/>
        </w:rPr>
      </w:pPr>
      <w:r>
        <w:rPr>
          <w:rFonts w:ascii="Arial" w:hAnsi="Arial" w:cs="Arial"/>
          <w:sz w:val="22"/>
          <w:szCs w:val="22"/>
        </w:rPr>
        <w:t>About the NHS App As a digital portal created to facilitate better access of health-related matters to the public, NHS app is the main product offered by NHS England. This tool is aligned with NHS long-term plan, a document advocating the use of digital services to upgrade healthcare and offer patients a better experience (Health and Wellbeing Board, 2021). The NHS app also enables the patient to, in case of an appointment, make a change by either booking/canceling or getting the repeat prescription to somewhat, get the medical notes, and to get health messages from NHS.</w:t>
      </w:r>
    </w:p>
    <w:p w14:paraId="19078B4C">
      <w:pPr>
        <w:spacing w:line="480" w:lineRule="auto"/>
        <w:ind w:firstLine="720"/>
        <w:rPr>
          <w:rFonts w:ascii="Arial" w:hAnsi="Arial" w:cs="Arial"/>
          <w:sz w:val="22"/>
          <w:szCs w:val="22"/>
        </w:rPr>
      </w:pPr>
      <w:r>
        <w:rPr>
          <w:rFonts w:ascii="Arial" w:hAnsi="Arial" w:cs="Arial"/>
          <w:sz w:val="22"/>
          <w:szCs w:val="22"/>
        </w:rPr>
        <w:t>The app has been popularised at such a scale that based on the latest numbers, as of 2024, NHS England stated that over 35 million individuals had signed up for the use of the app, which shows the trust that the public has towards digital healthcare. The point to be made Still is that Truth is a lot of people sign up does not necessarily mean that a lot of people actively use the service as those who sign up still face obstacles like limited digital skills, no reliable internet access, or no appropriate devices (National Institute of Health and Care Excellence, 2021). The NHS App is That means not just a message medium. It is a major step in digital reformation aiming to speed up processes, deepen patient engagement, and promote a whole-system integrated health care model in England.</w:t>
      </w:r>
    </w:p>
    <w:p w14:paraId="51779C74">
      <w:pPr>
        <w:jc w:val="center"/>
        <w:rPr>
          <w:rFonts w:ascii="Arial" w:hAnsi="Arial" w:cs="Arial"/>
          <w:b/>
          <w:bCs/>
          <w:sz w:val="22"/>
          <w:szCs w:val="22"/>
        </w:rPr>
      </w:pPr>
      <w:r>
        <w:rPr>
          <w:rFonts w:ascii="Arial" w:hAnsi="Arial" w:cs="Arial"/>
          <w:b/>
          <w:bCs/>
          <w:sz w:val="22"/>
          <w:szCs w:val="22"/>
        </w:rPr>
        <w:t>Impact on the Healthcare Workforce</w:t>
      </w:r>
    </w:p>
    <w:p w14:paraId="2075D775">
      <w:pPr>
        <w:spacing w:line="480" w:lineRule="auto"/>
        <w:ind w:firstLine="720"/>
        <w:rPr>
          <w:rFonts w:ascii="Arial" w:hAnsi="Arial" w:cs="Arial"/>
          <w:sz w:val="22"/>
          <w:szCs w:val="22"/>
        </w:rPr>
      </w:pPr>
      <w:r>
        <w:rPr>
          <w:rFonts w:ascii="Arial" w:hAnsi="Arial" w:cs="Arial"/>
          <w:sz w:val="22"/>
          <w:szCs w:val="22"/>
        </w:rPr>
        <w:t>Workforce The NHS App's arrival altered the work pattern of a number of professionals involved in patient care to the point where one might think that their roles have changed entirely, not only have routine workloads gone down since they started using it for booking and other related tasks but they also now are working with a much better source of patient knowledge. Besides that nowadays clinicians are expected also to keep up with technological change in their area (Topol, 2019).</w:t>
      </w:r>
    </w:p>
    <w:p w14:paraId="63D75BA0">
      <w:pPr>
        <w:spacing w:line="480" w:lineRule="auto"/>
        <w:ind w:firstLine="720"/>
        <w:rPr>
          <w:rFonts w:ascii="Arial" w:hAnsi="Arial" w:cs="Arial"/>
          <w:sz w:val="22"/>
          <w:szCs w:val="22"/>
        </w:rPr>
      </w:pPr>
      <w:r>
        <w:rPr>
          <w:rFonts w:ascii="Arial" w:hAnsi="Arial" w:cs="Arial"/>
          <w:sz w:val="22"/>
          <w:szCs w:val="22"/>
        </w:rPr>
        <w:t>Another great benefit that stands out as a clear and present advantage for the health care sector is the saving on man-hours for administrative functions. Patients can now book appointments and request repeat prescriptions without needing to ring the surgery to speak to the reception team. NHS England (2024) revealed the use of digital platforms has Much increased the number of bookings for GP services and the delivery of repeat prescriptions. That's why, staff who have hitherto been burdened with repetitive and time-consuming admin tasks can now give patients with complicated health issues the individual time and care they require on a daily basis.</w:t>
      </w:r>
    </w:p>
    <w:p w14:paraId="57E2E4D6">
      <w:pPr>
        <w:spacing w:line="480" w:lineRule="auto"/>
        <w:ind w:firstLine="720"/>
        <w:rPr>
          <w:rFonts w:ascii="Arial" w:hAnsi="Arial" w:cs="Arial"/>
          <w:sz w:val="22"/>
          <w:szCs w:val="22"/>
        </w:rPr>
      </w:pPr>
      <w:r>
        <w:rPr>
          <w:rFonts w:ascii="Arial" w:hAnsi="Arial" w:cs="Arial"/>
          <w:sz w:val="22"/>
          <w:szCs w:val="22"/>
        </w:rPr>
        <w:t>Digital record keeping has equally enhanced the work of the clinicians. Quick access to patients' records helps in prompt decision-making and at the same time preventing duplication and unnecessary treatments (NHS England, 2023). The clinicians' communication and coordination have improved through better information exchange and it also has helped the delivery of more coordinated care.</w:t>
      </w:r>
    </w:p>
    <w:p w14:paraId="3671CC2C">
      <w:pPr>
        <w:spacing w:line="480" w:lineRule="auto"/>
        <w:ind w:firstLine="720"/>
        <w:rPr>
          <w:rFonts w:ascii="Arial" w:hAnsi="Arial" w:cs="Arial"/>
          <w:sz w:val="22"/>
          <w:szCs w:val="22"/>
        </w:rPr>
      </w:pPr>
      <w:r>
        <w:rPr>
          <w:rFonts w:ascii="Arial" w:hAnsi="Arial" w:cs="Arial"/>
          <w:sz w:val="22"/>
          <w:szCs w:val="22"/>
        </w:rPr>
        <w:t>With a large extent of health services being digitized today it has also come with the risk factor that a major portion of population is less or not digitally-educated at all. So, the healthcare workers need to be digitally ready all the time so as not get caught in the technological storm. Health Education England (2023) considers digital skill as one of the vital elements of a professional workforce in this digitization age. This means that apart from training and development, health organizations ought to make available facilities for continuous professional education to prepare their workforce for change in technology.</w:t>
      </w:r>
    </w:p>
    <w:p w14:paraId="46B27313">
      <w:pPr>
        <w:spacing w:line="480" w:lineRule="auto"/>
        <w:ind w:firstLine="720"/>
        <w:rPr>
          <w:rFonts w:ascii="Arial" w:hAnsi="Arial" w:cs="Arial"/>
          <w:sz w:val="22"/>
          <w:szCs w:val="22"/>
        </w:rPr>
      </w:pPr>
      <w:r>
        <w:rPr>
          <w:rFonts w:ascii="Arial" w:hAnsi="Arial" w:cs="Arial"/>
          <w:sz w:val="22"/>
          <w:szCs w:val="22"/>
        </w:rPr>
        <w:t>Digitally, keeping private and medical health information of the patients is yet another significant challenge for the healthcare professionals. The growing reliance on digital records means they should be more careful in meeting regulations like UK General Data Protection Regulation (UK GDPR) (Information Commissioner's Office, 2023). Failure to maintain standards of information management or a breach in cybersecurity may not only ruin the trust of patients but also risk the disclosure of such personal health details which may seriously affect the patient's privacy.</w:t>
      </w:r>
    </w:p>
    <w:p w14:paraId="46F5777E">
      <w:pPr>
        <w:spacing w:line="480" w:lineRule="auto"/>
        <w:ind w:firstLine="720"/>
        <w:rPr>
          <w:rFonts w:ascii="Arial" w:hAnsi="Arial" w:cs="Arial"/>
          <w:sz w:val="22"/>
          <w:szCs w:val="22"/>
        </w:rPr>
      </w:pPr>
      <w:r>
        <w:rPr>
          <w:rFonts w:ascii="Arial" w:hAnsi="Arial" w:cs="Arial"/>
          <w:sz w:val="22"/>
          <w:szCs w:val="22"/>
        </w:rPr>
        <w:t>One of the key points to look into here is workforce adjustment. The adoption of digital technology has come easily to many, yet in others it has taken quite a while to get there. If digital confidence varies among the workforce, that might mean an imbalance in the working environment and slow down the implementation of a project as the organization may not have adequate support for employees to learn. From the point of view of a successful manager, that he or she makes the workplace a safe space for new technology and also helps the employees adapt to it through various means like trainings and the like. Strong leadership is required to navigate the team through the digital change so that they do not resist it, but embrace it.</w:t>
      </w:r>
    </w:p>
    <w:p w14:paraId="51F60393">
      <w:pPr>
        <w:spacing w:line="480" w:lineRule="auto"/>
        <w:ind w:firstLine="720"/>
        <w:rPr>
          <w:rFonts w:ascii="Arial" w:hAnsi="Arial" w:cs="Arial"/>
          <w:sz w:val="22"/>
          <w:szCs w:val="22"/>
        </w:rPr>
      </w:pPr>
      <w:r>
        <w:rPr>
          <w:rFonts w:ascii="Arial" w:hAnsi="Arial" w:cs="Arial"/>
          <w:sz w:val="22"/>
          <w:szCs w:val="22"/>
        </w:rPr>
        <w:t>It is also clear that at times the use of digital technology does not always result in a workload decrease. For example, if it allows patients to contact the hospital more easily, there are more consultation requests as a result. Smart et al. (2022) found instances where services delivered entirely online generated more requests for consultations than the offline mode that used to get the people in person. That suggests that technology alone will not relieve the pressure placed upon the workforce unless proper planning and allocation of resources go hand in hand with it.</w:t>
      </w:r>
    </w:p>
    <w:p w14:paraId="3B6862F8">
      <w:pPr>
        <w:jc w:val="center"/>
        <w:rPr>
          <w:rFonts w:ascii="Arial" w:hAnsi="Arial" w:cs="Arial"/>
          <w:b/>
          <w:bCs/>
          <w:sz w:val="22"/>
          <w:szCs w:val="22"/>
        </w:rPr>
      </w:pPr>
      <w:r>
        <w:rPr>
          <w:rFonts w:ascii="Arial" w:hAnsi="Arial" w:cs="Arial"/>
          <w:b/>
          <w:bCs/>
          <w:sz w:val="22"/>
          <w:szCs w:val="22"/>
        </w:rPr>
        <w:t>Impact on Service Delivery</w:t>
      </w:r>
    </w:p>
    <w:p w14:paraId="28FF4B53">
      <w:pPr>
        <w:spacing w:line="480" w:lineRule="auto"/>
        <w:ind w:firstLine="720"/>
        <w:rPr>
          <w:rFonts w:ascii="Arial" w:hAnsi="Arial" w:cs="Arial"/>
          <w:sz w:val="22"/>
          <w:szCs w:val="22"/>
        </w:rPr>
      </w:pPr>
      <w:r>
        <w:rPr>
          <w:rFonts w:ascii="Arial" w:hAnsi="Arial" w:cs="Arial"/>
          <w:sz w:val="22"/>
          <w:szCs w:val="22"/>
        </w:rPr>
        <w:t>Digitization has brought about major changes in the ways that services in healthcare are provided to the people in England. Many of the medical issues which used to need someone to speak either through a phone or actually visit the clinic can now be sorted through the use of the internet and this development will continue to have positive impact on the way services are delivered. It also aligns with the NHS England's mission of providing a more patient-friendly care that is also very convenient and efficient at the same time (NHS England, 2019).</w:t>
      </w:r>
    </w:p>
    <w:p w14:paraId="64F984A5">
      <w:pPr>
        <w:spacing w:line="480" w:lineRule="auto"/>
        <w:ind w:firstLine="720"/>
        <w:rPr>
          <w:rFonts w:ascii="Arial" w:hAnsi="Arial" w:cs="Arial"/>
          <w:sz w:val="22"/>
          <w:szCs w:val="22"/>
        </w:rPr>
      </w:pPr>
      <w:r>
        <w:rPr>
          <w:rFonts w:ascii="Arial" w:hAnsi="Arial" w:cs="Arial"/>
          <w:sz w:val="22"/>
          <w:szCs w:val="22"/>
        </w:rPr>
        <w:t>The most significant achievement from digitisation has to do with appointment scheduling. Patients can now handle booking and cancellation themselves. Because of this, it is not only that staff are left with very few jobs to do and that telephone queues are getting reduced, but administrative teams are also able to handle patient-related matters that require a high level of attention and skills.</w:t>
      </w:r>
    </w:p>
    <w:p w14:paraId="53629172">
      <w:pPr>
        <w:spacing w:line="480" w:lineRule="auto"/>
        <w:ind w:firstLine="720"/>
        <w:rPr>
          <w:rFonts w:ascii="Arial" w:hAnsi="Arial" w:cs="Arial"/>
          <w:sz w:val="22"/>
          <w:szCs w:val="22"/>
        </w:rPr>
      </w:pPr>
      <w:r>
        <w:rPr>
          <w:rFonts w:ascii="Arial" w:hAnsi="Arial" w:cs="Arial"/>
          <w:sz w:val="22"/>
          <w:szCs w:val="22"/>
        </w:rPr>
        <w:t>The app can also handle digital repeat prescriptions for patients. Individuals with ongoing health needs are able to obtain their medicines quicker, cutting down paperwork and also helping them stay on the same track of treatment. NICE (2023) states digital prescription systems can enhance patient safety by making fewer mistakes and enabling more time-efficient medication management.</w:t>
      </w:r>
    </w:p>
    <w:p w14:paraId="0772A4A6">
      <w:pPr>
        <w:spacing w:line="480" w:lineRule="auto"/>
        <w:ind w:firstLine="720"/>
        <w:rPr>
          <w:rFonts w:ascii="Arial" w:hAnsi="Arial" w:cs="Arial"/>
          <w:sz w:val="22"/>
          <w:szCs w:val="22"/>
        </w:rPr>
      </w:pPr>
      <w:r>
        <w:rPr>
          <w:rFonts w:ascii="Arial" w:hAnsi="Arial" w:cs="Arial"/>
          <w:sz w:val="22"/>
          <w:szCs w:val="22"/>
        </w:rPr>
        <w:t>A significant advantage is gaining access to medical records at the click of a button. Patients can see test results, check vaccines and look at consultation summaries, thus,  greater active patient involvement in the health care decisions-making process. Greenhalgh et al. (2022) suggest that easier access to private medical data enhances the patient engagement level and at the same time supports long-term self-direction.</w:t>
      </w:r>
    </w:p>
    <w:p w14:paraId="54232CCD">
      <w:pPr>
        <w:spacing w:line="480" w:lineRule="auto"/>
        <w:ind w:firstLine="720"/>
        <w:rPr>
          <w:rFonts w:ascii="Arial" w:hAnsi="Arial" w:cs="Arial"/>
          <w:sz w:val="22"/>
          <w:szCs w:val="22"/>
        </w:rPr>
      </w:pPr>
      <w:r>
        <w:rPr>
          <w:rFonts w:ascii="Arial" w:hAnsi="Arial" w:cs="Arial"/>
          <w:sz w:val="22"/>
          <w:szCs w:val="22"/>
        </w:rPr>
        <w:t>However, the delivery of services still varies in England as different GP practices have offered more digital services than others because it is up to the locality to allocate the implementation of the digital services on their resources and level of digital readiness. This situation leads to different patient experiences and a barrier equal access to digital healthcare (King's Fund, 2023).</w:t>
      </w:r>
    </w:p>
    <w:p w14:paraId="528B9AE0">
      <w:pPr>
        <w:jc w:val="center"/>
        <w:rPr>
          <w:rFonts w:ascii="Arial" w:hAnsi="Arial" w:cs="Arial"/>
          <w:b/>
          <w:bCs/>
          <w:sz w:val="22"/>
          <w:szCs w:val="22"/>
        </w:rPr>
      </w:pPr>
      <w:r>
        <w:rPr>
          <w:rFonts w:ascii="Arial" w:hAnsi="Arial" w:cs="Arial"/>
          <w:b/>
          <w:bCs/>
          <w:sz w:val="22"/>
          <w:szCs w:val="22"/>
        </w:rPr>
        <w:t>Impact on Patients and Service Users</w:t>
      </w:r>
    </w:p>
    <w:p w14:paraId="196BF203">
      <w:pPr>
        <w:spacing w:line="480" w:lineRule="auto"/>
        <w:ind w:firstLine="720"/>
        <w:rPr>
          <w:rFonts w:ascii="Arial" w:hAnsi="Arial" w:cs="Arial"/>
          <w:sz w:val="22"/>
          <w:szCs w:val="22"/>
        </w:rPr>
      </w:pPr>
      <w:r>
        <w:rPr>
          <w:rFonts w:ascii="Arial" w:hAnsi="Arial" w:cs="Arial"/>
          <w:sz w:val="22"/>
          <w:szCs w:val="22"/>
        </w:rPr>
        <w:t>Through the NHS App, patients can get their way to healthcare easier and can have the opportunity of being the masters of their own health data as well as healthcare services. Rather than just using telephone calls or face-to-face meetings patients are also able to manage lots of activities without the need to be physically present. Such a feature supports the NHS vision of person-centered care that encourages clients to be active in managing of their own health (NHS England, 2019).</w:t>
      </w:r>
    </w:p>
    <w:p w14:paraId="5D301536">
      <w:pPr>
        <w:spacing w:line="480" w:lineRule="auto"/>
        <w:ind w:firstLine="720"/>
        <w:rPr>
          <w:rFonts w:ascii="Arial" w:hAnsi="Arial" w:cs="Arial"/>
          <w:sz w:val="22"/>
          <w:szCs w:val="22"/>
        </w:rPr>
      </w:pPr>
      <w:r>
        <w:rPr>
          <w:rFonts w:ascii="Arial" w:hAnsi="Arial" w:cs="Arial"/>
          <w:sz w:val="22"/>
          <w:szCs w:val="22"/>
        </w:rPr>
        <w:t>An important advantage is that one can get medical treatment without having to wait and physically go to the doctor.  This facility will prove useful for those suffering from chronic illnesses as their condition takes a very frequent and regular interaction with healthcare services. Greenhalgh et al. (2022) say if patients can digitally get the needed information then it will be easier for them to monitor and take the best care of their condition so they can discuss it with doctors. This way, many patients will feel more relaxed and be satisfied with the healthcare provided.</w:t>
      </w:r>
    </w:p>
    <w:p w14:paraId="18AA9455">
      <w:pPr>
        <w:spacing w:line="480" w:lineRule="auto"/>
        <w:ind w:firstLine="720"/>
        <w:rPr>
          <w:rFonts w:ascii="Arial" w:hAnsi="Arial" w:cs="Arial"/>
          <w:sz w:val="22"/>
          <w:szCs w:val="22"/>
        </w:rPr>
      </w:pPr>
      <w:r>
        <w:rPr>
          <w:rFonts w:ascii="Arial" w:hAnsi="Arial" w:cs="Arial"/>
          <w:sz w:val="22"/>
          <w:szCs w:val="22"/>
        </w:rPr>
        <w:t>By giving them access to the parts of the medical record they would need the NHS App makes patient interaction more direct. More informed patients are in a better position to make decisions plus their carers so patients with more healthcare knowledge can easily see the rationale of their treatment and follow the instructions better.  NICE (2023)notes that this will ultimately result in improved patient outcomes.</w:t>
      </w:r>
    </w:p>
    <w:p w14:paraId="630940F1">
      <w:pPr>
        <w:spacing w:line="480" w:lineRule="auto"/>
        <w:ind w:firstLine="720"/>
        <w:rPr>
          <w:rFonts w:ascii="Arial" w:hAnsi="Arial" w:cs="Arial"/>
          <w:sz w:val="22"/>
          <w:szCs w:val="22"/>
        </w:rPr>
      </w:pPr>
      <w:r>
        <w:rPr>
          <w:rFonts w:ascii="Arial" w:hAnsi="Arial" w:cs="Arial"/>
          <w:sz w:val="22"/>
          <w:szCs w:val="22"/>
        </w:rPr>
        <w:t>In addition, one of the NHS App functions during the pandemic was vaccination records keeping and a digital certificate service for entering a facility with no mask, which made it possible for the government and the NHS to communicate quickly with the public (DHSC,2022). The whole period emphasized how essential digital healthcare was when there was a surge of demand for healthcare.</w:t>
      </w:r>
    </w:p>
    <w:p w14:paraId="750D4300">
      <w:pPr>
        <w:spacing w:line="480" w:lineRule="auto"/>
        <w:ind w:firstLine="720"/>
        <w:rPr>
          <w:rFonts w:ascii="Arial" w:hAnsi="Arial" w:cs="Arial"/>
          <w:sz w:val="22"/>
          <w:szCs w:val="22"/>
        </w:rPr>
      </w:pPr>
      <w:r>
        <w:rPr>
          <w:rFonts w:ascii="Arial" w:hAnsi="Arial" w:cs="Arial"/>
          <w:sz w:val="22"/>
          <w:szCs w:val="22"/>
        </w:rPr>
        <w:t>In the contrary, digital exclusion is a serious barrier. It may be a problem for many categories of people like elderly people without digital capabilities, people with various disabilities, persons with limited computer skills, and people without internet access to use the application properly. Healthwatch England (2023), for instance, states the importance of preserving traditional healthcare methods because of introducing digital services as many patients still need to be supported in person. Without provision for alternative services, digital innovation consequently widens health inequalities that are already there.</w:t>
      </w:r>
    </w:p>
    <w:p w14:paraId="2DFDD50A">
      <w:pPr>
        <w:spacing w:line="480" w:lineRule="auto"/>
        <w:ind w:firstLine="720"/>
        <w:rPr>
          <w:rFonts w:ascii="Arial" w:hAnsi="Arial" w:cs="Arial"/>
          <w:sz w:val="22"/>
          <w:szCs w:val="22"/>
        </w:rPr>
      </w:pPr>
      <w:r>
        <w:rPr>
          <w:rFonts w:ascii="Arial" w:hAnsi="Arial" w:cs="Arial"/>
          <w:sz w:val="22"/>
          <w:szCs w:val="22"/>
        </w:rPr>
        <w:t>Security of data is yet another issue. Since the NHS application saves private health and personal details of users, ensuring that the app's security is bulletproof is vital. UK's healthcare organizations have to ensure privacy and maintain confidence with their patients by following the UK General Data Protection Regulation (UK GDPR) (Information Commissioner's Office, 2023). That means, people worried about keeping their personal data secure might feel unwilling to use digital services.</w:t>
      </w:r>
    </w:p>
    <w:p w14:paraId="7DE2B30D">
      <w:pPr>
        <w:jc w:val="center"/>
        <w:rPr>
          <w:rFonts w:ascii="Arial" w:hAnsi="Arial" w:cs="Arial"/>
          <w:b/>
          <w:bCs/>
          <w:sz w:val="22"/>
          <w:szCs w:val="22"/>
        </w:rPr>
      </w:pPr>
      <w:r>
        <w:rPr>
          <w:rFonts w:ascii="Arial" w:hAnsi="Arial" w:cs="Arial"/>
          <w:b/>
          <w:bCs/>
          <w:sz w:val="22"/>
          <w:szCs w:val="22"/>
        </w:rPr>
        <w:t>Impact on Communities</w:t>
      </w:r>
    </w:p>
    <w:p w14:paraId="3D4783E5">
      <w:pPr>
        <w:spacing w:line="480" w:lineRule="auto"/>
        <w:ind w:firstLine="720"/>
        <w:rPr>
          <w:rFonts w:ascii="Arial" w:hAnsi="Arial" w:cs="Arial"/>
          <w:sz w:val="22"/>
          <w:szCs w:val="22"/>
        </w:rPr>
      </w:pPr>
      <w:r>
        <w:rPr>
          <w:rFonts w:ascii="Arial" w:hAnsi="Arial" w:cs="Arial"/>
          <w:sz w:val="22"/>
          <w:szCs w:val="22"/>
        </w:rPr>
        <w:t>Beyond just individual patients, the NHS has influenced healthcare through increasing the availability of healthcare services and strengthening public health throughout communities. , Because of this, lowering the requirement for the movement in unnecessary travel and increasing the convenience to access services, among others.</w:t>
      </w:r>
    </w:p>
    <w:p w14:paraId="7B9BCDDE">
      <w:pPr>
        <w:spacing w:line="480" w:lineRule="auto"/>
        <w:ind w:firstLine="720"/>
        <w:rPr>
          <w:rFonts w:ascii="Arial" w:hAnsi="Arial" w:cs="Arial"/>
          <w:sz w:val="22"/>
          <w:szCs w:val="22"/>
        </w:rPr>
      </w:pPr>
      <w:r>
        <w:rPr>
          <w:rFonts w:ascii="Arial" w:hAnsi="Arial" w:cs="Arial"/>
          <w:sz w:val="22"/>
          <w:szCs w:val="22"/>
        </w:rPr>
        <w:t>One big benefit for people living remote or lonely is that their access to health services is getting easier. They can even get medicines or change medical appointments or consult with a doctor without going very far. This way, not only they save a lot of time and money, but also gain access to a very wide range of health services if necessary (The King's Fund, 2023).</w:t>
      </w:r>
    </w:p>
    <w:p w14:paraId="2335AA26">
      <w:pPr>
        <w:spacing w:line="480" w:lineRule="auto"/>
        <w:ind w:firstLine="720"/>
        <w:rPr>
          <w:rFonts w:ascii="Arial" w:hAnsi="Arial" w:cs="Arial"/>
          <w:sz w:val="22"/>
          <w:szCs w:val="22"/>
        </w:rPr>
      </w:pPr>
      <w:r>
        <w:rPr>
          <w:rFonts w:ascii="Arial" w:hAnsi="Arial" w:cs="Arial"/>
          <w:sz w:val="22"/>
          <w:szCs w:val="22"/>
        </w:rPr>
        <w:t>The app is also helping with making health a lifestyle. The system, for example, sends patients messages reminding them of vaccinations, medical examinations and regular appointments which ultimately encourage individuals to seek timely help and take actions for disease prevention. As it is put by NHS England (2024), digital alerts lead not just to higher involvement at the community level, but overall population health gets improved as well.</w:t>
      </w:r>
    </w:p>
    <w:p w14:paraId="5CCD27E1">
      <w:pPr>
        <w:spacing w:line="480" w:lineRule="auto"/>
        <w:ind w:firstLine="720"/>
        <w:rPr>
          <w:rFonts w:ascii="Arial" w:hAnsi="Arial" w:cs="Arial"/>
          <w:sz w:val="22"/>
          <w:szCs w:val="22"/>
        </w:rPr>
      </w:pPr>
      <w:r>
        <w:rPr>
          <w:rFonts w:ascii="Arial" w:hAnsi="Arial" w:cs="Arial"/>
          <w:sz w:val="22"/>
          <w:szCs w:val="22"/>
        </w:rPr>
        <w:t>Family members or the carers are also enjoying the benefits of technology in healthcare. Upon the patient's agreement carers for instance, can monitor medication and plan appointments with less difficulty. Enhanced communication among medical staff, carers and patients brings care coordination to another level, which is very important Mostly for elderly patients and those with long-standing health conditions.</w:t>
      </w:r>
    </w:p>
    <w:p w14:paraId="457FC5CB">
      <w:pPr>
        <w:spacing w:line="480" w:lineRule="auto"/>
        <w:ind w:firstLine="720"/>
        <w:rPr>
          <w:rFonts w:ascii="Arial" w:hAnsi="Arial" w:cs="Arial"/>
          <w:sz w:val="22"/>
          <w:szCs w:val="22"/>
        </w:rPr>
      </w:pPr>
      <w:r>
        <w:rPr>
          <w:rFonts w:ascii="Arial" w:hAnsi="Arial" w:cs="Arial"/>
          <w:sz w:val="22"/>
          <w:szCs w:val="22"/>
        </w:rPr>
        <w:t>On another front, digital poverty is still a major cause for concern. Communities that do not have enough access to the Internet, are facing financial difficulties or have little confidence in digital means might not reap the same rewards from digital health care services. Healthwatch England (2023) asserts that the lack of access to the technology widens the existing health inequalities, particularly where the services of traditional medicine become less available.</w:t>
      </w:r>
    </w:p>
    <w:p w14:paraId="51D3DB88">
      <w:pPr>
        <w:spacing w:line="480" w:lineRule="auto"/>
        <w:ind w:firstLine="720"/>
        <w:rPr>
          <w:rFonts w:ascii="Arial" w:hAnsi="Arial" w:cs="Arial"/>
          <w:sz w:val="22"/>
          <w:szCs w:val="22"/>
        </w:rPr>
      </w:pPr>
      <w:r>
        <w:rPr>
          <w:rFonts w:ascii="Arial" w:hAnsi="Arial" w:cs="Arial"/>
          <w:sz w:val="22"/>
          <w:szCs w:val="22"/>
        </w:rPr>
        <w:t>In addition, a greater shift to digital means of communication might cause less face-to-face interaction between sick people and their healthcare practitioners. These one-on-one talks are usually the patients' time for getting comfort and also for the clinicians detecting some issues that may have gone unnoticed during a digital conversation. That is, tech tools have to be a part of human care, not a replacement.</w:t>
      </w:r>
    </w:p>
    <w:p w14:paraId="7BA573A3">
      <w:pPr>
        <w:rPr>
          <w:rFonts w:ascii="Arial" w:hAnsi="Arial" w:cs="Arial"/>
          <w:sz w:val="22"/>
          <w:szCs w:val="22"/>
        </w:rPr>
      </w:pPr>
    </w:p>
    <w:p w14:paraId="15523279">
      <w:pPr>
        <w:jc w:val="center"/>
        <w:rPr>
          <w:rFonts w:ascii="Arial" w:hAnsi="Arial" w:cs="Arial"/>
          <w:b/>
          <w:bCs/>
          <w:sz w:val="22"/>
          <w:szCs w:val="22"/>
        </w:rPr>
      </w:pPr>
      <w:r>
        <w:rPr>
          <w:rFonts w:ascii="Arial" w:hAnsi="Arial" w:cs="Arial"/>
          <w:b/>
          <w:bCs/>
          <w:sz w:val="22"/>
          <w:szCs w:val="22"/>
        </w:rPr>
        <w:t>Critical Evaluation of the NHS App</w:t>
      </w:r>
    </w:p>
    <w:p w14:paraId="621E7C6F">
      <w:pPr>
        <w:spacing w:line="480" w:lineRule="auto"/>
        <w:ind w:firstLine="720"/>
        <w:rPr>
          <w:rFonts w:ascii="Arial" w:hAnsi="Arial" w:cs="Arial"/>
          <w:sz w:val="22"/>
          <w:szCs w:val="22"/>
        </w:rPr>
      </w:pPr>
      <w:r>
        <w:rPr>
          <w:rFonts w:ascii="Arial" w:hAnsi="Arial" w:cs="Arial"/>
          <w:sz w:val="22"/>
          <w:szCs w:val="22"/>
        </w:rPr>
        <w:t>NHS England switches between the manual steps to the online and by giving people the option of contacting through a mobile app, have not only made the patients' work easier but also improved overall ease of access, saving them going through administrative formalities. In addition, the change in technology has given them more ability to be engaged in their illness treatment. The transformation in digital form has given a massive boost to the availability of data by the health personnel in a timely fashion. Other things being equal, this supports, in part, the building of a system that seamlessly integrates different health services and that completely makes use of digital tools - one of the objectives laid down in the NHS Long Term Plan by NHS England (2019).</w:t>
      </w:r>
    </w:p>
    <w:p w14:paraId="4698A0F7">
      <w:pPr>
        <w:spacing w:line="480" w:lineRule="auto"/>
        <w:ind w:firstLine="720"/>
        <w:rPr>
          <w:rFonts w:ascii="Arial" w:hAnsi="Arial" w:cs="Arial"/>
          <w:sz w:val="22"/>
          <w:szCs w:val="22"/>
        </w:rPr>
      </w:pPr>
      <w:r>
        <w:rPr>
          <w:rFonts w:ascii="Arial" w:hAnsi="Arial" w:cs="Arial"/>
          <w:sz w:val="22"/>
          <w:szCs w:val="22"/>
        </w:rPr>
        <w:t>Yet, technology cannot solve every healthcare problem. More online service may increase demand because of easier patient reach to services. Digital consultation systems can also be a factor increasing clinician workload, rather than a solution to it said Baines et al. (2023). So, technology alone is no way a workforce pressure reliever.</w:t>
      </w:r>
    </w:p>
    <w:p w14:paraId="70ED1BDD">
      <w:pPr>
        <w:spacing w:line="480" w:lineRule="auto"/>
        <w:ind w:firstLine="720"/>
        <w:rPr>
          <w:rFonts w:ascii="Arial" w:hAnsi="Arial" w:cs="Arial"/>
          <w:sz w:val="22"/>
          <w:szCs w:val="22"/>
        </w:rPr>
      </w:pPr>
      <w:r>
        <w:rPr>
          <w:rFonts w:ascii="Arial" w:hAnsi="Arial" w:cs="Arial"/>
          <w:sz w:val="22"/>
          <w:szCs w:val="22"/>
        </w:rPr>
        <w:t>Effective implementation also is reliant upon training of employees, good leadership and robust cybersecurity measures. There is a need to continue investing so that health care professionals get updated with technology and that patients' safety and confidentiality are not compromised as described by Topol (2019). So, the introduction of new digital tools is to be seen as a part of changes in the organisation rather than just a technological development on its own.</w:t>
      </w:r>
    </w:p>
    <w:p w14:paraId="5352D596">
      <w:pPr>
        <w:rPr>
          <w:rFonts w:ascii="Arial" w:hAnsi="Arial" w:cs="Arial"/>
          <w:b/>
          <w:bCs/>
          <w:sz w:val="22"/>
          <w:szCs w:val="22"/>
        </w:rPr>
      </w:pPr>
      <w:r>
        <w:rPr>
          <w:rFonts w:ascii="Arial" w:hAnsi="Arial" w:cs="Arial"/>
          <w:b/>
          <w:bCs/>
          <w:sz w:val="22"/>
          <w:szCs w:val="22"/>
        </w:rPr>
        <w:t>Conclusion</w:t>
      </w:r>
    </w:p>
    <w:p w14:paraId="78FAFE1B">
      <w:pPr>
        <w:spacing w:line="480" w:lineRule="auto"/>
        <w:ind w:firstLine="720"/>
        <w:rPr>
          <w:rFonts w:ascii="Arial" w:hAnsi="Arial" w:cs="Arial"/>
          <w:sz w:val="22"/>
          <w:szCs w:val="22"/>
        </w:rPr>
      </w:pPr>
      <w:r>
        <w:rPr>
          <w:rFonts w:ascii="Arial" w:hAnsi="Arial" w:cs="Arial"/>
          <w:sz w:val="22"/>
          <w:szCs w:val="22"/>
        </w:rPr>
        <w:t>The NHS App has become one of the key digital inventions of the UK healthcare and social care sector of the last eleven years. The app has enhanced the quality of healthcare delivery through the facilitation of the processes like making an Appointment, getting a Prescription and accessing Medical Notes while empowering the patients to decide on their own treatment with greater involvement.</w:t>
      </w:r>
    </w:p>
    <w:p w14:paraId="4FF35B87">
      <w:pPr>
        <w:spacing w:line="480" w:lineRule="auto"/>
        <w:ind w:firstLine="720"/>
        <w:rPr>
          <w:rFonts w:ascii="Arial" w:hAnsi="Arial" w:cs="Arial"/>
          <w:sz w:val="22"/>
          <w:szCs w:val="22"/>
        </w:rPr>
      </w:pPr>
      <w:r>
        <w:rPr>
          <w:rFonts w:ascii="Arial" w:hAnsi="Arial" w:cs="Arial"/>
          <w:sz w:val="22"/>
          <w:szCs w:val="22"/>
        </w:rPr>
        <w:t>Along with these advantages there are still problems to solve. Digital exclusion, problems of cybersecurity and unequal access prove that technology alone will not guarantee equitable healthcare delivery. To continue enjoying all the positives of the NHS App while also reducing inequalities the investment in staff training, digital infrastructure and public literacy should be continued. In short, the NHS App has was key in digital transformation of NHS. Though, the question of whether it will achieve success for a long period of time is still very much open.</w:t>
      </w:r>
    </w:p>
    <w:p w14:paraId="460B1E7D">
      <w:pPr>
        <w:spacing w:line="480" w:lineRule="auto"/>
        <w:ind w:firstLine="720"/>
        <w:rPr>
          <w:rFonts w:ascii="Arial" w:hAnsi="Arial" w:cs="Arial"/>
          <w:sz w:val="22"/>
          <w:szCs w:val="22"/>
        </w:rPr>
      </w:pPr>
      <w:r>
        <w:rPr>
          <w:rFonts w:ascii="Arial" w:hAnsi="Arial" w:cs="Arial"/>
          <w:sz w:val="22"/>
          <w:szCs w:val="22"/>
        </w:rPr>
        <w:t>Consequently, the NHS App has been a good way for the NHS to start its digital change. But if it is to achieve lasting success then it will have to walk the fine line between technical advances and delivering care that is not only inclusive but also safe and puts the patient at its core.</w:t>
      </w:r>
    </w:p>
    <w:p w14:paraId="68491E09">
      <w:pPr>
        <w:rPr>
          <w:rFonts w:ascii="Arial" w:hAnsi="Arial" w:cs="Arial"/>
          <w:sz w:val="22"/>
          <w:szCs w:val="22"/>
        </w:rPr>
      </w:pPr>
    </w:p>
    <w:p w14:paraId="58123E92">
      <w:pPr>
        <w:rPr>
          <w:rFonts w:ascii="Arial" w:hAnsi="Arial" w:cs="Arial"/>
          <w:sz w:val="22"/>
          <w:szCs w:val="22"/>
        </w:rPr>
      </w:pPr>
    </w:p>
    <w:p w14:paraId="116EA365">
      <w:pPr>
        <w:rPr>
          <w:rFonts w:ascii="Arial" w:hAnsi="Arial" w:cs="Arial"/>
          <w:b/>
          <w:bCs/>
          <w:sz w:val="22"/>
          <w:szCs w:val="22"/>
        </w:rPr>
      </w:pPr>
      <w:r>
        <w:rPr>
          <w:rFonts w:ascii="Arial" w:hAnsi="Arial" w:cs="Arial"/>
          <w:b/>
          <w:bCs/>
          <w:sz w:val="22"/>
          <w:szCs w:val="22"/>
        </w:rPr>
        <w:br w:type="page"/>
      </w:r>
    </w:p>
    <w:p w14:paraId="4EF7582E">
      <w:pPr>
        <w:jc w:val="center"/>
        <w:rPr>
          <w:rFonts w:ascii="Arial" w:hAnsi="Arial" w:cs="Arial"/>
          <w:b/>
          <w:bCs/>
          <w:sz w:val="22"/>
          <w:szCs w:val="22"/>
        </w:rPr>
      </w:pPr>
      <w:r>
        <w:rPr>
          <w:rFonts w:ascii="Arial" w:hAnsi="Arial" w:cs="Arial"/>
          <w:b/>
          <w:bCs/>
          <w:sz w:val="22"/>
          <w:szCs w:val="22"/>
        </w:rPr>
        <w:t>Reference List</w:t>
      </w:r>
    </w:p>
    <w:p w14:paraId="0B25AB05">
      <w:pPr>
        <w:ind w:left="720" w:hanging="720"/>
        <w:rPr>
          <w:rFonts w:ascii="Arial" w:hAnsi="Arial" w:cs="Arial"/>
          <w:sz w:val="22"/>
          <w:szCs w:val="22"/>
        </w:rPr>
      </w:pPr>
      <w:r>
        <w:rPr>
          <w:rFonts w:ascii="Arial" w:hAnsi="Arial" w:cs="Arial"/>
          <w:sz w:val="22"/>
          <w:szCs w:val="22"/>
        </w:rPr>
        <w:t xml:space="preserve">Department of Health and Social Care (2022). </w:t>
      </w:r>
      <w:r>
        <w:rPr>
          <w:rFonts w:ascii="Arial" w:hAnsi="Arial" w:cs="Arial"/>
          <w:i/>
          <w:iCs/>
          <w:sz w:val="22"/>
          <w:szCs w:val="22"/>
        </w:rPr>
        <w:t>A Plan for Digital Health and Social Care</w:t>
      </w:r>
      <w:r>
        <w:rPr>
          <w:rFonts w:ascii="Arial" w:hAnsi="Arial" w:cs="Arial"/>
          <w:sz w:val="22"/>
          <w:szCs w:val="22"/>
        </w:rPr>
        <w:t>. [online] GOV.UK. Available at: https://www.gov.uk/government/publications/a-plan-for-digital-health-and-social-care/a-plan-for-digital-health-and-social-care [Accessed 18 July 2026].</w:t>
      </w:r>
    </w:p>
    <w:p w14:paraId="3F1EA446">
      <w:pPr>
        <w:ind w:left="720" w:hanging="720"/>
        <w:rPr>
          <w:rFonts w:ascii="Arial" w:hAnsi="Arial" w:cs="Arial"/>
          <w:sz w:val="22"/>
          <w:szCs w:val="22"/>
        </w:rPr>
      </w:pPr>
      <w:r>
        <w:rPr>
          <w:rFonts w:ascii="Arial" w:hAnsi="Arial" w:cs="Arial"/>
          <w:sz w:val="22"/>
          <w:szCs w:val="22"/>
        </w:rPr>
        <w:t xml:space="preserve">Greenhalgh, T., Wherton, J., Papoutsi, C., Lynch, J., Hughes, G., A’Court, C., Hinder, S., Fahy, N., Procter, R. and Shaw, S. (2022). Beyond Adoption: A New Framework for Theorizing and Evaluating Nonadoption, Abandonment, and Challenges to the Scale-Up, Spread, and Sustainability of Health and Care Technologies. </w:t>
      </w:r>
      <w:r>
        <w:rPr>
          <w:rFonts w:ascii="Arial" w:hAnsi="Arial" w:cs="Arial"/>
          <w:i/>
          <w:iCs/>
          <w:sz w:val="22"/>
          <w:szCs w:val="22"/>
        </w:rPr>
        <w:t>Journal of Medical Internet Research</w:t>
      </w:r>
      <w:r>
        <w:rPr>
          <w:rFonts w:ascii="Arial" w:hAnsi="Arial" w:cs="Arial"/>
          <w:sz w:val="22"/>
          <w:szCs w:val="22"/>
        </w:rPr>
        <w:t>, [online] 19(11). doi:10.2196/jmir.8775.</w:t>
      </w:r>
    </w:p>
    <w:p w14:paraId="1590F9E2">
      <w:pPr>
        <w:ind w:left="720" w:hanging="720"/>
        <w:rPr>
          <w:rFonts w:ascii="Arial" w:hAnsi="Arial" w:cs="Arial"/>
          <w:sz w:val="22"/>
          <w:szCs w:val="22"/>
        </w:rPr>
      </w:pPr>
      <w:r>
        <w:rPr>
          <w:rFonts w:ascii="Arial" w:hAnsi="Arial" w:cs="Arial"/>
          <w:sz w:val="22"/>
          <w:szCs w:val="22"/>
        </w:rPr>
        <w:t xml:space="preserve">Health Education England (2025). </w:t>
      </w:r>
      <w:r>
        <w:rPr>
          <w:rFonts w:ascii="Arial" w:hAnsi="Arial" w:cs="Arial"/>
          <w:i/>
          <w:iCs/>
          <w:sz w:val="22"/>
          <w:szCs w:val="22"/>
        </w:rPr>
        <w:t>Profession and Service Specific Digital Capabilities Frameworks | Workforce, training and education | NHS England</w:t>
      </w:r>
      <w:r>
        <w:rPr>
          <w:rFonts w:ascii="Arial" w:hAnsi="Arial" w:cs="Arial"/>
          <w:sz w:val="22"/>
          <w:szCs w:val="22"/>
        </w:rPr>
        <w:t>. [online] NHS England | Workforce, training and education | Digital Transformation. Available at: https://digital-transformation.hee.nhs.uk/support-for-organisations/digital-capabilities-frameworks [Accessed 18 July 2026].</w:t>
      </w:r>
    </w:p>
    <w:p w14:paraId="75CF0E84">
      <w:pPr>
        <w:ind w:left="720" w:hanging="720"/>
        <w:rPr>
          <w:rFonts w:ascii="Arial" w:hAnsi="Arial" w:cs="Arial"/>
          <w:sz w:val="22"/>
          <w:szCs w:val="22"/>
        </w:rPr>
      </w:pPr>
      <w:r>
        <w:rPr>
          <w:rFonts w:ascii="Arial" w:hAnsi="Arial" w:cs="Arial"/>
          <w:sz w:val="22"/>
          <w:szCs w:val="22"/>
        </w:rPr>
        <w:t xml:space="preserve">Healthwatch (2023). </w:t>
      </w:r>
      <w:r>
        <w:rPr>
          <w:rFonts w:ascii="Arial" w:hAnsi="Arial" w:cs="Arial"/>
          <w:i/>
          <w:iCs/>
          <w:sz w:val="22"/>
          <w:szCs w:val="22"/>
        </w:rPr>
        <w:t>Healthwatch | Your spotlight on health and social care services</w:t>
      </w:r>
      <w:r>
        <w:rPr>
          <w:rFonts w:ascii="Arial" w:hAnsi="Arial" w:cs="Arial"/>
          <w:sz w:val="22"/>
          <w:szCs w:val="22"/>
        </w:rPr>
        <w:t>. [online] Healthwatch.co.uk. Available at: https://www.healthwatch.co.uk/ [Accessed 18 July 2026].</w:t>
      </w:r>
    </w:p>
    <w:p w14:paraId="236CDFBB">
      <w:pPr>
        <w:ind w:left="720" w:hanging="720"/>
        <w:rPr>
          <w:rFonts w:ascii="Arial" w:hAnsi="Arial" w:cs="Arial"/>
          <w:sz w:val="22"/>
          <w:szCs w:val="22"/>
        </w:rPr>
      </w:pPr>
      <w:r>
        <w:rPr>
          <w:rFonts w:ascii="Arial" w:hAnsi="Arial" w:cs="Arial"/>
          <w:sz w:val="22"/>
          <w:szCs w:val="22"/>
        </w:rPr>
        <w:t xml:space="preserve">ICO (2023). </w:t>
      </w:r>
      <w:r>
        <w:rPr>
          <w:rFonts w:ascii="Arial" w:hAnsi="Arial" w:cs="Arial"/>
          <w:i/>
          <w:iCs/>
          <w:sz w:val="22"/>
          <w:szCs w:val="22"/>
        </w:rPr>
        <w:t>UK GDPR Guidance and Resources</w:t>
      </w:r>
      <w:r>
        <w:rPr>
          <w:rFonts w:ascii="Arial" w:hAnsi="Arial" w:cs="Arial"/>
          <w:sz w:val="22"/>
          <w:szCs w:val="22"/>
        </w:rPr>
        <w:t>. [online] Ico.org.uk. Available at: https://ico.org.uk/for-organisations/uk-gdpr-guidance-and-resources/ [Accessed 18 July 2026].</w:t>
      </w:r>
    </w:p>
    <w:p w14:paraId="22CFD37D">
      <w:pPr>
        <w:ind w:left="720" w:hanging="720"/>
        <w:rPr>
          <w:rFonts w:ascii="Arial" w:hAnsi="Arial" w:cs="Arial"/>
          <w:sz w:val="22"/>
          <w:szCs w:val="22"/>
        </w:rPr>
      </w:pPr>
      <w:r>
        <w:rPr>
          <w:rFonts w:ascii="Arial" w:hAnsi="Arial" w:cs="Arial"/>
          <w:sz w:val="22"/>
          <w:szCs w:val="22"/>
        </w:rPr>
        <w:t xml:space="preserve">National Institute for Health and Care Excellence (2023). </w:t>
      </w:r>
      <w:r>
        <w:rPr>
          <w:rFonts w:ascii="Arial" w:hAnsi="Arial" w:cs="Arial"/>
          <w:i/>
          <w:iCs/>
          <w:sz w:val="22"/>
          <w:szCs w:val="22"/>
        </w:rPr>
        <w:t>Overview | Shared Decision Making | Guidance | NICE</w:t>
      </w:r>
      <w:r>
        <w:rPr>
          <w:rFonts w:ascii="Arial" w:hAnsi="Arial" w:cs="Arial"/>
          <w:sz w:val="22"/>
          <w:szCs w:val="22"/>
        </w:rPr>
        <w:t>. [online] Www.nice.org.uk. Available at: https://www.nice.org.uk/guidance/ng197 [Accessed 18 July 2026].</w:t>
      </w:r>
    </w:p>
    <w:p w14:paraId="19F131FD">
      <w:pPr>
        <w:ind w:left="720" w:hanging="720"/>
        <w:rPr>
          <w:rFonts w:ascii="Arial" w:hAnsi="Arial" w:cs="Arial"/>
          <w:sz w:val="22"/>
          <w:szCs w:val="22"/>
        </w:rPr>
      </w:pPr>
      <w:r>
        <w:rPr>
          <w:rFonts w:ascii="Arial" w:hAnsi="Arial" w:cs="Arial"/>
          <w:sz w:val="22"/>
          <w:szCs w:val="22"/>
        </w:rPr>
        <w:t xml:space="preserve">NHS England (2023). </w:t>
      </w:r>
      <w:r>
        <w:rPr>
          <w:rFonts w:ascii="Arial" w:hAnsi="Arial" w:cs="Arial"/>
          <w:i/>
          <w:iCs/>
          <w:sz w:val="22"/>
          <w:szCs w:val="22"/>
        </w:rPr>
        <w:t>Digital transformation</w:t>
      </w:r>
      <w:r>
        <w:rPr>
          <w:rFonts w:ascii="Arial" w:hAnsi="Arial" w:cs="Arial"/>
          <w:sz w:val="22"/>
          <w:szCs w:val="22"/>
        </w:rPr>
        <w:t>. [online] England.nhs.uk. Available at: https://www.england.nhs.uk/digitaltechnology/ [Accessed 18 July 2026].</w:t>
      </w:r>
    </w:p>
    <w:p w14:paraId="551766A3">
      <w:pPr>
        <w:ind w:left="720" w:hanging="720"/>
        <w:rPr>
          <w:rFonts w:ascii="Arial" w:hAnsi="Arial" w:cs="Arial"/>
          <w:sz w:val="22"/>
          <w:szCs w:val="22"/>
        </w:rPr>
      </w:pPr>
      <w:r>
        <w:rPr>
          <w:rFonts w:ascii="Arial" w:hAnsi="Arial" w:cs="Arial"/>
          <w:sz w:val="22"/>
          <w:szCs w:val="22"/>
        </w:rPr>
        <w:t xml:space="preserve">NHS England (2024). </w:t>
      </w:r>
      <w:r>
        <w:rPr>
          <w:rFonts w:ascii="Arial" w:hAnsi="Arial" w:cs="Arial"/>
          <w:i/>
          <w:iCs/>
          <w:sz w:val="22"/>
          <w:szCs w:val="22"/>
        </w:rPr>
        <w:t>NHS App update</w:t>
      </w:r>
      <w:r>
        <w:rPr>
          <w:rFonts w:ascii="Arial" w:hAnsi="Arial" w:cs="Arial"/>
          <w:sz w:val="22"/>
          <w:szCs w:val="22"/>
        </w:rPr>
        <w:t>. [online] Available at: https://www.england.nhs.uk/wp-content/uploads/2024/01/item-8-annex-nhs-app.pdf [Accessed 18 July 2026].</w:t>
      </w:r>
    </w:p>
    <w:p w14:paraId="7DC97019">
      <w:pPr>
        <w:ind w:left="720" w:hanging="720"/>
        <w:rPr>
          <w:rFonts w:ascii="Arial" w:hAnsi="Arial" w:cs="Arial"/>
          <w:sz w:val="22"/>
          <w:szCs w:val="22"/>
        </w:rPr>
      </w:pPr>
      <w:r>
        <w:rPr>
          <w:rFonts w:ascii="Arial" w:hAnsi="Arial" w:cs="Arial"/>
          <w:sz w:val="22"/>
          <w:szCs w:val="22"/>
        </w:rPr>
        <w:t xml:space="preserve">Smart, C., Newman, C., Hartill, L., Bunce, S. and McCormick, J. (2022). Workload effects of online consultation implementation from a Job-Characteristics Model perspective: A qualitative study. </w:t>
      </w:r>
      <w:r>
        <w:rPr>
          <w:rFonts w:ascii="Arial" w:hAnsi="Arial" w:cs="Arial"/>
          <w:i/>
          <w:iCs/>
          <w:sz w:val="22"/>
          <w:szCs w:val="22"/>
        </w:rPr>
        <w:t>BJGP Open</w:t>
      </w:r>
      <w:r>
        <w:rPr>
          <w:rFonts w:ascii="Arial" w:hAnsi="Arial" w:cs="Arial"/>
          <w:sz w:val="22"/>
          <w:szCs w:val="22"/>
        </w:rPr>
        <w:t>, 7(1), p.BJGPO.2022.0024. doi:10.3399/bjgpo.2022.0024.</w:t>
      </w:r>
    </w:p>
    <w:p w14:paraId="33DE7D12">
      <w:pPr>
        <w:ind w:left="720" w:hanging="720"/>
        <w:rPr>
          <w:rFonts w:ascii="Arial" w:hAnsi="Arial" w:cs="Arial"/>
          <w:sz w:val="22"/>
          <w:szCs w:val="22"/>
        </w:rPr>
      </w:pPr>
      <w:r>
        <w:rPr>
          <w:rFonts w:ascii="Arial" w:hAnsi="Arial" w:cs="Arial"/>
          <w:sz w:val="22"/>
          <w:szCs w:val="22"/>
        </w:rPr>
        <w:t xml:space="preserve">The King’s Fund ed., (2023). </w:t>
      </w:r>
      <w:r>
        <w:rPr>
          <w:rFonts w:ascii="Arial" w:hAnsi="Arial" w:cs="Arial"/>
          <w:i/>
          <w:iCs/>
          <w:sz w:val="22"/>
          <w:szCs w:val="22"/>
        </w:rPr>
        <w:t>Digital Change In Health And Social Care</w:t>
      </w:r>
      <w:r>
        <w:rPr>
          <w:rFonts w:ascii="Arial" w:hAnsi="Arial" w:cs="Arial"/>
          <w:sz w:val="22"/>
          <w:szCs w:val="22"/>
        </w:rPr>
        <w:t>. [online] The King’s Fund. Available at: https://www.kingsfund.org.uk/insight-and-analysis/reports/digital-change-health-social-care [Accessed 18 July 2026].</w:t>
      </w:r>
    </w:p>
    <w:p w14:paraId="3284916B">
      <w:pPr>
        <w:rPr>
          <w:rFonts w:ascii="Arial" w:hAnsi="Arial" w:cs="Arial"/>
          <w:sz w:val="22"/>
          <w:szCs w:val="22"/>
        </w:rPr>
      </w:pPr>
    </w:p>
    <w:p w14:paraId="3599B710">
      <w:pPr>
        <w:rPr>
          <w:rFonts w:ascii="Arial" w:hAnsi="Arial" w:cs="Arial"/>
          <w:sz w:val="22"/>
          <w:szCs w:val="22"/>
        </w:rPr>
      </w:pPr>
    </w:p>
    <w:p w14:paraId="4CDE3576">
      <w:pPr>
        <w:rPr>
          <w:rFonts w:ascii="Arial" w:hAnsi="Arial" w:cs="Arial"/>
          <w:sz w:val="22"/>
          <w:szCs w:val="22"/>
        </w:rPr>
      </w:pPr>
    </w:p>
    <w:p w14:paraId="2912EBBC">
      <w:pPr>
        <w:rPr>
          <w:rFonts w:ascii="Arial" w:hAnsi="Arial" w:cs="Arial"/>
          <w:sz w:val="22"/>
          <w:szCs w:val="22"/>
        </w:rPr>
      </w:pP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1499669"/>
      <w:docPartObj>
        <w:docPartGallery w:val="AutoText"/>
      </w:docPartObj>
    </w:sdtPr>
    <w:sdtContent>
      <w:p w14:paraId="6B52C57E">
        <w:pPr>
          <w:pStyle w:val="14"/>
          <w:jc w:val="right"/>
        </w:pPr>
        <w:r>
          <w:fldChar w:fldCharType="begin"/>
        </w:r>
        <w:r>
          <w:instrText xml:space="preserve"> PAGE   \* MERGEFORMAT </w:instrText>
        </w:r>
        <w:r>
          <w:fldChar w:fldCharType="separate"/>
        </w:r>
        <w:r>
          <w:t>2</w:t>
        </w:r>
        <w:r>
          <w:fldChar w:fldCharType="end"/>
        </w:r>
      </w:p>
    </w:sdtContent>
  </w:sdt>
  <w:p w14:paraId="24BC70A8">
    <w:pPr>
      <w:pStyle w:val="1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9A2"/>
    <w:rsid w:val="002A0510"/>
    <w:rsid w:val="005666C5"/>
    <w:rsid w:val="006A4B97"/>
    <w:rsid w:val="0077364A"/>
    <w:rsid w:val="00917CE4"/>
    <w:rsid w:val="00B80AAD"/>
    <w:rsid w:val="00BC1608"/>
    <w:rsid w:val="00BD437E"/>
    <w:rsid w:val="00C229DD"/>
    <w:rsid w:val="00C645C3"/>
    <w:rsid w:val="00E34FC4"/>
    <w:rsid w:val="00E50DA5"/>
    <w:rsid w:val="00FD39A2"/>
    <w:rsid w:val="0B382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36"/>
    <w:unhideWhenUsed/>
    <w:qFormat/>
    <w:uiPriority w:val="99"/>
    <w:pPr>
      <w:tabs>
        <w:tab w:val="center" w:pos="4680"/>
        <w:tab w:val="right" w:pos="9360"/>
      </w:tabs>
      <w:spacing w:after="0" w:line="240" w:lineRule="auto"/>
    </w:pPr>
  </w:style>
  <w:style w:type="paragraph" w:styleId="14">
    <w:name w:val="header"/>
    <w:basedOn w:val="1"/>
    <w:link w:val="35"/>
    <w:unhideWhenUsed/>
    <w:qFormat/>
    <w:uiPriority w:val="99"/>
    <w:pPr>
      <w:tabs>
        <w:tab w:val="center" w:pos="4680"/>
        <w:tab w:val="right" w:pos="9360"/>
      </w:tabs>
      <w:spacing w:after="0" w:line="240" w:lineRule="auto"/>
    </w:pPr>
  </w:style>
  <w:style w:type="paragraph" w:styleId="15">
    <w:name w:val="Subtitle"/>
    <w:basedOn w:val="1"/>
    <w:next w:val="1"/>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7">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8">
    <w:name w:val="Heading 2 Char"/>
    <w:basedOn w:val="11"/>
    <w:link w:val="3"/>
    <w:semiHidden/>
    <w:uiPriority w:val="9"/>
    <w:rPr>
      <w:rFonts w:asciiTheme="majorHAnsi" w:hAnsiTheme="majorHAnsi" w:eastAsiaTheme="majorEastAsia" w:cstheme="majorBidi"/>
      <w:color w:val="2F5597" w:themeColor="accent1" w:themeShade="BF"/>
      <w:sz w:val="32"/>
      <w:szCs w:val="32"/>
    </w:rPr>
  </w:style>
  <w:style w:type="character" w:customStyle="1" w:styleId="19">
    <w:name w:val="Heading 3 Char"/>
    <w:basedOn w:val="11"/>
    <w:link w:val="4"/>
    <w:semiHidden/>
    <w:uiPriority w:val="9"/>
    <w:rPr>
      <w:rFonts w:eastAsiaTheme="majorEastAsia" w:cstheme="majorBidi"/>
      <w:color w:val="2F5597" w:themeColor="accent1" w:themeShade="BF"/>
      <w:sz w:val="28"/>
      <w:szCs w:val="28"/>
    </w:rPr>
  </w:style>
  <w:style w:type="character" w:customStyle="1" w:styleId="20">
    <w:name w:val="Heading 4 Char"/>
    <w:basedOn w:val="11"/>
    <w:link w:val="5"/>
    <w:semiHidden/>
    <w:qFormat/>
    <w:uiPriority w:val="9"/>
    <w:rPr>
      <w:rFonts w:eastAsiaTheme="majorEastAsia" w:cstheme="majorBidi"/>
      <w:i/>
      <w:iCs/>
      <w:color w:val="2F5597" w:themeColor="accent1" w:themeShade="BF"/>
    </w:rPr>
  </w:style>
  <w:style w:type="character" w:customStyle="1" w:styleId="21">
    <w:name w:val="Heading 5 Char"/>
    <w:basedOn w:val="11"/>
    <w:link w:val="6"/>
    <w:semiHidden/>
    <w:qFormat/>
    <w:uiPriority w:val="9"/>
    <w:rPr>
      <w:rFonts w:eastAsiaTheme="majorEastAsia" w:cstheme="majorBidi"/>
      <w:color w:val="2F5597" w:themeColor="accent1" w:themeShade="BF"/>
    </w:rPr>
  </w:style>
  <w:style w:type="character" w:customStyle="1" w:styleId="22">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Title Char"/>
    <w:basedOn w:val="11"/>
    <w:link w:val="16"/>
    <w:qFormat/>
    <w:uiPriority w:val="10"/>
    <w:rPr>
      <w:rFonts w:asciiTheme="majorHAnsi" w:hAnsiTheme="majorHAnsi" w:eastAsiaTheme="majorEastAsia" w:cstheme="majorBidi"/>
      <w:spacing w:val="-10"/>
      <w:kern w:val="28"/>
      <w:sz w:val="56"/>
      <w:szCs w:val="56"/>
    </w:rPr>
  </w:style>
  <w:style w:type="character" w:customStyle="1" w:styleId="27">
    <w:name w:val="Subtitle Char"/>
    <w:basedOn w:val="11"/>
    <w:link w:val="1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Quote Char"/>
    <w:basedOn w:val="11"/>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1"/>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Intense Quote Char"/>
    <w:basedOn w:val="11"/>
    <w:link w:val="32"/>
    <w:qFormat/>
    <w:uiPriority w:val="30"/>
    <w:rPr>
      <w:i/>
      <w:iCs/>
      <w:color w:val="2F5597" w:themeColor="accent1" w:themeShade="BF"/>
    </w:rPr>
  </w:style>
  <w:style w:type="character" w:customStyle="1" w:styleId="34">
    <w:name w:val="Intense Reference"/>
    <w:basedOn w:val="11"/>
    <w:qFormat/>
    <w:uiPriority w:val="32"/>
    <w:rPr>
      <w:b/>
      <w:bCs/>
      <w:smallCaps/>
      <w:color w:val="2F5597" w:themeColor="accent1" w:themeShade="BF"/>
      <w:spacing w:val="5"/>
    </w:rPr>
  </w:style>
  <w:style w:type="character" w:customStyle="1" w:styleId="35">
    <w:name w:val="Header Char"/>
    <w:basedOn w:val="11"/>
    <w:link w:val="14"/>
    <w:qFormat/>
    <w:uiPriority w:val="99"/>
  </w:style>
  <w:style w:type="character" w:customStyle="1" w:styleId="36">
    <w:name w:val="Footer Char"/>
    <w:basedOn w:val="11"/>
    <w:link w:val="13"/>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3062</Words>
  <Characters>17036</Characters>
  <Lines>142</Lines>
  <Paragraphs>40</Paragraphs>
  <TotalTime>140</TotalTime>
  <ScaleCrop>false</ScaleCrop>
  <LinksUpToDate>false</LinksUpToDate>
  <CharactersWithSpaces>20041</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2026-07-18T07:20:00Z</dcterms:created>
  <dc:creator>INNOCENT</dc:creator>
  <cp:lastModifiedBy>pavlin enchev</cp:lastModifiedBy>
  <dcterms:modified xsi:type="dcterms:W3CDTF">2026-07-20T08:11:27Z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eyJoZGlkIjoiMDczYTgwNTE0ZGRjYTcwZDAzNTBhYzViOTg2MDQ1OWIiLCJ1c2VySWQiOiIzNzI4NDc3NTEzMDAxIn0=</vt:lpwstr>
  </property>
  <property fmtid="{D5CDD505-2E9C-101B-9397-08002B2CF9AE}" pid="3" name="KSOProductBuildVer">
    <vt:lpwstr>1033-12.1.0.27458</vt:lpwstr>
  </property>
  <property fmtid="{D5CDD505-2E9C-101B-9397-08002B2CF9AE}" pid="4" name="ICV">
    <vt:lpwstr>C7CC87E5083E47D197CCB469D6332FB2_12</vt:lpwstr>
  </property>
</Properties>
</file>