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4A4E38" w14:textId="77777777" w:rsidR="00770645" w:rsidRPr="00503AAC" w:rsidRDefault="00770645" w:rsidP="0055596C">
      <w:pPr>
        <w:jc w:val="center"/>
        <w:rPr>
          <w:b/>
          <w:bCs/>
          <w:sz w:val="32"/>
          <w:szCs w:val="32"/>
          <w:lang w:val="en-GB"/>
        </w:rPr>
      </w:pPr>
    </w:p>
    <w:p w14:paraId="08FD5D72" w14:textId="77777777" w:rsidR="00770645" w:rsidRPr="00503AAC" w:rsidRDefault="00770645" w:rsidP="0055596C">
      <w:pPr>
        <w:jc w:val="center"/>
        <w:rPr>
          <w:b/>
          <w:bCs/>
          <w:sz w:val="32"/>
          <w:szCs w:val="32"/>
          <w:lang w:val="en-GB"/>
        </w:rPr>
      </w:pPr>
    </w:p>
    <w:p w14:paraId="5E565FDF" w14:textId="388C541B" w:rsidR="00770645" w:rsidRPr="00503AAC" w:rsidRDefault="00503AAC" w:rsidP="0055596C">
      <w:pPr>
        <w:jc w:val="center"/>
        <w:rPr>
          <w:b/>
          <w:bCs/>
          <w:sz w:val="32"/>
          <w:szCs w:val="32"/>
          <w:lang w:val="en-GB"/>
        </w:rPr>
      </w:pPr>
      <w:r w:rsidRPr="00503AAC">
        <w:rPr>
          <w:noProof/>
          <w:lang w:val="en-US"/>
        </w:rPr>
        <w:drawing>
          <wp:inline distT="0" distB="0" distL="0" distR="0" wp14:anchorId="7A836573" wp14:editId="1DD7DE39">
            <wp:extent cx="4333041" cy="1809750"/>
            <wp:effectExtent l="0" t="0" r="0" b="0"/>
            <wp:docPr id="2" name="Picture 2"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63653" cy="1822536"/>
                    </a:xfrm>
                    <a:prstGeom prst="rect">
                      <a:avLst/>
                    </a:prstGeom>
                    <a:noFill/>
                    <a:ln>
                      <a:noFill/>
                    </a:ln>
                  </pic:spPr>
                </pic:pic>
              </a:graphicData>
            </a:graphic>
          </wp:inline>
        </w:drawing>
      </w:r>
    </w:p>
    <w:p w14:paraId="0BFDE852" w14:textId="3401206C" w:rsidR="00770645" w:rsidRPr="00503AAC" w:rsidRDefault="00770645" w:rsidP="00503AAC">
      <w:pPr>
        <w:rPr>
          <w:b/>
          <w:bCs/>
          <w:sz w:val="32"/>
          <w:szCs w:val="32"/>
          <w:lang w:val="en-GB"/>
        </w:rPr>
      </w:pPr>
    </w:p>
    <w:p w14:paraId="041F64D8" w14:textId="597F8428" w:rsidR="00B17440" w:rsidRPr="00503AAC" w:rsidRDefault="0055596C" w:rsidP="0055596C">
      <w:pPr>
        <w:jc w:val="center"/>
        <w:rPr>
          <w:b/>
          <w:bCs/>
          <w:sz w:val="32"/>
          <w:szCs w:val="32"/>
          <w:lang w:val="en-GB"/>
        </w:rPr>
      </w:pPr>
      <w:r w:rsidRPr="00503AAC">
        <w:rPr>
          <w:b/>
          <w:bCs/>
          <w:sz w:val="32"/>
          <w:szCs w:val="32"/>
          <w:lang w:val="en-GB"/>
        </w:rPr>
        <w:t>PROGRAMME: BSC HEALTH AND SOCIAL CARE</w:t>
      </w:r>
    </w:p>
    <w:p w14:paraId="436C7096" w14:textId="07D91DE7" w:rsidR="00B17440" w:rsidRPr="00503AAC" w:rsidRDefault="0055596C" w:rsidP="0055596C">
      <w:pPr>
        <w:jc w:val="center"/>
        <w:rPr>
          <w:b/>
          <w:bCs/>
          <w:sz w:val="32"/>
          <w:szCs w:val="32"/>
          <w:lang w:val="en-GB"/>
        </w:rPr>
      </w:pPr>
      <w:r w:rsidRPr="00503AAC">
        <w:rPr>
          <w:b/>
          <w:bCs/>
          <w:sz w:val="32"/>
          <w:szCs w:val="32"/>
          <w:lang w:val="en-GB"/>
        </w:rPr>
        <w:t>MODULE: INTRODUCTION TO PHYSIOLOGY</w:t>
      </w:r>
    </w:p>
    <w:p w14:paraId="479AF83A" w14:textId="175B9011" w:rsidR="00B17440" w:rsidRPr="00503AAC" w:rsidRDefault="0055596C" w:rsidP="0055596C">
      <w:pPr>
        <w:jc w:val="center"/>
        <w:rPr>
          <w:b/>
          <w:bCs/>
          <w:sz w:val="32"/>
          <w:szCs w:val="32"/>
          <w:lang w:val="en-GB"/>
        </w:rPr>
      </w:pPr>
      <w:r w:rsidRPr="00503AAC">
        <w:rPr>
          <w:b/>
          <w:bCs/>
          <w:sz w:val="32"/>
          <w:szCs w:val="32"/>
          <w:lang w:val="en-GB"/>
        </w:rPr>
        <w:t>MODULE CODE:</w:t>
      </w:r>
      <w:r w:rsidRPr="00503AAC">
        <w:rPr>
          <w:b/>
          <w:bCs/>
          <w:sz w:val="32"/>
          <w:szCs w:val="32"/>
          <w:lang w:val="en-GB"/>
        </w:rPr>
        <w:tab/>
        <w:t>BMHP5023</w:t>
      </w:r>
    </w:p>
    <w:p w14:paraId="10458AB8" w14:textId="77777777" w:rsidR="00503AAC" w:rsidRPr="00503AAC" w:rsidRDefault="0055596C" w:rsidP="0055596C">
      <w:pPr>
        <w:jc w:val="center"/>
        <w:rPr>
          <w:b/>
          <w:bCs/>
          <w:sz w:val="32"/>
          <w:szCs w:val="32"/>
          <w:lang w:val="en-GB"/>
        </w:rPr>
      </w:pPr>
      <w:r w:rsidRPr="00503AAC">
        <w:rPr>
          <w:b/>
          <w:bCs/>
          <w:sz w:val="32"/>
          <w:szCs w:val="32"/>
          <w:lang w:val="en-GB"/>
        </w:rPr>
        <w:t>COMPONENT 1: WRITTEN ASSIGNMENT</w:t>
      </w:r>
    </w:p>
    <w:p w14:paraId="1D4F0D13" w14:textId="77777777" w:rsidR="00503AAC" w:rsidRPr="00503AAC" w:rsidRDefault="00503AAC" w:rsidP="0055596C">
      <w:pPr>
        <w:jc w:val="center"/>
        <w:rPr>
          <w:b/>
          <w:bCs/>
          <w:sz w:val="32"/>
          <w:szCs w:val="32"/>
          <w:lang w:val="en-GB"/>
        </w:rPr>
      </w:pPr>
    </w:p>
    <w:p w14:paraId="7CB55ABB" w14:textId="77777777" w:rsidR="00503AAC" w:rsidRPr="00503AAC" w:rsidRDefault="00503AAC" w:rsidP="00503AAC">
      <w:pPr>
        <w:jc w:val="center"/>
        <w:rPr>
          <w:b/>
          <w:bCs/>
          <w:sz w:val="32"/>
          <w:szCs w:val="32"/>
          <w:lang w:val="en-GB"/>
        </w:rPr>
      </w:pPr>
      <w:r w:rsidRPr="00503AAC">
        <w:rPr>
          <w:b/>
          <w:bCs/>
          <w:sz w:val="32"/>
          <w:szCs w:val="32"/>
          <w:lang w:val="en-GB"/>
        </w:rPr>
        <w:t xml:space="preserve">STUDENT NAME: </w:t>
      </w:r>
      <w:proofErr w:type="spellStart"/>
      <w:r w:rsidRPr="00503AAC">
        <w:rPr>
          <w:b/>
          <w:bCs/>
          <w:sz w:val="32"/>
          <w:szCs w:val="32"/>
          <w:lang w:val="en-GB"/>
        </w:rPr>
        <w:t>Sunitha</w:t>
      </w:r>
      <w:proofErr w:type="spellEnd"/>
      <w:r w:rsidRPr="00503AAC">
        <w:rPr>
          <w:b/>
          <w:bCs/>
          <w:sz w:val="32"/>
          <w:szCs w:val="32"/>
          <w:lang w:val="en-GB"/>
        </w:rPr>
        <w:t xml:space="preserve"> </w:t>
      </w:r>
      <w:proofErr w:type="spellStart"/>
      <w:r w:rsidRPr="00503AAC">
        <w:rPr>
          <w:b/>
          <w:bCs/>
          <w:sz w:val="32"/>
          <w:szCs w:val="32"/>
          <w:lang w:val="en-GB"/>
        </w:rPr>
        <w:t>Peeter</w:t>
      </w:r>
      <w:proofErr w:type="spellEnd"/>
      <w:r w:rsidRPr="00503AAC">
        <w:rPr>
          <w:b/>
          <w:bCs/>
          <w:sz w:val="32"/>
          <w:szCs w:val="32"/>
          <w:lang w:val="en-GB"/>
        </w:rPr>
        <w:br/>
        <w:t>STUDENT No. : 2421161</w:t>
      </w:r>
    </w:p>
    <w:p w14:paraId="5466A70D" w14:textId="77777777" w:rsidR="00503AAC" w:rsidRPr="00503AAC" w:rsidRDefault="00503AAC" w:rsidP="00503AAC">
      <w:pPr>
        <w:jc w:val="center"/>
        <w:rPr>
          <w:b/>
          <w:bCs/>
          <w:sz w:val="32"/>
          <w:szCs w:val="32"/>
          <w:lang w:val="en-GB"/>
        </w:rPr>
      </w:pPr>
      <w:r w:rsidRPr="00503AAC">
        <w:rPr>
          <w:b/>
          <w:bCs/>
          <w:sz w:val="32"/>
          <w:szCs w:val="32"/>
          <w:lang w:val="en-GB"/>
        </w:rPr>
        <w:t xml:space="preserve">LECTURER NAME: Robert </w:t>
      </w:r>
      <w:proofErr w:type="spellStart"/>
      <w:r w:rsidRPr="00503AAC">
        <w:rPr>
          <w:b/>
          <w:bCs/>
          <w:sz w:val="32"/>
          <w:szCs w:val="32"/>
          <w:lang w:val="en-GB"/>
        </w:rPr>
        <w:t>Nartowski</w:t>
      </w:r>
      <w:proofErr w:type="spellEnd"/>
      <w:r w:rsidRPr="00503AAC">
        <w:rPr>
          <w:b/>
          <w:bCs/>
          <w:sz w:val="32"/>
          <w:szCs w:val="32"/>
          <w:lang w:val="en-GB"/>
        </w:rPr>
        <w:t xml:space="preserve">  </w:t>
      </w:r>
    </w:p>
    <w:p w14:paraId="26E8641C" w14:textId="15FCC645" w:rsidR="004B1BDA" w:rsidRPr="00503AAC" w:rsidRDefault="00503AAC" w:rsidP="0055596C">
      <w:pPr>
        <w:jc w:val="center"/>
        <w:rPr>
          <w:b/>
          <w:bCs/>
          <w:sz w:val="32"/>
          <w:szCs w:val="32"/>
          <w:lang w:val="en-GB"/>
        </w:rPr>
      </w:pPr>
      <w:r w:rsidRPr="00503AAC">
        <w:rPr>
          <w:b/>
          <w:bCs/>
          <w:sz w:val="32"/>
          <w:szCs w:val="32"/>
          <w:lang w:val="en-GB"/>
        </w:rPr>
        <w:br/>
      </w:r>
    </w:p>
    <w:p w14:paraId="6543C00F" w14:textId="77777777" w:rsidR="0055596C" w:rsidRPr="00503AAC" w:rsidRDefault="0055596C">
      <w:pPr>
        <w:rPr>
          <w:b/>
          <w:bCs/>
          <w:sz w:val="32"/>
          <w:szCs w:val="32"/>
          <w:lang w:val="en-GB"/>
        </w:rPr>
      </w:pPr>
      <w:r w:rsidRPr="00503AAC">
        <w:rPr>
          <w:b/>
          <w:bCs/>
          <w:sz w:val="32"/>
          <w:szCs w:val="32"/>
          <w:lang w:val="en-GB"/>
        </w:rPr>
        <w:br w:type="page"/>
      </w:r>
    </w:p>
    <w:p w14:paraId="7CFA013B" w14:textId="57C165D4" w:rsidR="000D1F6B" w:rsidRPr="00503AAC" w:rsidRDefault="00770645" w:rsidP="0055596C">
      <w:pPr>
        <w:spacing w:before="360" w:after="80"/>
        <w:jc w:val="center"/>
        <w:rPr>
          <w:b/>
          <w:bCs/>
          <w:lang w:val="en-GB"/>
        </w:rPr>
      </w:pPr>
      <w:r w:rsidRPr="00503AAC">
        <w:rPr>
          <w:b/>
          <w:bCs/>
          <w:lang w:val="en-GB"/>
        </w:rPr>
        <w:lastRenderedPageBreak/>
        <w:t>Abstract</w:t>
      </w:r>
    </w:p>
    <w:p w14:paraId="7CFA013C" w14:textId="18543B65" w:rsidR="0055596C" w:rsidRPr="00503AAC" w:rsidRDefault="00770645">
      <w:pPr>
        <w:spacing w:before="360" w:after="80"/>
        <w:rPr>
          <w:lang w:val="en-GB"/>
        </w:rPr>
      </w:pPr>
      <w:r w:rsidRPr="00503AAC">
        <w:rPr>
          <w:lang w:val="en-GB"/>
        </w:rPr>
        <w:t xml:space="preserve">This report discusses the management of Type 2 diabetes, including the process of controlling blood sugar level, the role played by lifestyle </w:t>
      </w:r>
      <w:r w:rsidR="000963BE" w:rsidRPr="00503AAC">
        <w:rPr>
          <w:lang w:val="en-GB"/>
        </w:rPr>
        <w:t>management, which</w:t>
      </w:r>
      <w:r w:rsidRPr="00503AAC">
        <w:rPr>
          <w:lang w:val="en-GB"/>
        </w:rPr>
        <w:t xml:space="preserve"> includes diet and exercise, smoking cessation and weight management. It underscores evidence-based guidelines to self-managing effectively and achieving a better health outcome.</w:t>
      </w:r>
      <w:r w:rsidR="00635D53" w:rsidRPr="00503AAC">
        <w:rPr>
          <w:lang w:val="en-GB"/>
        </w:rPr>
        <w:t xml:space="preserve"> Addressing issues observed due to the Type-2 diabetes can become easier with adequate focus on the strategy and consequences are observed in achieving success. </w:t>
      </w:r>
    </w:p>
    <w:p w14:paraId="1FC5076F" w14:textId="77777777" w:rsidR="0055596C" w:rsidRPr="00503AAC" w:rsidRDefault="0055596C">
      <w:pPr>
        <w:rPr>
          <w:lang w:val="en-GB"/>
        </w:rPr>
      </w:pPr>
      <w:r w:rsidRPr="00503AAC">
        <w:rPr>
          <w:lang w:val="en-GB"/>
        </w:rPr>
        <w:br w:type="page"/>
      </w:r>
    </w:p>
    <w:sdt>
      <w:sdtPr>
        <w:rPr>
          <w:rFonts w:ascii="Times New Roman" w:eastAsia="Times New Roman" w:hAnsi="Times New Roman" w:cs="Times New Roman"/>
          <w:color w:val="auto"/>
          <w:sz w:val="24"/>
          <w:szCs w:val="24"/>
          <w:lang w:val="en-GB"/>
        </w:rPr>
        <w:id w:val="1893082644"/>
        <w:docPartObj>
          <w:docPartGallery w:val="Table of Contents"/>
          <w:docPartUnique/>
        </w:docPartObj>
      </w:sdtPr>
      <w:sdtEndPr>
        <w:rPr>
          <w:b/>
          <w:bCs/>
          <w:noProof/>
        </w:rPr>
      </w:sdtEndPr>
      <w:sdtContent>
        <w:p w14:paraId="33029C56" w14:textId="3FF1C050" w:rsidR="0055596C" w:rsidRPr="00503AAC" w:rsidRDefault="0055596C" w:rsidP="00244ECD">
          <w:pPr>
            <w:pStyle w:val="TOCHeading"/>
            <w:spacing w:line="360" w:lineRule="auto"/>
            <w:jc w:val="center"/>
            <w:rPr>
              <w:rFonts w:ascii="Times New Roman" w:hAnsi="Times New Roman" w:cs="Times New Roman"/>
              <w:b/>
              <w:bCs/>
              <w:color w:val="auto"/>
              <w:sz w:val="24"/>
              <w:szCs w:val="24"/>
              <w:lang w:val="en-GB"/>
            </w:rPr>
          </w:pPr>
          <w:r w:rsidRPr="00503AAC">
            <w:rPr>
              <w:rFonts w:ascii="Times New Roman" w:hAnsi="Times New Roman" w:cs="Times New Roman"/>
              <w:b/>
              <w:bCs/>
              <w:color w:val="auto"/>
              <w:sz w:val="24"/>
              <w:szCs w:val="24"/>
              <w:lang w:val="en-GB"/>
            </w:rPr>
            <w:t>Table of Contents</w:t>
          </w:r>
        </w:p>
        <w:p w14:paraId="238E564A" w14:textId="4FB531C2" w:rsidR="000963BE" w:rsidRPr="00503AAC" w:rsidRDefault="0055596C" w:rsidP="000963BE">
          <w:pPr>
            <w:pStyle w:val="TOC1"/>
            <w:tabs>
              <w:tab w:val="right" w:leader="dot" w:pos="9350"/>
            </w:tabs>
            <w:spacing w:after="0"/>
            <w:rPr>
              <w:rFonts w:asciiTheme="minorHAnsi" w:eastAsiaTheme="minorEastAsia" w:hAnsiTheme="minorHAnsi" w:cstheme="minorBidi"/>
              <w:noProof/>
              <w:sz w:val="22"/>
              <w:szCs w:val="22"/>
              <w:lang w:val="en-GB" w:eastAsia="en-GB"/>
            </w:rPr>
          </w:pPr>
          <w:r w:rsidRPr="00503AAC">
            <w:rPr>
              <w:lang w:val="en-GB"/>
            </w:rPr>
            <w:fldChar w:fldCharType="begin"/>
          </w:r>
          <w:r w:rsidRPr="00503AAC">
            <w:rPr>
              <w:lang w:val="en-GB"/>
            </w:rPr>
            <w:instrText xml:space="preserve"> TOC \o "1-3" \h \z \u </w:instrText>
          </w:r>
          <w:r w:rsidRPr="00503AAC">
            <w:rPr>
              <w:lang w:val="en-GB"/>
            </w:rPr>
            <w:fldChar w:fldCharType="separate"/>
          </w:r>
          <w:hyperlink w:anchor="_Toc222571248" w:history="1">
            <w:r w:rsidR="000963BE" w:rsidRPr="00503AAC">
              <w:rPr>
                <w:rStyle w:val="Hyperlink"/>
                <w:noProof/>
                <w:color w:val="auto"/>
                <w:lang w:val="en-GB"/>
              </w:rPr>
              <w:t xml:space="preserve">1. </w:t>
            </w:r>
            <w:r w:rsidR="000963BE" w:rsidRPr="00503AAC">
              <w:rPr>
                <w:rStyle w:val="Hyperlink"/>
                <w:noProof/>
                <w:color w:val="auto"/>
                <w:lang w:val="en-US"/>
              </w:rPr>
              <w:t>Overview of Risk Factors and Diabetes</w:t>
            </w:r>
            <w:r w:rsidR="000963BE" w:rsidRPr="00503AAC">
              <w:rPr>
                <w:noProof/>
                <w:webHidden/>
              </w:rPr>
              <w:tab/>
            </w:r>
            <w:r w:rsidR="000963BE" w:rsidRPr="00503AAC">
              <w:rPr>
                <w:noProof/>
                <w:webHidden/>
              </w:rPr>
              <w:fldChar w:fldCharType="begin"/>
            </w:r>
            <w:r w:rsidR="000963BE" w:rsidRPr="00503AAC">
              <w:rPr>
                <w:noProof/>
                <w:webHidden/>
              </w:rPr>
              <w:instrText xml:space="preserve"> PAGEREF _Toc222571248 \h </w:instrText>
            </w:r>
            <w:r w:rsidR="000963BE" w:rsidRPr="00503AAC">
              <w:rPr>
                <w:noProof/>
                <w:webHidden/>
              </w:rPr>
            </w:r>
            <w:r w:rsidR="000963BE" w:rsidRPr="00503AAC">
              <w:rPr>
                <w:noProof/>
                <w:webHidden/>
              </w:rPr>
              <w:fldChar w:fldCharType="separate"/>
            </w:r>
            <w:r w:rsidR="00503AAC" w:rsidRPr="00503AAC">
              <w:rPr>
                <w:noProof/>
                <w:webHidden/>
              </w:rPr>
              <w:t>4</w:t>
            </w:r>
            <w:r w:rsidR="000963BE" w:rsidRPr="00503AAC">
              <w:rPr>
                <w:noProof/>
                <w:webHidden/>
              </w:rPr>
              <w:fldChar w:fldCharType="end"/>
            </w:r>
          </w:hyperlink>
        </w:p>
        <w:p w14:paraId="2691121A" w14:textId="44F4D952" w:rsidR="000963BE" w:rsidRPr="00503AAC" w:rsidRDefault="004D15DA" w:rsidP="000963BE">
          <w:pPr>
            <w:pStyle w:val="TOC1"/>
            <w:tabs>
              <w:tab w:val="right" w:leader="dot" w:pos="9350"/>
            </w:tabs>
            <w:spacing w:after="0"/>
            <w:rPr>
              <w:rFonts w:asciiTheme="minorHAnsi" w:eastAsiaTheme="minorEastAsia" w:hAnsiTheme="minorHAnsi" w:cstheme="minorBidi"/>
              <w:noProof/>
              <w:sz w:val="22"/>
              <w:szCs w:val="22"/>
              <w:lang w:val="en-GB" w:eastAsia="en-GB"/>
            </w:rPr>
          </w:pPr>
          <w:hyperlink w:anchor="_Toc222571249" w:history="1">
            <w:r w:rsidR="000963BE" w:rsidRPr="00503AAC">
              <w:rPr>
                <w:rStyle w:val="Hyperlink"/>
                <w:noProof/>
                <w:color w:val="auto"/>
                <w:lang w:val="en-GB"/>
              </w:rPr>
              <w:t xml:space="preserve">2. </w:t>
            </w:r>
            <w:r w:rsidR="000963BE" w:rsidRPr="00503AAC">
              <w:rPr>
                <w:rStyle w:val="Hyperlink"/>
                <w:noProof/>
                <w:color w:val="auto"/>
                <w:lang w:val="en-US"/>
              </w:rPr>
              <w:t>Control of the Body's Blood Sugar Levels</w:t>
            </w:r>
            <w:r w:rsidR="000963BE" w:rsidRPr="00503AAC">
              <w:rPr>
                <w:noProof/>
                <w:webHidden/>
              </w:rPr>
              <w:tab/>
            </w:r>
            <w:r w:rsidR="000963BE" w:rsidRPr="00503AAC">
              <w:rPr>
                <w:noProof/>
                <w:webHidden/>
              </w:rPr>
              <w:fldChar w:fldCharType="begin"/>
            </w:r>
            <w:r w:rsidR="000963BE" w:rsidRPr="00503AAC">
              <w:rPr>
                <w:noProof/>
                <w:webHidden/>
              </w:rPr>
              <w:instrText xml:space="preserve"> PAGEREF _Toc222571249 \h </w:instrText>
            </w:r>
            <w:r w:rsidR="000963BE" w:rsidRPr="00503AAC">
              <w:rPr>
                <w:noProof/>
                <w:webHidden/>
              </w:rPr>
            </w:r>
            <w:r w:rsidR="000963BE" w:rsidRPr="00503AAC">
              <w:rPr>
                <w:noProof/>
                <w:webHidden/>
              </w:rPr>
              <w:fldChar w:fldCharType="separate"/>
            </w:r>
            <w:r w:rsidR="00503AAC" w:rsidRPr="00503AAC">
              <w:rPr>
                <w:noProof/>
                <w:webHidden/>
              </w:rPr>
              <w:t>6</w:t>
            </w:r>
            <w:r w:rsidR="000963BE" w:rsidRPr="00503AAC">
              <w:rPr>
                <w:noProof/>
                <w:webHidden/>
              </w:rPr>
              <w:fldChar w:fldCharType="end"/>
            </w:r>
          </w:hyperlink>
        </w:p>
        <w:p w14:paraId="26703249" w14:textId="610A64E6" w:rsidR="000963BE" w:rsidRPr="00503AAC" w:rsidRDefault="004D15DA" w:rsidP="000963BE">
          <w:pPr>
            <w:pStyle w:val="TOC1"/>
            <w:tabs>
              <w:tab w:val="right" w:leader="dot" w:pos="9350"/>
            </w:tabs>
            <w:spacing w:after="0"/>
            <w:rPr>
              <w:rFonts w:asciiTheme="minorHAnsi" w:eastAsiaTheme="minorEastAsia" w:hAnsiTheme="minorHAnsi" w:cstheme="minorBidi"/>
              <w:noProof/>
              <w:sz w:val="22"/>
              <w:szCs w:val="22"/>
              <w:lang w:val="en-GB" w:eastAsia="en-GB"/>
            </w:rPr>
          </w:pPr>
          <w:hyperlink w:anchor="_Toc222571250" w:history="1">
            <w:r w:rsidR="000963BE" w:rsidRPr="00503AAC">
              <w:rPr>
                <w:rStyle w:val="Hyperlink"/>
                <w:noProof/>
                <w:color w:val="auto"/>
                <w:lang w:val="en-GB"/>
              </w:rPr>
              <w:t xml:space="preserve">3. </w:t>
            </w:r>
            <w:r w:rsidR="000963BE" w:rsidRPr="00503AAC">
              <w:rPr>
                <w:rStyle w:val="Hyperlink"/>
                <w:noProof/>
                <w:color w:val="auto"/>
                <w:lang w:val="en-US"/>
              </w:rPr>
              <w:t>Cellular Metabolism: The Function of Glucose and Oxygen in the Generation of Energy</w:t>
            </w:r>
            <w:r w:rsidR="000963BE" w:rsidRPr="00503AAC">
              <w:rPr>
                <w:noProof/>
                <w:webHidden/>
              </w:rPr>
              <w:tab/>
            </w:r>
            <w:r w:rsidR="000963BE" w:rsidRPr="00503AAC">
              <w:rPr>
                <w:noProof/>
                <w:webHidden/>
              </w:rPr>
              <w:fldChar w:fldCharType="begin"/>
            </w:r>
            <w:r w:rsidR="000963BE" w:rsidRPr="00503AAC">
              <w:rPr>
                <w:noProof/>
                <w:webHidden/>
              </w:rPr>
              <w:instrText xml:space="preserve"> PAGEREF _Toc222571250 \h </w:instrText>
            </w:r>
            <w:r w:rsidR="000963BE" w:rsidRPr="00503AAC">
              <w:rPr>
                <w:noProof/>
                <w:webHidden/>
              </w:rPr>
            </w:r>
            <w:r w:rsidR="000963BE" w:rsidRPr="00503AAC">
              <w:rPr>
                <w:noProof/>
                <w:webHidden/>
              </w:rPr>
              <w:fldChar w:fldCharType="separate"/>
            </w:r>
            <w:r w:rsidR="00503AAC" w:rsidRPr="00503AAC">
              <w:rPr>
                <w:noProof/>
                <w:webHidden/>
              </w:rPr>
              <w:t>7</w:t>
            </w:r>
            <w:r w:rsidR="000963BE" w:rsidRPr="00503AAC">
              <w:rPr>
                <w:noProof/>
                <w:webHidden/>
              </w:rPr>
              <w:fldChar w:fldCharType="end"/>
            </w:r>
          </w:hyperlink>
        </w:p>
        <w:p w14:paraId="3945CEE5" w14:textId="17C65731" w:rsidR="000963BE" w:rsidRPr="00503AAC" w:rsidRDefault="004D15DA" w:rsidP="000963BE">
          <w:pPr>
            <w:pStyle w:val="TOC1"/>
            <w:tabs>
              <w:tab w:val="right" w:leader="dot" w:pos="9350"/>
            </w:tabs>
            <w:spacing w:after="0"/>
            <w:rPr>
              <w:rFonts w:asciiTheme="minorHAnsi" w:eastAsiaTheme="minorEastAsia" w:hAnsiTheme="minorHAnsi" w:cstheme="minorBidi"/>
              <w:noProof/>
              <w:sz w:val="22"/>
              <w:szCs w:val="22"/>
              <w:lang w:val="en-GB" w:eastAsia="en-GB"/>
            </w:rPr>
          </w:pPr>
          <w:hyperlink w:anchor="_Toc222571251" w:history="1">
            <w:r w:rsidR="000963BE" w:rsidRPr="00503AAC">
              <w:rPr>
                <w:rStyle w:val="Hyperlink"/>
                <w:noProof/>
                <w:color w:val="auto"/>
                <w:lang w:val="en-GB"/>
              </w:rPr>
              <w:t xml:space="preserve">4. </w:t>
            </w:r>
            <w:r w:rsidR="000963BE" w:rsidRPr="00503AAC">
              <w:rPr>
                <w:rStyle w:val="Hyperlink"/>
                <w:noProof/>
                <w:color w:val="auto"/>
                <w:lang w:val="en-US"/>
              </w:rPr>
              <w:t>The Value of Monitoring and Documenting Blood Sugar Levels</w:t>
            </w:r>
            <w:r w:rsidR="000963BE" w:rsidRPr="00503AAC">
              <w:rPr>
                <w:noProof/>
                <w:webHidden/>
              </w:rPr>
              <w:tab/>
            </w:r>
            <w:r w:rsidR="000963BE" w:rsidRPr="00503AAC">
              <w:rPr>
                <w:noProof/>
                <w:webHidden/>
              </w:rPr>
              <w:fldChar w:fldCharType="begin"/>
            </w:r>
            <w:r w:rsidR="000963BE" w:rsidRPr="00503AAC">
              <w:rPr>
                <w:noProof/>
                <w:webHidden/>
              </w:rPr>
              <w:instrText xml:space="preserve"> PAGEREF _Toc222571251 \h </w:instrText>
            </w:r>
            <w:r w:rsidR="000963BE" w:rsidRPr="00503AAC">
              <w:rPr>
                <w:noProof/>
                <w:webHidden/>
              </w:rPr>
            </w:r>
            <w:r w:rsidR="000963BE" w:rsidRPr="00503AAC">
              <w:rPr>
                <w:noProof/>
                <w:webHidden/>
              </w:rPr>
              <w:fldChar w:fldCharType="separate"/>
            </w:r>
            <w:r w:rsidR="00503AAC" w:rsidRPr="00503AAC">
              <w:rPr>
                <w:noProof/>
                <w:webHidden/>
              </w:rPr>
              <w:t>8</w:t>
            </w:r>
            <w:r w:rsidR="000963BE" w:rsidRPr="00503AAC">
              <w:rPr>
                <w:noProof/>
                <w:webHidden/>
              </w:rPr>
              <w:fldChar w:fldCharType="end"/>
            </w:r>
          </w:hyperlink>
        </w:p>
        <w:p w14:paraId="461EFFC2" w14:textId="0CF44B77" w:rsidR="000963BE" w:rsidRPr="00503AAC" w:rsidRDefault="004D15DA" w:rsidP="000963BE">
          <w:pPr>
            <w:pStyle w:val="TOC1"/>
            <w:tabs>
              <w:tab w:val="right" w:leader="dot" w:pos="9350"/>
            </w:tabs>
            <w:spacing w:after="0"/>
            <w:rPr>
              <w:rFonts w:asciiTheme="minorHAnsi" w:eastAsiaTheme="minorEastAsia" w:hAnsiTheme="minorHAnsi" w:cstheme="minorBidi"/>
              <w:noProof/>
              <w:sz w:val="22"/>
              <w:szCs w:val="22"/>
              <w:lang w:val="en-GB" w:eastAsia="en-GB"/>
            </w:rPr>
          </w:pPr>
          <w:hyperlink w:anchor="_Toc222571252" w:history="1">
            <w:r w:rsidR="000963BE" w:rsidRPr="00503AAC">
              <w:rPr>
                <w:rStyle w:val="Hyperlink"/>
                <w:noProof/>
                <w:color w:val="auto"/>
                <w:lang w:val="en-GB"/>
              </w:rPr>
              <w:t xml:space="preserve">5. </w:t>
            </w:r>
            <w:r w:rsidR="000963BE" w:rsidRPr="00503AAC">
              <w:rPr>
                <w:rStyle w:val="Hyperlink"/>
                <w:noProof/>
                <w:color w:val="auto"/>
                <w:lang w:val="en-US"/>
              </w:rPr>
              <w:t>Lifestyle Elements and Research-Based Suggestions</w:t>
            </w:r>
            <w:r w:rsidR="000963BE" w:rsidRPr="00503AAC">
              <w:rPr>
                <w:noProof/>
                <w:webHidden/>
              </w:rPr>
              <w:tab/>
            </w:r>
            <w:r w:rsidR="000963BE" w:rsidRPr="00503AAC">
              <w:rPr>
                <w:noProof/>
                <w:webHidden/>
              </w:rPr>
              <w:fldChar w:fldCharType="begin"/>
            </w:r>
            <w:r w:rsidR="000963BE" w:rsidRPr="00503AAC">
              <w:rPr>
                <w:noProof/>
                <w:webHidden/>
              </w:rPr>
              <w:instrText xml:space="preserve"> PAGEREF _Toc222571252 \h </w:instrText>
            </w:r>
            <w:r w:rsidR="000963BE" w:rsidRPr="00503AAC">
              <w:rPr>
                <w:noProof/>
                <w:webHidden/>
              </w:rPr>
            </w:r>
            <w:r w:rsidR="000963BE" w:rsidRPr="00503AAC">
              <w:rPr>
                <w:noProof/>
                <w:webHidden/>
              </w:rPr>
              <w:fldChar w:fldCharType="separate"/>
            </w:r>
            <w:r w:rsidR="00503AAC" w:rsidRPr="00503AAC">
              <w:rPr>
                <w:noProof/>
                <w:webHidden/>
              </w:rPr>
              <w:t>9</w:t>
            </w:r>
            <w:r w:rsidR="000963BE" w:rsidRPr="00503AAC">
              <w:rPr>
                <w:noProof/>
                <w:webHidden/>
              </w:rPr>
              <w:fldChar w:fldCharType="end"/>
            </w:r>
          </w:hyperlink>
        </w:p>
        <w:p w14:paraId="2E4683C7" w14:textId="7ED5ED0B" w:rsidR="000963BE" w:rsidRPr="00503AAC" w:rsidRDefault="004D15DA" w:rsidP="000963BE">
          <w:pPr>
            <w:pStyle w:val="TOC2"/>
            <w:tabs>
              <w:tab w:val="right" w:leader="dot" w:pos="9350"/>
            </w:tabs>
            <w:spacing w:after="0"/>
            <w:rPr>
              <w:rFonts w:asciiTheme="minorHAnsi" w:eastAsiaTheme="minorEastAsia" w:hAnsiTheme="minorHAnsi" w:cstheme="minorBidi"/>
              <w:noProof/>
              <w:sz w:val="22"/>
              <w:szCs w:val="22"/>
              <w:lang w:val="en-GB" w:eastAsia="en-GB"/>
            </w:rPr>
          </w:pPr>
          <w:hyperlink w:anchor="_Toc222571253" w:history="1">
            <w:r w:rsidR="000963BE" w:rsidRPr="00503AAC">
              <w:rPr>
                <w:rStyle w:val="Hyperlink"/>
                <w:noProof/>
                <w:color w:val="auto"/>
                <w:lang w:val="en-GB"/>
              </w:rPr>
              <w:t>Evaluation of the importance of nutrient dense foods</w:t>
            </w:r>
            <w:r w:rsidR="000963BE" w:rsidRPr="00503AAC">
              <w:rPr>
                <w:noProof/>
                <w:webHidden/>
              </w:rPr>
              <w:tab/>
            </w:r>
            <w:r w:rsidR="000963BE" w:rsidRPr="00503AAC">
              <w:rPr>
                <w:noProof/>
                <w:webHidden/>
              </w:rPr>
              <w:fldChar w:fldCharType="begin"/>
            </w:r>
            <w:r w:rsidR="000963BE" w:rsidRPr="00503AAC">
              <w:rPr>
                <w:noProof/>
                <w:webHidden/>
              </w:rPr>
              <w:instrText xml:space="preserve"> PAGEREF _Toc222571253 \h </w:instrText>
            </w:r>
            <w:r w:rsidR="000963BE" w:rsidRPr="00503AAC">
              <w:rPr>
                <w:noProof/>
                <w:webHidden/>
              </w:rPr>
            </w:r>
            <w:r w:rsidR="000963BE" w:rsidRPr="00503AAC">
              <w:rPr>
                <w:noProof/>
                <w:webHidden/>
              </w:rPr>
              <w:fldChar w:fldCharType="separate"/>
            </w:r>
            <w:r w:rsidR="00503AAC" w:rsidRPr="00503AAC">
              <w:rPr>
                <w:noProof/>
                <w:webHidden/>
              </w:rPr>
              <w:t>10</w:t>
            </w:r>
            <w:r w:rsidR="000963BE" w:rsidRPr="00503AAC">
              <w:rPr>
                <w:noProof/>
                <w:webHidden/>
              </w:rPr>
              <w:fldChar w:fldCharType="end"/>
            </w:r>
          </w:hyperlink>
        </w:p>
        <w:p w14:paraId="623A3C03" w14:textId="66600203" w:rsidR="000963BE" w:rsidRPr="00503AAC" w:rsidRDefault="004D15DA" w:rsidP="000963BE">
          <w:pPr>
            <w:pStyle w:val="TOC2"/>
            <w:tabs>
              <w:tab w:val="right" w:leader="dot" w:pos="9350"/>
            </w:tabs>
            <w:spacing w:after="0"/>
            <w:rPr>
              <w:rFonts w:asciiTheme="minorHAnsi" w:eastAsiaTheme="minorEastAsia" w:hAnsiTheme="minorHAnsi" w:cstheme="minorBidi"/>
              <w:noProof/>
              <w:sz w:val="22"/>
              <w:szCs w:val="22"/>
              <w:lang w:val="en-GB" w:eastAsia="en-GB"/>
            </w:rPr>
          </w:pPr>
          <w:hyperlink w:anchor="_Toc222571254" w:history="1">
            <w:r w:rsidR="000963BE" w:rsidRPr="00503AAC">
              <w:rPr>
                <w:rStyle w:val="Hyperlink"/>
                <w:noProof/>
                <w:color w:val="auto"/>
                <w:lang w:val="en-GB"/>
              </w:rPr>
              <w:t>Understanding the strategy of successful Carbohydrate intake</w:t>
            </w:r>
            <w:r w:rsidR="000963BE" w:rsidRPr="00503AAC">
              <w:rPr>
                <w:noProof/>
                <w:webHidden/>
              </w:rPr>
              <w:tab/>
            </w:r>
            <w:r w:rsidR="000963BE" w:rsidRPr="00503AAC">
              <w:rPr>
                <w:noProof/>
                <w:webHidden/>
              </w:rPr>
              <w:fldChar w:fldCharType="begin"/>
            </w:r>
            <w:r w:rsidR="000963BE" w:rsidRPr="00503AAC">
              <w:rPr>
                <w:noProof/>
                <w:webHidden/>
              </w:rPr>
              <w:instrText xml:space="preserve"> PAGEREF _Toc222571254 \h </w:instrText>
            </w:r>
            <w:r w:rsidR="000963BE" w:rsidRPr="00503AAC">
              <w:rPr>
                <w:noProof/>
                <w:webHidden/>
              </w:rPr>
            </w:r>
            <w:r w:rsidR="000963BE" w:rsidRPr="00503AAC">
              <w:rPr>
                <w:noProof/>
                <w:webHidden/>
              </w:rPr>
              <w:fldChar w:fldCharType="separate"/>
            </w:r>
            <w:r w:rsidR="00503AAC" w:rsidRPr="00503AAC">
              <w:rPr>
                <w:noProof/>
                <w:webHidden/>
              </w:rPr>
              <w:t>11</w:t>
            </w:r>
            <w:r w:rsidR="000963BE" w:rsidRPr="00503AAC">
              <w:rPr>
                <w:noProof/>
                <w:webHidden/>
              </w:rPr>
              <w:fldChar w:fldCharType="end"/>
            </w:r>
          </w:hyperlink>
        </w:p>
        <w:p w14:paraId="6F1D2D4F" w14:textId="098C543B" w:rsidR="000963BE" w:rsidRPr="00503AAC" w:rsidRDefault="004D15DA" w:rsidP="000963BE">
          <w:pPr>
            <w:pStyle w:val="TOC1"/>
            <w:tabs>
              <w:tab w:val="right" w:leader="dot" w:pos="9350"/>
            </w:tabs>
            <w:spacing w:after="0"/>
            <w:rPr>
              <w:rFonts w:asciiTheme="minorHAnsi" w:eastAsiaTheme="minorEastAsia" w:hAnsiTheme="minorHAnsi" w:cstheme="minorBidi"/>
              <w:noProof/>
              <w:sz w:val="22"/>
              <w:szCs w:val="22"/>
              <w:lang w:val="en-GB" w:eastAsia="en-GB"/>
            </w:rPr>
          </w:pPr>
          <w:hyperlink w:anchor="_Toc222571255" w:history="1">
            <w:r w:rsidR="000963BE" w:rsidRPr="00503AAC">
              <w:rPr>
                <w:rStyle w:val="Hyperlink"/>
                <w:noProof/>
                <w:color w:val="auto"/>
                <w:lang w:val="en-GB"/>
              </w:rPr>
              <w:t>6. Conclusion</w:t>
            </w:r>
            <w:r w:rsidR="000963BE" w:rsidRPr="00503AAC">
              <w:rPr>
                <w:noProof/>
                <w:webHidden/>
              </w:rPr>
              <w:tab/>
            </w:r>
            <w:r w:rsidR="000963BE" w:rsidRPr="00503AAC">
              <w:rPr>
                <w:noProof/>
                <w:webHidden/>
              </w:rPr>
              <w:fldChar w:fldCharType="begin"/>
            </w:r>
            <w:r w:rsidR="000963BE" w:rsidRPr="00503AAC">
              <w:rPr>
                <w:noProof/>
                <w:webHidden/>
              </w:rPr>
              <w:instrText xml:space="preserve"> PAGEREF _Toc222571255 \h </w:instrText>
            </w:r>
            <w:r w:rsidR="000963BE" w:rsidRPr="00503AAC">
              <w:rPr>
                <w:noProof/>
                <w:webHidden/>
              </w:rPr>
            </w:r>
            <w:r w:rsidR="000963BE" w:rsidRPr="00503AAC">
              <w:rPr>
                <w:noProof/>
                <w:webHidden/>
              </w:rPr>
              <w:fldChar w:fldCharType="separate"/>
            </w:r>
            <w:r w:rsidR="00503AAC" w:rsidRPr="00503AAC">
              <w:rPr>
                <w:noProof/>
                <w:webHidden/>
              </w:rPr>
              <w:t>11</w:t>
            </w:r>
            <w:r w:rsidR="000963BE" w:rsidRPr="00503AAC">
              <w:rPr>
                <w:noProof/>
                <w:webHidden/>
              </w:rPr>
              <w:fldChar w:fldCharType="end"/>
            </w:r>
          </w:hyperlink>
        </w:p>
        <w:p w14:paraId="4D6010F5" w14:textId="7EEB2C1A" w:rsidR="000963BE" w:rsidRPr="00503AAC" w:rsidRDefault="004D15DA" w:rsidP="000963BE">
          <w:pPr>
            <w:pStyle w:val="TOC1"/>
            <w:tabs>
              <w:tab w:val="right" w:leader="dot" w:pos="9350"/>
            </w:tabs>
            <w:spacing w:after="0"/>
            <w:rPr>
              <w:rFonts w:asciiTheme="minorHAnsi" w:eastAsiaTheme="minorEastAsia" w:hAnsiTheme="minorHAnsi" w:cstheme="minorBidi"/>
              <w:noProof/>
              <w:sz w:val="22"/>
              <w:szCs w:val="22"/>
              <w:lang w:val="en-GB" w:eastAsia="en-GB"/>
            </w:rPr>
          </w:pPr>
          <w:hyperlink w:anchor="_Toc222571256" w:history="1">
            <w:r w:rsidR="000963BE" w:rsidRPr="00503AAC">
              <w:rPr>
                <w:rStyle w:val="Hyperlink"/>
                <w:noProof/>
                <w:color w:val="auto"/>
                <w:lang w:val="en-GB"/>
              </w:rPr>
              <w:t>Reference List</w:t>
            </w:r>
            <w:r w:rsidR="000963BE" w:rsidRPr="00503AAC">
              <w:rPr>
                <w:noProof/>
                <w:webHidden/>
              </w:rPr>
              <w:tab/>
            </w:r>
            <w:r w:rsidR="000963BE" w:rsidRPr="00503AAC">
              <w:rPr>
                <w:noProof/>
                <w:webHidden/>
              </w:rPr>
              <w:fldChar w:fldCharType="begin"/>
            </w:r>
            <w:r w:rsidR="000963BE" w:rsidRPr="00503AAC">
              <w:rPr>
                <w:noProof/>
                <w:webHidden/>
              </w:rPr>
              <w:instrText xml:space="preserve"> PAGEREF _Toc222571256 \h </w:instrText>
            </w:r>
            <w:r w:rsidR="000963BE" w:rsidRPr="00503AAC">
              <w:rPr>
                <w:noProof/>
                <w:webHidden/>
              </w:rPr>
            </w:r>
            <w:r w:rsidR="000963BE" w:rsidRPr="00503AAC">
              <w:rPr>
                <w:noProof/>
                <w:webHidden/>
              </w:rPr>
              <w:fldChar w:fldCharType="separate"/>
            </w:r>
            <w:r w:rsidR="00503AAC" w:rsidRPr="00503AAC">
              <w:rPr>
                <w:noProof/>
                <w:webHidden/>
              </w:rPr>
              <w:t>12</w:t>
            </w:r>
            <w:r w:rsidR="000963BE" w:rsidRPr="00503AAC">
              <w:rPr>
                <w:noProof/>
                <w:webHidden/>
              </w:rPr>
              <w:fldChar w:fldCharType="end"/>
            </w:r>
          </w:hyperlink>
        </w:p>
        <w:p w14:paraId="063468EF" w14:textId="738A8146" w:rsidR="0055596C" w:rsidRPr="00503AAC" w:rsidRDefault="0055596C" w:rsidP="00244ECD">
          <w:pPr>
            <w:rPr>
              <w:lang w:val="en-GB"/>
            </w:rPr>
          </w:pPr>
          <w:r w:rsidRPr="00503AAC">
            <w:rPr>
              <w:b/>
              <w:bCs/>
              <w:noProof/>
              <w:lang w:val="en-GB"/>
            </w:rPr>
            <w:fldChar w:fldCharType="end"/>
          </w:r>
        </w:p>
      </w:sdtContent>
    </w:sdt>
    <w:p w14:paraId="443A5E16" w14:textId="77777777" w:rsidR="000D1F6B" w:rsidRPr="00503AAC" w:rsidRDefault="000D1F6B">
      <w:pPr>
        <w:spacing w:before="360" w:after="80"/>
        <w:rPr>
          <w:lang w:val="en-GB"/>
        </w:rPr>
      </w:pPr>
    </w:p>
    <w:p w14:paraId="2687B078" w14:textId="77777777" w:rsidR="0055596C" w:rsidRPr="00503AAC" w:rsidRDefault="0055596C">
      <w:pPr>
        <w:spacing w:before="360" w:after="80"/>
        <w:rPr>
          <w:lang w:val="en-GB"/>
        </w:rPr>
      </w:pPr>
    </w:p>
    <w:p w14:paraId="7788D788" w14:textId="77777777" w:rsidR="0055596C" w:rsidRPr="00503AAC" w:rsidRDefault="0055596C">
      <w:pPr>
        <w:rPr>
          <w:b/>
          <w:bCs/>
          <w:lang w:val="en-GB"/>
        </w:rPr>
      </w:pPr>
      <w:bookmarkStart w:id="0" w:name="_y7ollgjj1rpq" w:colFirst="0" w:colLast="0"/>
      <w:bookmarkEnd w:id="0"/>
      <w:r w:rsidRPr="00503AAC">
        <w:rPr>
          <w:lang w:val="en-GB"/>
        </w:rPr>
        <w:br w:type="page"/>
      </w:r>
    </w:p>
    <w:p w14:paraId="7CFA013D" w14:textId="469EB49C" w:rsidR="000D1F6B" w:rsidRPr="00503AAC" w:rsidRDefault="00770645" w:rsidP="00E343A5">
      <w:pPr>
        <w:pStyle w:val="Heading1"/>
        <w:rPr>
          <w:lang w:val="en-US"/>
        </w:rPr>
      </w:pPr>
      <w:bookmarkStart w:id="1" w:name="_Toc222571248"/>
      <w:r w:rsidRPr="00503AAC">
        <w:rPr>
          <w:lang w:val="en-GB"/>
        </w:rPr>
        <w:lastRenderedPageBreak/>
        <w:t xml:space="preserve">1. </w:t>
      </w:r>
      <w:r w:rsidR="00E343A5" w:rsidRPr="00503AAC">
        <w:rPr>
          <w:lang w:val="en-US"/>
        </w:rPr>
        <w:t>Overview of Risk Factors and Diabetes</w:t>
      </w:r>
      <w:bookmarkEnd w:id="1"/>
    </w:p>
    <w:p w14:paraId="2891E0D3" w14:textId="5293DA44" w:rsidR="00376212" w:rsidRPr="00503AAC" w:rsidRDefault="00770645" w:rsidP="00635D53">
      <w:pPr>
        <w:rPr>
          <w:lang w:val="en-GB"/>
        </w:rPr>
      </w:pPr>
      <w:r w:rsidRPr="00503AAC">
        <w:rPr>
          <w:lang w:val="en-GB"/>
        </w:rPr>
        <w:t xml:space="preserve">Diabetes is a chronic disease where there is high concentration of blood sugar owing to the lack of enough insulin production or incompetent use. </w:t>
      </w:r>
      <w:r w:rsidR="008A1360" w:rsidRPr="00503AAC">
        <w:rPr>
          <w:lang w:val="en-GB"/>
        </w:rPr>
        <w:t xml:space="preserve">Type 2 diabetes is the most common variety, primarily affecting adults but also increasingly affecting younger generations. It is strongly linked to lifestyle choices (Misra </w:t>
      </w:r>
      <w:r w:rsidR="008A1360" w:rsidRPr="00503AAC">
        <w:rPr>
          <w:i/>
          <w:iCs/>
          <w:lang w:val="en-GB"/>
        </w:rPr>
        <w:t>et al.</w:t>
      </w:r>
      <w:r w:rsidR="008A1360" w:rsidRPr="00503AAC">
        <w:rPr>
          <w:lang w:val="en-GB"/>
        </w:rPr>
        <w:t xml:space="preserve"> 2023). </w:t>
      </w:r>
      <w:r w:rsidRPr="00503AAC">
        <w:rPr>
          <w:lang w:val="en-GB"/>
        </w:rPr>
        <w:t xml:space="preserve">It has implications on the body system to control the level of glucose in the body causing long-term complications. Type 2 diabetes develops when the body becomes insulin resistant or fails to produce the necessary amount of insulin to ensure that the sugar levels in the blood are normal. </w:t>
      </w:r>
    </w:p>
    <w:p w14:paraId="40C0EE4A" w14:textId="24B97C1E" w:rsidR="00376212" w:rsidRPr="00503AAC" w:rsidRDefault="00376212" w:rsidP="00376212">
      <w:pPr>
        <w:jc w:val="center"/>
        <w:rPr>
          <w:lang w:val="en-GB"/>
        </w:rPr>
      </w:pPr>
      <w:r w:rsidRPr="00503AAC">
        <w:rPr>
          <w:noProof/>
          <w:lang w:val="en-US"/>
        </w:rPr>
        <w:lastRenderedPageBreak/>
        <w:drawing>
          <wp:inline distT="0" distB="0" distL="0" distR="0" wp14:anchorId="7ADB47BD" wp14:editId="495C0A62">
            <wp:extent cx="5344271" cy="6439799"/>
            <wp:effectExtent l="0" t="0" r="8890" b="0"/>
            <wp:docPr id="172271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71602" name=""/>
                    <pic:cNvPicPr/>
                  </pic:nvPicPr>
                  <pic:blipFill>
                    <a:blip r:embed="rId8"/>
                    <a:stretch>
                      <a:fillRect/>
                    </a:stretch>
                  </pic:blipFill>
                  <pic:spPr>
                    <a:xfrm>
                      <a:off x="0" y="0"/>
                      <a:ext cx="5344271" cy="6439799"/>
                    </a:xfrm>
                    <a:prstGeom prst="rect">
                      <a:avLst/>
                    </a:prstGeom>
                  </pic:spPr>
                </pic:pic>
              </a:graphicData>
            </a:graphic>
          </wp:inline>
        </w:drawing>
      </w:r>
    </w:p>
    <w:p w14:paraId="59A24D5A" w14:textId="3B9A7F3D" w:rsidR="00D564FF" w:rsidRPr="00503AAC" w:rsidRDefault="00376212" w:rsidP="00075271">
      <w:pPr>
        <w:jc w:val="center"/>
        <w:rPr>
          <w:b/>
          <w:bCs/>
          <w:lang w:val="en-US"/>
        </w:rPr>
      </w:pPr>
      <w:r w:rsidRPr="00503AAC">
        <w:rPr>
          <w:b/>
          <w:bCs/>
          <w:lang w:val="en-GB"/>
        </w:rPr>
        <w:t xml:space="preserve">Figure </w:t>
      </w:r>
      <w:r w:rsidR="00EE2CB7" w:rsidRPr="00503AAC">
        <w:rPr>
          <w:b/>
          <w:bCs/>
          <w:lang w:val="en-GB"/>
        </w:rPr>
        <w:t>1</w:t>
      </w:r>
      <w:r w:rsidRPr="00503AAC">
        <w:rPr>
          <w:b/>
          <w:bCs/>
          <w:lang w:val="en-GB"/>
        </w:rPr>
        <w:t>:</w:t>
      </w:r>
      <w:r w:rsidR="00EE2CB7" w:rsidRPr="00503AAC">
        <w:rPr>
          <w:b/>
          <w:bCs/>
          <w:lang w:val="en-GB"/>
        </w:rPr>
        <w:t xml:space="preserve"> </w:t>
      </w:r>
      <w:r w:rsidR="00075271" w:rsidRPr="00503AAC">
        <w:rPr>
          <w:b/>
          <w:bCs/>
          <w:lang w:val="en-US"/>
        </w:rPr>
        <w:t>GLP-1 receptor agonists' possible kidney-protective and other effects</w:t>
      </w:r>
    </w:p>
    <w:p w14:paraId="0295164F" w14:textId="1EA9DF84" w:rsidR="00D564FF" w:rsidRPr="00503AAC" w:rsidRDefault="00D564FF" w:rsidP="00376212">
      <w:pPr>
        <w:jc w:val="center"/>
        <w:rPr>
          <w:lang w:val="en-GB"/>
        </w:rPr>
      </w:pPr>
      <w:r w:rsidRPr="00503AAC">
        <w:rPr>
          <w:lang w:val="en-GB"/>
        </w:rPr>
        <w:t>(Source: Banerjee, 2023)</w:t>
      </w:r>
    </w:p>
    <w:p w14:paraId="7CFA0142" w14:textId="12141C64" w:rsidR="000D1F6B" w:rsidRPr="00503AAC" w:rsidRDefault="00770645" w:rsidP="00635D53">
      <w:pPr>
        <w:rPr>
          <w:lang w:val="en-GB"/>
        </w:rPr>
      </w:pPr>
      <w:r w:rsidRPr="00503AAC">
        <w:rPr>
          <w:lang w:val="en-GB"/>
        </w:rPr>
        <w:t xml:space="preserve">Regulation of blood glucose is a complex process and includes the participation of complex hormonal processes, including the effect of GLP-1 and other gut peptides on the regulation of </w:t>
      </w:r>
      <w:r w:rsidR="001728EC" w:rsidRPr="00503AAC">
        <w:rPr>
          <w:lang w:val="en-GB"/>
        </w:rPr>
        <w:t>glycaemic</w:t>
      </w:r>
      <w:r w:rsidRPr="00503AAC">
        <w:rPr>
          <w:lang w:val="en-GB"/>
        </w:rPr>
        <w:t xml:space="preserve"> levels. The knowledge of these processes, such as the impact of amendments to the lifestyle, might improve management of Type 2 diabetes (Tzeravini </w:t>
      </w:r>
      <w:r w:rsidRPr="00503AAC">
        <w:rPr>
          <w:i/>
          <w:iCs/>
          <w:lang w:val="en-GB"/>
        </w:rPr>
        <w:t xml:space="preserve">et al. </w:t>
      </w:r>
      <w:r w:rsidRPr="00503AAC">
        <w:rPr>
          <w:lang w:val="en-GB"/>
        </w:rPr>
        <w:t>2026</w:t>
      </w:r>
      <w:r w:rsidR="001728EC" w:rsidRPr="00503AAC">
        <w:rPr>
          <w:lang w:val="en-GB"/>
        </w:rPr>
        <w:t>). This</w:t>
      </w:r>
      <w:r w:rsidRPr="00503AAC">
        <w:rPr>
          <w:lang w:val="en-GB"/>
        </w:rPr>
        <w:t xml:space="preserve"> leads to high </w:t>
      </w:r>
      <w:r w:rsidRPr="00503AAC">
        <w:rPr>
          <w:lang w:val="en-GB"/>
        </w:rPr>
        <w:lastRenderedPageBreak/>
        <w:t xml:space="preserve">glucose levels, which lead to a variety of health problems. Although genetics cause individuals to be predisposed to diabetes, lifestyle, particularly diet, exercising as well as weight control are the most important factors. The most important risk factors of Type 2 diabetes are the age thus it is more prevalent among people older than 45 years. </w:t>
      </w:r>
      <w:r w:rsidR="007B3853" w:rsidRPr="00503AAC">
        <w:rPr>
          <w:lang w:val="en-GB"/>
        </w:rPr>
        <w:t xml:space="preserve">Obesity is another significant risk factor, particularly abdominal obesity, which has an impact on insulin sensitivity (Jurczewska </w:t>
      </w:r>
      <w:r w:rsidR="007B3853" w:rsidRPr="00503AAC">
        <w:rPr>
          <w:i/>
          <w:iCs/>
          <w:lang w:val="en-GB"/>
        </w:rPr>
        <w:t>et al.</w:t>
      </w:r>
      <w:r w:rsidR="007B3853" w:rsidRPr="00503AAC">
        <w:rPr>
          <w:lang w:val="en-GB"/>
        </w:rPr>
        <w:t xml:space="preserve"> 2023). </w:t>
      </w:r>
      <w:r w:rsidR="00AE3533" w:rsidRPr="00503AAC">
        <w:rPr>
          <w:lang w:val="en-GB"/>
        </w:rPr>
        <w:t>G</w:t>
      </w:r>
      <w:r w:rsidRPr="00503AAC">
        <w:rPr>
          <w:lang w:val="en-GB"/>
        </w:rPr>
        <w:t>enetic</w:t>
      </w:r>
      <w:r w:rsidR="00AE3533" w:rsidRPr="00503AAC">
        <w:rPr>
          <w:lang w:val="en-GB"/>
        </w:rPr>
        <w:t xml:space="preserve"> </w:t>
      </w:r>
      <w:r w:rsidRPr="00503AAC">
        <w:rPr>
          <w:lang w:val="en-GB"/>
        </w:rPr>
        <w:t>predisposition may predispose one to develop Type 2 diabetes particularly when close relatives have the disorder. Poor diet, physical inactivity and smoking lifestyle choices also increase the risk.</w:t>
      </w:r>
      <w:bookmarkStart w:id="2" w:name="_GoBack"/>
      <w:bookmarkEnd w:id="2"/>
    </w:p>
    <w:p w14:paraId="26D51B2B" w14:textId="53051952" w:rsidR="00635D53" w:rsidRPr="00503AAC" w:rsidRDefault="00635D53" w:rsidP="00D93919">
      <w:pPr>
        <w:pStyle w:val="NormalWeb"/>
        <w:spacing w:before="0" w:beforeAutospacing="0" w:after="0" w:afterAutospacing="0" w:line="360" w:lineRule="auto"/>
        <w:jc w:val="both"/>
        <w:rPr>
          <w:lang w:val="en-GB"/>
        </w:rPr>
      </w:pPr>
      <w:r w:rsidRPr="00503AAC">
        <w:rPr>
          <w:lang w:val="en-GB"/>
        </w:rPr>
        <w:t xml:space="preserve">Risk factors related to Type 2 Diabetes include physical inactivity, an increase in BMI, weight gain, an increase in lipid profile, and an enhancement in dietary </w:t>
      </w:r>
      <w:r w:rsidR="00244ECD" w:rsidRPr="00503AAC">
        <w:rPr>
          <w:lang w:val="en-GB"/>
        </w:rPr>
        <w:t>fibre</w:t>
      </w:r>
      <w:r w:rsidRPr="00503AAC">
        <w:rPr>
          <w:lang w:val="en-GB"/>
        </w:rPr>
        <w:t>. High blood sugar level has the potential to damage blood vessels, creating a risk of heart attack, stroke, kidney failure, and nerve failure. Diabetic retinopathy has the potential to cause eye damage, and peripheral artery blockage creates the risk of stroke (</w:t>
      </w:r>
      <w:r w:rsidRPr="00503AAC">
        <w:rPr>
          <w:shd w:val="clear" w:color="auto" w:fill="FFFFFF"/>
          <w:lang w:val="en-GB"/>
        </w:rPr>
        <w:t xml:space="preserve">Jabbar </w:t>
      </w:r>
      <w:r w:rsidRPr="00503AAC">
        <w:rPr>
          <w:i/>
          <w:iCs/>
          <w:shd w:val="clear" w:color="auto" w:fill="FFFFFF"/>
          <w:lang w:val="en-GB"/>
        </w:rPr>
        <w:t>et al</w:t>
      </w:r>
      <w:r w:rsidRPr="00503AAC">
        <w:rPr>
          <w:shd w:val="clear" w:color="auto" w:fill="FFFFFF"/>
          <w:lang w:val="en-GB"/>
        </w:rPr>
        <w:t>. 2024)</w:t>
      </w:r>
      <w:r w:rsidRPr="00503AAC">
        <w:rPr>
          <w:lang w:val="en-GB"/>
        </w:rPr>
        <w:t>. Type 2 diabetes is a chronic condition categorised by a high level of sugar due to insufficient insulin production. In the case of GP surgery, identification of risk factors is essential to determine the opportunity for better healthcare outcomes. Lifestyle conditions and daily activity evaluation are crucial to deal with the barriers observed in achieving adequate outcomes to deal with Type 2 Diabetes. Therefore, increased blood sugar can create complications in the determination of the overall well-being of an individual.</w:t>
      </w:r>
    </w:p>
    <w:p w14:paraId="7CFA0143" w14:textId="54561B67" w:rsidR="000D1F6B" w:rsidRPr="00503AAC" w:rsidRDefault="00770645" w:rsidP="00E343A5">
      <w:pPr>
        <w:pStyle w:val="Heading1"/>
        <w:rPr>
          <w:lang w:val="en-US"/>
        </w:rPr>
      </w:pPr>
      <w:bookmarkStart w:id="3" w:name="_6l8v7q4l2nry" w:colFirst="0" w:colLast="0"/>
      <w:bookmarkStart w:id="4" w:name="_Toc222571249"/>
      <w:bookmarkEnd w:id="3"/>
      <w:r w:rsidRPr="00503AAC">
        <w:rPr>
          <w:lang w:val="en-GB"/>
        </w:rPr>
        <w:t xml:space="preserve">2. </w:t>
      </w:r>
      <w:r w:rsidR="00E343A5" w:rsidRPr="00503AAC">
        <w:rPr>
          <w:lang w:val="en-US"/>
        </w:rPr>
        <w:t>Control of the Body's Blood Sugar Levels</w:t>
      </w:r>
      <w:bookmarkEnd w:id="4"/>
    </w:p>
    <w:p w14:paraId="7CFA0144" w14:textId="77777777" w:rsidR="000D1F6B" w:rsidRPr="00503AAC" w:rsidRDefault="00770645" w:rsidP="00635D53">
      <w:pPr>
        <w:rPr>
          <w:lang w:val="en-GB"/>
        </w:rPr>
      </w:pPr>
      <w:r w:rsidRPr="00503AAC">
        <w:rPr>
          <w:lang w:val="en-GB"/>
        </w:rPr>
        <w:t>The body majorly obtains energy in the form of glucose that is utilised in normal cellular processes. It is taken in via food and carried by the blood to the tissues where it is either used or stored. Blood glucose metabolism is a fundamental factor that is needed to maintain metabolic stability and energy supply (Yedjou</w:t>
      </w:r>
      <w:r w:rsidRPr="00503AAC">
        <w:rPr>
          <w:i/>
          <w:iCs/>
          <w:lang w:val="en-GB"/>
        </w:rPr>
        <w:t xml:space="preserve"> et al.</w:t>
      </w:r>
      <w:r w:rsidRPr="00503AAC">
        <w:rPr>
          <w:lang w:val="en-GB"/>
        </w:rPr>
        <w:t xml:space="preserve"> 2023). The pancreas is a major player in the process of maintenance of blood glucose. It secretes insulin, a hormone that reduces the blood glucose levels by making the glucose be absorbed into the cells. </w:t>
      </w:r>
    </w:p>
    <w:p w14:paraId="7CFA0145" w14:textId="1DE619C7" w:rsidR="000D1F6B" w:rsidRPr="00503AAC" w:rsidRDefault="00770645" w:rsidP="00635D53">
      <w:pPr>
        <w:rPr>
          <w:lang w:val="en-GB"/>
        </w:rPr>
      </w:pPr>
      <w:r w:rsidRPr="00503AAC">
        <w:rPr>
          <w:lang w:val="en-GB"/>
        </w:rPr>
        <w:t xml:space="preserve">Beta cells are responsive to high blood glucose levels by producing </w:t>
      </w:r>
      <w:r w:rsidR="00244ECD" w:rsidRPr="00503AAC">
        <w:rPr>
          <w:lang w:val="en-GB"/>
        </w:rPr>
        <w:t>insulin that</w:t>
      </w:r>
      <w:r w:rsidRPr="00503AAC">
        <w:rPr>
          <w:lang w:val="en-GB"/>
        </w:rPr>
        <w:t xml:space="preserve"> is the release of insulin following a </w:t>
      </w:r>
      <w:r w:rsidR="0011776B" w:rsidRPr="00503AAC">
        <w:rPr>
          <w:lang w:val="en-GB"/>
        </w:rPr>
        <w:t>meal</w:t>
      </w:r>
      <w:r w:rsidRPr="00503AAC">
        <w:rPr>
          <w:lang w:val="en-GB"/>
        </w:rPr>
        <w:t xml:space="preserve">. On the other hand, low levels of blood glucose cause the pancreas to secrete glucagon, which causes the liver to secrete stored glucose to the blood stream thereby increasing the level of glucose (Gunst </w:t>
      </w:r>
      <w:r w:rsidRPr="00503AAC">
        <w:rPr>
          <w:i/>
          <w:iCs/>
          <w:lang w:val="en-GB"/>
        </w:rPr>
        <w:t>et al.</w:t>
      </w:r>
      <w:r w:rsidRPr="00503AAC">
        <w:rPr>
          <w:lang w:val="en-GB"/>
        </w:rPr>
        <w:t xml:space="preserve"> 2023). Blood sugar balance is a manifestation of homeostasis, where the body is able to maintain a stable internal environment. Insulin and </w:t>
      </w:r>
      <w:r w:rsidRPr="00503AAC">
        <w:rPr>
          <w:lang w:val="en-GB"/>
        </w:rPr>
        <w:lastRenderedPageBreak/>
        <w:t>glucagon are linked in a positive feedback mechanism that maintains the blood sugar level in a small range. The strict control maintains normal levels of glucose (non-</w:t>
      </w:r>
      <w:r w:rsidR="001728EC" w:rsidRPr="00503AAC">
        <w:rPr>
          <w:lang w:val="en-GB"/>
        </w:rPr>
        <w:t>hyperglycaemic</w:t>
      </w:r>
      <w:r w:rsidRPr="00503AAC">
        <w:rPr>
          <w:lang w:val="en-GB"/>
        </w:rPr>
        <w:t xml:space="preserve"> and non-</w:t>
      </w:r>
      <w:r w:rsidR="001728EC" w:rsidRPr="00503AAC">
        <w:rPr>
          <w:lang w:val="en-GB"/>
        </w:rPr>
        <w:t>hypoglycaemic</w:t>
      </w:r>
      <w:r w:rsidRPr="00503AAC">
        <w:rPr>
          <w:lang w:val="en-GB"/>
        </w:rPr>
        <w:t>). This balance is essential to the normal functioning of the body and especially during such conditions as diabetes.</w:t>
      </w:r>
    </w:p>
    <w:p w14:paraId="2630966D" w14:textId="4FA053F4" w:rsidR="00635D53" w:rsidRPr="00503AAC" w:rsidRDefault="00635D53" w:rsidP="00635D53">
      <w:pPr>
        <w:pStyle w:val="NormalWeb"/>
        <w:spacing w:before="0" w:beforeAutospacing="0" w:after="0" w:afterAutospacing="0" w:line="360" w:lineRule="auto"/>
        <w:jc w:val="both"/>
        <w:rPr>
          <w:lang w:val="en-GB"/>
        </w:rPr>
      </w:pPr>
      <w:r w:rsidRPr="00503AAC">
        <w:rPr>
          <w:lang w:val="en-GB"/>
        </w:rPr>
        <w:t xml:space="preserve">A safe blood sugar level is maintained with focus on </w:t>
      </w:r>
      <w:r w:rsidRPr="00503AAC">
        <w:rPr>
          <w:shd w:val="clear" w:color="auto" w:fill="FFFFFF"/>
          <w:lang w:val="en-GB"/>
        </w:rPr>
        <w:t xml:space="preserve">consistent, low-glycemic eating, regular physical activity, and active lifestyle management. Having a low-glycemic diet and regular physical activity can help to determine the scope of well-being by reducing refined sugar. Safe dietary management can become easier with emphasis on the level of fiber in food, and ensure success in overall well-being (Hu, 2024). Stress management needs to focus on cortisol and adrenaline to achieve success in terms of controlling sugar levels. Prevention of high blood sugar levels can help to develop insulin </w:t>
      </w:r>
      <w:r w:rsidR="000963BE" w:rsidRPr="00503AAC">
        <w:rPr>
          <w:shd w:val="clear" w:color="auto" w:fill="FFFFFF"/>
          <w:lang w:val="en-GB"/>
        </w:rPr>
        <w:t>sensitivity</w:t>
      </w:r>
      <w:r w:rsidRPr="00503AAC">
        <w:rPr>
          <w:shd w:val="clear" w:color="auto" w:fill="FFFFFF"/>
          <w:lang w:val="en-GB"/>
        </w:rPr>
        <w:t xml:space="preserve"> and lowering the glucose level can turn out to be possible. Managing carbohydrate intake can help to manage low-glycemic index, and successful monitoring of the blood sugar level becomes easier. It is required to deal with the existing challenges and incorporate the required measures to control Type-2 diabetes. Henceforth, it is required to address the level of insulin and achieve success in the prevention of Type-2 Diabetes in the human body. </w:t>
      </w:r>
    </w:p>
    <w:p w14:paraId="7CFA0146" w14:textId="452E68EA" w:rsidR="000D1F6B" w:rsidRPr="00503AAC" w:rsidRDefault="00770645" w:rsidP="00B02570">
      <w:pPr>
        <w:pStyle w:val="Heading1"/>
        <w:rPr>
          <w:lang w:val="en-US"/>
        </w:rPr>
      </w:pPr>
      <w:bookmarkStart w:id="5" w:name="_uzd7u7y7sjzy" w:colFirst="0" w:colLast="0"/>
      <w:bookmarkStart w:id="6" w:name="_Toc222571250"/>
      <w:bookmarkEnd w:id="5"/>
      <w:r w:rsidRPr="00503AAC">
        <w:rPr>
          <w:lang w:val="en-GB"/>
        </w:rPr>
        <w:t xml:space="preserve">3. </w:t>
      </w:r>
      <w:r w:rsidR="00B02570" w:rsidRPr="00503AAC">
        <w:rPr>
          <w:lang w:val="en-US"/>
        </w:rPr>
        <w:t>Cellular Metabolism: The Function of Glucose and Oxygen in the Generation of Energy</w:t>
      </w:r>
      <w:bookmarkEnd w:id="6"/>
    </w:p>
    <w:p w14:paraId="5499493A" w14:textId="5DCD9919" w:rsidR="009F7E8A" w:rsidRPr="00503AAC" w:rsidRDefault="00770645" w:rsidP="00635D53">
      <w:pPr>
        <w:rPr>
          <w:lang w:val="en-GB"/>
        </w:rPr>
      </w:pPr>
      <w:r w:rsidRPr="00503AAC">
        <w:rPr>
          <w:lang w:val="en-GB"/>
        </w:rPr>
        <w:t>Cellular respiration is conducted to convert nutrients into energy by cells, which use oxygen and glucose as the main substances. This occurs in the mitochondria whereby glucose is converted into pyruvate by a process called glycolysis. The pyruvate is then converted in the Krebs cycle to produce the molecules rich in energy such as NADH and FADH2 that are used to drive the electron transport chain. Oxygen is a very essential element in cellular respiration as it is the last electron acceptor in the electron transport chain (Kukurugya</w:t>
      </w:r>
      <w:r w:rsidRPr="00503AAC">
        <w:rPr>
          <w:i/>
          <w:iCs/>
          <w:lang w:val="en-GB"/>
        </w:rPr>
        <w:t xml:space="preserve"> et al.</w:t>
      </w:r>
      <w:r w:rsidRPr="00503AAC">
        <w:rPr>
          <w:lang w:val="en-GB"/>
        </w:rPr>
        <w:t xml:space="preserve"> 2024). This is necessary to enable the generation of ATP that is the energy currency of the cell that is used to support many functions. Lack of adequate oxygen will result in anaerobic conditions and inability of the cells to produce ATP, hence less energy. </w:t>
      </w:r>
      <w:r w:rsidR="00B325C1" w:rsidRPr="00503AAC">
        <w:rPr>
          <w:lang w:val="en-GB"/>
        </w:rPr>
        <w:t xml:space="preserve">The primary energy source for cellular respiration and the supply of the carbon backbone required for energy production is glucose (Long, 2022). </w:t>
      </w:r>
      <w:r w:rsidRPr="00503AAC">
        <w:rPr>
          <w:lang w:val="en-GB"/>
        </w:rPr>
        <w:t xml:space="preserve">ATP is required in various important cellular processes, such as protein synthesis, cell division, and active </w:t>
      </w:r>
      <w:r w:rsidR="00244ECD" w:rsidRPr="00503AAC">
        <w:rPr>
          <w:lang w:val="en-GB"/>
        </w:rPr>
        <w:t>transport that</w:t>
      </w:r>
      <w:r w:rsidRPr="00503AAC">
        <w:rPr>
          <w:lang w:val="en-GB"/>
        </w:rPr>
        <w:t xml:space="preserve"> guarantee the overall functioning and survival of the cell.</w:t>
      </w:r>
    </w:p>
    <w:p w14:paraId="2C4BC3AA" w14:textId="7A36612D" w:rsidR="00635D53" w:rsidRPr="00503AAC" w:rsidRDefault="00635D53" w:rsidP="00635D53">
      <w:pPr>
        <w:pStyle w:val="NormalWeb"/>
        <w:spacing w:before="0" w:beforeAutospacing="0" w:after="0" w:afterAutospacing="0" w:line="360" w:lineRule="auto"/>
        <w:jc w:val="both"/>
        <w:rPr>
          <w:lang w:val="en-GB"/>
        </w:rPr>
      </w:pPr>
      <w:r w:rsidRPr="00503AAC">
        <w:rPr>
          <w:lang w:val="en-GB"/>
        </w:rPr>
        <w:lastRenderedPageBreak/>
        <w:t xml:space="preserve">The cell creates energy by combining glucose and energy through a process named aerobic cellular respiration, and the process starts at Mitochondria. Oxygen plays a crucial role in cell metabolism in collaboration with the final electron acceptor and helps to produce </w:t>
      </w:r>
      <w:r w:rsidRPr="00503AAC">
        <w:rPr>
          <w:shd w:val="clear" w:color="auto" w:fill="FFFFFF"/>
          <w:lang w:val="en-GB"/>
        </w:rPr>
        <w:t xml:space="preserve">adenosine triphosphate (ATP). The successful breakdown of nutrients helps in generating energy, and managing the flow of the stages concerned with cell metabolism becomes easier (Chen </w:t>
      </w:r>
      <w:r w:rsidRPr="00503AAC">
        <w:rPr>
          <w:i/>
          <w:iCs/>
          <w:shd w:val="clear" w:color="auto" w:fill="FFFFFF"/>
          <w:lang w:val="en-GB"/>
        </w:rPr>
        <w:t>et al</w:t>
      </w:r>
      <w:r w:rsidRPr="00503AAC">
        <w:rPr>
          <w:shd w:val="clear" w:color="auto" w:fill="FFFFFF"/>
          <w:lang w:val="en-GB"/>
        </w:rPr>
        <w:t>. 2025). Oxygen pro</w:t>
      </w:r>
      <w:r w:rsidR="00244ECD" w:rsidRPr="00503AAC">
        <w:rPr>
          <w:shd w:val="clear" w:color="auto" w:fill="FFFFFF"/>
          <w:lang w:val="en-GB"/>
        </w:rPr>
        <w:t>duction with the help of Oxidative</w:t>
      </w:r>
      <w:r w:rsidRPr="00503AAC">
        <w:rPr>
          <w:shd w:val="clear" w:color="auto" w:fill="FFFFFF"/>
          <w:lang w:val="en-GB"/>
        </w:rPr>
        <w:t xml:space="preserve"> Phosphorylation depends on the presence of necessary nutrients in the cell cycle. In the case of nurses working in GP surgery, tracking the level of cell metabolism is one of the crucial components to be considered. Adenosine triphosphate (ATP) serves as the energy currency of the cell, and the adequate breakdown of nutrients appears to be easier (Ouyang </w:t>
      </w:r>
      <w:r w:rsidRPr="00503AAC">
        <w:rPr>
          <w:i/>
          <w:iCs/>
          <w:shd w:val="clear" w:color="auto" w:fill="FFFFFF"/>
          <w:lang w:val="en-GB"/>
        </w:rPr>
        <w:t>et al</w:t>
      </w:r>
      <w:r w:rsidRPr="00503AAC">
        <w:rPr>
          <w:shd w:val="clear" w:color="auto" w:fill="FFFFFF"/>
          <w:lang w:val="en-GB"/>
        </w:rPr>
        <w:t xml:space="preserve">. 2025). </w:t>
      </w:r>
      <w:r w:rsidRPr="00503AAC">
        <w:rPr>
          <w:rFonts w:ascii="Arial" w:hAnsi="Arial" w:cs="Arial"/>
          <w:shd w:val="clear" w:color="auto" w:fill="FFFFFF"/>
          <w:lang w:val="en-GB"/>
        </w:rPr>
        <w:t> </w:t>
      </w:r>
      <w:r w:rsidRPr="00503AAC">
        <w:rPr>
          <w:shd w:val="clear" w:color="auto" w:fill="FFFFFF"/>
          <w:lang w:val="en-GB"/>
        </w:rPr>
        <w:t>Thus, it is necessary to manage a balance in the energy flow and increase coordination in the energy production in human cells.</w:t>
      </w:r>
    </w:p>
    <w:p w14:paraId="39BDF7D1" w14:textId="77777777" w:rsidR="00B02570" w:rsidRPr="00503AAC" w:rsidRDefault="00770645" w:rsidP="00B02570">
      <w:pPr>
        <w:pStyle w:val="Heading1"/>
        <w:rPr>
          <w:lang w:val="en-US"/>
        </w:rPr>
      </w:pPr>
      <w:bookmarkStart w:id="7" w:name="_bg9wgfxd4gxt" w:colFirst="0" w:colLast="0"/>
      <w:bookmarkStart w:id="8" w:name="_Toc222571251"/>
      <w:bookmarkEnd w:id="7"/>
      <w:r w:rsidRPr="00503AAC">
        <w:rPr>
          <w:lang w:val="en-GB"/>
        </w:rPr>
        <w:t xml:space="preserve">4. </w:t>
      </w:r>
      <w:r w:rsidR="00B02570" w:rsidRPr="00503AAC">
        <w:rPr>
          <w:lang w:val="en-US"/>
        </w:rPr>
        <w:t>The Value of Monitoring and Documenting Blood Sugar Levels</w:t>
      </w:r>
      <w:bookmarkEnd w:id="8"/>
    </w:p>
    <w:p w14:paraId="7CFA0149" w14:textId="76EDC691" w:rsidR="000D1F6B" w:rsidRPr="00503AAC" w:rsidRDefault="00244ECD" w:rsidP="00B02570">
      <w:pPr>
        <w:rPr>
          <w:lang w:val="en-US"/>
        </w:rPr>
      </w:pPr>
      <w:r w:rsidRPr="00503AAC">
        <w:rPr>
          <w:lang w:val="en-GB"/>
        </w:rPr>
        <w:t>L</w:t>
      </w:r>
      <w:r w:rsidR="001728EC" w:rsidRPr="00503AAC">
        <w:rPr>
          <w:lang w:val="en-GB"/>
        </w:rPr>
        <w:t>oud</w:t>
      </w:r>
      <w:r w:rsidR="00770645" w:rsidRPr="00503AAC">
        <w:rPr>
          <w:lang w:val="en-GB"/>
        </w:rPr>
        <w:t xml:space="preserve"> glucose is important in the treatment of Type 2 diabetes. Frequent monitoring enables them to see the effects of their lifestyle habits on the level of sugars in the blood. Regularly monitoring blood glucose levels, patients can determine patterns and trends and can be of great importance in determining how food, physical activity, and drugs influence that condition (Pleus </w:t>
      </w:r>
      <w:r w:rsidR="00770645" w:rsidRPr="00503AAC">
        <w:rPr>
          <w:i/>
          <w:iCs/>
          <w:lang w:val="en-GB"/>
        </w:rPr>
        <w:t xml:space="preserve">et al. </w:t>
      </w:r>
      <w:r w:rsidR="00770645" w:rsidRPr="00503AAC">
        <w:rPr>
          <w:lang w:val="en-GB"/>
        </w:rPr>
        <w:t xml:space="preserve">2022). Physical activities, and medication, it is necessary to identify such patterns to make sound judgments regarding dietary changes. It allows people to be proactive and avoid the unsafe drops and spikes in blood sugar </w:t>
      </w:r>
      <w:r w:rsidR="000963BE" w:rsidRPr="00503AAC">
        <w:rPr>
          <w:lang w:val="en-GB"/>
        </w:rPr>
        <w:t>levels, which</w:t>
      </w:r>
      <w:r w:rsidR="00770645" w:rsidRPr="00503AAC">
        <w:rPr>
          <w:lang w:val="en-GB"/>
        </w:rPr>
        <w:t xml:space="preserve"> might cause complications.</w:t>
      </w:r>
    </w:p>
    <w:p w14:paraId="7CFA014A" w14:textId="77777777" w:rsidR="000D1F6B" w:rsidRPr="00503AAC" w:rsidRDefault="00770645" w:rsidP="00635D53">
      <w:pPr>
        <w:rPr>
          <w:lang w:val="en-GB"/>
        </w:rPr>
      </w:pPr>
      <w:r w:rsidRPr="00503AAC">
        <w:rPr>
          <w:lang w:val="en-GB"/>
        </w:rPr>
        <w:t xml:space="preserve">Blood glucose monitoring also enables patients to work with healthcare providers to adjust their care plans (Ni </w:t>
      </w:r>
      <w:r w:rsidRPr="00503AAC">
        <w:rPr>
          <w:i/>
          <w:iCs/>
          <w:lang w:val="en-GB"/>
        </w:rPr>
        <w:t xml:space="preserve">et al. </w:t>
      </w:r>
      <w:r w:rsidRPr="00503AAC">
        <w:rPr>
          <w:lang w:val="en-GB"/>
        </w:rPr>
        <w:t>2024). Frequent data gathering will result in improved communication with the medical teams, and any alterations of the treatment course can be made on the basis of credible information. Finally, tracking blood sugar is one of the pillars of safe self-management of Type 2 diabetes that enables patients to have the means to sustain good health over time and avoid complications.</w:t>
      </w:r>
    </w:p>
    <w:p w14:paraId="10B12676" w14:textId="77777777" w:rsidR="00635D53" w:rsidRPr="00503AAC" w:rsidRDefault="00635D53" w:rsidP="00635D53">
      <w:pPr>
        <w:pStyle w:val="NormalWeb"/>
        <w:spacing w:before="0" w:beforeAutospacing="0" w:after="0" w:afterAutospacing="0" w:line="360" w:lineRule="auto"/>
        <w:jc w:val="both"/>
        <w:rPr>
          <w:lang w:val="en-GB"/>
        </w:rPr>
      </w:pPr>
      <w:r w:rsidRPr="00503AAC">
        <w:rPr>
          <w:lang w:val="en-GB"/>
        </w:rPr>
        <w:t xml:space="preserve">Blood sugar tracking in Type 2 diabetes is based on using a glucometer and a </w:t>
      </w:r>
      <w:r w:rsidRPr="00503AAC">
        <w:rPr>
          <w:shd w:val="clear" w:color="auto" w:fill="FFFFFF"/>
          <w:lang w:val="en-GB"/>
        </w:rPr>
        <w:t xml:space="preserve">Continuous Glucose Monitor (CGM) with enabled logging. Typically, the recording is done within 1-2 hours of having a meal, and managing a 70–180 mg/dL range becomes easier. Management of structured timing is one of the most crucial strategies to track Type 2 diabetes, and insulin intake frequency can be reduced (Boonpattharatthiti </w:t>
      </w:r>
      <w:r w:rsidRPr="00503AAC">
        <w:rPr>
          <w:i/>
          <w:iCs/>
          <w:shd w:val="clear" w:color="auto" w:fill="FFFFFF"/>
          <w:lang w:val="en-GB"/>
        </w:rPr>
        <w:t>et al</w:t>
      </w:r>
      <w:r w:rsidRPr="00503AAC">
        <w:rPr>
          <w:shd w:val="clear" w:color="auto" w:fill="FFFFFF"/>
          <w:lang w:val="en-GB"/>
        </w:rPr>
        <w:t xml:space="preserve">. 2024). Continuous Glucose Monitoring provides an opportunity </w:t>
      </w:r>
      <w:r w:rsidRPr="00503AAC">
        <w:rPr>
          <w:shd w:val="clear" w:color="auto" w:fill="FFFFFF"/>
          <w:lang w:val="en-GB"/>
        </w:rPr>
        <w:lastRenderedPageBreak/>
        <w:t>to track the parameters in high-stress scenarios, and increasing insights into the process can become possible. It requires the adoption of required measures and determines the opportunity to deal with the constraints in reducing the issue of Type-2 diabetes. It is necessary to address issues observed, and implication is found in dealing with the existing challenge while reducing the consequences of Type-2 diabetes. Therefore, the need is to conduct systematic tracking, and the consequences are observed in determining successful results that can be easier with a focus on the implications of Type-2 diabetes.</w:t>
      </w:r>
    </w:p>
    <w:p w14:paraId="39AD29E0" w14:textId="395B0908" w:rsidR="00635D53" w:rsidRPr="00503AAC" w:rsidRDefault="00635D53" w:rsidP="00635D53">
      <w:pPr>
        <w:pStyle w:val="NormalWeb"/>
        <w:spacing w:before="0" w:beforeAutospacing="0" w:after="0" w:afterAutospacing="0" w:line="360" w:lineRule="auto"/>
        <w:jc w:val="both"/>
        <w:rPr>
          <w:lang w:val="en-GB"/>
        </w:rPr>
      </w:pPr>
      <w:r w:rsidRPr="00503AAC">
        <w:rPr>
          <w:shd w:val="clear" w:color="auto" w:fill="FFFFFF"/>
          <w:lang w:val="en-GB"/>
        </w:rPr>
        <w:t xml:space="preserve">The advanced continuous glucose monitoring strategy at present is linked with a pain-free strategy of tracking with SMART technologies. Glucose measurement is associated with the strategy to deal with the barriers and improve the overall performance accuracy (van Leersum </w:t>
      </w:r>
      <w:r w:rsidRPr="00503AAC">
        <w:rPr>
          <w:i/>
          <w:iCs/>
          <w:shd w:val="clear" w:color="auto" w:fill="FFFFFF"/>
          <w:lang w:val="en-GB"/>
        </w:rPr>
        <w:t>et al</w:t>
      </w:r>
      <w:r w:rsidRPr="00503AAC">
        <w:rPr>
          <w:shd w:val="clear" w:color="auto" w:fill="FFFFFF"/>
          <w:lang w:val="en-GB"/>
        </w:rPr>
        <w:t>. 2024). A1C Test helps in tracking the level of fasting Plasma Glucose, and key metrics need to remain within 6.5%. Random Blood Sugar Test helps in ensuring early detection of Type-2 Diabetes, and implication is observed in managing well-being. Furthermore, daily monitoring of finger-prick glucose meters creates an opportunity to increase coordination in tracking the process. Henceforth, the need is to address barriers observed in the detection of challenges and increase understanding of the process of early detection. </w:t>
      </w:r>
    </w:p>
    <w:p w14:paraId="7CFA014B" w14:textId="36B3C57A" w:rsidR="000D1F6B" w:rsidRPr="00503AAC" w:rsidRDefault="00770645" w:rsidP="00706BA0">
      <w:pPr>
        <w:pStyle w:val="Heading1"/>
        <w:rPr>
          <w:lang w:val="en-US"/>
        </w:rPr>
      </w:pPr>
      <w:bookmarkStart w:id="9" w:name="_9wwhepstcc3v" w:colFirst="0" w:colLast="0"/>
      <w:bookmarkStart w:id="10" w:name="_Toc222571252"/>
      <w:bookmarkEnd w:id="9"/>
      <w:r w:rsidRPr="00503AAC">
        <w:rPr>
          <w:lang w:val="en-GB"/>
        </w:rPr>
        <w:t xml:space="preserve">5. </w:t>
      </w:r>
      <w:r w:rsidR="00706BA0" w:rsidRPr="00503AAC">
        <w:rPr>
          <w:lang w:val="en-US"/>
        </w:rPr>
        <w:t>Lifestyle Elements and Research-Based Suggestions</w:t>
      </w:r>
      <w:bookmarkEnd w:id="10"/>
    </w:p>
    <w:p w14:paraId="7CFA014C" w14:textId="5EFCED48" w:rsidR="000D1F6B" w:rsidRPr="00503AAC" w:rsidRDefault="00770645" w:rsidP="00635D53">
      <w:pPr>
        <w:rPr>
          <w:lang w:val="en-GB"/>
        </w:rPr>
      </w:pPr>
      <w:r w:rsidRPr="00503AAC">
        <w:rPr>
          <w:lang w:val="en-GB"/>
        </w:rPr>
        <w:t xml:space="preserve">Management of Type 2 diabetes makes use of diet and nutritional management. Low </w:t>
      </w:r>
      <w:r w:rsidR="001728EC" w:rsidRPr="00503AAC">
        <w:rPr>
          <w:lang w:val="en-GB"/>
        </w:rPr>
        <w:t>glycaemic</w:t>
      </w:r>
      <w:r w:rsidRPr="00503AAC">
        <w:rPr>
          <w:lang w:val="en-GB"/>
        </w:rPr>
        <w:t xml:space="preserve"> index foods make up a balanced diet that makes it easy to regulate the level of blood sugar. Fiber-rich foods such as vegetables, whole grains and legumes boost insulin sensitivity and stop blood sugar spikes.</w:t>
      </w:r>
    </w:p>
    <w:p w14:paraId="7CFA014D" w14:textId="77777777" w:rsidR="000D1F6B" w:rsidRPr="00503AAC" w:rsidRDefault="00770645" w:rsidP="00635D53">
      <w:pPr>
        <w:jc w:val="center"/>
        <w:rPr>
          <w:lang w:val="en-GB"/>
        </w:rPr>
      </w:pPr>
      <w:r w:rsidRPr="00503AAC">
        <w:rPr>
          <w:noProof/>
          <w:lang w:val="en-US"/>
        </w:rPr>
        <w:lastRenderedPageBreak/>
        <w:drawing>
          <wp:inline distT="114300" distB="114300" distL="114300" distR="114300" wp14:anchorId="7CFA016B" wp14:editId="7CFA016C">
            <wp:extent cx="5943600" cy="34417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441700"/>
                    </a:xfrm>
                    <a:prstGeom prst="rect">
                      <a:avLst/>
                    </a:prstGeom>
                    <a:ln/>
                  </pic:spPr>
                </pic:pic>
              </a:graphicData>
            </a:graphic>
          </wp:inline>
        </w:drawing>
      </w:r>
    </w:p>
    <w:p w14:paraId="1966B3E0" w14:textId="77777777" w:rsidR="006D7944" w:rsidRPr="00503AAC" w:rsidRDefault="006D7944" w:rsidP="006D7944">
      <w:pPr>
        <w:jc w:val="center"/>
        <w:rPr>
          <w:b/>
          <w:bCs/>
          <w:lang w:val="en-US"/>
        </w:rPr>
      </w:pPr>
      <w:r w:rsidRPr="00503AAC">
        <w:rPr>
          <w:b/>
          <w:bCs/>
          <w:lang w:val="en-US"/>
        </w:rPr>
        <w:t>Figure 2: Knee extensor muscle 1-RM prediction</w:t>
      </w:r>
    </w:p>
    <w:p w14:paraId="7CFA014F" w14:textId="77777777" w:rsidR="000D1F6B" w:rsidRPr="00503AAC" w:rsidRDefault="00770645" w:rsidP="00635D53">
      <w:pPr>
        <w:jc w:val="center"/>
        <w:rPr>
          <w:lang w:val="en-GB"/>
        </w:rPr>
      </w:pPr>
      <w:r w:rsidRPr="00503AAC">
        <w:rPr>
          <w:lang w:val="en-GB"/>
        </w:rPr>
        <w:t xml:space="preserve">(Source: Mezghani </w:t>
      </w:r>
      <w:r w:rsidRPr="00503AAC">
        <w:rPr>
          <w:i/>
          <w:lang w:val="en-GB"/>
        </w:rPr>
        <w:t xml:space="preserve">et al. </w:t>
      </w:r>
      <w:r w:rsidRPr="00503AAC">
        <w:rPr>
          <w:lang w:val="en-GB"/>
        </w:rPr>
        <w:t>2022)</w:t>
      </w:r>
    </w:p>
    <w:p w14:paraId="7CFA0150" w14:textId="1E427F79" w:rsidR="000D1F6B" w:rsidRPr="00503AAC" w:rsidRDefault="00770645" w:rsidP="00635D53">
      <w:pPr>
        <w:rPr>
          <w:lang w:val="en-GB"/>
        </w:rPr>
      </w:pPr>
      <w:r w:rsidRPr="00503AAC">
        <w:rPr>
          <w:lang w:val="en-GB"/>
        </w:rPr>
        <w:t xml:space="preserve">Exercise and physical activity </w:t>
      </w:r>
      <w:r w:rsidR="001728EC" w:rsidRPr="00503AAC">
        <w:rPr>
          <w:lang w:val="en-GB"/>
        </w:rPr>
        <w:t>are</w:t>
      </w:r>
      <w:r w:rsidRPr="00503AAC">
        <w:rPr>
          <w:lang w:val="en-GB"/>
        </w:rPr>
        <w:t xml:space="preserve"> important in the management of Type 2 diabetes. Aerobic exercises (walking or cycling) can be performed regularly to make insulin more sensitive and manage the weight (Mezghani </w:t>
      </w:r>
      <w:r w:rsidRPr="00503AAC">
        <w:rPr>
          <w:i/>
          <w:iCs/>
          <w:lang w:val="en-GB"/>
        </w:rPr>
        <w:t>et al.</w:t>
      </w:r>
      <w:r w:rsidRPr="00503AAC">
        <w:rPr>
          <w:lang w:val="en-GB"/>
        </w:rPr>
        <w:t xml:space="preserve"> 2022). Exercises of strength training also enhance muscle functions, which facilitate the uptake of glucose in the cells.</w:t>
      </w:r>
    </w:p>
    <w:p w14:paraId="7CFA0151" w14:textId="77777777" w:rsidR="000D1F6B" w:rsidRPr="00503AAC" w:rsidRDefault="00770645" w:rsidP="00635D53">
      <w:pPr>
        <w:rPr>
          <w:lang w:val="en-GB"/>
        </w:rPr>
      </w:pPr>
      <w:r w:rsidRPr="00503AAC">
        <w:rPr>
          <w:lang w:val="en-GB"/>
        </w:rPr>
        <w:t>The smoking cessation process is very useful in the management of blood sugar. There is the problem of insulin resistance caused by smoking, which puts one at the risk of getting complications. Cessation of smoking leads to better health and decreases cardiovascular risks, and blood sugar control (Okorare</w:t>
      </w:r>
      <w:r w:rsidRPr="00503AAC">
        <w:rPr>
          <w:i/>
          <w:iCs/>
          <w:lang w:val="en-GB"/>
        </w:rPr>
        <w:t xml:space="preserve"> et al.</w:t>
      </w:r>
      <w:r w:rsidRPr="00503AAC">
        <w:rPr>
          <w:lang w:val="en-GB"/>
        </w:rPr>
        <w:t xml:space="preserve"> 2023). The management of diabetes depends on weight management. A healthy weight maintained by eating well and exercising enhances insulin receptiveness and then medication is not necessary. These lifestyle modifications are evidence-based on stabilising the level of blood glucose.</w:t>
      </w:r>
    </w:p>
    <w:p w14:paraId="5E38C4A6" w14:textId="7D6C1943" w:rsidR="00635D53" w:rsidRPr="00503AAC" w:rsidRDefault="00F3264F" w:rsidP="00F3264F">
      <w:pPr>
        <w:pStyle w:val="Heading2"/>
        <w:rPr>
          <w:lang w:val="en-GB"/>
        </w:rPr>
      </w:pPr>
      <w:bookmarkStart w:id="11" w:name="_Toc222571253"/>
      <w:r w:rsidRPr="00503AAC">
        <w:rPr>
          <w:lang w:val="en-GB"/>
        </w:rPr>
        <w:t>Evaluation of the importance of nutrient dense foods</w:t>
      </w:r>
      <w:bookmarkEnd w:id="11"/>
    </w:p>
    <w:p w14:paraId="42DCF437" w14:textId="77777777" w:rsidR="00635D53" w:rsidRPr="00503AAC" w:rsidRDefault="00635D53" w:rsidP="00635D53">
      <w:pPr>
        <w:pStyle w:val="NormalWeb"/>
        <w:spacing w:before="0" w:beforeAutospacing="0" w:after="0" w:afterAutospacing="0" w:line="360" w:lineRule="auto"/>
        <w:jc w:val="both"/>
        <w:rPr>
          <w:lang w:val="en-GB"/>
        </w:rPr>
      </w:pPr>
      <w:r w:rsidRPr="00503AAC">
        <w:rPr>
          <w:lang w:val="en-GB"/>
        </w:rPr>
        <w:t>It is recommended to manage an adequate balance of nutrients in food to deal with the challenges due to Type-2 diabetes. Adherence to continuous medication and nutrient-dense food intake are two crucial stages to deal with Type-2 diabetes (</w:t>
      </w:r>
      <w:r w:rsidRPr="00503AAC">
        <w:rPr>
          <w:shd w:val="clear" w:color="auto" w:fill="FFFFFF"/>
          <w:lang w:val="en-GB"/>
        </w:rPr>
        <w:t xml:space="preserve">Iwasaki </w:t>
      </w:r>
      <w:r w:rsidRPr="00503AAC">
        <w:rPr>
          <w:i/>
          <w:iCs/>
          <w:shd w:val="clear" w:color="auto" w:fill="FFFFFF"/>
          <w:lang w:val="en-GB"/>
        </w:rPr>
        <w:t>et al</w:t>
      </w:r>
      <w:r w:rsidRPr="00503AAC">
        <w:rPr>
          <w:shd w:val="clear" w:color="auto" w:fill="FFFFFF"/>
          <w:lang w:val="en-GB"/>
        </w:rPr>
        <w:t>. 2025)</w:t>
      </w:r>
      <w:r w:rsidRPr="00503AAC">
        <w:rPr>
          <w:lang w:val="en-GB"/>
        </w:rPr>
        <w:t xml:space="preserve">. Inclusion of vegetables and </w:t>
      </w:r>
      <w:r w:rsidRPr="00503AAC">
        <w:rPr>
          <w:lang w:val="en-GB"/>
        </w:rPr>
        <w:lastRenderedPageBreak/>
        <w:t>whole grains in the diet can be helpful to deal with the consequences of Type-2 diabetes on the human body. It is recommended to increase the level of nutrients in foods to deal with the challenges observed due to Type-2 diabetes.</w:t>
      </w:r>
    </w:p>
    <w:p w14:paraId="3191A8A4" w14:textId="3178C181" w:rsidR="00635D53" w:rsidRPr="00503AAC" w:rsidRDefault="00F3264F" w:rsidP="00F3264F">
      <w:pPr>
        <w:pStyle w:val="Heading2"/>
        <w:rPr>
          <w:lang w:val="en-GB"/>
        </w:rPr>
      </w:pPr>
      <w:bookmarkStart w:id="12" w:name="_Toc222571254"/>
      <w:r w:rsidRPr="00503AAC">
        <w:rPr>
          <w:lang w:val="en-GB"/>
        </w:rPr>
        <w:t>Understanding the strategy of successful Carbohydrate intake</w:t>
      </w:r>
      <w:bookmarkEnd w:id="12"/>
    </w:p>
    <w:p w14:paraId="35E4588F" w14:textId="4E2F2ABF" w:rsidR="00635D53" w:rsidRPr="00503AAC" w:rsidRDefault="00635D53" w:rsidP="00635D53">
      <w:pPr>
        <w:pStyle w:val="NormalWeb"/>
        <w:spacing w:before="0" w:beforeAutospacing="0" w:after="0" w:afterAutospacing="0" w:line="360" w:lineRule="auto"/>
        <w:jc w:val="both"/>
        <w:rPr>
          <w:lang w:val="en-GB"/>
        </w:rPr>
      </w:pPr>
      <w:r w:rsidRPr="00503AAC">
        <w:rPr>
          <w:lang w:val="en-GB"/>
        </w:rPr>
        <w:t>It is suggested to ensure adequate carbohydrate intake to determine well-being and ensure success in preventing Type-2 diabetes. Adoption of adequate preventive measures creates an opportunity to address the issues and gain progress (</w:t>
      </w:r>
      <w:r w:rsidRPr="00503AAC">
        <w:rPr>
          <w:shd w:val="clear" w:color="auto" w:fill="FFFFFF"/>
          <w:lang w:val="en-GB"/>
        </w:rPr>
        <w:t xml:space="preserve">Arshad </w:t>
      </w:r>
      <w:r w:rsidRPr="00503AAC">
        <w:rPr>
          <w:i/>
          <w:iCs/>
          <w:shd w:val="clear" w:color="auto" w:fill="FFFFFF"/>
          <w:lang w:val="en-GB"/>
        </w:rPr>
        <w:t>et al</w:t>
      </w:r>
      <w:r w:rsidRPr="00503AAC">
        <w:rPr>
          <w:shd w:val="clear" w:color="auto" w:fill="FFFFFF"/>
          <w:lang w:val="en-GB"/>
        </w:rPr>
        <w:t>. 2025)</w:t>
      </w:r>
      <w:r w:rsidRPr="00503AAC">
        <w:rPr>
          <w:lang w:val="en-GB"/>
        </w:rPr>
        <w:t>. It is recommended to focus on managing a balanced carbohydrate intake and achieving success in determining the well-being of an individual. Thus, it is necessary to increase insights regarding the level of carbohydrate intake and ensure well-being. </w:t>
      </w:r>
    </w:p>
    <w:p w14:paraId="7CFA0152" w14:textId="77777777" w:rsidR="000D1F6B" w:rsidRPr="00503AAC" w:rsidRDefault="00770645" w:rsidP="00635D53">
      <w:pPr>
        <w:pStyle w:val="Heading1"/>
        <w:keepNext w:val="0"/>
        <w:keepLines w:val="0"/>
        <w:spacing w:before="0" w:after="0"/>
        <w:rPr>
          <w:lang w:val="en-GB"/>
        </w:rPr>
      </w:pPr>
      <w:bookmarkStart w:id="13" w:name="_arr3yhha7c2u" w:colFirst="0" w:colLast="0"/>
      <w:bookmarkStart w:id="14" w:name="_Toc222571255"/>
      <w:bookmarkEnd w:id="13"/>
      <w:r w:rsidRPr="00503AAC">
        <w:rPr>
          <w:lang w:val="en-GB"/>
        </w:rPr>
        <w:t>6. Conclusion</w:t>
      </w:r>
      <w:bookmarkEnd w:id="14"/>
    </w:p>
    <w:p w14:paraId="68EAEEAD" w14:textId="17D359C3" w:rsidR="00635D53" w:rsidRPr="00503AAC" w:rsidRDefault="00770645" w:rsidP="00635D53">
      <w:pPr>
        <w:pStyle w:val="NormalWeb"/>
        <w:spacing w:before="0" w:beforeAutospacing="0" w:after="0" w:afterAutospacing="0" w:line="360" w:lineRule="auto"/>
        <w:jc w:val="both"/>
        <w:rPr>
          <w:lang w:val="en-GB"/>
        </w:rPr>
      </w:pPr>
      <w:r w:rsidRPr="00503AAC">
        <w:rPr>
          <w:lang w:val="en-GB"/>
        </w:rPr>
        <w:t>The treatment of Type 2 diabetes needs to be holistic, with regular blood sugar levels checks, healthy lifestyle, and medical assistance. The implementation of evidence-based approaches such as appropriate diet, physical activity, quitting smoking, and managing weight, one will be able to manage blood sugar and, consequently, live better.</w:t>
      </w:r>
      <w:r w:rsidR="00635D53" w:rsidRPr="00503AAC">
        <w:rPr>
          <w:lang w:val="en-GB"/>
        </w:rPr>
        <w:t xml:space="preserve"> It can be concluded from the above evaluation that an appropriate strategy of detection and implementation of required measures is necessary. Type-2 diabetes needs to be addressed with the adoption of precise measures, and consequences are observed in reaching a successful outcome in an easy manner. Therefore, the need is to deal with the barriers and include proactive measures to achieve the desired results in preventing the issue. </w:t>
      </w:r>
    </w:p>
    <w:p w14:paraId="7CFA0153" w14:textId="24EAD864" w:rsidR="000D1F6B" w:rsidRPr="00503AAC" w:rsidRDefault="000D1F6B" w:rsidP="00635D53">
      <w:pPr>
        <w:rPr>
          <w:lang w:val="en-GB"/>
        </w:rPr>
      </w:pPr>
    </w:p>
    <w:p w14:paraId="13E88B6F" w14:textId="77777777" w:rsidR="001728EC" w:rsidRPr="00503AAC" w:rsidRDefault="001728EC" w:rsidP="00635D53">
      <w:pPr>
        <w:rPr>
          <w:b/>
          <w:bCs/>
          <w:lang w:val="en-GB"/>
        </w:rPr>
      </w:pPr>
      <w:bookmarkStart w:id="15" w:name="_j1b7abaina6g" w:colFirst="0" w:colLast="0"/>
      <w:bookmarkEnd w:id="15"/>
      <w:r w:rsidRPr="00503AAC">
        <w:rPr>
          <w:lang w:val="en-GB"/>
        </w:rPr>
        <w:br w:type="page"/>
      </w:r>
    </w:p>
    <w:p w14:paraId="41EBC0CE" w14:textId="0E45C031" w:rsidR="001728EC" w:rsidRPr="00503AAC" w:rsidRDefault="00770645" w:rsidP="001728EC">
      <w:pPr>
        <w:pStyle w:val="Heading1"/>
        <w:keepNext w:val="0"/>
        <w:keepLines w:val="0"/>
        <w:spacing w:before="360" w:after="80"/>
        <w:rPr>
          <w:lang w:val="en-GB"/>
        </w:rPr>
      </w:pPr>
      <w:bookmarkStart w:id="16" w:name="_Toc222571256"/>
      <w:r w:rsidRPr="00503AAC">
        <w:rPr>
          <w:lang w:val="en-GB"/>
        </w:rPr>
        <w:lastRenderedPageBreak/>
        <w:t>Reference List</w:t>
      </w:r>
      <w:bookmarkEnd w:id="16"/>
    </w:p>
    <w:p w14:paraId="103A6684" w14:textId="77777777" w:rsidR="000963BE" w:rsidRPr="00503AAC" w:rsidRDefault="000963BE" w:rsidP="00244ECD">
      <w:pPr>
        <w:pStyle w:val="NormalWeb"/>
        <w:spacing w:before="240" w:beforeAutospacing="0" w:after="240" w:afterAutospacing="0" w:line="360" w:lineRule="auto"/>
        <w:jc w:val="both"/>
        <w:rPr>
          <w:lang w:val="en-GB"/>
        </w:rPr>
      </w:pPr>
      <w:r w:rsidRPr="00503AAC">
        <w:rPr>
          <w:shd w:val="clear" w:color="auto" w:fill="FFFFFF"/>
          <w:lang w:val="en-GB"/>
        </w:rPr>
        <w:t xml:space="preserve">Arshad, M.T., </w:t>
      </w:r>
      <w:proofErr w:type="spellStart"/>
      <w:r w:rsidRPr="00503AAC">
        <w:rPr>
          <w:shd w:val="clear" w:color="auto" w:fill="FFFFFF"/>
          <w:lang w:val="en-GB"/>
        </w:rPr>
        <w:t>Maqsood</w:t>
      </w:r>
      <w:proofErr w:type="spellEnd"/>
      <w:r w:rsidRPr="00503AAC">
        <w:rPr>
          <w:shd w:val="clear" w:color="auto" w:fill="FFFFFF"/>
          <w:lang w:val="en-GB"/>
        </w:rPr>
        <w:t xml:space="preserve">, S., </w:t>
      </w:r>
      <w:proofErr w:type="spellStart"/>
      <w:r w:rsidRPr="00503AAC">
        <w:rPr>
          <w:shd w:val="clear" w:color="auto" w:fill="FFFFFF"/>
          <w:lang w:val="en-GB"/>
        </w:rPr>
        <w:t>Altalhi</w:t>
      </w:r>
      <w:proofErr w:type="spellEnd"/>
      <w:r w:rsidRPr="00503AAC">
        <w:rPr>
          <w:shd w:val="clear" w:color="auto" w:fill="FFFFFF"/>
          <w:lang w:val="en-GB"/>
        </w:rPr>
        <w:t xml:space="preserve">, R., </w:t>
      </w:r>
      <w:proofErr w:type="spellStart"/>
      <w:r w:rsidRPr="00503AAC">
        <w:rPr>
          <w:shd w:val="clear" w:color="auto" w:fill="FFFFFF"/>
          <w:lang w:val="en-GB"/>
        </w:rPr>
        <w:t>Shamlan</w:t>
      </w:r>
      <w:proofErr w:type="spellEnd"/>
      <w:r w:rsidRPr="00503AAC">
        <w:rPr>
          <w:shd w:val="clear" w:color="auto" w:fill="FFFFFF"/>
          <w:lang w:val="en-GB"/>
        </w:rPr>
        <w:t xml:space="preserve">, G., Mohamed Ahmed, I.A., </w:t>
      </w:r>
      <w:proofErr w:type="spellStart"/>
      <w:r w:rsidRPr="00503AAC">
        <w:rPr>
          <w:shd w:val="clear" w:color="auto" w:fill="FFFFFF"/>
          <w:lang w:val="en-GB"/>
        </w:rPr>
        <w:t>Ikram</w:t>
      </w:r>
      <w:proofErr w:type="spellEnd"/>
      <w:r w:rsidRPr="00503AAC">
        <w:rPr>
          <w:shd w:val="clear" w:color="auto" w:fill="FFFFFF"/>
          <w:lang w:val="en-GB"/>
        </w:rPr>
        <w:t xml:space="preserve">, A. and </w:t>
      </w:r>
      <w:proofErr w:type="spellStart"/>
      <w:r w:rsidRPr="00503AAC">
        <w:rPr>
          <w:shd w:val="clear" w:color="auto" w:fill="FFFFFF"/>
          <w:lang w:val="en-GB"/>
        </w:rPr>
        <w:t>Abdullahi</w:t>
      </w:r>
      <w:proofErr w:type="spellEnd"/>
      <w:r w:rsidRPr="00503AAC">
        <w:rPr>
          <w:shd w:val="clear" w:color="auto" w:fill="FFFFFF"/>
          <w:lang w:val="en-GB"/>
        </w:rPr>
        <w:t xml:space="preserve">, M.A., (2025). ‘Role of dietary carbohydrates in cognitive function: a review’. </w:t>
      </w:r>
      <w:r w:rsidRPr="00503AAC">
        <w:rPr>
          <w:i/>
          <w:iCs/>
          <w:shd w:val="clear" w:color="auto" w:fill="FFFFFF"/>
          <w:lang w:val="en-GB"/>
        </w:rPr>
        <w:t>Food Science &amp; Nutrition</w:t>
      </w:r>
      <w:r w:rsidRPr="00503AAC">
        <w:rPr>
          <w:shd w:val="clear" w:color="auto" w:fill="FFFFFF"/>
          <w:lang w:val="en-GB"/>
        </w:rPr>
        <w:t xml:space="preserve">, </w:t>
      </w:r>
      <w:r w:rsidRPr="00503AAC">
        <w:rPr>
          <w:i/>
          <w:iCs/>
          <w:shd w:val="clear" w:color="auto" w:fill="FFFFFF"/>
          <w:lang w:val="en-GB"/>
        </w:rPr>
        <w:t>13</w:t>
      </w:r>
      <w:r w:rsidRPr="00503AAC">
        <w:rPr>
          <w:shd w:val="clear" w:color="auto" w:fill="FFFFFF"/>
          <w:lang w:val="en-GB"/>
        </w:rPr>
        <w:t xml:space="preserve">(7), p.e70516. Available at: </w:t>
      </w:r>
      <w:hyperlink r:id="rId10" w:history="1">
        <w:r w:rsidRPr="00503AAC">
          <w:rPr>
            <w:rStyle w:val="Hyperlink"/>
            <w:color w:val="auto"/>
            <w:shd w:val="clear" w:color="auto" w:fill="FFFFFF"/>
            <w:lang w:val="en-GB"/>
          </w:rPr>
          <w:t>https://doi.org/10.1002/fsn3.70516</w:t>
        </w:r>
      </w:hyperlink>
    </w:p>
    <w:p w14:paraId="2B7B9B43" w14:textId="77777777" w:rsidR="000963BE" w:rsidRPr="00503AAC" w:rsidRDefault="000963BE" w:rsidP="00D564FF">
      <w:pPr>
        <w:rPr>
          <w:lang w:val="en-GB"/>
        </w:rPr>
      </w:pPr>
      <w:r w:rsidRPr="00503AAC">
        <w:t xml:space="preserve">Banerjee, M., (2023). </w:t>
      </w:r>
      <w:proofErr w:type="spellStart"/>
      <w:r w:rsidRPr="00503AAC">
        <w:t>Epicardial</w:t>
      </w:r>
      <w:proofErr w:type="spellEnd"/>
      <w:r w:rsidRPr="00503AAC">
        <w:t xml:space="preserve"> fat paradox and differential effects of GLP-1 receptor agonists across heart failure phenotypes. </w:t>
      </w:r>
      <w:r w:rsidRPr="00503AAC">
        <w:rPr>
          <w:i/>
          <w:iCs/>
        </w:rPr>
        <w:t>Circulation: Heart Failure</w:t>
      </w:r>
      <w:r w:rsidRPr="00503AAC">
        <w:t>, </w:t>
      </w:r>
      <w:r w:rsidRPr="00503AAC">
        <w:rPr>
          <w:i/>
          <w:iCs/>
        </w:rPr>
        <w:t>16</w:t>
      </w:r>
      <w:r w:rsidRPr="00503AAC">
        <w:t xml:space="preserve">(12), p.e010966. </w:t>
      </w:r>
      <w:r w:rsidRPr="00503AAC">
        <w:rPr>
          <w:rFonts w:eastAsia="Arial"/>
          <w:highlight w:val="white"/>
          <w:lang w:val="en-GB"/>
        </w:rPr>
        <w:t>Available at:</w:t>
      </w:r>
      <w:r w:rsidRPr="00503AAC">
        <w:rPr>
          <w:rFonts w:eastAsia="Arial"/>
          <w:lang w:val="en-GB"/>
        </w:rPr>
        <w:t xml:space="preserve"> </w:t>
      </w:r>
      <w:r w:rsidRPr="00503AAC">
        <w:rPr>
          <w:rFonts w:eastAsia="Arial"/>
        </w:rPr>
        <w:t xml:space="preserve">DOI: 10.1161/CIRCHEARTFAILURE.123.010966 </w:t>
      </w:r>
    </w:p>
    <w:p w14:paraId="400033DB" w14:textId="77777777" w:rsidR="000963BE" w:rsidRPr="00503AAC" w:rsidRDefault="000963BE" w:rsidP="00244ECD">
      <w:pPr>
        <w:pStyle w:val="NormalWeb"/>
        <w:spacing w:before="240" w:beforeAutospacing="0" w:after="240" w:afterAutospacing="0" w:line="360" w:lineRule="auto"/>
        <w:jc w:val="both"/>
        <w:rPr>
          <w:lang w:val="en-GB"/>
        </w:rPr>
      </w:pPr>
      <w:proofErr w:type="spellStart"/>
      <w:r w:rsidRPr="00503AAC">
        <w:rPr>
          <w:shd w:val="clear" w:color="auto" w:fill="FFFFFF"/>
          <w:lang w:val="en-GB"/>
        </w:rPr>
        <w:t>Boonpattharatthiti</w:t>
      </w:r>
      <w:proofErr w:type="spellEnd"/>
      <w:r w:rsidRPr="00503AAC">
        <w:rPr>
          <w:shd w:val="clear" w:color="auto" w:fill="FFFFFF"/>
          <w:lang w:val="en-GB"/>
        </w:rPr>
        <w:t xml:space="preserve">, K., </w:t>
      </w:r>
      <w:proofErr w:type="spellStart"/>
      <w:r w:rsidRPr="00503AAC">
        <w:rPr>
          <w:shd w:val="clear" w:color="auto" w:fill="FFFFFF"/>
          <w:lang w:val="en-GB"/>
        </w:rPr>
        <w:t>Songkla</w:t>
      </w:r>
      <w:proofErr w:type="spellEnd"/>
      <w:r w:rsidRPr="00503AAC">
        <w:rPr>
          <w:shd w:val="clear" w:color="auto" w:fill="FFFFFF"/>
          <w:lang w:val="en-GB"/>
        </w:rPr>
        <w:t xml:space="preserve">, P.N., </w:t>
      </w:r>
      <w:proofErr w:type="spellStart"/>
      <w:r w:rsidRPr="00503AAC">
        <w:rPr>
          <w:shd w:val="clear" w:color="auto" w:fill="FFFFFF"/>
          <w:lang w:val="en-GB"/>
        </w:rPr>
        <w:t>Chantara</w:t>
      </w:r>
      <w:proofErr w:type="spellEnd"/>
      <w:r w:rsidRPr="00503AAC">
        <w:rPr>
          <w:shd w:val="clear" w:color="auto" w:fill="FFFFFF"/>
          <w:lang w:val="en-GB"/>
        </w:rPr>
        <w:t xml:space="preserve">, J., </w:t>
      </w:r>
      <w:proofErr w:type="spellStart"/>
      <w:r w:rsidRPr="00503AAC">
        <w:rPr>
          <w:shd w:val="clear" w:color="auto" w:fill="FFFFFF"/>
          <w:lang w:val="en-GB"/>
        </w:rPr>
        <w:t>Koomsri</w:t>
      </w:r>
      <w:proofErr w:type="spellEnd"/>
      <w:r w:rsidRPr="00503AAC">
        <w:rPr>
          <w:shd w:val="clear" w:color="auto" w:fill="FFFFFF"/>
          <w:lang w:val="en-GB"/>
        </w:rPr>
        <w:t xml:space="preserve">, C., </w:t>
      </w:r>
      <w:proofErr w:type="spellStart"/>
      <w:r w:rsidRPr="00503AAC">
        <w:rPr>
          <w:shd w:val="clear" w:color="auto" w:fill="FFFFFF"/>
          <w:lang w:val="en-GB"/>
        </w:rPr>
        <w:t>Krass</w:t>
      </w:r>
      <w:proofErr w:type="spellEnd"/>
      <w:r w:rsidRPr="00503AAC">
        <w:rPr>
          <w:shd w:val="clear" w:color="auto" w:fill="FFFFFF"/>
          <w:lang w:val="en-GB"/>
        </w:rPr>
        <w:t xml:space="preserve">, I., </w:t>
      </w:r>
      <w:proofErr w:type="spellStart"/>
      <w:r w:rsidRPr="00503AAC">
        <w:rPr>
          <w:shd w:val="clear" w:color="auto" w:fill="FFFFFF"/>
          <w:lang w:val="en-GB"/>
        </w:rPr>
        <w:t>Chaiyakunapruk</w:t>
      </w:r>
      <w:proofErr w:type="spellEnd"/>
      <w:r w:rsidRPr="00503AAC">
        <w:rPr>
          <w:shd w:val="clear" w:color="auto" w:fill="FFFFFF"/>
          <w:lang w:val="en-GB"/>
        </w:rPr>
        <w:t xml:space="preserve">, N. and </w:t>
      </w:r>
      <w:proofErr w:type="spellStart"/>
      <w:r w:rsidRPr="00503AAC">
        <w:rPr>
          <w:shd w:val="clear" w:color="auto" w:fill="FFFFFF"/>
          <w:lang w:val="en-GB"/>
        </w:rPr>
        <w:t>Dhippayom</w:t>
      </w:r>
      <w:proofErr w:type="spellEnd"/>
      <w:r w:rsidRPr="00503AAC">
        <w:rPr>
          <w:shd w:val="clear" w:color="auto" w:fill="FFFFFF"/>
          <w:lang w:val="en-GB"/>
        </w:rPr>
        <w:t xml:space="preserve">, T., (2024). ‘Prevalence of adherence to oral antidiabetic drugs in patients with type 2 diabetes: A systematic review and meta‐analysis’. </w:t>
      </w:r>
      <w:r w:rsidRPr="00503AAC">
        <w:rPr>
          <w:i/>
          <w:iCs/>
          <w:shd w:val="clear" w:color="auto" w:fill="FFFFFF"/>
          <w:lang w:val="en-GB"/>
        </w:rPr>
        <w:t>Journal of Diabetes Investigation</w:t>
      </w:r>
      <w:r w:rsidRPr="00503AAC">
        <w:rPr>
          <w:shd w:val="clear" w:color="auto" w:fill="FFFFFF"/>
          <w:lang w:val="en-GB"/>
        </w:rPr>
        <w:t xml:space="preserve">, </w:t>
      </w:r>
      <w:r w:rsidRPr="00503AAC">
        <w:rPr>
          <w:i/>
          <w:iCs/>
          <w:shd w:val="clear" w:color="auto" w:fill="FFFFFF"/>
          <w:lang w:val="en-GB"/>
        </w:rPr>
        <w:t>15</w:t>
      </w:r>
      <w:r w:rsidRPr="00503AAC">
        <w:rPr>
          <w:shd w:val="clear" w:color="auto" w:fill="FFFFFF"/>
          <w:lang w:val="en-GB"/>
        </w:rPr>
        <w:t xml:space="preserve">(11), pp.1614-1625.Available at: </w:t>
      </w:r>
      <w:hyperlink r:id="rId11" w:history="1">
        <w:r w:rsidRPr="00503AAC">
          <w:rPr>
            <w:rStyle w:val="Hyperlink"/>
            <w:color w:val="auto"/>
            <w:shd w:val="clear" w:color="auto" w:fill="FFFFFF"/>
            <w:lang w:val="en-GB"/>
          </w:rPr>
          <w:t>https://doi.org/10.1111/jdi.14285</w:t>
        </w:r>
      </w:hyperlink>
    </w:p>
    <w:p w14:paraId="62D21C38" w14:textId="77777777" w:rsidR="000963BE" w:rsidRPr="00503AAC" w:rsidRDefault="000963BE" w:rsidP="00244ECD">
      <w:pPr>
        <w:pStyle w:val="NormalWeb"/>
        <w:spacing w:before="240" w:beforeAutospacing="0" w:after="240" w:afterAutospacing="0" w:line="360" w:lineRule="auto"/>
        <w:jc w:val="both"/>
        <w:rPr>
          <w:lang w:val="en-GB"/>
        </w:rPr>
      </w:pPr>
      <w:r w:rsidRPr="00503AAC">
        <w:rPr>
          <w:shd w:val="clear" w:color="auto" w:fill="FFFFFF"/>
          <w:lang w:val="en-GB"/>
        </w:rPr>
        <w:t xml:space="preserve">Chen, Z.F., Shen, Y.F., Gao, D.W., Lin, D.F., Ma, W.Z. and Chang, D.G., (2025). ‘Metabolic pathways and male fertility: Exploring the role of </w:t>
      </w:r>
      <w:proofErr w:type="spellStart"/>
      <w:r w:rsidRPr="00503AAC">
        <w:rPr>
          <w:shd w:val="clear" w:color="auto" w:fill="FFFFFF"/>
          <w:lang w:val="en-GB"/>
        </w:rPr>
        <w:t>Sertoli</w:t>
      </w:r>
      <w:proofErr w:type="spellEnd"/>
      <w:r w:rsidRPr="00503AAC">
        <w:rPr>
          <w:shd w:val="clear" w:color="auto" w:fill="FFFFFF"/>
          <w:lang w:val="en-GB"/>
        </w:rPr>
        <w:t xml:space="preserve"> cells in energy homeostasis and spermatogenesis’. </w:t>
      </w:r>
      <w:r w:rsidRPr="00503AAC">
        <w:rPr>
          <w:i/>
          <w:iCs/>
          <w:shd w:val="clear" w:color="auto" w:fill="FFFFFF"/>
          <w:lang w:val="en-GB"/>
        </w:rPr>
        <w:t>American Journal of Physiology-Endocrinology and Metabolism</w:t>
      </w:r>
      <w:r w:rsidRPr="00503AAC">
        <w:rPr>
          <w:shd w:val="clear" w:color="auto" w:fill="FFFFFF"/>
          <w:lang w:val="en-GB"/>
        </w:rPr>
        <w:t xml:space="preserve">, </w:t>
      </w:r>
      <w:r w:rsidRPr="00503AAC">
        <w:rPr>
          <w:i/>
          <w:iCs/>
          <w:shd w:val="clear" w:color="auto" w:fill="FFFFFF"/>
          <w:lang w:val="en-GB"/>
        </w:rPr>
        <w:t>329</w:t>
      </w:r>
      <w:r w:rsidRPr="00503AAC">
        <w:rPr>
          <w:shd w:val="clear" w:color="auto" w:fill="FFFFFF"/>
          <w:lang w:val="en-GB"/>
        </w:rPr>
        <w:t xml:space="preserve">(1), pp.E160-E178. Available at: </w:t>
      </w:r>
      <w:hyperlink r:id="rId12" w:history="1">
        <w:r w:rsidRPr="00503AAC">
          <w:rPr>
            <w:rStyle w:val="Hyperlink"/>
            <w:color w:val="auto"/>
            <w:shd w:val="clear" w:color="auto" w:fill="FFFFFF"/>
            <w:lang w:val="en-GB"/>
          </w:rPr>
          <w:t>https://doi.org/10.1152/ajpendo.00074.2025</w:t>
        </w:r>
      </w:hyperlink>
    </w:p>
    <w:p w14:paraId="31916B02" w14:textId="77777777" w:rsidR="000963BE" w:rsidRPr="00503AAC" w:rsidRDefault="000963BE" w:rsidP="00244ECD">
      <w:pPr>
        <w:spacing w:before="240" w:after="240"/>
        <w:rPr>
          <w:rFonts w:eastAsia="Arial"/>
          <w:highlight w:val="white"/>
          <w:lang w:val="en-GB"/>
        </w:rPr>
      </w:pPr>
      <w:proofErr w:type="spellStart"/>
      <w:r w:rsidRPr="00503AAC">
        <w:rPr>
          <w:rFonts w:eastAsia="Arial"/>
          <w:highlight w:val="white"/>
          <w:lang w:val="en-GB"/>
        </w:rPr>
        <w:t>Gunst</w:t>
      </w:r>
      <w:proofErr w:type="spellEnd"/>
      <w:r w:rsidRPr="00503AAC">
        <w:rPr>
          <w:rFonts w:eastAsia="Arial"/>
          <w:highlight w:val="white"/>
          <w:lang w:val="en-GB"/>
        </w:rPr>
        <w:t xml:space="preserve">, J., </w:t>
      </w:r>
      <w:proofErr w:type="spellStart"/>
      <w:r w:rsidRPr="00503AAC">
        <w:rPr>
          <w:rFonts w:eastAsia="Arial"/>
          <w:highlight w:val="white"/>
          <w:lang w:val="en-GB"/>
        </w:rPr>
        <w:t>Debaveye</w:t>
      </w:r>
      <w:proofErr w:type="spellEnd"/>
      <w:r w:rsidRPr="00503AAC">
        <w:rPr>
          <w:rFonts w:eastAsia="Arial"/>
          <w:highlight w:val="white"/>
          <w:lang w:val="en-GB"/>
        </w:rPr>
        <w:t xml:space="preserve">, Y., </w:t>
      </w:r>
      <w:proofErr w:type="spellStart"/>
      <w:r w:rsidRPr="00503AAC">
        <w:rPr>
          <w:rFonts w:eastAsia="Arial"/>
          <w:highlight w:val="white"/>
          <w:lang w:val="en-GB"/>
        </w:rPr>
        <w:t>Güiza</w:t>
      </w:r>
      <w:proofErr w:type="spellEnd"/>
      <w:r w:rsidRPr="00503AAC">
        <w:rPr>
          <w:rFonts w:eastAsia="Arial"/>
          <w:highlight w:val="white"/>
          <w:lang w:val="en-GB"/>
        </w:rPr>
        <w:t xml:space="preserve">, F., Dubois, J., De </w:t>
      </w:r>
      <w:proofErr w:type="spellStart"/>
      <w:r w:rsidRPr="00503AAC">
        <w:rPr>
          <w:rFonts w:eastAsia="Arial"/>
          <w:highlight w:val="white"/>
          <w:lang w:val="en-GB"/>
        </w:rPr>
        <w:t>Bruyn</w:t>
      </w:r>
      <w:proofErr w:type="spellEnd"/>
      <w:r w:rsidRPr="00503AAC">
        <w:rPr>
          <w:rFonts w:eastAsia="Arial"/>
          <w:highlight w:val="white"/>
          <w:lang w:val="en-GB"/>
        </w:rPr>
        <w:t xml:space="preserve">, A., </w:t>
      </w:r>
      <w:proofErr w:type="spellStart"/>
      <w:r w:rsidRPr="00503AAC">
        <w:rPr>
          <w:rFonts w:eastAsia="Arial"/>
          <w:highlight w:val="white"/>
          <w:lang w:val="en-GB"/>
        </w:rPr>
        <w:t>Dauwe</w:t>
      </w:r>
      <w:proofErr w:type="spellEnd"/>
      <w:r w:rsidRPr="00503AAC">
        <w:rPr>
          <w:rFonts w:eastAsia="Arial"/>
          <w:highlight w:val="white"/>
          <w:lang w:val="en-GB"/>
        </w:rPr>
        <w:t xml:space="preserve">, D., De Troy, E., </w:t>
      </w:r>
      <w:proofErr w:type="spellStart"/>
      <w:r w:rsidRPr="00503AAC">
        <w:rPr>
          <w:rFonts w:eastAsia="Arial"/>
          <w:highlight w:val="white"/>
          <w:lang w:val="en-GB"/>
        </w:rPr>
        <w:t>Casaer</w:t>
      </w:r>
      <w:proofErr w:type="spellEnd"/>
      <w:r w:rsidRPr="00503AAC">
        <w:rPr>
          <w:rFonts w:eastAsia="Arial"/>
          <w:highlight w:val="white"/>
          <w:lang w:val="en-GB"/>
        </w:rPr>
        <w:t xml:space="preserve">, M.P., De </w:t>
      </w:r>
      <w:proofErr w:type="spellStart"/>
      <w:r w:rsidRPr="00503AAC">
        <w:rPr>
          <w:rFonts w:eastAsia="Arial"/>
          <w:highlight w:val="white"/>
          <w:lang w:val="en-GB"/>
        </w:rPr>
        <w:t>Vlieger</w:t>
      </w:r>
      <w:proofErr w:type="spellEnd"/>
      <w:r w:rsidRPr="00503AAC">
        <w:rPr>
          <w:rFonts w:eastAsia="Arial"/>
          <w:highlight w:val="white"/>
          <w:lang w:val="en-GB"/>
        </w:rPr>
        <w:t xml:space="preserve">, G., </w:t>
      </w:r>
      <w:proofErr w:type="spellStart"/>
      <w:r w:rsidRPr="00503AAC">
        <w:rPr>
          <w:rFonts w:eastAsia="Arial"/>
          <w:highlight w:val="white"/>
          <w:lang w:val="en-GB"/>
        </w:rPr>
        <w:t>Haghedooren</w:t>
      </w:r>
      <w:proofErr w:type="spellEnd"/>
      <w:r w:rsidRPr="00503AAC">
        <w:rPr>
          <w:rFonts w:eastAsia="Arial"/>
          <w:highlight w:val="white"/>
          <w:lang w:val="en-GB"/>
        </w:rPr>
        <w:t xml:space="preserve">, R. and Jacobs, B., (2023). ‘Tight blood-glucose control without early parenteral nutrition in the ICU’. </w:t>
      </w:r>
      <w:r w:rsidRPr="00503AAC">
        <w:rPr>
          <w:rFonts w:eastAsia="Arial"/>
          <w:i/>
          <w:iCs/>
          <w:highlight w:val="white"/>
          <w:lang w:val="en-GB"/>
        </w:rPr>
        <w:t>New England Journal of Medicine</w:t>
      </w:r>
      <w:r w:rsidRPr="00503AAC">
        <w:rPr>
          <w:rFonts w:eastAsia="Arial"/>
          <w:highlight w:val="white"/>
          <w:lang w:val="en-GB"/>
        </w:rPr>
        <w:t xml:space="preserve">, </w:t>
      </w:r>
      <w:r w:rsidRPr="00503AAC">
        <w:rPr>
          <w:rFonts w:eastAsia="Arial"/>
          <w:i/>
          <w:iCs/>
          <w:highlight w:val="white"/>
          <w:lang w:val="en-GB"/>
        </w:rPr>
        <w:t>389</w:t>
      </w:r>
      <w:r w:rsidRPr="00503AAC">
        <w:rPr>
          <w:rFonts w:eastAsia="Arial"/>
          <w:highlight w:val="white"/>
          <w:lang w:val="en-GB"/>
        </w:rPr>
        <w:t xml:space="preserve">(13), pp.1180-1190. Available at: DOI: </w:t>
      </w:r>
      <w:hyperlink r:id="rId13" w:history="1">
        <w:r w:rsidRPr="00503AAC">
          <w:rPr>
            <w:rStyle w:val="Hyperlink"/>
            <w:rFonts w:eastAsia="Arial"/>
            <w:color w:val="auto"/>
            <w:highlight w:val="white"/>
            <w:lang w:val="en-GB"/>
          </w:rPr>
          <w:t>https://doi.org/10.1056/NEJMoa2304855</w:t>
        </w:r>
      </w:hyperlink>
      <w:r w:rsidRPr="00503AAC">
        <w:rPr>
          <w:rFonts w:eastAsia="Arial"/>
          <w:highlight w:val="white"/>
          <w:lang w:val="en-GB"/>
        </w:rPr>
        <w:t xml:space="preserve"> </w:t>
      </w:r>
    </w:p>
    <w:p w14:paraId="32C2FD53" w14:textId="77777777" w:rsidR="000963BE" w:rsidRPr="00503AAC" w:rsidRDefault="000963BE" w:rsidP="00244ECD">
      <w:pPr>
        <w:pStyle w:val="NormalWeb"/>
        <w:spacing w:before="240" w:beforeAutospacing="0" w:after="240" w:afterAutospacing="0" w:line="360" w:lineRule="auto"/>
        <w:jc w:val="both"/>
        <w:rPr>
          <w:lang w:val="en-GB"/>
        </w:rPr>
      </w:pPr>
      <w:r w:rsidRPr="00503AAC">
        <w:rPr>
          <w:shd w:val="clear" w:color="auto" w:fill="FFFFFF"/>
          <w:lang w:val="en-GB"/>
        </w:rPr>
        <w:t xml:space="preserve">Hu, F.B., (2024). ‘Diet strategies for promoting healthy aging and longevity: An epidemiological perspective’. </w:t>
      </w:r>
      <w:r w:rsidRPr="00503AAC">
        <w:rPr>
          <w:i/>
          <w:iCs/>
          <w:shd w:val="clear" w:color="auto" w:fill="FFFFFF"/>
          <w:lang w:val="en-GB"/>
        </w:rPr>
        <w:t>Journal of internal medicine</w:t>
      </w:r>
      <w:r w:rsidRPr="00503AAC">
        <w:rPr>
          <w:shd w:val="clear" w:color="auto" w:fill="FFFFFF"/>
          <w:lang w:val="en-GB"/>
        </w:rPr>
        <w:t xml:space="preserve">, </w:t>
      </w:r>
      <w:r w:rsidRPr="00503AAC">
        <w:rPr>
          <w:i/>
          <w:iCs/>
          <w:shd w:val="clear" w:color="auto" w:fill="FFFFFF"/>
          <w:lang w:val="en-GB"/>
        </w:rPr>
        <w:t>295</w:t>
      </w:r>
      <w:r w:rsidRPr="00503AAC">
        <w:rPr>
          <w:shd w:val="clear" w:color="auto" w:fill="FFFFFF"/>
          <w:lang w:val="en-GB"/>
        </w:rPr>
        <w:t xml:space="preserve">(4), pp.508-531. Available at: </w:t>
      </w:r>
      <w:hyperlink r:id="rId14" w:history="1">
        <w:r w:rsidRPr="00503AAC">
          <w:rPr>
            <w:rStyle w:val="Hyperlink"/>
            <w:color w:val="auto"/>
            <w:shd w:val="clear" w:color="auto" w:fill="FFFFFF"/>
            <w:lang w:val="en-GB"/>
          </w:rPr>
          <w:t>https://doi.org/10.1111/joim.13728</w:t>
        </w:r>
      </w:hyperlink>
    </w:p>
    <w:p w14:paraId="7D7D2B92" w14:textId="77777777" w:rsidR="000963BE" w:rsidRPr="00503AAC" w:rsidRDefault="000963BE" w:rsidP="00244ECD">
      <w:pPr>
        <w:pStyle w:val="NormalWeb"/>
        <w:spacing w:before="240" w:beforeAutospacing="0" w:after="240" w:afterAutospacing="0" w:line="360" w:lineRule="auto"/>
        <w:jc w:val="both"/>
        <w:rPr>
          <w:lang w:val="en-GB"/>
        </w:rPr>
      </w:pPr>
      <w:r w:rsidRPr="00503AAC">
        <w:rPr>
          <w:shd w:val="clear" w:color="auto" w:fill="FFFFFF"/>
          <w:lang w:val="en-GB"/>
        </w:rPr>
        <w:t xml:space="preserve">Iwasaki, H., </w:t>
      </w:r>
      <w:proofErr w:type="spellStart"/>
      <w:r w:rsidRPr="00503AAC">
        <w:rPr>
          <w:shd w:val="clear" w:color="auto" w:fill="FFFFFF"/>
          <w:lang w:val="en-GB"/>
        </w:rPr>
        <w:t>Yagyu</w:t>
      </w:r>
      <w:proofErr w:type="spellEnd"/>
      <w:r w:rsidRPr="00503AAC">
        <w:rPr>
          <w:shd w:val="clear" w:color="auto" w:fill="FFFFFF"/>
          <w:lang w:val="en-GB"/>
        </w:rPr>
        <w:t xml:space="preserve">, H. and Shimano, H., (2025). ‘A comprehensive analysis of diabetic complications and advances in management strategies’. </w:t>
      </w:r>
      <w:r w:rsidRPr="00503AAC">
        <w:rPr>
          <w:i/>
          <w:iCs/>
          <w:shd w:val="clear" w:color="auto" w:fill="FFFFFF"/>
          <w:lang w:val="en-GB"/>
        </w:rPr>
        <w:t>Journal of Atherosclerosis and Thrombosis</w:t>
      </w:r>
      <w:r w:rsidRPr="00503AAC">
        <w:rPr>
          <w:shd w:val="clear" w:color="auto" w:fill="FFFFFF"/>
          <w:lang w:val="en-GB"/>
        </w:rPr>
        <w:t xml:space="preserve">, </w:t>
      </w:r>
      <w:r w:rsidRPr="00503AAC">
        <w:rPr>
          <w:i/>
          <w:iCs/>
          <w:shd w:val="clear" w:color="auto" w:fill="FFFFFF"/>
          <w:lang w:val="en-GB"/>
        </w:rPr>
        <w:t>32</w:t>
      </w:r>
      <w:r w:rsidRPr="00503AAC">
        <w:rPr>
          <w:shd w:val="clear" w:color="auto" w:fill="FFFFFF"/>
          <w:lang w:val="en-GB"/>
        </w:rPr>
        <w:t xml:space="preserve">(5), pp.550-559. Available at: </w:t>
      </w:r>
      <w:hyperlink r:id="rId15" w:history="1">
        <w:r w:rsidRPr="00503AAC">
          <w:rPr>
            <w:rStyle w:val="Hyperlink"/>
            <w:color w:val="auto"/>
            <w:shd w:val="clear" w:color="auto" w:fill="FFFFFF"/>
            <w:lang w:val="en-GB"/>
          </w:rPr>
          <w:t>https://doi.org/10.5551/jat.65551</w:t>
        </w:r>
      </w:hyperlink>
    </w:p>
    <w:p w14:paraId="45FD78C0" w14:textId="77777777" w:rsidR="000963BE" w:rsidRPr="00503AAC" w:rsidRDefault="000963BE" w:rsidP="00244ECD">
      <w:pPr>
        <w:pStyle w:val="NormalWeb"/>
        <w:spacing w:before="240" w:beforeAutospacing="0" w:after="240" w:afterAutospacing="0" w:line="360" w:lineRule="auto"/>
        <w:jc w:val="both"/>
        <w:rPr>
          <w:lang w:val="en-GB"/>
        </w:rPr>
      </w:pPr>
      <w:r w:rsidRPr="00503AAC">
        <w:rPr>
          <w:shd w:val="clear" w:color="auto" w:fill="FFFFFF"/>
          <w:lang w:val="en-GB"/>
        </w:rPr>
        <w:lastRenderedPageBreak/>
        <w:t xml:space="preserve">Jabbar, A., </w:t>
      </w:r>
      <w:proofErr w:type="spellStart"/>
      <w:r w:rsidRPr="00503AAC">
        <w:rPr>
          <w:shd w:val="clear" w:color="auto" w:fill="FFFFFF"/>
          <w:lang w:val="en-GB"/>
        </w:rPr>
        <w:t>Liaqat</w:t>
      </w:r>
      <w:proofErr w:type="spellEnd"/>
      <w:r w:rsidRPr="00503AAC">
        <w:rPr>
          <w:shd w:val="clear" w:color="auto" w:fill="FFFFFF"/>
          <w:lang w:val="en-GB"/>
        </w:rPr>
        <w:t xml:space="preserve">, H.B., </w:t>
      </w:r>
      <w:proofErr w:type="spellStart"/>
      <w:r w:rsidRPr="00503AAC">
        <w:rPr>
          <w:shd w:val="clear" w:color="auto" w:fill="FFFFFF"/>
          <w:lang w:val="en-GB"/>
        </w:rPr>
        <w:t>Akram</w:t>
      </w:r>
      <w:proofErr w:type="spellEnd"/>
      <w:r w:rsidRPr="00503AAC">
        <w:rPr>
          <w:shd w:val="clear" w:color="auto" w:fill="FFFFFF"/>
          <w:lang w:val="en-GB"/>
        </w:rPr>
        <w:t xml:space="preserve">, A., Sana, M.U., </w:t>
      </w:r>
      <w:proofErr w:type="spellStart"/>
      <w:r w:rsidRPr="00503AAC">
        <w:rPr>
          <w:shd w:val="clear" w:color="auto" w:fill="FFFFFF"/>
          <w:lang w:val="en-GB"/>
        </w:rPr>
        <w:t>Azpíroz</w:t>
      </w:r>
      <w:proofErr w:type="spellEnd"/>
      <w:r w:rsidRPr="00503AAC">
        <w:rPr>
          <w:shd w:val="clear" w:color="auto" w:fill="FFFFFF"/>
          <w:lang w:val="en-GB"/>
        </w:rPr>
        <w:t xml:space="preserve">, I.D., </w:t>
      </w:r>
      <w:proofErr w:type="spellStart"/>
      <w:r w:rsidRPr="00503AAC">
        <w:rPr>
          <w:shd w:val="clear" w:color="auto" w:fill="FFFFFF"/>
          <w:lang w:val="en-GB"/>
        </w:rPr>
        <w:t>Diez</w:t>
      </w:r>
      <w:proofErr w:type="spellEnd"/>
      <w:r w:rsidRPr="00503AAC">
        <w:rPr>
          <w:shd w:val="clear" w:color="auto" w:fill="FFFFFF"/>
          <w:lang w:val="en-GB"/>
        </w:rPr>
        <w:t xml:space="preserve">, I.D.L.T. and Ashraf, I., (2024). ‘A lesion-based diabetic retinopathy detection through hybrid deep learning model’. </w:t>
      </w:r>
      <w:r w:rsidRPr="00503AAC">
        <w:rPr>
          <w:i/>
          <w:iCs/>
          <w:shd w:val="clear" w:color="auto" w:fill="FFFFFF"/>
          <w:lang w:val="en-GB"/>
        </w:rPr>
        <w:t>IEEE access</w:t>
      </w:r>
      <w:r w:rsidRPr="00503AAC">
        <w:rPr>
          <w:shd w:val="clear" w:color="auto" w:fill="FFFFFF"/>
          <w:lang w:val="en-GB"/>
        </w:rPr>
        <w:t xml:space="preserve">, </w:t>
      </w:r>
      <w:r w:rsidRPr="00503AAC">
        <w:rPr>
          <w:i/>
          <w:iCs/>
          <w:shd w:val="clear" w:color="auto" w:fill="FFFFFF"/>
          <w:lang w:val="en-GB"/>
        </w:rPr>
        <w:t>12</w:t>
      </w:r>
      <w:r w:rsidRPr="00503AAC">
        <w:rPr>
          <w:shd w:val="clear" w:color="auto" w:fill="FFFFFF"/>
          <w:lang w:val="en-GB"/>
        </w:rPr>
        <w:t xml:space="preserve">, pp.40019-40036. Available at: </w:t>
      </w:r>
      <w:hyperlink r:id="rId16" w:history="1">
        <w:r w:rsidRPr="00503AAC">
          <w:rPr>
            <w:rStyle w:val="Hyperlink"/>
            <w:color w:val="auto"/>
            <w:shd w:val="clear" w:color="auto" w:fill="FFFFFF"/>
            <w:lang w:val="en-GB"/>
          </w:rPr>
          <w:t>https://doi.org/10.1109/ACCESS.2024.3373467</w:t>
        </w:r>
      </w:hyperlink>
    </w:p>
    <w:p w14:paraId="280E2934" w14:textId="77777777" w:rsidR="000963BE" w:rsidRPr="00503AAC" w:rsidRDefault="000963BE" w:rsidP="00244ECD">
      <w:pPr>
        <w:spacing w:before="240" w:after="240"/>
        <w:rPr>
          <w:lang w:val="en-GB"/>
        </w:rPr>
      </w:pPr>
      <w:r w:rsidRPr="00503AAC">
        <w:rPr>
          <w:lang w:val="en-GB"/>
        </w:rPr>
        <w:t xml:space="preserve">Jurczewska, J., </w:t>
      </w:r>
      <w:proofErr w:type="spellStart"/>
      <w:r w:rsidRPr="00503AAC">
        <w:rPr>
          <w:lang w:val="en-GB"/>
        </w:rPr>
        <w:t>Ostrowska</w:t>
      </w:r>
      <w:proofErr w:type="spellEnd"/>
      <w:r w:rsidRPr="00503AAC">
        <w:rPr>
          <w:lang w:val="en-GB"/>
        </w:rPr>
        <w:t xml:space="preserve">, J., </w:t>
      </w:r>
      <w:proofErr w:type="spellStart"/>
      <w:r w:rsidRPr="00503AAC">
        <w:rPr>
          <w:lang w:val="en-GB"/>
        </w:rPr>
        <w:t>Chełchowska</w:t>
      </w:r>
      <w:proofErr w:type="spellEnd"/>
      <w:r w:rsidRPr="00503AAC">
        <w:rPr>
          <w:lang w:val="en-GB"/>
        </w:rPr>
        <w:t xml:space="preserve">, M., </w:t>
      </w:r>
      <w:proofErr w:type="spellStart"/>
      <w:r w:rsidRPr="00503AAC">
        <w:rPr>
          <w:lang w:val="en-GB"/>
        </w:rPr>
        <w:t>Panczyk</w:t>
      </w:r>
      <w:proofErr w:type="spellEnd"/>
      <w:r w:rsidRPr="00503AAC">
        <w:rPr>
          <w:lang w:val="en-GB"/>
        </w:rPr>
        <w:t xml:space="preserve">, M., </w:t>
      </w:r>
      <w:proofErr w:type="spellStart"/>
      <w:r w:rsidRPr="00503AAC">
        <w:rPr>
          <w:lang w:val="en-GB"/>
        </w:rPr>
        <w:t>Rudnicka</w:t>
      </w:r>
      <w:proofErr w:type="spellEnd"/>
      <w:r w:rsidRPr="00503AAC">
        <w:rPr>
          <w:lang w:val="en-GB"/>
        </w:rPr>
        <w:t xml:space="preserve">, E., Kucharski, M., ... and </w:t>
      </w:r>
      <w:proofErr w:type="spellStart"/>
      <w:r w:rsidRPr="00503AAC">
        <w:rPr>
          <w:lang w:val="en-GB"/>
        </w:rPr>
        <w:t>Szostak-Węgierek</w:t>
      </w:r>
      <w:proofErr w:type="spellEnd"/>
      <w:r w:rsidRPr="00503AAC">
        <w:rPr>
          <w:lang w:val="en-GB"/>
        </w:rPr>
        <w:t>, D. (2023). ‘Abdominal obesity in women with polycystic ovary syndrome and its relationship with diet, physical activity and insulin resistance: a pilot study’. </w:t>
      </w:r>
      <w:r w:rsidRPr="00503AAC">
        <w:rPr>
          <w:i/>
          <w:iCs/>
          <w:lang w:val="en-GB"/>
        </w:rPr>
        <w:t>Nutrients</w:t>
      </w:r>
      <w:r w:rsidRPr="00503AAC">
        <w:rPr>
          <w:lang w:val="en-GB"/>
        </w:rPr>
        <w:t>, </w:t>
      </w:r>
      <w:r w:rsidRPr="00503AAC">
        <w:rPr>
          <w:i/>
          <w:iCs/>
          <w:lang w:val="en-GB"/>
        </w:rPr>
        <w:t>15</w:t>
      </w:r>
      <w:r w:rsidRPr="00503AAC">
        <w:rPr>
          <w:lang w:val="en-GB"/>
        </w:rPr>
        <w:t xml:space="preserve">(16), 3652. </w:t>
      </w:r>
      <w:r w:rsidRPr="00503AAC">
        <w:rPr>
          <w:rFonts w:eastAsia="Arial"/>
          <w:highlight w:val="white"/>
          <w:lang w:val="en-GB"/>
        </w:rPr>
        <w:t xml:space="preserve">Available at: </w:t>
      </w:r>
      <w:r w:rsidRPr="00503AAC">
        <w:rPr>
          <w:lang w:val="en-GB"/>
        </w:rPr>
        <w:t xml:space="preserve"> </w:t>
      </w:r>
      <w:hyperlink r:id="rId17" w:history="1">
        <w:r w:rsidRPr="00503AAC">
          <w:rPr>
            <w:rStyle w:val="Hyperlink"/>
            <w:color w:val="auto"/>
            <w:lang w:val="en-GB"/>
          </w:rPr>
          <w:t>https://doi.org/10.3390/nu15163652</w:t>
        </w:r>
      </w:hyperlink>
      <w:r w:rsidRPr="00503AAC">
        <w:rPr>
          <w:lang w:val="en-GB"/>
        </w:rPr>
        <w:t xml:space="preserve"> </w:t>
      </w:r>
    </w:p>
    <w:p w14:paraId="424F865C" w14:textId="77777777" w:rsidR="000963BE" w:rsidRPr="00503AAC" w:rsidRDefault="000963BE" w:rsidP="00244ECD">
      <w:pPr>
        <w:spacing w:before="240" w:after="240"/>
        <w:rPr>
          <w:rFonts w:eastAsia="Arial"/>
          <w:highlight w:val="white"/>
          <w:lang w:val="en-GB"/>
        </w:rPr>
      </w:pPr>
      <w:proofErr w:type="spellStart"/>
      <w:r w:rsidRPr="00503AAC">
        <w:rPr>
          <w:rFonts w:eastAsia="Arial"/>
          <w:highlight w:val="white"/>
          <w:lang w:val="en-GB"/>
        </w:rPr>
        <w:t>Kukurugya</w:t>
      </w:r>
      <w:proofErr w:type="spellEnd"/>
      <w:r w:rsidRPr="00503AAC">
        <w:rPr>
          <w:rFonts w:eastAsia="Arial"/>
          <w:highlight w:val="white"/>
          <w:lang w:val="en-GB"/>
        </w:rPr>
        <w:t xml:space="preserve">, M.A., </w:t>
      </w:r>
      <w:proofErr w:type="spellStart"/>
      <w:r w:rsidRPr="00503AAC">
        <w:rPr>
          <w:rFonts w:eastAsia="Arial"/>
          <w:highlight w:val="white"/>
          <w:lang w:val="en-GB"/>
        </w:rPr>
        <w:t>Rosset</w:t>
      </w:r>
      <w:proofErr w:type="spellEnd"/>
      <w:r w:rsidRPr="00503AAC">
        <w:rPr>
          <w:rFonts w:eastAsia="Arial"/>
          <w:highlight w:val="white"/>
          <w:lang w:val="en-GB"/>
        </w:rPr>
        <w:t xml:space="preserve">, S. and </w:t>
      </w:r>
      <w:proofErr w:type="spellStart"/>
      <w:r w:rsidRPr="00503AAC">
        <w:rPr>
          <w:rFonts w:eastAsia="Arial"/>
          <w:highlight w:val="white"/>
          <w:lang w:val="en-GB"/>
        </w:rPr>
        <w:t>Titov</w:t>
      </w:r>
      <w:proofErr w:type="spellEnd"/>
      <w:r w:rsidRPr="00503AAC">
        <w:rPr>
          <w:rFonts w:eastAsia="Arial"/>
          <w:highlight w:val="white"/>
          <w:lang w:val="en-GB"/>
        </w:rPr>
        <w:t xml:space="preserve">, D.V., (2024). ‘The Warburg Effect is the result of faster ATP production by glycolysis than respiration’. </w:t>
      </w:r>
      <w:r w:rsidRPr="00503AAC">
        <w:rPr>
          <w:rFonts w:eastAsia="Arial"/>
          <w:i/>
          <w:iCs/>
          <w:highlight w:val="white"/>
          <w:lang w:val="en-GB"/>
        </w:rPr>
        <w:t>Proceedings of the National Academy of Sciences</w:t>
      </w:r>
      <w:r w:rsidRPr="00503AAC">
        <w:rPr>
          <w:rFonts w:eastAsia="Arial"/>
          <w:highlight w:val="white"/>
          <w:lang w:val="en-GB"/>
        </w:rPr>
        <w:t xml:space="preserve">, </w:t>
      </w:r>
      <w:r w:rsidRPr="00503AAC">
        <w:rPr>
          <w:rFonts w:eastAsia="Arial"/>
          <w:i/>
          <w:iCs/>
          <w:highlight w:val="white"/>
          <w:lang w:val="en-GB"/>
        </w:rPr>
        <w:t>121</w:t>
      </w:r>
      <w:r w:rsidRPr="00503AAC">
        <w:rPr>
          <w:rFonts w:eastAsia="Arial"/>
          <w:highlight w:val="white"/>
          <w:lang w:val="en-GB"/>
        </w:rPr>
        <w:t xml:space="preserve">(46), p.e2409509121. Available at: </w:t>
      </w:r>
      <w:hyperlink r:id="rId18">
        <w:r w:rsidRPr="00503AAC">
          <w:rPr>
            <w:rFonts w:eastAsia="Arial"/>
            <w:highlight w:val="white"/>
            <w:u w:val="single"/>
            <w:lang w:val="en-GB"/>
          </w:rPr>
          <w:t>https://doi.org/10.1073/pnas.2409509121</w:t>
        </w:r>
      </w:hyperlink>
      <w:r w:rsidRPr="00503AAC">
        <w:rPr>
          <w:rFonts w:eastAsia="Arial"/>
          <w:highlight w:val="white"/>
          <w:lang w:val="en-GB"/>
        </w:rPr>
        <w:t xml:space="preserve"> </w:t>
      </w:r>
    </w:p>
    <w:p w14:paraId="7FE2426C" w14:textId="77777777" w:rsidR="000963BE" w:rsidRPr="00503AAC" w:rsidRDefault="000963BE" w:rsidP="00244ECD">
      <w:pPr>
        <w:spacing w:before="240" w:after="240"/>
        <w:rPr>
          <w:lang w:val="en-GB"/>
        </w:rPr>
      </w:pPr>
      <w:r w:rsidRPr="00503AAC">
        <w:rPr>
          <w:lang w:val="en-GB"/>
        </w:rPr>
        <w:t>Long, F., (2022). ‘Glucose metabolism in skeletal cells’. </w:t>
      </w:r>
      <w:r w:rsidRPr="00503AAC">
        <w:rPr>
          <w:i/>
          <w:iCs/>
          <w:lang w:val="en-GB"/>
        </w:rPr>
        <w:t>Bone Reports</w:t>
      </w:r>
      <w:r w:rsidRPr="00503AAC">
        <w:rPr>
          <w:lang w:val="en-GB"/>
        </w:rPr>
        <w:t>, </w:t>
      </w:r>
      <w:r w:rsidRPr="00503AAC">
        <w:rPr>
          <w:i/>
          <w:iCs/>
          <w:lang w:val="en-GB"/>
        </w:rPr>
        <w:t>17</w:t>
      </w:r>
      <w:r w:rsidRPr="00503AAC">
        <w:rPr>
          <w:lang w:val="en-GB"/>
        </w:rPr>
        <w:t xml:space="preserve">, p.101640. </w:t>
      </w:r>
      <w:r w:rsidRPr="00503AAC">
        <w:rPr>
          <w:rFonts w:eastAsia="Arial"/>
          <w:highlight w:val="white"/>
          <w:lang w:val="en-GB"/>
        </w:rPr>
        <w:t xml:space="preserve">Available at: </w:t>
      </w:r>
      <w:hyperlink r:id="rId19" w:history="1">
        <w:r w:rsidRPr="00503AAC">
          <w:rPr>
            <w:rStyle w:val="Hyperlink"/>
            <w:color w:val="auto"/>
            <w:lang w:val="en-GB"/>
          </w:rPr>
          <w:t>https://doi.org/10.1016/j.bonr.2022.101640</w:t>
        </w:r>
      </w:hyperlink>
      <w:r w:rsidRPr="00503AAC">
        <w:rPr>
          <w:lang w:val="en-GB"/>
        </w:rPr>
        <w:t xml:space="preserve"> </w:t>
      </w:r>
    </w:p>
    <w:p w14:paraId="261B229F" w14:textId="77777777" w:rsidR="000963BE" w:rsidRPr="00503AAC" w:rsidRDefault="000963BE" w:rsidP="00244ECD">
      <w:pPr>
        <w:spacing w:before="240" w:after="240"/>
        <w:rPr>
          <w:rFonts w:eastAsia="Arial"/>
          <w:highlight w:val="white"/>
          <w:lang w:val="en-GB"/>
        </w:rPr>
      </w:pPr>
      <w:proofErr w:type="spellStart"/>
      <w:r w:rsidRPr="00503AAC">
        <w:rPr>
          <w:rFonts w:eastAsia="Arial"/>
          <w:highlight w:val="white"/>
          <w:lang w:val="en-GB"/>
        </w:rPr>
        <w:t>Mezghani</w:t>
      </w:r>
      <w:proofErr w:type="spellEnd"/>
      <w:r w:rsidRPr="00503AAC">
        <w:rPr>
          <w:rFonts w:eastAsia="Arial"/>
          <w:highlight w:val="white"/>
          <w:lang w:val="en-GB"/>
        </w:rPr>
        <w:t xml:space="preserve">, N., Ammar, A., </w:t>
      </w:r>
      <w:proofErr w:type="spellStart"/>
      <w:r w:rsidRPr="00503AAC">
        <w:rPr>
          <w:rFonts w:eastAsia="Arial"/>
          <w:highlight w:val="white"/>
          <w:lang w:val="en-GB"/>
        </w:rPr>
        <w:t>Boukhris</w:t>
      </w:r>
      <w:proofErr w:type="spellEnd"/>
      <w:r w:rsidRPr="00503AAC">
        <w:rPr>
          <w:rFonts w:eastAsia="Arial"/>
          <w:highlight w:val="white"/>
          <w:lang w:val="en-GB"/>
        </w:rPr>
        <w:t xml:space="preserve">, O., </w:t>
      </w:r>
      <w:proofErr w:type="spellStart"/>
      <w:r w:rsidRPr="00503AAC">
        <w:rPr>
          <w:rFonts w:eastAsia="Arial"/>
          <w:highlight w:val="white"/>
          <w:lang w:val="en-GB"/>
        </w:rPr>
        <w:t>Abid</w:t>
      </w:r>
      <w:proofErr w:type="spellEnd"/>
      <w:r w:rsidRPr="00503AAC">
        <w:rPr>
          <w:rFonts w:eastAsia="Arial"/>
          <w:highlight w:val="white"/>
          <w:lang w:val="en-GB"/>
        </w:rPr>
        <w:t xml:space="preserve">, R., </w:t>
      </w:r>
      <w:proofErr w:type="spellStart"/>
      <w:r w:rsidRPr="00503AAC">
        <w:rPr>
          <w:rFonts w:eastAsia="Arial"/>
          <w:highlight w:val="white"/>
          <w:lang w:val="en-GB"/>
        </w:rPr>
        <w:t>Hadadi</w:t>
      </w:r>
      <w:proofErr w:type="spellEnd"/>
      <w:r w:rsidRPr="00503AAC">
        <w:rPr>
          <w:rFonts w:eastAsia="Arial"/>
          <w:highlight w:val="white"/>
          <w:lang w:val="en-GB"/>
        </w:rPr>
        <w:t xml:space="preserve">, A., </w:t>
      </w:r>
      <w:proofErr w:type="spellStart"/>
      <w:r w:rsidRPr="00503AAC">
        <w:rPr>
          <w:rFonts w:eastAsia="Arial"/>
          <w:highlight w:val="white"/>
          <w:lang w:val="en-GB"/>
        </w:rPr>
        <w:t>Alzahrani</w:t>
      </w:r>
      <w:proofErr w:type="spellEnd"/>
      <w:r w:rsidRPr="00503AAC">
        <w:rPr>
          <w:rFonts w:eastAsia="Arial"/>
          <w:highlight w:val="white"/>
          <w:lang w:val="en-GB"/>
        </w:rPr>
        <w:t xml:space="preserve">, T.M., </w:t>
      </w:r>
      <w:proofErr w:type="spellStart"/>
      <w:r w:rsidRPr="00503AAC">
        <w:rPr>
          <w:rFonts w:eastAsia="Arial"/>
          <w:highlight w:val="white"/>
          <w:lang w:val="en-GB"/>
        </w:rPr>
        <w:t>Trabelsi</w:t>
      </w:r>
      <w:proofErr w:type="spellEnd"/>
      <w:r w:rsidRPr="00503AAC">
        <w:rPr>
          <w:rFonts w:eastAsia="Arial"/>
          <w:highlight w:val="white"/>
          <w:lang w:val="en-GB"/>
        </w:rPr>
        <w:t xml:space="preserve">, O., </w:t>
      </w:r>
      <w:proofErr w:type="spellStart"/>
      <w:r w:rsidRPr="00503AAC">
        <w:rPr>
          <w:rFonts w:eastAsia="Arial"/>
          <w:highlight w:val="white"/>
          <w:lang w:val="en-GB"/>
        </w:rPr>
        <w:t>Boujelbane</w:t>
      </w:r>
      <w:proofErr w:type="spellEnd"/>
      <w:r w:rsidRPr="00503AAC">
        <w:rPr>
          <w:rFonts w:eastAsia="Arial"/>
          <w:highlight w:val="white"/>
          <w:lang w:val="en-GB"/>
        </w:rPr>
        <w:t xml:space="preserve">, M.A., </w:t>
      </w:r>
      <w:proofErr w:type="spellStart"/>
      <w:r w:rsidRPr="00503AAC">
        <w:rPr>
          <w:rFonts w:eastAsia="Arial"/>
          <w:highlight w:val="white"/>
          <w:lang w:val="en-GB"/>
        </w:rPr>
        <w:t>Masmoudi</w:t>
      </w:r>
      <w:proofErr w:type="spellEnd"/>
      <w:r w:rsidRPr="00503AAC">
        <w:rPr>
          <w:rFonts w:eastAsia="Arial"/>
          <w:highlight w:val="white"/>
          <w:lang w:val="en-GB"/>
        </w:rPr>
        <w:t xml:space="preserve">, L., </w:t>
      </w:r>
      <w:proofErr w:type="spellStart"/>
      <w:r w:rsidRPr="00503AAC">
        <w:rPr>
          <w:rFonts w:eastAsia="Arial"/>
          <w:highlight w:val="white"/>
          <w:lang w:val="en-GB"/>
        </w:rPr>
        <w:t>Ouergui</w:t>
      </w:r>
      <w:proofErr w:type="spellEnd"/>
      <w:r w:rsidRPr="00503AAC">
        <w:rPr>
          <w:rFonts w:eastAsia="Arial"/>
          <w:highlight w:val="white"/>
          <w:lang w:val="en-GB"/>
        </w:rPr>
        <w:t xml:space="preserve">, I. and </w:t>
      </w:r>
      <w:proofErr w:type="spellStart"/>
      <w:r w:rsidRPr="00503AAC">
        <w:rPr>
          <w:rFonts w:eastAsia="Arial"/>
          <w:highlight w:val="white"/>
          <w:lang w:val="en-GB"/>
        </w:rPr>
        <w:t>Jamoussi</w:t>
      </w:r>
      <w:proofErr w:type="spellEnd"/>
      <w:r w:rsidRPr="00503AAC">
        <w:rPr>
          <w:rFonts w:eastAsia="Arial"/>
          <w:highlight w:val="white"/>
          <w:lang w:val="en-GB"/>
        </w:rPr>
        <w:t xml:space="preserve">, K., (2022, December). The impact of exercise training intensity on physiological adaptations and insulin resistance in women with abdominal obesity. In </w:t>
      </w:r>
      <w:r w:rsidRPr="00503AAC">
        <w:rPr>
          <w:rFonts w:eastAsia="Arial"/>
          <w:i/>
          <w:iCs/>
          <w:highlight w:val="white"/>
          <w:lang w:val="en-GB"/>
        </w:rPr>
        <w:t>Healthcare</w:t>
      </w:r>
      <w:r w:rsidRPr="00503AAC">
        <w:rPr>
          <w:rFonts w:eastAsia="Arial"/>
          <w:highlight w:val="white"/>
          <w:lang w:val="en-GB"/>
        </w:rPr>
        <w:t xml:space="preserve"> (Vol. 10, No. 12, p. 2533). MDPI. Available at: </w:t>
      </w:r>
      <w:hyperlink r:id="rId20">
        <w:r w:rsidRPr="00503AAC">
          <w:rPr>
            <w:rFonts w:eastAsia="Arial"/>
            <w:highlight w:val="white"/>
            <w:u w:val="single"/>
            <w:lang w:val="en-GB"/>
          </w:rPr>
          <w:t>https://doi.org/10.3390/healthcare10122533</w:t>
        </w:r>
      </w:hyperlink>
      <w:r w:rsidRPr="00503AAC">
        <w:rPr>
          <w:rFonts w:eastAsia="Arial"/>
          <w:highlight w:val="white"/>
          <w:lang w:val="en-GB"/>
        </w:rPr>
        <w:t xml:space="preserve"> </w:t>
      </w:r>
    </w:p>
    <w:p w14:paraId="7A0BEB20" w14:textId="77777777" w:rsidR="000963BE" w:rsidRPr="00503AAC" w:rsidRDefault="000963BE" w:rsidP="00244ECD">
      <w:pPr>
        <w:spacing w:before="240" w:after="240"/>
        <w:rPr>
          <w:lang w:val="en-GB"/>
        </w:rPr>
      </w:pPr>
      <w:r w:rsidRPr="00503AAC">
        <w:rPr>
          <w:lang w:val="en-GB"/>
        </w:rPr>
        <w:t xml:space="preserve">Misra, S., </w:t>
      </w:r>
      <w:proofErr w:type="spellStart"/>
      <w:r w:rsidRPr="00503AAC">
        <w:rPr>
          <w:lang w:val="en-GB"/>
        </w:rPr>
        <w:t>Ke</w:t>
      </w:r>
      <w:proofErr w:type="spellEnd"/>
      <w:r w:rsidRPr="00503AAC">
        <w:rPr>
          <w:lang w:val="en-GB"/>
        </w:rPr>
        <w:t xml:space="preserve">, C., Srinivasan, S., </w:t>
      </w:r>
      <w:proofErr w:type="spellStart"/>
      <w:r w:rsidRPr="00503AAC">
        <w:rPr>
          <w:lang w:val="en-GB"/>
        </w:rPr>
        <w:t>Goyal</w:t>
      </w:r>
      <w:proofErr w:type="spellEnd"/>
      <w:r w:rsidRPr="00503AAC">
        <w:rPr>
          <w:lang w:val="en-GB"/>
        </w:rPr>
        <w:t xml:space="preserve">, A., </w:t>
      </w:r>
      <w:proofErr w:type="spellStart"/>
      <w:r w:rsidRPr="00503AAC">
        <w:rPr>
          <w:lang w:val="en-GB"/>
        </w:rPr>
        <w:t>Nyriyenda</w:t>
      </w:r>
      <w:proofErr w:type="spellEnd"/>
      <w:r w:rsidRPr="00503AAC">
        <w:rPr>
          <w:lang w:val="en-GB"/>
        </w:rPr>
        <w:t xml:space="preserve">, M.J., </w:t>
      </w:r>
      <w:proofErr w:type="spellStart"/>
      <w:r w:rsidRPr="00503AAC">
        <w:rPr>
          <w:lang w:val="en-GB"/>
        </w:rPr>
        <w:t>Florez</w:t>
      </w:r>
      <w:proofErr w:type="spellEnd"/>
      <w:r w:rsidRPr="00503AAC">
        <w:rPr>
          <w:lang w:val="en-GB"/>
        </w:rPr>
        <w:t xml:space="preserve">, J.C., </w:t>
      </w:r>
      <w:proofErr w:type="spellStart"/>
      <w:r w:rsidRPr="00503AAC">
        <w:rPr>
          <w:lang w:val="en-GB"/>
        </w:rPr>
        <w:t>Khunti</w:t>
      </w:r>
      <w:proofErr w:type="spellEnd"/>
      <w:r w:rsidRPr="00503AAC">
        <w:rPr>
          <w:lang w:val="en-GB"/>
        </w:rPr>
        <w:t xml:space="preserve">, K., </w:t>
      </w:r>
      <w:proofErr w:type="spellStart"/>
      <w:r w:rsidRPr="00503AAC">
        <w:rPr>
          <w:lang w:val="en-GB"/>
        </w:rPr>
        <w:t>Magliano</w:t>
      </w:r>
      <w:proofErr w:type="spellEnd"/>
      <w:r w:rsidRPr="00503AAC">
        <w:rPr>
          <w:lang w:val="en-GB"/>
        </w:rPr>
        <w:t xml:space="preserve">, D.J. and </w:t>
      </w:r>
      <w:proofErr w:type="spellStart"/>
      <w:r w:rsidRPr="00503AAC">
        <w:rPr>
          <w:lang w:val="en-GB"/>
        </w:rPr>
        <w:t>Luk</w:t>
      </w:r>
      <w:proofErr w:type="spellEnd"/>
      <w:r w:rsidRPr="00503AAC">
        <w:rPr>
          <w:lang w:val="en-GB"/>
        </w:rPr>
        <w:t>, A., (2023). Current insights and emerging trends in early-onset type 2 diabetes. </w:t>
      </w:r>
      <w:r w:rsidRPr="00503AAC">
        <w:rPr>
          <w:i/>
          <w:iCs/>
          <w:lang w:val="en-GB"/>
        </w:rPr>
        <w:t>The Lancet Diabetes &amp; Endocrinology</w:t>
      </w:r>
      <w:r w:rsidRPr="00503AAC">
        <w:rPr>
          <w:lang w:val="en-GB"/>
        </w:rPr>
        <w:t>, </w:t>
      </w:r>
      <w:r w:rsidRPr="00503AAC">
        <w:rPr>
          <w:i/>
          <w:iCs/>
          <w:lang w:val="en-GB"/>
        </w:rPr>
        <w:t>11</w:t>
      </w:r>
      <w:r w:rsidRPr="00503AAC">
        <w:rPr>
          <w:lang w:val="en-GB"/>
        </w:rPr>
        <w:t xml:space="preserve">(10), pp.768-782. </w:t>
      </w:r>
      <w:r w:rsidRPr="00503AAC">
        <w:rPr>
          <w:rFonts w:eastAsia="Arial"/>
          <w:highlight w:val="white"/>
          <w:lang w:val="en-GB"/>
        </w:rPr>
        <w:t xml:space="preserve">Available at: </w:t>
      </w:r>
      <w:r w:rsidRPr="00503AAC">
        <w:rPr>
          <w:lang w:val="en-GB"/>
        </w:rPr>
        <w:t xml:space="preserve"> </w:t>
      </w:r>
      <w:hyperlink r:id="rId21" w:history="1">
        <w:r w:rsidRPr="00503AAC">
          <w:rPr>
            <w:rStyle w:val="Hyperlink"/>
            <w:color w:val="auto"/>
            <w:lang w:val="en-GB"/>
          </w:rPr>
          <w:t>https://doi.org/10.1016/S2213-8587(23)00225-5</w:t>
        </w:r>
      </w:hyperlink>
      <w:r w:rsidRPr="00503AAC">
        <w:rPr>
          <w:lang w:val="en-GB"/>
        </w:rPr>
        <w:t xml:space="preserve"> </w:t>
      </w:r>
    </w:p>
    <w:p w14:paraId="364821C3" w14:textId="77777777" w:rsidR="000963BE" w:rsidRPr="00503AAC" w:rsidRDefault="000963BE" w:rsidP="00244ECD">
      <w:pPr>
        <w:spacing w:before="240" w:after="240"/>
        <w:rPr>
          <w:rFonts w:eastAsia="Arial"/>
          <w:highlight w:val="white"/>
          <w:lang w:val="en-GB"/>
        </w:rPr>
      </w:pPr>
      <w:r w:rsidRPr="00503AAC">
        <w:rPr>
          <w:rFonts w:eastAsia="Arial"/>
          <w:highlight w:val="white"/>
          <w:lang w:val="en-GB"/>
        </w:rPr>
        <w:t xml:space="preserve">Ni, K., </w:t>
      </w:r>
      <w:proofErr w:type="spellStart"/>
      <w:r w:rsidRPr="00503AAC">
        <w:rPr>
          <w:rFonts w:eastAsia="Arial"/>
          <w:highlight w:val="white"/>
          <w:lang w:val="en-GB"/>
        </w:rPr>
        <w:t>Tampe</w:t>
      </w:r>
      <w:proofErr w:type="spellEnd"/>
      <w:r w:rsidRPr="00503AAC">
        <w:rPr>
          <w:rFonts w:eastAsia="Arial"/>
          <w:highlight w:val="white"/>
          <w:lang w:val="en-GB"/>
        </w:rPr>
        <w:t xml:space="preserve">, C.A., Sol, K., Cervantes, L. and Pereira, R.I., (2024). ‘Continuous glucose monitor: reclaiming type 2 diabetes self-efficacy and mitigating disparities’. </w:t>
      </w:r>
      <w:r w:rsidRPr="00503AAC">
        <w:rPr>
          <w:rFonts w:eastAsia="Arial"/>
          <w:i/>
          <w:iCs/>
          <w:highlight w:val="white"/>
          <w:lang w:val="en-GB"/>
        </w:rPr>
        <w:t>Journal of the Endocrine Society</w:t>
      </w:r>
      <w:r w:rsidRPr="00503AAC">
        <w:rPr>
          <w:rFonts w:eastAsia="Arial"/>
          <w:highlight w:val="white"/>
          <w:lang w:val="en-GB"/>
        </w:rPr>
        <w:t xml:space="preserve">, </w:t>
      </w:r>
      <w:r w:rsidRPr="00503AAC">
        <w:rPr>
          <w:rFonts w:eastAsia="Arial"/>
          <w:i/>
          <w:iCs/>
          <w:highlight w:val="white"/>
          <w:lang w:val="en-GB"/>
        </w:rPr>
        <w:t>8</w:t>
      </w:r>
      <w:r w:rsidRPr="00503AAC">
        <w:rPr>
          <w:rFonts w:eastAsia="Arial"/>
          <w:highlight w:val="white"/>
          <w:lang w:val="en-GB"/>
        </w:rPr>
        <w:t xml:space="preserve">(8), p.bvae125. Available at: </w:t>
      </w:r>
      <w:hyperlink r:id="rId22">
        <w:r w:rsidRPr="00503AAC">
          <w:rPr>
            <w:rFonts w:eastAsia="Arial"/>
            <w:highlight w:val="white"/>
            <w:u w:val="single"/>
            <w:lang w:val="en-GB"/>
          </w:rPr>
          <w:t>https://doi.org/10.1210/jendso/bvae125</w:t>
        </w:r>
      </w:hyperlink>
      <w:r w:rsidRPr="00503AAC">
        <w:rPr>
          <w:rFonts w:eastAsia="Arial"/>
          <w:highlight w:val="white"/>
          <w:lang w:val="en-GB"/>
        </w:rPr>
        <w:t xml:space="preserve"> </w:t>
      </w:r>
    </w:p>
    <w:p w14:paraId="0844087D" w14:textId="77777777" w:rsidR="000963BE" w:rsidRPr="00503AAC" w:rsidRDefault="000963BE" w:rsidP="00244ECD">
      <w:pPr>
        <w:spacing w:before="240" w:after="240"/>
        <w:rPr>
          <w:rFonts w:eastAsia="Arial"/>
          <w:highlight w:val="white"/>
          <w:lang w:val="en-GB"/>
        </w:rPr>
      </w:pPr>
      <w:proofErr w:type="spellStart"/>
      <w:r w:rsidRPr="00503AAC">
        <w:rPr>
          <w:rFonts w:eastAsia="Arial"/>
          <w:highlight w:val="white"/>
          <w:lang w:val="en-GB"/>
        </w:rPr>
        <w:t>Okorare</w:t>
      </w:r>
      <w:proofErr w:type="spellEnd"/>
      <w:r w:rsidRPr="00503AAC">
        <w:rPr>
          <w:rFonts w:eastAsia="Arial"/>
          <w:highlight w:val="white"/>
          <w:lang w:val="en-GB"/>
        </w:rPr>
        <w:t xml:space="preserve">, O., </w:t>
      </w:r>
      <w:proofErr w:type="spellStart"/>
      <w:r w:rsidRPr="00503AAC">
        <w:rPr>
          <w:rFonts w:eastAsia="Arial"/>
          <w:highlight w:val="white"/>
          <w:lang w:val="en-GB"/>
        </w:rPr>
        <w:t>Evbayekha</w:t>
      </w:r>
      <w:proofErr w:type="spellEnd"/>
      <w:r w:rsidRPr="00503AAC">
        <w:rPr>
          <w:rFonts w:eastAsia="Arial"/>
          <w:highlight w:val="white"/>
          <w:lang w:val="en-GB"/>
        </w:rPr>
        <w:t xml:space="preserve">, E.O., </w:t>
      </w:r>
      <w:proofErr w:type="spellStart"/>
      <w:r w:rsidRPr="00503AAC">
        <w:rPr>
          <w:rFonts w:eastAsia="Arial"/>
          <w:highlight w:val="white"/>
          <w:lang w:val="en-GB"/>
        </w:rPr>
        <w:t>Adabale</w:t>
      </w:r>
      <w:proofErr w:type="spellEnd"/>
      <w:r w:rsidRPr="00503AAC">
        <w:rPr>
          <w:rFonts w:eastAsia="Arial"/>
          <w:highlight w:val="white"/>
          <w:lang w:val="en-GB"/>
        </w:rPr>
        <w:t xml:space="preserve">, O.K., Daniel, E., </w:t>
      </w:r>
      <w:proofErr w:type="spellStart"/>
      <w:r w:rsidRPr="00503AAC">
        <w:rPr>
          <w:rFonts w:eastAsia="Arial"/>
          <w:highlight w:val="white"/>
          <w:lang w:val="en-GB"/>
        </w:rPr>
        <w:t>Ubokudum</w:t>
      </w:r>
      <w:proofErr w:type="spellEnd"/>
      <w:r w:rsidRPr="00503AAC">
        <w:rPr>
          <w:rFonts w:eastAsia="Arial"/>
          <w:highlight w:val="white"/>
          <w:lang w:val="en-GB"/>
        </w:rPr>
        <w:t xml:space="preserve">, D., </w:t>
      </w:r>
      <w:proofErr w:type="spellStart"/>
      <w:r w:rsidRPr="00503AAC">
        <w:rPr>
          <w:rFonts w:eastAsia="Arial"/>
          <w:highlight w:val="white"/>
          <w:lang w:val="en-GB"/>
        </w:rPr>
        <w:t>Olusiji</w:t>
      </w:r>
      <w:proofErr w:type="spellEnd"/>
      <w:r w:rsidRPr="00503AAC">
        <w:rPr>
          <w:rFonts w:eastAsia="Arial"/>
          <w:highlight w:val="white"/>
          <w:lang w:val="en-GB"/>
        </w:rPr>
        <w:t xml:space="preserve">, S.A., </w:t>
      </w:r>
      <w:proofErr w:type="spellStart"/>
      <w:r w:rsidRPr="00503AAC">
        <w:rPr>
          <w:rFonts w:eastAsia="Arial"/>
          <w:highlight w:val="white"/>
          <w:lang w:val="en-GB"/>
        </w:rPr>
        <w:t>Antia</w:t>
      </w:r>
      <w:proofErr w:type="spellEnd"/>
      <w:r w:rsidRPr="00503AAC">
        <w:rPr>
          <w:rFonts w:eastAsia="Arial"/>
          <w:highlight w:val="white"/>
          <w:lang w:val="en-GB"/>
        </w:rPr>
        <w:t xml:space="preserve">, A.U., </w:t>
      </w:r>
      <w:proofErr w:type="spellStart"/>
      <w:r w:rsidRPr="00503AAC">
        <w:rPr>
          <w:rFonts w:eastAsia="Arial"/>
          <w:highlight w:val="white"/>
          <w:lang w:val="en-GB"/>
        </w:rPr>
        <w:t>Olusiji</w:t>
      </w:r>
      <w:proofErr w:type="spellEnd"/>
      <w:r w:rsidRPr="00503AAC">
        <w:rPr>
          <w:rFonts w:eastAsia="Arial"/>
          <w:highlight w:val="white"/>
          <w:lang w:val="en-GB"/>
        </w:rPr>
        <w:t xml:space="preserve">, S. and </w:t>
      </w:r>
      <w:proofErr w:type="spellStart"/>
      <w:r w:rsidRPr="00503AAC">
        <w:rPr>
          <w:rFonts w:eastAsia="Arial"/>
          <w:highlight w:val="white"/>
          <w:lang w:val="en-GB"/>
        </w:rPr>
        <w:t>Antia</w:t>
      </w:r>
      <w:proofErr w:type="spellEnd"/>
      <w:r w:rsidRPr="00503AAC">
        <w:rPr>
          <w:rFonts w:eastAsia="Arial"/>
          <w:highlight w:val="white"/>
          <w:lang w:val="en-GB"/>
        </w:rPr>
        <w:t xml:space="preserve">, A., (2023). ‘Smoking cessation and benefits to cardiovascular health: a review of literature’. </w:t>
      </w:r>
      <w:proofErr w:type="spellStart"/>
      <w:r w:rsidRPr="00503AAC">
        <w:rPr>
          <w:rFonts w:eastAsia="Arial"/>
          <w:i/>
          <w:iCs/>
          <w:highlight w:val="white"/>
          <w:lang w:val="en-GB"/>
        </w:rPr>
        <w:t>Cureus</w:t>
      </w:r>
      <w:proofErr w:type="spellEnd"/>
      <w:r w:rsidRPr="00503AAC">
        <w:rPr>
          <w:rFonts w:eastAsia="Arial"/>
          <w:highlight w:val="white"/>
          <w:lang w:val="en-GB"/>
        </w:rPr>
        <w:t xml:space="preserve">, </w:t>
      </w:r>
      <w:r w:rsidRPr="00503AAC">
        <w:rPr>
          <w:rFonts w:eastAsia="Arial"/>
          <w:i/>
          <w:iCs/>
          <w:highlight w:val="white"/>
          <w:lang w:val="en-GB"/>
        </w:rPr>
        <w:t>15</w:t>
      </w:r>
      <w:r w:rsidRPr="00503AAC">
        <w:rPr>
          <w:rFonts w:eastAsia="Arial"/>
          <w:highlight w:val="white"/>
          <w:lang w:val="en-GB"/>
        </w:rPr>
        <w:t xml:space="preserve">(3). Available at: DOI: 10.7759/cureus.35966 </w:t>
      </w:r>
      <w:bookmarkStart w:id="17" w:name="_i4empdaag0pf" w:colFirst="0" w:colLast="0"/>
      <w:bookmarkEnd w:id="17"/>
    </w:p>
    <w:p w14:paraId="3506644D" w14:textId="77777777" w:rsidR="000963BE" w:rsidRPr="00503AAC" w:rsidRDefault="000963BE" w:rsidP="00244ECD">
      <w:pPr>
        <w:pStyle w:val="NormalWeb"/>
        <w:spacing w:before="240" w:beforeAutospacing="0" w:after="240" w:afterAutospacing="0" w:line="360" w:lineRule="auto"/>
        <w:jc w:val="both"/>
        <w:rPr>
          <w:lang w:val="en-GB"/>
        </w:rPr>
      </w:pPr>
      <w:r w:rsidRPr="00503AAC">
        <w:rPr>
          <w:shd w:val="clear" w:color="auto" w:fill="FFFFFF"/>
          <w:lang w:val="en-GB"/>
        </w:rPr>
        <w:lastRenderedPageBreak/>
        <w:t xml:space="preserve">Ouyang, B., Zhang, Z., Chen, F., Li, F., Fu, M.L., Lan, H. and Yuan, B., (2025). ‘Energy production and </w:t>
      </w:r>
      <w:proofErr w:type="spellStart"/>
      <w:r w:rsidRPr="00503AAC">
        <w:rPr>
          <w:shd w:val="clear" w:color="auto" w:fill="FFFFFF"/>
          <w:lang w:val="en-GB"/>
        </w:rPr>
        <w:t>denitrogenation</w:t>
      </w:r>
      <w:proofErr w:type="spellEnd"/>
      <w:r w:rsidRPr="00503AAC">
        <w:rPr>
          <w:shd w:val="clear" w:color="auto" w:fill="FFFFFF"/>
          <w:lang w:val="en-GB"/>
        </w:rPr>
        <w:t xml:space="preserve"> performance by sludge </w:t>
      </w:r>
      <w:proofErr w:type="spellStart"/>
      <w:r w:rsidRPr="00503AAC">
        <w:rPr>
          <w:shd w:val="clear" w:color="auto" w:fill="FFFFFF"/>
          <w:lang w:val="en-GB"/>
        </w:rPr>
        <w:t>biochar</w:t>
      </w:r>
      <w:proofErr w:type="spellEnd"/>
      <w:r w:rsidRPr="00503AAC">
        <w:rPr>
          <w:shd w:val="clear" w:color="auto" w:fill="FFFFFF"/>
          <w:lang w:val="en-GB"/>
        </w:rPr>
        <w:t xml:space="preserve"> based constructed wetlands-microbial fuel cells system: Overcoming carbon constraints in water’. </w:t>
      </w:r>
      <w:r w:rsidRPr="00503AAC">
        <w:rPr>
          <w:i/>
          <w:iCs/>
          <w:shd w:val="clear" w:color="auto" w:fill="FFFFFF"/>
          <w:lang w:val="en-GB"/>
        </w:rPr>
        <w:t>Water Research</w:t>
      </w:r>
      <w:r w:rsidRPr="00503AAC">
        <w:rPr>
          <w:shd w:val="clear" w:color="auto" w:fill="FFFFFF"/>
          <w:lang w:val="en-GB"/>
        </w:rPr>
        <w:t xml:space="preserve">, </w:t>
      </w:r>
      <w:r w:rsidRPr="00503AAC">
        <w:rPr>
          <w:i/>
          <w:iCs/>
          <w:shd w:val="clear" w:color="auto" w:fill="FFFFFF"/>
          <w:lang w:val="en-GB"/>
        </w:rPr>
        <w:t>273</w:t>
      </w:r>
      <w:r w:rsidRPr="00503AAC">
        <w:rPr>
          <w:shd w:val="clear" w:color="auto" w:fill="FFFFFF"/>
          <w:lang w:val="en-GB"/>
        </w:rPr>
        <w:t xml:space="preserve">, p.123024. Available at: </w:t>
      </w:r>
      <w:hyperlink r:id="rId23" w:history="1">
        <w:r w:rsidRPr="00503AAC">
          <w:rPr>
            <w:rStyle w:val="Hyperlink"/>
            <w:color w:val="auto"/>
            <w:shd w:val="clear" w:color="auto" w:fill="FFFFFF"/>
            <w:lang w:val="en-GB"/>
          </w:rPr>
          <w:t>https://doi.org/10.1016/j.watres.2024.123024</w:t>
        </w:r>
      </w:hyperlink>
    </w:p>
    <w:p w14:paraId="51429CFD" w14:textId="77777777" w:rsidR="000963BE" w:rsidRPr="00503AAC" w:rsidRDefault="000963BE" w:rsidP="00244ECD">
      <w:pPr>
        <w:spacing w:before="240" w:after="240"/>
        <w:rPr>
          <w:rFonts w:eastAsia="Arial"/>
          <w:highlight w:val="white"/>
          <w:lang w:val="en-GB"/>
        </w:rPr>
      </w:pPr>
      <w:r w:rsidRPr="00503AAC">
        <w:rPr>
          <w:rFonts w:eastAsia="Arial"/>
          <w:highlight w:val="white"/>
          <w:lang w:val="en-GB"/>
        </w:rPr>
        <w:t xml:space="preserve">Pleus, S., </w:t>
      </w:r>
      <w:proofErr w:type="spellStart"/>
      <w:r w:rsidRPr="00503AAC">
        <w:rPr>
          <w:rFonts w:eastAsia="Arial"/>
          <w:highlight w:val="white"/>
          <w:lang w:val="en-GB"/>
        </w:rPr>
        <w:t>Freckmann</w:t>
      </w:r>
      <w:proofErr w:type="spellEnd"/>
      <w:r w:rsidRPr="00503AAC">
        <w:rPr>
          <w:rFonts w:eastAsia="Arial"/>
          <w:highlight w:val="white"/>
          <w:lang w:val="en-GB"/>
        </w:rPr>
        <w:t xml:space="preserve">, G., </w:t>
      </w:r>
      <w:proofErr w:type="spellStart"/>
      <w:r w:rsidRPr="00503AAC">
        <w:rPr>
          <w:rFonts w:eastAsia="Arial"/>
          <w:highlight w:val="white"/>
          <w:lang w:val="en-GB"/>
        </w:rPr>
        <w:t>Schauer</w:t>
      </w:r>
      <w:proofErr w:type="spellEnd"/>
      <w:r w:rsidRPr="00503AAC">
        <w:rPr>
          <w:rFonts w:eastAsia="Arial"/>
          <w:highlight w:val="white"/>
          <w:lang w:val="en-GB"/>
        </w:rPr>
        <w:t xml:space="preserve">, S., Heinemann, L., Ziegler, R., Ji, L., Mohan, V., </w:t>
      </w:r>
      <w:proofErr w:type="spellStart"/>
      <w:r w:rsidRPr="00503AAC">
        <w:rPr>
          <w:rFonts w:eastAsia="Arial"/>
          <w:highlight w:val="white"/>
          <w:lang w:val="en-GB"/>
        </w:rPr>
        <w:t>Calliari</w:t>
      </w:r>
      <w:proofErr w:type="spellEnd"/>
      <w:r w:rsidRPr="00503AAC">
        <w:rPr>
          <w:rFonts w:eastAsia="Arial"/>
          <w:highlight w:val="white"/>
          <w:lang w:val="en-GB"/>
        </w:rPr>
        <w:t xml:space="preserve">, L.E. and </w:t>
      </w:r>
      <w:proofErr w:type="spellStart"/>
      <w:r w:rsidRPr="00503AAC">
        <w:rPr>
          <w:rFonts w:eastAsia="Arial"/>
          <w:highlight w:val="white"/>
          <w:lang w:val="en-GB"/>
        </w:rPr>
        <w:t>Hinzmann</w:t>
      </w:r>
      <w:proofErr w:type="spellEnd"/>
      <w:r w:rsidRPr="00503AAC">
        <w:rPr>
          <w:rFonts w:eastAsia="Arial"/>
          <w:highlight w:val="white"/>
          <w:lang w:val="en-GB"/>
        </w:rPr>
        <w:t xml:space="preserve">, R., (2022). ‘Self-monitoring of blood glucose as an integral part in the management of people with type 2 diabetes mellitus’. </w:t>
      </w:r>
      <w:r w:rsidRPr="00503AAC">
        <w:rPr>
          <w:rFonts w:eastAsia="Arial"/>
          <w:i/>
          <w:iCs/>
          <w:highlight w:val="white"/>
          <w:lang w:val="en-GB"/>
        </w:rPr>
        <w:t>Diabetes Therapy</w:t>
      </w:r>
      <w:r w:rsidRPr="00503AAC">
        <w:rPr>
          <w:rFonts w:eastAsia="Arial"/>
          <w:highlight w:val="white"/>
          <w:lang w:val="en-GB"/>
        </w:rPr>
        <w:t xml:space="preserve">, </w:t>
      </w:r>
      <w:r w:rsidRPr="00503AAC">
        <w:rPr>
          <w:rFonts w:eastAsia="Arial"/>
          <w:i/>
          <w:iCs/>
          <w:highlight w:val="white"/>
          <w:lang w:val="en-GB"/>
        </w:rPr>
        <w:t>13</w:t>
      </w:r>
      <w:r w:rsidRPr="00503AAC">
        <w:rPr>
          <w:rFonts w:eastAsia="Arial"/>
          <w:highlight w:val="white"/>
          <w:lang w:val="en-GB"/>
        </w:rPr>
        <w:t xml:space="preserve">(5), pp.829-846. Available at: </w:t>
      </w:r>
      <w:hyperlink r:id="rId24">
        <w:r w:rsidRPr="00503AAC">
          <w:rPr>
            <w:rFonts w:eastAsia="Arial"/>
            <w:highlight w:val="white"/>
            <w:u w:val="single"/>
            <w:lang w:val="en-GB"/>
          </w:rPr>
          <w:t>https://doi.org/10.1007/s13300-022-01254-8</w:t>
        </w:r>
      </w:hyperlink>
      <w:r w:rsidRPr="00503AAC">
        <w:rPr>
          <w:rFonts w:eastAsia="Arial"/>
          <w:highlight w:val="white"/>
          <w:lang w:val="en-GB"/>
        </w:rPr>
        <w:t xml:space="preserve"> </w:t>
      </w:r>
    </w:p>
    <w:p w14:paraId="038D6689" w14:textId="77777777" w:rsidR="000963BE" w:rsidRPr="00503AAC" w:rsidRDefault="000963BE" w:rsidP="00244ECD">
      <w:pPr>
        <w:spacing w:before="240" w:after="240"/>
        <w:rPr>
          <w:rFonts w:eastAsia="Arial"/>
          <w:highlight w:val="white"/>
          <w:lang w:val="en-GB"/>
        </w:rPr>
      </w:pPr>
      <w:r w:rsidRPr="00503AAC">
        <w:rPr>
          <w:rFonts w:eastAsia="Arial"/>
          <w:highlight w:val="white"/>
          <w:lang w:val="en-GB"/>
        </w:rPr>
        <w:t xml:space="preserve">Tzeravini, E., </w:t>
      </w:r>
      <w:proofErr w:type="spellStart"/>
      <w:r w:rsidRPr="00503AAC">
        <w:rPr>
          <w:rFonts w:eastAsia="Arial"/>
          <w:highlight w:val="white"/>
          <w:lang w:val="en-GB"/>
        </w:rPr>
        <w:t>Simati</w:t>
      </w:r>
      <w:proofErr w:type="spellEnd"/>
      <w:r w:rsidRPr="00503AAC">
        <w:rPr>
          <w:rFonts w:eastAsia="Arial"/>
          <w:highlight w:val="white"/>
          <w:lang w:val="en-GB"/>
        </w:rPr>
        <w:t xml:space="preserve">, S., </w:t>
      </w:r>
      <w:proofErr w:type="spellStart"/>
      <w:r w:rsidRPr="00503AAC">
        <w:rPr>
          <w:rFonts w:eastAsia="Arial"/>
          <w:highlight w:val="white"/>
          <w:lang w:val="en-GB"/>
        </w:rPr>
        <w:t>Anastasiou</w:t>
      </w:r>
      <w:proofErr w:type="spellEnd"/>
      <w:r w:rsidRPr="00503AAC">
        <w:rPr>
          <w:rFonts w:eastAsia="Arial"/>
          <w:highlight w:val="white"/>
          <w:lang w:val="en-GB"/>
        </w:rPr>
        <w:t xml:space="preserve">, I.A., </w:t>
      </w:r>
      <w:proofErr w:type="spellStart"/>
      <w:r w:rsidRPr="00503AAC">
        <w:rPr>
          <w:rFonts w:eastAsia="Arial"/>
          <w:highlight w:val="white"/>
          <w:lang w:val="en-GB"/>
        </w:rPr>
        <w:t>Dalamaga</w:t>
      </w:r>
      <w:proofErr w:type="spellEnd"/>
      <w:r w:rsidRPr="00503AAC">
        <w:rPr>
          <w:rFonts w:eastAsia="Arial"/>
          <w:highlight w:val="white"/>
          <w:lang w:val="en-GB"/>
        </w:rPr>
        <w:t xml:space="preserve">, M. and Kokkinos, A., (2026). ‘Gut Peptide Alterations in Type 2 Diabetes and Obesity: A Narrative Review’. </w:t>
      </w:r>
      <w:r w:rsidRPr="00503AAC">
        <w:rPr>
          <w:rFonts w:eastAsia="Arial"/>
          <w:i/>
          <w:iCs/>
          <w:highlight w:val="white"/>
          <w:lang w:val="en-GB"/>
        </w:rPr>
        <w:t>Current Obesity Reports</w:t>
      </w:r>
      <w:r w:rsidRPr="00503AAC">
        <w:rPr>
          <w:rFonts w:eastAsia="Arial"/>
          <w:highlight w:val="white"/>
          <w:lang w:val="en-GB"/>
        </w:rPr>
        <w:t xml:space="preserve">, </w:t>
      </w:r>
      <w:r w:rsidRPr="00503AAC">
        <w:rPr>
          <w:rFonts w:eastAsia="Arial"/>
          <w:i/>
          <w:iCs/>
          <w:highlight w:val="white"/>
          <w:lang w:val="en-GB"/>
        </w:rPr>
        <w:t>15</w:t>
      </w:r>
      <w:r w:rsidRPr="00503AAC">
        <w:rPr>
          <w:rFonts w:eastAsia="Arial"/>
          <w:highlight w:val="white"/>
          <w:lang w:val="en-GB"/>
        </w:rPr>
        <w:t xml:space="preserve">(1), p.8.  Available at: </w:t>
      </w:r>
      <w:hyperlink r:id="rId25">
        <w:r w:rsidRPr="00503AAC">
          <w:rPr>
            <w:rFonts w:eastAsia="Arial"/>
            <w:highlight w:val="white"/>
            <w:u w:val="single"/>
            <w:lang w:val="en-GB"/>
          </w:rPr>
          <w:t>https://doi.org/10.1007/s13679-026-00687-7</w:t>
        </w:r>
      </w:hyperlink>
      <w:r w:rsidRPr="00503AAC">
        <w:rPr>
          <w:rFonts w:eastAsia="Arial"/>
          <w:highlight w:val="white"/>
          <w:lang w:val="en-GB"/>
        </w:rPr>
        <w:t xml:space="preserve"> </w:t>
      </w:r>
    </w:p>
    <w:p w14:paraId="62A35A54" w14:textId="77777777" w:rsidR="000963BE" w:rsidRPr="00503AAC" w:rsidRDefault="000963BE" w:rsidP="00244ECD">
      <w:pPr>
        <w:pStyle w:val="NormalWeb"/>
        <w:spacing w:before="240" w:beforeAutospacing="0" w:after="240" w:afterAutospacing="0" w:line="360" w:lineRule="auto"/>
        <w:jc w:val="both"/>
        <w:rPr>
          <w:lang w:val="en-GB"/>
        </w:rPr>
      </w:pPr>
      <w:r w:rsidRPr="00503AAC">
        <w:rPr>
          <w:shd w:val="clear" w:color="auto" w:fill="FFFFFF"/>
          <w:lang w:val="en-GB"/>
        </w:rPr>
        <w:t xml:space="preserve">van </w:t>
      </w:r>
      <w:proofErr w:type="spellStart"/>
      <w:r w:rsidRPr="00503AAC">
        <w:rPr>
          <w:shd w:val="clear" w:color="auto" w:fill="FFFFFF"/>
          <w:lang w:val="en-GB"/>
        </w:rPr>
        <w:t>Leersum</w:t>
      </w:r>
      <w:proofErr w:type="spellEnd"/>
      <w:r w:rsidRPr="00503AAC">
        <w:rPr>
          <w:shd w:val="clear" w:color="auto" w:fill="FFFFFF"/>
          <w:lang w:val="en-GB"/>
        </w:rPr>
        <w:t xml:space="preserve">, C.M., Konrad, K.E., </w:t>
      </w:r>
      <w:proofErr w:type="spellStart"/>
      <w:r w:rsidRPr="00503AAC">
        <w:rPr>
          <w:shd w:val="clear" w:color="auto" w:fill="FFFFFF"/>
          <w:lang w:val="en-GB"/>
        </w:rPr>
        <w:t>Bults</w:t>
      </w:r>
      <w:proofErr w:type="spellEnd"/>
      <w:r w:rsidRPr="00503AAC">
        <w:rPr>
          <w:shd w:val="clear" w:color="auto" w:fill="FFFFFF"/>
          <w:lang w:val="en-GB"/>
        </w:rPr>
        <w:t xml:space="preserve">, M. and den </w:t>
      </w:r>
      <w:proofErr w:type="spellStart"/>
      <w:r w:rsidRPr="00503AAC">
        <w:rPr>
          <w:shd w:val="clear" w:color="auto" w:fill="FFFFFF"/>
          <w:lang w:val="en-GB"/>
        </w:rPr>
        <w:t>Ouden</w:t>
      </w:r>
      <w:proofErr w:type="spellEnd"/>
      <w:r w:rsidRPr="00503AAC">
        <w:rPr>
          <w:shd w:val="clear" w:color="auto" w:fill="FFFFFF"/>
          <w:lang w:val="en-GB"/>
        </w:rPr>
        <w:t xml:space="preserve">, M.E., (2024). ‘Living with my diabetes–introducing eHealth into daily practices of patients with type 2 diabetes mellitus’. </w:t>
      </w:r>
      <w:r w:rsidRPr="00503AAC">
        <w:rPr>
          <w:i/>
          <w:iCs/>
          <w:shd w:val="clear" w:color="auto" w:fill="FFFFFF"/>
          <w:lang w:val="en-GB"/>
        </w:rPr>
        <w:t>Digital Health</w:t>
      </w:r>
      <w:r w:rsidRPr="00503AAC">
        <w:rPr>
          <w:shd w:val="clear" w:color="auto" w:fill="FFFFFF"/>
          <w:lang w:val="en-GB"/>
        </w:rPr>
        <w:t xml:space="preserve">, </w:t>
      </w:r>
      <w:r w:rsidRPr="00503AAC">
        <w:rPr>
          <w:i/>
          <w:iCs/>
          <w:shd w:val="clear" w:color="auto" w:fill="FFFFFF"/>
          <w:lang w:val="en-GB"/>
        </w:rPr>
        <w:t>10</w:t>
      </w:r>
      <w:r w:rsidRPr="00503AAC">
        <w:rPr>
          <w:shd w:val="clear" w:color="auto" w:fill="FFFFFF"/>
          <w:lang w:val="en-GB"/>
        </w:rPr>
        <w:t xml:space="preserve">, p.20552076241257052. Available at: </w:t>
      </w:r>
      <w:hyperlink r:id="rId26" w:history="1">
        <w:r w:rsidRPr="00503AAC">
          <w:rPr>
            <w:rStyle w:val="Hyperlink"/>
            <w:color w:val="auto"/>
            <w:shd w:val="clear" w:color="auto" w:fill="FFFFFF"/>
            <w:lang w:val="en-GB"/>
          </w:rPr>
          <w:t>https://doi.org/10.1177/20552076241257052</w:t>
        </w:r>
      </w:hyperlink>
    </w:p>
    <w:p w14:paraId="2FCD2A13" w14:textId="77777777" w:rsidR="000963BE" w:rsidRPr="00503AAC" w:rsidRDefault="000963BE" w:rsidP="00244ECD">
      <w:pPr>
        <w:spacing w:before="240" w:after="240"/>
        <w:rPr>
          <w:rFonts w:eastAsia="Arial"/>
          <w:highlight w:val="white"/>
          <w:lang w:val="en-GB"/>
        </w:rPr>
      </w:pPr>
      <w:proofErr w:type="spellStart"/>
      <w:r w:rsidRPr="00503AAC">
        <w:rPr>
          <w:rFonts w:eastAsia="Arial"/>
          <w:highlight w:val="white"/>
          <w:lang w:val="en-GB"/>
        </w:rPr>
        <w:t>Yedjou</w:t>
      </w:r>
      <w:proofErr w:type="spellEnd"/>
      <w:r w:rsidRPr="00503AAC">
        <w:rPr>
          <w:rFonts w:eastAsia="Arial"/>
          <w:highlight w:val="white"/>
          <w:lang w:val="en-GB"/>
        </w:rPr>
        <w:t xml:space="preserve">, C.G., Grigsby, J., </w:t>
      </w:r>
      <w:proofErr w:type="spellStart"/>
      <w:r w:rsidRPr="00503AAC">
        <w:rPr>
          <w:rFonts w:eastAsia="Arial"/>
          <w:highlight w:val="white"/>
          <w:lang w:val="en-GB"/>
        </w:rPr>
        <w:t>Mbemi</w:t>
      </w:r>
      <w:proofErr w:type="spellEnd"/>
      <w:r w:rsidRPr="00503AAC">
        <w:rPr>
          <w:rFonts w:eastAsia="Arial"/>
          <w:highlight w:val="white"/>
          <w:lang w:val="en-GB"/>
        </w:rPr>
        <w:t xml:space="preserve">, A., Nelson, D., </w:t>
      </w:r>
      <w:proofErr w:type="spellStart"/>
      <w:r w:rsidRPr="00503AAC">
        <w:rPr>
          <w:rFonts w:eastAsia="Arial"/>
          <w:highlight w:val="white"/>
          <w:lang w:val="en-GB"/>
        </w:rPr>
        <w:t>Mildort</w:t>
      </w:r>
      <w:proofErr w:type="spellEnd"/>
      <w:r w:rsidRPr="00503AAC">
        <w:rPr>
          <w:rFonts w:eastAsia="Arial"/>
          <w:highlight w:val="white"/>
          <w:lang w:val="en-GB"/>
        </w:rPr>
        <w:t xml:space="preserve">, B., </w:t>
      </w:r>
      <w:proofErr w:type="spellStart"/>
      <w:r w:rsidRPr="00503AAC">
        <w:rPr>
          <w:rFonts w:eastAsia="Arial"/>
          <w:highlight w:val="white"/>
          <w:lang w:val="en-GB"/>
        </w:rPr>
        <w:t>Latinwo</w:t>
      </w:r>
      <w:proofErr w:type="spellEnd"/>
      <w:r w:rsidRPr="00503AAC">
        <w:rPr>
          <w:rFonts w:eastAsia="Arial"/>
          <w:highlight w:val="white"/>
          <w:lang w:val="en-GB"/>
        </w:rPr>
        <w:t xml:space="preserve">, L. and </w:t>
      </w:r>
      <w:proofErr w:type="spellStart"/>
      <w:r w:rsidRPr="00503AAC">
        <w:rPr>
          <w:rFonts w:eastAsia="Arial"/>
          <w:highlight w:val="white"/>
          <w:lang w:val="en-GB"/>
        </w:rPr>
        <w:t>Tchounwou</w:t>
      </w:r>
      <w:proofErr w:type="spellEnd"/>
      <w:r w:rsidRPr="00503AAC">
        <w:rPr>
          <w:rFonts w:eastAsia="Arial"/>
          <w:highlight w:val="white"/>
          <w:lang w:val="en-GB"/>
        </w:rPr>
        <w:t xml:space="preserve">, P.B., (2023). ‘The management of diabetes mellitus using medicinal plants and vitamins’. </w:t>
      </w:r>
      <w:r w:rsidRPr="00503AAC">
        <w:rPr>
          <w:rFonts w:eastAsia="Arial"/>
          <w:i/>
          <w:iCs/>
          <w:highlight w:val="white"/>
          <w:lang w:val="en-GB"/>
        </w:rPr>
        <w:t>International journal of molecular sciences</w:t>
      </w:r>
      <w:r w:rsidRPr="00503AAC">
        <w:rPr>
          <w:rFonts w:eastAsia="Arial"/>
          <w:highlight w:val="white"/>
          <w:lang w:val="en-GB"/>
        </w:rPr>
        <w:t xml:space="preserve">, </w:t>
      </w:r>
      <w:r w:rsidRPr="00503AAC">
        <w:rPr>
          <w:rFonts w:eastAsia="Arial"/>
          <w:i/>
          <w:iCs/>
          <w:highlight w:val="white"/>
          <w:lang w:val="en-GB"/>
        </w:rPr>
        <w:t>24</w:t>
      </w:r>
      <w:r w:rsidRPr="00503AAC">
        <w:rPr>
          <w:rFonts w:eastAsia="Arial"/>
          <w:highlight w:val="white"/>
          <w:lang w:val="en-GB"/>
        </w:rPr>
        <w:t xml:space="preserve">(10), p.9085. Available at: </w:t>
      </w:r>
      <w:hyperlink r:id="rId27">
        <w:r w:rsidRPr="00503AAC">
          <w:rPr>
            <w:rFonts w:eastAsia="Arial"/>
            <w:highlight w:val="white"/>
            <w:u w:val="single"/>
            <w:lang w:val="en-GB"/>
          </w:rPr>
          <w:t>https://doi.org/10.3390/ijms24109085</w:t>
        </w:r>
      </w:hyperlink>
      <w:r w:rsidRPr="00503AAC">
        <w:rPr>
          <w:rFonts w:eastAsia="Arial"/>
          <w:highlight w:val="white"/>
          <w:lang w:val="en-GB"/>
        </w:rPr>
        <w:t xml:space="preserve"> </w:t>
      </w:r>
    </w:p>
    <w:p w14:paraId="7A568571" w14:textId="0C4FC18C" w:rsidR="00D564FF" w:rsidRPr="00503AAC" w:rsidRDefault="00D564FF" w:rsidP="00244ECD">
      <w:pPr>
        <w:spacing w:before="240" w:after="240"/>
        <w:rPr>
          <w:rFonts w:eastAsia="Arial"/>
          <w:highlight w:val="white"/>
          <w:lang w:val="en-GB"/>
        </w:rPr>
      </w:pPr>
      <w:r w:rsidRPr="00503AAC">
        <w:rPr>
          <w:rFonts w:eastAsia="Arial"/>
          <w:highlight w:val="white"/>
          <w:lang w:val="en-GB"/>
        </w:rPr>
        <w:t xml:space="preserve"> </w:t>
      </w:r>
    </w:p>
    <w:sectPr w:rsidR="00D564FF" w:rsidRPr="00503AAC" w:rsidSect="00770645">
      <w:footerReference w:type="default" r:id="rId28"/>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F743F1" w14:textId="77777777" w:rsidR="004D15DA" w:rsidRDefault="004D15DA" w:rsidP="00770645">
      <w:pPr>
        <w:spacing w:line="240" w:lineRule="auto"/>
      </w:pPr>
      <w:r>
        <w:separator/>
      </w:r>
    </w:p>
  </w:endnote>
  <w:endnote w:type="continuationSeparator" w:id="0">
    <w:p w14:paraId="011836BD" w14:textId="77777777" w:rsidR="004D15DA" w:rsidRDefault="004D15DA" w:rsidP="007706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C93C511B-07D8-440A-82EA-7373F924E111}"/>
  </w:font>
  <w:font w:name="Cambria">
    <w:panose1 w:val="02040503050406030204"/>
    <w:charset w:val="00"/>
    <w:family w:val="roman"/>
    <w:pitch w:val="variable"/>
    <w:sig w:usb0="E00006FF" w:usb1="420024FF" w:usb2="02000000" w:usb3="00000000" w:csb0="0000019F" w:csb1="00000000"/>
    <w:embedRegular r:id="rId2" w:fontKey="{0CF69E7B-AA7C-47BA-90F0-8211F4C94ED4}"/>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000000" w:themeColor="text1"/>
        <w:sz w:val="20"/>
      </w:rPr>
      <w:id w:val="-942066826"/>
      <w:docPartObj>
        <w:docPartGallery w:val="Page Numbers (Bottom of Page)"/>
        <w:docPartUnique/>
      </w:docPartObj>
    </w:sdtPr>
    <w:sdtEndPr>
      <w:rPr>
        <w:noProof/>
      </w:rPr>
    </w:sdtEndPr>
    <w:sdtContent>
      <w:p w14:paraId="2B087533" w14:textId="38AA4C65" w:rsidR="00770645" w:rsidRPr="00244ECD" w:rsidRDefault="00770645">
        <w:pPr>
          <w:pStyle w:val="Footer"/>
          <w:jc w:val="right"/>
          <w:rPr>
            <w:color w:val="000000" w:themeColor="text1"/>
            <w:sz w:val="20"/>
          </w:rPr>
        </w:pPr>
        <w:r w:rsidRPr="00244ECD">
          <w:rPr>
            <w:color w:val="000000" w:themeColor="text1"/>
            <w:sz w:val="20"/>
          </w:rPr>
          <w:fldChar w:fldCharType="begin"/>
        </w:r>
        <w:r w:rsidRPr="00244ECD">
          <w:rPr>
            <w:color w:val="000000" w:themeColor="text1"/>
            <w:sz w:val="20"/>
          </w:rPr>
          <w:instrText xml:space="preserve"> PAGE   \* MERGEFORMAT </w:instrText>
        </w:r>
        <w:r w:rsidRPr="00244ECD">
          <w:rPr>
            <w:color w:val="000000" w:themeColor="text1"/>
            <w:sz w:val="20"/>
          </w:rPr>
          <w:fldChar w:fldCharType="separate"/>
        </w:r>
        <w:r w:rsidR="00503AAC">
          <w:rPr>
            <w:noProof/>
            <w:color w:val="000000" w:themeColor="text1"/>
            <w:sz w:val="20"/>
          </w:rPr>
          <w:t>14</w:t>
        </w:r>
        <w:r w:rsidRPr="00244ECD">
          <w:rPr>
            <w:noProof/>
            <w:color w:val="000000" w:themeColor="text1"/>
            <w:sz w:val="20"/>
          </w:rPr>
          <w:fldChar w:fldCharType="end"/>
        </w:r>
      </w:p>
    </w:sdtContent>
  </w:sdt>
  <w:p w14:paraId="0F20286B" w14:textId="77777777" w:rsidR="00770645" w:rsidRDefault="0077064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68139C" w14:textId="77777777" w:rsidR="004D15DA" w:rsidRDefault="004D15DA" w:rsidP="00770645">
      <w:pPr>
        <w:spacing w:line="240" w:lineRule="auto"/>
      </w:pPr>
      <w:r>
        <w:separator/>
      </w:r>
    </w:p>
  </w:footnote>
  <w:footnote w:type="continuationSeparator" w:id="0">
    <w:p w14:paraId="57E4B3D0" w14:textId="77777777" w:rsidR="004D15DA" w:rsidRDefault="004D15DA" w:rsidP="0077064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F6B"/>
    <w:rsid w:val="00075271"/>
    <w:rsid w:val="000963BE"/>
    <w:rsid w:val="000D1F6B"/>
    <w:rsid w:val="0011776B"/>
    <w:rsid w:val="00154238"/>
    <w:rsid w:val="001728EC"/>
    <w:rsid w:val="00231B65"/>
    <w:rsid w:val="00244ECD"/>
    <w:rsid w:val="00275A3A"/>
    <w:rsid w:val="002D3711"/>
    <w:rsid w:val="002D779D"/>
    <w:rsid w:val="00300FEF"/>
    <w:rsid w:val="003074FB"/>
    <w:rsid w:val="0032011A"/>
    <w:rsid w:val="00376212"/>
    <w:rsid w:val="00393659"/>
    <w:rsid w:val="00494AAD"/>
    <w:rsid w:val="004B1BDA"/>
    <w:rsid w:val="004D15DA"/>
    <w:rsid w:val="00503AAC"/>
    <w:rsid w:val="0055596C"/>
    <w:rsid w:val="005D191D"/>
    <w:rsid w:val="00613F25"/>
    <w:rsid w:val="00635D53"/>
    <w:rsid w:val="006A1D27"/>
    <w:rsid w:val="006A55BF"/>
    <w:rsid w:val="006D7944"/>
    <w:rsid w:val="00706BA0"/>
    <w:rsid w:val="00770645"/>
    <w:rsid w:val="007B3853"/>
    <w:rsid w:val="008572D6"/>
    <w:rsid w:val="00871DDB"/>
    <w:rsid w:val="008A1360"/>
    <w:rsid w:val="00982CD0"/>
    <w:rsid w:val="0099424B"/>
    <w:rsid w:val="009D43E8"/>
    <w:rsid w:val="009F7E8A"/>
    <w:rsid w:val="00A34583"/>
    <w:rsid w:val="00A77B04"/>
    <w:rsid w:val="00AA2D57"/>
    <w:rsid w:val="00AB6FE2"/>
    <w:rsid w:val="00AE3533"/>
    <w:rsid w:val="00AE57A0"/>
    <w:rsid w:val="00B02570"/>
    <w:rsid w:val="00B17440"/>
    <w:rsid w:val="00B17B27"/>
    <w:rsid w:val="00B325C1"/>
    <w:rsid w:val="00B423F5"/>
    <w:rsid w:val="00C67BDF"/>
    <w:rsid w:val="00C73F0D"/>
    <w:rsid w:val="00CF770E"/>
    <w:rsid w:val="00D449E1"/>
    <w:rsid w:val="00D4720F"/>
    <w:rsid w:val="00D564FF"/>
    <w:rsid w:val="00D703DA"/>
    <w:rsid w:val="00D93919"/>
    <w:rsid w:val="00DE6BB1"/>
    <w:rsid w:val="00E343A5"/>
    <w:rsid w:val="00E7430F"/>
    <w:rsid w:val="00EE2CB7"/>
    <w:rsid w:val="00F12A69"/>
    <w:rsid w:val="00F3264F"/>
    <w:rsid w:val="00FC39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A013B"/>
  <w15:docId w15:val="{9899F15E-1B99-47FC-A25B-29909D52A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240" w:after="200"/>
      <w:outlineLvl w:val="0"/>
    </w:pPr>
    <w:rPr>
      <w:b/>
      <w:bCs/>
    </w:rPr>
  </w:style>
  <w:style w:type="paragraph" w:styleId="Heading2">
    <w:name w:val="heading 2"/>
    <w:basedOn w:val="Normal"/>
    <w:next w:val="Normal"/>
    <w:uiPriority w:val="9"/>
    <w:unhideWhenUsed/>
    <w:qFormat/>
    <w:pPr>
      <w:keepNext/>
      <w:keepLines/>
      <w:spacing w:before="200" w:after="120"/>
      <w:outlineLvl w:val="1"/>
    </w:pPr>
    <w:rPr>
      <w:b/>
      <w:bCs/>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jc w:val="center"/>
      <w:outlineLvl w:val="3"/>
    </w:pPr>
    <w:rPr>
      <w:b/>
      <w:bCs/>
      <w:color w:val="0D0D0D"/>
    </w:rPr>
  </w:style>
  <w:style w:type="paragraph" w:styleId="Heading5">
    <w:name w:val="heading 5"/>
    <w:basedOn w:val="Normal"/>
    <w:next w:val="Normal"/>
    <w:uiPriority w:val="9"/>
    <w:semiHidden/>
    <w:unhideWhenUsed/>
    <w:qFormat/>
    <w:pPr>
      <w:keepNext/>
      <w:keepLines/>
      <w:spacing w:before="240" w:after="80"/>
      <w:jc w:val="center"/>
      <w:outlineLvl w:val="4"/>
    </w:pPr>
    <w:rPr>
      <w:b/>
      <w:bCs/>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55596C"/>
    <w:pPr>
      <w:spacing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55596C"/>
    <w:pPr>
      <w:spacing w:after="100"/>
    </w:pPr>
  </w:style>
  <w:style w:type="character" w:styleId="Hyperlink">
    <w:name w:val="Hyperlink"/>
    <w:basedOn w:val="DefaultParagraphFont"/>
    <w:uiPriority w:val="99"/>
    <w:unhideWhenUsed/>
    <w:rsid w:val="0055596C"/>
    <w:rPr>
      <w:color w:val="0000FF" w:themeColor="hyperlink"/>
      <w:u w:val="single"/>
    </w:rPr>
  </w:style>
  <w:style w:type="paragraph" w:styleId="Header">
    <w:name w:val="header"/>
    <w:basedOn w:val="Normal"/>
    <w:link w:val="HeaderChar"/>
    <w:uiPriority w:val="99"/>
    <w:unhideWhenUsed/>
    <w:rsid w:val="00770645"/>
    <w:pPr>
      <w:tabs>
        <w:tab w:val="center" w:pos="4680"/>
        <w:tab w:val="right" w:pos="9360"/>
      </w:tabs>
      <w:spacing w:line="240" w:lineRule="auto"/>
    </w:pPr>
  </w:style>
  <w:style w:type="character" w:customStyle="1" w:styleId="HeaderChar">
    <w:name w:val="Header Char"/>
    <w:basedOn w:val="DefaultParagraphFont"/>
    <w:link w:val="Header"/>
    <w:uiPriority w:val="99"/>
    <w:rsid w:val="00770645"/>
  </w:style>
  <w:style w:type="paragraph" w:styleId="Footer">
    <w:name w:val="footer"/>
    <w:basedOn w:val="Normal"/>
    <w:link w:val="FooterChar"/>
    <w:uiPriority w:val="99"/>
    <w:unhideWhenUsed/>
    <w:rsid w:val="00770645"/>
    <w:pPr>
      <w:tabs>
        <w:tab w:val="center" w:pos="4680"/>
        <w:tab w:val="right" w:pos="9360"/>
      </w:tabs>
      <w:spacing w:line="240" w:lineRule="auto"/>
    </w:pPr>
  </w:style>
  <w:style w:type="character" w:customStyle="1" w:styleId="FooterChar">
    <w:name w:val="Footer Char"/>
    <w:basedOn w:val="DefaultParagraphFont"/>
    <w:link w:val="Footer"/>
    <w:uiPriority w:val="99"/>
    <w:rsid w:val="00770645"/>
  </w:style>
  <w:style w:type="character" w:customStyle="1" w:styleId="UnresolvedMention1">
    <w:name w:val="Unresolved Mention1"/>
    <w:basedOn w:val="DefaultParagraphFont"/>
    <w:uiPriority w:val="99"/>
    <w:semiHidden/>
    <w:unhideWhenUsed/>
    <w:rsid w:val="00F12A69"/>
    <w:rPr>
      <w:color w:val="605E5C"/>
      <w:shd w:val="clear" w:color="auto" w:fill="E1DFDD"/>
    </w:rPr>
  </w:style>
  <w:style w:type="paragraph" w:styleId="NormalWeb">
    <w:name w:val="Normal (Web)"/>
    <w:basedOn w:val="Normal"/>
    <w:uiPriority w:val="99"/>
    <w:unhideWhenUsed/>
    <w:rsid w:val="00635D53"/>
    <w:pPr>
      <w:spacing w:before="100" w:beforeAutospacing="1" w:after="100" w:afterAutospacing="1" w:line="240" w:lineRule="auto"/>
      <w:jc w:val="left"/>
    </w:pPr>
    <w:rPr>
      <w:lang w:val="en-US"/>
    </w:rPr>
  </w:style>
  <w:style w:type="paragraph" w:styleId="TOC2">
    <w:name w:val="toc 2"/>
    <w:basedOn w:val="Normal"/>
    <w:next w:val="Normal"/>
    <w:autoRedefine/>
    <w:uiPriority w:val="39"/>
    <w:unhideWhenUsed/>
    <w:rsid w:val="00F3264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2966730">
      <w:bodyDiv w:val="1"/>
      <w:marLeft w:val="0"/>
      <w:marRight w:val="0"/>
      <w:marTop w:val="0"/>
      <w:marBottom w:val="0"/>
      <w:divBdr>
        <w:top w:val="none" w:sz="0" w:space="0" w:color="auto"/>
        <w:left w:val="none" w:sz="0" w:space="0" w:color="auto"/>
        <w:bottom w:val="none" w:sz="0" w:space="0" w:color="auto"/>
        <w:right w:val="none" w:sz="0" w:space="0" w:color="auto"/>
      </w:divBdr>
    </w:div>
    <w:div w:id="1147475504">
      <w:bodyDiv w:val="1"/>
      <w:marLeft w:val="0"/>
      <w:marRight w:val="0"/>
      <w:marTop w:val="0"/>
      <w:marBottom w:val="0"/>
      <w:divBdr>
        <w:top w:val="none" w:sz="0" w:space="0" w:color="auto"/>
        <w:left w:val="none" w:sz="0" w:space="0" w:color="auto"/>
        <w:bottom w:val="none" w:sz="0" w:space="0" w:color="auto"/>
        <w:right w:val="none" w:sz="0" w:space="0" w:color="auto"/>
      </w:divBdr>
    </w:div>
    <w:div w:id="1240019767">
      <w:bodyDiv w:val="1"/>
      <w:marLeft w:val="0"/>
      <w:marRight w:val="0"/>
      <w:marTop w:val="0"/>
      <w:marBottom w:val="0"/>
      <w:divBdr>
        <w:top w:val="none" w:sz="0" w:space="0" w:color="auto"/>
        <w:left w:val="none" w:sz="0" w:space="0" w:color="auto"/>
        <w:bottom w:val="none" w:sz="0" w:space="0" w:color="auto"/>
        <w:right w:val="none" w:sz="0" w:space="0" w:color="auto"/>
      </w:divBdr>
    </w:div>
    <w:div w:id="1591160748">
      <w:bodyDiv w:val="1"/>
      <w:marLeft w:val="0"/>
      <w:marRight w:val="0"/>
      <w:marTop w:val="0"/>
      <w:marBottom w:val="0"/>
      <w:divBdr>
        <w:top w:val="none" w:sz="0" w:space="0" w:color="auto"/>
        <w:left w:val="none" w:sz="0" w:space="0" w:color="auto"/>
        <w:bottom w:val="none" w:sz="0" w:space="0" w:color="auto"/>
        <w:right w:val="none" w:sz="0" w:space="0" w:color="auto"/>
      </w:divBdr>
    </w:div>
    <w:div w:id="1654598840">
      <w:bodyDiv w:val="1"/>
      <w:marLeft w:val="0"/>
      <w:marRight w:val="0"/>
      <w:marTop w:val="0"/>
      <w:marBottom w:val="0"/>
      <w:divBdr>
        <w:top w:val="none" w:sz="0" w:space="0" w:color="auto"/>
        <w:left w:val="none" w:sz="0" w:space="0" w:color="auto"/>
        <w:bottom w:val="none" w:sz="0" w:space="0" w:color="auto"/>
        <w:right w:val="none" w:sz="0" w:space="0" w:color="auto"/>
      </w:divBdr>
    </w:div>
    <w:div w:id="1849589464">
      <w:bodyDiv w:val="1"/>
      <w:marLeft w:val="0"/>
      <w:marRight w:val="0"/>
      <w:marTop w:val="0"/>
      <w:marBottom w:val="0"/>
      <w:divBdr>
        <w:top w:val="none" w:sz="0" w:space="0" w:color="auto"/>
        <w:left w:val="none" w:sz="0" w:space="0" w:color="auto"/>
        <w:bottom w:val="none" w:sz="0" w:space="0" w:color="auto"/>
        <w:right w:val="none" w:sz="0" w:space="0" w:color="auto"/>
      </w:divBdr>
    </w:div>
    <w:div w:id="20648686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56/NEJMoa2304855" TargetMode="External"/><Relationship Id="rId18" Type="http://schemas.openxmlformats.org/officeDocument/2006/relationships/hyperlink" Target="https://doi.org/10.1073/pnas.2409509121" TargetMode="External"/><Relationship Id="rId26" Type="http://schemas.openxmlformats.org/officeDocument/2006/relationships/hyperlink" Target="https://doi.org/10.1177/20552076241257052" TargetMode="External"/><Relationship Id="rId3" Type="http://schemas.openxmlformats.org/officeDocument/2006/relationships/settings" Target="settings.xml"/><Relationship Id="rId21" Type="http://schemas.openxmlformats.org/officeDocument/2006/relationships/hyperlink" Target="https://doi.org/10.1016/S2213-8587(23)00225-5" TargetMode="External"/><Relationship Id="rId7" Type="http://schemas.openxmlformats.org/officeDocument/2006/relationships/image" Target="media/image1.png"/><Relationship Id="rId12" Type="http://schemas.openxmlformats.org/officeDocument/2006/relationships/hyperlink" Target="https://doi.org/10.1152/ajpendo.00074.2025" TargetMode="External"/><Relationship Id="rId17" Type="http://schemas.openxmlformats.org/officeDocument/2006/relationships/hyperlink" Target="https://doi.org/10.3390/nu15163652" TargetMode="External"/><Relationship Id="rId25" Type="http://schemas.openxmlformats.org/officeDocument/2006/relationships/hyperlink" Target="https://doi.org/10.1007/s13679-026-00687-7" TargetMode="External"/><Relationship Id="rId2" Type="http://schemas.openxmlformats.org/officeDocument/2006/relationships/styles" Target="styles.xml"/><Relationship Id="rId16" Type="http://schemas.openxmlformats.org/officeDocument/2006/relationships/hyperlink" Target="https://doi.org/10.1109/ACCESS.2024.3373467" TargetMode="External"/><Relationship Id="rId20" Type="http://schemas.openxmlformats.org/officeDocument/2006/relationships/hyperlink" Target="https://doi.org/10.3390/healthcare1012253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11/jdi.14285" TargetMode="External"/><Relationship Id="rId24" Type="http://schemas.openxmlformats.org/officeDocument/2006/relationships/hyperlink" Target="https://doi.org/10.1007/s13300-022-01254-8" TargetMode="External"/><Relationship Id="rId5" Type="http://schemas.openxmlformats.org/officeDocument/2006/relationships/footnotes" Target="footnotes.xml"/><Relationship Id="rId15" Type="http://schemas.openxmlformats.org/officeDocument/2006/relationships/hyperlink" Target="https://doi.org/10.5551/jat.65551" TargetMode="External"/><Relationship Id="rId23" Type="http://schemas.openxmlformats.org/officeDocument/2006/relationships/hyperlink" Target="https://doi.org/10.1016/j.watres.2024.123024" TargetMode="External"/><Relationship Id="rId28" Type="http://schemas.openxmlformats.org/officeDocument/2006/relationships/footer" Target="footer1.xml"/><Relationship Id="rId10" Type="http://schemas.openxmlformats.org/officeDocument/2006/relationships/hyperlink" Target="https://doi.org/10.1002/fsn3.70516" TargetMode="External"/><Relationship Id="rId19" Type="http://schemas.openxmlformats.org/officeDocument/2006/relationships/hyperlink" Target="https://doi.org/10.1016/j.bonr.2022.101640"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111/joim.13728" TargetMode="External"/><Relationship Id="rId22" Type="http://schemas.openxmlformats.org/officeDocument/2006/relationships/hyperlink" Target="https://doi.org/10.1210/jendso/bvae125" TargetMode="External"/><Relationship Id="rId27" Type="http://schemas.openxmlformats.org/officeDocument/2006/relationships/hyperlink" Target="https://doi.org/10.3390/ijms24109085" TargetMode="Externa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98D70-2774-49E0-93AF-7665FA4A1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3371</Words>
  <Characters>19220</Characters>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2026-02-22T10:07:00Z</dcterms:created>
  <dcterms:modified xsi:type="dcterms:W3CDTF">2026-02-22T10:07:00Z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e558cfcd-aa40-43ea-93fe-c8ad9fb34043</vt:lpwstr>
  </property>
</Properties>
</file>