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2A2F7" w14:textId="08B5F1D8" w:rsidR="005644B9" w:rsidRDefault="005644B9">
      <w:pPr>
        <w:rPr>
          <w:rFonts w:cs="Arial"/>
          <w:lang w:val="en-US"/>
        </w:rPr>
      </w:pPr>
    </w:p>
    <w:p w14:paraId="05387D71" w14:textId="77777777" w:rsidR="009151C7" w:rsidRDefault="009151C7" w:rsidP="009151C7">
      <w:pPr>
        <w:jc w:val="center"/>
        <w:rPr>
          <w:rFonts w:eastAsia="Times New Roman" w:cs="Arial"/>
          <w:b/>
          <w:bCs/>
          <w:color w:val="222222"/>
          <w:sz w:val="44"/>
          <w:szCs w:val="44"/>
          <w:lang w:eastAsia="en-GB"/>
        </w:rPr>
      </w:pPr>
    </w:p>
    <w:p w14:paraId="7A96A328" w14:textId="54DD4BFA" w:rsidR="009151C7" w:rsidRDefault="009151C7" w:rsidP="009151C7">
      <w:pPr>
        <w:jc w:val="center"/>
        <w:rPr>
          <w:rFonts w:eastAsia="Times New Roman" w:cs="Arial"/>
          <w:b/>
          <w:bCs/>
          <w:color w:val="222222"/>
          <w:sz w:val="44"/>
          <w:szCs w:val="44"/>
          <w:lang w:eastAsia="en-GB"/>
        </w:rPr>
      </w:pPr>
    </w:p>
    <w:p w14:paraId="57C4AF02" w14:textId="4A672EDC" w:rsidR="009151C7" w:rsidRDefault="00F319DC" w:rsidP="009151C7">
      <w:pPr>
        <w:jc w:val="center"/>
        <w:rPr>
          <w:rFonts w:eastAsia="Times New Roman" w:cs="Arial"/>
          <w:b/>
          <w:bCs/>
          <w:color w:val="222222"/>
          <w:sz w:val="44"/>
          <w:szCs w:val="44"/>
          <w:lang w:eastAsia="en-GB"/>
        </w:rPr>
      </w:pPr>
      <w:r>
        <w:rPr>
          <w:rFonts w:eastAsia="Times New Roman" w:cs="Arial"/>
          <w:b/>
          <w:bCs/>
          <w:color w:val="222222"/>
          <w:sz w:val="44"/>
          <w:szCs w:val="44"/>
          <w:lang w:eastAsia="en-GB"/>
        </w:rPr>
        <w:t>UWTSD</w:t>
      </w:r>
    </w:p>
    <w:p w14:paraId="11534B2E" w14:textId="4C791A94" w:rsidR="009151C7" w:rsidRDefault="00F319DC" w:rsidP="009151C7">
      <w:pPr>
        <w:jc w:val="center"/>
        <w:rPr>
          <w:rFonts w:eastAsia="Times New Roman" w:cs="Arial"/>
          <w:b/>
          <w:bCs/>
          <w:color w:val="222222"/>
          <w:sz w:val="44"/>
          <w:szCs w:val="44"/>
          <w:lang w:eastAsia="en-GB"/>
        </w:rPr>
      </w:pPr>
      <w:r>
        <w:rPr>
          <w:rFonts w:eastAsia="Times New Roman" w:cs="Arial"/>
          <w:b/>
          <w:bCs/>
          <w:color w:val="222222"/>
          <w:sz w:val="44"/>
          <w:szCs w:val="44"/>
          <w:lang w:eastAsia="en-GB"/>
        </w:rPr>
        <w:t>BA Business Management</w:t>
      </w:r>
    </w:p>
    <w:p w14:paraId="571DCF25" w14:textId="6FBF6D7C" w:rsidR="009151C7" w:rsidRDefault="006113D2" w:rsidP="009151C7">
      <w:pPr>
        <w:jc w:val="center"/>
        <w:rPr>
          <w:rFonts w:eastAsia="Times New Roman" w:cs="Arial"/>
          <w:b/>
          <w:bCs/>
          <w:color w:val="222222"/>
          <w:sz w:val="44"/>
          <w:szCs w:val="44"/>
          <w:lang w:eastAsia="en-GB"/>
        </w:rPr>
      </w:pPr>
      <w:r>
        <w:rPr>
          <w:rFonts w:eastAsia="Times New Roman" w:cs="Arial"/>
          <w:b/>
          <w:bCs/>
          <w:color w:val="222222"/>
          <w:sz w:val="44"/>
          <w:szCs w:val="44"/>
          <w:lang w:eastAsia="en-GB"/>
        </w:rPr>
        <w:t xml:space="preserve">Community </w:t>
      </w:r>
      <w:r w:rsidR="00F319DC">
        <w:rPr>
          <w:rFonts w:eastAsia="Times New Roman" w:cs="Arial"/>
          <w:b/>
          <w:bCs/>
          <w:color w:val="222222"/>
          <w:sz w:val="44"/>
          <w:szCs w:val="44"/>
          <w:lang w:eastAsia="en-GB"/>
        </w:rPr>
        <w:t>Engagement</w:t>
      </w:r>
    </w:p>
    <w:p w14:paraId="04F35459" w14:textId="05F79DD9" w:rsidR="009151C7" w:rsidRDefault="009151C7" w:rsidP="009151C7">
      <w:pPr>
        <w:jc w:val="center"/>
        <w:rPr>
          <w:rFonts w:eastAsia="Times New Roman" w:cs="Arial"/>
          <w:b/>
          <w:bCs/>
          <w:color w:val="222222"/>
          <w:sz w:val="44"/>
          <w:szCs w:val="44"/>
          <w:lang w:eastAsia="en-GB"/>
        </w:rPr>
      </w:pPr>
    </w:p>
    <w:p w14:paraId="076F3433" w14:textId="50323C01" w:rsidR="009151C7" w:rsidRDefault="009151C7" w:rsidP="009151C7">
      <w:pPr>
        <w:jc w:val="center"/>
        <w:rPr>
          <w:rFonts w:eastAsia="Times New Roman" w:cs="Arial"/>
          <w:b/>
          <w:bCs/>
          <w:color w:val="222222"/>
          <w:sz w:val="44"/>
          <w:szCs w:val="44"/>
          <w:lang w:eastAsia="en-GB"/>
        </w:rPr>
      </w:pPr>
    </w:p>
    <w:p w14:paraId="3234C409" w14:textId="2D5166A9" w:rsidR="009151C7" w:rsidRDefault="009151C7" w:rsidP="009151C7">
      <w:pPr>
        <w:jc w:val="center"/>
        <w:rPr>
          <w:rFonts w:eastAsia="Times New Roman" w:cs="Arial"/>
          <w:b/>
          <w:bCs/>
          <w:color w:val="222222"/>
          <w:sz w:val="44"/>
          <w:szCs w:val="44"/>
          <w:lang w:eastAsia="en-GB"/>
        </w:rPr>
      </w:pPr>
    </w:p>
    <w:p w14:paraId="099C3DEF" w14:textId="2829E8AA" w:rsidR="009151C7" w:rsidRDefault="009151C7" w:rsidP="009151C7">
      <w:pPr>
        <w:rPr>
          <w:lang w:val="en-US"/>
        </w:rPr>
      </w:pPr>
      <w:r>
        <w:rPr>
          <w:lang w:val="en-US"/>
        </w:rPr>
        <w:t xml:space="preserve">Student Name: </w:t>
      </w:r>
      <w:r w:rsidR="00F319DC">
        <w:rPr>
          <w:lang w:val="en-US"/>
        </w:rPr>
        <w:t>Silviya Petkova     Group 1</w:t>
      </w:r>
    </w:p>
    <w:p w14:paraId="2E3DD9B3" w14:textId="0EB8F4C4" w:rsidR="009151C7" w:rsidRDefault="009151C7" w:rsidP="009151C7">
      <w:pPr>
        <w:rPr>
          <w:lang w:val="en-US"/>
        </w:rPr>
      </w:pPr>
      <w:r>
        <w:rPr>
          <w:lang w:val="en-US"/>
        </w:rPr>
        <w:t xml:space="preserve">Module </w:t>
      </w:r>
      <w:r w:rsidR="00F319DC">
        <w:rPr>
          <w:lang w:val="en-US"/>
        </w:rPr>
        <w:t>code: LCBB4002</w:t>
      </w:r>
    </w:p>
    <w:p w14:paraId="66FAB45B" w14:textId="5ECC40D8" w:rsidR="009151C7" w:rsidRDefault="009151C7" w:rsidP="009151C7">
      <w:pPr>
        <w:rPr>
          <w:lang w:val="en-US"/>
        </w:rPr>
      </w:pPr>
      <w:r>
        <w:rPr>
          <w:lang w:val="en-US"/>
        </w:rPr>
        <w:t>Lecturer Name:</w:t>
      </w:r>
      <w:r w:rsidR="00F319DC">
        <w:rPr>
          <w:lang w:val="en-US"/>
        </w:rPr>
        <w:t xml:space="preserve"> </w:t>
      </w:r>
      <w:proofErr w:type="spellStart"/>
      <w:r w:rsidR="00F319DC">
        <w:rPr>
          <w:lang w:val="en-US"/>
        </w:rPr>
        <w:t>Akinseye</w:t>
      </w:r>
      <w:proofErr w:type="spellEnd"/>
      <w:r w:rsidR="00F319DC">
        <w:rPr>
          <w:lang w:val="en-US"/>
        </w:rPr>
        <w:t xml:space="preserve"> Aluko</w:t>
      </w:r>
    </w:p>
    <w:p w14:paraId="26FE44CD" w14:textId="3DC0653A" w:rsidR="009151C7" w:rsidRDefault="009151C7" w:rsidP="009151C7">
      <w:pPr>
        <w:rPr>
          <w:lang w:val="en-US"/>
        </w:rPr>
        <w:sectPr w:rsidR="009151C7" w:rsidSect="00BC46FD">
          <w:footerReference w:type="default" r:id="rId8"/>
          <w:pgSz w:w="12240" w:h="15840"/>
          <w:pgMar w:top="1440" w:right="1440" w:bottom="1440" w:left="1440" w:header="720" w:footer="720" w:gutter="0"/>
          <w:cols w:space="720"/>
          <w:docGrid w:linePitch="360"/>
        </w:sectPr>
      </w:pPr>
      <w:r>
        <w:rPr>
          <w:lang w:val="en-US"/>
        </w:rPr>
        <w:t xml:space="preserve">Date: </w:t>
      </w:r>
      <w:r w:rsidR="00F319DC">
        <w:rPr>
          <w:lang w:val="en-US"/>
        </w:rPr>
        <w:t xml:space="preserve"> </w:t>
      </w:r>
      <w:r w:rsidR="008762BE">
        <w:rPr>
          <w:lang w:val="en-US"/>
        </w:rPr>
        <w:t>22</w:t>
      </w:r>
      <w:r w:rsidR="00F319DC">
        <w:rPr>
          <w:lang w:val="en-US"/>
        </w:rPr>
        <w:t>/11/2022</w:t>
      </w:r>
    </w:p>
    <w:sdt>
      <w:sdtPr>
        <w:rPr>
          <w:rFonts w:ascii="Arial" w:eastAsiaTheme="minorHAnsi" w:hAnsi="Arial" w:cstheme="minorBidi"/>
          <w:color w:val="auto"/>
          <w:sz w:val="24"/>
          <w:szCs w:val="22"/>
          <w:lang w:val="en-GB"/>
        </w:rPr>
        <w:id w:val="-1252665245"/>
        <w:docPartObj>
          <w:docPartGallery w:val="Table of Contents"/>
          <w:docPartUnique/>
        </w:docPartObj>
      </w:sdtPr>
      <w:sdtEndPr>
        <w:rPr>
          <w:b/>
          <w:bCs/>
          <w:noProof/>
        </w:rPr>
      </w:sdtEndPr>
      <w:sdtContent>
        <w:p w14:paraId="4A32280C" w14:textId="272CC70C" w:rsidR="00C064C7" w:rsidRPr="00C064C7" w:rsidRDefault="00C064C7">
          <w:pPr>
            <w:pStyle w:val="TOCHeading"/>
            <w:rPr>
              <w:rStyle w:val="Heading1Char"/>
              <w:color w:val="auto"/>
            </w:rPr>
          </w:pPr>
          <w:r w:rsidRPr="00C064C7">
            <w:rPr>
              <w:rStyle w:val="Heading1Char"/>
              <w:color w:val="auto"/>
            </w:rPr>
            <w:t>Table of Contents</w:t>
          </w:r>
        </w:p>
        <w:p w14:paraId="27D9961C" w14:textId="587456D8" w:rsidR="00C064C7" w:rsidRDefault="00C064C7">
          <w:pPr>
            <w:pStyle w:val="TOC1"/>
            <w:tabs>
              <w:tab w:val="right" w:leader="dot" w:pos="9350"/>
            </w:tabs>
            <w:rPr>
              <w:noProof/>
            </w:rPr>
          </w:pPr>
          <w:r>
            <w:fldChar w:fldCharType="begin"/>
          </w:r>
          <w:r>
            <w:instrText xml:space="preserve"> TOC \o "1-3" \h \z \u </w:instrText>
          </w:r>
          <w:r>
            <w:fldChar w:fldCharType="separate"/>
          </w:r>
          <w:hyperlink w:anchor="_Toc119251327" w:history="1">
            <w:r w:rsidRPr="00DD7E70">
              <w:rPr>
                <w:rStyle w:val="Hyperlink"/>
                <w:noProof/>
                <w:lang w:val="en-US"/>
              </w:rPr>
              <w:t>Introduction</w:t>
            </w:r>
            <w:r>
              <w:rPr>
                <w:noProof/>
                <w:webHidden/>
              </w:rPr>
              <w:tab/>
            </w:r>
            <w:r>
              <w:rPr>
                <w:noProof/>
                <w:webHidden/>
              </w:rPr>
              <w:fldChar w:fldCharType="begin"/>
            </w:r>
            <w:r>
              <w:rPr>
                <w:noProof/>
                <w:webHidden/>
              </w:rPr>
              <w:instrText xml:space="preserve"> PAGEREF _Toc119251327 \h </w:instrText>
            </w:r>
            <w:r>
              <w:rPr>
                <w:noProof/>
                <w:webHidden/>
              </w:rPr>
            </w:r>
            <w:r>
              <w:rPr>
                <w:noProof/>
                <w:webHidden/>
              </w:rPr>
              <w:fldChar w:fldCharType="separate"/>
            </w:r>
            <w:r>
              <w:rPr>
                <w:noProof/>
                <w:webHidden/>
              </w:rPr>
              <w:t>3</w:t>
            </w:r>
            <w:r>
              <w:rPr>
                <w:noProof/>
                <w:webHidden/>
              </w:rPr>
              <w:fldChar w:fldCharType="end"/>
            </w:r>
          </w:hyperlink>
        </w:p>
        <w:p w14:paraId="616069B7" w14:textId="3565B00E" w:rsidR="00C064C7" w:rsidRDefault="00000000">
          <w:pPr>
            <w:pStyle w:val="TOC1"/>
            <w:tabs>
              <w:tab w:val="right" w:leader="dot" w:pos="9350"/>
            </w:tabs>
            <w:rPr>
              <w:noProof/>
            </w:rPr>
          </w:pPr>
          <w:hyperlink w:anchor="_Toc119251328" w:history="1">
            <w:r w:rsidR="00C064C7" w:rsidRPr="00DD7E70">
              <w:rPr>
                <w:rStyle w:val="Hyperlink"/>
                <w:noProof/>
                <w:lang w:val="en-US"/>
              </w:rPr>
              <w:t>Main body</w:t>
            </w:r>
            <w:r w:rsidR="00C064C7">
              <w:rPr>
                <w:noProof/>
                <w:webHidden/>
              </w:rPr>
              <w:tab/>
            </w:r>
            <w:r w:rsidR="00C064C7">
              <w:rPr>
                <w:noProof/>
                <w:webHidden/>
              </w:rPr>
              <w:fldChar w:fldCharType="begin"/>
            </w:r>
            <w:r w:rsidR="00C064C7">
              <w:rPr>
                <w:noProof/>
                <w:webHidden/>
              </w:rPr>
              <w:instrText xml:space="preserve"> PAGEREF _Toc119251328 \h </w:instrText>
            </w:r>
            <w:r w:rsidR="00C064C7">
              <w:rPr>
                <w:noProof/>
                <w:webHidden/>
              </w:rPr>
            </w:r>
            <w:r w:rsidR="00C064C7">
              <w:rPr>
                <w:noProof/>
                <w:webHidden/>
              </w:rPr>
              <w:fldChar w:fldCharType="separate"/>
            </w:r>
            <w:r w:rsidR="00C064C7">
              <w:rPr>
                <w:noProof/>
                <w:webHidden/>
              </w:rPr>
              <w:t>4</w:t>
            </w:r>
            <w:r w:rsidR="00C064C7">
              <w:rPr>
                <w:noProof/>
                <w:webHidden/>
              </w:rPr>
              <w:fldChar w:fldCharType="end"/>
            </w:r>
          </w:hyperlink>
        </w:p>
        <w:p w14:paraId="4AC47E80" w14:textId="5AFFD608" w:rsidR="00C064C7" w:rsidRDefault="00000000">
          <w:pPr>
            <w:pStyle w:val="TOC1"/>
            <w:tabs>
              <w:tab w:val="right" w:leader="dot" w:pos="9350"/>
            </w:tabs>
            <w:rPr>
              <w:noProof/>
            </w:rPr>
          </w:pPr>
          <w:hyperlink w:anchor="_Toc119251329" w:history="1">
            <w:r w:rsidR="00C064C7" w:rsidRPr="00DD7E70">
              <w:rPr>
                <w:rStyle w:val="Hyperlink"/>
                <w:noProof/>
                <w:lang w:val="en-US"/>
              </w:rPr>
              <w:t>Conclusion</w:t>
            </w:r>
            <w:r w:rsidR="00C064C7">
              <w:rPr>
                <w:noProof/>
                <w:webHidden/>
              </w:rPr>
              <w:tab/>
            </w:r>
            <w:r w:rsidR="00C064C7">
              <w:rPr>
                <w:noProof/>
                <w:webHidden/>
              </w:rPr>
              <w:fldChar w:fldCharType="begin"/>
            </w:r>
            <w:r w:rsidR="00C064C7">
              <w:rPr>
                <w:noProof/>
                <w:webHidden/>
              </w:rPr>
              <w:instrText xml:space="preserve"> PAGEREF _Toc119251329 \h </w:instrText>
            </w:r>
            <w:r w:rsidR="00C064C7">
              <w:rPr>
                <w:noProof/>
                <w:webHidden/>
              </w:rPr>
            </w:r>
            <w:r w:rsidR="00C064C7">
              <w:rPr>
                <w:noProof/>
                <w:webHidden/>
              </w:rPr>
              <w:fldChar w:fldCharType="separate"/>
            </w:r>
            <w:r w:rsidR="00C064C7">
              <w:rPr>
                <w:noProof/>
                <w:webHidden/>
              </w:rPr>
              <w:t>11</w:t>
            </w:r>
            <w:r w:rsidR="00C064C7">
              <w:rPr>
                <w:noProof/>
                <w:webHidden/>
              </w:rPr>
              <w:fldChar w:fldCharType="end"/>
            </w:r>
          </w:hyperlink>
        </w:p>
        <w:p w14:paraId="6F35D95A" w14:textId="7192F2F9" w:rsidR="00C064C7" w:rsidRDefault="00000000">
          <w:pPr>
            <w:pStyle w:val="TOC1"/>
            <w:tabs>
              <w:tab w:val="right" w:leader="dot" w:pos="9350"/>
            </w:tabs>
            <w:rPr>
              <w:noProof/>
            </w:rPr>
          </w:pPr>
          <w:hyperlink w:anchor="_Toc119251330" w:history="1">
            <w:r w:rsidR="00C064C7" w:rsidRPr="00DD7E70">
              <w:rPr>
                <w:rStyle w:val="Hyperlink"/>
                <w:noProof/>
                <w:lang w:val="en-US"/>
              </w:rPr>
              <w:t>References</w:t>
            </w:r>
            <w:r w:rsidR="00C064C7">
              <w:rPr>
                <w:noProof/>
                <w:webHidden/>
              </w:rPr>
              <w:tab/>
            </w:r>
            <w:r w:rsidR="00C064C7">
              <w:rPr>
                <w:noProof/>
                <w:webHidden/>
              </w:rPr>
              <w:fldChar w:fldCharType="begin"/>
            </w:r>
            <w:r w:rsidR="00C064C7">
              <w:rPr>
                <w:noProof/>
                <w:webHidden/>
              </w:rPr>
              <w:instrText xml:space="preserve"> PAGEREF _Toc119251330 \h </w:instrText>
            </w:r>
            <w:r w:rsidR="00C064C7">
              <w:rPr>
                <w:noProof/>
                <w:webHidden/>
              </w:rPr>
            </w:r>
            <w:r w:rsidR="00C064C7">
              <w:rPr>
                <w:noProof/>
                <w:webHidden/>
              </w:rPr>
              <w:fldChar w:fldCharType="separate"/>
            </w:r>
            <w:r w:rsidR="00C064C7">
              <w:rPr>
                <w:noProof/>
                <w:webHidden/>
              </w:rPr>
              <w:t>12</w:t>
            </w:r>
            <w:r w:rsidR="00C064C7">
              <w:rPr>
                <w:noProof/>
                <w:webHidden/>
              </w:rPr>
              <w:fldChar w:fldCharType="end"/>
            </w:r>
          </w:hyperlink>
        </w:p>
        <w:p w14:paraId="01372D9A" w14:textId="2D801EDD" w:rsidR="00C064C7" w:rsidRDefault="00C064C7">
          <w:r>
            <w:rPr>
              <w:b/>
              <w:bCs/>
              <w:noProof/>
            </w:rPr>
            <w:fldChar w:fldCharType="end"/>
          </w:r>
        </w:p>
      </w:sdtContent>
    </w:sdt>
    <w:p w14:paraId="34379C8D" w14:textId="77777777" w:rsidR="009151C7" w:rsidRDefault="009151C7" w:rsidP="009151C7">
      <w:pPr>
        <w:pStyle w:val="Heading1"/>
        <w:rPr>
          <w:lang w:val="en-US"/>
        </w:rPr>
        <w:sectPr w:rsidR="009151C7" w:rsidSect="00BC46FD">
          <w:pgSz w:w="12240" w:h="15840"/>
          <w:pgMar w:top="1440" w:right="1440" w:bottom="1440" w:left="1440" w:header="720" w:footer="720" w:gutter="0"/>
          <w:cols w:space="720"/>
          <w:docGrid w:linePitch="360"/>
        </w:sectPr>
      </w:pPr>
    </w:p>
    <w:p w14:paraId="63846357" w14:textId="75F47A49" w:rsidR="009151C7" w:rsidRDefault="009151C7" w:rsidP="009151C7">
      <w:pPr>
        <w:pStyle w:val="Heading1"/>
        <w:rPr>
          <w:lang w:val="en-US"/>
        </w:rPr>
      </w:pPr>
      <w:bookmarkStart w:id="0" w:name="_Toc119251327"/>
      <w:r>
        <w:rPr>
          <w:lang w:val="en-US"/>
        </w:rPr>
        <w:lastRenderedPageBreak/>
        <w:t>Introduction</w:t>
      </w:r>
      <w:bookmarkEnd w:id="0"/>
    </w:p>
    <w:p w14:paraId="6826F929" w14:textId="6484966E" w:rsidR="00334CE5" w:rsidRDefault="00334CE5" w:rsidP="00334CE5">
      <w:pPr>
        <w:rPr>
          <w:lang w:val="en-US"/>
        </w:rPr>
      </w:pPr>
      <w:r>
        <w:rPr>
          <w:lang w:val="en-US"/>
        </w:rPr>
        <w:t xml:space="preserve">Community engagement refers to the activities so that the members of </w:t>
      </w:r>
      <w:r w:rsidR="00C064C7">
        <w:rPr>
          <w:lang w:val="en-US"/>
        </w:rPr>
        <w:t xml:space="preserve">the </w:t>
      </w:r>
      <w:r>
        <w:rPr>
          <w:lang w:val="en-US"/>
        </w:rPr>
        <w:t>community have access to valued social activities and th</w:t>
      </w:r>
      <w:r w:rsidR="00C064C7">
        <w:rPr>
          <w:lang w:val="en-US"/>
        </w:rPr>
        <w:t>at</w:t>
      </w:r>
      <w:r>
        <w:rPr>
          <w:lang w:val="en-US"/>
        </w:rPr>
        <w:t xml:space="preserve"> social contributions are ensured</w:t>
      </w:r>
      <w:r w:rsidR="00C064C7" w:rsidRPr="00C064C7">
        <w:t xml:space="preserve"> </w:t>
      </w:r>
      <w:r w:rsidR="00C064C7">
        <w:t>(Hicks Peterson, 2017)</w:t>
      </w:r>
      <w:r>
        <w:rPr>
          <w:lang w:val="en-US"/>
        </w:rPr>
        <w:t xml:space="preserve">. </w:t>
      </w:r>
      <w:r w:rsidR="00C064C7">
        <w:rPr>
          <w:lang w:val="en-US"/>
        </w:rPr>
        <w:t>C</w:t>
      </w:r>
      <w:r>
        <w:rPr>
          <w:lang w:val="en-US"/>
        </w:rPr>
        <w:t xml:space="preserve">ommunity engagement enables individuals to develop the functional capabilities to participate effectively and efficiently. The two projects held in Birmingham </w:t>
      </w:r>
      <w:r w:rsidR="00C064C7">
        <w:rPr>
          <w:lang w:val="en-US"/>
        </w:rPr>
        <w:t xml:space="preserve">the </w:t>
      </w:r>
      <w:r>
        <w:rPr>
          <w:lang w:val="en-US"/>
        </w:rPr>
        <w:t xml:space="preserve">creative city program and cycling for everyone have been chosen based on the case study </w:t>
      </w:r>
      <w:r w:rsidR="00C064C7">
        <w:rPr>
          <w:lang w:val="en-US"/>
        </w:rPr>
        <w:t xml:space="preserve">of </w:t>
      </w:r>
      <w:r>
        <w:rPr>
          <w:lang w:val="en-US"/>
        </w:rPr>
        <w:t>the success of the common-wealth games and the pragmatic evaluations. For creating values and promot</w:t>
      </w:r>
      <w:r w:rsidR="00C064C7">
        <w:rPr>
          <w:lang w:val="en-US"/>
        </w:rPr>
        <w:t>ing</w:t>
      </w:r>
      <w:r>
        <w:rPr>
          <w:lang w:val="en-US"/>
        </w:rPr>
        <w:t xml:space="preserve"> the well-being of the people of the </w:t>
      </w:r>
      <w:r w:rsidR="00C064C7">
        <w:rPr>
          <w:lang w:val="en-US"/>
        </w:rPr>
        <w:t>C</w:t>
      </w:r>
      <w:r>
        <w:rPr>
          <w:lang w:val="en-US"/>
        </w:rPr>
        <w:t>ommonwealth, various projects have been run by the authority. Cycling for everyone, first of all, is a project aimed at addressing equalit</w:t>
      </w:r>
      <w:r w:rsidR="00C064C7">
        <w:rPr>
          <w:lang w:val="en-US"/>
        </w:rPr>
        <w:t>y</w:t>
      </w:r>
      <w:r>
        <w:rPr>
          <w:lang w:val="en-US"/>
        </w:rPr>
        <w:t xml:space="preserve"> of who </w:t>
      </w:r>
      <w:r w:rsidR="00C064C7">
        <w:rPr>
          <w:lang w:val="en-US"/>
        </w:rPr>
        <w:t xml:space="preserve">has </w:t>
      </w:r>
      <w:r>
        <w:rPr>
          <w:lang w:val="en-US"/>
        </w:rPr>
        <w:t xml:space="preserve">access to cycling and who cycles. Secondly, </w:t>
      </w:r>
      <w:r w:rsidR="00C064C7">
        <w:rPr>
          <w:lang w:val="en-US"/>
        </w:rPr>
        <w:t>the</w:t>
      </w:r>
      <w:r>
        <w:rPr>
          <w:lang w:val="en-US"/>
        </w:rPr>
        <w:t xml:space="preserve"> creative city programs which </w:t>
      </w:r>
      <w:r w:rsidR="00C064C7">
        <w:rPr>
          <w:lang w:val="en-US"/>
        </w:rPr>
        <w:t>are</w:t>
      </w:r>
      <w:r>
        <w:rPr>
          <w:lang w:val="en-US"/>
        </w:rPr>
        <w:t xml:space="preserve"> supported by the Birmingham city council consisted of 106 events across the West Midlands</w:t>
      </w:r>
      <w:r w:rsidRPr="00334CE5">
        <w:rPr>
          <w:lang w:val="en-US"/>
        </w:rPr>
        <w:t xml:space="preserve"> </w:t>
      </w:r>
      <w:r>
        <w:rPr>
          <w:lang w:val="en-US"/>
        </w:rPr>
        <w:t xml:space="preserve">which </w:t>
      </w:r>
      <w:r w:rsidR="00C064C7">
        <w:rPr>
          <w:lang w:val="en-US"/>
        </w:rPr>
        <w:t>are</w:t>
      </w:r>
      <w:r>
        <w:rPr>
          <w:lang w:val="en-US"/>
        </w:rPr>
        <w:t xml:space="preserve"> featuring home talents to showcase the vibrant diversity of the region. The reflective assignment covers the importance of community engagement, </w:t>
      </w:r>
      <w:r w:rsidR="00C064C7">
        <w:rPr>
          <w:lang w:val="en-US"/>
        </w:rPr>
        <w:t xml:space="preserve">the </w:t>
      </w:r>
      <w:r>
        <w:rPr>
          <w:lang w:val="en-US"/>
        </w:rPr>
        <w:t xml:space="preserve">difference between </w:t>
      </w:r>
      <w:r w:rsidR="00C064C7">
        <w:rPr>
          <w:lang w:val="en-US"/>
        </w:rPr>
        <w:t xml:space="preserve">the </w:t>
      </w:r>
      <w:r>
        <w:rPr>
          <w:lang w:val="en-US"/>
        </w:rPr>
        <w:t>two projects</w:t>
      </w:r>
      <w:r w:rsidR="00C064C7">
        <w:rPr>
          <w:lang w:val="en-US"/>
        </w:rPr>
        <w:t>, community mapping and social media engagement.</w:t>
      </w:r>
    </w:p>
    <w:p w14:paraId="3F042DE4" w14:textId="3A317D1A" w:rsidR="00334CE5" w:rsidRPr="00334CE5" w:rsidRDefault="00334CE5" w:rsidP="00334CE5">
      <w:pPr>
        <w:rPr>
          <w:lang w:val="en-US"/>
        </w:rPr>
      </w:pPr>
    </w:p>
    <w:p w14:paraId="0C92C74D" w14:textId="77777777" w:rsidR="00334CE5" w:rsidRDefault="00334CE5" w:rsidP="00334CE5">
      <w:pPr>
        <w:rPr>
          <w:lang w:val="en-US"/>
        </w:rPr>
      </w:pPr>
    </w:p>
    <w:p w14:paraId="3CFBEF43" w14:textId="68E3F74A" w:rsidR="00334CE5" w:rsidRPr="00334CE5" w:rsidRDefault="00334CE5" w:rsidP="00334CE5">
      <w:pPr>
        <w:rPr>
          <w:lang w:val="en-US"/>
        </w:rPr>
        <w:sectPr w:rsidR="00334CE5" w:rsidRPr="00334CE5" w:rsidSect="00BC46FD">
          <w:pgSz w:w="12240" w:h="15840"/>
          <w:pgMar w:top="1440" w:right="1440" w:bottom="1440" w:left="1440" w:header="720" w:footer="720" w:gutter="0"/>
          <w:cols w:space="720"/>
          <w:docGrid w:linePitch="360"/>
        </w:sectPr>
      </w:pPr>
    </w:p>
    <w:p w14:paraId="16115D04" w14:textId="77777777" w:rsidR="009151C7" w:rsidRDefault="009151C7" w:rsidP="009151C7">
      <w:pPr>
        <w:pStyle w:val="Heading1"/>
        <w:rPr>
          <w:lang w:val="en-US"/>
        </w:rPr>
      </w:pPr>
      <w:bookmarkStart w:id="1" w:name="_Toc119251328"/>
      <w:r>
        <w:rPr>
          <w:lang w:val="en-US"/>
        </w:rPr>
        <w:lastRenderedPageBreak/>
        <w:t>Main body</w:t>
      </w:r>
      <w:bookmarkEnd w:id="1"/>
    </w:p>
    <w:p w14:paraId="6561687D" w14:textId="4D1463C2" w:rsidR="00F770AE" w:rsidRDefault="008F34F2" w:rsidP="006113D2">
      <w:pPr>
        <w:rPr>
          <w:lang w:val="en-US"/>
        </w:rPr>
      </w:pPr>
      <w:r>
        <w:rPr>
          <w:lang w:val="en-US"/>
        </w:rPr>
        <w:t xml:space="preserve">Based on the pragmatic evaluations and case study </w:t>
      </w:r>
      <w:r w:rsidR="00C064C7">
        <w:rPr>
          <w:lang w:val="en-US"/>
        </w:rPr>
        <w:t xml:space="preserve">of </w:t>
      </w:r>
      <w:r>
        <w:rPr>
          <w:lang w:val="en-US"/>
        </w:rPr>
        <w:t xml:space="preserve">the success of the common-wealth games which </w:t>
      </w:r>
      <w:r w:rsidR="00C064C7">
        <w:rPr>
          <w:lang w:val="en-US"/>
        </w:rPr>
        <w:t>are</w:t>
      </w:r>
      <w:r>
        <w:rPr>
          <w:lang w:val="en-US"/>
        </w:rPr>
        <w:t xml:space="preserve"> held in Birmingham, the two projects cycling for everyone and </w:t>
      </w:r>
      <w:r w:rsidR="00C064C7">
        <w:rPr>
          <w:lang w:val="en-US"/>
        </w:rPr>
        <w:t xml:space="preserve">the </w:t>
      </w:r>
      <w:r>
        <w:rPr>
          <w:lang w:val="en-US"/>
        </w:rPr>
        <w:t>creative city program have been chosen</w:t>
      </w:r>
      <w:r w:rsidR="00C064C7">
        <w:rPr>
          <w:lang w:val="en-US"/>
        </w:rPr>
        <w:t xml:space="preserve"> </w:t>
      </w:r>
      <w:r w:rsidR="00C064C7">
        <w:t xml:space="preserve">(Mehdi &amp; </w:t>
      </w:r>
      <w:proofErr w:type="spellStart"/>
      <w:r w:rsidR="00C064C7">
        <w:t>AbouNaaj</w:t>
      </w:r>
      <w:proofErr w:type="spellEnd"/>
      <w:r w:rsidR="00C064C7">
        <w:t>, 2017)</w:t>
      </w:r>
      <w:r>
        <w:rPr>
          <w:lang w:val="en-US"/>
        </w:rPr>
        <w:t>. The projects have been run for creating values and promot</w:t>
      </w:r>
      <w:r w:rsidR="00C064C7">
        <w:rPr>
          <w:lang w:val="en-US"/>
        </w:rPr>
        <w:t>ing</w:t>
      </w:r>
      <w:r>
        <w:rPr>
          <w:lang w:val="en-US"/>
        </w:rPr>
        <w:t xml:space="preserve"> the well-being of the people of the </w:t>
      </w:r>
      <w:r w:rsidR="00C064C7">
        <w:rPr>
          <w:lang w:val="en-US"/>
        </w:rPr>
        <w:t>C</w:t>
      </w:r>
      <w:r>
        <w:rPr>
          <w:lang w:val="en-US"/>
        </w:rPr>
        <w:t xml:space="preserve">ommonwealth. First of all, </w:t>
      </w:r>
      <w:r w:rsidR="00C064C7">
        <w:rPr>
          <w:lang w:val="en-US"/>
        </w:rPr>
        <w:t xml:space="preserve">the </w:t>
      </w:r>
      <w:r w:rsidR="00DA4081">
        <w:rPr>
          <w:lang w:val="en-US"/>
        </w:rPr>
        <w:t>cycling</w:t>
      </w:r>
      <w:r>
        <w:rPr>
          <w:lang w:val="en-US"/>
        </w:rPr>
        <w:t xml:space="preserve"> for every</w:t>
      </w:r>
      <w:r w:rsidR="00C064C7">
        <w:rPr>
          <w:lang w:val="en-US"/>
        </w:rPr>
        <w:t xml:space="preserve"> </w:t>
      </w:r>
      <w:r>
        <w:rPr>
          <w:lang w:val="en-US"/>
        </w:rPr>
        <w:t xml:space="preserve">one project is a </w:t>
      </w:r>
      <w:r w:rsidR="00DA4081">
        <w:rPr>
          <w:lang w:val="en-US"/>
        </w:rPr>
        <w:t>project</w:t>
      </w:r>
      <w:r>
        <w:rPr>
          <w:lang w:val="en-US"/>
        </w:rPr>
        <w:t xml:space="preserve"> aimed at addressing equalities of </w:t>
      </w:r>
      <w:r w:rsidR="00C064C7">
        <w:rPr>
          <w:lang w:val="en-US"/>
        </w:rPr>
        <w:t xml:space="preserve">those </w:t>
      </w:r>
      <w:r>
        <w:rPr>
          <w:lang w:val="en-US"/>
        </w:rPr>
        <w:t>who access cycling and who cycle</w:t>
      </w:r>
      <w:r w:rsidR="00DA4081">
        <w:rPr>
          <w:lang w:val="en-US"/>
        </w:rPr>
        <w:t xml:space="preserve">. </w:t>
      </w:r>
      <w:r w:rsidR="00C064C7">
        <w:rPr>
          <w:lang w:val="en-US"/>
        </w:rPr>
        <w:t>For p</w:t>
      </w:r>
      <w:r w:rsidR="00DA4081">
        <w:rPr>
          <w:lang w:val="en-US"/>
        </w:rPr>
        <w:t xml:space="preserve">eople who are disabled people as well as Black and Minority Ethnic communities and who live within the 20% disadvantaged areas, the cycling project will </w:t>
      </w:r>
      <w:r w:rsidR="008762BE">
        <w:rPr>
          <w:lang w:val="en-US"/>
        </w:rPr>
        <w:t>Centre</w:t>
      </w:r>
      <w:r w:rsidR="00DA4081">
        <w:rPr>
          <w:lang w:val="en-US"/>
        </w:rPr>
        <w:t xml:space="preserve"> on working with the communities. The activities will be delivered by the programs like adult cycle training and child that improves access to adapted bike as well as active travel events.</w:t>
      </w:r>
      <w:r w:rsidR="00A26C06">
        <w:rPr>
          <w:lang w:val="en-US"/>
        </w:rPr>
        <w:t xml:space="preserve"> </w:t>
      </w:r>
    </w:p>
    <w:p w14:paraId="4F25317C" w14:textId="77777777" w:rsidR="00A26C06" w:rsidRDefault="00A26C06" w:rsidP="00A26C06">
      <w:pPr>
        <w:jc w:val="center"/>
        <w:rPr>
          <w:noProof/>
        </w:rPr>
      </w:pPr>
      <w:r>
        <w:rPr>
          <w:noProof/>
        </w:rPr>
        <w:drawing>
          <wp:inline distT="0" distB="0" distL="0" distR="0" wp14:anchorId="082BB085" wp14:editId="1017B9AA">
            <wp:extent cx="4389120" cy="3294185"/>
            <wp:effectExtent l="0" t="0" r="0" b="1905"/>
            <wp:docPr id="1" name="Picture 1" descr="United by Birmingham 2022 Community Project Cycling for Every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 by Birmingham 2022 Community Project Cycling for Every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5059" cy="3298643"/>
                    </a:xfrm>
                    <a:prstGeom prst="rect">
                      <a:avLst/>
                    </a:prstGeom>
                    <a:noFill/>
                    <a:ln>
                      <a:noFill/>
                    </a:ln>
                  </pic:spPr>
                </pic:pic>
              </a:graphicData>
            </a:graphic>
          </wp:inline>
        </w:drawing>
      </w:r>
    </w:p>
    <w:p w14:paraId="4C089A33" w14:textId="2D69418A" w:rsidR="00A26C06" w:rsidRDefault="00A26C06" w:rsidP="00A26C06">
      <w:pPr>
        <w:pStyle w:val="Caption"/>
        <w:rPr>
          <w:lang w:val="en-US"/>
        </w:rPr>
      </w:pPr>
      <w:r>
        <w:t xml:space="preserve">Figure </w:t>
      </w:r>
      <w:fldSimple w:instr=" SEQ Figure \* ARABIC ">
        <w:r>
          <w:rPr>
            <w:noProof/>
          </w:rPr>
          <w:t>1</w:t>
        </w:r>
      </w:fldSimple>
      <w:r>
        <w:t xml:space="preserve">: </w:t>
      </w:r>
      <w:r>
        <w:rPr>
          <w:lang w:val="en-US"/>
        </w:rPr>
        <w:t>Cycling for everyone (Project-1)</w:t>
      </w:r>
    </w:p>
    <w:p w14:paraId="15A66BB0" w14:textId="2CC34998" w:rsidR="00A26C06" w:rsidRDefault="00A26C06" w:rsidP="00A26C06">
      <w:pPr>
        <w:jc w:val="center"/>
        <w:rPr>
          <w:lang w:val="en-US"/>
        </w:rPr>
      </w:pPr>
      <w:r>
        <w:rPr>
          <w:lang w:val="en-US"/>
        </w:rPr>
        <w:t>Sources:</w:t>
      </w:r>
      <w:r w:rsidR="00C064C7" w:rsidRPr="00C064C7">
        <w:t xml:space="preserve"> </w:t>
      </w:r>
      <w:r w:rsidR="00C064C7">
        <w:t>(</w:t>
      </w:r>
      <w:proofErr w:type="spellStart"/>
      <w:r w:rsidR="00C064C7">
        <w:t>Nepper</w:t>
      </w:r>
      <w:proofErr w:type="spellEnd"/>
      <w:r w:rsidR="00C064C7">
        <w:t xml:space="preserve"> Larsen, 2020)</w:t>
      </w:r>
    </w:p>
    <w:p w14:paraId="0F8CA16D" w14:textId="03B806FF" w:rsidR="00A26C06" w:rsidRDefault="00A26C06" w:rsidP="00A26C06">
      <w:pPr>
        <w:rPr>
          <w:lang w:val="en-US"/>
        </w:rPr>
      </w:pPr>
      <w:r>
        <w:rPr>
          <w:lang w:val="en-US"/>
        </w:rPr>
        <w:t xml:space="preserve">Over the last six months, the cultural celebration of Birmingham 2022 is being </w:t>
      </w:r>
      <w:r w:rsidR="008762BE">
        <w:rPr>
          <w:lang w:val="en-US"/>
        </w:rPr>
        <w:t>recognized</w:t>
      </w:r>
      <w:r>
        <w:rPr>
          <w:lang w:val="en-US"/>
        </w:rPr>
        <w:t xml:space="preserve"> as the heart of </w:t>
      </w:r>
      <w:r w:rsidR="00C064C7">
        <w:rPr>
          <w:lang w:val="en-US"/>
        </w:rPr>
        <w:t xml:space="preserve">the </w:t>
      </w:r>
      <w:r>
        <w:rPr>
          <w:lang w:val="en-US"/>
        </w:rPr>
        <w:t xml:space="preserve">Festival’s creative city project program which is founded by the Birmingham city council. Featuring home talents to showcase the vibrant diversity of the </w:t>
      </w:r>
      <w:r>
        <w:rPr>
          <w:lang w:val="en-US"/>
        </w:rPr>
        <w:lastRenderedPageBreak/>
        <w:t xml:space="preserve">region, the creative city programs </w:t>
      </w:r>
      <w:r w:rsidR="00C064C7">
        <w:rPr>
          <w:lang w:val="en-US"/>
        </w:rPr>
        <w:t>are</w:t>
      </w:r>
      <w:r>
        <w:rPr>
          <w:lang w:val="en-US"/>
        </w:rPr>
        <w:t xml:space="preserve"> supported by the Birmingham city council, consist</w:t>
      </w:r>
      <w:r w:rsidR="00C064C7">
        <w:rPr>
          <w:lang w:val="en-US"/>
        </w:rPr>
        <w:t>ing</w:t>
      </w:r>
      <w:r>
        <w:rPr>
          <w:lang w:val="en-US"/>
        </w:rPr>
        <w:t xml:space="preserve"> of 106 events across the West Midlands. </w:t>
      </w:r>
    </w:p>
    <w:p w14:paraId="7090C259" w14:textId="08A0FD69" w:rsidR="00A26C06" w:rsidRPr="00A26C06" w:rsidRDefault="00A26C06" w:rsidP="002B56FC">
      <w:pPr>
        <w:jc w:val="center"/>
        <w:rPr>
          <w:lang w:val="en-US"/>
        </w:rPr>
      </w:pPr>
      <w:r>
        <w:rPr>
          <w:noProof/>
        </w:rPr>
        <w:drawing>
          <wp:inline distT="0" distB="0" distL="0" distR="0" wp14:anchorId="05D8EF58" wp14:editId="2A47B25A">
            <wp:extent cx="4632960" cy="2433789"/>
            <wp:effectExtent l="0" t="0" r="0" b="5080"/>
            <wp:docPr id="2" name="Picture 2" descr="CCG_V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G_V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47304" cy="2441324"/>
                    </a:xfrm>
                    <a:prstGeom prst="rect">
                      <a:avLst/>
                    </a:prstGeom>
                    <a:noFill/>
                    <a:ln>
                      <a:noFill/>
                    </a:ln>
                  </pic:spPr>
                </pic:pic>
              </a:graphicData>
            </a:graphic>
          </wp:inline>
        </w:drawing>
      </w:r>
    </w:p>
    <w:p w14:paraId="46B12616" w14:textId="41B57D79" w:rsidR="00A26C06" w:rsidRDefault="00A26C06" w:rsidP="00A26C06">
      <w:pPr>
        <w:pStyle w:val="Caption"/>
      </w:pPr>
      <w:r>
        <w:t xml:space="preserve">Figure </w:t>
      </w:r>
      <w:fldSimple w:instr=" SEQ Figure \* ARABIC ">
        <w:r>
          <w:rPr>
            <w:noProof/>
          </w:rPr>
          <w:t>2</w:t>
        </w:r>
      </w:fldSimple>
      <w:r>
        <w:t>: Festival city project program</w:t>
      </w:r>
    </w:p>
    <w:p w14:paraId="6A9B5330" w14:textId="0DA2A6CC" w:rsidR="00A26C06" w:rsidRDefault="00A26C06" w:rsidP="00A26C06">
      <w:pPr>
        <w:jc w:val="center"/>
      </w:pPr>
      <w:r>
        <w:t>Sources:</w:t>
      </w:r>
      <w:r w:rsidR="00C064C7" w:rsidRPr="00C064C7">
        <w:t xml:space="preserve"> </w:t>
      </w:r>
      <w:r w:rsidR="00C064C7">
        <w:t>(Currie &amp; Miranda Correa, 2021)</w:t>
      </w:r>
    </w:p>
    <w:p w14:paraId="7BABE15B" w14:textId="45BA5F8E" w:rsidR="00A26C06" w:rsidRDefault="002B56FC" w:rsidP="00A26C06">
      <w:r>
        <w:t xml:space="preserve">The six months celebrations of creativity include various types of programs by which the innovations of the locals are encouraged. The programs include </w:t>
      </w:r>
      <w:r w:rsidR="00C064C7">
        <w:t xml:space="preserve">the </w:t>
      </w:r>
      <w:r>
        <w:t xml:space="preserve">festival of flying, boxer beat, Journeys of Hope, drowning of winter, Queering the city, </w:t>
      </w:r>
      <w:r w:rsidR="00C064C7">
        <w:t xml:space="preserve">and </w:t>
      </w:r>
      <w:r w:rsidR="00C00FE7">
        <w:t>Coffee</w:t>
      </w:r>
      <w:r>
        <w:t xml:space="preserve"> Beans grow</w:t>
      </w:r>
      <w:r w:rsidR="00C064C7">
        <w:t>ing</w:t>
      </w:r>
      <w:r>
        <w:t xml:space="preserve"> in my head. </w:t>
      </w:r>
    </w:p>
    <w:p w14:paraId="6D924BAC" w14:textId="192934FB" w:rsidR="00D71995" w:rsidRDefault="00C00FE7" w:rsidP="00D71995">
      <w:r>
        <w:t xml:space="preserve">The significant difference between the two projects </w:t>
      </w:r>
      <w:r w:rsidR="00C064C7">
        <w:t xml:space="preserve">is </w:t>
      </w:r>
      <w:r>
        <w:t>that the first project focuses on inequalities and the second project encourages innovative projects led by the Birmingham city council</w:t>
      </w:r>
      <w:r w:rsidR="00C064C7" w:rsidRPr="00C064C7">
        <w:t xml:space="preserve"> </w:t>
      </w:r>
      <w:r w:rsidR="00C064C7">
        <w:t>(Hassall, 2020)</w:t>
      </w:r>
      <w:r>
        <w:t xml:space="preserve">. </w:t>
      </w:r>
      <w:r w:rsidR="00C064C7">
        <w:t>P</w:t>
      </w:r>
      <w:r>
        <w:t xml:space="preserve">eople from different states get together </w:t>
      </w:r>
      <w:r w:rsidR="00C064C7">
        <w:t>at</w:t>
      </w:r>
      <w:r>
        <w:t xml:space="preserve"> the commonwealth games. Besides, the commonwealth values of humanity, destiny and equality are embraced. T </w:t>
      </w:r>
      <w:r w:rsidR="00D71995">
        <w:t>throughout</w:t>
      </w:r>
      <w:r>
        <w:t xml:space="preserve"> the West Midlands and beyond,</w:t>
      </w:r>
      <w:r w:rsidR="00D71995">
        <w:t xml:space="preserve"> </w:t>
      </w:r>
      <w:r>
        <w:t xml:space="preserve">a </w:t>
      </w:r>
      <w:r w:rsidR="00D71995">
        <w:t>world</w:t>
      </w:r>
      <w:r>
        <w:t xml:space="preserve"> </w:t>
      </w:r>
      <w:r w:rsidR="00D71995">
        <w:t>of</w:t>
      </w:r>
      <w:r>
        <w:t xml:space="preserve"> </w:t>
      </w:r>
      <w:r w:rsidR="00D71995">
        <w:t>difference</w:t>
      </w:r>
      <w:r>
        <w:t xml:space="preserve"> for </w:t>
      </w:r>
      <w:r w:rsidR="00D71995">
        <w:t>everyone</w:t>
      </w:r>
      <w:r>
        <w:t xml:space="preserve"> will be made by the commonwealth games through a fast-paced sport, a festival of thrilling, dynamic business and </w:t>
      </w:r>
      <w:r w:rsidR="00C064C7">
        <w:t xml:space="preserve">the </w:t>
      </w:r>
      <w:r w:rsidR="00D71995">
        <w:t>exhilarating</w:t>
      </w:r>
      <w:r>
        <w:t xml:space="preserve"> culture of the country. To </w:t>
      </w:r>
      <w:r w:rsidR="00D71995">
        <w:t>leave</w:t>
      </w:r>
      <w:r>
        <w:t xml:space="preserve"> a lasting </w:t>
      </w:r>
      <w:r w:rsidR="00D71995">
        <w:t>positive</w:t>
      </w:r>
      <w:r>
        <w:t xml:space="preserve"> </w:t>
      </w:r>
      <w:r w:rsidR="00D71995">
        <w:t>impact</w:t>
      </w:r>
      <w:r>
        <w:t xml:space="preserve">, the </w:t>
      </w:r>
      <w:r w:rsidR="00D71995">
        <w:t>enormous</w:t>
      </w:r>
      <w:r>
        <w:t xml:space="preserve"> gathering has a clear purpose as visitors flock from across the globe and </w:t>
      </w:r>
      <w:r w:rsidR="00D71995">
        <w:t>Athletes</w:t>
      </w:r>
      <w:r>
        <w:t xml:space="preserve"> go for the golds by participating </w:t>
      </w:r>
      <w:r w:rsidR="00C064C7">
        <w:t xml:space="preserve">in </w:t>
      </w:r>
      <w:r>
        <w:t xml:space="preserve">various games held in </w:t>
      </w:r>
      <w:r w:rsidR="00D71995">
        <w:t>Birmingham. The mission of the commonwealth games include</w:t>
      </w:r>
      <w:r w:rsidR="00C064C7">
        <w:t>s</w:t>
      </w:r>
      <w:r w:rsidR="00D71995">
        <w:t>,</w:t>
      </w:r>
    </w:p>
    <w:p w14:paraId="1D7E5AD1" w14:textId="570B530C" w:rsidR="00D71995" w:rsidRDefault="00D71995" w:rsidP="00D71995">
      <w:pPr>
        <w:pStyle w:val="ListParagraph"/>
        <w:numPr>
          <w:ilvl w:val="0"/>
          <w:numId w:val="2"/>
        </w:numPr>
      </w:pPr>
      <w:r>
        <w:t>Bringing people together</w:t>
      </w:r>
    </w:p>
    <w:p w14:paraId="47DCAA12" w14:textId="3FF0890D" w:rsidR="00D71995" w:rsidRDefault="00D71995" w:rsidP="00D71995">
      <w:pPr>
        <w:pStyle w:val="ListParagraph"/>
        <w:numPr>
          <w:ilvl w:val="0"/>
          <w:numId w:val="2"/>
        </w:numPr>
      </w:pPr>
      <w:r>
        <w:lastRenderedPageBreak/>
        <w:t>Improving health and well-being</w:t>
      </w:r>
    </w:p>
    <w:p w14:paraId="7310998E" w14:textId="675C1A2A" w:rsidR="00D71995" w:rsidRDefault="00D71995" w:rsidP="00D71995">
      <w:pPr>
        <w:pStyle w:val="ListParagraph"/>
        <w:numPr>
          <w:ilvl w:val="0"/>
          <w:numId w:val="2"/>
        </w:numPr>
      </w:pPr>
      <w:r>
        <w:t>Be a catalyst for changing the world</w:t>
      </w:r>
    </w:p>
    <w:p w14:paraId="2C36AC58" w14:textId="2157F4B4" w:rsidR="00D71995" w:rsidRDefault="00D71995" w:rsidP="00D71995">
      <w:pPr>
        <w:pStyle w:val="ListParagraph"/>
        <w:numPr>
          <w:ilvl w:val="0"/>
          <w:numId w:val="2"/>
        </w:numPr>
      </w:pPr>
      <w:r>
        <w:t>To grow and succeed, help the region</w:t>
      </w:r>
    </w:p>
    <w:p w14:paraId="6F13320C" w14:textId="79C7F7DB" w:rsidR="00D71995" w:rsidRDefault="00F23FBD" w:rsidP="00D71995">
      <w:r>
        <w:t xml:space="preserve">The authority of Common-wealth games </w:t>
      </w:r>
      <w:r w:rsidR="004E1C23">
        <w:t>follows an effective community engagement model by which All types of information can be shared and the activities of the program can be accomplished successfully. The community engagement approach depends on the initiatives which are taken for getting the outcome of the programs and the groups of stakeholders being consulted</w:t>
      </w:r>
      <w:r w:rsidR="00C064C7" w:rsidRPr="00C064C7">
        <w:t xml:space="preserve"> </w:t>
      </w:r>
      <w:r w:rsidR="00C064C7">
        <w:t>(</w:t>
      </w:r>
      <w:proofErr w:type="spellStart"/>
      <w:r w:rsidR="00C064C7">
        <w:t>Akland</w:t>
      </w:r>
      <w:proofErr w:type="spellEnd"/>
      <w:r w:rsidR="00C064C7">
        <w:t>, 2021)</w:t>
      </w:r>
      <w:r w:rsidR="004E1C23">
        <w:t xml:space="preserve">. In order to communicate </w:t>
      </w:r>
      <w:r w:rsidR="00C064C7">
        <w:t xml:space="preserve">with </w:t>
      </w:r>
      <w:r w:rsidR="004E1C23">
        <w:t>a range of stakeholders, the engagement model is basically used. The ideal framework for the stakeholder engagement initiatives, all the available resources like objectives, issues, and shareholder mix will be contributed to determin</w:t>
      </w:r>
      <w:r w:rsidR="00C064C7">
        <w:t>ing</w:t>
      </w:r>
      <w:r w:rsidR="004E1C23">
        <w:t xml:space="preserve"> it. The Birmingham city council conducted the following </w:t>
      </w:r>
      <w:r w:rsidR="004E1C23" w:rsidRPr="000C06A8">
        <w:rPr>
          <w:b/>
          <w:bCs/>
        </w:rPr>
        <w:t>community engagement model</w:t>
      </w:r>
      <w:r w:rsidR="004E1C23">
        <w:t xml:space="preserve"> which is analysed as follows,</w:t>
      </w:r>
    </w:p>
    <w:p w14:paraId="0319392E" w14:textId="14F8791F" w:rsidR="004E1C23" w:rsidRDefault="004E1C23" w:rsidP="00D71995">
      <w:r w:rsidRPr="000C06A8">
        <w:rPr>
          <w:b/>
          <w:bCs/>
        </w:rPr>
        <w:t>Community meetings</w:t>
      </w:r>
      <w:r>
        <w:t xml:space="preserve">: </w:t>
      </w:r>
      <w:r w:rsidR="00260B12">
        <w:t>A valuable way of sharing information can be the Town hall or public meetings. A great opportunity is provided by the face-to-face nature of these events to demonstrate transparency and openness to stakeholders. What will encourage attendance and make the event compelling to stakeholders need to be considered</w:t>
      </w:r>
      <w:r w:rsidR="00C064C7" w:rsidRPr="00C064C7">
        <w:t xml:space="preserve"> </w:t>
      </w:r>
      <w:r w:rsidR="00C064C7">
        <w:t>(Wilmer, 2018)</w:t>
      </w:r>
      <w:r w:rsidR="00260B12">
        <w:t xml:space="preserve">. The authority of </w:t>
      </w:r>
      <w:r w:rsidR="00C064C7">
        <w:t xml:space="preserve">the </w:t>
      </w:r>
      <w:r w:rsidR="00260B12">
        <w:t xml:space="preserve">common-wealth games can </w:t>
      </w:r>
      <w:r w:rsidR="000C06A8">
        <w:t>organise</w:t>
      </w:r>
      <w:r w:rsidR="00260B12">
        <w:t xml:space="preserve"> the community meeting by which, </w:t>
      </w:r>
      <w:r w:rsidR="000C06A8">
        <w:t>significant information regarding the organisation can be shared. Now, the strengths and weaknes</w:t>
      </w:r>
      <w:r w:rsidR="00C064C7">
        <w:t>se</w:t>
      </w:r>
      <w:r w:rsidR="000C06A8">
        <w:t>s of the community meetings are provided as follows,</w:t>
      </w:r>
    </w:p>
    <w:tbl>
      <w:tblPr>
        <w:tblStyle w:val="TableGrid"/>
        <w:tblW w:w="0" w:type="auto"/>
        <w:tblLook w:val="04A0" w:firstRow="1" w:lastRow="0" w:firstColumn="1" w:lastColumn="0" w:noHBand="0" w:noVBand="1"/>
      </w:tblPr>
      <w:tblGrid>
        <w:gridCol w:w="4675"/>
        <w:gridCol w:w="4675"/>
      </w:tblGrid>
      <w:tr w:rsidR="000C06A8" w14:paraId="641FCA0F" w14:textId="77777777" w:rsidTr="000C06A8">
        <w:tc>
          <w:tcPr>
            <w:tcW w:w="4675" w:type="dxa"/>
          </w:tcPr>
          <w:p w14:paraId="47838CD7" w14:textId="6DF139C2" w:rsidR="000C06A8" w:rsidRDefault="000C06A8" w:rsidP="00D71995">
            <w:r>
              <w:t xml:space="preserve">Strengths </w:t>
            </w:r>
          </w:p>
        </w:tc>
        <w:tc>
          <w:tcPr>
            <w:tcW w:w="4675" w:type="dxa"/>
          </w:tcPr>
          <w:p w14:paraId="1CBEF092" w14:textId="363DCD0C" w:rsidR="000C06A8" w:rsidRDefault="000C06A8" w:rsidP="00D71995">
            <w:r>
              <w:t>Weaknesses</w:t>
            </w:r>
          </w:p>
        </w:tc>
      </w:tr>
      <w:tr w:rsidR="000C06A8" w14:paraId="33FD245A" w14:textId="77777777" w:rsidTr="000C06A8">
        <w:tc>
          <w:tcPr>
            <w:tcW w:w="4675" w:type="dxa"/>
          </w:tcPr>
          <w:p w14:paraId="0E45ADC8" w14:textId="77777777" w:rsidR="000C06A8" w:rsidRDefault="000C06A8" w:rsidP="000C06A8">
            <w:pPr>
              <w:pStyle w:val="ListParagraph"/>
              <w:numPr>
                <w:ilvl w:val="0"/>
                <w:numId w:val="3"/>
              </w:numPr>
            </w:pPr>
            <w:r>
              <w:t>At the beginning of an initiative to explain the outcomes and process, the community meeting can be utilised properly and efficiently to gather feedback and deliver information</w:t>
            </w:r>
          </w:p>
          <w:p w14:paraId="7EC0258B" w14:textId="403F2DD1" w:rsidR="000C06A8" w:rsidRDefault="000C06A8" w:rsidP="000C06A8">
            <w:pPr>
              <w:pStyle w:val="ListParagraph"/>
              <w:numPr>
                <w:ilvl w:val="0"/>
                <w:numId w:val="3"/>
              </w:numPr>
            </w:pPr>
            <w:r>
              <w:t>To demonstrate transparency, it is great for meeting stakeholders.</w:t>
            </w:r>
          </w:p>
          <w:p w14:paraId="268CE642" w14:textId="7EB0653B" w:rsidR="000C06A8" w:rsidRDefault="000C06A8" w:rsidP="000C06A8">
            <w:pPr>
              <w:pStyle w:val="ListParagraph"/>
              <w:numPr>
                <w:ilvl w:val="0"/>
                <w:numId w:val="3"/>
              </w:numPr>
            </w:pPr>
            <w:r>
              <w:lastRenderedPageBreak/>
              <w:t xml:space="preserve">To attract media attention, it can be useful for community outreach.  </w:t>
            </w:r>
          </w:p>
        </w:tc>
        <w:tc>
          <w:tcPr>
            <w:tcW w:w="4675" w:type="dxa"/>
          </w:tcPr>
          <w:p w14:paraId="49885D68" w14:textId="23E8B498" w:rsidR="000C06A8" w:rsidRDefault="000C06A8" w:rsidP="000C06A8">
            <w:pPr>
              <w:pStyle w:val="ListParagraph"/>
              <w:numPr>
                <w:ilvl w:val="0"/>
                <w:numId w:val="3"/>
              </w:numPr>
            </w:pPr>
            <w:r>
              <w:lastRenderedPageBreak/>
              <w:t>Unless the stakeholders feel personally affected by outcomes, they are not likely to attend which are related to the commonwealth projects or programs.</w:t>
            </w:r>
          </w:p>
          <w:p w14:paraId="77662F60" w14:textId="6AA054F9" w:rsidR="000C06A8" w:rsidRDefault="000C06A8" w:rsidP="000C06A8">
            <w:pPr>
              <w:pStyle w:val="ListParagraph"/>
              <w:numPr>
                <w:ilvl w:val="0"/>
                <w:numId w:val="3"/>
              </w:numPr>
            </w:pPr>
            <w:r>
              <w:t xml:space="preserve">If the meeting is not handled well or </w:t>
            </w:r>
            <w:r w:rsidR="00C064C7">
              <w:t xml:space="preserve">is </w:t>
            </w:r>
            <w:r>
              <w:t xml:space="preserve">confrontational, Media publicity may be negative. </w:t>
            </w:r>
          </w:p>
          <w:p w14:paraId="066A3843" w14:textId="749F77EA" w:rsidR="000C06A8" w:rsidRDefault="000C06A8" w:rsidP="000C06A8">
            <w:pPr>
              <w:pStyle w:val="ListParagraph"/>
              <w:numPr>
                <w:ilvl w:val="0"/>
                <w:numId w:val="3"/>
              </w:numPr>
            </w:pPr>
            <w:r>
              <w:lastRenderedPageBreak/>
              <w:t>For engagement, it may not be the right method, if a project or issue is controversial particularly.</w:t>
            </w:r>
          </w:p>
        </w:tc>
      </w:tr>
    </w:tbl>
    <w:p w14:paraId="0E0C6885" w14:textId="77777777" w:rsidR="000C06A8" w:rsidRDefault="000C06A8" w:rsidP="00D71995"/>
    <w:p w14:paraId="4EFCAF4D" w14:textId="357290F2" w:rsidR="004E1C23" w:rsidRDefault="004E1C23" w:rsidP="00D71995">
      <w:r w:rsidRPr="000D41C4">
        <w:rPr>
          <w:b/>
          <w:bCs/>
        </w:rPr>
        <w:t>Focus Group</w:t>
      </w:r>
      <w:r w:rsidR="000C06A8" w:rsidRPr="000D41C4">
        <w:rPr>
          <w:b/>
          <w:bCs/>
        </w:rPr>
        <w:t>:</w:t>
      </w:r>
      <w:r w:rsidR="000C06A8">
        <w:t xml:space="preserve"> </w:t>
      </w:r>
      <w:r w:rsidR="00C15036">
        <w:t xml:space="preserve">When reaching out to marginalised or smaller groups, the Birmingham city council can encourage the method. A comfortable environment is </w:t>
      </w:r>
      <w:r w:rsidR="008762BE">
        <w:t>created,</w:t>
      </w:r>
      <w:r w:rsidR="00C15036">
        <w:t xml:space="preserve"> and the members </w:t>
      </w:r>
      <w:r w:rsidR="00C064C7">
        <w:t>are</w:t>
      </w:r>
      <w:r w:rsidR="00C15036">
        <w:t xml:space="preserve"> enhanced when the focused questions are asked as the active dialogue of focus groups</w:t>
      </w:r>
      <w:r w:rsidR="00C064C7" w:rsidRPr="00C064C7">
        <w:t xml:space="preserve"> </w:t>
      </w:r>
      <w:r w:rsidR="00C064C7">
        <w:t>(</w:t>
      </w:r>
      <w:proofErr w:type="spellStart"/>
      <w:r w:rsidR="00C064C7">
        <w:t>Hennink</w:t>
      </w:r>
      <w:proofErr w:type="spellEnd"/>
      <w:r w:rsidR="00C064C7">
        <w:t>, 2016)</w:t>
      </w:r>
      <w:r w:rsidR="00C15036">
        <w:t xml:space="preserve">. Now, the strengths and weaknesses of </w:t>
      </w:r>
      <w:r w:rsidR="00C064C7">
        <w:t xml:space="preserve">the </w:t>
      </w:r>
      <w:r w:rsidR="00C15036">
        <w:t xml:space="preserve">focus group </w:t>
      </w:r>
      <w:r w:rsidR="00C064C7">
        <w:t>are</w:t>
      </w:r>
      <w:r w:rsidR="00C15036">
        <w:t xml:space="preserve"> as follows,</w:t>
      </w:r>
    </w:p>
    <w:tbl>
      <w:tblPr>
        <w:tblStyle w:val="TableGrid"/>
        <w:tblW w:w="0" w:type="auto"/>
        <w:tblLook w:val="04A0" w:firstRow="1" w:lastRow="0" w:firstColumn="1" w:lastColumn="0" w:noHBand="0" w:noVBand="1"/>
      </w:tblPr>
      <w:tblGrid>
        <w:gridCol w:w="4675"/>
        <w:gridCol w:w="4675"/>
      </w:tblGrid>
      <w:tr w:rsidR="00C15036" w14:paraId="48BB44AA" w14:textId="77777777" w:rsidTr="00C15036">
        <w:tc>
          <w:tcPr>
            <w:tcW w:w="4675" w:type="dxa"/>
          </w:tcPr>
          <w:p w14:paraId="490D6E8A" w14:textId="64077932" w:rsidR="00C15036" w:rsidRDefault="00C15036" w:rsidP="00D71995">
            <w:r>
              <w:t>Strengths</w:t>
            </w:r>
          </w:p>
        </w:tc>
        <w:tc>
          <w:tcPr>
            <w:tcW w:w="4675" w:type="dxa"/>
          </w:tcPr>
          <w:p w14:paraId="235681B8" w14:textId="2A7FE2F2" w:rsidR="00C15036" w:rsidRDefault="00C15036" w:rsidP="00D71995">
            <w:r>
              <w:t>Weaknesses</w:t>
            </w:r>
          </w:p>
        </w:tc>
      </w:tr>
      <w:tr w:rsidR="00C15036" w14:paraId="63C2D113" w14:textId="77777777" w:rsidTr="00C15036">
        <w:tc>
          <w:tcPr>
            <w:tcW w:w="4675" w:type="dxa"/>
          </w:tcPr>
          <w:p w14:paraId="3461AE05" w14:textId="2F9FF239" w:rsidR="00C15036" w:rsidRDefault="00C15036" w:rsidP="00C15036">
            <w:pPr>
              <w:pStyle w:val="ListParagraph"/>
              <w:numPr>
                <w:ilvl w:val="0"/>
                <w:numId w:val="4"/>
              </w:numPr>
            </w:pPr>
            <w:r>
              <w:t>Using resources and identify</w:t>
            </w:r>
            <w:r w:rsidR="00C064C7">
              <w:t>ing</w:t>
            </w:r>
            <w:r>
              <w:t xml:space="preserve"> important issues, the small group setting can be an efficient way in the dynamic environment</w:t>
            </w:r>
          </w:p>
          <w:p w14:paraId="7BABADAD" w14:textId="347CD6CA" w:rsidR="00C15036" w:rsidRDefault="00C15036" w:rsidP="00C15036">
            <w:pPr>
              <w:pStyle w:val="ListParagraph"/>
              <w:numPr>
                <w:ilvl w:val="0"/>
                <w:numId w:val="4"/>
              </w:numPr>
            </w:pPr>
            <w:r>
              <w:t>To reach a specific group of shareholders or developed around a particular group, the second strategy can be organised and planned which would be more effective for the Birmingham city council.</w:t>
            </w:r>
          </w:p>
          <w:p w14:paraId="041B469B" w14:textId="7C38931F" w:rsidR="00C15036" w:rsidRDefault="00C15036" w:rsidP="00C15036">
            <w:pPr>
              <w:pStyle w:val="ListParagraph"/>
              <w:numPr>
                <w:ilvl w:val="0"/>
                <w:numId w:val="4"/>
              </w:numPr>
            </w:pPr>
            <w:r>
              <w:t>It can be handled in a smaller group more easily if any conflict occurs.</w:t>
            </w:r>
          </w:p>
        </w:tc>
        <w:tc>
          <w:tcPr>
            <w:tcW w:w="4675" w:type="dxa"/>
          </w:tcPr>
          <w:p w14:paraId="6243731A" w14:textId="439FBFFC" w:rsidR="00C15036" w:rsidRDefault="000D41C4" w:rsidP="00C15036">
            <w:pPr>
              <w:pStyle w:val="ListParagraph"/>
              <w:numPr>
                <w:ilvl w:val="0"/>
                <w:numId w:val="4"/>
              </w:numPr>
            </w:pPr>
            <w:r>
              <w:t>To ensure the process runs smoothly, it must involve an experienced facilitator</w:t>
            </w:r>
          </w:p>
          <w:p w14:paraId="25706441" w14:textId="3F10A28B" w:rsidR="000D41C4" w:rsidRDefault="000D41C4" w:rsidP="00C15036">
            <w:pPr>
              <w:pStyle w:val="ListParagraph"/>
              <w:numPr>
                <w:ilvl w:val="0"/>
                <w:numId w:val="4"/>
              </w:numPr>
            </w:pPr>
            <w:r>
              <w:t>To ensure all perspective</w:t>
            </w:r>
            <w:r w:rsidR="00C064C7">
              <w:t>s</w:t>
            </w:r>
            <w:r>
              <w:t xml:space="preserve"> and stakeholders are represented, the strategy may not be effective.</w:t>
            </w:r>
          </w:p>
        </w:tc>
      </w:tr>
    </w:tbl>
    <w:p w14:paraId="1B5B7F94" w14:textId="77777777" w:rsidR="00C15036" w:rsidRDefault="00C15036" w:rsidP="00D71995"/>
    <w:p w14:paraId="05C2A14D" w14:textId="1E58F95E" w:rsidR="004E1C23" w:rsidRDefault="004E1C23" w:rsidP="00D71995">
      <w:r w:rsidRPr="00855D93">
        <w:rPr>
          <w:b/>
          <w:bCs/>
        </w:rPr>
        <w:t>Surveys:</w:t>
      </w:r>
      <w:r w:rsidR="000D41C4">
        <w:t xml:space="preserve"> In order to identify community opinion, the questionnaires or surveys can be </w:t>
      </w:r>
      <w:r w:rsidR="00C064C7">
        <w:t>an</w:t>
      </w:r>
      <w:r w:rsidR="000D41C4">
        <w:t xml:space="preserve"> effective part </w:t>
      </w:r>
      <w:r w:rsidR="00C064C7">
        <w:t>of</w:t>
      </w:r>
      <w:r w:rsidR="000D41C4">
        <w:t xml:space="preserve"> taking any type of feedback regarding the commonwealth games in 2022</w:t>
      </w:r>
      <w:r w:rsidR="00C064C7" w:rsidRPr="00C064C7">
        <w:t xml:space="preserve"> </w:t>
      </w:r>
      <w:r w:rsidR="00C064C7">
        <w:t>(Jones et al., 2019)</w:t>
      </w:r>
      <w:r w:rsidR="000D41C4">
        <w:t>. If the council would like to outreach large groups of people, the method would be more useful</w:t>
      </w:r>
      <w:r w:rsidR="00855D93">
        <w:t>. Now, the strengths and weaknesses of the method are as follows,</w:t>
      </w:r>
    </w:p>
    <w:tbl>
      <w:tblPr>
        <w:tblStyle w:val="TableGrid"/>
        <w:tblW w:w="0" w:type="auto"/>
        <w:tblLook w:val="04A0" w:firstRow="1" w:lastRow="0" w:firstColumn="1" w:lastColumn="0" w:noHBand="0" w:noVBand="1"/>
      </w:tblPr>
      <w:tblGrid>
        <w:gridCol w:w="4675"/>
        <w:gridCol w:w="4675"/>
      </w:tblGrid>
      <w:tr w:rsidR="00855D93" w14:paraId="0B7BA198" w14:textId="77777777" w:rsidTr="00855D93">
        <w:tc>
          <w:tcPr>
            <w:tcW w:w="4675" w:type="dxa"/>
          </w:tcPr>
          <w:p w14:paraId="389941CE" w14:textId="739127A2" w:rsidR="00855D93" w:rsidRDefault="00855D93" w:rsidP="00D71995">
            <w:r>
              <w:lastRenderedPageBreak/>
              <w:t>Strengths</w:t>
            </w:r>
          </w:p>
        </w:tc>
        <w:tc>
          <w:tcPr>
            <w:tcW w:w="4675" w:type="dxa"/>
          </w:tcPr>
          <w:p w14:paraId="6A7E5479" w14:textId="05D3DFBB" w:rsidR="00855D93" w:rsidRDefault="00855D93" w:rsidP="00D71995">
            <w:r>
              <w:t>Weakness</w:t>
            </w:r>
          </w:p>
        </w:tc>
      </w:tr>
      <w:tr w:rsidR="00855D93" w14:paraId="74ACF14E" w14:textId="77777777" w:rsidTr="00855D93">
        <w:tc>
          <w:tcPr>
            <w:tcW w:w="4675" w:type="dxa"/>
          </w:tcPr>
          <w:p w14:paraId="7677731B" w14:textId="77777777" w:rsidR="00855D93" w:rsidRDefault="00855D93" w:rsidP="00855D93">
            <w:pPr>
              <w:pStyle w:val="ListParagraph"/>
              <w:numPr>
                <w:ilvl w:val="0"/>
                <w:numId w:val="5"/>
              </w:numPr>
            </w:pPr>
            <w:r>
              <w:t>The method is more useful to collect and collect quantitative data.</w:t>
            </w:r>
          </w:p>
          <w:p w14:paraId="77D26C47" w14:textId="18C41DB1" w:rsidR="00855D93" w:rsidRDefault="00855D93" w:rsidP="00855D93">
            <w:pPr>
              <w:pStyle w:val="ListParagraph"/>
              <w:numPr>
                <w:ilvl w:val="0"/>
                <w:numId w:val="5"/>
              </w:numPr>
            </w:pPr>
            <w:r>
              <w:t xml:space="preserve">From another period or against different stakeholder groups, this data is more effective to compare results. </w:t>
            </w:r>
          </w:p>
          <w:p w14:paraId="2407E9A3" w14:textId="296F3C07" w:rsidR="00855D93" w:rsidRDefault="00855D93" w:rsidP="00855D93">
            <w:pPr>
              <w:pStyle w:val="ListParagraph"/>
              <w:numPr>
                <w:ilvl w:val="0"/>
                <w:numId w:val="5"/>
              </w:numPr>
            </w:pPr>
            <w:r>
              <w:t>To communicate with large groups of people, the method is a cost</w:t>
            </w:r>
            <w:r w:rsidR="00C064C7">
              <w:t>-</w:t>
            </w:r>
            <w:r>
              <w:t xml:space="preserve">effective and quick way. </w:t>
            </w:r>
          </w:p>
        </w:tc>
        <w:tc>
          <w:tcPr>
            <w:tcW w:w="4675" w:type="dxa"/>
          </w:tcPr>
          <w:p w14:paraId="36360662" w14:textId="2B5E9A7B" w:rsidR="00855D93" w:rsidRDefault="00855D93" w:rsidP="00855D93">
            <w:pPr>
              <w:pStyle w:val="ListParagraph"/>
              <w:numPr>
                <w:ilvl w:val="0"/>
                <w:numId w:val="5"/>
              </w:numPr>
            </w:pPr>
            <w:r>
              <w:t>To identify the reasons behind stakeholder</w:t>
            </w:r>
            <w:r w:rsidR="00C064C7">
              <w:t>'</w:t>
            </w:r>
            <w:r>
              <w:t>s opinion</w:t>
            </w:r>
            <w:r w:rsidR="00C064C7">
              <w:t>s</w:t>
            </w:r>
            <w:r>
              <w:t xml:space="preserve">, the method may not be useful. </w:t>
            </w:r>
          </w:p>
          <w:p w14:paraId="656990F5" w14:textId="0355F726" w:rsidR="00855D93" w:rsidRDefault="00855D93" w:rsidP="00855D93">
            <w:pPr>
              <w:pStyle w:val="ListParagraph"/>
              <w:numPr>
                <w:ilvl w:val="0"/>
                <w:numId w:val="5"/>
              </w:numPr>
            </w:pPr>
            <w:r>
              <w:t xml:space="preserve">In developing dialogue or establishing community relationships, the focus group is not </w:t>
            </w:r>
            <w:r w:rsidR="00C064C7">
              <w:t xml:space="preserve">an </w:t>
            </w:r>
            <w:r>
              <w:t>as effective way.</w:t>
            </w:r>
          </w:p>
          <w:p w14:paraId="5E9AD367" w14:textId="3A99D355" w:rsidR="00855D93" w:rsidRDefault="00855D93" w:rsidP="00855D93">
            <w:pPr>
              <w:pStyle w:val="ListParagraph"/>
              <w:numPr>
                <w:ilvl w:val="0"/>
                <w:numId w:val="5"/>
              </w:numPr>
            </w:pPr>
            <w:r>
              <w:t>Survey rates are often less than 20% and response rates may be limited.</w:t>
            </w:r>
          </w:p>
        </w:tc>
      </w:tr>
    </w:tbl>
    <w:p w14:paraId="6C6D96FA" w14:textId="77777777" w:rsidR="00855D93" w:rsidRDefault="00855D93" w:rsidP="00D71995"/>
    <w:p w14:paraId="5DB5F4D3" w14:textId="5B2F0B5F" w:rsidR="004E1C23" w:rsidRDefault="004E1C23" w:rsidP="00D71995">
      <w:r w:rsidRPr="00616DD1">
        <w:rPr>
          <w:b/>
          <w:bCs/>
        </w:rPr>
        <w:t>Web-based engagement:</w:t>
      </w:r>
      <w:r>
        <w:t xml:space="preserve"> </w:t>
      </w:r>
      <w:r w:rsidR="00AF39C1">
        <w:t xml:space="preserve">To reach and manage many stakeholders, online public participation can be a useful way for the Council of the commonwealth games in 2022. The council can use various platforms like social media, online discussions platform, and web-based survey systems to outreach a large </w:t>
      </w:r>
      <w:r w:rsidR="00C064C7">
        <w:t>number</w:t>
      </w:r>
      <w:r w:rsidR="00AF39C1">
        <w:t xml:space="preserve"> of people through online communication</w:t>
      </w:r>
      <w:r w:rsidR="00C064C7" w:rsidRPr="00C064C7">
        <w:t xml:space="preserve"> </w:t>
      </w:r>
      <w:r w:rsidR="00C064C7">
        <w:t>(</w:t>
      </w:r>
      <w:proofErr w:type="spellStart"/>
      <w:r w:rsidR="00C064C7">
        <w:t>Oluwajana</w:t>
      </w:r>
      <w:proofErr w:type="spellEnd"/>
      <w:r w:rsidR="00C064C7">
        <w:t xml:space="preserve"> et al., 2021)</w:t>
      </w:r>
      <w:r w:rsidR="00AF39C1">
        <w:t xml:space="preserve">. Now the strengths and weaknesses of web-based engagement </w:t>
      </w:r>
      <w:r w:rsidR="00C064C7">
        <w:t>are</w:t>
      </w:r>
      <w:r w:rsidR="00AF39C1">
        <w:t xml:space="preserve"> as follows,</w:t>
      </w:r>
    </w:p>
    <w:tbl>
      <w:tblPr>
        <w:tblStyle w:val="TableGrid"/>
        <w:tblW w:w="0" w:type="auto"/>
        <w:tblLook w:val="04A0" w:firstRow="1" w:lastRow="0" w:firstColumn="1" w:lastColumn="0" w:noHBand="0" w:noVBand="1"/>
      </w:tblPr>
      <w:tblGrid>
        <w:gridCol w:w="4675"/>
        <w:gridCol w:w="4675"/>
      </w:tblGrid>
      <w:tr w:rsidR="00AF39C1" w14:paraId="239791F1" w14:textId="77777777" w:rsidTr="00AF39C1">
        <w:tc>
          <w:tcPr>
            <w:tcW w:w="4675" w:type="dxa"/>
          </w:tcPr>
          <w:p w14:paraId="0E12EED2" w14:textId="1A5E07DE" w:rsidR="00AF39C1" w:rsidRDefault="00AF39C1" w:rsidP="00D71995">
            <w:r>
              <w:t>Strengths</w:t>
            </w:r>
          </w:p>
        </w:tc>
        <w:tc>
          <w:tcPr>
            <w:tcW w:w="4675" w:type="dxa"/>
          </w:tcPr>
          <w:p w14:paraId="0760B1F4" w14:textId="632913D1" w:rsidR="00AF39C1" w:rsidRDefault="00AF39C1" w:rsidP="00D71995">
            <w:r>
              <w:t>Weaknesses</w:t>
            </w:r>
          </w:p>
        </w:tc>
      </w:tr>
      <w:tr w:rsidR="00AF39C1" w14:paraId="2C5A74BD" w14:textId="77777777" w:rsidTr="00AF39C1">
        <w:tc>
          <w:tcPr>
            <w:tcW w:w="4675" w:type="dxa"/>
          </w:tcPr>
          <w:p w14:paraId="5194E0FF" w14:textId="34A97DF2" w:rsidR="00AF39C1" w:rsidRDefault="00AF39C1" w:rsidP="00AF39C1">
            <w:pPr>
              <w:pStyle w:val="ListParagraph"/>
              <w:numPr>
                <w:ilvl w:val="0"/>
                <w:numId w:val="6"/>
              </w:numPr>
            </w:pPr>
            <w:r>
              <w:t xml:space="preserve">Collecting data and reaching large groups of people, can be an effective way </w:t>
            </w:r>
          </w:p>
          <w:p w14:paraId="5374AA9F" w14:textId="50A1A97F" w:rsidR="00AF39C1" w:rsidRDefault="00AF39C1" w:rsidP="00AF39C1">
            <w:pPr>
              <w:pStyle w:val="ListParagraph"/>
              <w:numPr>
                <w:ilvl w:val="0"/>
                <w:numId w:val="6"/>
              </w:numPr>
            </w:pPr>
            <w:r>
              <w:t xml:space="preserve">When the location and time </w:t>
            </w:r>
            <w:r w:rsidR="00C064C7">
              <w:t>are</w:t>
            </w:r>
            <w:r>
              <w:t xml:space="preserve"> a barrier, it encourages participation </w:t>
            </w:r>
            <w:r w:rsidR="00C064C7">
              <w:t xml:space="preserve">and is </w:t>
            </w:r>
            <w:r>
              <w:t>flexible and convenient for participants.</w:t>
            </w:r>
          </w:p>
          <w:p w14:paraId="4D2FCBD8" w14:textId="4A61B964" w:rsidR="00AF39C1" w:rsidRDefault="00C064C7" w:rsidP="00AF39C1">
            <w:pPr>
              <w:pStyle w:val="ListParagraph"/>
              <w:numPr>
                <w:ilvl w:val="0"/>
                <w:numId w:val="6"/>
              </w:numPr>
            </w:pPr>
            <w:r>
              <w:t>Encouraging</w:t>
            </w:r>
            <w:r w:rsidR="00AF39C1">
              <w:t xml:space="preserve"> reflection and discussion regarding complex topics can be an effective way for the Birmingham city council.</w:t>
            </w:r>
          </w:p>
          <w:p w14:paraId="5127B49C" w14:textId="52188ABC" w:rsidR="00AF39C1" w:rsidRDefault="00AF39C1" w:rsidP="00AF39C1">
            <w:pPr>
              <w:pStyle w:val="ListParagraph"/>
              <w:numPr>
                <w:ilvl w:val="0"/>
                <w:numId w:val="6"/>
              </w:numPr>
            </w:pPr>
            <w:r>
              <w:lastRenderedPageBreak/>
              <w:t xml:space="preserve">Taking time to develop the right set of questions is one practice by which the </w:t>
            </w:r>
            <w:r w:rsidR="00616DD1">
              <w:t>outcomes of the consultation will be improved.</w:t>
            </w:r>
          </w:p>
        </w:tc>
        <w:tc>
          <w:tcPr>
            <w:tcW w:w="4675" w:type="dxa"/>
          </w:tcPr>
          <w:p w14:paraId="03252643" w14:textId="2740B972" w:rsidR="00AF39C1" w:rsidRDefault="00616DD1" w:rsidP="00616DD1">
            <w:pPr>
              <w:pStyle w:val="ListParagraph"/>
              <w:numPr>
                <w:ilvl w:val="0"/>
                <w:numId w:val="6"/>
              </w:numPr>
            </w:pPr>
            <w:r>
              <w:lastRenderedPageBreak/>
              <w:t xml:space="preserve">Unless </w:t>
            </w:r>
            <w:r w:rsidR="00C064C7">
              <w:t xml:space="preserve">a </w:t>
            </w:r>
            <w:r>
              <w:t xml:space="preserve">special accommodation is made for them, the stakeholders will be excluded </w:t>
            </w:r>
            <w:r w:rsidR="00C064C7">
              <w:t>from</w:t>
            </w:r>
            <w:r>
              <w:t xml:space="preserve"> access to the internet.</w:t>
            </w:r>
          </w:p>
          <w:p w14:paraId="0F2ABDF7" w14:textId="746D66D5" w:rsidR="00616DD1" w:rsidRDefault="00616DD1" w:rsidP="00616DD1">
            <w:pPr>
              <w:pStyle w:val="ListParagraph"/>
              <w:numPr>
                <w:ilvl w:val="0"/>
                <w:numId w:val="6"/>
              </w:numPr>
            </w:pPr>
            <w:r>
              <w:t>To respond to the questions promptly and manage the process, A moderator should be allocated.</w:t>
            </w:r>
          </w:p>
          <w:p w14:paraId="7B48A121" w14:textId="01AA6256" w:rsidR="00616DD1" w:rsidRDefault="00616DD1" w:rsidP="00616DD1">
            <w:pPr>
              <w:pStyle w:val="ListParagraph"/>
              <w:numPr>
                <w:ilvl w:val="0"/>
                <w:numId w:val="6"/>
              </w:numPr>
            </w:pPr>
            <w:r>
              <w:t>To encourage participation, Privacy concerns should be addressed.</w:t>
            </w:r>
          </w:p>
        </w:tc>
      </w:tr>
    </w:tbl>
    <w:p w14:paraId="413E441F" w14:textId="77777777" w:rsidR="00AF39C1" w:rsidRDefault="00AF39C1" w:rsidP="00D71995"/>
    <w:p w14:paraId="1DB5F192" w14:textId="67FBB997" w:rsidR="0015299A" w:rsidRDefault="008B07BA" w:rsidP="0015299A">
      <w:r w:rsidRPr="0015299A">
        <w:rPr>
          <w:b/>
          <w:bCs/>
        </w:rPr>
        <w:t>The impacts of consultation:</w:t>
      </w:r>
      <w:r>
        <w:t xml:space="preserve"> In the context of </w:t>
      </w:r>
      <w:r w:rsidR="00C064C7">
        <w:t xml:space="preserve">the </w:t>
      </w:r>
      <w:r>
        <w:t>commonwealth games, Consultation is a process of discussing with someone regarding a matter for getting opinions or advice. Consulting with stakeholders in a specific matter requires an effective and detailed plan by which the whole activities can be conducted</w:t>
      </w:r>
      <w:r w:rsidR="00C064C7" w:rsidRPr="00C064C7">
        <w:t xml:space="preserve"> </w:t>
      </w:r>
      <w:r w:rsidR="00C064C7">
        <w:t xml:space="preserve">(Wilting &amp; </w:t>
      </w:r>
      <w:proofErr w:type="spellStart"/>
      <w:r w:rsidR="00C064C7">
        <w:t>Puusepp</w:t>
      </w:r>
      <w:proofErr w:type="spellEnd"/>
      <w:r w:rsidR="00C064C7">
        <w:t>, 2018)</w:t>
      </w:r>
      <w:r>
        <w:t xml:space="preserve">. Every situation </w:t>
      </w:r>
      <w:r w:rsidR="0015299A">
        <w:t>has</w:t>
      </w:r>
      <w:r>
        <w:t xml:space="preserve"> a </w:t>
      </w:r>
      <w:r w:rsidR="0015299A">
        <w:t xml:space="preserve">different perspective. So, the consultation process should </w:t>
      </w:r>
      <w:r w:rsidR="00C064C7">
        <w:t xml:space="preserve">be </w:t>
      </w:r>
      <w:r w:rsidR="0015299A">
        <w:t xml:space="preserve">context and objective oriented. </w:t>
      </w:r>
      <w:r w:rsidR="00C064C7">
        <w:t>P</w:t>
      </w:r>
      <w:r w:rsidR="0015299A">
        <w:t>oor and ineffective consultation planning and process cause the los</w:t>
      </w:r>
      <w:r w:rsidR="00C064C7">
        <w:t>s</w:t>
      </w:r>
      <w:r w:rsidR="0015299A">
        <w:t xml:space="preserve"> of trust among the stakeholders of the project or program. To determine the needs and goals of the stakeholders and </w:t>
      </w:r>
      <w:r w:rsidR="00C064C7">
        <w:t xml:space="preserve">the </w:t>
      </w:r>
      <w:r w:rsidR="0015299A">
        <w:t>process involved, the preliminary activity is accomplished. Making the consultation process needs to follow the below steps First of all, the situation needs to be assessed carefully. Secondly, the mission, vision, goals and objectives need to be set. After that, effective planning need</w:t>
      </w:r>
      <w:r w:rsidR="00C064C7">
        <w:t>s</w:t>
      </w:r>
      <w:r w:rsidR="0015299A">
        <w:t xml:space="preserve"> to be made before consulting a matter with stakeholders. Fourthly, the event management process needs to be conducted appropriately. Eventually, For the success of engagement strategies, the evaluation metric should be designed. </w:t>
      </w:r>
    </w:p>
    <w:p w14:paraId="54A22A22" w14:textId="2050EAD2" w:rsidR="0015299A" w:rsidRDefault="0015299A" w:rsidP="0015299A">
      <w:r w:rsidRPr="0097049C">
        <w:rPr>
          <w:b/>
          <w:bCs/>
        </w:rPr>
        <w:t>The impacts of communication</w:t>
      </w:r>
      <w:r>
        <w:t>:</w:t>
      </w:r>
      <w:r w:rsidR="0097049C">
        <w:t xml:space="preserve"> </w:t>
      </w:r>
      <w:r w:rsidR="00E724FF">
        <w:t xml:space="preserve">Communication is the process of sharing beliefs, thoughts, opinions and values by which an individual can share various types of information </w:t>
      </w:r>
      <w:r w:rsidR="00C064C7">
        <w:t>with</w:t>
      </w:r>
      <w:r w:rsidR="00E724FF">
        <w:t xml:space="preserve"> others. In the context of community engagement in a project, effective communication helps to increase </w:t>
      </w:r>
      <w:r w:rsidR="00C064C7">
        <w:t xml:space="preserve">the </w:t>
      </w:r>
      <w:r w:rsidR="00E724FF">
        <w:t>active participation of individuals.</w:t>
      </w:r>
      <w:r w:rsidR="0097049C">
        <w:t xml:space="preserve"> To achieve the community’s goals and objectives, effective communication skills enable individuals and further </w:t>
      </w:r>
      <w:r w:rsidR="00C064C7">
        <w:t xml:space="preserve">the </w:t>
      </w:r>
      <w:r w:rsidR="0097049C">
        <w:t>community development process</w:t>
      </w:r>
      <w:r w:rsidR="00C064C7" w:rsidRPr="00C064C7">
        <w:t xml:space="preserve"> </w:t>
      </w:r>
      <w:r w:rsidR="00C064C7">
        <w:t>(Cotton, 2019)</w:t>
      </w:r>
      <w:r w:rsidR="0097049C">
        <w:t xml:space="preserve">. When the communication process is effective, no misunderstandings can be taken place </w:t>
      </w:r>
      <w:r w:rsidR="00C064C7">
        <w:t>from</w:t>
      </w:r>
      <w:r w:rsidR="0097049C">
        <w:t xml:space="preserve"> the community engagement perspective.</w:t>
      </w:r>
    </w:p>
    <w:p w14:paraId="53D91D90" w14:textId="1DB47427" w:rsidR="0015299A" w:rsidRDefault="0015299A" w:rsidP="0015299A">
      <w:r w:rsidRPr="00CF3DEB">
        <w:rPr>
          <w:b/>
          <w:bCs/>
        </w:rPr>
        <w:t xml:space="preserve">The impacts of </w:t>
      </w:r>
      <w:r w:rsidR="00E724FF" w:rsidRPr="00CF3DEB">
        <w:rPr>
          <w:b/>
          <w:bCs/>
        </w:rPr>
        <w:t>Stakeholder participation:</w:t>
      </w:r>
      <w:r w:rsidR="0097049C">
        <w:t xml:space="preserve"> The stakeholder’s participation in the community engagement process enables the whole program to establish more </w:t>
      </w:r>
      <w:r w:rsidR="00CF3DEB">
        <w:t>effectively and</w:t>
      </w:r>
      <w:r w:rsidR="0097049C">
        <w:t xml:space="preserve"> </w:t>
      </w:r>
      <w:r w:rsidR="00CF3DEB">
        <w:t xml:space="preserve">efficiently. The stakeholder of the huge project includes accommodation service </w:t>
      </w:r>
      <w:r w:rsidR="00CF3DEB">
        <w:lastRenderedPageBreak/>
        <w:t xml:space="preserve">providers, volunteers, spectators, athletes, sponsors, </w:t>
      </w:r>
      <w:r w:rsidR="00C064C7">
        <w:t xml:space="preserve">the </w:t>
      </w:r>
      <w:r w:rsidR="00CF3DEB">
        <w:t>community, government, partnerships, BBC &amp; outside agencies, managers, suppliers of various products like drinks, foods, cloth</w:t>
      </w:r>
      <w:r w:rsidR="00C064C7">
        <w:t>e</w:t>
      </w:r>
      <w:r w:rsidR="00CF3DEB">
        <w:t xml:space="preserve">s, etc and companies. All of the stakeholders have various types of roles and responsibilities in the Commonwealth games. For instance, the managers try to monitor and control the operations of the project so that the guests from different countries get the best advantages while staying </w:t>
      </w:r>
      <w:r w:rsidR="00C064C7">
        <w:t xml:space="preserve">in </w:t>
      </w:r>
      <w:r w:rsidR="00CF3DEB">
        <w:t xml:space="preserve">Birmingham. </w:t>
      </w:r>
    </w:p>
    <w:p w14:paraId="5B289B0D" w14:textId="4E9916F5" w:rsidR="00E724FF" w:rsidRDefault="00E724FF" w:rsidP="0015299A">
      <w:r w:rsidRPr="00F224C5">
        <w:rPr>
          <w:b/>
          <w:bCs/>
        </w:rPr>
        <w:t xml:space="preserve">The impacts of inclusion: </w:t>
      </w:r>
      <w:r w:rsidR="00CF3DEB">
        <w:t>The theory of inclusion represents that every person has a specific role and responsibilities in society by which social contribution is ensured</w:t>
      </w:r>
      <w:r w:rsidR="00F224C5">
        <w:t>. By reducing barrier</w:t>
      </w:r>
      <w:r w:rsidR="00C064C7">
        <w:t>s</w:t>
      </w:r>
      <w:r w:rsidR="00F224C5">
        <w:t>, engaging in supportive and meaningful ways and creating connection</w:t>
      </w:r>
      <w:r w:rsidR="00C064C7">
        <w:t>s</w:t>
      </w:r>
      <w:r w:rsidR="00F224C5">
        <w:t>, people get the opportunities to participate</w:t>
      </w:r>
      <w:r w:rsidR="00C064C7" w:rsidRPr="00C064C7">
        <w:t xml:space="preserve"> </w:t>
      </w:r>
      <w:r w:rsidR="00C064C7">
        <w:t>(</w:t>
      </w:r>
      <w:proofErr w:type="spellStart"/>
      <w:r w:rsidR="00C064C7">
        <w:t>Kuklenski</w:t>
      </w:r>
      <w:proofErr w:type="spellEnd"/>
      <w:r w:rsidR="00C064C7">
        <w:t>, 2021)</w:t>
      </w:r>
      <w:r w:rsidR="00F224C5">
        <w:t xml:space="preserve">. In the context of </w:t>
      </w:r>
      <w:r w:rsidR="00C064C7">
        <w:t xml:space="preserve">the </w:t>
      </w:r>
      <w:r w:rsidR="00F224C5">
        <w:t>commonwealth games, various benefits can be raised includ</w:t>
      </w:r>
      <w:r w:rsidR="00C064C7">
        <w:t>ing</w:t>
      </w:r>
      <w:r w:rsidR="00F224C5">
        <w:t xml:space="preserve"> </w:t>
      </w:r>
      <w:r w:rsidR="00C064C7">
        <w:t xml:space="preserve">an </w:t>
      </w:r>
      <w:r w:rsidR="00F224C5">
        <w:t xml:space="preserve">increased social network, increased safety by reducing isolation, </w:t>
      </w:r>
      <w:r w:rsidR="00C064C7">
        <w:t xml:space="preserve">and </w:t>
      </w:r>
      <w:r w:rsidR="00F224C5">
        <w:t xml:space="preserve">more respect for others. </w:t>
      </w:r>
    </w:p>
    <w:p w14:paraId="7C7483D9" w14:textId="77777777" w:rsidR="00F224C5" w:rsidRDefault="00F224C5" w:rsidP="0015299A"/>
    <w:p w14:paraId="04AF908B" w14:textId="77777777" w:rsidR="00D71995" w:rsidRDefault="00D71995" w:rsidP="00D71995"/>
    <w:p w14:paraId="65F24615" w14:textId="0F1DC8DD" w:rsidR="00D71995" w:rsidRPr="002B56FC" w:rsidRDefault="00D71995" w:rsidP="00D71995">
      <w:pPr>
        <w:sectPr w:rsidR="00D71995" w:rsidRPr="002B56FC" w:rsidSect="00BC46FD">
          <w:pgSz w:w="12240" w:h="15840"/>
          <w:pgMar w:top="1440" w:right="1440" w:bottom="1440" w:left="1440" w:header="720" w:footer="720" w:gutter="0"/>
          <w:cols w:space="720"/>
          <w:docGrid w:linePitch="360"/>
        </w:sectPr>
      </w:pPr>
    </w:p>
    <w:p w14:paraId="0E10E637" w14:textId="77777777" w:rsidR="009151C7" w:rsidRDefault="009151C7" w:rsidP="009151C7">
      <w:pPr>
        <w:pStyle w:val="Heading1"/>
        <w:rPr>
          <w:lang w:val="en-US"/>
        </w:rPr>
      </w:pPr>
      <w:bookmarkStart w:id="2" w:name="_Toc119251329"/>
      <w:r>
        <w:rPr>
          <w:lang w:val="en-US"/>
        </w:rPr>
        <w:lastRenderedPageBreak/>
        <w:t>Conclusion</w:t>
      </w:r>
      <w:bookmarkEnd w:id="2"/>
    </w:p>
    <w:p w14:paraId="5D51AACA" w14:textId="1141A06F" w:rsidR="00C064C7" w:rsidRPr="00C064C7" w:rsidRDefault="00C064C7" w:rsidP="00C064C7">
      <w:pPr>
        <w:rPr>
          <w:lang w:val="en-US"/>
        </w:rPr>
        <w:sectPr w:rsidR="00C064C7" w:rsidRPr="00C064C7" w:rsidSect="00BC46FD">
          <w:pgSz w:w="12240" w:h="15840"/>
          <w:pgMar w:top="1440" w:right="1440" w:bottom="1440" w:left="1440" w:header="720" w:footer="720" w:gutter="0"/>
          <w:cols w:space="720"/>
          <w:docGrid w:linePitch="360"/>
        </w:sectPr>
      </w:pPr>
      <w:r>
        <w:rPr>
          <w:lang w:val="en-US"/>
        </w:rPr>
        <w:t>At the end of the discussion, community engagement is the modern practice which contributes more to society. The Birmingham city council should make effective planning and conduct deep research so that the whole activities of the projects can be accomplished effectively and efficiently. Besides, community mapping and social media engagement help them to attract a vast amount of people for the Commonwealth games. Eventually, the authority should maintain and control all the stakeholders related to the projects or programs that give them competitive success in the dynamic environment.</w:t>
      </w:r>
    </w:p>
    <w:p w14:paraId="2976A977" w14:textId="426562BC" w:rsidR="009151C7" w:rsidRDefault="009151C7" w:rsidP="009151C7">
      <w:pPr>
        <w:pStyle w:val="Heading1"/>
        <w:rPr>
          <w:lang w:val="en-US"/>
        </w:rPr>
      </w:pPr>
      <w:bookmarkStart w:id="3" w:name="_Toc119251330"/>
      <w:r>
        <w:rPr>
          <w:lang w:val="en-US"/>
        </w:rPr>
        <w:lastRenderedPageBreak/>
        <w:t>References</w:t>
      </w:r>
      <w:bookmarkEnd w:id="3"/>
    </w:p>
    <w:p w14:paraId="5E19E8BA" w14:textId="77777777" w:rsidR="00C064C7" w:rsidRPr="00C064C7" w:rsidRDefault="00C064C7" w:rsidP="00C064C7">
      <w:pPr>
        <w:pStyle w:val="NormalWeb"/>
        <w:spacing w:line="360" w:lineRule="auto"/>
        <w:ind w:left="567" w:hanging="567"/>
        <w:jc w:val="both"/>
        <w:rPr>
          <w:rFonts w:ascii="Arial" w:hAnsi="Arial" w:cs="Arial"/>
        </w:rPr>
      </w:pPr>
      <w:proofErr w:type="spellStart"/>
      <w:r w:rsidRPr="00C064C7">
        <w:rPr>
          <w:rFonts w:ascii="Arial" w:hAnsi="Arial" w:cs="Arial"/>
        </w:rPr>
        <w:t>Akland</w:t>
      </w:r>
      <w:proofErr w:type="spellEnd"/>
      <w:r w:rsidRPr="00C064C7">
        <w:rPr>
          <w:rFonts w:ascii="Arial" w:hAnsi="Arial" w:cs="Arial"/>
        </w:rPr>
        <w:t xml:space="preserve">, G. (2021) “Community engagement: A Model Mental Health Partnership,” </w:t>
      </w:r>
      <w:r w:rsidRPr="00C064C7">
        <w:rPr>
          <w:rFonts w:ascii="Arial" w:hAnsi="Arial" w:cs="Arial"/>
          <w:i/>
          <w:iCs/>
        </w:rPr>
        <w:t>Journal of Community Engagement and Scholarship</w:t>
      </w:r>
      <w:r w:rsidRPr="00C064C7">
        <w:rPr>
          <w:rFonts w:ascii="Arial" w:hAnsi="Arial" w:cs="Arial"/>
        </w:rPr>
        <w:t xml:space="preserve">, 4(1). Available at: https://doi.org/10.54656/gfcl6486. </w:t>
      </w:r>
    </w:p>
    <w:p w14:paraId="2302168B"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t xml:space="preserve">Cotton, I.W. (2019) “Perspective on trends in electronic communication,” </w:t>
      </w:r>
      <w:r w:rsidRPr="00C064C7">
        <w:rPr>
          <w:rFonts w:ascii="Arial" w:hAnsi="Arial" w:cs="Arial"/>
          <w:i/>
          <w:iCs/>
        </w:rPr>
        <w:t>Electronic Communication: Technology and Impacts</w:t>
      </w:r>
      <w:r w:rsidRPr="00C064C7">
        <w:rPr>
          <w:rFonts w:ascii="Arial" w:hAnsi="Arial" w:cs="Arial"/>
        </w:rPr>
        <w:t xml:space="preserve">, pp. 7–18. Available at: https://doi.org/10.4324/9780429051876-2. </w:t>
      </w:r>
    </w:p>
    <w:p w14:paraId="22278659"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t xml:space="preserve">Currie, M. and Miranda Correa, M. (2021) “Introduction: The global festival city,” </w:t>
      </w:r>
      <w:r w:rsidRPr="00C064C7">
        <w:rPr>
          <w:rFonts w:ascii="Arial" w:hAnsi="Arial" w:cs="Arial"/>
          <w:i/>
          <w:iCs/>
        </w:rPr>
        <w:t>The Culture and Communities Mapping Project</w:t>
      </w:r>
      <w:r w:rsidRPr="00C064C7">
        <w:rPr>
          <w:rFonts w:ascii="Arial" w:hAnsi="Arial" w:cs="Arial"/>
        </w:rPr>
        <w:t xml:space="preserve">, pp. 1–13. Available at: https://doi.org/10.1007/978-3-030-88651-6_1. </w:t>
      </w:r>
    </w:p>
    <w:p w14:paraId="6159D27B"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t xml:space="preserve">Hassall, G. (2020) “The Commonwealth Local Government Pacific Project: Seeking ‘most significant change,’” </w:t>
      </w:r>
      <w:r w:rsidRPr="00C064C7">
        <w:rPr>
          <w:rFonts w:ascii="Arial" w:hAnsi="Arial" w:cs="Arial"/>
          <w:i/>
          <w:iCs/>
        </w:rPr>
        <w:t>Commonwealth Journal of Local Governance</w:t>
      </w:r>
      <w:r w:rsidRPr="00C064C7">
        <w:rPr>
          <w:rFonts w:ascii="Arial" w:hAnsi="Arial" w:cs="Arial"/>
        </w:rPr>
        <w:t xml:space="preserve">, pp. 176–188. Available at: https://doi.org/10.5130/cjlg.v0i5.1476. </w:t>
      </w:r>
    </w:p>
    <w:p w14:paraId="4DECA3D5" w14:textId="77777777" w:rsidR="00C064C7" w:rsidRPr="00C064C7" w:rsidRDefault="00C064C7" w:rsidP="00C064C7">
      <w:pPr>
        <w:pStyle w:val="NormalWeb"/>
        <w:spacing w:line="360" w:lineRule="auto"/>
        <w:ind w:left="567" w:hanging="567"/>
        <w:jc w:val="both"/>
        <w:rPr>
          <w:rFonts w:ascii="Arial" w:hAnsi="Arial" w:cs="Arial"/>
        </w:rPr>
      </w:pPr>
      <w:proofErr w:type="spellStart"/>
      <w:r w:rsidRPr="00C064C7">
        <w:rPr>
          <w:rFonts w:ascii="Arial" w:hAnsi="Arial" w:cs="Arial"/>
        </w:rPr>
        <w:t>Hennink</w:t>
      </w:r>
      <w:proofErr w:type="spellEnd"/>
      <w:r w:rsidRPr="00C064C7">
        <w:rPr>
          <w:rFonts w:ascii="Arial" w:hAnsi="Arial" w:cs="Arial"/>
        </w:rPr>
        <w:t xml:space="preserve">, M.M. (2016) “Introducing focus group discussions,” </w:t>
      </w:r>
      <w:r w:rsidRPr="00C064C7">
        <w:rPr>
          <w:rFonts w:ascii="Arial" w:hAnsi="Arial" w:cs="Arial"/>
          <w:i/>
          <w:iCs/>
        </w:rPr>
        <w:t>Understanding Focus Group Discussions</w:t>
      </w:r>
      <w:r w:rsidRPr="00C064C7">
        <w:rPr>
          <w:rFonts w:ascii="Arial" w:hAnsi="Arial" w:cs="Arial"/>
        </w:rPr>
        <w:t xml:space="preserve">, pp. 1–34. Available at: https://doi.org/10.1093/acprof:osobl/9780199856169.003.0001. </w:t>
      </w:r>
    </w:p>
    <w:p w14:paraId="0A55F27B"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t xml:space="preserve">Hicks Peterson, T. (2017) “Community engagement outcomes and activities,” </w:t>
      </w:r>
      <w:r w:rsidRPr="00C064C7">
        <w:rPr>
          <w:rFonts w:ascii="Arial" w:hAnsi="Arial" w:cs="Arial"/>
          <w:i/>
          <w:iCs/>
        </w:rPr>
        <w:t>Student Development and Social Justice</w:t>
      </w:r>
      <w:r w:rsidRPr="00C064C7">
        <w:rPr>
          <w:rFonts w:ascii="Arial" w:hAnsi="Arial" w:cs="Arial"/>
        </w:rPr>
        <w:t xml:space="preserve">, pp. 157–185. Available at: https://doi.org/10.1007/978-3-319-57457-8_5. </w:t>
      </w:r>
    </w:p>
    <w:p w14:paraId="1E4412D5"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t xml:space="preserve">Jones, J., </w:t>
      </w:r>
      <w:proofErr w:type="spellStart"/>
      <w:r w:rsidRPr="00C064C7">
        <w:rPr>
          <w:rFonts w:ascii="Arial" w:hAnsi="Arial" w:cs="Arial"/>
        </w:rPr>
        <w:t>Snijkers</w:t>
      </w:r>
      <w:proofErr w:type="spellEnd"/>
      <w:r w:rsidRPr="00C064C7">
        <w:rPr>
          <w:rFonts w:ascii="Arial" w:hAnsi="Arial" w:cs="Arial"/>
        </w:rPr>
        <w:t xml:space="preserve">, G. and </w:t>
      </w:r>
      <w:proofErr w:type="spellStart"/>
      <w:r w:rsidRPr="00C064C7">
        <w:rPr>
          <w:rFonts w:ascii="Arial" w:hAnsi="Arial" w:cs="Arial"/>
        </w:rPr>
        <w:t>Haraldsen</w:t>
      </w:r>
      <w:proofErr w:type="spellEnd"/>
      <w:r w:rsidRPr="00C064C7">
        <w:rPr>
          <w:rFonts w:ascii="Arial" w:hAnsi="Arial" w:cs="Arial"/>
        </w:rPr>
        <w:t xml:space="preserve">, G. (2019) “Surveys and business surveys,” </w:t>
      </w:r>
      <w:r w:rsidRPr="00C064C7">
        <w:rPr>
          <w:rFonts w:ascii="Arial" w:hAnsi="Arial" w:cs="Arial"/>
          <w:i/>
          <w:iCs/>
        </w:rPr>
        <w:t>Designing and Conducting Business Surveys</w:t>
      </w:r>
      <w:r w:rsidRPr="00C064C7">
        <w:rPr>
          <w:rFonts w:ascii="Arial" w:hAnsi="Arial" w:cs="Arial"/>
        </w:rPr>
        <w:t xml:space="preserve">, pp. 1–38. Available at: https://doi.org/10.1002/9781118447895.ch01. </w:t>
      </w:r>
    </w:p>
    <w:p w14:paraId="3493270F" w14:textId="77777777" w:rsidR="00C064C7" w:rsidRPr="00C064C7" w:rsidRDefault="00C064C7" w:rsidP="00C064C7">
      <w:pPr>
        <w:pStyle w:val="NormalWeb"/>
        <w:spacing w:line="360" w:lineRule="auto"/>
        <w:ind w:left="567" w:hanging="567"/>
        <w:jc w:val="both"/>
        <w:rPr>
          <w:rFonts w:ascii="Arial" w:hAnsi="Arial" w:cs="Arial"/>
        </w:rPr>
      </w:pPr>
      <w:proofErr w:type="spellStart"/>
      <w:r w:rsidRPr="00C064C7">
        <w:rPr>
          <w:rFonts w:ascii="Arial" w:hAnsi="Arial" w:cs="Arial"/>
        </w:rPr>
        <w:t>Kuklenski</w:t>
      </w:r>
      <w:proofErr w:type="spellEnd"/>
      <w:r w:rsidRPr="00C064C7">
        <w:rPr>
          <w:rFonts w:ascii="Arial" w:hAnsi="Arial" w:cs="Arial"/>
        </w:rPr>
        <w:t xml:space="preserve">, J. (2021) “Inclusion and organizational culture,” </w:t>
      </w:r>
      <w:r w:rsidRPr="00C064C7">
        <w:rPr>
          <w:rFonts w:ascii="Arial" w:hAnsi="Arial" w:cs="Arial"/>
          <w:i/>
          <w:iCs/>
        </w:rPr>
        <w:t>Diversity and Organizational Development</w:t>
      </w:r>
      <w:r w:rsidRPr="00C064C7">
        <w:rPr>
          <w:rFonts w:ascii="Arial" w:hAnsi="Arial" w:cs="Arial"/>
        </w:rPr>
        <w:t xml:space="preserve">, pp. 103–112. Available at: https://doi.org/10.1108/978-1-83982-592-720211009. </w:t>
      </w:r>
    </w:p>
    <w:p w14:paraId="0C4E2E56"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lastRenderedPageBreak/>
        <w:t xml:space="preserve">Mehdi, R.A. and </w:t>
      </w:r>
      <w:proofErr w:type="spellStart"/>
      <w:r w:rsidRPr="00C064C7">
        <w:rPr>
          <w:rFonts w:ascii="Arial" w:hAnsi="Arial" w:cs="Arial"/>
        </w:rPr>
        <w:t>AbouNaaj</w:t>
      </w:r>
      <w:proofErr w:type="spellEnd"/>
      <w:r w:rsidRPr="00C064C7">
        <w:rPr>
          <w:rFonts w:ascii="Arial" w:hAnsi="Arial" w:cs="Arial"/>
        </w:rPr>
        <w:t xml:space="preserve">, M.S. (2017) “Academic program assessment: A case study of a pragmatic approach,” </w:t>
      </w:r>
      <w:r w:rsidRPr="00C064C7">
        <w:rPr>
          <w:rFonts w:ascii="Arial" w:hAnsi="Arial" w:cs="Arial"/>
          <w:i/>
          <w:iCs/>
        </w:rPr>
        <w:t>Creative Education</w:t>
      </w:r>
      <w:r w:rsidRPr="00C064C7">
        <w:rPr>
          <w:rFonts w:ascii="Arial" w:hAnsi="Arial" w:cs="Arial"/>
        </w:rPr>
        <w:t xml:space="preserve">, 04(01), pp. 71–81. Available at: https://doi.org/10.4236/ce.2013.41010. </w:t>
      </w:r>
    </w:p>
    <w:p w14:paraId="2E546273" w14:textId="77777777" w:rsidR="00C064C7" w:rsidRPr="00C064C7" w:rsidRDefault="00C064C7" w:rsidP="00C064C7">
      <w:pPr>
        <w:pStyle w:val="NormalWeb"/>
        <w:spacing w:line="360" w:lineRule="auto"/>
        <w:ind w:left="567" w:hanging="567"/>
        <w:jc w:val="both"/>
        <w:rPr>
          <w:rFonts w:ascii="Arial" w:hAnsi="Arial" w:cs="Arial"/>
        </w:rPr>
      </w:pPr>
      <w:proofErr w:type="spellStart"/>
      <w:r w:rsidRPr="00C064C7">
        <w:rPr>
          <w:rFonts w:ascii="Arial" w:hAnsi="Arial" w:cs="Arial"/>
        </w:rPr>
        <w:t>Nepper</w:t>
      </w:r>
      <w:proofErr w:type="spellEnd"/>
      <w:r w:rsidRPr="00C064C7">
        <w:rPr>
          <w:rFonts w:ascii="Arial" w:hAnsi="Arial" w:cs="Arial"/>
        </w:rPr>
        <w:t xml:space="preserve"> Larsen, S. (2020) “Becoming a cyclist,” </w:t>
      </w:r>
      <w:r w:rsidRPr="00C064C7">
        <w:rPr>
          <w:rFonts w:ascii="Arial" w:hAnsi="Arial" w:cs="Arial"/>
          <w:i/>
          <w:iCs/>
        </w:rPr>
        <w:t>Cycling - Philosophy for Everyone</w:t>
      </w:r>
      <w:r w:rsidRPr="00C064C7">
        <w:rPr>
          <w:rFonts w:ascii="Arial" w:hAnsi="Arial" w:cs="Arial"/>
        </w:rPr>
        <w:t xml:space="preserve">, pp. 27–38. Available at: https://doi.org/10.1002/9781444324679.ch3. </w:t>
      </w:r>
    </w:p>
    <w:p w14:paraId="76519B02" w14:textId="77777777" w:rsidR="00C064C7" w:rsidRPr="00C064C7" w:rsidRDefault="00C064C7" w:rsidP="00C064C7">
      <w:pPr>
        <w:pStyle w:val="NormalWeb"/>
        <w:spacing w:line="360" w:lineRule="auto"/>
        <w:ind w:left="567" w:hanging="567"/>
        <w:jc w:val="both"/>
        <w:rPr>
          <w:rFonts w:ascii="Arial" w:hAnsi="Arial" w:cs="Arial"/>
        </w:rPr>
      </w:pPr>
      <w:proofErr w:type="spellStart"/>
      <w:r w:rsidRPr="00C064C7">
        <w:rPr>
          <w:rFonts w:ascii="Arial" w:hAnsi="Arial" w:cs="Arial"/>
        </w:rPr>
        <w:t>Oluwajana</w:t>
      </w:r>
      <w:proofErr w:type="spellEnd"/>
      <w:r w:rsidRPr="00C064C7">
        <w:rPr>
          <w:rFonts w:ascii="Arial" w:hAnsi="Arial" w:cs="Arial"/>
        </w:rPr>
        <w:t xml:space="preserve">, D., </w:t>
      </w:r>
      <w:proofErr w:type="spellStart"/>
      <w:r w:rsidRPr="00C064C7">
        <w:rPr>
          <w:rFonts w:ascii="Arial" w:hAnsi="Arial" w:cs="Arial"/>
        </w:rPr>
        <w:t>Adeshola</w:t>
      </w:r>
      <w:proofErr w:type="spellEnd"/>
      <w:r w:rsidRPr="00C064C7">
        <w:rPr>
          <w:rFonts w:ascii="Arial" w:hAnsi="Arial" w:cs="Arial"/>
        </w:rPr>
        <w:t xml:space="preserve">, I. and Clement, S. (2021) “Does the use of a web-based collaborative platform reduces cognitive load and influence project-based student engagement?” Available at: https://doi.org/10.21203/rs.3.rs-405894/v1. </w:t>
      </w:r>
    </w:p>
    <w:p w14:paraId="33B495A3"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t xml:space="preserve">Wilmer, H.A. (2018) “Examples of community meetings.,” </w:t>
      </w:r>
      <w:r w:rsidRPr="00C064C7">
        <w:rPr>
          <w:rFonts w:ascii="Arial" w:hAnsi="Arial" w:cs="Arial"/>
          <w:i/>
          <w:iCs/>
        </w:rPr>
        <w:t>Social psychiatry in action: A therapeutic community.</w:t>
      </w:r>
      <w:r w:rsidRPr="00C064C7">
        <w:rPr>
          <w:rFonts w:ascii="Arial" w:hAnsi="Arial" w:cs="Arial"/>
        </w:rPr>
        <w:t xml:space="preserve">, pp. 150–180. Available at: https://doi.org/10.1037/13177-007. </w:t>
      </w:r>
    </w:p>
    <w:p w14:paraId="31DD5613" w14:textId="77777777" w:rsidR="00C064C7" w:rsidRPr="00C064C7" w:rsidRDefault="00C064C7" w:rsidP="00C064C7">
      <w:pPr>
        <w:pStyle w:val="NormalWeb"/>
        <w:spacing w:line="360" w:lineRule="auto"/>
        <w:ind w:left="567" w:hanging="567"/>
        <w:jc w:val="both"/>
        <w:rPr>
          <w:rFonts w:ascii="Arial" w:hAnsi="Arial" w:cs="Arial"/>
        </w:rPr>
      </w:pPr>
      <w:r w:rsidRPr="00C064C7">
        <w:rPr>
          <w:rFonts w:ascii="Arial" w:hAnsi="Arial" w:cs="Arial"/>
        </w:rPr>
        <w:t xml:space="preserve">Wilting, P. and </w:t>
      </w:r>
      <w:proofErr w:type="spellStart"/>
      <w:r w:rsidRPr="00C064C7">
        <w:rPr>
          <w:rFonts w:ascii="Arial" w:hAnsi="Arial" w:cs="Arial"/>
        </w:rPr>
        <w:t>Puusepp</w:t>
      </w:r>
      <w:proofErr w:type="spellEnd"/>
      <w:r w:rsidRPr="00C064C7">
        <w:rPr>
          <w:rFonts w:ascii="Arial" w:hAnsi="Arial" w:cs="Arial"/>
        </w:rPr>
        <w:t xml:space="preserve">, A. (2018) “Jervis </w:t>
      </w:r>
      <w:proofErr w:type="spellStart"/>
      <w:r w:rsidRPr="00C064C7">
        <w:rPr>
          <w:rFonts w:ascii="Arial" w:hAnsi="Arial" w:cs="Arial"/>
        </w:rPr>
        <w:t>Forcemain</w:t>
      </w:r>
      <w:proofErr w:type="spellEnd"/>
      <w:r w:rsidRPr="00C064C7">
        <w:rPr>
          <w:rFonts w:ascii="Arial" w:hAnsi="Arial" w:cs="Arial"/>
        </w:rPr>
        <w:t xml:space="preserve"> no. 2, public consultation and managing impacts,” </w:t>
      </w:r>
      <w:r w:rsidRPr="00C064C7">
        <w:rPr>
          <w:rFonts w:ascii="Arial" w:hAnsi="Arial" w:cs="Arial"/>
          <w:i/>
          <w:iCs/>
        </w:rPr>
        <w:t>Proceedings of the Water Environment Federation</w:t>
      </w:r>
      <w:r w:rsidRPr="00C064C7">
        <w:rPr>
          <w:rFonts w:ascii="Arial" w:hAnsi="Arial" w:cs="Arial"/>
        </w:rPr>
        <w:t xml:space="preserve">, 2012(9), pp. 6262–6270. Available at: https://doi.org/10.2175/193864712811710155. </w:t>
      </w:r>
    </w:p>
    <w:p w14:paraId="4689A95A" w14:textId="77777777" w:rsidR="00C064C7" w:rsidRPr="00C064C7" w:rsidRDefault="00C064C7" w:rsidP="00C064C7">
      <w:pPr>
        <w:rPr>
          <w:rFonts w:cs="Arial"/>
          <w:lang w:val="en-US"/>
        </w:rPr>
      </w:pPr>
    </w:p>
    <w:sectPr w:rsidR="00C064C7" w:rsidRPr="00C064C7" w:rsidSect="00BC46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8DE8A" w14:textId="77777777" w:rsidR="00DA0EEA" w:rsidRDefault="00DA0EEA" w:rsidP="009151C7">
      <w:pPr>
        <w:spacing w:after="0" w:line="240" w:lineRule="auto"/>
      </w:pPr>
      <w:r>
        <w:separator/>
      </w:r>
    </w:p>
  </w:endnote>
  <w:endnote w:type="continuationSeparator" w:id="0">
    <w:p w14:paraId="477303EC" w14:textId="77777777" w:rsidR="00DA0EEA" w:rsidRDefault="00DA0EEA" w:rsidP="00915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267772"/>
      <w:docPartObj>
        <w:docPartGallery w:val="Page Numbers (Bottom of Page)"/>
        <w:docPartUnique/>
      </w:docPartObj>
    </w:sdtPr>
    <w:sdtEndPr>
      <w:rPr>
        <w:noProof/>
      </w:rPr>
    </w:sdtEndPr>
    <w:sdtContent>
      <w:p w14:paraId="2432AAB7" w14:textId="1C42A525" w:rsidR="009151C7" w:rsidRDefault="009151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3149B8" w14:textId="77777777" w:rsidR="009151C7" w:rsidRDefault="00915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2D134" w14:textId="77777777" w:rsidR="00DA0EEA" w:rsidRDefault="00DA0EEA" w:rsidP="009151C7">
      <w:pPr>
        <w:spacing w:after="0" w:line="240" w:lineRule="auto"/>
      </w:pPr>
      <w:r>
        <w:separator/>
      </w:r>
    </w:p>
  </w:footnote>
  <w:footnote w:type="continuationSeparator" w:id="0">
    <w:p w14:paraId="090C6489" w14:textId="77777777" w:rsidR="00DA0EEA" w:rsidRDefault="00DA0EEA" w:rsidP="00915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3D40"/>
    <w:multiLevelType w:val="hybridMultilevel"/>
    <w:tmpl w:val="0D749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D4E3A"/>
    <w:multiLevelType w:val="hybridMultilevel"/>
    <w:tmpl w:val="5BCC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334EE"/>
    <w:multiLevelType w:val="hybridMultilevel"/>
    <w:tmpl w:val="98BC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30422"/>
    <w:multiLevelType w:val="hybridMultilevel"/>
    <w:tmpl w:val="99EE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B01D3"/>
    <w:multiLevelType w:val="hybridMultilevel"/>
    <w:tmpl w:val="DD7C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6A7C73"/>
    <w:multiLevelType w:val="hybridMultilevel"/>
    <w:tmpl w:val="0124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C61D3"/>
    <w:multiLevelType w:val="hybridMultilevel"/>
    <w:tmpl w:val="49000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5946495">
    <w:abstractNumId w:val="3"/>
  </w:num>
  <w:num w:numId="2" w16cid:durableId="1347753558">
    <w:abstractNumId w:val="0"/>
  </w:num>
  <w:num w:numId="3" w16cid:durableId="1988124082">
    <w:abstractNumId w:val="5"/>
  </w:num>
  <w:num w:numId="4" w16cid:durableId="753166777">
    <w:abstractNumId w:val="2"/>
  </w:num>
  <w:num w:numId="5" w16cid:durableId="381906432">
    <w:abstractNumId w:val="4"/>
  </w:num>
  <w:num w:numId="6" w16cid:durableId="1301882679">
    <w:abstractNumId w:val="1"/>
  </w:num>
  <w:num w:numId="7" w16cid:durableId="21173658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ztDAxNLKwMDa0NDFS0lEKTi0uzszPAykwrAUAs8024ywAAAA="/>
  </w:docVars>
  <w:rsids>
    <w:rsidRoot w:val="007772E6"/>
    <w:rsid w:val="000A75AB"/>
    <w:rsid w:val="000B2283"/>
    <w:rsid w:val="000C06A8"/>
    <w:rsid w:val="000D41C4"/>
    <w:rsid w:val="0015299A"/>
    <w:rsid w:val="00260B12"/>
    <w:rsid w:val="002B56FC"/>
    <w:rsid w:val="00334CE5"/>
    <w:rsid w:val="004E1C23"/>
    <w:rsid w:val="005644B9"/>
    <w:rsid w:val="005730E8"/>
    <w:rsid w:val="006113D2"/>
    <w:rsid w:val="00616DD1"/>
    <w:rsid w:val="00655876"/>
    <w:rsid w:val="007752C1"/>
    <w:rsid w:val="007767A1"/>
    <w:rsid w:val="007772E6"/>
    <w:rsid w:val="00855D93"/>
    <w:rsid w:val="008762BE"/>
    <w:rsid w:val="008B07BA"/>
    <w:rsid w:val="008F34F2"/>
    <w:rsid w:val="009151C7"/>
    <w:rsid w:val="0097049C"/>
    <w:rsid w:val="009A1646"/>
    <w:rsid w:val="00A26C06"/>
    <w:rsid w:val="00AF39C1"/>
    <w:rsid w:val="00BB1BA1"/>
    <w:rsid w:val="00BC46FD"/>
    <w:rsid w:val="00C00FE7"/>
    <w:rsid w:val="00C064C7"/>
    <w:rsid w:val="00C15036"/>
    <w:rsid w:val="00CF3DEB"/>
    <w:rsid w:val="00D71995"/>
    <w:rsid w:val="00DA0EEA"/>
    <w:rsid w:val="00DA1387"/>
    <w:rsid w:val="00DA4081"/>
    <w:rsid w:val="00E724FF"/>
    <w:rsid w:val="00F224C5"/>
    <w:rsid w:val="00F23FBD"/>
    <w:rsid w:val="00F319DC"/>
    <w:rsid w:val="00F770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D31DA"/>
  <w15:chartTrackingRefBased/>
  <w15:docId w15:val="{20066B9F-4627-4B24-A0C3-272433B36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2E6"/>
    <w:pPr>
      <w:spacing w:line="360" w:lineRule="auto"/>
      <w:jc w:val="both"/>
    </w:pPr>
    <w:rPr>
      <w:rFonts w:ascii="Arial" w:hAnsi="Arial"/>
      <w:sz w:val="24"/>
    </w:rPr>
  </w:style>
  <w:style w:type="paragraph" w:styleId="Heading1">
    <w:name w:val="heading 1"/>
    <w:basedOn w:val="Normal"/>
    <w:next w:val="Normal"/>
    <w:link w:val="Heading1Char"/>
    <w:uiPriority w:val="9"/>
    <w:qFormat/>
    <w:rsid w:val="007772E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772E6"/>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2E6"/>
    <w:rPr>
      <w:rFonts w:ascii="Arial" w:eastAsiaTheme="majorEastAsia" w:hAnsi="Arial" w:cstheme="majorBidi"/>
      <w:b/>
      <w:sz w:val="28"/>
      <w:szCs w:val="32"/>
    </w:rPr>
  </w:style>
  <w:style w:type="character" w:customStyle="1" w:styleId="Heading2Char">
    <w:name w:val="Heading 2 Char"/>
    <w:basedOn w:val="DefaultParagraphFont"/>
    <w:link w:val="Heading2"/>
    <w:uiPriority w:val="9"/>
    <w:semiHidden/>
    <w:rsid w:val="007772E6"/>
    <w:rPr>
      <w:rFonts w:ascii="Arial" w:eastAsiaTheme="majorEastAsia" w:hAnsi="Arial" w:cstheme="majorBidi"/>
      <w:b/>
      <w:sz w:val="26"/>
      <w:szCs w:val="26"/>
    </w:rPr>
  </w:style>
  <w:style w:type="paragraph" w:styleId="Header">
    <w:name w:val="header"/>
    <w:basedOn w:val="Normal"/>
    <w:link w:val="HeaderChar"/>
    <w:uiPriority w:val="99"/>
    <w:unhideWhenUsed/>
    <w:rsid w:val="00915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1C7"/>
    <w:rPr>
      <w:rFonts w:ascii="Arial" w:hAnsi="Arial"/>
      <w:sz w:val="24"/>
    </w:rPr>
  </w:style>
  <w:style w:type="paragraph" w:styleId="Footer">
    <w:name w:val="footer"/>
    <w:basedOn w:val="Normal"/>
    <w:link w:val="FooterChar"/>
    <w:uiPriority w:val="99"/>
    <w:unhideWhenUsed/>
    <w:rsid w:val="00915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1C7"/>
    <w:rPr>
      <w:rFonts w:ascii="Arial" w:hAnsi="Arial"/>
      <w:sz w:val="24"/>
    </w:rPr>
  </w:style>
  <w:style w:type="paragraph" w:styleId="Caption">
    <w:name w:val="caption"/>
    <w:basedOn w:val="Normal"/>
    <w:next w:val="Normal"/>
    <w:uiPriority w:val="35"/>
    <w:unhideWhenUsed/>
    <w:qFormat/>
    <w:rsid w:val="00A26C06"/>
    <w:pPr>
      <w:spacing w:after="200"/>
      <w:jc w:val="center"/>
    </w:pPr>
    <w:rPr>
      <w:iCs/>
      <w:szCs w:val="18"/>
    </w:rPr>
  </w:style>
  <w:style w:type="paragraph" w:styleId="ListParagraph">
    <w:name w:val="List Paragraph"/>
    <w:basedOn w:val="Normal"/>
    <w:uiPriority w:val="34"/>
    <w:qFormat/>
    <w:rsid w:val="00D71995"/>
    <w:pPr>
      <w:ind w:left="720"/>
      <w:contextualSpacing/>
    </w:pPr>
  </w:style>
  <w:style w:type="table" w:styleId="TableGrid">
    <w:name w:val="Table Grid"/>
    <w:basedOn w:val="TableNormal"/>
    <w:uiPriority w:val="39"/>
    <w:rsid w:val="000C0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064C7"/>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C064C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064C7"/>
    <w:pPr>
      <w:spacing w:after="100"/>
    </w:pPr>
  </w:style>
  <w:style w:type="character" w:styleId="Hyperlink">
    <w:name w:val="Hyperlink"/>
    <w:basedOn w:val="DefaultParagraphFont"/>
    <w:uiPriority w:val="99"/>
    <w:unhideWhenUsed/>
    <w:rsid w:val="00C064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67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A6C3A-256D-49EF-B836-60F787F89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2330</Words>
  <Characters>13285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Silviya Petkova (2131598)</cp:lastModifiedBy>
  <cp:revision>7</cp:revision>
  <dcterms:created xsi:type="dcterms:W3CDTF">2022-11-13T11:04:00Z</dcterms:created>
  <dcterms:modified xsi:type="dcterms:W3CDTF">2022-11-22T08:13:00Z</dcterms:modified>
</cp:coreProperties>
</file>