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9092E" w14:textId="77777777" w:rsidR="00561B0B" w:rsidRDefault="00561B0B" w:rsidP="00522742">
      <w:pPr>
        <w:spacing w:line="360" w:lineRule="auto"/>
        <w:rPr>
          <w:rFonts w:ascii="Arial" w:hAnsi="Arial" w:cs="Arial"/>
          <w:b/>
          <w:bCs/>
          <w:sz w:val="22"/>
          <w:szCs w:val="22"/>
        </w:rPr>
      </w:pPr>
    </w:p>
    <w:p w14:paraId="0DC3F1FD" w14:textId="77777777" w:rsidR="00561B0B" w:rsidRDefault="00561B0B" w:rsidP="00522742">
      <w:pPr>
        <w:spacing w:line="360" w:lineRule="auto"/>
        <w:rPr>
          <w:rFonts w:ascii="Arial" w:hAnsi="Arial" w:cs="Arial"/>
          <w:b/>
          <w:bCs/>
          <w:sz w:val="22"/>
          <w:szCs w:val="22"/>
        </w:rPr>
      </w:pPr>
    </w:p>
    <w:p w14:paraId="39B9FC74" w14:textId="77777777" w:rsidR="00DF3FD5" w:rsidRDefault="00DF3FD5" w:rsidP="00522742">
      <w:pPr>
        <w:spacing w:line="360" w:lineRule="auto"/>
        <w:rPr>
          <w:rFonts w:ascii="Arial" w:hAnsi="Arial" w:cs="Arial"/>
          <w:b/>
          <w:bCs/>
          <w:sz w:val="22"/>
          <w:szCs w:val="22"/>
        </w:rPr>
      </w:pPr>
    </w:p>
    <w:p w14:paraId="162B4F11" w14:textId="77777777" w:rsidR="00DF3FD5" w:rsidRDefault="00DF3FD5" w:rsidP="00522742">
      <w:pPr>
        <w:spacing w:line="360" w:lineRule="auto"/>
        <w:rPr>
          <w:rFonts w:ascii="Arial" w:hAnsi="Arial" w:cs="Arial"/>
          <w:b/>
          <w:bCs/>
          <w:sz w:val="22"/>
          <w:szCs w:val="22"/>
        </w:rPr>
      </w:pPr>
    </w:p>
    <w:p w14:paraId="08D8DA41" w14:textId="77777777" w:rsidR="00DF3FD5" w:rsidRPr="00562C00" w:rsidRDefault="00DF3FD5" w:rsidP="00522742">
      <w:pPr>
        <w:spacing w:line="360" w:lineRule="auto"/>
        <w:rPr>
          <w:rFonts w:ascii="Arial" w:hAnsi="Arial" w:cs="Arial"/>
          <w:b/>
          <w:bCs/>
        </w:rPr>
      </w:pPr>
    </w:p>
    <w:p w14:paraId="21F5CCC8" w14:textId="168509E2" w:rsidR="00522742" w:rsidRPr="00562C00" w:rsidRDefault="00522742" w:rsidP="00522742">
      <w:pPr>
        <w:spacing w:line="360" w:lineRule="auto"/>
        <w:rPr>
          <w:rFonts w:ascii="Arial" w:hAnsi="Arial" w:cs="Arial"/>
        </w:rPr>
      </w:pPr>
      <w:r w:rsidRPr="00562C00">
        <w:rPr>
          <w:rFonts w:ascii="Arial" w:hAnsi="Arial" w:cs="Arial"/>
          <w:b/>
          <w:bCs/>
        </w:rPr>
        <w:t>The Benefits and Challenges of Digital Health Technologies for Older Adults in the UK: Implications for Health and Social Care Practice</w:t>
      </w:r>
    </w:p>
    <w:p w14:paraId="0FAAAE85" w14:textId="77777777" w:rsidR="00522742" w:rsidRPr="005F3B6D" w:rsidRDefault="00522742" w:rsidP="005F3B6D"/>
    <w:p w14:paraId="15BD68DB" w14:textId="77777777" w:rsidR="00111BBC" w:rsidRDefault="00111BBC" w:rsidP="00111BBC">
      <w:pPr>
        <w:jc w:val="both"/>
        <w:rPr>
          <w:rFonts w:ascii="Arial" w:eastAsia="Arial" w:hAnsi="Arial" w:cs="Arial"/>
          <w:color w:val="000000" w:themeColor="text1"/>
        </w:rPr>
      </w:pPr>
      <w:r w:rsidRPr="5F41CCCF">
        <w:rPr>
          <w:rFonts w:ascii="Arial" w:eastAsia="Arial" w:hAnsi="Arial" w:cs="Arial"/>
          <w:b/>
          <w:bCs/>
          <w:color w:val="000000" w:themeColor="text1"/>
        </w:rPr>
        <w:t>Name</w:t>
      </w:r>
      <w:r w:rsidRPr="5F41CCCF">
        <w:rPr>
          <w:rFonts w:ascii="Arial" w:eastAsia="Arial" w:hAnsi="Arial" w:cs="Arial"/>
          <w:color w:val="000000" w:themeColor="text1"/>
        </w:rPr>
        <w:t>: Nabeela Begum</w:t>
      </w:r>
    </w:p>
    <w:p w14:paraId="1E6C59ED" w14:textId="77777777" w:rsidR="00111BBC" w:rsidRDefault="00111BBC" w:rsidP="00111BBC">
      <w:pPr>
        <w:jc w:val="both"/>
        <w:rPr>
          <w:rFonts w:ascii="Arial" w:eastAsia="Arial" w:hAnsi="Arial" w:cs="Arial"/>
          <w:color w:val="000000" w:themeColor="text1"/>
        </w:rPr>
      </w:pPr>
      <w:r w:rsidRPr="5F41CCCF">
        <w:rPr>
          <w:rFonts w:ascii="Arial" w:eastAsia="Arial" w:hAnsi="Arial" w:cs="Arial"/>
          <w:b/>
          <w:bCs/>
          <w:color w:val="000000" w:themeColor="text1"/>
        </w:rPr>
        <w:t>Student Number</w:t>
      </w:r>
      <w:r w:rsidRPr="5F41CCCF">
        <w:rPr>
          <w:rFonts w:ascii="Arial" w:eastAsia="Arial" w:hAnsi="Arial" w:cs="Arial"/>
          <w:color w:val="000000" w:themeColor="text1"/>
        </w:rPr>
        <w:t>: 2216501</w:t>
      </w:r>
    </w:p>
    <w:p w14:paraId="3DC28DB3" w14:textId="5A524C2C" w:rsidR="00111BBC" w:rsidRDefault="00111BBC" w:rsidP="00111BBC">
      <w:pPr>
        <w:jc w:val="both"/>
        <w:rPr>
          <w:rFonts w:ascii="Arial" w:eastAsia="Arial" w:hAnsi="Arial" w:cs="Arial"/>
          <w:color w:val="000000" w:themeColor="text1"/>
        </w:rPr>
      </w:pPr>
      <w:r w:rsidRPr="5F41CCCF">
        <w:rPr>
          <w:rFonts w:ascii="Arial" w:eastAsia="Arial" w:hAnsi="Arial" w:cs="Arial"/>
          <w:b/>
          <w:bCs/>
          <w:color w:val="000000" w:themeColor="text1"/>
        </w:rPr>
        <w:t>Module Code</w:t>
      </w:r>
      <w:r w:rsidRPr="5F41CCCF">
        <w:rPr>
          <w:rFonts w:ascii="Arial" w:eastAsia="Arial" w:hAnsi="Arial" w:cs="Arial"/>
          <w:color w:val="000000" w:themeColor="text1"/>
        </w:rPr>
        <w:t xml:space="preserve">: </w:t>
      </w:r>
      <w:r>
        <w:rPr>
          <w:rFonts w:ascii="Arial" w:eastAsia="Arial" w:hAnsi="Arial" w:cs="Arial"/>
          <w:color w:val="000000" w:themeColor="text1"/>
        </w:rPr>
        <w:t>LCHS700</w:t>
      </w:r>
      <w:r w:rsidR="001F091D">
        <w:rPr>
          <w:rFonts w:ascii="Arial" w:eastAsia="Arial" w:hAnsi="Arial" w:cs="Arial"/>
          <w:color w:val="000000" w:themeColor="text1"/>
        </w:rPr>
        <w:t>8</w:t>
      </w:r>
    </w:p>
    <w:p w14:paraId="6BC2D322" w14:textId="5109798E" w:rsidR="00111BBC" w:rsidRDefault="00111BBC" w:rsidP="00111BBC">
      <w:pPr>
        <w:jc w:val="both"/>
        <w:rPr>
          <w:rFonts w:ascii="Arial" w:eastAsia="Arial" w:hAnsi="Arial" w:cs="Arial"/>
          <w:color w:val="000000" w:themeColor="text1"/>
        </w:rPr>
      </w:pPr>
      <w:r w:rsidRPr="5F41CCCF">
        <w:rPr>
          <w:rFonts w:ascii="Arial" w:eastAsia="Arial" w:hAnsi="Arial" w:cs="Arial"/>
          <w:b/>
          <w:bCs/>
          <w:color w:val="000000" w:themeColor="text1"/>
        </w:rPr>
        <w:t>Module</w:t>
      </w:r>
      <w:r w:rsidRPr="5F41CCCF">
        <w:rPr>
          <w:rFonts w:ascii="Arial" w:eastAsia="Arial" w:hAnsi="Arial" w:cs="Arial"/>
          <w:color w:val="000000" w:themeColor="text1"/>
        </w:rPr>
        <w:t xml:space="preserve">: </w:t>
      </w:r>
      <w:r w:rsidR="001F091D">
        <w:rPr>
          <w:rFonts w:ascii="Arial" w:eastAsia="Arial" w:hAnsi="Arial" w:cs="Arial"/>
          <w:color w:val="000000" w:themeColor="text1"/>
        </w:rPr>
        <w:t>Practice</w:t>
      </w:r>
      <w:r w:rsidR="006036C2">
        <w:rPr>
          <w:rFonts w:ascii="Arial" w:eastAsia="Arial" w:hAnsi="Arial" w:cs="Arial"/>
          <w:color w:val="000000" w:themeColor="text1"/>
        </w:rPr>
        <w:t>-</w:t>
      </w:r>
      <w:r w:rsidR="001F091D">
        <w:rPr>
          <w:rFonts w:ascii="Arial" w:eastAsia="Arial" w:hAnsi="Arial" w:cs="Arial"/>
          <w:color w:val="000000" w:themeColor="text1"/>
        </w:rPr>
        <w:t>Based Research</w:t>
      </w:r>
    </w:p>
    <w:p w14:paraId="2C2AA7A7" w14:textId="34290A7D" w:rsidR="00111BBC" w:rsidRPr="001F091D" w:rsidRDefault="00111BBC" w:rsidP="001F091D">
      <w:pPr>
        <w:rPr>
          <w:b/>
          <w:bCs/>
        </w:rPr>
      </w:pPr>
      <w:r w:rsidRPr="5F41CCCF">
        <w:rPr>
          <w:rFonts w:ascii="Arial" w:eastAsia="Arial" w:hAnsi="Arial" w:cs="Arial"/>
          <w:b/>
          <w:bCs/>
          <w:color w:val="000000" w:themeColor="text1"/>
        </w:rPr>
        <w:t>Assignment Title</w:t>
      </w:r>
      <w:r w:rsidRPr="5F41CCCF">
        <w:rPr>
          <w:rFonts w:ascii="Arial" w:eastAsia="Arial" w:hAnsi="Arial" w:cs="Arial"/>
          <w:color w:val="000000" w:themeColor="text1"/>
        </w:rPr>
        <w:t xml:space="preserve">: </w:t>
      </w:r>
      <w:r w:rsidR="00624F49">
        <w:rPr>
          <w:rFonts w:ascii="Arial" w:eastAsia="Arial" w:hAnsi="Arial" w:cs="Arial"/>
          <w:color w:val="000000" w:themeColor="text1"/>
        </w:rPr>
        <w:t>Component 2</w:t>
      </w:r>
      <w:r w:rsidR="00562C00">
        <w:rPr>
          <w:rFonts w:ascii="Arial" w:eastAsia="Arial" w:hAnsi="Arial" w:cs="Arial"/>
          <w:color w:val="000000" w:themeColor="text1"/>
        </w:rPr>
        <w:t xml:space="preserve">: </w:t>
      </w:r>
      <w:r w:rsidR="001F091D" w:rsidRPr="006036C2">
        <w:rPr>
          <w:rFonts w:ascii="Arial" w:hAnsi="Arial" w:cs="Arial"/>
        </w:rPr>
        <w:t>Research Proposal</w:t>
      </w:r>
    </w:p>
    <w:p w14:paraId="7B6E8582" w14:textId="592F7329" w:rsidR="00111BBC" w:rsidRPr="00624F49" w:rsidRDefault="00111BBC" w:rsidP="00111BBC">
      <w:pPr>
        <w:jc w:val="both"/>
        <w:rPr>
          <w:rFonts w:ascii="Arial" w:eastAsia="Arial" w:hAnsi="Arial" w:cs="Arial"/>
          <w:color w:val="000000" w:themeColor="text1"/>
          <w:lang w:val="fr-FR"/>
        </w:rPr>
      </w:pPr>
      <w:proofErr w:type="spellStart"/>
      <w:r w:rsidRPr="00624F49">
        <w:rPr>
          <w:rFonts w:ascii="Arial" w:eastAsia="Arial" w:hAnsi="Arial" w:cs="Arial"/>
          <w:b/>
          <w:bCs/>
          <w:color w:val="000000" w:themeColor="text1"/>
          <w:lang w:val="fr-FR"/>
        </w:rPr>
        <w:t>Lecturer</w:t>
      </w:r>
      <w:proofErr w:type="spellEnd"/>
      <w:r w:rsidRPr="00624F49">
        <w:rPr>
          <w:rFonts w:ascii="Arial" w:eastAsia="Arial" w:hAnsi="Arial" w:cs="Arial"/>
          <w:b/>
          <w:bCs/>
          <w:color w:val="000000" w:themeColor="text1"/>
          <w:lang w:val="fr-FR"/>
        </w:rPr>
        <w:t xml:space="preserve"> Name</w:t>
      </w:r>
      <w:r w:rsidRPr="00624F49">
        <w:rPr>
          <w:rFonts w:ascii="Arial" w:eastAsia="Arial" w:hAnsi="Arial" w:cs="Arial"/>
          <w:color w:val="000000" w:themeColor="text1"/>
          <w:lang w:val="fr-FR"/>
        </w:rPr>
        <w:t xml:space="preserve">: </w:t>
      </w:r>
      <w:r w:rsidR="00DF3FD5" w:rsidRPr="00624F49">
        <w:rPr>
          <w:rFonts w:ascii="Arial" w:eastAsia="Arial" w:hAnsi="Arial" w:cs="Arial"/>
          <w:color w:val="000000" w:themeColor="text1"/>
          <w:lang w:val="fr-FR"/>
        </w:rPr>
        <w:t>Dr Zeno L</w:t>
      </w:r>
      <w:r w:rsidR="00624F49" w:rsidRPr="00624F49">
        <w:rPr>
          <w:rFonts w:ascii="Arial" w:eastAsia="Arial" w:hAnsi="Arial" w:cs="Arial"/>
          <w:color w:val="000000" w:themeColor="text1"/>
          <w:lang w:val="fr-FR"/>
        </w:rPr>
        <w:t>e</w:t>
      </w:r>
      <w:r w:rsidR="00624F49">
        <w:rPr>
          <w:rFonts w:ascii="Arial" w:eastAsia="Arial" w:hAnsi="Arial" w:cs="Arial"/>
          <w:color w:val="000000" w:themeColor="text1"/>
          <w:lang w:val="fr-FR"/>
        </w:rPr>
        <w:t>ung</w:t>
      </w:r>
    </w:p>
    <w:p w14:paraId="30D1E356" w14:textId="6F5C0A37" w:rsidR="005F3B6D" w:rsidRPr="00624F49" w:rsidRDefault="005F3B6D" w:rsidP="005F3B6D">
      <w:pPr>
        <w:rPr>
          <w:lang w:val="fr-FR"/>
        </w:rPr>
      </w:pPr>
    </w:p>
    <w:p w14:paraId="6FB9BE66" w14:textId="77777777" w:rsidR="00512409" w:rsidRPr="00624F49" w:rsidRDefault="00512409" w:rsidP="005F3B6D">
      <w:pPr>
        <w:rPr>
          <w:lang w:val="fr-FR"/>
        </w:rPr>
      </w:pPr>
    </w:p>
    <w:p w14:paraId="3F757502" w14:textId="77777777" w:rsidR="00512409" w:rsidRPr="00624F49" w:rsidRDefault="00512409" w:rsidP="005F3B6D">
      <w:pPr>
        <w:rPr>
          <w:lang w:val="fr-FR"/>
        </w:rPr>
      </w:pPr>
    </w:p>
    <w:p w14:paraId="3732E257" w14:textId="77777777" w:rsidR="00512409" w:rsidRPr="00624F49" w:rsidRDefault="00512409" w:rsidP="005F3B6D">
      <w:pPr>
        <w:rPr>
          <w:lang w:val="fr-FR"/>
        </w:rPr>
      </w:pPr>
    </w:p>
    <w:p w14:paraId="51B42832" w14:textId="77777777" w:rsidR="00512409" w:rsidRPr="00624F49" w:rsidRDefault="00512409" w:rsidP="005F3B6D">
      <w:pPr>
        <w:rPr>
          <w:lang w:val="fr-FR"/>
        </w:rPr>
      </w:pPr>
    </w:p>
    <w:p w14:paraId="78FD5B31" w14:textId="77777777" w:rsidR="00512409" w:rsidRPr="00624F49" w:rsidRDefault="00512409" w:rsidP="005F3B6D">
      <w:pPr>
        <w:rPr>
          <w:lang w:val="fr-FR"/>
        </w:rPr>
      </w:pPr>
    </w:p>
    <w:p w14:paraId="66CD40D6" w14:textId="77777777" w:rsidR="00512409" w:rsidRPr="00624F49" w:rsidRDefault="00512409" w:rsidP="005F3B6D">
      <w:pPr>
        <w:rPr>
          <w:lang w:val="fr-FR"/>
        </w:rPr>
      </w:pPr>
    </w:p>
    <w:p w14:paraId="25AC5A12" w14:textId="77777777" w:rsidR="00512409" w:rsidRPr="00624F49" w:rsidRDefault="00512409" w:rsidP="005F3B6D">
      <w:pPr>
        <w:rPr>
          <w:lang w:val="fr-FR"/>
        </w:rPr>
      </w:pPr>
    </w:p>
    <w:p w14:paraId="31FB5E36" w14:textId="77777777" w:rsidR="00512409" w:rsidRPr="00624F49" w:rsidRDefault="00512409" w:rsidP="005F3B6D">
      <w:pPr>
        <w:rPr>
          <w:lang w:val="fr-FR"/>
        </w:rPr>
      </w:pPr>
    </w:p>
    <w:p w14:paraId="01B8BB63" w14:textId="77777777" w:rsidR="00512409" w:rsidRPr="00624F49" w:rsidRDefault="00512409" w:rsidP="005F3B6D">
      <w:pPr>
        <w:rPr>
          <w:lang w:val="fr-FR"/>
        </w:rPr>
      </w:pPr>
    </w:p>
    <w:p w14:paraId="4C630F28" w14:textId="77777777" w:rsidR="00512409" w:rsidRPr="00624F49" w:rsidRDefault="00512409" w:rsidP="005F3B6D">
      <w:pPr>
        <w:rPr>
          <w:lang w:val="fr-FR"/>
        </w:rPr>
      </w:pPr>
    </w:p>
    <w:p w14:paraId="07C9851D" w14:textId="77777777" w:rsidR="00512409" w:rsidRPr="00624F49" w:rsidRDefault="00512409" w:rsidP="005F3B6D">
      <w:pPr>
        <w:rPr>
          <w:lang w:val="fr-FR"/>
        </w:rPr>
      </w:pPr>
    </w:p>
    <w:p w14:paraId="16A4F6F2" w14:textId="77777777" w:rsidR="00512409" w:rsidRPr="00624F49" w:rsidRDefault="00512409" w:rsidP="005F3B6D">
      <w:pPr>
        <w:rPr>
          <w:lang w:val="fr-FR"/>
        </w:rPr>
      </w:pPr>
    </w:p>
    <w:p w14:paraId="4E377F7D" w14:textId="77777777" w:rsidR="00BB74DE" w:rsidRPr="00624F49" w:rsidRDefault="00BB74DE" w:rsidP="005F3B6D">
      <w:pPr>
        <w:rPr>
          <w:lang w:val="fr-FR"/>
        </w:rPr>
      </w:pPr>
    </w:p>
    <w:p w14:paraId="4F9EE0EA" w14:textId="77777777" w:rsidR="00DF3FD5" w:rsidRPr="00624F49" w:rsidRDefault="00DF3FD5" w:rsidP="005F3B6D">
      <w:pPr>
        <w:rPr>
          <w:b/>
          <w:bCs/>
          <w:lang w:val="fr-FR"/>
        </w:rPr>
      </w:pPr>
    </w:p>
    <w:p w14:paraId="496D9C23" w14:textId="337F03CA" w:rsidR="00BB74DE" w:rsidRDefault="007C6CC9" w:rsidP="005F3B6D">
      <w:pPr>
        <w:rPr>
          <w:rFonts w:ascii="Arial" w:hAnsi="Arial" w:cs="Arial"/>
          <w:b/>
          <w:bCs/>
        </w:rPr>
      </w:pPr>
      <w:r w:rsidRPr="007C6CC9">
        <w:rPr>
          <w:rFonts w:ascii="Arial" w:hAnsi="Arial" w:cs="Arial"/>
          <w:b/>
          <w:bCs/>
        </w:rPr>
        <w:t>Table Of Content</w:t>
      </w:r>
    </w:p>
    <w:p w14:paraId="64C49A33" w14:textId="77777777" w:rsidR="00A92246" w:rsidRDefault="00A92246" w:rsidP="005F3B6D">
      <w:pPr>
        <w:rPr>
          <w:rFonts w:ascii="Arial" w:hAnsi="Arial" w:cs="Arial"/>
          <w:b/>
          <w:bCs/>
        </w:rPr>
      </w:pPr>
    </w:p>
    <w:p w14:paraId="0D95D005" w14:textId="363E7529" w:rsidR="00416B42" w:rsidRPr="00A92246" w:rsidRDefault="00416B42" w:rsidP="00416B42">
      <w:pPr>
        <w:spacing w:line="360" w:lineRule="auto"/>
        <w:rPr>
          <w:rFonts w:ascii="Arial" w:hAnsi="Arial" w:cs="Arial"/>
          <w:sz w:val="22"/>
          <w:szCs w:val="22"/>
        </w:rPr>
      </w:pPr>
      <w:r w:rsidRPr="00A92246">
        <w:rPr>
          <w:rFonts w:ascii="Arial" w:hAnsi="Arial" w:cs="Arial"/>
          <w:sz w:val="22"/>
          <w:szCs w:val="22"/>
        </w:rPr>
        <w:t>Prevalence of the Problem</w:t>
      </w:r>
      <w:r w:rsidR="00A92246">
        <w:rPr>
          <w:rFonts w:ascii="Arial" w:hAnsi="Arial" w:cs="Arial"/>
          <w:sz w:val="22"/>
          <w:szCs w:val="22"/>
        </w:rPr>
        <w:t>…………………………………………………………..</w:t>
      </w:r>
      <w:r w:rsidR="000A36A6">
        <w:rPr>
          <w:rFonts w:ascii="Arial" w:hAnsi="Arial" w:cs="Arial"/>
          <w:sz w:val="22"/>
          <w:szCs w:val="22"/>
        </w:rPr>
        <w:t>3</w:t>
      </w:r>
    </w:p>
    <w:p w14:paraId="615B0707" w14:textId="15217193" w:rsidR="004F66E8" w:rsidRPr="00A92246" w:rsidRDefault="004F66E8" w:rsidP="004F66E8">
      <w:pPr>
        <w:spacing w:line="360" w:lineRule="auto"/>
        <w:rPr>
          <w:rFonts w:ascii="Arial" w:hAnsi="Arial" w:cs="Arial"/>
          <w:sz w:val="22"/>
          <w:szCs w:val="22"/>
        </w:rPr>
      </w:pPr>
      <w:r w:rsidRPr="00A92246">
        <w:rPr>
          <w:rFonts w:ascii="Arial" w:hAnsi="Arial" w:cs="Arial"/>
          <w:sz w:val="22"/>
          <w:szCs w:val="22"/>
        </w:rPr>
        <w:t>Introduction and Literature-Based Background</w:t>
      </w:r>
      <w:r w:rsidR="00A92246">
        <w:rPr>
          <w:rFonts w:ascii="Arial" w:hAnsi="Arial" w:cs="Arial"/>
          <w:sz w:val="22"/>
          <w:szCs w:val="22"/>
        </w:rPr>
        <w:t>……………………………………</w:t>
      </w:r>
      <w:r w:rsidR="000A36A6">
        <w:rPr>
          <w:rFonts w:ascii="Arial" w:hAnsi="Arial" w:cs="Arial"/>
          <w:sz w:val="22"/>
          <w:szCs w:val="22"/>
        </w:rPr>
        <w:t>3</w:t>
      </w:r>
    </w:p>
    <w:p w14:paraId="6F639CF6" w14:textId="2DE78B01" w:rsidR="004F66E8" w:rsidRPr="00A92246" w:rsidRDefault="004F66E8" w:rsidP="004F66E8">
      <w:pPr>
        <w:spacing w:line="360" w:lineRule="auto"/>
        <w:rPr>
          <w:rFonts w:ascii="Arial" w:hAnsi="Arial" w:cs="Arial"/>
          <w:sz w:val="22"/>
          <w:szCs w:val="22"/>
        </w:rPr>
      </w:pPr>
      <w:r w:rsidRPr="00A92246">
        <w:rPr>
          <w:rFonts w:ascii="Arial" w:hAnsi="Arial" w:cs="Arial"/>
          <w:sz w:val="22"/>
          <w:szCs w:val="22"/>
        </w:rPr>
        <w:t>Benefits of Digital Health Technologies</w:t>
      </w:r>
      <w:r w:rsidR="00A92246">
        <w:rPr>
          <w:rFonts w:ascii="Arial" w:hAnsi="Arial" w:cs="Arial"/>
          <w:sz w:val="22"/>
          <w:szCs w:val="22"/>
        </w:rPr>
        <w:t>……………………………………………</w:t>
      </w:r>
      <w:r w:rsidR="003914B6">
        <w:rPr>
          <w:rFonts w:ascii="Arial" w:hAnsi="Arial" w:cs="Arial"/>
          <w:sz w:val="22"/>
          <w:szCs w:val="22"/>
        </w:rPr>
        <w:t>.4</w:t>
      </w:r>
    </w:p>
    <w:p w14:paraId="721344A1" w14:textId="0E301FF4" w:rsidR="004F66E8" w:rsidRPr="00A92246" w:rsidRDefault="004F66E8" w:rsidP="004F66E8">
      <w:pPr>
        <w:spacing w:line="360" w:lineRule="auto"/>
        <w:rPr>
          <w:rFonts w:ascii="Arial" w:hAnsi="Arial" w:cs="Arial"/>
          <w:sz w:val="22"/>
          <w:szCs w:val="22"/>
        </w:rPr>
      </w:pPr>
      <w:r w:rsidRPr="00A92246">
        <w:rPr>
          <w:rFonts w:ascii="Arial" w:hAnsi="Arial" w:cs="Arial"/>
          <w:sz w:val="22"/>
          <w:szCs w:val="22"/>
        </w:rPr>
        <w:t>Challenges and Barriers</w:t>
      </w:r>
      <w:r w:rsidR="00A92246">
        <w:rPr>
          <w:rFonts w:ascii="Arial" w:hAnsi="Arial" w:cs="Arial"/>
          <w:sz w:val="22"/>
          <w:szCs w:val="22"/>
        </w:rPr>
        <w:t>…………………………………………………………….</w:t>
      </w:r>
      <w:r w:rsidR="003914B6">
        <w:rPr>
          <w:rFonts w:ascii="Arial" w:hAnsi="Arial" w:cs="Arial"/>
          <w:sz w:val="22"/>
          <w:szCs w:val="22"/>
        </w:rPr>
        <w:t>.4</w:t>
      </w:r>
    </w:p>
    <w:p w14:paraId="6D67DF0B" w14:textId="67469307" w:rsidR="00B93FF6" w:rsidRPr="00A92246" w:rsidRDefault="00B93FF6" w:rsidP="00B93FF6">
      <w:pPr>
        <w:spacing w:line="360" w:lineRule="auto"/>
        <w:rPr>
          <w:rFonts w:ascii="Arial" w:hAnsi="Arial" w:cs="Arial"/>
          <w:sz w:val="22"/>
          <w:szCs w:val="22"/>
        </w:rPr>
      </w:pPr>
      <w:r w:rsidRPr="00A92246">
        <w:rPr>
          <w:rFonts w:ascii="Arial" w:hAnsi="Arial" w:cs="Arial"/>
          <w:sz w:val="22"/>
          <w:szCs w:val="22"/>
        </w:rPr>
        <w:t>Implications for Health and Social Care</w:t>
      </w:r>
      <w:r w:rsidR="00A92246">
        <w:rPr>
          <w:rFonts w:ascii="Arial" w:hAnsi="Arial" w:cs="Arial"/>
          <w:sz w:val="22"/>
          <w:szCs w:val="22"/>
        </w:rPr>
        <w:t>……………………………………………</w:t>
      </w:r>
      <w:r w:rsidR="003914B6">
        <w:rPr>
          <w:rFonts w:ascii="Arial" w:hAnsi="Arial" w:cs="Arial"/>
          <w:sz w:val="22"/>
          <w:szCs w:val="22"/>
        </w:rPr>
        <w:t>5</w:t>
      </w:r>
    </w:p>
    <w:p w14:paraId="7A277D10" w14:textId="1BF7F2BD" w:rsidR="00B93FF6" w:rsidRPr="00A92246" w:rsidRDefault="00B93FF6" w:rsidP="00B93FF6">
      <w:pPr>
        <w:spacing w:line="360" w:lineRule="auto"/>
        <w:rPr>
          <w:rFonts w:ascii="Arial" w:hAnsi="Arial" w:cs="Arial"/>
          <w:sz w:val="22"/>
          <w:szCs w:val="22"/>
        </w:rPr>
      </w:pPr>
      <w:r w:rsidRPr="00A92246">
        <w:rPr>
          <w:rFonts w:ascii="Arial" w:hAnsi="Arial" w:cs="Arial"/>
          <w:sz w:val="22"/>
          <w:szCs w:val="22"/>
        </w:rPr>
        <w:t>Rationale</w:t>
      </w:r>
      <w:r w:rsidR="00A92246">
        <w:rPr>
          <w:rFonts w:ascii="Arial" w:hAnsi="Arial" w:cs="Arial"/>
          <w:sz w:val="22"/>
          <w:szCs w:val="22"/>
        </w:rPr>
        <w:t>……………………………………………</w:t>
      </w:r>
      <w:r w:rsidR="00E459C1">
        <w:rPr>
          <w:rFonts w:ascii="Arial" w:hAnsi="Arial" w:cs="Arial"/>
          <w:sz w:val="22"/>
          <w:szCs w:val="22"/>
        </w:rPr>
        <w:t>………………………………</w:t>
      </w:r>
      <w:r w:rsidR="003914B6">
        <w:rPr>
          <w:rFonts w:ascii="Arial" w:hAnsi="Arial" w:cs="Arial"/>
          <w:sz w:val="22"/>
          <w:szCs w:val="22"/>
        </w:rPr>
        <w:t>…5</w:t>
      </w:r>
    </w:p>
    <w:p w14:paraId="39542941" w14:textId="7D0CA8CB" w:rsidR="00B93FF6" w:rsidRPr="00A92246" w:rsidRDefault="00B93FF6" w:rsidP="00B93FF6">
      <w:pPr>
        <w:spacing w:line="360" w:lineRule="auto"/>
        <w:rPr>
          <w:rFonts w:ascii="Arial" w:hAnsi="Arial" w:cs="Arial"/>
          <w:sz w:val="22"/>
          <w:szCs w:val="22"/>
        </w:rPr>
      </w:pPr>
      <w:r w:rsidRPr="00A92246">
        <w:rPr>
          <w:rFonts w:ascii="Arial" w:hAnsi="Arial" w:cs="Arial"/>
          <w:sz w:val="22"/>
          <w:szCs w:val="22"/>
        </w:rPr>
        <w:t>Research Questions, Aims, Objectives</w:t>
      </w:r>
      <w:r w:rsidR="00E459C1">
        <w:rPr>
          <w:rFonts w:ascii="Arial" w:hAnsi="Arial" w:cs="Arial"/>
          <w:sz w:val="22"/>
          <w:szCs w:val="22"/>
        </w:rPr>
        <w:t>……………………………………………</w:t>
      </w:r>
      <w:r w:rsidR="00AE36C8">
        <w:rPr>
          <w:rFonts w:ascii="Arial" w:hAnsi="Arial" w:cs="Arial"/>
          <w:sz w:val="22"/>
          <w:szCs w:val="22"/>
        </w:rPr>
        <w:t>.6</w:t>
      </w:r>
    </w:p>
    <w:p w14:paraId="6BE20888" w14:textId="4781091A" w:rsidR="00B93FF6" w:rsidRPr="00A92246" w:rsidRDefault="00B93FF6" w:rsidP="008D69F6">
      <w:pPr>
        <w:spacing w:line="360" w:lineRule="auto"/>
        <w:rPr>
          <w:rFonts w:ascii="Arial" w:hAnsi="Arial" w:cs="Arial"/>
          <w:sz w:val="22"/>
          <w:szCs w:val="22"/>
        </w:rPr>
      </w:pPr>
      <w:r w:rsidRPr="00A92246">
        <w:rPr>
          <w:rFonts w:ascii="Arial" w:hAnsi="Arial" w:cs="Arial"/>
          <w:sz w:val="22"/>
          <w:szCs w:val="22"/>
        </w:rPr>
        <w:t>Research Methodology</w:t>
      </w:r>
      <w:r w:rsidR="00E459C1">
        <w:rPr>
          <w:rFonts w:ascii="Arial" w:hAnsi="Arial" w:cs="Arial"/>
          <w:sz w:val="22"/>
          <w:szCs w:val="22"/>
        </w:rPr>
        <w:t>………………………………………………………………</w:t>
      </w:r>
      <w:r w:rsidR="00AE36C8">
        <w:rPr>
          <w:rFonts w:ascii="Arial" w:hAnsi="Arial" w:cs="Arial"/>
          <w:sz w:val="22"/>
          <w:szCs w:val="22"/>
        </w:rPr>
        <w:t>6</w:t>
      </w:r>
    </w:p>
    <w:p w14:paraId="656B9939" w14:textId="3C46F7EC" w:rsidR="00B93FF6" w:rsidRPr="00A92246" w:rsidRDefault="008D69F6" w:rsidP="00B93FF6">
      <w:pPr>
        <w:spacing w:line="360" w:lineRule="auto"/>
        <w:rPr>
          <w:rFonts w:ascii="Arial" w:hAnsi="Arial" w:cs="Arial"/>
          <w:sz w:val="22"/>
          <w:szCs w:val="22"/>
        </w:rPr>
      </w:pPr>
      <w:r w:rsidRPr="00A92246">
        <w:rPr>
          <w:rFonts w:ascii="Arial" w:hAnsi="Arial" w:cs="Arial"/>
          <w:sz w:val="22"/>
          <w:szCs w:val="22"/>
        </w:rPr>
        <w:t>Research Design</w:t>
      </w:r>
      <w:r w:rsidR="00E459C1">
        <w:rPr>
          <w:rFonts w:ascii="Arial" w:hAnsi="Arial" w:cs="Arial"/>
          <w:sz w:val="22"/>
          <w:szCs w:val="22"/>
        </w:rPr>
        <w:t>……………………………………………………………………..</w:t>
      </w:r>
      <w:r w:rsidR="00AE36C8">
        <w:rPr>
          <w:rFonts w:ascii="Arial" w:hAnsi="Arial" w:cs="Arial"/>
          <w:sz w:val="22"/>
          <w:szCs w:val="22"/>
        </w:rPr>
        <w:t>7</w:t>
      </w:r>
    </w:p>
    <w:p w14:paraId="6512824F" w14:textId="032FD8D3" w:rsidR="008D69F6" w:rsidRPr="00A92246" w:rsidRDefault="008D69F6" w:rsidP="008D69F6">
      <w:pPr>
        <w:spacing w:line="360" w:lineRule="auto"/>
        <w:rPr>
          <w:rFonts w:ascii="Arial" w:hAnsi="Arial" w:cs="Arial"/>
          <w:sz w:val="22"/>
          <w:szCs w:val="22"/>
        </w:rPr>
      </w:pPr>
      <w:r w:rsidRPr="00A92246">
        <w:rPr>
          <w:rFonts w:ascii="Arial" w:hAnsi="Arial" w:cs="Arial"/>
          <w:sz w:val="22"/>
          <w:szCs w:val="22"/>
        </w:rPr>
        <w:t>Recruitment, Sampling and Study Participants</w:t>
      </w:r>
      <w:r w:rsidR="00E459C1">
        <w:rPr>
          <w:rFonts w:ascii="Arial" w:hAnsi="Arial" w:cs="Arial"/>
          <w:sz w:val="22"/>
          <w:szCs w:val="22"/>
        </w:rPr>
        <w:t>…………………………………</w:t>
      </w:r>
      <w:r w:rsidR="00AE36C8">
        <w:rPr>
          <w:rFonts w:ascii="Arial" w:hAnsi="Arial" w:cs="Arial"/>
          <w:sz w:val="22"/>
          <w:szCs w:val="22"/>
        </w:rPr>
        <w:t>…</w:t>
      </w:r>
      <w:r w:rsidR="00410DAF">
        <w:rPr>
          <w:rFonts w:ascii="Arial" w:hAnsi="Arial" w:cs="Arial"/>
          <w:sz w:val="22"/>
          <w:szCs w:val="22"/>
        </w:rPr>
        <w:t>8</w:t>
      </w:r>
    </w:p>
    <w:p w14:paraId="2356224C" w14:textId="658C3D8C" w:rsidR="008D69F6" w:rsidRPr="00A92246" w:rsidRDefault="008D69F6" w:rsidP="008D69F6">
      <w:pPr>
        <w:spacing w:line="360" w:lineRule="auto"/>
        <w:rPr>
          <w:rFonts w:ascii="Arial" w:hAnsi="Arial" w:cs="Arial"/>
          <w:sz w:val="22"/>
          <w:szCs w:val="22"/>
        </w:rPr>
      </w:pPr>
      <w:r w:rsidRPr="00A92246">
        <w:rPr>
          <w:rFonts w:ascii="Arial" w:hAnsi="Arial" w:cs="Arial"/>
          <w:sz w:val="22"/>
          <w:szCs w:val="22"/>
        </w:rPr>
        <w:t>Data Collection Methods</w:t>
      </w:r>
      <w:r w:rsidR="00E459C1">
        <w:rPr>
          <w:rFonts w:ascii="Arial" w:hAnsi="Arial" w:cs="Arial"/>
          <w:sz w:val="22"/>
          <w:szCs w:val="22"/>
        </w:rPr>
        <w:t>…………………………………………………………….</w:t>
      </w:r>
      <w:r w:rsidR="00FB0436">
        <w:rPr>
          <w:rFonts w:ascii="Arial" w:hAnsi="Arial" w:cs="Arial"/>
          <w:sz w:val="22"/>
          <w:szCs w:val="22"/>
        </w:rPr>
        <w:t>.8</w:t>
      </w:r>
    </w:p>
    <w:p w14:paraId="643A65CD" w14:textId="502201E5" w:rsidR="008D69F6" w:rsidRPr="00A92246" w:rsidRDefault="008D69F6" w:rsidP="008D69F6">
      <w:pPr>
        <w:spacing w:line="360" w:lineRule="auto"/>
        <w:rPr>
          <w:rFonts w:ascii="Arial" w:hAnsi="Arial" w:cs="Arial"/>
          <w:sz w:val="22"/>
          <w:szCs w:val="22"/>
        </w:rPr>
      </w:pPr>
      <w:r w:rsidRPr="00A92246">
        <w:rPr>
          <w:rFonts w:ascii="Arial" w:hAnsi="Arial" w:cs="Arial"/>
          <w:sz w:val="22"/>
          <w:szCs w:val="22"/>
        </w:rPr>
        <w:t xml:space="preserve">Data </w:t>
      </w:r>
      <w:r w:rsidR="00D558E1" w:rsidRPr="00A92246">
        <w:rPr>
          <w:rFonts w:ascii="Arial" w:hAnsi="Arial" w:cs="Arial"/>
          <w:sz w:val="22"/>
          <w:szCs w:val="22"/>
        </w:rPr>
        <w:t>Analysis</w:t>
      </w:r>
      <w:r w:rsidR="00E459C1">
        <w:rPr>
          <w:rFonts w:ascii="Arial" w:hAnsi="Arial" w:cs="Arial"/>
          <w:sz w:val="22"/>
          <w:szCs w:val="22"/>
        </w:rPr>
        <w:t>………………………………………………………………………….</w:t>
      </w:r>
      <w:r w:rsidR="00FB0436">
        <w:rPr>
          <w:rFonts w:ascii="Arial" w:hAnsi="Arial" w:cs="Arial"/>
          <w:sz w:val="22"/>
          <w:szCs w:val="22"/>
        </w:rPr>
        <w:t>9</w:t>
      </w:r>
    </w:p>
    <w:p w14:paraId="3FE592FD" w14:textId="3FC60F4B" w:rsidR="008D69F6" w:rsidRPr="00A92246" w:rsidRDefault="00D558E1" w:rsidP="008D69F6">
      <w:pPr>
        <w:spacing w:line="360" w:lineRule="auto"/>
        <w:rPr>
          <w:rFonts w:ascii="Arial" w:hAnsi="Arial" w:cs="Arial"/>
          <w:sz w:val="22"/>
          <w:szCs w:val="22"/>
        </w:rPr>
      </w:pPr>
      <w:r w:rsidRPr="00A92246">
        <w:rPr>
          <w:rFonts w:ascii="Arial" w:hAnsi="Arial" w:cs="Arial"/>
          <w:sz w:val="22"/>
          <w:szCs w:val="22"/>
        </w:rPr>
        <w:t>Ethical Considerations</w:t>
      </w:r>
      <w:r w:rsidR="00E459C1">
        <w:rPr>
          <w:rFonts w:ascii="Arial" w:hAnsi="Arial" w:cs="Arial"/>
          <w:sz w:val="22"/>
          <w:szCs w:val="22"/>
        </w:rPr>
        <w:t>………………………………………………………………..</w:t>
      </w:r>
      <w:r w:rsidR="00FB0436">
        <w:rPr>
          <w:rFonts w:ascii="Arial" w:hAnsi="Arial" w:cs="Arial"/>
          <w:sz w:val="22"/>
          <w:szCs w:val="22"/>
        </w:rPr>
        <w:t>10</w:t>
      </w:r>
    </w:p>
    <w:p w14:paraId="5163A58E" w14:textId="3C2BEA7B" w:rsidR="00D558E1" w:rsidRPr="00A92246" w:rsidRDefault="00D558E1" w:rsidP="00D558E1">
      <w:pPr>
        <w:spacing w:line="360" w:lineRule="auto"/>
        <w:rPr>
          <w:rFonts w:ascii="Arial" w:hAnsi="Arial" w:cs="Arial"/>
          <w:sz w:val="22"/>
          <w:szCs w:val="22"/>
        </w:rPr>
      </w:pPr>
      <w:r w:rsidRPr="00A92246">
        <w:rPr>
          <w:rFonts w:ascii="Arial" w:hAnsi="Arial" w:cs="Arial"/>
          <w:sz w:val="22"/>
          <w:szCs w:val="22"/>
        </w:rPr>
        <w:t>Implications of the Research</w:t>
      </w:r>
      <w:r w:rsidR="00E459C1">
        <w:rPr>
          <w:rFonts w:ascii="Arial" w:hAnsi="Arial" w:cs="Arial"/>
          <w:sz w:val="22"/>
          <w:szCs w:val="22"/>
        </w:rPr>
        <w:t>………………………………………………………..</w:t>
      </w:r>
      <w:r w:rsidR="00FB0436">
        <w:rPr>
          <w:rFonts w:ascii="Arial" w:hAnsi="Arial" w:cs="Arial"/>
          <w:sz w:val="22"/>
          <w:szCs w:val="22"/>
        </w:rPr>
        <w:t>.10</w:t>
      </w:r>
    </w:p>
    <w:p w14:paraId="151342AC" w14:textId="3B7E28CF" w:rsidR="00D558E1" w:rsidRPr="00A92246" w:rsidRDefault="00D558E1" w:rsidP="00D558E1">
      <w:pPr>
        <w:spacing w:line="360" w:lineRule="auto"/>
        <w:rPr>
          <w:rFonts w:ascii="Arial" w:hAnsi="Arial" w:cs="Arial"/>
          <w:sz w:val="22"/>
          <w:szCs w:val="22"/>
        </w:rPr>
      </w:pPr>
      <w:r w:rsidRPr="00A92246">
        <w:rPr>
          <w:rFonts w:ascii="Arial" w:hAnsi="Arial" w:cs="Arial"/>
          <w:sz w:val="22"/>
          <w:szCs w:val="22"/>
        </w:rPr>
        <w:t>Plan of Work and Time Schedule (</w:t>
      </w:r>
      <w:r w:rsidR="005E0F10" w:rsidRPr="00A92246">
        <w:rPr>
          <w:rFonts w:ascii="Arial" w:hAnsi="Arial" w:cs="Arial"/>
          <w:sz w:val="22"/>
          <w:szCs w:val="22"/>
        </w:rPr>
        <w:t>G</w:t>
      </w:r>
      <w:r w:rsidR="00A92246" w:rsidRPr="00A92246">
        <w:rPr>
          <w:rFonts w:ascii="Arial" w:hAnsi="Arial" w:cs="Arial"/>
          <w:sz w:val="22"/>
          <w:szCs w:val="22"/>
        </w:rPr>
        <w:t>antt</w:t>
      </w:r>
      <w:r w:rsidRPr="00A92246">
        <w:rPr>
          <w:rFonts w:ascii="Arial" w:hAnsi="Arial" w:cs="Arial"/>
          <w:sz w:val="22"/>
          <w:szCs w:val="22"/>
        </w:rPr>
        <w:t xml:space="preserve"> Chart)</w:t>
      </w:r>
      <w:r w:rsidR="00E459C1">
        <w:rPr>
          <w:rFonts w:ascii="Arial" w:hAnsi="Arial" w:cs="Arial"/>
          <w:sz w:val="22"/>
          <w:szCs w:val="22"/>
        </w:rPr>
        <w:t>…………………………………..</w:t>
      </w:r>
      <w:r w:rsidR="00425E77">
        <w:rPr>
          <w:rFonts w:ascii="Arial" w:hAnsi="Arial" w:cs="Arial"/>
          <w:sz w:val="22"/>
          <w:szCs w:val="22"/>
        </w:rPr>
        <w:t>11</w:t>
      </w:r>
    </w:p>
    <w:p w14:paraId="45DBC254" w14:textId="21C18AB9" w:rsidR="00D558E1" w:rsidRPr="00A92246" w:rsidRDefault="00D558E1" w:rsidP="00D558E1">
      <w:pPr>
        <w:spacing w:line="360" w:lineRule="auto"/>
        <w:rPr>
          <w:rFonts w:ascii="Arial" w:hAnsi="Arial" w:cs="Arial"/>
          <w:sz w:val="22"/>
          <w:szCs w:val="22"/>
        </w:rPr>
      </w:pPr>
      <w:r w:rsidRPr="00A92246">
        <w:rPr>
          <w:rFonts w:ascii="Arial" w:hAnsi="Arial" w:cs="Arial"/>
          <w:sz w:val="22"/>
          <w:szCs w:val="22"/>
        </w:rPr>
        <w:t>Reference List</w:t>
      </w:r>
      <w:r w:rsidR="00E459C1">
        <w:rPr>
          <w:rFonts w:ascii="Arial" w:hAnsi="Arial" w:cs="Arial"/>
          <w:sz w:val="22"/>
          <w:szCs w:val="22"/>
        </w:rPr>
        <w:t>………………………………………………………………………</w:t>
      </w:r>
      <w:r w:rsidR="00D6042D">
        <w:rPr>
          <w:rFonts w:ascii="Arial" w:hAnsi="Arial" w:cs="Arial"/>
          <w:sz w:val="22"/>
          <w:szCs w:val="22"/>
        </w:rPr>
        <w:t>12-14</w:t>
      </w:r>
    </w:p>
    <w:p w14:paraId="30DAB522" w14:textId="77777777" w:rsidR="00D558E1" w:rsidRPr="008D69F6" w:rsidRDefault="00D558E1" w:rsidP="008D69F6">
      <w:pPr>
        <w:spacing w:line="360" w:lineRule="auto"/>
        <w:rPr>
          <w:rFonts w:ascii="Arial" w:hAnsi="Arial" w:cs="Arial"/>
          <w:b/>
          <w:bCs/>
          <w:sz w:val="22"/>
          <w:szCs w:val="22"/>
        </w:rPr>
      </w:pPr>
    </w:p>
    <w:p w14:paraId="4D8792AB" w14:textId="77777777" w:rsidR="008D69F6" w:rsidRDefault="008D69F6" w:rsidP="00B93FF6">
      <w:pPr>
        <w:spacing w:line="360" w:lineRule="auto"/>
        <w:rPr>
          <w:rFonts w:ascii="Arial" w:hAnsi="Arial" w:cs="Arial"/>
          <w:b/>
          <w:bCs/>
          <w:sz w:val="22"/>
          <w:szCs w:val="22"/>
        </w:rPr>
      </w:pPr>
    </w:p>
    <w:p w14:paraId="7A911E7B" w14:textId="77777777" w:rsidR="008D69F6" w:rsidRDefault="008D69F6" w:rsidP="00B93FF6">
      <w:pPr>
        <w:spacing w:line="360" w:lineRule="auto"/>
        <w:rPr>
          <w:rFonts w:ascii="Arial" w:hAnsi="Arial" w:cs="Arial"/>
          <w:b/>
          <w:bCs/>
          <w:sz w:val="22"/>
          <w:szCs w:val="22"/>
        </w:rPr>
      </w:pPr>
    </w:p>
    <w:p w14:paraId="173C4DDA" w14:textId="77777777" w:rsidR="00B93FF6" w:rsidRPr="00B93FF6" w:rsidRDefault="00B93FF6" w:rsidP="00B93FF6">
      <w:pPr>
        <w:spacing w:line="360" w:lineRule="auto"/>
        <w:rPr>
          <w:rFonts w:ascii="Arial" w:hAnsi="Arial" w:cs="Arial"/>
          <w:b/>
          <w:bCs/>
          <w:sz w:val="22"/>
          <w:szCs w:val="22"/>
        </w:rPr>
      </w:pPr>
    </w:p>
    <w:p w14:paraId="59FD81C2" w14:textId="77777777" w:rsidR="00B93FF6" w:rsidRPr="004F66E8" w:rsidRDefault="00B93FF6" w:rsidP="004F66E8">
      <w:pPr>
        <w:spacing w:line="360" w:lineRule="auto"/>
        <w:rPr>
          <w:rFonts w:ascii="Arial" w:hAnsi="Arial" w:cs="Arial"/>
          <w:b/>
          <w:bCs/>
          <w:sz w:val="22"/>
          <w:szCs w:val="22"/>
        </w:rPr>
      </w:pPr>
    </w:p>
    <w:p w14:paraId="3FD88FD9" w14:textId="77777777" w:rsidR="004F66E8" w:rsidRPr="004F66E8" w:rsidRDefault="004F66E8" w:rsidP="004F66E8">
      <w:pPr>
        <w:spacing w:line="360" w:lineRule="auto"/>
        <w:rPr>
          <w:rFonts w:ascii="Arial" w:hAnsi="Arial" w:cs="Arial"/>
          <w:b/>
          <w:bCs/>
          <w:sz w:val="22"/>
          <w:szCs w:val="22"/>
        </w:rPr>
      </w:pPr>
    </w:p>
    <w:p w14:paraId="0461D652" w14:textId="77777777" w:rsidR="00416B42" w:rsidRDefault="00416B42" w:rsidP="005F3B6D">
      <w:pPr>
        <w:rPr>
          <w:b/>
          <w:bCs/>
        </w:rPr>
      </w:pPr>
    </w:p>
    <w:p w14:paraId="26EAB25F" w14:textId="1A36BDA0" w:rsidR="005F3B6D" w:rsidRPr="00D47DD3" w:rsidRDefault="005F3B6D" w:rsidP="00FD2DE7">
      <w:pPr>
        <w:pStyle w:val="ListParagraph"/>
        <w:numPr>
          <w:ilvl w:val="0"/>
          <w:numId w:val="5"/>
        </w:numPr>
        <w:spacing w:line="360" w:lineRule="auto"/>
        <w:rPr>
          <w:rFonts w:ascii="Arial" w:hAnsi="Arial" w:cs="Arial"/>
          <w:b/>
          <w:bCs/>
          <w:sz w:val="22"/>
          <w:szCs w:val="22"/>
        </w:rPr>
      </w:pPr>
      <w:r w:rsidRPr="00D47DD3">
        <w:rPr>
          <w:rFonts w:ascii="Arial" w:hAnsi="Arial" w:cs="Arial"/>
          <w:b/>
          <w:bCs/>
          <w:sz w:val="22"/>
          <w:szCs w:val="22"/>
        </w:rPr>
        <w:lastRenderedPageBreak/>
        <w:t>Prevalence of the Problem</w:t>
      </w:r>
    </w:p>
    <w:p w14:paraId="2212572A" w14:textId="53F99514" w:rsidR="002441DA" w:rsidRPr="00356DA2" w:rsidRDefault="005F3B6D" w:rsidP="00356DA2">
      <w:pPr>
        <w:spacing w:line="360" w:lineRule="auto"/>
        <w:rPr>
          <w:rFonts w:ascii="Arial" w:hAnsi="Arial" w:cs="Arial"/>
          <w:sz w:val="22"/>
          <w:szCs w:val="22"/>
        </w:rPr>
      </w:pPr>
      <w:r w:rsidRPr="00356DA2">
        <w:rPr>
          <w:rFonts w:ascii="Arial" w:hAnsi="Arial" w:cs="Arial"/>
          <w:sz w:val="22"/>
          <w:szCs w:val="22"/>
        </w:rPr>
        <w:t xml:space="preserve">Digital technologies are increasingly integrated into health and social care systems worldwide. In the United Kingdom, the NHS has accelerated the </w:t>
      </w:r>
      <w:r w:rsidR="00316C92" w:rsidRPr="00356DA2">
        <w:rPr>
          <w:rFonts w:ascii="Arial" w:hAnsi="Arial" w:cs="Arial"/>
          <w:sz w:val="22"/>
          <w:szCs w:val="22"/>
        </w:rPr>
        <w:t>adoption of digital health technologies, including</w:t>
      </w:r>
      <w:r w:rsidRPr="00356DA2">
        <w:rPr>
          <w:rFonts w:ascii="Arial" w:hAnsi="Arial" w:cs="Arial"/>
          <w:sz w:val="22"/>
          <w:szCs w:val="22"/>
        </w:rPr>
        <w:t xml:space="preserve"> telemedicine, mobile health applications, remote monitoring devices, and online consultation platforms (NHS England, 2022). These technologies aim to improve efficiency, accessibility, and patient outcomes within healthcare systems.</w:t>
      </w:r>
    </w:p>
    <w:p w14:paraId="6B9A036D" w14:textId="0CC886C2" w:rsidR="001C39FD" w:rsidRPr="00356DA2" w:rsidRDefault="005F3B6D" w:rsidP="00356DA2">
      <w:pPr>
        <w:spacing w:line="360" w:lineRule="auto"/>
        <w:rPr>
          <w:rFonts w:ascii="Arial" w:hAnsi="Arial" w:cs="Arial"/>
          <w:sz w:val="22"/>
          <w:szCs w:val="22"/>
        </w:rPr>
      </w:pPr>
      <w:r w:rsidRPr="00356DA2">
        <w:rPr>
          <w:rFonts w:ascii="Arial" w:hAnsi="Arial" w:cs="Arial"/>
          <w:sz w:val="22"/>
          <w:szCs w:val="22"/>
        </w:rPr>
        <w:t>However, the rapid expansion of digital healthcare has also raised concerns regarding accessibility for certain population groups, particularly older adults. According to the UK Office for National Statistics, approximately 18% of adults aged 65 and over remain digitally excluded, meaning they do not regularly use the internet or digital technologies (ONS, 2023). This digital divide can significantly affect access to healthcare services that increasingly rely on digital platforms.</w:t>
      </w:r>
      <w:r w:rsidR="003B76A6" w:rsidRPr="00356DA2">
        <w:rPr>
          <w:rFonts w:ascii="Arial" w:hAnsi="Arial" w:cs="Arial"/>
          <w:sz w:val="22"/>
          <w:szCs w:val="22"/>
        </w:rPr>
        <w:t xml:space="preserve"> </w:t>
      </w:r>
      <w:r w:rsidRPr="00356DA2">
        <w:rPr>
          <w:rFonts w:ascii="Arial" w:hAnsi="Arial" w:cs="Arial"/>
          <w:sz w:val="22"/>
          <w:szCs w:val="22"/>
        </w:rPr>
        <w:t xml:space="preserve">Older adults often </w:t>
      </w:r>
      <w:r w:rsidR="00316C92" w:rsidRPr="00356DA2">
        <w:rPr>
          <w:rFonts w:ascii="Arial" w:hAnsi="Arial" w:cs="Arial"/>
          <w:sz w:val="22"/>
          <w:szCs w:val="22"/>
        </w:rPr>
        <w:t>face barriers such as limited digital literacy, cognitive decline, physical impairments, and limited</w:t>
      </w:r>
      <w:r w:rsidRPr="00356DA2">
        <w:rPr>
          <w:rFonts w:ascii="Arial" w:hAnsi="Arial" w:cs="Arial"/>
          <w:sz w:val="22"/>
          <w:szCs w:val="22"/>
        </w:rPr>
        <w:t xml:space="preserve"> access to digital devices (Seifert, Cotten and Xie, 2021</w:t>
      </w:r>
      <w:r w:rsidR="00637B3E">
        <w:rPr>
          <w:rFonts w:ascii="Arial" w:hAnsi="Arial" w:cs="Arial"/>
          <w:sz w:val="22"/>
          <w:szCs w:val="22"/>
        </w:rPr>
        <w:t>; Age UK, 2024</w:t>
      </w:r>
      <w:r w:rsidRPr="00356DA2">
        <w:rPr>
          <w:rFonts w:ascii="Arial" w:hAnsi="Arial" w:cs="Arial"/>
          <w:sz w:val="22"/>
          <w:szCs w:val="22"/>
        </w:rPr>
        <w:t>). These barriers may prevent them from fully benefiting from digital health interventions such as online appointment systems, telehealth consultations, and digital prescription services.</w:t>
      </w:r>
    </w:p>
    <w:p w14:paraId="1FC3AE56" w14:textId="68908C9B"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t>At the same time, the UK population is ageing rapidly. It is projected that by 2040</w:t>
      </w:r>
      <w:r w:rsidR="00316C92" w:rsidRPr="00356DA2">
        <w:rPr>
          <w:rFonts w:ascii="Arial" w:hAnsi="Arial" w:cs="Arial"/>
          <w:sz w:val="22"/>
          <w:szCs w:val="22"/>
        </w:rPr>
        <w:t>,</w:t>
      </w:r>
      <w:r w:rsidRPr="00356DA2">
        <w:rPr>
          <w:rFonts w:ascii="Arial" w:hAnsi="Arial" w:cs="Arial"/>
          <w:sz w:val="22"/>
          <w:szCs w:val="22"/>
        </w:rPr>
        <w:t xml:space="preserve"> nearly one in four people in the UK will be aged 65 or over (Age UK, 2022). This demographic shift will place increased pressure on healthcare systems and highlights the importance of effective digital health solutions that support ageing populations.</w:t>
      </w:r>
      <w:r w:rsidR="003B76A6" w:rsidRPr="00356DA2">
        <w:rPr>
          <w:rFonts w:ascii="Arial" w:hAnsi="Arial" w:cs="Arial"/>
          <w:sz w:val="22"/>
          <w:szCs w:val="22"/>
        </w:rPr>
        <w:t xml:space="preserve"> </w:t>
      </w:r>
      <w:r w:rsidRPr="00356DA2">
        <w:rPr>
          <w:rFonts w:ascii="Arial" w:hAnsi="Arial" w:cs="Arial"/>
          <w:sz w:val="22"/>
          <w:szCs w:val="22"/>
        </w:rPr>
        <w:t>Digital health technologies have the potential to support independent living, improve chronic disease management, and reduce healthcare costs (WHO, 2021). However, without addressing accessibility challenges, these innovations may unintentionally widen health inequalities among older adults.</w:t>
      </w:r>
    </w:p>
    <w:p w14:paraId="685441B9" w14:textId="12E3AD07" w:rsidR="003B76A6" w:rsidRDefault="005F3B6D" w:rsidP="00356DA2">
      <w:pPr>
        <w:spacing w:line="360" w:lineRule="auto"/>
        <w:rPr>
          <w:rFonts w:ascii="Arial" w:hAnsi="Arial" w:cs="Arial"/>
          <w:sz w:val="22"/>
          <w:szCs w:val="22"/>
        </w:rPr>
      </w:pPr>
      <w:r w:rsidRPr="00356DA2">
        <w:rPr>
          <w:rFonts w:ascii="Arial" w:hAnsi="Arial" w:cs="Arial"/>
          <w:sz w:val="22"/>
          <w:szCs w:val="22"/>
        </w:rPr>
        <w:t>Understanding both the benefits and barriers of digital health technologies for older adults is therefore critical for developing inclusive healthcare systems and informing future health and social care policies</w:t>
      </w:r>
      <w:r w:rsidR="004F66E8">
        <w:rPr>
          <w:rFonts w:ascii="Arial" w:hAnsi="Arial" w:cs="Arial"/>
          <w:sz w:val="22"/>
          <w:szCs w:val="22"/>
        </w:rPr>
        <w:t>.</w:t>
      </w:r>
    </w:p>
    <w:p w14:paraId="7AFC2479" w14:textId="77777777" w:rsidR="004F66E8" w:rsidRPr="00D47DD3" w:rsidRDefault="004F66E8" w:rsidP="00356DA2">
      <w:pPr>
        <w:spacing w:line="360" w:lineRule="auto"/>
        <w:rPr>
          <w:rFonts w:ascii="Arial" w:hAnsi="Arial" w:cs="Arial"/>
          <w:sz w:val="22"/>
          <w:szCs w:val="22"/>
        </w:rPr>
      </w:pPr>
    </w:p>
    <w:p w14:paraId="2BF2706A" w14:textId="736D23A8" w:rsidR="005F3B6D" w:rsidRPr="00597F1C" w:rsidRDefault="005F3B6D" w:rsidP="00D47DD3">
      <w:pPr>
        <w:pStyle w:val="ListParagraph"/>
        <w:numPr>
          <w:ilvl w:val="0"/>
          <w:numId w:val="5"/>
        </w:numPr>
        <w:spacing w:line="360" w:lineRule="auto"/>
        <w:rPr>
          <w:rFonts w:ascii="Arial" w:hAnsi="Arial" w:cs="Arial"/>
          <w:b/>
          <w:bCs/>
          <w:sz w:val="22"/>
          <w:szCs w:val="22"/>
        </w:rPr>
      </w:pPr>
      <w:r w:rsidRPr="00597F1C">
        <w:rPr>
          <w:rFonts w:ascii="Arial" w:hAnsi="Arial" w:cs="Arial"/>
          <w:b/>
          <w:bCs/>
          <w:sz w:val="22"/>
          <w:szCs w:val="22"/>
        </w:rPr>
        <w:t>Introduction and Literature-Based Background</w:t>
      </w:r>
    </w:p>
    <w:p w14:paraId="0ECF6981" w14:textId="77777777"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t>Digital health technologies refer to the use of information and communication technologies to support healthcare delivery and improve health outcomes (WHO, 2021). Examples include telemedicine consultations, wearable health monitoring devices, mobile health applications, electronic health records, and digital prescription systems.</w:t>
      </w:r>
    </w:p>
    <w:p w14:paraId="57F7210C" w14:textId="4EFF0714" w:rsidR="00616666" w:rsidRPr="00356DA2" w:rsidRDefault="005F3B6D" w:rsidP="00356DA2">
      <w:pPr>
        <w:spacing w:line="360" w:lineRule="auto"/>
        <w:rPr>
          <w:rFonts w:ascii="Arial" w:hAnsi="Arial" w:cs="Arial"/>
          <w:sz w:val="22"/>
          <w:szCs w:val="22"/>
        </w:rPr>
      </w:pPr>
      <w:r w:rsidRPr="00356DA2">
        <w:rPr>
          <w:rFonts w:ascii="Arial" w:hAnsi="Arial" w:cs="Arial"/>
          <w:sz w:val="22"/>
          <w:szCs w:val="22"/>
        </w:rPr>
        <w:lastRenderedPageBreak/>
        <w:t>In recent years, the NHS has invested heavily in digital transformation as part of the NHS Long Term Plan, which emphasises expanding digital healthcare services to improve efficiency and patient access (NHS England, 2019). The COVID-19 pandemic accelerated this transition, leading to widespread adoption of remote consultations and online health services.</w:t>
      </w:r>
      <w:r w:rsidR="00194510" w:rsidRPr="00356DA2">
        <w:rPr>
          <w:rFonts w:ascii="Arial" w:hAnsi="Arial" w:cs="Arial"/>
          <w:sz w:val="22"/>
          <w:szCs w:val="22"/>
        </w:rPr>
        <w:t xml:space="preserve"> However, while digital health technologies have expanded rapidly, concerns remain regarding whether these services are equally accessible to all population groups, particularly older adults who may face barriers related to digital literacy, accessibility, and confidence when using technolo</w:t>
      </w:r>
      <w:r w:rsidR="00194510" w:rsidRPr="00734AFC">
        <w:rPr>
          <w:rFonts w:ascii="Arial" w:hAnsi="Arial" w:cs="Arial"/>
          <w:sz w:val="22"/>
          <w:szCs w:val="22"/>
        </w:rPr>
        <w:t>gy</w:t>
      </w:r>
      <w:r w:rsidR="00BD5770" w:rsidRPr="00734AFC">
        <w:rPr>
          <w:rFonts w:ascii="Arial" w:hAnsi="Arial" w:cs="Arial"/>
          <w:sz w:val="22"/>
          <w:szCs w:val="22"/>
        </w:rPr>
        <w:t xml:space="preserve"> (</w:t>
      </w:r>
      <w:r w:rsidR="00EE27E8" w:rsidRPr="007A624A">
        <w:rPr>
          <w:rFonts w:ascii="Arial" w:hAnsi="Arial" w:cs="Arial"/>
          <w:sz w:val="22"/>
          <w:szCs w:val="22"/>
        </w:rPr>
        <w:t>Department of Health and Social Care</w:t>
      </w:r>
      <w:r w:rsidR="00EE27E8" w:rsidRPr="00734AFC">
        <w:rPr>
          <w:rFonts w:ascii="Arial" w:hAnsi="Arial" w:cs="Arial"/>
          <w:sz w:val="22"/>
          <w:szCs w:val="22"/>
        </w:rPr>
        <w:t xml:space="preserve">, </w:t>
      </w:r>
      <w:r w:rsidR="00EE27E8" w:rsidRPr="007A624A">
        <w:rPr>
          <w:rFonts w:ascii="Arial" w:hAnsi="Arial" w:cs="Arial"/>
          <w:sz w:val="22"/>
          <w:szCs w:val="22"/>
        </w:rPr>
        <w:t>2022)</w:t>
      </w:r>
      <w:r w:rsidR="00194510" w:rsidRPr="00734AFC">
        <w:rPr>
          <w:rFonts w:ascii="Arial" w:hAnsi="Arial" w:cs="Arial"/>
          <w:sz w:val="22"/>
          <w:szCs w:val="22"/>
        </w:rPr>
        <w:t>.</w:t>
      </w:r>
    </w:p>
    <w:p w14:paraId="4EA19BE8" w14:textId="77777777" w:rsidR="005F3B6D" w:rsidRPr="00597F1C" w:rsidRDefault="005F3B6D" w:rsidP="00597F1C">
      <w:pPr>
        <w:pStyle w:val="ListParagraph"/>
        <w:numPr>
          <w:ilvl w:val="0"/>
          <w:numId w:val="5"/>
        </w:numPr>
        <w:spacing w:line="360" w:lineRule="auto"/>
        <w:rPr>
          <w:rFonts w:ascii="Arial" w:hAnsi="Arial" w:cs="Arial"/>
          <w:b/>
          <w:bCs/>
          <w:sz w:val="22"/>
          <w:szCs w:val="22"/>
        </w:rPr>
      </w:pPr>
      <w:r w:rsidRPr="00597F1C">
        <w:rPr>
          <w:rFonts w:ascii="Arial" w:hAnsi="Arial" w:cs="Arial"/>
          <w:b/>
          <w:bCs/>
          <w:sz w:val="22"/>
          <w:szCs w:val="22"/>
        </w:rPr>
        <w:t>Benefits of Digital Health Technologies</w:t>
      </w:r>
    </w:p>
    <w:p w14:paraId="28E6F9A3" w14:textId="7724B1F5"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t xml:space="preserve">Research suggests that digital health technologies can significantly improve </w:t>
      </w:r>
      <w:r w:rsidR="0001285C" w:rsidRPr="00356DA2">
        <w:rPr>
          <w:rFonts w:ascii="Arial" w:hAnsi="Arial" w:cs="Arial"/>
          <w:sz w:val="22"/>
          <w:szCs w:val="22"/>
        </w:rPr>
        <w:t xml:space="preserve">access to healthcare and quality of care </w:t>
      </w:r>
      <w:r w:rsidRPr="00356DA2">
        <w:rPr>
          <w:rFonts w:ascii="Arial" w:hAnsi="Arial" w:cs="Arial"/>
          <w:sz w:val="22"/>
          <w:szCs w:val="22"/>
        </w:rPr>
        <w:t>for older adults. Telehealth services allow patients to consult healthcare professionals remotely, reducing travel barriers and improving access to care for those with mobility limitations (Kruse et al., 2020).</w:t>
      </w:r>
    </w:p>
    <w:p w14:paraId="40039A56" w14:textId="7B23971F"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t>Digital monitoring devices, such as wearable sensors and remote monitoring systems, can support chronic disease management by enabling continuous monitoring of health conditions such as diabetes, cardiovascular disease, and respiratory disorders (Peek et al., 2019). These technologies can reduce hospital admissions and enable earlier intervention when health issues arise.</w:t>
      </w:r>
      <w:r w:rsidR="00643E9F" w:rsidRPr="00356DA2">
        <w:rPr>
          <w:rFonts w:ascii="Arial" w:hAnsi="Arial" w:cs="Arial"/>
          <w:sz w:val="22"/>
          <w:szCs w:val="22"/>
        </w:rPr>
        <w:t xml:space="preserve"> Despite these reported benefits, some studies suggest that the effectiveness of digital health technologies may depend heavily on users’ technological confidence and access to digital resources, which can vary significantly among older populations</w:t>
      </w:r>
      <w:r w:rsidR="00DB77BA">
        <w:rPr>
          <w:rFonts w:ascii="Arial" w:hAnsi="Arial" w:cs="Arial"/>
          <w:sz w:val="22"/>
          <w:szCs w:val="22"/>
        </w:rPr>
        <w:t xml:space="preserve"> </w:t>
      </w:r>
      <w:r w:rsidR="00A05C07">
        <w:rPr>
          <w:rFonts w:ascii="Arial" w:hAnsi="Arial" w:cs="Arial"/>
          <w:sz w:val="22"/>
          <w:szCs w:val="22"/>
        </w:rPr>
        <w:t>(NHS England, 2023)</w:t>
      </w:r>
      <w:r w:rsidR="00643E9F" w:rsidRPr="00356DA2">
        <w:rPr>
          <w:rFonts w:ascii="Arial" w:hAnsi="Arial" w:cs="Arial"/>
          <w:sz w:val="22"/>
          <w:szCs w:val="22"/>
        </w:rPr>
        <w:t>.</w:t>
      </w:r>
    </w:p>
    <w:p w14:paraId="32CACE02" w14:textId="272ABD3B" w:rsidR="00597F1C" w:rsidRPr="00356DA2" w:rsidRDefault="005F3B6D" w:rsidP="00356DA2">
      <w:pPr>
        <w:spacing w:line="360" w:lineRule="auto"/>
        <w:rPr>
          <w:rFonts w:ascii="Arial" w:hAnsi="Arial" w:cs="Arial"/>
          <w:sz w:val="22"/>
          <w:szCs w:val="22"/>
        </w:rPr>
      </w:pPr>
      <w:r w:rsidRPr="00356DA2">
        <w:rPr>
          <w:rFonts w:ascii="Arial" w:hAnsi="Arial" w:cs="Arial"/>
          <w:sz w:val="22"/>
          <w:szCs w:val="22"/>
        </w:rPr>
        <w:t>Additionally, digital technologies can support ageing in place by enabling older adults to remain independent in their own homes for longer periods (Sixsmith et al., 2022). For example, remote monitoring systems can alert healthcare providers or family members if unusual health patterns are detected.</w:t>
      </w:r>
    </w:p>
    <w:p w14:paraId="17456712" w14:textId="77777777" w:rsidR="005F3B6D" w:rsidRPr="00597F1C" w:rsidRDefault="005F3B6D" w:rsidP="00597F1C">
      <w:pPr>
        <w:pStyle w:val="ListParagraph"/>
        <w:numPr>
          <w:ilvl w:val="0"/>
          <w:numId w:val="5"/>
        </w:numPr>
        <w:spacing w:line="360" w:lineRule="auto"/>
        <w:rPr>
          <w:rFonts w:ascii="Arial" w:hAnsi="Arial" w:cs="Arial"/>
          <w:b/>
          <w:bCs/>
          <w:sz w:val="22"/>
          <w:szCs w:val="22"/>
        </w:rPr>
      </w:pPr>
      <w:r w:rsidRPr="00597F1C">
        <w:rPr>
          <w:rFonts w:ascii="Arial" w:hAnsi="Arial" w:cs="Arial"/>
          <w:b/>
          <w:bCs/>
          <w:sz w:val="22"/>
          <w:szCs w:val="22"/>
        </w:rPr>
        <w:t>Challenges and Barriers</w:t>
      </w:r>
    </w:p>
    <w:p w14:paraId="160FE415" w14:textId="6088F9DF"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t xml:space="preserve">Despite these benefits, significant challenges remain. One major concern is the digital divide, which refers to inequalities in access to digital technologies and digital skills (Seifert et al., 2021). Older adults are disproportionately affected by digital exclusion due to limited technological experience, financial barriers, and </w:t>
      </w:r>
      <w:r w:rsidR="0001285C" w:rsidRPr="00356DA2">
        <w:rPr>
          <w:rFonts w:ascii="Arial" w:hAnsi="Arial" w:cs="Arial"/>
          <w:sz w:val="22"/>
          <w:szCs w:val="22"/>
        </w:rPr>
        <w:t xml:space="preserve">a </w:t>
      </w:r>
      <w:r w:rsidRPr="00356DA2">
        <w:rPr>
          <w:rFonts w:ascii="Arial" w:hAnsi="Arial" w:cs="Arial"/>
          <w:sz w:val="22"/>
          <w:szCs w:val="22"/>
        </w:rPr>
        <w:t>lack of digital training.</w:t>
      </w:r>
      <w:r w:rsidR="00597F1C">
        <w:rPr>
          <w:rFonts w:ascii="Arial" w:hAnsi="Arial" w:cs="Arial"/>
          <w:sz w:val="22"/>
          <w:szCs w:val="22"/>
        </w:rPr>
        <w:t xml:space="preserve"> </w:t>
      </w:r>
      <w:r w:rsidRPr="00356DA2">
        <w:rPr>
          <w:rFonts w:ascii="Arial" w:hAnsi="Arial" w:cs="Arial"/>
          <w:sz w:val="22"/>
          <w:szCs w:val="22"/>
        </w:rPr>
        <w:t>Another key barrier is usability. Many digital health technologies are designed without considering the specific needs of older adults, such as visual impairments, reduced dexterity, or cognitive limitations (Mitzner et al., 2019</w:t>
      </w:r>
      <w:r w:rsidR="00F1529C">
        <w:rPr>
          <w:rFonts w:ascii="Arial" w:hAnsi="Arial" w:cs="Arial"/>
          <w:sz w:val="22"/>
          <w:szCs w:val="22"/>
        </w:rPr>
        <w:t>;</w:t>
      </w:r>
      <w:r w:rsidR="00F1529C" w:rsidRPr="00F1529C">
        <w:rPr>
          <w:rFonts w:ascii="Arial" w:hAnsi="Arial" w:cs="Arial"/>
          <w:sz w:val="22"/>
          <w:szCs w:val="22"/>
        </w:rPr>
        <w:t xml:space="preserve"> </w:t>
      </w:r>
      <w:r w:rsidR="00F1529C" w:rsidRPr="00AD1E72">
        <w:rPr>
          <w:rFonts w:ascii="Arial" w:hAnsi="Arial" w:cs="Arial"/>
          <w:sz w:val="22"/>
          <w:szCs w:val="22"/>
        </w:rPr>
        <w:t>Van Dijk, 2019</w:t>
      </w:r>
      <w:r w:rsidRPr="00356DA2">
        <w:rPr>
          <w:rFonts w:ascii="Arial" w:hAnsi="Arial" w:cs="Arial"/>
          <w:sz w:val="22"/>
          <w:szCs w:val="22"/>
        </w:rPr>
        <w:t>). Poorly designed interfaces can discourage adoption and limit the effectiveness of digital interventions.</w:t>
      </w:r>
    </w:p>
    <w:p w14:paraId="7AADBA10" w14:textId="7D95A763"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lastRenderedPageBreak/>
        <w:t xml:space="preserve">Privacy and security concerns also influence technology adoption. Older adults may feel uncomfortable sharing personal health information online due to </w:t>
      </w:r>
      <w:r w:rsidR="005363B1" w:rsidRPr="00356DA2">
        <w:rPr>
          <w:rFonts w:ascii="Arial" w:hAnsi="Arial" w:cs="Arial"/>
          <w:sz w:val="22"/>
          <w:szCs w:val="22"/>
        </w:rPr>
        <w:t xml:space="preserve">concerns about data breaches or the </w:t>
      </w:r>
      <w:r w:rsidRPr="00356DA2">
        <w:rPr>
          <w:rFonts w:ascii="Arial" w:hAnsi="Arial" w:cs="Arial"/>
          <w:sz w:val="22"/>
          <w:szCs w:val="22"/>
        </w:rPr>
        <w:t>misuse of personal data (Czaja et al., 2018).</w:t>
      </w:r>
      <w:r w:rsidR="002D1F03" w:rsidRPr="00356DA2">
        <w:rPr>
          <w:rFonts w:ascii="Arial" w:hAnsi="Arial" w:cs="Arial"/>
          <w:sz w:val="22"/>
          <w:szCs w:val="22"/>
        </w:rPr>
        <w:t xml:space="preserve"> These challenges suggest that while digital health technologies offer significant potential to improve healthcare delivery, their benefits may not be fully realised without targeted strategies to address digital exclusion among older adults.</w:t>
      </w:r>
    </w:p>
    <w:p w14:paraId="75C8001B" w14:textId="77777777" w:rsidR="005F3B6D" w:rsidRPr="00597F1C" w:rsidRDefault="005F3B6D" w:rsidP="00597F1C">
      <w:pPr>
        <w:pStyle w:val="ListParagraph"/>
        <w:numPr>
          <w:ilvl w:val="0"/>
          <w:numId w:val="5"/>
        </w:numPr>
        <w:spacing w:line="360" w:lineRule="auto"/>
        <w:rPr>
          <w:rFonts w:ascii="Arial" w:hAnsi="Arial" w:cs="Arial"/>
          <w:b/>
          <w:bCs/>
          <w:sz w:val="22"/>
          <w:szCs w:val="22"/>
        </w:rPr>
      </w:pPr>
      <w:r w:rsidRPr="00597F1C">
        <w:rPr>
          <w:rFonts w:ascii="Arial" w:hAnsi="Arial" w:cs="Arial"/>
          <w:b/>
          <w:bCs/>
          <w:sz w:val="22"/>
          <w:szCs w:val="22"/>
        </w:rPr>
        <w:t>Implications for Health and Social Care</w:t>
      </w:r>
    </w:p>
    <w:p w14:paraId="4A9F5357" w14:textId="04A926D4" w:rsidR="005F3B6D" w:rsidRPr="00356DA2" w:rsidRDefault="005F3B6D" w:rsidP="00356DA2">
      <w:pPr>
        <w:spacing w:line="360" w:lineRule="auto"/>
        <w:rPr>
          <w:rFonts w:ascii="Arial" w:hAnsi="Arial" w:cs="Arial"/>
          <w:sz w:val="22"/>
          <w:szCs w:val="22"/>
        </w:rPr>
      </w:pPr>
      <w:r w:rsidRPr="00356DA2">
        <w:rPr>
          <w:rFonts w:ascii="Arial" w:hAnsi="Arial" w:cs="Arial"/>
          <w:sz w:val="22"/>
          <w:szCs w:val="22"/>
        </w:rPr>
        <w:t>These challenges highlight the need for inclusive digital healthcare strategies that consider the unique needs of older adults. Health and social care professionals must ensure that digital services are accessible, user-friendly, and supported by adequate training and support systems</w:t>
      </w:r>
      <w:r w:rsidR="0079239C">
        <w:rPr>
          <w:rFonts w:ascii="Arial" w:hAnsi="Arial" w:cs="Arial"/>
          <w:sz w:val="22"/>
          <w:szCs w:val="22"/>
        </w:rPr>
        <w:t xml:space="preserve"> </w:t>
      </w:r>
      <w:r w:rsidR="00D5226E">
        <w:rPr>
          <w:rFonts w:ascii="Arial" w:hAnsi="Arial" w:cs="Arial"/>
          <w:sz w:val="22"/>
          <w:szCs w:val="22"/>
        </w:rPr>
        <w:t>(Kruse, 2020)</w:t>
      </w:r>
      <w:r w:rsidRPr="00356DA2">
        <w:rPr>
          <w:rFonts w:ascii="Arial" w:hAnsi="Arial" w:cs="Arial"/>
          <w:sz w:val="22"/>
          <w:szCs w:val="22"/>
        </w:rPr>
        <w:t>.</w:t>
      </w:r>
      <w:r w:rsidR="00ED4A3A" w:rsidRPr="00356DA2">
        <w:rPr>
          <w:rFonts w:ascii="Arial" w:hAnsi="Arial" w:cs="Arial"/>
          <w:sz w:val="22"/>
          <w:szCs w:val="22"/>
        </w:rPr>
        <w:t xml:space="preserve"> </w:t>
      </w:r>
      <w:r w:rsidRPr="00356DA2">
        <w:rPr>
          <w:rFonts w:ascii="Arial" w:hAnsi="Arial" w:cs="Arial"/>
          <w:sz w:val="22"/>
          <w:szCs w:val="22"/>
        </w:rPr>
        <w:t>Research into the experiences of older adults with digital health technologies is essential to identify practical solutions that can improve accessibility and reduce inequalities.</w:t>
      </w:r>
      <w:r w:rsidR="006555AB" w:rsidRPr="00356DA2">
        <w:rPr>
          <w:rFonts w:ascii="Arial" w:hAnsi="Arial" w:cs="Arial"/>
          <w:sz w:val="22"/>
          <w:szCs w:val="22"/>
        </w:rPr>
        <w:t xml:space="preserve"> This research should encompass a diverse range of participants to capture different perspectives and </w:t>
      </w:r>
      <w:r w:rsidR="00184F35" w:rsidRPr="00356DA2">
        <w:rPr>
          <w:rFonts w:ascii="Arial" w:hAnsi="Arial" w:cs="Arial"/>
          <w:sz w:val="22"/>
          <w:szCs w:val="22"/>
        </w:rPr>
        <w:t>the barriers they face</w:t>
      </w:r>
      <w:r w:rsidR="006555AB" w:rsidRPr="00356DA2">
        <w:rPr>
          <w:rFonts w:ascii="Arial" w:hAnsi="Arial" w:cs="Arial"/>
          <w:sz w:val="22"/>
          <w:szCs w:val="22"/>
        </w:rPr>
        <w:t>, ultimately informing policy changes that promote equitable access to digital health resources.</w:t>
      </w:r>
    </w:p>
    <w:p w14:paraId="5D4CFBE8" w14:textId="4504EBB7" w:rsidR="005F3B6D" w:rsidRPr="00597F1C" w:rsidRDefault="005F3B6D" w:rsidP="00597F1C">
      <w:pPr>
        <w:pStyle w:val="ListParagraph"/>
        <w:numPr>
          <w:ilvl w:val="0"/>
          <w:numId w:val="5"/>
        </w:numPr>
        <w:spacing w:line="360" w:lineRule="auto"/>
        <w:rPr>
          <w:rFonts w:ascii="Arial" w:hAnsi="Arial" w:cs="Arial"/>
          <w:b/>
          <w:bCs/>
          <w:sz w:val="22"/>
          <w:szCs w:val="22"/>
        </w:rPr>
      </w:pPr>
      <w:r w:rsidRPr="00597F1C">
        <w:rPr>
          <w:rFonts w:ascii="Arial" w:hAnsi="Arial" w:cs="Arial"/>
          <w:b/>
          <w:bCs/>
          <w:sz w:val="22"/>
          <w:szCs w:val="22"/>
        </w:rPr>
        <w:t xml:space="preserve">Rationale </w:t>
      </w:r>
    </w:p>
    <w:p w14:paraId="6273D3E1" w14:textId="3137F590" w:rsidR="0019415F" w:rsidRPr="00356DA2" w:rsidRDefault="0019415F" w:rsidP="00356DA2">
      <w:pPr>
        <w:spacing w:line="360" w:lineRule="auto"/>
        <w:rPr>
          <w:rFonts w:ascii="Arial" w:hAnsi="Arial" w:cs="Arial"/>
          <w:sz w:val="22"/>
          <w:szCs w:val="22"/>
        </w:rPr>
      </w:pPr>
      <w:r w:rsidRPr="00356DA2">
        <w:rPr>
          <w:rFonts w:ascii="Arial" w:hAnsi="Arial" w:cs="Arial"/>
          <w:sz w:val="22"/>
          <w:szCs w:val="22"/>
        </w:rPr>
        <w:t>The increasing reliance on digital health technologies within the NHS has created both opportunities and challenges for older adults. While digital tools can enhance healthcare delivery by facilitating remote consultations, improving access to medical records, and enabling health monitoring, they may also exacerbate healthcare inequalities if vulnerable populations</w:t>
      </w:r>
      <w:r w:rsidR="00BD0108" w:rsidRPr="00356DA2">
        <w:rPr>
          <w:rFonts w:ascii="Arial" w:hAnsi="Arial" w:cs="Arial"/>
          <w:sz w:val="22"/>
          <w:szCs w:val="22"/>
        </w:rPr>
        <w:t xml:space="preserve">, particularly older adults, </w:t>
      </w:r>
      <w:r w:rsidRPr="00356DA2">
        <w:rPr>
          <w:rFonts w:ascii="Arial" w:hAnsi="Arial" w:cs="Arial"/>
          <w:sz w:val="22"/>
          <w:szCs w:val="22"/>
        </w:rPr>
        <w:t>are unable to access or use these technologies effectively</w:t>
      </w:r>
      <w:r w:rsidR="0095394B">
        <w:rPr>
          <w:rFonts w:ascii="Arial" w:hAnsi="Arial" w:cs="Arial"/>
          <w:sz w:val="22"/>
          <w:szCs w:val="22"/>
        </w:rPr>
        <w:t xml:space="preserve"> (The </w:t>
      </w:r>
      <w:r w:rsidR="00C122B4">
        <w:rPr>
          <w:rFonts w:ascii="Arial" w:hAnsi="Arial" w:cs="Arial"/>
          <w:sz w:val="22"/>
          <w:szCs w:val="22"/>
        </w:rPr>
        <w:t>King's</w:t>
      </w:r>
      <w:r w:rsidR="0095394B">
        <w:rPr>
          <w:rFonts w:ascii="Arial" w:hAnsi="Arial" w:cs="Arial"/>
          <w:sz w:val="22"/>
          <w:szCs w:val="22"/>
        </w:rPr>
        <w:t xml:space="preserve"> Fund, 2022)</w:t>
      </w:r>
      <w:r w:rsidRPr="00356DA2">
        <w:rPr>
          <w:rFonts w:ascii="Arial" w:hAnsi="Arial" w:cs="Arial"/>
          <w:sz w:val="22"/>
          <w:szCs w:val="22"/>
        </w:rPr>
        <w:t>.</w:t>
      </w:r>
      <w:r w:rsidR="0000251B" w:rsidRPr="00356DA2">
        <w:rPr>
          <w:rFonts w:ascii="Arial" w:hAnsi="Arial" w:cs="Arial"/>
          <w:sz w:val="22"/>
          <w:szCs w:val="22"/>
        </w:rPr>
        <w:t xml:space="preserve"> Consequently, there remains a need for research that explores older adults’ lived experiences with digital health technologies to better understand both the opportunities and limitations of their use within contemporary healthcare systems.</w:t>
      </w:r>
    </w:p>
    <w:p w14:paraId="23060386" w14:textId="1B0AF8CE" w:rsidR="0019415F" w:rsidRPr="00356DA2" w:rsidRDefault="0019415F" w:rsidP="00356DA2">
      <w:pPr>
        <w:spacing w:line="360" w:lineRule="auto"/>
        <w:rPr>
          <w:rFonts w:ascii="Arial" w:hAnsi="Arial" w:cs="Arial"/>
          <w:sz w:val="22"/>
          <w:szCs w:val="22"/>
        </w:rPr>
      </w:pPr>
      <w:r w:rsidRPr="00356DA2">
        <w:rPr>
          <w:rFonts w:ascii="Arial" w:hAnsi="Arial" w:cs="Arial"/>
          <w:sz w:val="22"/>
          <w:szCs w:val="22"/>
        </w:rPr>
        <w:t>Current literature highlights the potential benefits of digital health technologies, such as reduced wait times an</w:t>
      </w:r>
      <w:r w:rsidRPr="00195089">
        <w:rPr>
          <w:rFonts w:ascii="Arial" w:hAnsi="Arial" w:cs="Arial"/>
          <w:sz w:val="22"/>
          <w:szCs w:val="22"/>
        </w:rPr>
        <w:t>d increased patient engagement</w:t>
      </w:r>
      <w:r w:rsidR="00FA5A1D" w:rsidRPr="00195089">
        <w:rPr>
          <w:rFonts w:ascii="Arial" w:hAnsi="Arial" w:cs="Arial"/>
          <w:sz w:val="22"/>
          <w:szCs w:val="22"/>
        </w:rPr>
        <w:t xml:space="preserve"> </w:t>
      </w:r>
      <w:r w:rsidR="00FA5A1D" w:rsidRPr="00195089">
        <w:rPr>
          <w:rFonts w:ascii="Arial" w:hAnsi="Arial" w:cs="Arial"/>
          <w:sz w:val="22"/>
          <w:szCs w:val="22"/>
        </w:rPr>
        <w:t>(National Audit Office, 2020</w:t>
      </w:r>
      <w:r w:rsidR="00A6533A" w:rsidRPr="00195089">
        <w:rPr>
          <w:rFonts w:ascii="Arial" w:hAnsi="Arial" w:cs="Arial"/>
          <w:sz w:val="22"/>
          <w:szCs w:val="22"/>
        </w:rPr>
        <w:t xml:space="preserve">; </w:t>
      </w:r>
      <w:r w:rsidR="00A6533A" w:rsidRPr="007A624A">
        <w:rPr>
          <w:rFonts w:ascii="Arial" w:hAnsi="Arial" w:cs="Arial"/>
          <w:sz w:val="22"/>
          <w:szCs w:val="22"/>
        </w:rPr>
        <w:t>Health Foundation</w:t>
      </w:r>
      <w:r w:rsidR="00195089" w:rsidRPr="00195089">
        <w:rPr>
          <w:rFonts w:ascii="Arial" w:hAnsi="Arial" w:cs="Arial"/>
          <w:sz w:val="22"/>
          <w:szCs w:val="22"/>
        </w:rPr>
        <w:t xml:space="preserve">, </w:t>
      </w:r>
      <w:r w:rsidR="00A6533A" w:rsidRPr="007A624A">
        <w:rPr>
          <w:rFonts w:ascii="Arial" w:hAnsi="Arial" w:cs="Arial"/>
          <w:sz w:val="22"/>
          <w:szCs w:val="22"/>
        </w:rPr>
        <w:t>2022</w:t>
      </w:r>
      <w:r w:rsidR="00FA5A1D" w:rsidRPr="00195089">
        <w:rPr>
          <w:rFonts w:ascii="Arial" w:hAnsi="Arial" w:cs="Arial"/>
          <w:sz w:val="22"/>
          <w:szCs w:val="22"/>
        </w:rPr>
        <w:t>)</w:t>
      </w:r>
      <w:r w:rsidRPr="00195089">
        <w:rPr>
          <w:rFonts w:ascii="Arial" w:hAnsi="Arial" w:cs="Arial"/>
          <w:sz w:val="22"/>
          <w:szCs w:val="22"/>
        </w:rPr>
        <w:t>.</w:t>
      </w:r>
      <w:r w:rsidRPr="00356DA2">
        <w:rPr>
          <w:rFonts w:ascii="Arial" w:hAnsi="Arial" w:cs="Arial"/>
          <w:sz w:val="22"/>
          <w:szCs w:val="22"/>
        </w:rPr>
        <w:t xml:space="preserve"> However, it also </w:t>
      </w:r>
      <w:r w:rsidR="00BD0108" w:rsidRPr="00356DA2">
        <w:rPr>
          <w:rFonts w:ascii="Arial" w:hAnsi="Arial" w:cs="Arial"/>
          <w:sz w:val="22"/>
          <w:szCs w:val="22"/>
        </w:rPr>
        <w:t>emphasises</w:t>
      </w:r>
      <w:r w:rsidRPr="00356DA2">
        <w:rPr>
          <w:rFonts w:ascii="Arial" w:hAnsi="Arial" w:cs="Arial"/>
          <w:sz w:val="22"/>
          <w:szCs w:val="22"/>
        </w:rPr>
        <w:t xml:space="preserve"> barriers such as digital literacy, lack of access to the necessary devices and internet, physical disabilities, and varying levels of trust in technology (Peek et al., 2019). These barriers can prevent older adults from fully participating in their own healthcare, ultimately affecting their health outcomes.</w:t>
      </w:r>
    </w:p>
    <w:p w14:paraId="323C2FF9" w14:textId="732F3ED9" w:rsidR="00F36B29" w:rsidRPr="00356DA2" w:rsidRDefault="0019415F" w:rsidP="00356DA2">
      <w:pPr>
        <w:spacing w:line="360" w:lineRule="auto"/>
        <w:rPr>
          <w:rFonts w:ascii="Arial" w:hAnsi="Arial" w:cs="Arial"/>
          <w:sz w:val="22"/>
          <w:szCs w:val="22"/>
        </w:rPr>
      </w:pPr>
      <w:r w:rsidRPr="00356DA2">
        <w:rPr>
          <w:rFonts w:ascii="Arial" w:hAnsi="Arial" w:cs="Arial"/>
          <w:sz w:val="22"/>
          <w:szCs w:val="22"/>
        </w:rPr>
        <w:t xml:space="preserve">Furthermore, limited research exists exploring how older adults perceive these technologies and their willingness to adopt them. Factors such as </w:t>
      </w:r>
      <w:r w:rsidR="00BD0108" w:rsidRPr="00356DA2">
        <w:rPr>
          <w:rFonts w:ascii="Arial" w:hAnsi="Arial" w:cs="Arial"/>
          <w:sz w:val="22"/>
          <w:szCs w:val="22"/>
        </w:rPr>
        <w:t>prior technology experience, social support systems, and individual health literacy significantly shape</w:t>
      </w:r>
      <w:r w:rsidRPr="00356DA2">
        <w:rPr>
          <w:rFonts w:ascii="Arial" w:hAnsi="Arial" w:cs="Arial"/>
          <w:sz w:val="22"/>
          <w:szCs w:val="22"/>
        </w:rPr>
        <w:t xml:space="preserve"> these perceptions</w:t>
      </w:r>
      <w:r w:rsidR="001D6AEF">
        <w:rPr>
          <w:rFonts w:ascii="Arial" w:hAnsi="Arial" w:cs="Arial"/>
          <w:sz w:val="22"/>
          <w:szCs w:val="22"/>
        </w:rPr>
        <w:t xml:space="preserve"> </w:t>
      </w:r>
      <w:r w:rsidR="002668B6" w:rsidRPr="002668B6">
        <w:rPr>
          <w:rFonts w:ascii="Arial" w:hAnsi="Arial" w:cs="Arial"/>
          <w:sz w:val="22"/>
          <w:szCs w:val="22"/>
        </w:rPr>
        <w:t>(Czaja et al., 2019; Centre for Ageing Better, 2023).</w:t>
      </w:r>
      <w:r w:rsidRPr="00356DA2">
        <w:rPr>
          <w:rFonts w:ascii="Arial" w:hAnsi="Arial" w:cs="Arial"/>
          <w:sz w:val="22"/>
          <w:szCs w:val="22"/>
        </w:rPr>
        <w:t xml:space="preserve"> Understanding the experiences and </w:t>
      </w:r>
      <w:r w:rsidRPr="00356DA2">
        <w:rPr>
          <w:rFonts w:ascii="Arial" w:hAnsi="Arial" w:cs="Arial"/>
          <w:sz w:val="22"/>
          <w:szCs w:val="22"/>
        </w:rPr>
        <w:lastRenderedPageBreak/>
        <w:t xml:space="preserve">perspectives of older adults is, therefore, essential for informing future digital health policies. By addressing the concerns and needs of this demographic, healthcare innovations can be tailored to remain inclusive, ultimately </w:t>
      </w:r>
      <w:r w:rsidR="00BD0108" w:rsidRPr="00356DA2">
        <w:rPr>
          <w:rFonts w:ascii="Arial" w:hAnsi="Arial" w:cs="Arial"/>
          <w:sz w:val="22"/>
          <w:szCs w:val="22"/>
        </w:rPr>
        <w:t xml:space="preserve">improving health equity and </w:t>
      </w:r>
      <w:r w:rsidRPr="00356DA2">
        <w:rPr>
          <w:rFonts w:ascii="Arial" w:hAnsi="Arial" w:cs="Arial"/>
          <w:sz w:val="22"/>
          <w:szCs w:val="22"/>
        </w:rPr>
        <w:t>healthcare outcomes for older adults</w:t>
      </w:r>
      <w:r w:rsidR="00030915">
        <w:rPr>
          <w:rFonts w:ascii="Arial" w:hAnsi="Arial" w:cs="Arial"/>
          <w:sz w:val="22"/>
          <w:szCs w:val="22"/>
        </w:rPr>
        <w:t xml:space="preserve"> </w:t>
      </w:r>
      <w:r w:rsidR="00030915" w:rsidRPr="00030915">
        <w:rPr>
          <w:rFonts w:ascii="Arial" w:hAnsi="Arial" w:cs="Arial"/>
          <w:sz w:val="22"/>
          <w:szCs w:val="22"/>
        </w:rPr>
        <w:t>(Nuffield Trust, 2021)</w:t>
      </w:r>
      <w:r w:rsidRPr="00356DA2">
        <w:rPr>
          <w:rFonts w:ascii="Arial" w:hAnsi="Arial" w:cs="Arial"/>
          <w:sz w:val="22"/>
          <w:szCs w:val="22"/>
        </w:rPr>
        <w:t>. Active engagement and involvement of older adults in the development and implementation of digital health solutions may also enhance their acceptability and effectiveness.</w:t>
      </w:r>
    </w:p>
    <w:p w14:paraId="7CCD5E20" w14:textId="73192960" w:rsidR="005F3B6D" w:rsidRPr="006B5488" w:rsidRDefault="00295DBD" w:rsidP="006B5488">
      <w:pPr>
        <w:pStyle w:val="ListParagraph"/>
        <w:numPr>
          <w:ilvl w:val="0"/>
          <w:numId w:val="5"/>
        </w:numPr>
        <w:spacing w:line="360" w:lineRule="auto"/>
        <w:rPr>
          <w:rFonts w:ascii="Arial" w:hAnsi="Arial" w:cs="Arial"/>
          <w:b/>
          <w:bCs/>
          <w:sz w:val="22"/>
          <w:szCs w:val="22"/>
        </w:rPr>
      </w:pPr>
      <w:r w:rsidRPr="006B5488">
        <w:rPr>
          <w:rFonts w:ascii="Arial" w:hAnsi="Arial" w:cs="Arial"/>
          <w:b/>
          <w:bCs/>
          <w:sz w:val="22"/>
          <w:szCs w:val="22"/>
        </w:rPr>
        <w:t>Research Question, Aim and Objectives</w:t>
      </w:r>
    </w:p>
    <w:p w14:paraId="76093180" w14:textId="77777777" w:rsidR="00D52577" w:rsidRPr="00356DA2" w:rsidRDefault="00D52577" w:rsidP="00356DA2">
      <w:pPr>
        <w:spacing w:line="360" w:lineRule="auto"/>
        <w:rPr>
          <w:rFonts w:ascii="Arial" w:hAnsi="Arial" w:cs="Arial"/>
          <w:b/>
          <w:bCs/>
          <w:sz w:val="22"/>
          <w:szCs w:val="22"/>
        </w:rPr>
      </w:pPr>
      <w:r w:rsidRPr="00356DA2">
        <w:rPr>
          <w:rFonts w:ascii="Arial" w:hAnsi="Arial" w:cs="Arial"/>
          <w:b/>
          <w:bCs/>
          <w:sz w:val="22"/>
          <w:szCs w:val="22"/>
        </w:rPr>
        <w:t>Research Question</w:t>
      </w:r>
    </w:p>
    <w:p w14:paraId="68934D4B" w14:textId="2FABB7F6" w:rsidR="00D52577" w:rsidRPr="00356DA2" w:rsidRDefault="00D52577" w:rsidP="00356DA2">
      <w:pPr>
        <w:spacing w:line="360" w:lineRule="auto"/>
        <w:rPr>
          <w:rFonts w:ascii="Arial" w:hAnsi="Arial" w:cs="Arial"/>
          <w:sz w:val="22"/>
          <w:szCs w:val="22"/>
        </w:rPr>
      </w:pPr>
      <w:r w:rsidRPr="00356DA2">
        <w:rPr>
          <w:rFonts w:ascii="Arial" w:hAnsi="Arial" w:cs="Arial"/>
          <w:sz w:val="22"/>
          <w:szCs w:val="22"/>
        </w:rPr>
        <w:t>What are the benefits and challenges of digital health technologies for older adults in the UK, and how can health and social care services improve accessibility and inclusion?</w:t>
      </w:r>
    </w:p>
    <w:p w14:paraId="6DA0EE74" w14:textId="77777777" w:rsidR="005F3B6D" w:rsidRPr="00356DA2" w:rsidRDefault="005F3B6D" w:rsidP="00356DA2">
      <w:pPr>
        <w:spacing w:line="360" w:lineRule="auto"/>
        <w:rPr>
          <w:rFonts w:ascii="Arial" w:hAnsi="Arial" w:cs="Arial"/>
          <w:b/>
          <w:bCs/>
          <w:sz w:val="22"/>
          <w:szCs w:val="22"/>
        </w:rPr>
      </w:pPr>
      <w:r w:rsidRPr="00356DA2">
        <w:rPr>
          <w:rFonts w:ascii="Arial" w:hAnsi="Arial" w:cs="Arial"/>
          <w:b/>
          <w:bCs/>
          <w:sz w:val="22"/>
          <w:szCs w:val="22"/>
        </w:rPr>
        <w:t>Research Aim</w:t>
      </w:r>
    </w:p>
    <w:p w14:paraId="1C8C9436" w14:textId="49AB3A29" w:rsidR="00406993" w:rsidRPr="00356DA2" w:rsidRDefault="005F3B6D" w:rsidP="00356DA2">
      <w:pPr>
        <w:spacing w:line="360" w:lineRule="auto"/>
        <w:rPr>
          <w:rFonts w:ascii="Arial" w:hAnsi="Arial" w:cs="Arial"/>
          <w:sz w:val="22"/>
          <w:szCs w:val="22"/>
        </w:rPr>
      </w:pPr>
      <w:r w:rsidRPr="00356DA2">
        <w:rPr>
          <w:rFonts w:ascii="Arial" w:hAnsi="Arial" w:cs="Arial"/>
          <w:sz w:val="22"/>
          <w:szCs w:val="22"/>
        </w:rPr>
        <w:t>To explore the benefits and challenges of digital health technologies for older adults in the UK and identify implications for health and social care practice.</w:t>
      </w:r>
    </w:p>
    <w:p w14:paraId="41212F45" w14:textId="77777777" w:rsidR="005F3B6D" w:rsidRPr="00356DA2" w:rsidRDefault="005F3B6D" w:rsidP="00356DA2">
      <w:pPr>
        <w:spacing w:line="360" w:lineRule="auto"/>
        <w:rPr>
          <w:rFonts w:ascii="Arial" w:hAnsi="Arial" w:cs="Arial"/>
          <w:b/>
          <w:bCs/>
          <w:sz w:val="22"/>
          <w:szCs w:val="22"/>
        </w:rPr>
      </w:pPr>
      <w:r w:rsidRPr="00356DA2">
        <w:rPr>
          <w:rFonts w:ascii="Arial" w:hAnsi="Arial" w:cs="Arial"/>
          <w:b/>
          <w:bCs/>
          <w:sz w:val="22"/>
          <w:szCs w:val="22"/>
        </w:rPr>
        <w:t>Research Objectives</w:t>
      </w:r>
    </w:p>
    <w:p w14:paraId="311F3778" w14:textId="77777777" w:rsidR="005F3B6D" w:rsidRPr="00356DA2" w:rsidRDefault="005F3B6D" w:rsidP="00356DA2">
      <w:pPr>
        <w:numPr>
          <w:ilvl w:val="0"/>
          <w:numId w:val="1"/>
        </w:numPr>
        <w:spacing w:line="360" w:lineRule="auto"/>
        <w:rPr>
          <w:rFonts w:ascii="Arial" w:hAnsi="Arial" w:cs="Arial"/>
          <w:sz w:val="22"/>
          <w:szCs w:val="22"/>
        </w:rPr>
      </w:pPr>
      <w:r w:rsidRPr="00356DA2">
        <w:rPr>
          <w:rFonts w:ascii="Arial" w:hAnsi="Arial" w:cs="Arial"/>
          <w:sz w:val="22"/>
          <w:szCs w:val="22"/>
        </w:rPr>
        <w:t>To explore how older adults use digital health technologies.</w:t>
      </w:r>
    </w:p>
    <w:p w14:paraId="159FC26D" w14:textId="77777777" w:rsidR="005F3B6D" w:rsidRPr="00356DA2" w:rsidRDefault="005F3B6D" w:rsidP="00356DA2">
      <w:pPr>
        <w:numPr>
          <w:ilvl w:val="0"/>
          <w:numId w:val="1"/>
        </w:numPr>
        <w:spacing w:line="360" w:lineRule="auto"/>
        <w:rPr>
          <w:rFonts w:ascii="Arial" w:hAnsi="Arial" w:cs="Arial"/>
          <w:sz w:val="22"/>
          <w:szCs w:val="22"/>
        </w:rPr>
      </w:pPr>
      <w:r w:rsidRPr="00356DA2">
        <w:rPr>
          <w:rFonts w:ascii="Arial" w:hAnsi="Arial" w:cs="Arial"/>
          <w:sz w:val="22"/>
          <w:szCs w:val="22"/>
        </w:rPr>
        <w:t>To identify perceived benefits of digital healthcare services.</w:t>
      </w:r>
    </w:p>
    <w:p w14:paraId="2CF27C2E" w14:textId="77777777" w:rsidR="005F3B6D" w:rsidRPr="00356DA2" w:rsidRDefault="005F3B6D" w:rsidP="00356DA2">
      <w:pPr>
        <w:numPr>
          <w:ilvl w:val="0"/>
          <w:numId w:val="1"/>
        </w:numPr>
        <w:spacing w:line="360" w:lineRule="auto"/>
        <w:rPr>
          <w:rFonts w:ascii="Arial" w:hAnsi="Arial" w:cs="Arial"/>
          <w:sz w:val="22"/>
          <w:szCs w:val="22"/>
        </w:rPr>
      </w:pPr>
      <w:r w:rsidRPr="00356DA2">
        <w:rPr>
          <w:rFonts w:ascii="Arial" w:hAnsi="Arial" w:cs="Arial"/>
          <w:sz w:val="22"/>
          <w:szCs w:val="22"/>
        </w:rPr>
        <w:t>To examine barriers that limit the use of digital health technologies among older adults.</w:t>
      </w:r>
    </w:p>
    <w:p w14:paraId="22E1C70E" w14:textId="17E5C633" w:rsidR="00F36B29" w:rsidRDefault="005F3B6D" w:rsidP="00356DA2">
      <w:pPr>
        <w:numPr>
          <w:ilvl w:val="0"/>
          <w:numId w:val="1"/>
        </w:numPr>
        <w:spacing w:line="360" w:lineRule="auto"/>
        <w:rPr>
          <w:rFonts w:ascii="Arial" w:hAnsi="Arial" w:cs="Arial"/>
          <w:sz w:val="22"/>
          <w:szCs w:val="22"/>
        </w:rPr>
      </w:pPr>
      <w:r w:rsidRPr="00356DA2">
        <w:rPr>
          <w:rFonts w:ascii="Arial" w:hAnsi="Arial" w:cs="Arial"/>
          <w:sz w:val="22"/>
          <w:szCs w:val="22"/>
        </w:rPr>
        <w:t>To explore strategies that could improve digital inclusion in healthcare.</w:t>
      </w:r>
    </w:p>
    <w:p w14:paraId="18D4F1FE" w14:textId="77777777" w:rsidR="00524E6B" w:rsidRPr="00524E6B" w:rsidRDefault="00524E6B" w:rsidP="00524E6B">
      <w:pPr>
        <w:spacing w:line="360" w:lineRule="auto"/>
        <w:ind w:left="720"/>
        <w:rPr>
          <w:rFonts w:ascii="Arial" w:hAnsi="Arial" w:cs="Arial"/>
          <w:sz w:val="22"/>
          <w:szCs w:val="22"/>
        </w:rPr>
      </w:pPr>
    </w:p>
    <w:p w14:paraId="21BDBBF8" w14:textId="77777777" w:rsidR="007F7DA1" w:rsidRPr="00BE277F" w:rsidRDefault="007F7DA1" w:rsidP="00BE277F">
      <w:pPr>
        <w:pStyle w:val="ListParagraph"/>
        <w:numPr>
          <w:ilvl w:val="0"/>
          <w:numId w:val="5"/>
        </w:numPr>
        <w:spacing w:line="360" w:lineRule="auto"/>
        <w:rPr>
          <w:rFonts w:ascii="Arial" w:hAnsi="Arial" w:cs="Arial"/>
          <w:b/>
          <w:bCs/>
          <w:sz w:val="22"/>
          <w:szCs w:val="22"/>
        </w:rPr>
      </w:pPr>
      <w:r w:rsidRPr="00BE277F">
        <w:rPr>
          <w:rFonts w:ascii="Arial" w:hAnsi="Arial" w:cs="Arial"/>
          <w:b/>
          <w:bCs/>
          <w:sz w:val="22"/>
          <w:szCs w:val="22"/>
        </w:rPr>
        <w:t>Research Methodology</w:t>
      </w:r>
    </w:p>
    <w:p w14:paraId="7E0595CE" w14:textId="3A628E13"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This study will adopt a secondary research methodology, specifically a systematic literature review. Secondary research involves analysing existing published data rather than collecting primary data from participants (Creswell, 2018).</w:t>
      </w:r>
      <w:r w:rsidR="00F36B29">
        <w:rPr>
          <w:rFonts w:ascii="Arial" w:hAnsi="Arial" w:cs="Arial"/>
          <w:sz w:val="22"/>
          <w:szCs w:val="22"/>
        </w:rPr>
        <w:t xml:space="preserve"> </w:t>
      </w:r>
      <w:r w:rsidRPr="007F7DA1">
        <w:rPr>
          <w:rFonts w:ascii="Arial" w:hAnsi="Arial" w:cs="Arial"/>
          <w:sz w:val="22"/>
          <w:szCs w:val="22"/>
        </w:rPr>
        <w:t xml:space="preserve">A literature review approach is appropriate for this study as it enables a comprehensive examination of existing evidence regarding digital health technologies and their impact on older adults. It </w:t>
      </w:r>
      <w:r w:rsidR="00AB46CC" w:rsidRPr="00356DA2">
        <w:rPr>
          <w:rFonts w:ascii="Arial" w:hAnsi="Arial" w:cs="Arial"/>
          <w:sz w:val="22"/>
          <w:szCs w:val="22"/>
        </w:rPr>
        <w:t>enables the identification of key themes, patterns, and gaps in</w:t>
      </w:r>
      <w:r w:rsidRPr="007F7DA1">
        <w:rPr>
          <w:rFonts w:ascii="Arial" w:hAnsi="Arial" w:cs="Arial"/>
          <w:sz w:val="22"/>
          <w:szCs w:val="22"/>
        </w:rPr>
        <w:t xml:space="preserve"> current research, providing a broader understanding of the topic.</w:t>
      </w:r>
    </w:p>
    <w:p w14:paraId="37E323BF" w14:textId="7E5D6A4C"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Furthermore, secondary research eliminates the need for direct participant involvement, making it more practical within the time constraints of this project while still producing academically robust findings.</w:t>
      </w:r>
      <w:r w:rsidR="0069716A" w:rsidRPr="00356DA2">
        <w:rPr>
          <w:rFonts w:ascii="Arial" w:hAnsi="Arial" w:cs="Arial"/>
          <w:sz w:val="22"/>
          <w:szCs w:val="22"/>
        </w:rPr>
        <w:t xml:space="preserve"> </w:t>
      </w:r>
      <w:r w:rsidRPr="007F7DA1">
        <w:rPr>
          <w:rFonts w:ascii="Arial" w:hAnsi="Arial" w:cs="Arial"/>
          <w:sz w:val="22"/>
          <w:szCs w:val="22"/>
        </w:rPr>
        <w:t xml:space="preserve">However, it is important to acknowledge that secondary </w:t>
      </w:r>
      <w:r w:rsidRPr="007F7DA1">
        <w:rPr>
          <w:rFonts w:ascii="Arial" w:hAnsi="Arial" w:cs="Arial"/>
          <w:sz w:val="22"/>
          <w:szCs w:val="22"/>
        </w:rPr>
        <w:lastRenderedPageBreak/>
        <w:t>research relies on existing studies, which may vary in quality and context</w:t>
      </w:r>
      <w:r w:rsidR="003761B0" w:rsidRPr="00356DA2">
        <w:rPr>
          <w:rFonts w:ascii="Arial" w:hAnsi="Arial" w:cs="Arial"/>
          <w:sz w:val="22"/>
          <w:szCs w:val="22"/>
        </w:rPr>
        <w:t xml:space="preserve"> </w:t>
      </w:r>
      <w:r w:rsidR="003761B0" w:rsidRPr="00356DA2">
        <w:rPr>
          <w:rFonts w:ascii="Arial" w:hAnsi="Arial" w:cs="Arial"/>
          <w:sz w:val="22"/>
          <w:szCs w:val="22"/>
        </w:rPr>
        <w:t>(Booth, Sutton and Papaioannou, 2016)</w:t>
      </w:r>
      <w:r w:rsidRPr="007F7DA1">
        <w:rPr>
          <w:rFonts w:ascii="Arial" w:hAnsi="Arial" w:cs="Arial"/>
          <w:sz w:val="22"/>
          <w:szCs w:val="22"/>
        </w:rPr>
        <w:t>. Therefore, careful selection and critical appraisal of sources will be essential to ensure the reliability and validity of the findings.</w:t>
      </w:r>
    </w:p>
    <w:p w14:paraId="1FDF1A20" w14:textId="057C3642" w:rsidR="007F7DA1" w:rsidRPr="007F7DA1" w:rsidRDefault="007F7DA1" w:rsidP="00356DA2">
      <w:pPr>
        <w:spacing w:line="360" w:lineRule="auto"/>
        <w:rPr>
          <w:rFonts w:ascii="Arial" w:hAnsi="Arial" w:cs="Arial"/>
          <w:sz w:val="22"/>
          <w:szCs w:val="22"/>
        </w:rPr>
      </w:pPr>
    </w:p>
    <w:p w14:paraId="4CF9F8E5" w14:textId="0600E94D" w:rsidR="007F7DA1" w:rsidRPr="002E146A" w:rsidRDefault="007F7DA1" w:rsidP="002E146A">
      <w:pPr>
        <w:pStyle w:val="ListParagraph"/>
        <w:numPr>
          <w:ilvl w:val="0"/>
          <w:numId w:val="5"/>
        </w:numPr>
        <w:spacing w:line="360" w:lineRule="auto"/>
        <w:rPr>
          <w:rFonts w:ascii="Arial" w:hAnsi="Arial" w:cs="Arial"/>
          <w:b/>
          <w:bCs/>
          <w:sz w:val="22"/>
          <w:szCs w:val="22"/>
        </w:rPr>
      </w:pPr>
      <w:r w:rsidRPr="002E146A">
        <w:rPr>
          <w:rFonts w:ascii="Arial" w:hAnsi="Arial" w:cs="Arial"/>
          <w:b/>
          <w:bCs/>
          <w:sz w:val="22"/>
          <w:szCs w:val="22"/>
        </w:rPr>
        <w:t>Research Design</w:t>
      </w:r>
    </w:p>
    <w:p w14:paraId="2CCE36AB" w14:textId="77777777"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The study will adopt a systematic literature review design, guided by a structured and transparent process for identifying, selecting, and analysing relevant academic sources.</w:t>
      </w:r>
    </w:p>
    <w:p w14:paraId="7E1410EA" w14:textId="69075FA3"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A systematic approach ensures that the review is comprehensive, reproducible, and minimises bias (Bryman, 2016). The study will follow key stages</w:t>
      </w:r>
      <w:r w:rsidR="009C16B6" w:rsidRPr="00356DA2">
        <w:rPr>
          <w:rFonts w:ascii="Arial" w:hAnsi="Arial" w:cs="Arial"/>
          <w:sz w:val="22"/>
          <w:szCs w:val="22"/>
        </w:rPr>
        <w:t>,</w:t>
      </w:r>
      <w:r w:rsidRPr="007F7DA1">
        <w:rPr>
          <w:rFonts w:ascii="Arial" w:hAnsi="Arial" w:cs="Arial"/>
          <w:sz w:val="22"/>
          <w:szCs w:val="22"/>
        </w:rPr>
        <w:t xml:space="preserve"> including:</w:t>
      </w:r>
    </w:p>
    <w:p w14:paraId="62D9D632" w14:textId="77777777"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 Defining inclusion and exclusion criteria</w:t>
      </w:r>
      <w:r w:rsidRPr="007F7DA1">
        <w:rPr>
          <w:rFonts w:ascii="Arial" w:hAnsi="Arial" w:cs="Arial"/>
          <w:sz w:val="22"/>
          <w:szCs w:val="22"/>
        </w:rPr>
        <w:br/>
        <w:t>• Conducting database searches</w:t>
      </w:r>
      <w:r w:rsidRPr="007F7DA1">
        <w:rPr>
          <w:rFonts w:ascii="Arial" w:hAnsi="Arial" w:cs="Arial"/>
          <w:sz w:val="22"/>
          <w:szCs w:val="22"/>
        </w:rPr>
        <w:br/>
        <w:t>• Screening and selecting relevant studies</w:t>
      </w:r>
      <w:r w:rsidRPr="007F7DA1">
        <w:rPr>
          <w:rFonts w:ascii="Arial" w:hAnsi="Arial" w:cs="Arial"/>
          <w:sz w:val="22"/>
          <w:szCs w:val="22"/>
        </w:rPr>
        <w:br/>
        <w:t>• Critically appraising selected literature</w:t>
      </w:r>
      <w:r w:rsidRPr="007F7DA1">
        <w:rPr>
          <w:rFonts w:ascii="Arial" w:hAnsi="Arial" w:cs="Arial"/>
          <w:sz w:val="22"/>
          <w:szCs w:val="22"/>
        </w:rPr>
        <w:br/>
        <w:t>• Synthesising findings</w:t>
      </w:r>
    </w:p>
    <w:p w14:paraId="59FB194C" w14:textId="77777777" w:rsidR="007F7DA1" w:rsidRPr="00356DA2" w:rsidRDefault="007F7DA1" w:rsidP="00356DA2">
      <w:pPr>
        <w:spacing w:line="360" w:lineRule="auto"/>
        <w:rPr>
          <w:rFonts w:ascii="Arial" w:hAnsi="Arial" w:cs="Arial"/>
          <w:sz w:val="22"/>
          <w:szCs w:val="22"/>
        </w:rPr>
      </w:pPr>
      <w:r w:rsidRPr="007F7DA1">
        <w:rPr>
          <w:rFonts w:ascii="Arial" w:hAnsi="Arial" w:cs="Arial"/>
          <w:sz w:val="22"/>
          <w:szCs w:val="22"/>
        </w:rPr>
        <w:t>This design is suitable as it allows for the integration of findings from multiple studies, providing a well-rounded understanding of the benefits and challenges of digital health technologies for older adults.</w:t>
      </w:r>
    </w:p>
    <w:p w14:paraId="79092E9F" w14:textId="5401FC09" w:rsidR="00E458D1" w:rsidRPr="00356DA2" w:rsidRDefault="007E5788" w:rsidP="00356DA2">
      <w:pPr>
        <w:spacing w:line="360" w:lineRule="auto"/>
        <w:rPr>
          <w:rFonts w:ascii="Arial" w:hAnsi="Arial" w:cs="Arial"/>
          <w:sz w:val="22"/>
          <w:szCs w:val="22"/>
        </w:rPr>
      </w:pPr>
      <w:r>
        <w:rPr>
          <w:noProof/>
        </w:rPr>
        <w:drawing>
          <wp:inline distT="0" distB="0" distL="0" distR="0" wp14:anchorId="0BAC91BC" wp14:editId="73CC6BA8">
            <wp:extent cx="4650205" cy="3263900"/>
            <wp:effectExtent l="0" t="0" r="0" b="0"/>
            <wp:docPr id="1080425533" name="Picture 8" descr="An editable high resolution scientific image depicting PRISMA Flow Diagram for Systematic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An editable high resolution scientific image depicting PRISMA Flow Diagram for Systematic Review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5907" cy="3274921"/>
                    </a:xfrm>
                    <a:prstGeom prst="rect">
                      <a:avLst/>
                    </a:prstGeom>
                    <a:noFill/>
                    <a:ln>
                      <a:noFill/>
                    </a:ln>
                  </pic:spPr>
                </pic:pic>
              </a:graphicData>
            </a:graphic>
          </wp:inline>
        </w:drawing>
      </w:r>
    </w:p>
    <w:p w14:paraId="1E66D7A2" w14:textId="460C65A7" w:rsidR="004D4ED1" w:rsidRPr="007F7DA1" w:rsidRDefault="00F22A6D" w:rsidP="00356DA2">
      <w:pPr>
        <w:spacing w:line="360" w:lineRule="auto"/>
        <w:rPr>
          <w:rFonts w:ascii="Arial" w:hAnsi="Arial" w:cs="Arial"/>
          <w:sz w:val="22"/>
          <w:szCs w:val="22"/>
        </w:rPr>
      </w:pPr>
      <w:r w:rsidRPr="00356DA2">
        <w:rPr>
          <w:rFonts w:ascii="Arial" w:hAnsi="Arial" w:cs="Arial"/>
          <w:sz w:val="22"/>
          <w:szCs w:val="22"/>
        </w:rPr>
        <w:t>Figure 1. PRISMA-style flow diagram showing the planned study selection process for the literature review</w:t>
      </w:r>
      <w:r w:rsidR="00816D57">
        <w:rPr>
          <w:rFonts w:ascii="Arial" w:hAnsi="Arial" w:cs="Arial"/>
          <w:sz w:val="22"/>
          <w:szCs w:val="22"/>
        </w:rPr>
        <w:t xml:space="preserve"> </w:t>
      </w:r>
      <w:r w:rsidR="00816D57" w:rsidRPr="00816D57">
        <w:rPr>
          <w:rFonts w:ascii="Arial" w:hAnsi="Arial" w:cs="Arial"/>
          <w:sz w:val="22"/>
          <w:szCs w:val="22"/>
        </w:rPr>
        <w:t>(Rosalba Lopez</w:t>
      </w:r>
      <w:r w:rsidR="00816D57">
        <w:rPr>
          <w:rFonts w:ascii="Arial" w:hAnsi="Arial" w:cs="Arial"/>
          <w:i/>
          <w:iCs/>
          <w:sz w:val="22"/>
          <w:szCs w:val="22"/>
        </w:rPr>
        <w:t xml:space="preserve">, </w:t>
      </w:r>
      <w:r w:rsidR="00816D57">
        <w:rPr>
          <w:rFonts w:ascii="Arial" w:hAnsi="Arial" w:cs="Arial"/>
          <w:sz w:val="22"/>
          <w:szCs w:val="22"/>
        </w:rPr>
        <w:t>2026</w:t>
      </w:r>
      <w:r w:rsidR="00816D57" w:rsidRPr="00816D57">
        <w:rPr>
          <w:rFonts w:ascii="Arial" w:hAnsi="Arial" w:cs="Arial"/>
          <w:sz w:val="22"/>
          <w:szCs w:val="22"/>
        </w:rPr>
        <w:t>)</w:t>
      </w:r>
      <w:r w:rsidR="00BD705E">
        <w:rPr>
          <w:rFonts w:ascii="Arial" w:hAnsi="Arial" w:cs="Arial"/>
          <w:sz w:val="22"/>
          <w:szCs w:val="22"/>
        </w:rPr>
        <w:t>.</w:t>
      </w:r>
    </w:p>
    <w:p w14:paraId="3F10C3D9" w14:textId="117FBA1F" w:rsidR="007F7DA1" w:rsidRPr="002E146A" w:rsidRDefault="007F7DA1" w:rsidP="002E146A">
      <w:pPr>
        <w:pStyle w:val="ListParagraph"/>
        <w:numPr>
          <w:ilvl w:val="0"/>
          <w:numId w:val="5"/>
        </w:numPr>
        <w:spacing w:line="360" w:lineRule="auto"/>
        <w:rPr>
          <w:rFonts w:ascii="Arial" w:hAnsi="Arial" w:cs="Arial"/>
          <w:b/>
          <w:bCs/>
          <w:sz w:val="22"/>
          <w:szCs w:val="22"/>
        </w:rPr>
      </w:pPr>
      <w:r w:rsidRPr="002E146A">
        <w:rPr>
          <w:rFonts w:ascii="Arial" w:hAnsi="Arial" w:cs="Arial"/>
          <w:b/>
          <w:bCs/>
          <w:sz w:val="22"/>
          <w:szCs w:val="22"/>
        </w:rPr>
        <w:lastRenderedPageBreak/>
        <w:t>Recruitment, Sampling and Study Participants</w:t>
      </w:r>
    </w:p>
    <w:p w14:paraId="01363A8C" w14:textId="49A799A3"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 xml:space="preserve">As this study is based on secondary data, no </w:t>
      </w:r>
      <w:r w:rsidR="00317285" w:rsidRPr="00356DA2">
        <w:rPr>
          <w:rFonts w:ascii="Arial" w:hAnsi="Arial" w:cs="Arial"/>
          <w:sz w:val="22"/>
          <w:szCs w:val="22"/>
        </w:rPr>
        <w:t>participants will be recruited directly</w:t>
      </w:r>
      <w:r w:rsidRPr="007F7DA1">
        <w:rPr>
          <w:rFonts w:ascii="Arial" w:hAnsi="Arial" w:cs="Arial"/>
          <w:sz w:val="22"/>
          <w:szCs w:val="22"/>
        </w:rPr>
        <w:t>.</w:t>
      </w:r>
    </w:p>
    <w:p w14:paraId="1870B0C1" w14:textId="77777777"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Instead, the “sample” will consist of academic literature and published studies.</w:t>
      </w:r>
    </w:p>
    <w:p w14:paraId="36398FD1" w14:textId="64479AC5" w:rsidR="007F7DA1" w:rsidRPr="007F7DA1" w:rsidRDefault="00BC382D" w:rsidP="00356DA2">
      <w:pPr>
        <w:spacing w:line="360" w:lineRule="auto"/>
        <w:rPr>
          <w:rFonts w:ascii="Arial" w:hAnsi="Arial" w:cs="Arial"/>
          <w:b/>
          <w:bCs/>
          <w:sz w:val="22"/>
          <w:szCs w:val="22"/>
        </w:rPr>
      </w:pPr>
      <w:r>
        <w:rPr>
          <w:rFonts w:ascii="Arial" w:hAnsi="Arial" w:cs="Arial"/>
          <w:b/>
          <w:bCs/>
          <w:sz w:val="22"/>
          <w:szCs w:val="22"/>
        </w:rPr>
        <w:t xml:space="preserve">10.1 </w:t>
      </w:r>
      <w:r w:rsidR="007F7DA1" w:rsidRPr="007F7DA1">
        <w:rPr>
          <w:rFonts w:ascii="Arial" w:hAnsi="Arial" w:cs="Arial"/>
          <w:b/>
          <w:bCs/>
          <w:sz w:val="22"/>
          <w:szCs w:val="22"/>
        </w:rPr>
        <w:t>Inclusion Criteria for Literature</w:t>
      </w:r>
    </w:p>
    <w:p w14:paraId="594F10A4" w14:textId="77777777"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Studies will be included if they:</w:t>
      </w:r>
    </w:p>
    <w:p w14:paraId="493E3F4A" w14:textId="77777777"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 Focus on adults aged 65 years and over</w:t>
      </w:r>
      <w:r w:rsidRPr="007F7DA1">
        <w:rPr>
          <w:rFonts w:ascii="Arial" w:hAnsi="Arial" w:cs="Arial"/>
          <w:sz w:val="22"/>
          <w:szCs w:val="22"/>
        </w:rPr>
        <w:br/>
        <w:t>• Explore digital health technologies (e.g., telehealth, apps, remote monitoring)</w:t>
      </w:r>
      <w:r w:rsidRPr="007F7DA1">
        <w:rPr>
          <w:rFonts w:ascii="Arial" w:hAnsi="Arial" w:cs="Arial"/>
          <w:sz w:val="22"/>
          <w:szCs w:val="22"/>
        </w:rPr>
        <w:br/>
        <w:t>• Are conducted within the UK or comparable healthcare systems</w:t>
      </w:r>
      <w:r w:rsidRPr="007F7DA1">
        <w:rPr>
          <w:rFonts w:ascii="Arial" w:hAnsi="Arial" w:cs="Arial"/>
          <w:sz w:val="22"/>
          <w:szCs w:val="22"/>
        </w:rPr>
        <w:br/>
        <w:t>• Are published in peer-reviewed journals</w:t>
      </w:r>
      <w:r w:rsidRPr="007F7DA1">
        <w:rPr>
          <w:rFonts w:ascii="Arial" w:hAnsi="Arial" w:cs="Arial"/>
          <w:sz w:val="22"/>
          <w:szCs w:val="22"/>
        </w:rPr>
        <w:br/>
        <w:t>• Are written in English</w:t>
      </w:r>
      <w:r w:rsidRPr="007F7DA1">
        <w:rPr>
          <w:rFonts w:ascii="Arial" w:hAnsi="Arial" w:cs="Arial"/>
          <w:sz w:val="22"/>
          <w:szCs w:val="22"/>
        </w:rPr>
        <w:br/>
        <w:t>• Were published within the last 10 years</w:t>
      </w:r>
    </w:p>
    <w:p w14:paraId="740EE04F" w14:textId="26EF7D6F" w:rsidR="007F7DA1" w:rsidRPr="007F7DA1" w:rsidRDefault="00BC382D" w:rsidP="00356DA2">
      <w:pPr>
        <w:spacing w:line="360" w:lineRule="auto"/>
        <w:rPr>
          <w:rFonts w:ascii="Arial" w:hAnsi="Arial" w:cs="Arial"/>
          <w:b/>
          <w:bCs/>
          <w:sz w:val="22"/>
          <w:szCs w:val="22"/>
        </w:rPr>
      </w:pPr>
      <w:r>
        <w:rPr>
          <w:rFonts w:ascii="Arial" w:hAnsi="Arial" w:cs="Arial"/>
          <w:b/>
          <w:bCs/>
          <w:sz w:val="22"/>
          <w:szCs w:val="22"/>
        </w:rPr>
        <w:t xml:space="preserve">10.2 </w:t>
      </w:r>
      <w:r w:rsidR="007F7DA1" w:rsidRPr="007F7DA1">
        <w:rPr>
          <w:rFonts w:ascii="Arial" w:hAnsi="Arial" w:cs="Arial"/>
          <w:b/>
          <w:bCs/>
          <w:sz w:val="22"/>
          <w:szCs w:val="22"/>
        </w:rPr>
        <w:t>Exclusion Criteria</w:t>
      </w:r>
    </w:p>
    <w:p w14:paraId="79C01C26" w14:textId="77777777"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 Studies focusing on younger populations</w:t>
      </w:r>
      <w:r w:rsidRPr="007F7DA1">
        <w:rPr>
          <w:rFonts w:ascii="Arial" w:hAnsi="Arial" w:cs="Arial"/>
          <w:sz w:val="22"/>
          <w:szCs w:val="22"/>
        </w:rPr>
        <w:br/>
        <w:t>• Non-peer-reviewed sources</w:t>
      </w:r>
      <w:r w:rsidRPr="007F7DA1">
        <w:rPr>
          <w:rFonts w:ascii="Arial" w:hAnsi="Arial" w:cs="Arial"/>
          <w:sz w:val="22"/>
          <w:szCs w:val="22"/>
        </w:rPr>
        <w:br/>
        <w:t>• Studies not related to healthcare</w:t>
      </w:r>
    </w:p>
    <w:p w14:paraId="07754819" w14:textId="515FF10C" w:rsidR="007F7DA1" w:rsidRPr="007F7DA1" w:rsidRDefault="007F7DA1" w:rsidP="00356DA2">
      <w:pPr>
        <w:spacing w:line="360" w:lineRule="auto"/>
        <w:rPr>
          <w:rFonts w:ascii="Arial" w:hAnsi="Arial" w:cs="Arial"/>
          <w:sz w:val="22"/>
          <w:szCs w:val="22"/>
        </w:rPr>
      </w:pPr>
      <w:r w:rsidRPr="007F7DA1">
        <w:rPr>
          <w:rFonts w:ascii="Arial" w:hAnsi="Arial" w:cs="Arial"/>
          <w:sz w:val="22"/>
          <w:szCs w:val="22"/>
        </w:rPr>
        <w:t>A purposive sampling strategy will be used to select the most relevant and high-quality studies.</w:t>
      </w:r>
    </w:p>
    <w:p w14:paraId="395BA161" w14:textId="4AADFE07" w:rsidR="007F7DA1" w:rsidRPr="002E146A" w:rsidRDefault="007F7DA1" w:rsidP="002E146A">
      <w:pPr>
        <w:pStyle w:val="ListParagraph"/>
        <w:numPr>
          <w:ilvl w:val="0"/>
          <w:numId w:val="5"/>
        </w:numPr>
        <w:spacing w:line="360" w:lineRule="auto"/>
        <w:rPr>
          <w:rFonts w:ascii="Arial" w:hAnsi="Arial" w:cs="Arial"/>
          <w:b/>
          <w:bCs/>
          <w:sz w:val="22"/>
          <w:szCs w:val="22"/>
        </w:rPr>
      </w:pPr>
      <w:r w:rsidRPr="002E146A">
        <w:rPr>
          <w:rFonts w:ascii="Arial" w:hAnsi="Arial" w:cs="Arial"/>
          <w:b/>
          <w:bCs/>
          <w:sz w:val="22"/>
          <w:szCs w:val="22"/>
        </w:rPr>
        <w:t>Data Collection Methods</w:t>
      </w:r>
    </w:p>
    <w:p w14:paraId="7E820206" w14:textId="467CEB26" w:rsidR="00746698" w:rsidRPr="00356DA2" w:rsidRDefault="00746698" w:rsidP="00356DA2">
      <w:pPr>
        <w:spacing w:line="360" w:lineRule="auto"/>
        <w:rPr>
          <w:rFonts w:ascii="Arial" w:hAnsi="Arial" w:cs="Arial"/>
          <w:sz w:val="22"/>
          <w:szCs w:val="22"/>
        </w:rPr>
      </w:pPr>
      <w:r w:rsidRPr="00746698">
        <w:rPr>
          <w:rFonts w:ascii="Arial" w:hAnsi="Arial" w:cs="Arial"/>
          <w:sz w:val="22"/>
          <w:szCs w:val="22"/>
        </w:rPr>
        <w:t xml:space="preserve">Data will be collected through a systematic and structured search of electronic databases, including PubMed, </w:t>
      </w:r>
      <w:r w:rsidR="00E113A2" w:rsidRPr="00356DA2">
        <w:rPr>
          <w:rFonts w:ascii="Arial" w:hAnsi="Arial" w:cs="Arial"/>
          <w:sz w:val="22"/>
          <w:szCs w:val="22"/>
        </w:rPr>
        <w:t>UWTSD</w:t>
      </w:r>
      <w:r w:rsidRPr="00746698">
        <w:rPr>
          <w:rFonts w:ascii="Arial" w:hAnsi="Arial" w:cs="Arial"/>
          <w:sz w:val="22"/>
          <w:szCs w:val="22"/>
        </w:rPr>
        <w:t>, and Google Scholar. These databases have been selected to ensure comprehensive coverage of high-quality, peer-reviewed literature relevant to digital health technologies and older adults within healthcare contexts.</w:t>
      </w:r>
      <w:r w:rsidR="00E84D8B" w:rsidRPr="00356DA2">
        <w:rPr>
          <w:rFonts w:ascii="Arial" w:hAnsi="Arial" w:cs="Arial"/>
          <w:sz w:val="22"/>
          <w:szCs w:val="22"/>
        </w:rPr>
        <w:t xml:space="preserve"> </w:t>
      </w:r>
      <w:r w:rsidR="00E84D8B" w:rsidRPr="00356DA2">
        <w:rPr>
          <w:rFonts w:ascii="Arial" w:hAnsi="Arial" w:cs="Arial"/>
          <w:sz w:val="22"/>
          <w:szCs w:val="22"/>
        </w:rPr>
        <w:t>In addition, UK-specific sources such as NHS England, the National Institute for Health and Care Excellence (NICE), and the Office for National Statistics (ONS) will be incorporated to ensure the inclusion of contextually relevant policy, clinical guidance, and population-level data. The inclusion of these UK-focused sources strengthens the applicability of the findings to the UK health and social care context, enhancing the relevance and transferability of the study.</w:t>
      </w:r>
    </w:p>
    <w:p w14:paraId="5C94961E" w14:textId="77777777" w:rsidR="00746698" w:rsidRPr="00746698" w:rsidRDefault="00746698" w:rsidP="00356DA2">
      <w:pPr>
        <w:spacing w:line="360" w:lineRule="auto"/>
        <w:rPr>
          <w:rFonts w:ascii="Arial" w:hAnsi="Arial" w:cs="Arial"/>
          <w:sz w:val="22"/>
          <w:szCs w:val="22"/>
        </w:rPr>
      </w:pPr>
      <w:r w:rsidRPr="00746698">
        <w:rPr>
          <w:rFonts w:ascii="Arial" w:hAnsi="Arial" w:cs="Arial"/>
          <w:sz w:val="22"/>
          <w:szCs w:val="22"/>
        </w:rPr>
        <w:t xml:space="preserve">A clearly defined search strategy will be employed using a combination of key terms, including “digital health technologies”, “older adults”, “elderly”, “telehealth”, “digital exclusion”, and “UK healthcare”. Boolean operators (AND/OR) will be applied to refine and combine search terms, thereby improving the precision and relevance of retrieved studies. </w:t>
      </w:r>
      <w:r w:rsidRPr="00746698">
        <w:rPr>
          <w:rFonts w:ascii="Arial" w:hAnsi="Arial" w:cs="Arial"/>
          <w:sz w:val="22"/>
          <w:szCs w:val="22"/>
        </w:rPr>
        <w:lastRenderedPageBreak/>
        <w:t>For example, search strings such as “digital health AND older adults AND UK” and “telehealth OR digital care AND elderly AND barriers” will be used.</w:t>
      </w:r>
    </w:p>
    <w:p w14:paraId="5063E88A" w14:textId="7FA63B5E" w:rsidR="00746698" w:rsidRPr="00746698" w:rsidRDefault="00746698" w:rsidP="00356DA2">
      <w:pPr>
        <w:spacing w:line="360" w:lineRule="auto"/>
        <w:rPr>
          <w:rFonts w:ascii="Arial" w:hAnsi="Arial" w:cs="Arial"/>
          <w:sz w:val="22"/>
          <w:szCs w:val="22"/>
        </w:rPr>
      </w:pPr>
      <w:r w:rsidRPr="00746698">
        <w:rPr>
          <w:rFonts w:ascii="Arial" w:hAnsi="Arial" w:cs="Arial"/>
          <w:sz w:val="22"/>
          <w:szCs w:val="22"/>
        </w:rPr>
        <w:t>The study will adopt a PRISMA-informed approach to guide the identification, screening, and selection of relevant literature, ensuring transparency and reproducibility throughout the review process. This will involve systematically recording the number of studies identified, screened, excluded, and included at each stage</w:t>
      </w:r>
      <w:r w:rsidR="004D660E">
        <w:rPr>
          <w:rFonts w:ascii="Arial" w:hAnsi="Arial" w:cs="Arial"/>
          <w:sz w:val="22"/>
          <w:szCs w:val="22"/>
        </w:rPr>
        <w:t xml:space="preserve"> </w:t>
      </w:r>
      <w:r w:rsidR="004D660E" w:rsidRPr="004D660E">
        <w:rPr>
          <w:rFonts w:ascii="Arial" w:hAnsi="Arial" w:cs="Arial"/>
          <w:sz w:val="22"/>
          <w:szCs w:val="22"/>
        </w:rPr>
        <w:t>(Kukreja, 2025)</w:t>
      </w:r>
      <w:r w:rsidRPr="00746698">
        <w:rPr>
          <w:rFonts w:ascii="Arial" w:hAnsi="Arial" w:cs="Arial"/>
          <w:sz w:val="22"/>
          <w:szCs w:val="22"/>
        </w:rPr>
        <w:t>.</w:t>
      </w:r>
      <w:r w:rsidR="0042575F">
        <w:rPr>
          <w:rFonts w:ascii="Arial" w:hAnsi="Arial" w:cs="Arial"/>
          <w:sz w:val="22"/>
          <w:szCs w:val="22"/>
        </w:rPr>
        <w:t xml:space="preserve"> </w:t>
      </w:r>
      <w:r w:rsidRPr="00746698">
        <w:rPr>
          <w:rFonts w:ascii="Arial" w:hAnsi="Arial" w:cs="Arial"/>
          <w:sz w:val="22"/>
          <w:szCs w:val="22"/>
        </w:rPr>
        <w:t xml:space="preserve">Following the screening process, data extraction will be conducted using a structured approach to ensure consistency across all included studies. Key information </w:t>
      </w:r>
      <w:r w:rsidR="00E35308" w:rsidRPr="00356DA2">
        <w:rPr>
          <w:rFonts w:ascii="Arial" w:hAnsi="Arial" w:cs="Arial"/>
          <w:sz w:val="22"/>
          <w:szCs w:val="22"/>
        </w:rPr>
        <w:t xml:space="preserve">to be extracted will include study aims, research methodology, sample characteristics, key findings, and the </w:t>
      </w:r>
      <w:r w:rsidRPr="00746698">
        <w:rPr>
          <w:rFonts w:ascii="Arial" w:hAnsi="Arial" w:cs="Arial"/>
          <w:sz w:val="22"/>
          <w:szCs w:val="22"/>
        </w:rPr>
        <w:t>identified benefits and challenges associated with digital health technologies.</w:t>
      </w:r>
    </w:p>
    <w:p w14:paraId="69F80B8E" w14:textId="7FBDAF83" w:rsidR="00746698" w:rsidRPr="00746698" w:rsidRDefault="00746698" w:rsidP="00356DA2">
      <w:pPr>
        <w:spacing w:line="360" w:lineRule="auto"/>
        <w:rPr>
          <w:rFonts w:ascii="Arial" w:hAnsi="Arial" w:cs="Arial"/>
          <w:sz w:val="22"/>
          <w:szCs w:val="22"/>
        </w:rPr>
      </w:pPr>
      <w:r w:rsidRPr="00746698">
        <w:rPr>
          <w:rFonts w:ascii="Arial" w:hAnsi="Arial" w:cs="Arial"/>
          <w:sz w:val="22"/>
          <w:szCs w:val="22"/>
        </w:rPr>
        <w:t xml:space="preserve">However, it is important to acknowledge that the quality and scope of the findings are dependent on the available literature, which may vary in methodological rigour and context. Therefore, a critical approach will be adopted when interpreting </w:t>
      </w:r>
      <w:r w:rsidR="00F258F6" w:rsidRPr="00356DA2">
        <w:rPr>
          <w:rFonts w:ascii="Arial" w:hAnsi="Arial" w:cs="Arial"/>
          <w:sz w:val="22"/>
          <w:szCs w:val="22"/>
        </w:rPr>
        <w:t>the findings to ensure a balanced,</w:t>
      </w:r>
      <w:r w:rsidRPr="00746698">
        <w:rPr>
          <w:rFonts w:ascii="Arial" w:hAnsi="Arial" w:cs="Arial"/>
          <w:sz w:val="22"/>
          <w:szCs w:val="22"/>
        </w:rPr>
        <w:t xml:space="preserve"> evidence-informed synthesis</w:t>
      </w:r>
      <w:r w:rsidR="00F569A7">
        <w:rPr>
          <w:rFonts w:ascii="Arial" w:hAnsi="Arial" w:cs="Arial"/>
          <w:sz w:val="22"/>
          <w:szCs w:val="22"/>
        </w:rPr>
        <w:t xml:space="preserve"> </w:t>
      </w:r>
      <w:r w:rsidR="00003D21" w:rsidRPr="00003D21">
        <w:rPr>
          <w:rFonts w:ascii="Arial" w:hAnsi="Arial" w:cs="Arial"/>
          <w:sz w:val="22"/>
          <w:szCs w:val="22"/>
        </w:rPr>
        <w:t>(Care Quality Commission, 2023</w:t>
      </w:r>
      <w:r w:rsidR="00AB6787">
        <w:rPr>
          <w:rFonts w:ascii="Arial" w:hAnsi="Arial" w:cs="Arial"/>
          <w:sz w:val="22"/>
          <w:szCs w:val="22"/>
        </w:rPr>
        <w:t>; NICE, 2026</w:t>
      </w:r>
      <w:r w:rsidR="00003D21" w:rsidRPr="00003D21">
        <w:rPr>
          <w:rFonts w:ascii="Arial" w:hAnsi="Arial" w:cs="Arial"/>
          <w:sz w:val="22"/>
          <w:szCs w:val="22"/>
        </w:rPr>
        <w:t>).</w:t>
      </w:r>
      <w:r w:rsidR="00960B4B">
        <w:rPr>
          <w:rFonts w:ascii="Arial" w:hAnsi="Arial" w:cs="Arial"/>
          <w:sz w:val="22"/>
          <w:szCs w:val="22"/>
        </w:rPr>
        <w:t xml:space="preserve"> </w:t>
      </w:r>
      <w:r w:rsidRPr="00746698">
        <w:rPr>
          <w:rFonts w:ascii="Arial" w:hAnsi="Arial" w:cs="Arial"/>
          <w:sz w:val="22"/>
          <w:szCs w:val="22"/>
        </w:rPr>
        <w:t xml:space="preserve">This systematic and transparent approach strengthens the </w:t>
      </w:r>
      <w:r w:rsidR="00E902F3">
        <w:rPr>
          <w:rFonts w:ascii="Arial" w:hAnsi="Arial" w:cs="Arial"/>
          <w:sz w:val="22"/>
          <w:szCs w:val="22"/>
        </w:rPr>
        <w:t>review's reliability</w:t>
      </w:r>
      <w:r w:rsidR="001A4CA3">
        <w:rPr>
          <w:rFonts w:ascii="Arial" w:hAnsi="Arial" w:cs="Arial"/>
          <w:sz w:val="22"/>
          <w:szCs w:val="22"/>
        </w:rPr>
        <w:t>. It enables</w:t>
      </w:r>
      <w:r w:rsidRPr="00746698">
        <w:rPr>
          <w:rFonts w:ascii="Arial" w:hAnsi="Arial" w:cs="Arial"/>
          <w:sz w:val="22"/>
          <w:szCs w:val="22"/>
        </w:rPr>
        <w:t xml:space="preserve"> meaningful comparison across studies, supporting a robust analysis of the benefits and challenges of digital health technologies for older adults.</w:t>
      </w:r>
    </w:p>
    <w:p w14:paraId="335E38EB" w14:textId="37D5B16A" w:rsidR="0056026B" w:rsidRPr="007F7DA1" w:rsidRDefault="00697148" w:rsidP="00356DA2">
      <w:pPr>
        <w:spacing w:line="360" w:lineRule="auto"/>
        <w:rPr>
          <w:rFonts w:ascii="Arial" w:hAnsi="Arial" w:cs="Arial"/>
          <w:sz w:val="22"/>
          <w:szCs w:val="22"/>
        </w:rPr>
      </w:pPr>
      <w:r w:rsidRPr="00697148">
        <w:rPr>
          <w:rFonts w:ascii="Arial" w:hAnsi="Arial" w:cs="Arial"/>
          <w:sz w:val="22"/>
          <w:szCs w:val="22"/>
        </w:rPr>
        <w:t>To ensure the quality and reliability of the included studies, a structured critical appraisal process will be undertaken. The CRAAP framework (Currency, Relevance, Authority, Accuracy, and Purpose) will be used to evaluate the credibility and suitability of each source. This tool enables a systematic assessment of whether the literature is up-to-date, relevant to the research question, produced by credible authors or organisations, supported by accurate and evidence-based findings, and free from bias or conflicting interests</w:t>
      </w:r>
      <w:r w:rsidR="000B235C">
        <w:rPr>
          <w:rFonts w:ascii="Arial" w:hAnsi="Arial" w:cs="Arial"/>
          <w:sz w:val="22"/>
          <w:szCs w:val="22"/>
        </w:rPr>
        <w:t xml:space="preserve"> (Writing </w:t>
      </w:r>
      <w:r w:rsidR="00547B6C">
        <w:rPr>
          <w:rFonts w:ascii="Arial" w:hAnsi="Arial" w:cs="Arial"/>
          <w:sz w:val="22"/>
          <w:szCs w:val="22"/>
        </w:rPr>
        <w:t>Commons, 2023)</w:t>
      </w:r>
      <w:r w:rsidRPr="00697148">
        <w:rPr>
          <w:rFonts w:ascii="Arial" w:hAnsi="Arial" w:cs="Arial"/>
          <w:sz w:val="22"/>
          <w:szCs w:val="22"/>
        </w:rPr>
        <w:t>.</w:t>
      </w:r>
    </w:p>
    <w:p w14:paraId="4D58A924" w14:textId="6B3931F4" w:rsidR="007F7DA1" w:rsidRPr="00180A20" w:rsidRDefault="007F7DA1" w:rsidP="00180A20">
      <w:pPr>
        <w:pStyle w:val="ListParagraph"/>
        <w:numPr>
          <w:ilvl w:val="0"/>
          <w:numId w:val="5"/>
        </w:numPr>
        <w:spacing w:line="360" w:lineRule="auto"/>
        <w:rPr>
          <w:rFonts w:ascii="Arial" w:hAnsi="Arial" w:cs="Arial"/>
          <w:b/>
          <w:bCs/>
          <w:sz w:val="22"/>
          <w:szCs w:val="22"/>
        </w:rPr>
      </w:pPr>
      <w:r w:rsidRPr="00180A20">
        <w:rPr>
          <w:rFonts w:ascii="Arial" w:hAnsi="Arial" w:cs="Arial"/>
          <w:b/>
          <w:bCs/>
          <w:sz w:val="22"/>
          <w:szCs w:val="22"/>
        </w:rPr>
        <w:t xml:space="preserve">Data Analysis </w:t>
      </w:r>
    </w:p>
    <w:p w14:paraId="3C73832A" w14:textId="77777777" w:rsidR="00900515" w:rsidRPr="00900515" w:rsidRDefault="00900515" w:rsidP="00356DA2">
      <w:pPr>
        <w:spacing w:line="360" w:lineRule="auto"/>
        <w:rPr>
          <w:rFonts w:ascii="Arial" w:hAnsi="Arial" w:cs="Arial"/>
          <w:sz w:val="22"/>
          <w:szCs w:val="22"/>
        </w:rPr>
      </w:pPr>
      <w:r w:rsidRPr="00900515">
        <w:rPr>
          <w:rFonts w:ascii="Arial" w:hAnsi="Arial" w:cs="Arial"/>
          <w:sz w:val="22"/>
          <w:szCs w:val="22"/>
        </w:rPr>
        <w:t>Data will be analysed using thematic analysis, following the framework outlined by Braun and Clarke (2006). This approach enables the systematic identification, organisation, and interpretation of patterns across the selected literature.</w:t>
      </w:r>
    </w:p>
    <w:p w14:paraId="367BBCC6" w14:textId="1259EE39" w:rsidR="00900515" w:rsidRPr="00900515" w:rsidRDefault="00900515" w:rsidP="00356DA2">
      <w:pPr>
        <w:spacing w:line="360" w:lineRule="auto"/>
        <w:rPr>
          <w:rFonts w:ascii="Arial" w:hAnsi="Arial" w:cs="Arial"/>
          <w:sz w:val="22"/>
          <w:szCs w:val="22"/>
        </w:rPr>
      </w:pPr>
      <w:r w:rsidRPr="00900515">
        <w:rPr>
          <w:rFonts w:ascii="Arial" w:hAnsi="Arial" w:cs="Arial"/>
          <w:sz w:val="22"/>
          <w:szCs w:val="22"/>
        </w:rPr>
        <w:t xml:space="preserve">The process will involve several key stages. Initially, </w:t>
      </w:r>
      <w:r w:rsidR="00A3789B">
        <w:rPr>
          <w:rFonts w:ascii="Arial" w:hAnsi="Arial" w:cs="Arial"/>
          <w:sz w:val="22"/>
          <w:szCs w:val="22"/>
        </w:rPr>
        <w:t>the selected studies will be familiarised with</w:t>
      </w:r>
      <w:r w:rsidRPr="00900515">
        <w:rPr>
          <w:rFonts w:ascii="Arial" w:hAnsi="Arial" w:cs="Arial"/>
          <w:sz w:val="22"/>
          <w:szCs w:val="22"/>
        </w:rPr>
        <w:t xml:space="preserve"> through repeated reading. This will be followed by </w:t>
      </w:r>
      <w:r w:rsidR="00CA6B0E" w:rsidRPr="00356DA2">
        <w:rPr>
          <w:rFonts w:ascii="Arial" w:hAnsi="Arial" w:cs="Arial"/>
          <w:sz w:val="22"/>
          <w:szCs w:val="22"/>
        </w:rPr>
        <w:t>generating</w:t>
      </w:r>
      <w:r w:rsidRPr="00900515">
        <w:rPr>
          <w:rFonts w:ascii="Arial" w:hAnsi="Arial" w:cs="Arial"/>
          <w:sz w:val="22"/>
          <w:szCs w:val="22"/>
        </w:rPr>
        <w:t xml:space="preserve"> initial codes to capture key findings relevant to the research question. These codes will then be organised into broader themes, which will be reviewed, refined, and clearly defined to ensure coherence and relevance</w:t>
      </w:r>
      <w:r w:rsidR="00AD1E72">
        <w:rPr>
          <w:rFonts w:ascii="Arial" w:hAnsi="Arial" w:cs="Arial"/>
          <w:sz w:val="22"/>
          <w:szCs w:val="22"/>
        </w:rPr>
        <w:t xml:space="preserve"> </w:t>
      </w:r>
      <w:r w:rsidR="00AD1E72" w:rsidRPr="00AD1E72">
        <w:rPr>
          <w:rFonts w:ascii="Arial" w:hAnsi="Arial" w:cs="Arial"/>
          <w:sz w:val="22"/>
          <w:szCs w:val="22"/>
        </w:rPr>
        <w:t>(Van Dijk, 2019)</w:t>
      </w:r>
      <w:r w:rsidRPr="00900515">
        <w:rPr>
          <w:rFonts w:ascii="Arial" w:hAnsi="Arial" w:cs="Arial"/>
          <w:sz w:val="22"/>
          <w:szCs w:val="22"/>
        </w:rPr>
        <w:t>. Finally, the findings will be synthesised into a structured narrative that highlights key patterns across the literature.</w:t>
      </w:r>
    </w:p>
    <w:p w14:paraId="73D6B050" w14:textId="0A78B834" w:rsidR="007F7DA1" w:rsidRPr="007F7DA1" w:rsidRDefault="00900515" w:rsidP="00356DA2">
      <w:pPr>
        <w:spacing w:line="360" w:lineRule="auto"/>
        <w:rPr>
          <w:rFonts w:ascii="Arial" w:hAnsi="Arial" w:cs="Arial"/>
          <w:sz w:val="22"/>
          <w:szCs w:val="22"/>
        </w:rPr>
      </w:pPr>
      <w:r w:rsidRPr="00900515">
        <w:rPr>
          <w:rFonts w:ascii="Arial" w:hAnsi="Arial" w:cs="Arial"/>
          <w:sz w:val="22"/>
          <w:szCs w:val="22"/>
        </w:rPr>
        <w:lastRenderedPageBreak/>
        <w:t>This method is particularly suitable for secondary research as it allows for the integration of findings from multiple studies while maintaining a clear analytical structure. However, it is acknowledged that thematic analysis involves a degree of researcher interpretation, which may introduce subjectivity</w:t>
      </w:r>
      <w:r w:rsidR="00686685">
        <w:rPr>
          <w:rFonts w:ascii="Arial" w:hAnsi="Arial" w:cs="Arial"/>
          <w:sz w:val="22"/>
          <w:szCs w:val="22"/>
        </w:rPr>
        <w:t xml:space="preserve"> (</w:t>
      </w:r>
      <w:r w:rsidR="00686685" w:rsidRPr="00D30475">
        <w:rPr>
          <w:rFonts w:ascii="Arial" w:hAnsi="Arial" w:cs="Arial"/>
          <w:sz w:val="22"/>
          <w:szCs w:val="22"/>
        </w:rPr>
        <w:t>Greenhalgh,</w:t>
      </w:r>
      <w:r w:rsidR="00686685">
        <w:rPr>
          <w:rFonts w:ascii="Arial" w:hAnsi="Arial" w:cs="Arial"/>
          <w:sz w:val="22"/>
          <w:szCs w:val="22"/>
        </w:rPr>
        <w:t xml:space="preserve"> </w:t>
      </w:r>
      <w:r w:rsidR="00686685" w:rsidRPr="00D30475">
        <w:rPr>
          <w:rFonts w:ascii="Arial" w:hAnsi="Arial" w:cs="Arial"/>
          <w:sz w:val="22"/>
          <w:szCs w:val="22"/>
        </w:rPr>
        <w:t>2017)</w:t>
      </w:r>
      <w:r w:rsidRPr="00900515">
        <w:rPr>
          <w:rFonts w:ascii="Arial" w:hAnsi="Arial" w:cs="Arial"/>
          <w:sz w:val="22"/>
          <w:szCs w:val="22"/>
        </w:rPr>
        <w:t>. To mitigate this, a transparent and systematic approach will be maintained throughout the analysis process.</w:t>
      </w:r>
    </w:p>
    <w:p w14:paraId="0E36D5F7" w14:textId="0C3E5EBF" w:rsidR="007F7DA1" w:rsidRPr="00180A20" w:rsidRDefault="007F7DA1" w:rsidP="00180A20">
      <w:pPr>
        <w:pStyle w:val="ListParagraph"/>
        <w:numPr>
          <w:ilvl w:val="0"/>
          <w:numId w:val="5"/>
        </w:numPr>
        <w:spacing w:line="360" w:lineRule="auto"/>
        <w:rPr>
          <w:rFonts w:ascii="Arial" w:hAnsi="Arial" w:cs="Arial"/>
          <w:b/>
          <w:bCs/>
          <w:sz w:val="22"/>
          <w:szCs w:val="22"/>
        </w:rPr>
      </w:pPr>
      <w:r w:rsidRPr="00180A20">
        <w:rPr>
          <w:rFonts w:ascii="Arial" w:hAnsi="Arial" w:cs="Arial"/>
          <w:b/>
          <w:bCs/>
          <w:sz w:val="22"/>
          <w:szCs w:val="22"/>
        </w:rPr>
        <w:t>Ethical Considerations</w:t>
      </w:r>
    </w:p>
    <w:p w14:paraId="305A7BFD" w14:textId="3780F3F2" w:rsidR="00CC592C" w:rsidRPr="00CC592C" w:rsidRDefault="00CC592C" w:rsidP="00356DA2">
      <w:pPr>
        <w:spacing w:line="360" w:lineRule="auto"/>
        <w:rPr>
          <w:rFonts w:ascii="Arial" w:hAnsi="Arial" w:cs="Arial"/>
          <w:sz w:val="22"/>
          <w:szCs w:val="22"/>
        </w:rPr>
      </w:pPr>
      <w:r w:rsidRPr="00CC592C">
        <w:rPr>
          <w:rFonts w:ascii="Arial" w:hAnsi="Arial" w:cs="Arial"/>
          <w:sz w:val="22"/>
          <w:szCs w:val="22"/>
        </w:rPr>
        <w:t>As this study is based on secondary research, the level of ethical risk is minimal, as it does not involve direct interaction with human participants or the collection of primary data. Nevertheless, ethical considerations remain essential to ensure the integrity, transparency, and credibility of the research.</w:t>
      </w:r>
      <w:r w:rsidR="005E07E1">
        <w:rPr>
          <w:rFonts w:ascii="Arial" w:hAnsi="Arial" w:cs="Arial"/>
          <w:sz w:val="22"/>
          <w:szCs w:val="22"/>
        </w:rPr>
        <w:t xml:space="preserve"> </w:t>
      </w:r>
      <w:r w:rsidRPr="00CC592C">
        <w:rPr>
          <w:rFonts w:ascii="Arial" w:hAnsi="Arial" w:cs="Arial"/>
          <w:sz w:val="22"/>
          <w:szCs w:val="22"/>
        </w:rPr>
        <w:t>All data will be obtained from publicly available, peer-reviewed sources, ensuring that the information analysed has already undergone ethical scrutiny</w:t>
      </w:r>
      <w:r w:rsidR="00083B02">
        <w:rPr>
          <w:rFonts w:ascii="Arial" w:hAnsi="Arial" w:cs="Arial"/>
          <w:sz w:val="22"/>
          <w:szCs w:val="22"/>
        </w:rPr>
        <w:t xml:space="preserve"> </w:t>
      </w:r>
      <w:r w:rsidR="00083B02" w:rsidRPr="00083B02">
        <w:rPr>
          <w:rFonts w:ascii="Arial" w:hAnsi="Arial" w:cs="Arial"/>
          <w:sz w:val="22"/>
          <w:szCs w:val="22"/>
        </w:rPr>
        <w:t>(Government Digital Service, 2025</w:t>
      </w:r>
      <w:r w:rsidR="0098019B">
        <w:rPr>
          <w:rFonts w:ascii="Arial" w:hAnsi="Arial" w:cs="Arial"/>
          <w:sz w:val="22"/>
          <w:szCs w:val="22"/>
        </w:rPr>
        <w:t>;</w:t>
      </w:r>
      <w:r w:rsidR="00BE5E3B" w:rsidRPr="00BE5E3B">
        <w:rPr>
          <w:rFonts w:hAnsi="Gill Sans MT"/>
          <w:color w:val="000000" w:themeColor="text1"/>
          <w:kern w:val="24"/>
          <w:sz w:val="32"/>
          <w:szCs w:val="32"/>
          <w14:ligatures w14:val="none"/>
        </w:rPr>
        <w:t xml:space="preserve"> </w:t>
      </w:r>
      <w:r w:rsidR="00BE5E3B" w:rsidRPr="00BE5E3B">
        <w:rPr>
          <w:rFonts w:ascii="Arial" w:hAnsi="Arial" w:cs="Arial"/>
          <w:sz w:val="22"/>
          <w:szCs w:val="22"/>
        </w:rPr>
        <w:t>NHS Digital, 2022</w:t>
      </w:r>
      <w:r w:rsidR="00083B02" w:rsidRPr="00083B02">
        <w:rPr>
          <w:rFonts w:ascii="Arial" w:hAnsi="Arial" w:cs="Arial"/>
          <w:sz w:val="22"/>
          <w:szCs w:val="22"/>
        </w:rPr>
        <w:t>)</w:t>
      </w:r>
      <w:r w:rsidRPr="00CC592C">
        <w:rPr>
          <w:rFonts w:ascii="Arial" w:hAnsi="Arial" w:cs="Arial"/>
          <w:sz w:val="22"/>
          <w:szCs w:val="22"/>
        </w:rPr>
        <w:t>. In line with principles of academic integrity, all sources will be appropriately cited using Harvard referencing to avoid plagiarism and acknowledge original authorship.</w:t>
      </w:r>
    </w:p>
    <w:p w14:paraId="0F577690" w14:textId="633954E4" w:rsidR="00CC592C" w:rsidRPr="00CC592C" w:rsidRDefault="00CC592C" w:rsidP="00356DA2">
      <w:pPr>
        <w:spacing w:line="360" w:lineRule="auto"/>
        <w:rPr>
          <w:rFonts w:ascii="Arial" w:hAnsi="Arial" w:cs="Arial"/>
          <w:sz w:val="22"/>
          <w:szCs w:val="22"/>
        </w:rPr>
      </w:pPr>
      <w:r w:rsidRPr="00CC592C">
        <w:rPr>
          <w:rFonts w:ascii="Arial" w:hAnsi="Arial" w:cs="Arial"/>
          <w:sz w:val="22"/>
          <w:szCs w:val="22"/>
        </w:rPr>
        <w:t>Careful attention will be given to the accurate representation of findings, ensuring that data is reported honestly and without selective interpretation. A balanced and critical approach will be adopted to minimise bias and ensure that conclusions are supported by robust evidence.</w:t>
      </w:r>
      <w:r w:rsidR="001712B4">
        <w:rPr>
          <w:rFonts w:ascii="Arial" w:hAnsi="Arial" w:cs="Arial"/>
          <w:sz w:val="22"/>
          <w:szCs w:val="22"/>
        </w:rPr>
        <w:t xml:space="preserve"> </w:t>
      </w:r>
      <w:r w:rsidRPr="00CC592C">
        <w:rPr>
          <w:rFonts w:ascii="Arial" w:hAnsi="Arial" w:cs="Arial"/>
          <w:sz w:val="22"/>
          <w:szCs w:val="22"/>
        </w:rPr>
        <w:t>Although no personal or identifiable data will be used, the study will adhere to relevant data governance frameworks, including the UK General Data Protection Regulation (UK GDPR) and the Data Protection Act 2018</w:t>
      </w:r>
      <w:r w:rsidR="009C384B">
        <w:rPr>
          <w:rFonts w:ascii="Arial" w:hAnsi="Arial" w:cs="Arial"/>
          <w:sz w:val="22"/>
          <w:szCs w:val="22"/>
        </w:rPr>
        <w:t xml:space="preserve"> </w:t>
      </w:r>
      <w:r w:rsidR="009C384B" w:rsidRPr="009C384B">
        <w:rPr>
          <w:rFonts w:ascii="Arial" w:hAnsi="Arial" w:cs="Arial"/>
          <w:sz w:val="22"/>
          <w:szCs w:val="22"/>
        </w:rPr>
        <w:t>(Harper James, 2024)</w:t>
      </w:r>
      <w:r w:rsidRPr="00CC592C">
        <w:rPr>
          <w:rFonts w:ascii="Arial" w:hAnsi="Arial" w:cs="Arial"/>
          <w:sz w:val="22"/>
          <w:szCs w:val="22"/>
        </w:rPr>
        <w:t>. Ethical approval will be sought in accordance with university requirements (PG2 form) to ensure full compliance with institutional guidelines.</w:t>
      </w:r>
    </w:p>
    <w:p w14:paraId="43FFE4CD" w14:textId="6E51D2E8" w:rsidR="007F7DA1" w:rsidRPr="007F7DA1" w:rsidRDefault="00CC592C" w:rsidP="00356DA2">
      <w:pPr>
        <w:spacing w:line="360" w:lineRule="auto"/>
        <w:rPr>
          <w:rFonts w:ascii="Arial" w:hAnsi="Arial" w:cs="Arial"/>
          <w:sz w:val="22"/>
          <w:szCs w:val="22"/>
        </w:rPr>
      </w:pPr>
      <w:r w:rsidRPr="00CC592C">
        <w:rPr>
          <w:rFonts w:ascii="Arial" w:hAnsi="Arial" w:cs="Arial"/>
          <w:sz w:val="22"/>
          <w:szCs w:val="22"/>
        </w:rPr>
        <w:t>It is also recognised that the ethical and methodological quality of the original studies may influence the reliability of the review. Therefore, critical appraisal tools will be applied to ensure that only high-quality and ethically conducted research informs the findings.</w:t>
      </w:r>
    </w:p>
    <w:p w14:paraId="6591A017" w14:textId="22E33792" w:rsidR="005F3B6D" w:rsidRPr="00180A20" w:rsidRDefault="007F7DA1" w:rsidP="00180A20">
      <w:pPr>
        <w:pStyle w:val="ListParagraph"/>
        <w:numPr>
          <w:ilvl w:val="0"/>
          <w:numId w:val="5"/>
        </w:numPr>
        <w:spacing w:line="360" w:lineRule="auto"/>
        <w:rPr>
          <w:rFonts w:ascii="Arial" w:hAnsi="Arial" w:cs="Arial"/>
          <w:b/>
          <w:bCs/>
          <w:sz w:val="22"/>
          <w:szCs w:val="22"/>
        </w:rPr>
      </w:pPr>
      <w:r w:rsidRPr="00180A20">
        <w:rPr>
          <w:rFonts w:ascii="Arial" w:hAnsi="Arial" w:cs="Arial"/>
          <w:b/>
          <w:bCs/>
          <w:sz w:val="22"/>
          <w:szCs w:val="22"/>
        </w:rPr>
        <w:t>Implications of the Research</w:t>
      </w:r>
    </w:p>
    <w:p w14:paraId="6183711C" w14:textId="09B17A70" w:rsidR="00830F30" w:rsidRDefault="00196708" w:rsidP="00356DA2">
      <w:pPr>
        <w:spacing w:line="360" w:lineRule="auto"/>
        <w:rPr>
          <w:rFonts w:ascii="Arial" w:hAnsi="Arial" w:cs="Arial"/>
          <w:sz w:val="22"/>
          <w:szCs w:val="22"/>
        </w:rPr>
      </w:pPr>
      <w:r w:rsidRPr="00196708">
        <w:rPr>
          <w:rFonts w:ascii="Arial" w:hAnsi="Arial" w:cs="Arial"/>
          <w:sz w:val="22"/>
          <w:szCs w:val="22"/>
        </w:rPr>
        <w:t>This research has several important implications for health and social care practice. It will provide a comprehensive synthesis of existing evidence on the benefits and challenges of digital health technologies for older adults, contributing to a clearer understanding of the current evidence base</w:t>
      </w:r>
      <w:r w:rsidR="00B9253C" w:rsidRPr="00AB560B">
        <w:rPr>
          <w:rFonts w:ascii="Arial" w:hAnsi="Arial" w:cs="Arial"/>
          <w:sz w:val="22"/>
          <w:szCs w:val="22"/>
        </w:rPr>
        <w:t xml:space="preserve"> (</w:t>
      </w:r>
      <w:r w:rsidR="00B9253C" w:rsidRPr="007A624A">
        <w:rPr>
          <w:rFonts w:ascii="Arial" w:hAnsi="Arial" w:cs="Arial"/>
          <w:sz w:val="22"/>
          <w:szCs w:val="22"/>
        </w:rPr>
        <w:t>Health Foundation</w:t>
      </w:r>
      <w:r w:rsidR="00B9253C" w:rsidRPr="00AB560B">
        <w:rPr>
          <w:rFonts w:ascii="Arial" w:hAnsi="Arial" w:cs="Arial"/>
          <w:sz w:val="22"/>
          <w:szCs w:val="22"/>
        </w:rPr>
        <w:t xml:space="preserve">, </w:t>
      </w:r>
      <w:r w:rsidR="00B9253C" w:rsidRPr="007A624A">
        <w:rPr>
          <w:rFonts w:ascii="Arial" w:hAnsi="Arial" w:cs="Arial"/>
          <w:sz w:val="22"/>
          <w:szCs w:val="22"/>
        </w:rPr>
        <w:t>2022)</w:t>
      </w:r>
      <w:r w:rsidRPr="00196708">
        <w:rPr>
          <w:rFonts w:ascii="Arial" w:hAnsi="Arial" w:cs="Arial"/>
          <w:sz w:val="22"/>
          <w:szCs w:val="22"/>
        </w:rPr>
        <w:t>.</w:t>
      </w:r>
      <w:r w:rsidR="00830F30">
        <w:rPr>
          <w:rFonts w:ascii="Arial" w:hAnsi="Arial" w:cs="Arial"/>
          <w:sz w:val="22"/>
          <w:szCs w:val="22"/>
        </w:rPr>
        <w:t xml:space="preserve"> </w:t>
      </w:r>
      <w:r w:rsidRPr="00196708">
        <w:rPr>
          <w:rFonts w:ascii="Arial" w:hAnsi="Arial" w:cs="Arial"/>
          <w:sz w:val="22"/>
          <w:szCs w:val="22"/>
        </w:rPr>
        <w:t xml:space="preserve">The findings will help identify gaps within the literature, informing future research priorities and supporting the development of more inclusive health and social care policies. Additionally, the study may enhance healthcare professionals’ understanding of the barriers faced by older adults, enabling the development </w:t>
      </w:r>
      <w:r w:rsidRPr="00196708">
        <w:rPr>
          <w:rFonts w:ascii="Arial" w:hAnsi="Arial" w:cs="Arial"/>
          <w:sz w:val="22"/>
          <w:szCs w:val="22"/>
        </w:rPr>
        <w:lastRenderedPageBreak/>
        <w:t>of targeted interventions to improve digital inclusion</w:t>
      </w:r>
      <w:r w:rsidR="000E4F9A">
        <w:rPr>
          <w:rFonts w:ascii="Arial" w:hAnsi="Arial" w:cs="Arial"/>
          <w:sz w:val="22"/>
          <w:szCs w:val="22"/>
        </w:rPr>
        <w:t xml:space="preserve"> </w:t>
      </w:r>
      <w:r w:rsidR="00DB668A">
        <w:rPr>
          <w:rFonts w:ascii="Arial" w:hAnsi="Arial" w:cs="Arial"/>
          <w:sz w:val="22"/>
          <w:szCs w:val="22"/>
        </w:rPr>
        <w:t>(</w:t>
      </w:r>
      <w:r w:rsidR="00DB668A" w:rsidRPr="00DB668A">
        <w:rPr>
          <w:rFonts w:ascii="Arial" w:hAnsi="Arial" w:cs="Arial"/>
          <w:sz w:val="22"/>
          <w:szCs w:val="22"/>
        </w:rPr>
        <w:t xml:space="preserve">Cabinet Office, 2022; </w:t>
      </w:r>
      <w:r w:rsidR="000E4F9A" w:rsidRPr="00352C92">
        <w:rPr>
          <w:rFonts w:ascii="Arial" w:hAnsi="Arial" w:cs="Arial"/>
          <w:sz w:val="22"/>
          <w:szCs w:val="22"/>
        </w:rPr>
        <w:t>UK Health Security Agency</w:t>
      </w:r>
      <w:r w:rsidR="000E4F9A" w:rsidRPr="00DB668A">
        <w:rPr>
          <w:rFonts w:ascii="Arial" w:hAnsi="Arial" w:cs="Arial"/>
          <w:sz w:val="22"/>
          <w:szCs w:val="22"/>
        </w:rPr>
        <w:t xml:space="preserve">, </w:t>
      </w:r>
      <w:r w:rsidR="000E4F9A" w:rsidRPr="00352C92">
        <w:rPr>
          <w:rFonts w:ascii="Arial" w:hAnsi="Arial" w:cs="Arial"/>
          <w:sz w:val="22"/>
          <w:szCs w:val="22"/>
        </w:rPr>
        <w:t>2023)</w:t>
      </w:r>
      <w:r w:rsidRPr="00196708">
        <w:rPr>
          <w:rFonts w:ascii="Arial" w:hAnsi="Arial" w:cs="Arial"/>
          <w:sz w:val="22"/>
          <w:szCs w:val="22"/>
        </w:rPr>
        <w:t>.</w:t>
      </w:r>
      <w:r w:rsidR="00180A20">
        <w:rPr>
          <w:rFonts w:ascii="Arial" w:hAnsi="Arial" w:cs="Arial"/>
          <w:sz w:val="22"/>
          <w:szCs w:val="22"/>
        </w:rPr>
        <w:t xml:space="preserve"> </w:t>
      </w:r>
    </w:p>
    <w:p w14:paraId="7D935108" w14:textId="25FCB130" w:rsidR="005F3B6D" w:rsidRPr="00356DA2" w:rsidRDefault="00196708" w:rsidP="00356DA2">
      <w:pPr>
        <w:spacing w:line="360" w:lineRule="auto"/>
        <w:rPr>
          <w:rFonts w:ascii="Arial" w:hAnsi="Arial" w:cs="Arial"/>
          <w:sz w:val="22"/>
          <w:szCs w:val="22"/>
        </w:rPr>
      </w:pPr>
      <w:r w:rsidRPr="00196708">
        <w:rPr>
          <w:rFonts w:ascii="Arial" w:hAnsi="Arial" w:cs="Arial"/>
          <w:sz w:val="22"/>
          <w:szCs w:val="22"/>
        </w:rPr>
        <w:t>Furthermore, this research may contribute to the design and implementation of more accessible and user-centred digital health solutions, helping to ensure that technological advancements do not exacerbate existing health inequalities.</w:t>
      </w:r>
      <w:r w:rsidR="00830F30">
        <w:rPr>
          <w:rFonts w:ascii="Arial" w:hAnsi="Arial" w:cs="Arial"/>
          <w:sz w:val="22"/>
          <w:szCs w:val="22"/>
        </w:rPr>
        <w:t xml:space="preserve"> </w:t>
      </w:r>
      <w:r w:rsidRPr="00196708">
        <w:rPr>
          <w:rFonts w:ascii="Arial" w:hAnsi="Arial" w:cs="Arial"/>
          <w:sz w:val="22"/>
          <w:szCs w:val="22"/>
        </w:rPr>
        <w:t>However, it is important to recognise that the translation of research findings into practice may be influenced by wider systemic factors, including resource availability, workforce capacity, and variability in digital infrastructure across healthcare settings (NHS England, 2019</w:t>
      </w:r>
      <w:r w:rsidR="00CE7048">
        <w:rPr>
          <w:rFonts w:ascii="Arial" w:hAnsi="Arial" w:cs="Arial"/>
          <w:sz w:val="22"/>
          <w:szCs w:val="22"/>
        </w:rPr>
        <w:t>; NICE, 2026</w:t>
      </w:r>
      <w:r w:rsidRPr="00196708">
        <w:rPr>
          <w:rFonts w:ascii="Arial" w:hAnsi="Arial" w:cs="Arial"/>
          <w:sz w:val="22"/>
          <w:szCs w:val="22"/>
        </w:rPr>
        <w:t>). These constraints may limit the extent to which recommended changes can be implemented in real-world contexts.</w:t>
      </w:r>
    </w:p>
    <w:p w14:paraId="17989672" w14:textId="0EF4F708" w:rsidR="005F3B6D" w:rsidRPr="00EA7A50" w:rsidRDefault="005F3B6D" w:rsidP="00EA7A50">
      <w:pPr>
        <w:pStyle w:val="ListParagraph"/>
        <w:numPr>
          <w:ilvl w:val="0"/>
          <w:numId w:val="5"/>
        </w:numPr>
        <w:spacing w:line="360" w:lineRule="auto"/>
        <w:rPr>
          <w:rFonts w:ascii="Arial" w:hAnsi="Arial" w:cs="Arial"/>
          <w:b/>
          <w:bCs/>
          <w:sz w:val="22"/>
          <w:szCs w:val="22"/>
        </w:rPr>
      </w:pPr>
      <w:r w:rsidRPr="00EA7A50">
        <w:rPr>
          <w:rFonts w:ascii="Arial" w:hAnsi="Arial" w:cs="Arial"/>
          <w:b/>
          <w:bCs/>
          <w:sz w:val="22"/>
          <w:szCs w:val="22"/>
        </w:rPr>
        <w:t>Plan of Work and Time Schedule (Gantt Chart)</w:t>
      </w:r>
    </w:p>
    <w:p w14:paraId="30C17266" w14:textId="43D1E8CF" w:rsidR="00DA6696" w:rsidRPr="00356DA2" w:rsidRDefault="001A3C82" w:rsidP="00356DA2">
      <w:pPr>
        <w:spacing w:line="360" w:lineRule="auto"/>
        <w:rPr>
          <w:rFonts w:ascii="Arial" w:hAnsi="Arial" w:cs="Arial"/>
          <w:sz w:val="22"/>
          <w:szCs w:val="22"/>
        </w:rPr>
      </w:pPr>
      <w:r w:rsidRPr="00356DA2">
        <w:rPr>
          <w:rFonts w:ascii="Arial" w:hAnsi="Arial" w:cs="Arial"/>
          <w:sz w:val="22"/>
          <w:szCs w:val="22"/>
        </w:rPr>
        <w:t xml:space="preserve">The research will be undertaken over </w:t>
      </w:r>
      <w:r w:rsidR="00074C40" w:rsidRPr="00356DA2">
        <w:rPr>
          <w:rFonts w:ascii="Arial" w:hAnsi="Arial" w:cs="Arial"/>
          <w:sz w:val="22"/>
          <w:szCs w:val="22"/>
        </w:rPr>
        <w:t>12 weeks</w:t>
      </w:r>
      <w:r w:rsidRPr="00356DA2">
        <w:rPr>
          <w:rFonts w:ascii="Arial" w:hAnsi="Arial" w:cs="Arial"/>
          <w:sz w:val="22"/>
          <w:szCs w:val="22"/>
        </w:rPr>
        <w:t xml:space="preserve"> using a structured secondary research approach. The Gantt chart below illustrates a detailed weekly timeline, mapping each stage of the systematic review process, from initial search strategy development and database searching to data synthesis and final submission. This structured approach ensures a transparent, systematic, and methodologically rigorous progression in line with recommended systematic review practices.</w:t>
      </w:r>
    </w:p>
    <w:p w14:paraId="5B7B9C81" w14:textId="7137A362" w:rsidR="00410DBD" w:rsidRDefault="00410DBD" w:rsidP="005F3B6D">
      <w:pPr>
        <w:rPr>
          <w:b/>
          <w:bCs/>
        </w:rPr>
      </w:pPr>
    </w:p>
    <w:p w14:paraId="0C9687C8" w14:textId="64D03B56" w:rsidR="003349D8" w:rsidRPr="003349D8" w:rsidRDefault="00623CB9" w:rsidP="003349D8">
      <w:pPr>
        <w:rPr>
          <w:b/>
          <w:bCs/>
        </w:rPr>
      </w:pPr>
      <w:r>
        <w:rPr>
          <w:b/>
          <w:bCs/>
          <w:noProof/>
        </w:rPr>
        <w:drawing>
          <wp:inline distT="0" distB="0" distL="0" distR="0" wp14:anchorId="0AE8312D" wp14:editId="1C44153E">
            <wp:extent cx="5174601" cy="3086972"/>
            <wp:effectExtent l="0" t="0" r="7620" b="0"/>
            <wp:docPr id="15005585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95439" cy="3099403"/>
                    </a:xfrm>
                    <a:prstGeom prst="rect">
                      <a:avLst/>
                    </a:prstGeom>
                    <a:noFill/>
                  </pic:spPr>
                </pic:pic>
              </a:graphicData>
            </a:graphic>
          </wp:inline>
        </w:drawing>
      </w:r>
    </w:p>
    <w:p w14:paraId="0A74365B" w14:textId="77777777" w:rsidR="003349D8" w:rsidRDefault="003349D8" w:rsidP="003349D8">
      <w:pPr>
        <w:rPr>
          <w:b/>
          <w:bCs/>
        </w:rPr>
      </w:pPr>
    </w:p>
    <w:p w14:paraId="52DDF456" w14:textId="77777777" w:rsidR="000A62A4" w:rsidRDefault="000A62A4" w:rsidP="005F3B6D">
      <w:pPr>
        <w:rPr>
          <w:b/>
          <w:bCs/>
        </w:rPr>
      </w:pPr>
    </w:p>
    <w:p w14:paraId="42409BA1" w14:textId="77777777" w:rsidR="00CC2C79" w:rsidRDefault="00CC2C79" w:rsidP="005F3B6D">
      <w:pPr>
        <w:rPr>
          <w:b/>
          <w:bCs/>
        </w:rPr>
      </w:pPr>
    </w:p>
    <w:p w14:paraId="42D406C7" w14:textId="287D8391" w:rsidR="000A62A4" w:rsidRDefault="005F3B6D" w:rsidP="000A62A4">
      <w:pPr>
        <w:pStyle w:val="ListParagraph"/>
        <w:numPr>
          <w:ilvl w:val="0"/>
          <w:numId w:val="5"/>
        </w:numPr>
        <w:rPr>
          <w:rFonts w:ascii="Arial" w:hAnsi="Arial" w:cs="Arial"/>
          <w:b/>
          <w:bCs/>
          <w:sz w:val="22"/>
          <w:szCs w:val="22"/>
        </w:rPr>
      </w:pPr>
      <w:r w:rsidRPr="00BC6CB0">
        <w:rPr>
          <w:rFonts w:ascii="Arial" w:hAnsi="Arial" w:cs="Arial"/>
          <w:b/>
          <w:bCs/>
          <w:sz w:val="22"/>
          <w:szCs w:val="22"/>
        </w:rPr>
        <w:lastRenderedPageBreak/>
        <w:t xml:space="preserve">Reference List </w:t>
      </w:r>
    </w:p>
    <w:p w14:paraId="48084E5A" w14:textId="77777777" w:rsidR="000A62A4" w:rsidRPr="000A62A4" w:rsidRDefault="000A62A4" w:rsidP="000A62A4">
      <w:pPr>
        <w:pStyle w:val="ListParagraph"/>
        <w:rPr>
          <w:rFonts w:ascii="Arial" w:hAnsi="Arial" w:cs="Arial"/>
          <w:b/>
          <w:bCs/>
          <w:sz w:val="22"/>
          <w:szCs w:val="22"/>
        </w:rPr>
      </w:pPr>
    </w:p>
    <w:p w14:paraId="2858286E" w14:textId="77777777" w:rsidR="007A624A" w:rsidRPr="00BC6CB0" w:rsidRDefault="007A624A" w:rsidP="007A624A">
      <w:pPr>
        <w:rPr>
          <w:rFonts w:ascii="Arial" w:hAnsi="Arial" w:cs="Arial"/>
          <w:sz w:val="22"/>
          <w:szCs w:val="22"/>
        </w:rPr>
      </w:pPr>
      <w:r w:rsidRPr="007A624A">
        <w:rPr>
          <w:rFonts w:ascii="Arial" w:hAnsi="Arial" w:cs="Arial"/>
          <w:sz w:val="22"/>
          <w:szCs w:val="22"/>
        </w:rPr>
        <w:t xml:space="preserve">Age UK (2024) </w:t>
      </w:r>
      <w:r w:rsidRPr="007A624A">
        <w:rPr>
          <w:rFonts w:ascii="Arial" w:hAnsi="Arial" w:cs="Arial"/>
          <w:i/>
          <w:iCs/>
          <w:sz w:val="22"/>
          <w:szCs w:val="22"/>
        </w:rPr>
        <w:t>Digital inclusion and older people</w:t>
      </w:r>
      <w:r w:rsidRPr="007A624A">
        <w:rPr>
          <w:rFonts w:ascii="Arial" w:hAnsi="Arial" w:cs="Arial"/>
          <w:sz w:val="22"/>
          <w:szCs w:val="22"/>
        </w:rPr>
        <w:t>. Available at: https://www.ageuk.org.uk/siteassets/documents/reports-and-publications/reports-and-briefings/active-communities/internet-use-statistics-june-2024.pdf (Accessed: 2nd February 2026).</w:t>
      </w:r>
    </w:p>
    <w:p w14:paraId="5ACBCFA3" w14:textId="4B0BA6FF" w:rsidR="008F4265" w:rsidRPr="00BC6CB0" w:rsidRDefault="008F4265" w:rsidP="007A624A">
      <w:pPr>
        <w:rPr>
          <w:rFonts w:ascii="Arial" w:hAnsi="Arial" w:cs="Arial"/>
          <w:sz w:val="22"/>
          <w:szCs w:val="22"/>
        </w:rPr>
      </w:pPr>
      <w:r w:rsidRPr="00BC6CB0">
        <w:rPr>
          <w:rFonts w:ascii="Arial" w:hAnsi="Arial" w:cs="Arial"/>
          <w:sz w:val="22"/>
          <w:szCs w:val="22"/>
        </w:rPr>
        <w:t xml:space="preserve">Age UK (2022) </w:t>
      </w:r>
      <w:r w:rsidRPr="00BC6CB0">
        <w:rPr>
          <w:rFonts w:ascii="Arial" w:hAnsi="Arial" w:cs="Arial"/>
          <w:i/>
          <w:iCs/>
          <w:sz w:val="22"/>
          <w:szCs w:val="22"/>
        </w:rPr>
        <w:t>Later life in the United Kingdom</w:t>
      </w:r>
      <w:r w:rsidRPr="00BC6CB0">
        <w:rPr>
          <w:rFonts w:ascii="Arial" w:hAnsi="Arial" w:cs="Arial"/>
          <w:sz w:val="22"/>
          <w:szCs w:val="22"/>
        </w:rPr>
        <w:t xml:space="preserve">. Available at: </w:t>
      </w:r>
      <w:hyperlink r:id="rId10" w:tgtFrame="_new" w:history="1">
        <w:r w:rsidRPr="00BC6CB0">
          <w:rPr>
            <w:rStyle w:val="Hyperlink"/>
            <w:rFonts w:ascii="Arial" w:hAnsi="Arial" w:cs="Arial"/>
            <w:sz w:val="22"/>
            <w:szCs w:val="22"/>
          </w:rPr>
          <w:t>https://</w:t>
        </w:r>
        <w:r w:rsidRPr="00BC6CB0">
          <w:rPr>
            <w:rStyle w:val="Hyperlink"/>
            <w:rFonts w:ascii="Arial" w:hAnsi="Arial" w:cs="Arial"/>
            <w:sz w:val="22"/>
            <w:szCs w:val="22"/>
          </w:rPr>
          <w:t>w</w:t>
        </w:r>
        <w:r w:rsidRPr="00BC6CB0">
          <w:rPr>
            <w:rStyle w:val="Hyperlink"/>
            <w:rFonts w:ascii="Arial" w:hAnsi="Arial" w:cs="Arial"/>
            <w:sz w:val="22"/>
            <w:szCs w:val="22"/>
          </w:rPr>
          <w:t>ww.ageuk.org.uk</w:t>
        </w:r>
      </w:hyperlink>
      <w:r w:rsidRPr="00BC6CB0">
        <w:rPr>
          <w:rFonts w:ascii="Arial" w:hAnsi="Arial" w:cs="Arial"/>
          <w:sz w:val="22"/>
          <w:szCs w:val="22"/>
        </w:rPr>
        <w:t xml:space="preserve"> (Accessed: 17 March 2026). </w:t>
      </w:r>
    </w:p>
    <w:p w14:paraId="033A2E98" w14:textId="3C13CE03" w:rsidR="005525C1" w:rsidRDefault="005525C1" w:rsidP="007A624A">
      <w:pPr>
        <w:rPr>
          <w:rFonts w:ascii="Arial" w:hAnsi="Arial" w:cs="Arial"/>
          <w:sz w:val="22"/>
          <w:szCs w:val="22"/>
        </w:rPr>
      </w:pPr>
      <w:r w:rsidRPr="00BC6CB0">
        <w:rPr>
          <w:rFonts w:ascii="Arial" w:hAnsi="Arial" w:cs="Arial"/>
          <w:sz w:val="22"/>
          <w:szCs w:val="22"/>
        </w:rPr>
        <w:t xml:space="preserve">Braun, V. and Clarke, V. (2006) ‘Using thematic analysis in psychology’, </w:t>
      </w:r>
      <w:r w:rsidRPr="00BC6CB0">
        <w:rPr>
          <w:rFonts w:ascii="Arial" w:hAnsi="Arial" w:cs="Arial"/>
          <w:i/>
          <w:iCs/>
          <w:sz w:val="22"/>
          <w:szCs w:val="22"/>
        </w:rPr>
        <w:t>Qualitative Research in Psychology</w:t>
      </w:r>
      <w:r w:rsidRPr="00BC6CB0">
        <w:rPr>
          <w:rFonts w:ascii="Arial" w:hAnsi="Arial" w:cs="Arial"/>
          <w:sz w:val="22"/>
          <w:szCs w:val="22"/>
        </w:rPr>
        <w:t>, 3(2), pp. 77–101.</w:t>
      </w:r>
    </w:p>
    <w:p w14:paraId="60E13B04" w14:textId="50787A28" w:rsidR="00920E23" w:rsidRPr="0094783C" w:rsidRDefault="0094783C" w:rsidP="007A624A">
      <w:pPr>
        <w:rPr>
          <w:rFonts w:ascii="Arial" w:hAnsi="Arial" w:cs="Arial"/>
          <w:sz w:val="22"/>
          <w:szCs w:val="22"/>
        </w:rPr>
      </w:pPr>
      <w:r w:rsidRPr="0094783C">
        <w:rPr>
          <w:rFonts w:ascii="Arial" w:hAnsi="Arial" w:cs="Arial"/>
          <w:sz w:val="22"/>
          <w:szCs w:val="22"/>
        </w:rPr>
        <w:t>Booth, A., Papaioannou, D. and Sutton, A. (201</w:t>
      </w:r>
      <w:r>
        <w:rPr>
          <w:rFonts w:ascii="Arial" w:hAnsi="Arial" w:cs="Arial"/>
          <w:sz w:val="22"/>
          <w:szCs w:val="22"/>
        </w:rPr>
        <w:t>6</w:t>
      </w:r>
      <w:r w:rsidRPr="0094783C">
        <w:rPr>
          <w:rFonts w:ascii="Arial" w:hAnsi="Arial" w:cs="Arial"/>
          <w:sz w:val="22"/>
          <w:szCs w:val="22"/>
        </w:rPr>
        <w:t xml:space="preserve">) </w:t>
      </w:r>
      <w:r w:rsidRPr="0094783C">
        <w:rPr>
          <w:rFonts w:ascii="Arial" w:hAnsi="Arial" w:cs="Arial"/>
          <w:i/>
          <w:iCs/>
          <w:sz w:val="22"/>
          <w:szCs w:val="22"/>
        </w:rPr>
        <w:t>'Systematic approaches to a successful literature review,'</w:t>
      </w:r>
      <w:r w:rsidRPr="0094783C">
        <w:rPr>
          <w:rFonts w:ascii="Arial" w:hAnsi="Arial" w:cs="Arial"/>
          <w:sz w:val="22"/>
          <w:szCs w:val="22"/>
        </w:rPr>
        <w:t xml:space="preserve"> </w:t>
      </w:r>
      <w:r w:rsidRPr="0094783C">
        <w:rPr>
          <w:rFonts w:ascii="Arial" w:hAnsi="Arial" w:cs="Arial"/>
          <w:i/>
          <w:iCs/>
          <w:sz w:val="22"/>
          <w:szCs w:val="22"/>
        </w:rPr>
        <w:t>ResearchGate</w:t>
      </w:r>
      <w:r w:rsidRPr="0094783C">
        <w:rPr>
          <w:rFonts w:ascii="Arial" w:hAnsi="Arial" w:cs="Arial"/>
          <w:sz w:val="22"/>
          <w:szCs w:val="22"/>
        </w:rPr>
        <w:t xml:space="preserve"> [Preprint]. </w:t>
      </w:r>
      <w:r w:rsidRPr="0094783C">
        <w:rPr>
          <w:rFonts w:ascii="Arial" w:hAnsi="Arial" w:cs="Arial"/>
          <w:sz w:val="22"/>
          <w:szCs w:val="22"/>
        </w:rPr>
        <w:t xml:space="preserve">Available at: </w:t>
      </w:r>
      <w:hyperlink r:id="rId11" w:history="1">
        <w:r w:rsidRPr="0094783C">
          <w:rPr>
            <w:rStyle w:val="Hyperlink"/>
            <w:rFonts w:ascii="Arial" w:hAnsi="Arial" w:cs="Arial"/>
            <w:sz w:val="22"/>
            <w:szCs w:val="22"/>
          </w:rPr>
          <w:t>https://www.researchgate.net/publication/235930866_Systematic_Approaches_to_a_Successful_Literature_Review</w:t>
        </w:r>
        <w:r w:rsidRPr="00B17B49">
          <w:rPr>
            <w:rStyle w:val="Hyperlink"/>
            <w:rFonts w:ascii="Arial" w:hAnsi="Arial" w:cs="Arial"/>
            <w:sz w:val="22"/>
            <w:szCs w:val="22"/>
          </w:rPr>
          <w:t xml:space="preserve"> </w:t>
        </w:r>
        <w:r w:rsidRPr="0094783C">
          <w:rPr>
            <w:rStyle w:val="Hyperlink"/>
            <w:rFonts w:ascii="Arial" w:hAnsi="Arial" w:cs="Arial"/>
            <w:color w:val="auto"/>
            <w:sz w:val="22"/>
            <w:szCs w:val="22"/>
          </w:rPr>
          <w:t>(</w:t>
        </w:r>
        <w:r w:rsidRPr="0094783C">
          <w:rPr>
            <w:rStyle w:val="Hyperlink"/>
            <w:rFonts w:ascii="Arial" w:hAnsi="Arial" w:cs="Arial"/>
            <w:color w:val="auto"/>
            <w:sz w:val="22"/>
            <w:szCs w:val="22"/>
            <w:u w:val="none"/>
          </w:rPr>
          <w:t>19</w:t>
        </w:r>
      </w:hyperlink>
      <w:r>
        <w:rPr>
          <w:rFonts w:ascii="Arial" w:hAnsi="Arial" w:cs="Arial"/>
          <w:sz w:val="22"/>
          <w:szCs w:val="22"/>
        </w:rPr>
        <w:t xml:space="preserve"> March 2026). </w:t>
      </w:r>
    </w:p>
    <w:p w14:paraId="33D17006" w14:textId="44B7851E" w:rsidR="00EE3CCB" w:rsidRPr="007A624A" w:rsidRDefault="00EE3CCB" w:rsidP="007A624A">
      <w:pPr>
        <w:rPr>
          <w:rFonts w:ascii="Arial" w:hAnsi="Arial" w:cs="Arial"/>
          <w:sz w:val="22"/>
          <w:szCs w:val="22"/>
        </w:rPr>
      </w:pPr>
      <w:r w:rsidRPr="00BC6CB0">
        <w:rPr>
          <w:rFonts w:ascii="Arial" w:hAnsi="Arial" w:cs="Arial"/>
          <w:sz w:val="22"/>
          <w:szCs w:val="22"/>
        </w:rPr>
        <w:t xml:space="preserve">Bryman, A. (2016) </w:t>
      </w:r>
      <w:r w:rsidRPr="00BC6CB0">
        <w:rPr>
          <w:rFonts w:ascii="Arial" w:hAnsi="Arial" w:cs="Arial"/>
          <w:i/>
          <w:iCs/>
          <w:sz w:val="22"/>
          <w:szCs w:val="22"/>
        </w:rPr>
        <w:t>Social Research Methods</w:t>
      </w:r>
      <w:r w:rsidRPr="00BC6CB0">
        <w:rPr>
          <w:rFonts w:ascii="Arial" w:hAnsi="Arial" w:cs="Arial"/>
          <w:sz w:val="22"/>
          <w:szCs w:val="22"/>
        </w:rPr>
        <w:t>. Available at: www.google.co.uk/books/edition/Social_Research_Methods/N2zQCgAAQBAJ?hl=en&amp;gbpv=1&amp;dq=inauthor:%22Alan+Bryman%22&amp;printsec=frontcover.</w:t>
      </w:r>
    </w:p>
    <w:p w14:paraId="5913BAA8" w14:textId="77777777" w:rsidR="007A624A" w:rsidRPr="007A624A" w:rsidRDefault="007A624A" w:rsidP="007A624A">
      <w:pPr>
        <w:rPr>
          <w:rFonts w:ascii="Arial" w:hAnsi="Arial" w:cs="Arial"/>
          <w:sz w:val="22"/>
          <w:szCs w:val="22"/>
        </w:rPr>
      </w:pPr>
      <w:r w:rsidRPr="007A624A">
        <w:rPr>
          <w:rFonts w:ascii="Arial" w:hAnsi="Arial" w:cs="Arial"/>
          <w:sz w:val="22"/>
          <w:szCs w:val="22"/>
        </w:rPr>
        <w:t xml:space="preserve">Cabinet Office (2022) </w:t>
      </w:r>
      <w:r w:rsidRPr="007A624A">
        <w:rPr>
          <w:rFonts w:ascii="Arial" w:hAnsi="Arial" w:cs="Arial"/>
          <w:i/>
          <w:iCs/>
          <w:sz w:val="22"/>
          <w:szCs w:val="22"/>
        </w:rPr>
        <w:t>Government digital inclusion strategy.</w:t>
      </w:r>
      <w:r w:rsidRPr="007A624A">
        <w:rPr>
          <w:rFonts w:ascii="Arial" w:hAnsi="Arial" w:cs="Arial"/>
          <w:sz w:val="22"/>
          <w:szCs w:val="22"/>
        </w:rPr>
        <w:t xml:space="preserve"> Available at: </w:t>
      </w:r>
      <w:hyperlink r:id="rId12" w:history="1">
        <w:r w:rsidRPr="007A624A">
          <w:rPr>
            <w:rStyle w:val="Hyperlink"/>
            <w:rFonts w:ascii="Arial" w:hAnsi="Arial" w:cs="Arial"/>
            <w:sz w:val="22"/>
            <w:szCs w:val="22"/>
          </w:rPr>
          <w:t>https://www.gov.uk/government/publications/government-digital-inclusion-strategy</w:t>
        </w:r>
      </w:hyperlink>
      <w:r w:rsidRPr="007A624A">
        <w:rPr>
          <w:rFonts w:ascii="Arial" w:hAnsi="Arial" w:cs="Arial"/>
          <w:sz w:val="22"/>
          <w:szCs w:val="22"/>
          <w:u w:val="single"/>
        </w:rPr>
        <w:t xml:space="preserve"> </w:t>
      </w:r>
      <w:r w:rsidRPr="007A624A">
        <w:rPr>
          <w:rFonts w:ascii="Arial" w:hAnsi="Arial" w:cs="Arial"/>
          <w:sz w:val="22"/>
          <w:szCs w:val="22"/>
        </w:rPr>
        <w:t>(Accessed: 6 February 2026).</w:t>
      </w:r>
    </w:p>
    <w:p w14:paraId="64ECAFCC" w14:textId="00C4C844" w:rsidR="007A624A" w:rsidRPr="00BC6CB0" w:rsidRDefault="007A624A" w:rsidP="007A624A">
      <w:pPr>
        <w:rPr>
          <w:rFonts w:ascii="Arial" w:hAnsi="Arial" w:cs="Arial"/>
          <w:sz w:val="22"/>
          <w:szCs w:val="22"/>
        </w:rPr>
      </w:pPr>
      <w:r w:rsidRPr="007A624A">
        <w:rPr>
          <w:rFonts w:ascii="Arial" w:hAnsi="Arial" w:cs="Arial"/>
          <w:sz w:val="22"/>
          <w:szCs w:val="22"/>
        </w:rPr>
        <w:t xml:space="preserve">Centre for Ageing Better (2023) </w:t>
      </w:r>
      <w:r w:rsidRPr="007A624A">
        <w:rPr>
          <w:rFonts w:ascii="Arial" w:hAnsi="Arial" w:cs="Arial"/>
          <w:i/>
          <w:iCs/>
          <w:sz w:val="22"/>
          <w:szCs w:val="22"/>
        </w:rPr>
        <w:t>The digital age: new approaches to supporting older people</w:t>
      </w:r>
      <w:r w:rsidRPr="007A624A">
        <w:rPr>
          <w:rFonts w:ascii="Arial" w:hAnsi="Arial" w:cs="Arial"/>
          <w:sz w:val="22"/>
          <w:szCs w:val="22"/>
        </w:rPr>
        <w:t xml:space="preserve">. London: Centre for Ageing Better. Available at: </w:t>
      </w:r>
      <w:hyperlink r:id="rId13" w:history="1">
        <w:r w:rsidRPr="007A624A">
          <w:rPr>
            <w:rStyle w:val="Hyperlink"/>
            <w:rFonts w:ascii="Arial" w:hAnsi="Arial" w:cs="Arial"/>
            <w:sz w:val="22"/>
            <w:szCs w:val="22"/>
          </w:rPr>
          <w:t>https://ageing-better.org.uk/publications/digital-age-supporting-older-people</w:t>
        </w:r>
      </w:hyperlink>
      <w:r w:rsidRPr="007A624A">
        <w:rPr>
          <w:rFonts w:ascii="Arial" w:hAnsi="Arial" w:cs="Arial"/>
          <w:sz w:val="22"/>
          <w:szCs w:val="22"/>
        </w:rPr>
        <w:t xml:space="preserve"> (Accessed: 3 February 2026).</w:t>
      </w:r>
    </w:p>
    <w:p w14:paraId="5C399CC2" w14:textId="52363EDC" w:rsidR="00D66032" w:rsidRPr="007A624A" w:rsidRDefault="00D66032" w:rsidP="007A624A">
      <w:pPr>
        <w:rPr>
          <w:rFonts w:ascii="Arial" w:hAnsi="Arial" w:cs="Arial"/>
          <w:sz w:val="22"/>
          <w:szCs w:val="22"/>
        </w:rPr>
      </w:pPr>
      <w:r w:rsidRPr="00BC6CB0">
        <w:rPr>
          <w:rFonts w:ascii="Arial" w:hAnsi="Arial" w:cs="Arial"/>
          <w:sz w:val="22"/>
          <w:szCs w:val="22"/>
        </w:rPr>
        <w:t xml:space="preserve">Creswell, J.W. (2018) </w:t>
      </w:r>
      <w:r w:rsidRPr="00BC6CB0">
        <w:rPr>
          <w:rFonts w:ascii="Arial" w:hAnsi="Arial" w:cs="Arial"/>
          <w:i/>
          <w:iCs/>
          <w:sz w:val="22"/>
          <w:szCs w:val="22"/>
        </w:rPr>
        <w:t>Research Design: Qualitative, Quantitative and Mixed Methods Approaches</w:t>
      </w:r>
      <w:r w:rsidRPr="00BC6CB0">
        <w:rPr>
          <w:rFonts w:ascii="Arial" w:hAnsi="Arial" w:cs="Arial"/>
          <w:sz w:val="22"/>
          <w:szCs w:val="22"/>
        </w:rPr>
        <w:t xml:space="preserve">. Available at: </w:t>
      </w:r>
      <w:hyperlink r:id="rId14" w:history="1">
        <w:r w:rsidRPr="00BC6CB0">
          <w:rPr>
            <w:rStyle w:val="Hyperlink"/>
            <w:rFonts w:ascii="Arial" w:hAnsi="Arial" w:cs="Arial"/>
            <w:sz w:val="22"/>
            <w:szCs w:val="22"/>
          </w:rPr>
          <w:t>https://www.google.co.uk/books/edition/Research_Design/335ZDwAAQBAJ?hl=en&amp;gbpv=1&amp;dq=inauthor:%22John+W.+Creswell%22&amp;printsec=frontcover</w:t>
        </w:r>
      </w:hyperlink>
      <w:r w:rsidRPr="00BC6CB0">
        <w:rPr>
          <w:rFonts w:ascii="Arial" w:hAnsi="Arial" w:cs="Arial"/>
          <w:sz w:val="22"/>
          <w:szCs w:val="22"/>
        </w:rPr>
        <w:t xml:space="preserve"> (Accessed: 17 March 2026). </w:t>
      </w:r>
    </w:p>
    <w:p w14:paraId="67210D1C" w14:textId="77777777" w:rsidR="007A624A" w:rsidRPr="007A624A" w:rsidRDefault="007A624A" w:rsidP="007A624A">
      <w:pPr>
        <w:rPr>
          <w:rFonts w:ascii="Arial" w:hAnsi="Arial" w:cs="Arial"/>
          <w:sz w:val="22"/>
          <w:szCs w:val="22"/>
        </w:rPr>
      </w:pPr>
      <w:r w:rsidRPr="007A624A">
        <w:rPr>
          <w:rFonts w:ascii="Arial" w:hAnsi="Arial" w:cs="Arial"/>
          <w:sz w:val="22"/>
          <w:szCs w:val="22"/>
        </w:rPr>
        <w:t xml:space="preserve">Czaja, S.J., Boot, W.R., </w:t>
      </w:r>
      <w:proofErr w:type="spellStart"/>
      <w:r w:rsidRPr="007A624A">
        <w:rPr>
          <w:rFonts w:ascii="Arial" w:hAnsi="Arial" w:cs="Arial"/>
          <w:sz w:val="22"/>
          <w:szCs w:val="22"/>
        </w:rPr>
        <w:t>Charness</w:t>
      </w:r>
      <w:proofErr w:type="spellEnd"/>
      <w:r w:rsidRPr="007A624A">
        <w:rPr>
          <w:rFonts w:ascii="Arial" w:hAnsi="Arial" w:cs="Arial"/>
          <w:sz w:val="22"/>
          <w:szCs w:val="22"/>
        </w:rPr>
        <w:t xml:space="preserve">, N. and Rogers, W.A. (2019) </w:t>
      </w:r>
      <w:r w:rsidRPr="007A624A">
        <w:rPr>
          <w:rFonts w:ascii="Arial" w:hAnsi="Arial" w:cs="Arial"/>
          <w:i/>
          <w:iCs/>
          <w:sz w:val="22"/>
          <w:szCs w:val="22"/>
        </w:rPr>
        <w:t>Designing for older adults: Principles and creative human factors approaches</w:t>
      </w:r>
      <w:r w:rsidRPr="007A624A">
        <w:rPr>
          <w:rFonts w:ascii="Arial" w:hAnsi="Arial" w:cs="Arial"/>
          <w:sz w:val="22"/>
          <w:szCs w:val="22"/>
        </w:rPr>
        <w:t xml:space="preserve">. 3rd </w:t>
      </w:r>
      <w:proofErr w:type="spellStart"/>
      <w:r w:rsidRPr="007A624A">
        <w:rPr>
          <w:rFonts w:ascii="Arial" w:hAnsi="Arial" w:cs="Arial"/>
          <w:sz w:val="22"/>
          <w:szCs w:val="22"/>
        </w:rPr>
        <w:t>edn</w:t>
      </w:r>
      <w:proofErr w:type="spellEnd"/>
      <w:r w:rsidRPr="007A624A">
        <w:rPr>
          <w:rFonts w:ascii="Arial" w:hAnsi="Arial" w:cs="Arial"/>
          <w:sz w:val="22"/>
          <w:szCs w:val="22"/>
        </w:rPr>
        <w:t>. Boca Raton: CRC Press.</w:t>
      </w:r>
    </w:p>
    <w:p w14:paraId="7A00C981" w14:textId="77777777" w:rsidR="007A624A" w:rsidRPr="007A624A" w:rsidRDefault="007A624A" w:rsidP="007A624A">
      <w:pPr>
        <w:rPr>
          <w:rFonts w:ascii="Arial" w:hAnsi="Arial" w:cs="Arial"/>
          <w:sz w:val="22"/>
          <w:szCs w:val="22"/>
        </w:rPr>
      </w:pPr>
      <w:r w:rsidRPr="007A624A">
        <w:rPr>
          <w:rFonts w:ascii="Arial" w:hAnsi="Arial" w:cs="Arial"/>
          <w:sz w:val="22"/>
          <w:szCs w:val="22"/>
        </w:rPr>
        <w:t xml:space="preserve">Care Quality Commission (2023) </w:t>
      </w:r>
      <w:r w:rsidRPr="007A624A">
        <w:rPr>
          <w:rFonts w:ascii="Arial" w:hAnsi="Arial" w:cs="Arial"/>
          <w:i/>
          <w:iCs/>
          <w:sz w:val="22"/>
          <w:szCs w:val="22"/>
        </w:rPr>
        <w:t>Digital transformation in health and social care</w:t>
      </w:r>
      <w:r w:rsidRPr="007A624A">
        <w:rPr>
          <w:rFonts w:ascii="Arial" w:hAnsi="Arial" w:cs="Arial"/>
          <w:sz w:val="22"/>
          <w:szCs w:val="22"/>
        </w:rPr>
        <w:t xml:space="preserve">. Available at: </w:t>
      </w:r>
      <w:hyperlink r:id="rId15" w:history="1">
        <w:r w:rsidRPr="007A624A">
          <w:rPr>
            <w:rStyle w:val="Hyperlink"/>
            <w:rFonts w:ascii="Arial" w:hAnsi="Arial" w:cs="Arial"/>
            <w:sz w:val="22"/>
            <w:szCs w:val="22"/>
          </w:rPr>
          <w:t>https://www.cqc.org.uk/guidance-providers/adult-social-care/digital-record-systems-adult-social-care-services</w:t>
        </w:r>
      </w:hyperlink>
      <w:r w:rsidRPr="007A624A">
        <w:rPr>
          <w:rFonts w:ascii="Arial" w:hAnsi="Arial" w:cs="Arial"/>
          <w:sz w:val="22"/>
          <w:szCs w:val="22"/>
        </w:rPr>
        <w:t xml:space="preserve"> (Accessed: 2 February 2026).</w:t>
      </w:r>
    </w:p>
    <w:p w14:paraId="73E45B2C" w14:textId="020603B8" w:rsidR="00B54B67" w:rsidRPr="00BC6CB0" w:rsidRDefault="007A624A" w:rsidP="007A624A">
      <w:pPr>
        <w:rPr>
          <w:rFonts w:ascii="Arial" w:hAnsi="Arial" w:cs="Arial"/>
          <w:sz w:val="22"/>
          <w:szCs w:val="22"/>
        </w:rPr>
      </w:pPr>
      <w:r w:rsidRPr="007A624A">
        <w:rPr>
          <w:rFonts w:ascii="Arial" w:hAnsi="Arial" w:cs="Arial"/>
          <w:sz w:val="22"/>
          <w:szCs w:val="22"/>
        </w:rPr>
        <w:t xml:space="preserve">Department of Health and Social Care (2022) </w:t>
      </w:r>
      <w:r w:rsidRPr="007A624A">
        <w:rPr>
          <w:rFonts w:ascii="Arial" w:hAnsi="Arial" w:cs="Arial"/>
          <w:i/>
          <w:iCs/>
          <w:sz w:val="22"/>
          <w:szCs w:val="22"/>
        </w:rPr>
        <w:t>A plan for digital health and social care</w:t>
      </w:r>
      <w:r w:rsidRPr="007A624A">
        <w:rPr>
          <w:rFonts w:ascii="Arial" w:hAnsi="Arial" w:cs="Arial"/>
          <w:sz w:val="22"/>
          <w:szCs w:val="22"/>
        </w:rPr>
        <w:t xml:space="preserve">. Available at: </w:t>
      </w:r>
      <w:hyperlink r:id="rId16" w:history="1">
        <w:r w:rsidRPr="007A624A">
          <w:rPr>
            <w:rStyle w:val="Hyperlink"/>
            <w:rFonts w:ascii="Arial" w:hAnsi="Arial" w:cs="Arial"/>
            <w:sz w:val="22"/>
            <w:szCs w:val="22"/>
          </w:rPr>
          <w:t>https://www.gov.uk/government/publications/a-plan-for-digital-health-and-social-care</w:t>
        </w:r>
      </w:hyperlink>
      <w:r w:rsidRPr="007A624A">
        <w:rPr>
          <w:rFonts w:ascii="Arial" w:hAnsi="Arial" w:cs="Arial"/>
          <w:sz w:val="22"/>
          <w:szCs w:val="22"/>
        </w:rPr>
        <w:t xml:space="preserve"> (Accessed: 6 February 2026).</w:t>
      </w:r>
    </w:p>
    <w:p w14:paraId="7EFAA108" w14:textId="77777777" w:rsidR="00B54B67" w:rsidRDefault="00B54B67" w:rsidP="00B54B67">
      <w:pPr>
        <w:rPr>
          <w:rFonts w:ascii="Arial" w:hAnsi="Arial" w:cs="Arial"/>
          <w:sz w:val="22"/>
          <w:szCs w:val="22"/>
        </w:rPr>
      </w:pPr>
      <w:r w:rsidRPr="00B54B67">
        <w:rPr>
          <w:rFonts w:ascii="Arial" w:hAnsi="Arial" w:cs="Arial"/>
          <w:sz w:val="22"/>
          <w:szCs w:val="22"/>
        </w:rPr>
        <w:t xml:space="preserve">Government Digital Service (2025) </w:t>
      </w:r>
      <w:r w:rsidRPr="00B54B67">
        <w:rPr>
          <w:rFonts w:ascii="Arial" w:hAnsi="Arial" w:cs="Arial"/>
          <w:i/>
          <w:iCs/>
          <w:sz w:val="22"/>
          <w:szCs w:val="22"/>
        </w:rPr>
        <w:t>Data protection</w:t>
      </w:r>
      <w:r w:rsidRPr="00B54B67">
        <w:rPr>
          <w:rFonts w:ascii="Arial" w:hAnsi="Arial" w:cs="Arial"/>
          <w:sz w:val="22"/>
          <w:szCs w:val="22"/>
        </w:rPr>
        <w:t xml:space="preserve">. Available at: </w:t>
      </w:r>
      <w:hyperlink r:id="rId17" w:history="1">
        <w:r w:rsidRPr="00B54B67">
          <w:rPr>
            <w:rStyle w:val="Hyperlink"/>
            <w:rFonts w:ascii="Arial" w:hAnsi="Arial" w:cs="Arial"/>
            <w:sz w:val="22"/>
            <w:szCs w:val="22"/>
          </w:rPr>
          <w:t>https://www.gov.uk/data-protection</w:t>
        </w:r>
      </w:hyperlink>
      <w:r w:rsidRPr="00B54B67">
        <w:rPr>
          <w:rFonts w:ascii="Arial" w:hAnsi="Arial" w:cs="Arial"/>
          <w:sz w:val="22"/>
          <w:szCs w:val="22"/>
        </w:rPr>
        <w:t xml:space="preserve"> (Accessed: 11 March 2026).</w:t>
      </w:r>
    </w:p>
    <w:p w14:paraId="22FD4E84" w14:textId="77777777" w:rsidR="003A268C" w:rsidRPr="00D30475" w:rsidRDefault="003A268C" w:rsidP="003A268C">
      <w:pPr>
        <w:rPr>
          <w:rFonts w:ascii="Arial" w:hAnsi="Arial" w:cs="Arial"/>
          <w:sz w:val="22"/>
          <w:szCs w:val="22"/>
        </w:rPr>
      </w:pPr>
      <w:r w:rsidRPr="00D30475">
        <w:rPr>
          <w:rFonts w:ascii="Arial" w:hAnsi="Arial" w:cs="Arial"/>
          <w:sz w:val="22"/>
          <w:szCs w:val="22"/>
        </w:rPr>
        <w:t xml:space="preserve">Greenhalgh, T. et al. (2017) ‘Beyond adoption: a new framework for theorising digital health technologies’, </w:t>
      </w:r>
      <w:r w:rsidRPr="00D30475">
        <w:rPr>
          <w:rFonts w:ascii="Arial" w:hAnsi="Arial" w:cs="Arial"/>
          <w:i/>
          <w:iCs/>
          <w:sz w:val="22"/>
          <w:szCs w:val="22"/>
        </w:rPr>
        <w:t>Journal of Medical Internet Research</w:t>
      </w:r>
      <w:r w:rsidRPr="00D30475">
        <w:rPr>
          <w:rFonts w:ascii="Arial" w:hAnsi="Arial" w:cs="Arial"/>
          <w:sz w:val="22"/>
          <w:szCs w:val="22"/>
        </w:rPr>
        <w:t>, 19(11), e367.</w:t>
      </w:r>
    </w:p>
    <w:p w14:paraId="740FF37F" w14:textId="77777777" w:rsidR="00B54B67" w:rsidRPr="00B54B67" w:rsidRDefault="00B54B67" w:rsidP="00B54B67">
      <w:pPr>
        <w:rPr>
          <w:rFonts w:ascii="Arial" w:hAnsi="Arial" w:cs="Arial"/>
          <w:sz w:val="22"/>
          <w:szCs w:val="22"/>
        </w:rPr>
      </w:pPr>
    </w:p>
    <w:p w14:paraId="51EC88D3" w14:textId="544E0CAD" w:rsidR="00B54B67" w:rsidRPr="007A624A" w:rsidRDefault="00B54B67" w:rsidP="007A624A">
      <w:pPr>
        <w:rPr>
          <w:rFonts w:ascii="Arial" w:hAnsi="Arial" w:cs="Arial"/>
          <w:sz w:val="22"/>
          <w:szCs w:val="22"/>
        </w:rPr>
      </w:pPr>
      <w:r w:rsidRPr="00B54B67">
        <w:rPr>
          <w:rFonts w:ascii="Arial" w:hAnsi="Arial" w:cs="Arial"/>
          <w:sz w:val="22"/>
          <w:szCs w:val="22"/>
        </w:rPr>
        <w:lastRenderedPageBreak/>
        <w:t xml:space="preserve">Harper James (2024) </w:t>
      </w:r>
      <w:r w:rsidRPr="00B54B67">
        <w:rPr>
          <w:rFonts w:ascii="Arial" w:hAnsi="Arial" w:cs="Arial"/>
          <w:i/>
          <w:iCs/>
          <w:sz w:val="22"/>
          <w:szCs w:val="22"/>
        </w:rPr>
        <w:t xml:space="preserve">Essential GDPR compliance for apps. </w:t>
      </w:r>
      <w:r w:rsidRPr="00B54B67">
        <w:rPr>
          <w:rFonts w:ascii="Arial" w:hAnsi="Arial" w:cs="Arial"/>
          <w:sz w:val="22"/>
          <w:szCs w:val="22"/>
        </w:rPr>
        <w:t xml:space="preserve">Available at: </w:t>
      </w:r>
      <w:hyperlink r:id="rId18" w:history="1">
        <w:r w:rsidRPr="00B54B67">
          <w:rPr>
            <w:rStyle w:val="Hyperlink"/>
            <w:rFonts w:ascii="Arial" w:hAnsi="Arial" w:cs="Arial"/>
            <w:sz w:val="22"/>
            <w:szCs w:val="22"/>
          </w:rPr>
          <w:t>https://harperjames.co.uk/article/data-privacy-for-app-developers/</w:t>
        </w:r>
      </w:hyperlink>
      <w:r w:rsidRPr="00B54B67">
        <w:rPr>
          <w:rFonts w:ascii="Arial" w:hAnsi="Arial" w:cs="Arial"/>
          <w:sz w:val="22"/>
          <w:szCs w:val="22"/>
        </w:rPr>
        <w:t xml:space="preserve"> (Accessed: 6 March 2026).</w:t>
      </w:r>
    </w:p>
    <w:p w14:paraId="16A044D2" w14:textId="051E348C" w:rsidR="007A624A" w:rsidRPr="007A624A" w:rsidRDefault="007A624A" w:rsidP="007A624A">
      <w:pPr>
        <w:rPr>
          <w:rFonts w:ascii="Arial" w:hAnsi="Arial" w:cs="Arial"/>
          <w:sz w:val="22"/>
          <w:szCs w:val="22"/>
        </w:rPr>
      </w:pPr>
      <w:r w:rsidRPr="007A624A">
        <w:rPr>
          <w:rFonts w:ascii="Arial" w:hAnsi="Arial" w:cs="Arial"/>
          <w:sz w:val="22"/>
          <w:szCs w:val="22"/>
        </w:rPr>
        <w:t xml:space="preserve">Health Foundation (2022) </w:t>
      </w:r>
      <w:r w:rsidRPr="007A624A">
        <w:rPr>
          <w:rFonts w:ascii="Arial" w:hAnsi="Arial" w:cs="Arial"/>
          <w:i/>
          <w:iCs/>
          <w:sz w:val="22"/>
          <w:szCs w:val="22"/>
        </w:rPr>
        <w:t>What does good digital health care look like?</w:t>
      </w:r>
      <w:r w:rsidRPr="007A624A">
        <w:rPr>
          <w:rFonts w:ascii="Arial" w:hAnsi="Arial" w:cs="Arial"/>
          <w:sz w:val="22"/>
          <w:szCs w:val="22"/>
        </w:rPr>
        <w:t>. Available at:</w:t>
      </w:r>
      <w:r w:rsidRPr="007A624A">
        <w:rPr>
          <w:rFonts w:ascii="Arial" w:hAnsi="Arial" w:cs="Arial"/>
          <w:sz w:val="22"/>
          <w:szCs w:val="22"/>
        </w:rPr>
        <w:br/>
      </w:r>
      <w:hyperlink r:id="rId19" w:history="1">
        <w:r w:rsidRPr="007A624A">
          <w:rPr>
            <w:rStyle w:val="Hyperlink"/>
            <w:rFonts w:ascii="Arial" w:hAnsi="Arial" w:cs="Arial"/>
            <w:sz w:val="22"/>
            <w:szCs w:val="22"/>
          </w:rPr>
          <w:t>https://www.health.org.uk/publications/long-reads/what-does-good-digital-health-care-look-like</w:t>
        </w:r>
      </w:hyperlink>
      <w:r w:rsidRPr="007A624A">
        <w:rPr>
          <w:rFonts w:ascii="Arial" w:hAnsi="Arial" w:cs="Arial"/>
          <w:sz w:val="22"/>
          <w:szCs w:val="22"/>
        </w:rPr>
        <w:t xml:space="preserve"> (Accessed: 4 February 2026).</w:t>
      </w:r>
    </w:p>
    <w:p w14:paraId="0D874771" w14:textId="2F7440CD" w:rsidR="00A77578" w:rsidRPr="00BC6CB0" w:rsidRDefault="007A624A" w:rsidP="00A77578">
      <w:pPr>
        <w:rPr>
          <w:rFonts w:ascii="Arial" w:hAnsi="Arial" w:cs="Arial"/>
          <w:sz w:val="22"/>
          <w:szCs w:val="22"/>
        </w:rPr>
      </w:pPr>
      <w:r w:rsidRPr="007A624A">
        <w:rPr>
          <w:rFonts w:ascii="Arial" w:hAnsi="Arial" w:cs="Arial"/>
          <w:sz w:val="22"/>
          <w:szCs w:val="22"/>
        </w:rPr>
        <w:t xml:space="preserve">Kruse, C.S., Fohn, J., Wilson, N., Nunez Patlan, E., Zipp, S. and Mileski, M. (2020) Utilisation barriers and medical outcomes of telehealth in the elderly population: A systematic review. </w:t>
      </w:r>
      <w:r w:rsidRPr="007A624A">
        <w:rPr>
          <w:rFonts w:ascii="Arial" w:hAnsi="Arial" w:cs="Arial"/>
          <w:i/>
          <w:iCs/>
          <w:sz w:val="22"/>
          <w:szCs w:val="22"/>
        </w:rPr>
        <w:t>JMIR Medical Informatics</w:t>
      </w:r>
      <w:r w:rsidRPr="007A624A">
        <w:rPr>
          <w:rFonts w:ascii="Arial" w:hAnsi="Arial" w:cs="Arial"/>
          <w:sz w:val="22"/>
          <w:szCs w:val="22"/>
        </w:rPr>
        <w:t xml:space="preserve">, 8(4), e20359. </w:t>
      </w:r>
      <w:hyperlink r:id="rId20" w:history="1">
        <w:r w:rsidRPr="007A624A">
          <w:rPr>
            <w:rStyle w:val="Hyperlink"/>
            <w:rFonts w:ascii="Arial" w:hAnsi="Arial" w:cs="Arial"/>
            <w:sz w:val="22"/>
            <w:szCs w:val="22"/>
          </w:rPr>
          <w:t>https://doi.org/10.2196/20359</w:t>
        </w:r>
      </w:hyperlink>
    </w:p>
    <w:p w14:paraId="70CFE4DF" w14:textId="1887D0AE" w:rsidR="005C688A" w:rsidRPr="00BC6CB0" w:rsidRDefault="00EF1F30" w:rsidP="00A77578">
      <w:pPr>
        <w:rPr>
          <w:rFonts w:ascii="Arial" w:hAnsi="Arial" w:cs="Arial"/>
          <w:sz w:val="22"/>
          <w:szCs w:val="22"/>
        </w:rPr>
      </w:pPr>
      <w:r w:rsidRPr="00EF1F30">
        <w:rPr>
          <w:rFonts w:ascii="Arial" w:hAnsi="Arial" w:cs="Arial"/>
          <w:sz w:val="22"/>
          <w:szCs w:val="22"/>
        </w:rPr>
        <w:t xml:space="preserve">Kukreja, J. (2025) </w:t>
      </w:r>
      <w:r w:rsidRPr="00EF1F30">
        <w:rPr>
          <w:rFonts w:ascii="Arial" w:hAnsi="Arial" w:cs="Arial"/>
          <w:i/>
          <w:iCs/>
          <w:sz w:val="22"/>
          <w:szCs w:val="22"/>
        </w:rPr>
        <w:t>How to enhance the transparency of systematic Reviews using PRISMA</w:t>
      </w:r>
      <w:r w:rsidRPr="00EF1F30">
        <w:rPr>
          <w:rFonts w:ascii="Arial" w:hAnsi="Arial" w:cs="Arial"/>
          <w:sz w:val="22"/>
          <w:szCs w:val="22"/>
        </w:rPr>
        <w:t>. https://doi.org/10.4135/9781036213107.</w:t>
      </w:r>
    </w:p>
    <w:p w14:paraId="1321AA19" w14:textId="598FC16E" w:rsidR="00A77578" w:rsidRPr="007A624A" w:rsidRDefault="00A77578" w:rsidP="007A624A">
      <w:pPr>
        <w:rPr>
          <w:rFonts w:ascii="Arial" w:hAnsi="Arial" w:cs="Arial"/>
          <w:sz w:val="22"/>
          <w:szCs w:val="22"/>
        </w:rPr>
      </w:pPr>
      <w:r w:rsidRPr="00BC6CB0">
        <w:rPr>
          <w:rFonts w:ascii="Arial" w:hAnsi="Arial" w:cs="Arial"/>
          <w:sz w:val="22"/>
          <w:szCs w:val="22"/>
        </w:rPr>
        <w:t xml:space="preserve">Mitzner, T. et al. (2019) ‘Older adults talk technology’, </w:t>
      </w:r>
      <w:r w:rsidRPr="00BC6CB0">
        <w:rPr>
          <w:rFonts w:ascii="Arial" w:hAnsi="Arial" w:cs="Arial"/>
          <w:i/>
          <w:iCs/>
          <w:sz w:val="22"/>
          <w:szCs w:val="22"/>
        </w:rPr>
        <w:t>Computers in Human Behaviour</w:t>
      </w:r>
      <w:r w:rsidRPr="00BC6CB0">
        <w:rPr>
          <w:rFonts w:ascii="Arial" w:hAnsi="Arial" w:cs="Arial"/>
          <w:sz w:val="22"/>
          <w:szCs w:val="22"/>
        </w:rPr>
        <w:t>, 26(6), pp. 1710–1721.</w:t>
      </w:r>
    </w:p>
    <w:p w14:paraId="5E58A911" w14:textId="77777777" w:rsidR="007A624A" w:rsidRPr="007A624A" w:rsidRDefault="007A624A" w:rsidP="007A624A">
      <w:pPr>
        <w:rPr>
          <w:rFonts w:ascii="Arial" w:hAnsi="Arial" w:cs="Arial"/>
          <w:sz w:val="22"/>
          <w:szCs w:val="22"/>
        </w:rPr>
      </w:pPr>
      <w:r w:rsidRPr="007A624A">
        <w:rPr>
          <w:rFonts w:ascii="Arial" w:hAnsi="Arial" w:cs="Arial"/>
          <w:sz w:val="22"/>
          <w:szCs w:val="22"/>
        </w:rPr>
        <w:t xml:space="preserve">NHS England (2019) </w:t>
      </w:r>
      <w:r w:rsidRPr="007A624A">
        <w:rPr>
          <w:rFonts w:ascii="Arial" w:hAnsi="Arial" w:cs="Arial"/>
          <w:i/>
          <w:iCs/>
          <w:sz w:val="22"/>
          <w:szCs w:val="22"/>
        </w:rPr>
        <w:t>The NHS Long Term Plan</w:t>
      </w:r>
      <w:r w:rsidRPr="007A624A">
        <w:rPr>
          <w:rFonts w:ascii="Arial" w:hAnsi="Arial" w:cs="Arial"/>
          <w:sz w:val="22"/>
          <w:szCs w:val="22"/>
        </w:rPr>
        <w:t xml:space="preserve">. Available at: </w:t>
      </w:r>
      <w:hyperlink r:id="rId21" w:history="1">
        <w:r w:rsidRPr="007A624A">
          <w:rPr>
            <w:rStyle w:val="Hyperlink"/>
            <w:rFonts w:ascii="Arial" w:hAnsi="Arial" w:cs="Arial"/>
            <w:sz w:val="22"/>
            <w:szCs w:val="22"/>
          </w:rPr>
          <w:t>https://www.longtermplan.nhs.uk</w:t>
        </w:r>
      </w:hyperlink>
      <w:r w:rsidRPr="007A624A">
        <w:rPr>
          <w:rFonts w:ascii="Arial" w:hAnsi="Arial" w:cs="Arial"/>
          <w:sz w:val="22"/>
          <w:szCs w:val="22"/>
        </w:rPr>
        <w:t xml:space="preserve"> (Accessed: 9 February 2026).</w:t>
      </w:r>
    </w:p>
    <w:p w14:paraId="0A5ADB94" w14:textId="77777777" w:rsidR="007A624A" w:rsidRPr="00BC6CB0" w:rsidRDefault="007A624A" w:rsidP="007A624A">
      <w:pPr>
        <w:rPr>
          <w:rFonts w:ascii="Arial" w:hAnsi="Arial" w:cs="Arial"/>
          <w:sz w:val="22"/>
          <w:szCs w:val="22"/>
        </w:rPr>
      </w:pPr>
      <w:r w:rsidRPr="007A624A">
        <w:rPr>
          <w:rFonts w:ascii="Arial" w:hAnsi="Arial" w:cs="Arial"/>
          <w:sz w:val="22"/>
          <w:szCs w:val="22"/>
        </w:rPr>
        <w:t xml:space="preserve">NHS England (2022) </w:t>
      </w:r>
      <w:r w:rsidRPr="007A624A">
        <w:rPr>
          <w:rFonts w:ascii="Arial" w:hAnsi="Arial" w:cs="Arial"/>
          <w:i/>
          <w:iCs/>
          <w:sz w:val="22"/>
          <w:szCs w:val="22"/>
        </w:rPr>
        <w:t>Digital transformation in health and care</w:t>
      </w:r>
      <w:r w:rsidRPr="007A624A">
        <w:rPr>
          <w:rFonts w:ascii="Arial" w:hAnsi="Arial" w:cs="Arial"/>
          <w:sz w:val="22"/>
          <w:szCs w:val="22"/>
        </w:rPr>
        <w:t xml:space="preserve">. Available at: </w:t>
      </w:r>
      <w:hyperlink r:id="rId22" w:history="1">
        <w:r w:rsidRPr="007A624A">
          <w:rPr>
            <w:rStyle w:val="Hyperlink"/>
            <w:rFonts w:ascii="Arial" w:hAnsi="Arial" w:cs="Arial"/>
            <w:sz w:val="22"/>
            <w:szCs w:val="22"/>
          </w:rPr>
          <w:t>https://www.england.nhs.uk/digitaltechnology</w:t>
        </w:r>
      </w:hyperlink>
      <w:r w:rsidRPr="007A624A">
        <w:rPr>
          <w:rFonts w:ascii="Arial" w:hAnsi="Arial" w:cs="Arial"/>
          <w:sz w:val="22"/>
          <w:szCs w:val="22"/>
        </w:rPr>
        <w:t xml:space="preserve"> (Accessed: 9 February 2026).</w:t>
      </w:r>
    </w:p>
    <w:p w14:paraId="3E38A3C6"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NHS England (2023) </w:t>
      </w:r>
      <w:r w:rsidRPr="00352C92">
        <w:rPr>
          <w:rFonts w:ascii="Arial" w:hAnsi="Arial" w:cs="Arial"/>
          <w:i/>
          <w:iCs/>
          <w:sz w:val="22"/>
          <w:szCs w:val="22"/>
        </w:rPr>
        <w:t>Digital inclusion guide for health and social care</w:t>
      </w:r>
      <w:r w:rsidRPr="00352C92">
        <w:rPr>
          <w:rFonts w:ascii="Arial" w:hAnsi="Arial" w:cs="Arial"/>
          <w:sz w:val="22"/>
          <w:szCs w:val="22"/>
        </w:rPr>
        <w:t>. Available at:</w:t>
      </w:r>
      <w:r w:rsidRPr="00352C92">
        <w:rPr>
          <w:rFonts w:ascii="Arial" w:hAnsi="Arial" w:cs="Arial"/>
          <w:sz w:val="22"/>
          <w:szCs w:val="22"/>
        </w:rPr>
        <w:br/>
        <w:t>https://www.england.nhs.uk/long-read/digital-inclusion-guide (Accessed: 3 February 2026). </w:t>
      </w:r>
    </w:p>
    <w:p w14:paraId="1DEFC251"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National Audit Office (2020) </w:t>
      </w:r>
      <w:r w:rsidRPr="00352C92">
        <w:rPr>
          <w:rFonts w:ascii="Arial" w:hAnsi="Arial" w:cs="Arial"/>
          <w:i/>
          <w:iCs/>
          <w:sz w:val="22"/>
          <w:szCs w:val="22"/>
        </w:rPr>
        <w:t xml:space="preserve">Digital transformation in the NHS. </w:t>
      </w:r>
      <w:r w:rsidRPr="00352C92">
        <w:rPr>
          <w:rFonts w:ascii="Arial" w:hAnsi="Arial" w:cs="Arial"/>
          <w:sz w:val="22"/>
          <w:szCs w:val="22"/>
        </w:rPr>
        <w:t xml:space="preserve"> Available at: </w:t>
      </w:r>
      <w:hyperlink r:id="rId23" w:history="1">
        <w:r w:rsidRPr="00352C92">
          <w:rPr>
            <w:rStyle w:val="Hyperlink"/>
            <w:rFonts w:ascii="Arial" w:hAnsi="Arial" w:cs="Arial"/>
            <w:sz w:val="22"/>
            <w:szCs w:val="22"/>
          </w:rPr>
          <w:t>https://www.nao.org.uk/reports/digital-transformation-in-the-nhs/</w:t>
        </w:r>
      </w:hyperlink>
      <w:r w:rsidRPr="00352C92">
        <w:rPr>
          <w:rFonts w:ascii="Arial" w:hAnsi="Arial" w:cs="Arial"/>
          <w:sz w:val="22"/>
          <w:szCs w:val="22"/>
        </w:rPr>
        <w:t xml:space="preserve"> (Accessed: 6 February 2026).</w:t>
      </w:r>
    </w:p>
    <w:p w14:paraId="11FE59AC"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National Audit Office (2023) </w:t>
      </w:r>
      <w:r w:rsidRPr="00352C92">
        <w:rPr>
          <w:rFonts w:ascii="Arial" w:hAnsi="Arial" w:cs="Arial"/>
          <w:i/>
          <w:iCs/>
          <w:sz w:val="22"/>
          <w:szCs w:val="22"/>
        </w:rPr>
        <w:t>Addressing digital exclusion in public services</w:t>
      </w:r>
      <w:r w:rsidRPr="00352C92">
        <w:rPr>
          <w:rFonts w:ascii="Arial" w:hAnsi="Arial" w:cs="Arial"/>
          <w:sz w:val="22"/>
          <w:szCs w:val="22"/>
        </w:rPr>
        <w:t xml:space="preserve">. Available at: </w:t>
      </w:r>
      <w:hyperlink r:id="rId24" w:history="1">
        <w:r w:rsidRPr="00352C92">
          <w:rPr>
            <w:rStyle w:val="Hyperlink"/>
            <w:rFonts w:ascii="Arial" w:hAnsi="Arial" w:cs="Arial"/>
            <w:sz w:val="22"/>
            <w:szCs w:val="22"/>
          </w:rPr>
          <w:t>https://www.nao.org.uk/reports/addressing-digital-exclusion-in-public-services/</w:t>
        </w:r>
      </w:hyperlink>
      <w:r w:rsidRPr="00352C92">
        <w:rPr>
          <w:rFonts w:ascii="Arial" w:hAnsi="Arial" w:cs="Arial"/>
          <w:sz w:val="22"/>
          <w:szCs w:val="22"/>
        </w:rPr>
        <w:t xml:space="preserve"> (Accessed: 8 February 2026).</w:t>
      </w:r>
    </w:p>
    <w:p w14:paraId="65C2D075" w14:textId="77777777" w:rsidR="00352C92" w:rsidRDefault="00352C92" w:rsidP="00352C92">
      <w:pPr>
        <w:rPr>
          <w:rFonts w:ascii="Arial" w:hAnsi="Arial" w:cs="Arial"/>
          <w:sz w:val="22"/>
          <w:szCs w:val="22"/>
        </w:rPr>
      </w:pPr>
      <w:r w:rsidRPr="00352C92">
        <w:rPr>
          <w:rFonts w:ascii="Arial" w:hAnsi="Arial" w:cs="Arial"/>
          <w:sz w:val="22"/>
          <w:szCs w:val="22"/>
        </w:rPr>
        <w:t xml:space="preserve">Nuffield Trust (2021) </w:t>
      </w:r>
      <w:r w:rsidRPr="00352C92">
        <w:rPr>
          <w:rFonts w:ascii="Arial" w:hAnsi="Arial" w:cs="Arial"/>
          <w:i/>
          <w:iCs/>
          <w:sz w:val="22"/>
          <w:szCs w:val="22"/>
        </w:rPr>
        <w:t>Digital technology in health and care.</w:t>
      </w:r>
      <w:r w:rsidRPr="00352C92">
        <w:rPr>
          <w:rFonts w:ascii="Arial" w:hAnsi="Arial" w:cs="Arial"/>
          <w:sz w:val="22"/>
          <w:szCs w:val="22"/>
        </w:rPr>
        <w:t xml:space="preserve"> Available at: </w:t>
      </w:r>
      <w:hyperlink r:id="rId25" w:history="1">
        <w:r w:rsidRPr="00352C92">
          <w:rPr>
            <w:rStyle w:val="Hyperlink"/>
            <w:rFonts w:ascii="Arial" w:hAnsi="Arial" w:cs="Arial"/>
            <w:sz w:val="22"/>
            <w:szCs w:val="22"/>
          </w:rPr>
          <w:t>https://www.nuffieldtrust.org.uk/research/digital-technology-in-health-and-care</w:t>
        </w:r>
      </w:hyperlink>
      <w:r w:rsidRPr="00352C92">
        <w:rPr>
          <w:rFonts w:ascii="Arial" w:hAnsi="Arial" w:cs="Arial"/>
          <w:sz w:val="22"/>
          <w:szCs w:val="22"/>
        </w:rPr>
        <w:t xml:space="preserve"> (Accessed: 4 February 2026).</w:t>
      </w:r>
    </w:p>
    <w:p w14:paraId="7BD7E263" w14:textId="17BF7318" w:rsidR="005601F6" w:rsidRPr="00352C92" w:rsidRDefault="005601F6" w:rsidP="00352C92">
      <w:pPr>
        <w:rPr>
          <w:rFonts w:ascii="Arial" w:hAnsi="Arial" w:cs="Arial"/>
          <w:sz w:val="22"/>
          <w:szCs w:val="22"/>
        </w:rPr>
      </w:pPr>
      <w:r w:rsidRPr="005601F6">
        <w:rPr>
          <w:rFonts w:ascii="Arial" w:hAnsi="Arial" w:cs="Arial"/>
          <w:sz w:val="22"/>
          <w:szCs w:val="22"/>
        </w:rPr>
        <w:t>NICE</w:t>
      </w:r>
      <w:r>
        <w:rPr>
          <w:rFonts w:ascii="Arial" w:hAnsi="Arial" w:cs="Arial"/>
          <w:i/>
          <w:iCs/>
          <w:sz w:val="22"/>
          <w:szCs w:val="22"/>
        </w:rPr>
        <w:t xml:space="preserve"> </w:t>
      </w:r>
      <w:r w:rsidRPr="005601F6">
        <w:rPr>
          <w:rFonts w:ascii="Arial" w:hAnsi="Arial" w:cs="Arial"/>
          <w:sz w:val="22"/>
          <w:szCs w:val="22"/>
        </w:rPr>
        <w:t>(</w:t>
      </w:r>
      <w:r w:rsidR="002B1377">
        <w:rPr>
          <w:rFonts w:ascii="Arial" w:hAnsi="Arial" w:cs="Arial"/>
          <w:sz w:val="22"/>
          <w:szCs w:val="22"/>
        </w:rPr>
        <w:t>2026</w:t>
      </w:r>
      <w:r w:rsidRPr="005601F6">
        <w:rPr>
          <w:rFonts w:ascii="Arial" w:hAnsi="Arial" w:cs="Arial"/>
          <w:sz w:val="22"/>
          <w:szCs w:val="22"/>
        </w:rPr>
        <w:t>)</w:t>
      </w:r>
      <w:r>
        <w:rPr>
          <w:rFonts w:ascii="Arial" w:hAnsi="Arial" w:cs="Arial"/>
          <w:sz w:val="22"/>
          <w:szCs w:val="22"/>
        </w:rPr>
        <w:t xml:space="preserve"> </w:t>
      </w:r>
      <w:r w:rsidRPr="005601F6">
        <w:rPr>
          <w:rFonts w:ascii="Arial" w:hAnsi="Arial" w:cs="Arial"/>
          <w:i/>
          <w:iCs/>
          <w:sz w:val="22"/>
          <w:szCs w:val="22"/>
        </w:rPr>
        <w:t>Evidence standards framework (ESF) for digital health technologies</w:t>
      </w:r>
      <w:r w:rsidRPr="005601F6">
        <w:rPr>
          <w:rFonts w:ascii="Arial" w:hAnsi="Arial" w:cs="Arial"/>
          <w:sz w:val="22"/>
          <w:szCs w:val="22"/>
        </w:rPr>
        <w:t xml:space="preserve">. </w:t>
      </w:r>
      <w:r w:rsidR="002B1377" w:rsidRPr="002B1377">
        <w:rPr>
          <w:rFonts w:ascii="Arial" w:hAnsi="Arial" w:cs="Arial"/>
          <w:sz w:val="22"/>
          <w:szCs w:val="22"/>
        </w:rPr>
        <w:t xml:space="preserve">Available at: </w:t>
      </w:r>
      <w:hyperlink r:id="rId26" w:history="1">
        <w:r w:rsidR="002B1377" w:rsidRPr="005601F6">
          <w:rPr>
            <w:rStyle w:val="Hyperlink"/>
            <w:rFonts w:ascii="Arial" w:hAnsi="Arial" w:cs="Arial"/>
            <w:sz w:val="22"/>
            <w:szCs w:val="22"/>
          </w:rPr>
          <w:t>https://www.nice.org.uk/what-nice-does/digital-health/evidence-standards-framework-esf-for-digital-health-technologies</w:t>
        </w:r>
      </w:hyperlink>
      <w:r w:rsidR="002B1377" w:rsidRPr="002B1377">
        <w:rPr>
          <w:rFonts w:ascii="Arial" w:hAnsi="Arial" w:cs="Arial"/>
          <w:sz w:val="22"/>
          <w:szCs w:val="22"/>
        </w:rPr>
        <w:t xml:space="preserve"> (A</w:t>
      </w:r>
      <w:r w:rsidR="002B1377">
        <w:rPr>
          <w:rFonts w:ascii="Arial" w:hAnsi="Arial" w:cs="Arial"/>
          <w:sz w:val="22"/>
          <w:szCs w:val="22"/>
        </w:rPr>
        <w:t>ccessed: 18 March 2026).</w:t>
      </w:r>
    </w:p>
    <w:p w14:paraId="7DC40273"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Office for National Statistics (2021) </w:t>
      </w:r>
      <w:r w:rsidRPr="00352C92">
        <w:rPr>
          <w:rFonts w:ascii="Arial" w:hAnsi="Arial" w:cs="Arial"/>
          <w:i/>
          <w:iCs/>
          <w:sz w:val="22"/>
          <w:szCs w:val="22"/>
        </w:rPr>
        <w:t>Internet users, UK: 2021</w:t>
      </w:r>
      <w:r w:rsidRPr="00352C92">
        <w:rPr>
          <w:rFonts w:ascii="Arial" w:hAnsi="Arial" w:cs="Arial"/>
          <w:sz w:val="22"/>
          <w:szCs w:val="22"/>
        </w:rPr>
        <w:t>. Available at:</w:t>
      </w:r>
      <w:r w:rsidRPr="00352C92">
        <w:rPr>
          <w:rFonts w:ascii="Arial" w:hAnsi="Arial" w:cs="Arial"/>
          <w:sz w:val="22"/>
          <w:szCs w:val="22"/>
        </w:rPr>
        <w:br/>
        <w:t>https://www.ons.gov.uk/businessindustryandtrade/itandinternetindustry/bulletins/internetusers/2021 (Accessed: 3 February 2026).</w:t>
      </w:r>
    </w:p>
    <w:p w14:paraId="639EEFD5"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Office for National Statistics (2023) </w:t>
      </w:r>
      <w:r w:rsidRPr="00352C92">
        <w:rPr>
          <w:rFonts w:ascii="Arial" w:hAnsi="Arial" w:cs="Arial"/>
          <w:i/>
          <w:iCs/>
          <w:sz w:val="22"/>
          <w:szCs w:val="22"/>
        </w:rPr>
        <w:t>Overview of the UK population: January 2023</w:t>
      </w:r>
      <w:r w:rsidRPr="00352C92">
        <w:rPr>
          <w:rFonts w:ascii="Arial" w:hAnsi="Arial" w:cs="Arial"/>
          <w:sz w:val="22"/>
          <w:szCs w:val="22"/>
        </w:rPr>
        <w:t>.  Available at:</w:t>
      </w:r>
      <w:r w:rsidRPr="00352C92">
        <w:rPr>
          <w:rFonts w:ascii="Arial" w:hAnsi="Arial" w:cs="Arial"/>
          <w:sz w:val="22"/>
          <w:szCs w:val="22"/>
        </w:rPr>
        <w:br/>
      </w:r>
      <w:hyperlink r:id="rId27" w:history="1">
        <w:r w:rsidRPr="00352C92">
          <w:rPr>
            <w:rStyle w:val="Hyperlink"/>
            <w:rFonts w:ascii="Arial" w:hAnsi="Arial" w:cs="Arial"/>
            <w:sz w:val="22"/>
            <w:szCs w:val="22"/>
          </w:rPr>
          <w:t>https://www.ons.gov.uk/peoplepopulationandcommunity/populationandmigration/populationestimates</w:t>
        </w:r>
      </w:hyperlink>
      <w:r w:rsidRPr="00352C92">
        <w:rPr>
          <w:rFonts w:ascii="Arial" w:hAnsi="Arial" w:cs="Arial"/>
          <w:sz w:val="22"/>
          <w:szCs w:val="22"/>
        </w:rPr>
        <w:t xml:space="preserve"> (Accessed: 7 February 2026).</w:t>
      </w:r>
    </w:p>
    <w:p w14:paraId="4615FFAB" w14:textId="28D76BA3" w:rsidR="00B20DC2" w:rsidRPr="00BC6CB0" w:rsidRDefault="00352C92" w:rsidP="00B20DC2">
      <w:pPr>
        <w:rPr>
          <w:rFonts w:ascii="Arial" w:hAnsi="Arial" w:cs="Arial"/>
          <w:sz w:val="22"/>
          <w:szCs w:val="22"/>
        </w:rPr>
      </w:pPr>
      <w:r w:rsidRPr="00352C92">
        <w:rPr>
          <w:rFonts w:ascii="Arial" w:hAnsi="Arial" w:cs="Arial"/>
          <w:sz w:val="22"/>
          <w:szCs w:val="22"/>
        </w:rPr>
        <w:lastRenderedPageBreak/>
        <w:t xml:space="preserve">Peek, S.T.M., Wouters, E.J.M., van Hoof, J., </w:t>
      </w:r>
      <w:proofErr w:type="spellStart"/>
      <w:r w:rsidRPr="00352C92">
        <w:rPr>
          <w:rFonts w:ascii="Arial" w:hAnsi="Arial" w:cs="Arial"/>
          <w:sz w:val="22"/>
          <w:szCs w:val="22"/>
        </w:rPr>
        <w:t>Luijkx</w:t>
      </w:r>
      <w:proofErr w:type="spellEnd"/>
      <w:r w:rsidRPr="00352C92">
        <w:rPr>
          <w:rFonts w:ascii="Arial" w:hAnsi="Arial" w:cs="Arial"/>
          <w:sz w:val="22"/>
          <w:szCs w:val="22"/>
        </w:rPr>
        <w:t xml:space="preserve">, K.G., Boeije, H.R. and </w:t>
      </w:r>
      <w:proofErr w:type="spellStart"/>
      <w:r w:rsidRPr="00352C92">
        <w:rPr>
          <w:rFonts w:ascii="Arial" w:hAnsi="Arial" w:cs="Arial"/>
          <w:sz w:val="22"/>
          <w:szCs w:val="22"/>
        </w:rPr>
        <w:t>Vrijhoef</w:t>
      </w:r>
      <w:proofErr w:type="spellEnd"/>
      <w:r w:rsidRPr="00352C92">
        <w:rPr>
          <w:rFonts w:ascii="Arial" w:hAnsi="Arial" w:cs="Arial"/>
          <w:sz w:val="22"/>
          <w:szCs w:val="22"/>
        </w:rPr>
        <w:t xml:space="preserve">, H.J.M. (2014) ‘Factors influencing acceptance of technology for ageing in place’, </w:t>
      </w:r>
      <w:r w:rsidRPr="00352C92">
        <w:rPr>
          <w:rFonts w:ascii="Arial" w:hAnsi="Arial" w:cs="Arial"/>
          <w:i/>
          <w:iCs/>
          <w:sz w:val="22"/>
          <w:szCs w:val="22"/>
        </w:rPr>
        <w:t>International Journal of Medical Informatics</w:t>
      </w:r>
      <w:r w:rsidRPr="00352C92">
        <w:rPr>
          <w:rFonts w:ascii="Arial" w:hAnsi="Arial" w:cs="Arial"/>
          <w:sz w:val="22"/>
          <w:szCs w:val="22"/>
        </w:rPr>
        <w:t>, 83(4), pp. 235–248. doi:10.1016/j.ijmedinf.2014.01.004.</w:t>
      </w:r>
    </w:p>
    <w:p w14:paraId="54FE1D8F" w14:textId="77777777" w:rsidR="00B20DC2" w:rsidRPr="00BC6CB0" w:rsidRDefault="00B20DC2" w:rsidP="00B20DC2">
      <w:pPr>
        <w:rPr>
          <w:rFonts w:ascii="Arial" w:hAnsi="Arial" w:cs="Arial"/>
          <w:sz w:val="22"/>
          <w:szCs w:val="22"/>
        </w:rPr>
      </w:pPr>
      <w:r w:rsidRPr="00BC6CB0">
        <w:rPr>
          <w:rFonts w:ascii="Arial" w:hAnsi="Arial" w:cs="Arial"/>
          <w:sz w:val="22"/>
          <w:szCs w:val="22"/>
        </w:rPr>
        <w:t>Seifert, A., Cotten, S. and Xie, B. (2021) ‘A double burden of exclusion? Digital and social exclusion of older adults, Journal</w:t>
      </w:r>
      <w:r w:rsidRPr="00BC6CB0">
        <w:rPr>
          <w:rFonts w:ascii="Arial" w:hAnsi="Arial" w:cs="Arial"/>
          <w:i/>
          <w:iCs/>
          <w:sz w:val="22"/>
          <w:szCs w:val="22"/>
        </w:rPr>
        <w:t xml:space="preserve"> of Gerontology</w:t>
      </w:r>
      <w:r w:rsidRPr="00BC6CB0">
        <w:rPr>
          <w:rFonts w:ascii="Arial" w:hAnsi="Arial" w:cs="Arial"/>
          <w:sz w:val="22"/>
          <w:szCs w:val="22"/>
        </w:rPr>
        <w:t>, 76(3), pp. 99–103.</w:t>
      </w:r>
    </w:p>
    <w:p w14:paraId="22E8551D" w14:textId="2037A87D" w:rsidR="00B20DC2" w:rsidRPr="00352C92" w:rsidRDefault="00B20DC2" w:rsidP="00352C92">
      <w:pPr>
        <w:rPr>
          <w:rFonts w:ascii="Arial" w:hAnsi="Arial" w:cs="Arial"/>
          <w:sz w:val="22"/>
          <w:szCs w:val="22"/>
        </w:rPr>
      </w:pPr>
      <w:r w:rsidRPr="00BC6CB0">
        <w:rPr>
          <w:rFonts w:ascii="Arial" w:hAnsi="Arial" w:cs="Arial"/>
          <w:sz w:val="22"/>
          <w:szCs w:val="22"/>
        </w:rPr>
        <w:t xml:space="preserve">Sixsmith, A. et al. (2022) ‘Technologies for ageing in place’, </w:t>
      </w:r>
      <w:r w:rsidRPr="00BC6CB0">
        <w:rPr>
          <w:rFonts w:ascii="Arial" w:hAnsi="Arial" w:cs="Arial"/>
          <w:i/>
          <w:iCs/>
          <w:sz w:val="22"/>
          <w:szCs w:val="22"/>
        </w:rPr>
        <w:t>Gerontology</w:t>
      </w:r>
      <w:r w:rsidRPr="00BC6CB0">
        <w:rPr>
          <w:rFonts w:ascii="Arial" w:hAnsi="Arial" w:cs="Arial"/>
          <w:sz w:val="22"/>
          <w:szCs w:val="22"/>
        </w:rPr>
        <w:t>, 67(1), pp. 1–10.</w:t>
      </w:r>
    </w:p>
    <w:p w14:paraId="03F7F2CA"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The King’s Fund (2022) </w:t>
      </w:r>
      <w:r w:rsidRPr="00352C92">
        <w:rPr>
          <w:rFonts w:ascii="Arial" w:hAnsi="Arial" w:cs="Arial"/>
          <w:i/>
          <w:iCs/>
          <w:sz w:val="22"/>
          <w:szCs w:val="22"/>
        </w:rPr>
        <w:t>The digital transformation of health and social care</w:t>
      </w:r>
      <w:r w:rsidRPr="00352C92">
        <w:rPr>
          <w:rFonts w:ascii="Arial" w:hAnsi="Arial" w:cs="Arial"/>
          <w:sz w:val="22"/>
          <w:szCs w:val="22"/>
        </w:rPr>
        <w:t>. Available at: https://www.kingsfund.org.uk/insight-and-analysis/press-releases/digital-health-care-plan-2022 (Accessed: 6 February 2026).</w:t>
      </w:r>
    </w:p>
    <w:p w14:paraId="5A29DAC4" w14:textId="77777777" w:rsidR="00352C92" w:rsidRDefault="00352C92" w:rsidP="00352C92">
      <w:pPr>
        <w:rPr>
          <w:rFonts w:ascii="Arial" w:hAnsi="Arial" w:cs="Arial"/>
          <w:sz w:val="22"/>
          <w:szCs w:val="22"/>
        </w:rPr>
      </w:pPr>
      <w:r w:rsidRPr="00352C92">
        <w:rPr>
          <w:rFonts w:ascii="Arial" w:hAnsi="Arial" w:cs="Arial"/>
          <w:sz w:val="22"/>
          <w:szCs w:val="22"/>
        </w:rPr>
        <w:t xml:space="preserve">UK Health Security Agency (2023) </w:t>
      </w:r>
      <w:r w:rsidRPr="00352C92">
        <w:rPr>
          <w:rFonts w:ascii="Arial" w:hAnsi="Arial" w:cs="Arial"/>
          <w:i/>
          <w:iCs/>
          <w:sz w:val="22"/>
          <w:szCs w:val="22"/>
        </w:rPr>
        <w:t>Health inequalities: digital access and inclusion</w:t>
      </w:r>
      <w:r w:rsidRPr="00352C92">
        <w:rPr>
          <w:rFonts w:ascii="Arial" w:hAnsi="Arial" w:cs="Arial"/>
          <w:sz w:val="22"/>
          <w:szCs w:val="22"/>
        </w:rPr>
        <w:t>. Available at: https://ukhsa.blog.gov.uk/2023/11/08/achieving-more-equitable-outcomes-ukhsa-health-equity-for-health-security-strategy/ (Accessed: 3 February 2026).</w:t>
      </w:r>
    </w:p>
    <w:p w14:paraId="4A3D642D" w14:textId="268132FC" w:rsidR="009204A1" w:rsidRPr="00BC6CB0" w:rsidRDefault="009204A1" w:rsidP="00352C92">
      <w:pPr>
        <w:rPr>
          <w:rFonts w:ascii="Arial" w:hAnsi="Arial" w:cs="Arial"/>
          <w:sz w:val="22"/>
          <w:szCs w:val="22"/>
        </w:rPr>
      </w:pPr>
      <w:r w:rsidRPr="009204A1">
        <w:rPr>
          <w:rFonts w:ascii="Arial" w:hAnsi="Arial" w:cs="Arial"/>
          <w:sz w:val="22"/>
          <w:szCs w:val="22"/>
        </w:rPr>
        <w:t xml:space="preserve">Van Dijk, J.A.G.M. (2019) </w:t>
      </w:r>
      <w:r w:rsidRPr="009204A1">
        <w:rPr>
          <w:rFonts w:ascii="Arial" w:hAnsi="Arial" w:cs="Arial"/>
          <w:i/>
          <w:iCs/>
          <w:sz w:val="22"/>
          <w:szCs w:val="22"/>
        </w:rPr>
        <w:t>'The digital divide</w:t>
      </w:r>
      <w:r w:rsidRPr="009204A1">
        <w:rPr>
          <w:rFonts w:ascii="Arial" w:hAnsi="Arial" w:cs="Arial"/>
          <w:sz w:val="22"/>
          <w:szCs w:val="22"/>
        </w:rPr>
        <w:t xml:space="preserve">,' </w:t>
      </w:r>
      <w:r w:rsidRPr="009204A1">
        <w:rPr>
          <w:rFonts w:ascii="Arial" w:hAnsi="Arial" w:cs="Arial"/>
          <w:i/>
          <w:iCs/>
          <w:sz w:val="22"/>
          <w:szCs w:val="22"/>
        </w:rPr>
        <w:t>ResearchGate</w:t>
      </w:r>
      <w:r w:rsidRPr="009204A1">
        <w:rPr>
          <w:rFonts w:ascii="Arial" w:hAnsi="Arial" w:cs="Arial"/>
          <w:sz w:val="22"/>
          <w:szCs w:val="22"/>
        </w:rPr>
        <w:t xml:space="preserve"> [Preprint]. </w:t>
      </w:r>
      <w:r w:rsidR="005C0BBE">
        <w:rPr>
          <w:rFonts w:ascii="Arial" w:hAnsi="Arial" w:cs="Arial"/>
          <w:sz w:val="22"/>
          <w:szCs w:val="22"/>
        </w:rPr>
        <w:t xml:space="preserve">Available at: </w:t>
      </w:r>
      <w:hyperlink r:id="rId28" w:history="1">
        <w:r w:rsidR="005C0BBE" w:rsidRPr="009204A1">
          <w:rPr>
            <w:rStyle w:val="Hyperlink"/>
            <w:rFonts w:ascii="Arial" w:hAnsi="Arial" w:cs="Arial"/>
            <w:sz w:val="22"/>
            <w:szCs w:val="22"/>
          </w:rPr>
          <w:t>https://www.researchgate.net/publication/336775102_The_Digital_Divide</w:t>
        </w:r>
        <w:r w:rsidR="005C0BBE" w:rsidRPr="00B17B49">
          <w:rPr>
            <w:rStyle w:val="Hyperlink"/>
            <w:rFonts w:ascii="Arial" w:hAnsi="Arial" w:cs="Arial"/>
            <w:sz w:val="22"/>
            <w:szCs w:val="22"/>
          </w:rPr>
          <w:t xml:space="preserve"> </w:t>
        </w:r>
        <w:r w:rsidR="005C0BBE" w:rsidRPr="005C0BBE">
          <w:rPr>
            <w:rStyle w:val="Hyperlink"/>
            <w:rFonts w:ascii="Arial" w:hAnsi="Arial" w:cs="Arial"/>
            <w:color w:val="auto"/>
            <w:sz w:val="22"/>
            <w:szCs w:val="22"/>
            <w:u w:val="none"/>
          </w:rPr>
          <w:t>(Accessed</w:t>
        </w:r>
      </w:hyperlink>
      <w:r w:rsidR="005C0BBE">
        <w:rPr>
          <w:rFonts w:ascii="Arial" w:hAnsi="Arial" w:cs="Arial"/>
          <w:sz w:val="22"/>
          <w:szCs w:val="22"/>
        </w:rPr>
        <w:t>: 19 March 2026).</w:t>
      </w:r>
    </w:p>
    <w:p w14:paraId="66C53E93" w14:textId="3BC949FD" w:rsidR="006C3D17" w:rsidRPr="00352C92" w:rsidRDefault="006C3D17" w:rsidP="00352C92">
      <w:pPr>
        <w:rPr>
          <w:rFonts w:ascii="Arial" w:hAnsi="Arial" w:cs="Arial"/>
          <w:sz w:val="22"/>
          <w:szCs w:val="22"/>
        </w:rPr>
      </w:pPr>
      <w:r w:rsidRPr="006C3D17">
        <w:rPr>
          <w:rFonts w:ascii="Arial" w:hAnsi="Arial" w:cs="Arial"/>
          <w:sz w:val="22"/>
          <w:szCs w:val="22"/>
        </w:rPr>
        <w:t>Writing Commons (</w:t>
      </w:r>
      <w:r w:rsidR="0005294A" w:rsidRPr="00BC6CB0">
        <w:rPr>
          <w:rFonts w:ascii="Arial" w:hAnsi="Arial" w:cs="Arial"/>
          <w:sz w:val="22"/>
          <w:szCs w:val="22"/>
        </w:rPr>
        <w:t>2023</w:t>
      </w:r>
      <w:r w:rsidRPr="006C3D17">
        <w:rPr>
          <w:rFonts w:ascii="Arial" w:hAnsi="Arial" w:cs="Arial"/>
          <w:sz w:val="22"/>
          <w:szCs w:val="22"/>
        </w:rPr>
        <w:t>)</w:t>
      </w:r>
      <w:r w:rsidR="0005294A" w:rsidRPr="00BC6CB0">
        <w:rPr>
          <w:rFonts w:ascii="Arial" w:hAnsi="Arial" w:cs="Arial"/>
          <w:i/>
          <w:iCs/>
          <w:sz w:val="22"/>
          <w:szCs w:val="22"/>
        </w:rPr>
        <w:t xml:space="preserve"> </w:t>
      </w:r>
      <w:r w:rsidR="0005294A" w:rsidRPr="006C3D17">
        <w:rPr>
          <w:rFonts w:ascii="Arial" w:hAnsi="Arial" w:cs="Arial"/>
          <w:i/>
          <w:iCs/>
          <w:sz w:val="22"/>
          <w:szCs w:val="22"/>
        </w:rPr>
        <w:t>The CRAAP Test - Currency, relevance, Authority, Accuracy, purpose</w:t>
      </w:r>
      <w:r w:rsidRPr="006C3D17">
        <w:rPr>
          <w:rFonts w:ascii="Arial" w:hAnsi="Arial" w:cs="Arial"/>
          <w:sz w:val="22"/>
          <w:szCs w:val="22"/>
        </w:rPr>
        <w:t xml:space="preserve">. </w:t>
      </w:r>
      <w:r w:rsidR="0005294A" w:rsidRPr="00BC6CB0">
        <w:rPr>
          <w:rFonts w:ascii="Arial" w:hAnsi="Arial" w:cs="Arial"/>
          <w:sz w:val="22"/>
          <w:szCs w:val="22"/>
        </w:rPr>
        <w:t xml:space="preserve">Available at: </w:t>
      </w:r>
      <w:hyperlink r:id="rId29" w:history="1">
        <w:r w:rsidR="0005294A" w:rsidRPr="006C3D17">
          <w:rPr>
            <w:rStyle w:val="Hyperlink"/>
            <w:rFonts w:ascii="Arial" w:hAnsi="Arial" w:cs="Arial"/>
            <w:sz w:val="22"/>
            <w:szCs w:val="22"/>
          </w:rPr>
          <w:t>https://writingcommons.org/section/information-literacy/information-evaluation/the-craap-test/</w:t>
        </w:r>
      </w:hyperlink>
      <w:r w:rsidR="0005294A" w:rsidRPr="00BC6CB0">
        <w:rPr>
          <w:rFonts w:ascii="Arial" w:hAnsi="Arial" w:cs="Arial"/>
          <w:sz w:val="22"/>
          <w:szCs w:val="22"/>
        </w:rPr>
        <w:t xml:space="preserve"> (Accessed: 15 Mar</w:t>
      </w:r>
      <w:r w:rsidR="00F1304B" w:rsidRPr="00BC6CB0">
        <w:rPr>
          <w:rFonts w:ascii="Arial" w:hAnsi="Arial" w:cs="Arial"/>
          <w:sz w:val="22"/>
          <w:szCs w:val="22"/>
        </w:rPr>
        <w:t>ch 2026).</w:t>
      </w:r>
    </w:p>
    <w:p w14:paraId="12BA7190" w14:textId="77777777" w:rsidR="00352C92" w:rsidRPr="00352C92" w:rsidRDefault="00352C92" w:rsidP="00352C92">
      <w:pPr>
        <w:rPr>
          <w:rFonts w:ascii="Arial" w:hAnsi="Arial" w:cs="Arial"/>
          <w:sz w:val="22"/>
          <w:szCs w:val="22"/>
        </w:rPr>
      </w:pPr>
      <w:r w:rsidRPr="00352C92">
        <w:rPr>
          <w:rFonts w:ascii="Arial" w:hAnsi="Arial" w:cs="Arial"/>
          <w:sz w:val="22"/>
          <w:szCs w:val="22"/>
        </w:rPr>
        <w:t xml:space="preserve">World Health Organisation (2021) </w:t>
      </w:r>
      <w:r w:rsidRPr="00352C92">
        <w:rPr>
          <w:rFonts w:ascii="Arial" w:hAnsi="Arial" w:cs="Arial"/>
          <w:i/>
          <w:iCs/>
          <w:sz w:val="22"/>
          <w:szCs w:val="22"/>
        </w:rPr>
        <w:t>Global strategy on digital health 2020–2025</w:t>
      </w:r>
      <w:r w:rsidRPr="00352C92">
        <w:rPr>
          <w:rFonts w:ascii="Arial" w:hAnsi="Arial" w:cs="Arial"/>
          <w:sz w:val="22"/>
          <w:szCs w:val="22"/>
        </w:rPr>
        <w:t>. Available at:</w:t>
      </w:r>
      <w:r w:rsidRPr="00352C92">
        <w:rPr>
          <w:rFonts w:ascii="Arial" w:hAnsi="Arial" w:cs="Arial"/>
          <w:sz w:val="22"/>
          <w:szCs w:val="22"/>
        </w:rPr>
        <w:br/>
      </w:r>
      <w:hyperlink r:id="rId30" w:history="1">
        <w:r w:rsidRPr="00352C92">
          <w:rPr>
            <w:rStyle w:val="Hyperlink"/>
            <w:rFonts w:ascii="Arial" w:hAnsi="Arial" w:cs="Arial"/>
            <w:sz w:val="22"/>
            <w:szCs w:val="22"/>
          </w:rPr>
          <w:t>https://www.who.int/publications/i/item/9789240020924</w:t>
        </w:r>
      </w:hyperlink>
      <w:r w:rsidRPr="00352C92">
        <w:rPr>
          <w:rFonts w:ascii="Arial" w:hAnsi="Arial" w:cs="Arial"/>
          <w:sz w:val="22"/>
          <w:szCs w:val="22"/>
        </w:rPr>
        <w:t xml:space="preserve"> (Accessed: 4 February 2026).</w:t>
      </w:r>
    </w:p>
    <w:p w14:paraId="7C8B2160" w14:textId="77777777" w:rsidR="00352C92" w:rsidRPr="007A624A" w:rsidRDefault="00352C92" w:rsidP="007A624A"/>
    <w:p w14:paraId="4243B881" w14:textId="77777777" w:rsidR="00AB5D1C" w:rsidRDefault="00AB5D1C"/>
    <w:p w14:paraId="70FD9A06" w14:textId="77777777" w:rsidR="002A1999" w:rsidRDefault="002A1999"/>
    <w:p w14:paraId="56DF9C23" w14:textId="77777777" w:rsidR="002A1999" w:rsidRDefault="002A1999"/>
    <w:p w14:paraId="53804509" w14:textId="77777777" w:rsidR="002A1999" w:rsidRDefault="002A1999"/>
    <w:p w14:paraId="4BC8716F" w14:textId="77777777" w:rsidR="002A1999" w:rsidRDefault="002A1999"/>
    <w:p w14:paraId="5DA40C03" w14:textId="0DD6D80B" w:rsidR="00D30475" w:rsidRPr="00D30475" w:rsidRDefault="00D30475" w:rsidP="00D30475"/>
    <w:p w14:paraId="36A2218B" w14:textId="77777777" w:rsidR="00D30475" w:rsidRDefault="00D30475"/>
    <w:sectPr w:rsidR="00D30475">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A1C0F" w14:textId="77777777" w:rsidR="002D100E" w:rsidRDefault="002D100E" w:rsidP="002436E2">
      <w:pPr>
        <w:spacing w:after="0" w:line="240" w:lineRule="auto"/>
      </w:pPr>
      <w:r>
        <w:separator/>
      </w:r>
    </w:p>
  </w:endnote>
  <w:endnote w:type="continuationSeparator" w:id="0">
    <w:p w14:paraId="7369DC95" w14:textId="77777777" w:rsidR="002D100E" w:rsidRDefault="002D100E" w:rsidP="00243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392828"/>
      <w:docPartObj>
        <w:docPartGallery w:val="Page Numbers (Bottom of Page)"/>
        <w:docPartUnique/>
      </w:docPartObj>
    </w:sdtPr>
    <w:sdtEndPr>
      <w:rPr>
        <w:noProof/>
      </w:rPr>
    </w:sdtEndPr>
    <w:sdtContent>
      <w:p w14:paraId="1DC37D95" w14:textId="40A0AF23" w:rsidR="00232A5D" w:rsidRDefault="00232A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3E5EAE" w14:textId="77777777" w:rsidR="00232A5D" w:rsidRDefault="00232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90F50" w14:textId="77777777" w:rsidR="002D100E" w:rsidRDefault="002D100E" w:rsidP="002436E2">
      <w:pPr>
        <w:spacing w:after="0" w:line="240" w:lineRule="auto"/>
      </w:pPr>
      <w:r>
        <w:separator/>
      </w:r>
    </w:p>
  </w:footnote>
  <w:footnote w:type="continuationSeparator" w:id="0">
    <w:p w14:paraId="7B14E1CB" w14:textId="77777777" w:rsidR="002D100E" w:rsidRDefault="002D100E" w:rsidP="00243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6C38"/>
    <w:multiLevelType w:val="multilevel"/>
    <w:tmpl w:val="FD88C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462CFD"/>
    <w:multiLevelType w:val="hybridMultilevel"/>
    <w:tmpl w:val="6BC85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1E3263"/>
    <w:multiLevelType w:val="hybridMultilevel"/>
    <w:tmpl w:val="5604714C"/>
    <w:lvl w:ilvl="0" w:tplc="F4E6A3DE">
      <w:start w:val="1"/>
      <w:numFmt w:val="bullet"/>
      <w:lvlText w:val="•"/>
      <w:lvlJc w:val="left"/>
      <w:pPr>
        <w:tabs>
          <w:tab w:val="num" w:pos="720"/>
        </w:tabs>
        <w:ind w:left="720" w:hanging="360"/>
      </w:pPr>
      <w:rPr>
        <w:rFonts w:ascii="Arial" w:hAnsi="Arial" w:hint="default"/>
      </w:rPr>
    </w:lvl>
    <w:lvl w:ilvl="1" w:tplc="2E96AC1A" w:tentative="1">
      <w:start w:val="1"/>
      <w:numFmt w:val="bullet"/>
      <w:lvlText w:val="•"/>
      <w:lvlJc w:val="left"/>
      <w:pPr>
        <w:tabs>
          <w:tab w:val="num" w:pos="1440"/>
        </w:tabs>
        <w:ind w:left="1440" w:hanging="360"/>
      </w:pPr>
      <w:rPr>
        <w:rFonts w:ascii="Arial" w:hAnsi="Arial" w:hint="default"/>
      </w:rPr>
    </w:lvl>
    <w:lvl w:ilvl="2" w:tplc="13D40960" w:tentative="1">
      <w:start w:val="1"/>
      <w:numFmt w:val="bullet"/>
      <w:lvlText w:val="•"/>
      <w:lvlJc w:val="left"/>
      <w:pPr>
        <w:tabs>
          <w:tab w:val="num" w:pos="2160"/>
        </w:tabs>
        <w:ind w:left="2160" w:hanging="360"/>
      </w:pPr>
      <w:rPr>
        <w:rFonts w:ascii="Arial" w:hAnsi="Arial" w:hint="default"/>
      </w:rPr>
    </w:lvl>
    <w:lvl w:ilvl="3" w:tplc="0BB8CE42" w:tentative="1">
      <w:start w:val="1"/>
      <w:numFmt w:val="bullet"/>
      <w:lvlText w:val="•"/>
      <w:lvlJc w:val="left"/>
      <w:pPr>
        <w:tabs>
          <w:tab w:val="num" w:pos="2880"/>
        </w:tabs>
        <w:ind w:left="2880" w:hanging="360"/>
      </w:pPr>
      <w:rPr>
        <w:rFonts w:ascii="Arial" w:hAnsi="Arial" w:hint="default"/>
      </w:rPr>
    </w:lvl>
    <w:lvl w:ilvl="4" w:tplc="648CBF88" w:tentative="1">
      <w:start w:val="1"/>
      <w:numFmt w:val="bullet"/>
      <w:lvlText w:val="•"/>
      <w:lvlJc w:val="left"/>
      <w:pPr>
        <w:tabs>
          <w:tab w:val="num" w:pos="3600"/>
        </w:tabs>
        <w:ind w:left="3600" w:hanging="360"/>
      </w:pPr>
      <w:rPr>
        <w:rFonts w:ascii="Arial" w:hAnsi="Arial" w:hint="default"/>
      </w:rPr>
    </w:lvl>
    <w:lvl w:ilvl="5" w:tplc="79A078F2" w:tentative="1">
      <w:start w:val="1"/>
      <w:numFmt w:val="bullet"/>
      <w:lvlText w:val="•"/>
      <w:lvlJc w:val="left"/>
      <w:pPr>
        <w:tabs>
          <w:tab w:val="num" w:pos="4320"/>
        </w:tabs>
        <w:ind w:left="4320" w:hanging="360"/>
      </w:pPr>
      <w:rPr>
        <w:rFonts w:ascii="Arial" w:hAnsi="Arial" w:hint="default"/>
      </w:rPr>
    </w:lvl>
    <w:lvl w:ilvl="6" w:tplc="767C194C" w:tentative="1">
      <w:start w:val="1"/>
      <w:numFmt w:val="bullet"/>
      <w:lvlText w:val="•"/>
      <w:lvlJc w:val="left"/>
      <w:pPr>
        <w:tabs>
          <w:tab w:val="num" w:pos="5040"/>
        </w:tabs>
        <w:ind w:left="5040" w:hanging="360"/>
      </w:pPr>
      <w:rPr>
        <w:rFonts w:ascii="Arial" w:hAnsi="Arial" w:hint="default"/>
      </w:rPr>
    </w:lvl>
    <w:lvl w:ilvl="7" w:tplc="EB54888C" w:tentative="1">
      <w:start w:val="1"/>
      <w:numFmt w:val="bullet"/>
      <w:lvlText w:val="•"/>
      <w:lvlJc w:val="left"/>
      <w:pPr>
        <w:tabs>
          <w:tab w:val="num" w:pos="5760"/>
        </w:tabs>
        <w:ind w:left="5760" w:hanging="360"/>
      </w:pPr>
      <w:rPr>
        <w:rFonts w:ascii="Arial" w:hAnsi="Arial" w:hint="default"/>
      </w:rPr>
    </w:lvl>
    <w:lvl w:ilvl="8" w:tplc="FABED38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2D0F27"/>
    <w:multiLevelType w:val="multilevel"/>
    <w:tmpl w:val="F44EF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B1492D"/>
    <w:multiLevelType w:val="multilevel"/>
    <w:tmpl w:val="13AE7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CD1883"/>
    <w:multiLevelType w:val="hybridMultilevel"/>
    <w:tmpl w:val="165E7596"/>
    <w:lvl w:ilvl="0" w:tplc="78189176">
      <w:start w:val="1"/>
      <w:numFmt w:val="bullet"/>
      <w:lvlText w:val="•"/>
      <w:lvlJc w:val="left"/>
      <w:pPr>
        <w:tabs>
          <w:tab w:val="num" w:pos="720"/>
        </w:tabs>
        <w:ind w:left="720" w:hanging="360"/>
      </w:pPr>
      <w:rPr>
        <w:rFonts w:ascii="Times New Roman" w:hAnsi="Times New Roman" w:hint="default"/>
      </w:rPr>
    </w:lvl>
    <w:lvl w:ilvl="1" w:tplc="E05A9870" w:tentative="1">
      <w:start w:val="1"/>
      <w:numFmt w:val="bullet"/>
      <w:lvlText w:val="•"/>
      <w:lvlJc w:val="left"/>
      <w:pPr>
        <w:tabs>
          <w:tab w:val="num" w:pos="1440"/>
        </w:tabs>
        <w:ind w:left="1440" w:hanging="360"/>
      </w:pPr>
      <w:rPr>
        <w:rFonts w:ascii="Times New Roman" w:hAnsi="Times New Roman" w:hint="default"/>
      </w:rPr>
    </w:lvl>
    <w:lvl w:ilvl="2" w:tplc="9280ABEE" w:tentative="1">
      <w:start w:val="1"/>
      <w:numFmt w:val="bullet"/>
      <w:lvlText w:val="•"/>
      <w:lvlJc w:val="left"/>
      <w:pPr>
        <w:tabs>
          <w:tab w:val="num" w:pos="2160"/>
        </w:tabs>
        <w:ind w:left="2160" w:hanging="360"/>
      </w:pPr>
      <w:rPr>
        <w:rFonts w:ascii="Times New Roman" w:hAnsi="Times New Roman" w:hint="default"/>
      </w:rPr>
    </w:lvl>
    <w:lvl w:ilvl="3" w:tplc="3AF41912" w:tentative="1">
      <w:start w:val="1"/>
      <w:numFmt w:val="bullet"/>
      <w:lvlText w:val="•"/>
      <w:lvlJc w:val="left"/>
      <w:pPr>
        <w:tabs>
          <w:tab w:val="num" w:pos="2880"/>
        </w:tabs>
        <w:ind w:left="2880" w:hanging="360"/>
      </w:pPr>
      <w:rPr>
        <w:rFonts w:ascii="Times New Roman" w:hAnsi="Times New Roman" w:hint="default"/>
      </w:rPr>
    </w:lvl>
    <w:lvl w:ilvl="4" w:tplc="42A2A43E" w:tentative="1">
      <w:start w:val="1"/>
      <w:numFmt w:val="bullet"/>
      <w:lvlText w:val="•"/>
      <w:lvlJc w:val="left"/>
      <w:pPr>
        <w:tabs>
          <w:tab w:val="num" w:pos="3600"/>
        </w:tabs>
        <w:ind w:left="3600" w:hanging="360"/>
      </w:pPr>
      <w:rPr>
        <w:rFonts w:ascii="Times New Roman" w:hAnsi="Times New Roman" w:hint="default"/>
      </w:rPr>
    </w:lvl>
    <w:lvl w:ilvl="5" w:tplc="544087F2" w:tentative="1">
      <w:start w:val="1"/>
      <w:numFmt w:val="bullet"/>
      <w:lvlText w:val="•"/>
      <w:lvlJc w:val="left"/>
      <w:pPr>
        <w:tabs>
          <w:tab w:val="num" w:pos="4320"/>
        </w:tabs>
        <w:ind w:left="4320" w:hanging="360"/>
      </w:pPr>
      <w:rPr>
        <w:rFonts w:ascii="Times New Roman" w:hAnsi="Times New Roman" w:hint="default"/>
      </w:rPr>
    </w:lvl>
    <w:lvl w:ilvl="6" w:tplc="DB9C8850" w:tentative="1">
      <w:start w:val="1"/>
      <w:numFmt w:val="bullet"/>
      <w:lvlText w:val="•"/>
      <w:lvlJc w:val="left"/>
      <w:pPr>
        <w:tabs>
          <w:tab w:val="num" w:pos="5040"/>
        </w:tabs>
        <w:ind w:left="5040" w:hanging="360"/>
      </w:pPr>
      <w:rPr>
        <w:rFonts w:ascii="Times New Roman" w:hAnsi="Times New Roman" w:hint="default"/>
      </w:rPr>
    </w:lvl>
    <w:lvl w:ilvl="7" w:tplc="0B7AB5A6" w:tentative="1">
      <w:start w:val="1"/>
      <w:numFmt w:val="bullet"/>
      <w:lvlText w:val="•"/>
      <w:lvlJc w:val="left"/>
      <w:pPr>
        <w:tabs>
          <w:tab w:val="num" w:pos="5760"/>
        </w:tabs>
        <w:ind w:left="5760" w:hanging="360"/>
      </w:pPr>
      <w:rPr>
        <w:rFonts w:ascii="Times New Roman" w:hAnsi="Times New Roman" w:hint="default"/>
      </w:rPr>
    </w:lvl>
    <w:lvl w:ilvl="8" w:tplc="1F787E8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5FD6C89"/>
    <w:multiLevelType w:val="hybridMultilevel"/>
    <w:tmpl w:val="3288DC90"/>
    <w:lvl w:ilvl="0" w:tplc="2C58A25E">
      <w:start w:val="1"/>
      <w:numFmt w:val="bullet"/>
      <w:lvlText w:val="•"/>
      <w:lvlJc w:val="left"/>
      <w:pPr>
        <w:tabs>
          <w:tab w:val="num" w:pos="720"/>
        </w:tabs>
        <w:ind w:left="720" w:hanging="360"/>
      </w:pPr>
      <w:rPr>
        <w:rFonts w:ascii="Times New Roman" w:hAnsi="Times New Roman" w:hint="default"/>
      </w:rPr>
    </w:lvl>
    <w:lvl w:ilvl="1" w:tplc="6ABC14CA" w:tentative="1">
      <w:start w:val="1"/>
      <w:numFmt w:val="bullet"/>
      <w:lvlText w:val="•"/>
      <w:lvlJc w:val="left"/>
      <w:pPr>
        <w:tabs>
          <w:tab w:val="num" w:pos="1440"/>
        </w:tabs>
        <w:ind w:left="1440" w:hanging="360"/>
      </w:pPr>
      <w:rPr>
        <w:rFonts w:ascii="Times New Roman" w:hAnsi="Times New Roman" w:hint="default"/>
      </w:rPr>
    </w:lvl>
    <w:lvl w:ilvl="2" w:tplc="EB8A944E" w:tentative="1">
      <w:start w:val="1"/>
      <w:numFmt w:val="bullet"/>
      <w:lvlText w:val="•"/>
      <w:lvlJc w:val="left"/>
      <w:pPr>
        <w:tabs>
          <w:tab w:val="num" w:pos="2160"/>
        </w:tabs>
        <w:ind w:left="2160" w:hanging="360"/>
      </w:pPr>
      <w:rPr>
        <w:rFonts w:ascii="Times New Roman" w:hAnsi="Times New Roman" w:hint="default"/>
      </w:rPr>
    </w:lvl>
    <w:lvl w:ilvl="3" w:tplc="E600405E" w:tentative="1">
      <w:start w:val="1"/>
      <w:numFmt w:val="bullet"/>
      <w:lvlText w:val="•"/>
      <w:lvlJc w:val="left"/>
      <w:pPr>
        <w:tabs>
          <w:tab w:val="num" w:pos="2880"/>
        </w:tabs>
        <w:ind w:left="2880" w:hanging="360"/>
      </w:pPr>
      <w:rPr>
        <w:rFonts w:ascii="Times New Roman" w:hAnsi="Times New Roman" w:hint="default"/>
      </w:rPr>
    </w:lvl>
    <w:lvl w:ilvl="4" w:tplc="A57E7B1A" w:tentative="1">
      <w:start w:val="1"/>
      <w:numFmt w:val="bullet"/>
      <w:lvlText w:val="•"/>
      <w:lvlJc w:val="left"/>
      <w:pPr>
        <w:tabs>
          <w:tab w:val="num" w:pos="3600"/>
        </w:tabs>
        <w:ind w:left="3600" w:hanging="360"/>
      </w:pPr>
      <w:rPr>
        <w:rFonts w:ascii="Times New Roman" w:hAnsi="Times New Roman" w:hint="default"/>
      </w:rPr>
    </w:lvl>
    <w:lvl w:ilvl="5" w:tplc="324ACD68" w:tentative="1">
      <w:start w:val="1"/>
      <w:numFmt w:val="bullet"/>
      <w:lvlText w:val="•"/>
      <w:lvlJc w:val="left"/>
      <w:pPr>
        <w:tabs>
          <w:tab w:val="num" w:pos="4320"/>
        </w:tabs>
        <w:ind w:left="4320" w:hanging="360"/>
      </w:pPr>
      <w:rPr>
        <w:rFonts w:ascii="Times New Roman" w:hAnsi="Times New Roman" w:hint="default"/>
      </w:rPr>
    </w:lvl>
    <w:lvl w:ilvl="6" w:tplc="8BFCE634" w:tentative="1">
      <w:start w:val="1"/>
      <w:numFmt w:val="bullet"/>
      <w:lvlText w:val="•"/>
      <w:lvlJc w:val="left"/>
      <w:pPr>
        <w:tabs>
          <w:tab w:val="num" w:pos="5040"/>
        </w:tabs>
        <w:ind w:left="5040" w:hanging="360"/>
      </w:pPr>
      <w:rPr>
        <w:rFonts w:ascii="Times New Roman" w:hAnsi="Times New Roman" w:hint="default"/>
      </w:rPr>
    </w:lvl>
    <w:lvl w:ilvl="7" w:tplc="F7B22406" w:tentative="1">
      <w:start w:val="1"/>
      <w:numFmt w:val="bullet"/>
      <w:lvlText w:val="•"/>
      <w:lvlJc w:val="left"/>
      <w:pPr>
        <w:tabs>
          <w:tab w:val="num" w:pos="5760"/>
        </w:tabs>
        <w:ind w:left="5760" w:hanging="360"/>
      </w:pPr>
      <w:rPr>
        <w:rFonts w:ascii="Times New Roman" w:hAnsi="Times New Roman" w:hint="default"/>
      </w:rPr>
    </w:lvl>
    <w:lvl w:ilvl="8" w:tplc="811CAA2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7373D19"/>
    <w:multiLevelType w:val="multilevel"/>
    <w:tmpl w:val="381E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7132913">
    <w:abstractNumId w:val="3"/>
  </w:num>
  <w:num w:numId="2" w16cid:durableId="1120874671">
    <w:abstractNumId w:val="0"/>
  </w:num>
  <w:num w:numId="3" w16cid:durableId="611672311">
    <w:abstractNumId w:val="7"/>
  </w:num>
  <w:num w:numId="4" w16cid:durableId="377516284">
    <w:abstractNumId w:val="4"/>
  </w:num>
  <w:num w:numId="5" w16cid:durableId="1650936996">
    <w:abstractNumId w:val="1"/>
  </w:num>
  <w:num w:numId="6" w16cid:durableId="2138838722">
    <w:abstractNumId w:val="6"/>
  </w:num>
  <w:num w:numId="7" w16cid:durableId="606549094">
    <w:abstractNumId w:val="5"/>
  </w:num>
  <w:num w:numId="8" w16cid:durableId="1192839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1C"/>
    <w:rsid w:val="0000251B"/>
    <w:rsid w:val="00003D21"/>
    <w:rsid w:val="0001285C"/>
    <w:rsid w:val="00025974"/>
    <w:rsid w:val="00027DC5"/>
    <w:rsid w:val="00030915"/>
    <w:rsid w:val="00035E3F"/>
    <w:rsid w:val="0005294A"/>
    <w:rsid w:val="00074C40"/>
    <w:rsid w:val="00083B02"/>
    <w:rsid w:val="000A36A6"/>
    <w:rsid w:val="000A62A4"/>
    <w:rsid w:val="000B235C"/>
    <w:rsid w:val="000E4F9A"/>
    <w:rsid w:val="000F645B"/>
    <w:rsid w:val="00111BBC"/>
    <w:rsid w:val="001712B4"/>
    <w:rsid w:val="00180A20"/>
    <w:rsid w:val="0018326A"/>
    <w:rsid w:val="00184F35"/>
    <w:rsid w:val="0019415F"/>
    <w:rsid w:val="00194510"/>
    <w:rsid w:val="00195089"/>
    <w:rsid w:val="00196708"/>
    <w:rsid w:val="001A3C82"/>
    <w:rsid w:val="001A4CA3"/>
    <w:rsid w:val="001A4FDE"/>
    <w:rsid w:val="001B014C"/>
    <w:rsid w:val="001C39FD"/>
    <w:rsid w:val="001D6AEF"/>
    <w:rsid w:val="001F091D"/>
    <w:rsid w:val="00205EBB"/>
    <w:rsid w:val="00217FFB"/>
    <w:rsid w:val="00232A5D"/>
    <w:rsid w:val="002436E2"/>
    <w:rsid w:val="002441DA"/>
    <w:rsid w:val="00247D52"/>
    <w:rsid w:val="00263562"/>
    <w:rsid w:val="00263715"/>
    <w:rsid w:val="002668B6"/>
    <w:rsid w:val="00295DBD"/>
    <w:rsid w:val="002A1999"/>
    <w:rsid w:val="002B1377"/>
    <w:rsid w:val="002C1AA2"/>
    <w:rsid w:val="002D100E"/>
    <w:rsid w:val="002D1F03"/>
    <w:rsid w:val="002D5C42"/>
    <w:rsid w:val="002E146A"/>
    <w:rsid w:val="002E1E22"/>
    <w:rsid w:val="002E7D40"/>
    <w:rsid w:val="003033BE"/>
    <w:rsid w:val="003070EE"/>
    <w:rsid w:val="00315CF3"/>
    <w:rsid w:val="00316C92"/>
    <w:rsid w:val="00317285"/>
    <w:rsid w:val="003349D8"/>
    <w:rsid w:val="0034056D"/>
    <w:rsid w:val="003431BB"/>
    <w:rsid w:val="00352C92"/>
    <w:rsid w:val="00356DA2"/>
    <w:rsid w:val="003761B0"/>
    <w:rsid w:val="003769AE"/>
    <w:rsid w:val="003914B6"/>
    <w:rsid w:val="003A268C"/>
    <w:rsid w:val="003B3CE5"/>
    <w:rsid w:val="003B76A6"/>
    <w:rsid w:val="003F4736"/>
    <w:rsid w:val="00406993"/>
    <w:rsid w:val="00410DAF"/>
    <w:rsid w:val="00410DBD"/>
    <w:rsid w:val="00416B42"/>
    <w:rsid w:val="0042575F"/>
    <w:rsid w:val="00425E77"/>
    <w:rsid w:val="004479B0"/>
    <w:rsid w:val="004972DE"/>
    <w:rsid w:val="004D4ED1"/>
    <w:rsid w:val="004D660E"/>
    <w:rsid w:val="004E5143"/>
    <w:rsid w:val="004F66E8"/>
    <w:rsid w:val="005050FB"/>
    <w:rsid w:val="00512409"/>
    <w:rsid w:val="00522742"/>
    <w:rsid w:val="00524E6B"/>
    <w:rsid w:val="005252F0"/>
    <w:rsid w:val="005304F2"/>
    <w:rsid w:val="00535FF7"/>
    <w:rsid w:val="005363B1"/>
    <w:rsid w:val="00547B6C"/>
    <w:rsid w:val="005525C1"/>
    <w:rsid w:val="005601F6"/>
    <w:rsid w:val="0056026B"/>
    <w:rsid w:val="00561B0B"/>
    <w:rsid w:val="00561C46"/>
    <w:rsid w:val="00562C00"/>
    <w:rsid w:val="00597F1C"/>
    <w:rsid w:val="005C0BBE"/>
    <w:rsid w:val="005C688A"/>
    <w:rsid w:val="005D6946"/>
    <w:rsid w:val="005E07E1"/>
    <w:rsid w:val="005E0F10"/>
    <w:rsid w:val="005E2AD0"/>
    <w:rsid w:val="005F3B6D"/>
    <w:rsid w:val="006036C2"/>
    <w:rsid w:val="00616666"/>
    <w:rsid w:val="006202E5"/>
    <w:rsid w:val="00623CB9"/>
    <w:rsid w:val="00624F49"/>
    <w:rsid w:val="006316B9"/>
    <w:rsid w:val="00637B3E"/>
    <w:rsid w:val="006409F4"/>
    <w:rsid w:val="00643E9F"/>
    <w:rsid w:val="006555AB"/>
    <w:rsid w:val="00686685"/>
    <w:rsid w:val="00697148"/>
    <w:rsid w:val="0069716A"/>
    <w:rsid w:val="006B5488"/>
    <w:rsid w:val="006C3D17"/>
    <w:rsid w:val="00734AFC"/>
    <w:rsid w:val="00746698"/>
    <w:rsid w:val="00775EB4"/>
    <w:rsid w:val="0079239C"/>
    <w:rsid w:val="007A624A"/>
    <w:rsid w:val="007C6CC9"/>
    <w:rsid w:val="007E3868"/>
    <w:rsid w:val="007E5788"/>
    <w:rsid w:val="007E679A"/>
    <w:rsid w:val="007F7007"/>
    <w:rsid w:val="007F7DA1"/>
    <w:rsid w:val="00805069"/>
    <w:rsid w:val="00816D57"/>
    <w:rsid w:val="00830F30"/>
    <w:rsid w:val="008343AD"/>
    <w:rsid w:val="008432AD"/>
    <w:rsid w:val="00881008"/>
    <w:rsid w:val="00896AFE"/>
    <w:rsid w:val="008A355C"/>
    <w:rsid w:val="008C52E2"/>
    <w:rsid w:val="008C645E"/>
    <w:rsid w:val="008C73FA"/>
    <w:rsid w:val="008D69F6"/>
    <w:rsid w:val="008E303F"/>
    <w:rsid w:val="008F4265"/>
    <w:rsid w:val="00900515"/>
    <w:rsid w:val="009204A1"/>
    <w:rsid w:val="00920E23"/>
    <w:rsid w:val="0094783C"/>
    <w:rsid w:val="009510CE"/>
    <w:rsid w:val="0095394B"/>
    <w:rsid w:val="00960B4B"/>
    <w:rsid w:val="009800A6"/>
    <w:rsid w:val="0098019B"/>
    <w:rsid w:val="009868F0"/>
    <w:rsid w:val="00990780"/>
    <w:rsid w:val="00992DE7"/>
    <w:rsid w:val="009C16B6"/>
    <w:rsid w:val="009C384B"/>
    <w:rsid w:val="009F7DB2"/>
    <w:rsid w:val="00A05C07"/>
    <w:rsid w:val="00A276D4"/>
    <w:rsid w:val="00A31037"/>
    <w:rsid w:val="00A3789B"/>
    <w:rsid w:val="00A6533A"/>
    <w:rsid w:val="00A72F79"/>
    <w:rsid w:val="00A75978"/>
    <w:rsid w:val="00A77578"/>
    <w:rsid w:val="00A92246"/>
    <w:rsid w:val="00AB46CC"/>
    <w:rsid w:val="00AB504C"/>
    <w:rsid w:val="00AB560B"/>
    <w:rsid w:val="00AB5D1C"/>
    <w:rsid w:val="00AB6787"/>
    <w:rsid w:val="00AC7E1E"/>
    <w:rsid w:val="00AD1E72"/>
    <w:rsid w:val="00AE36C8"/>
    <w:rsid w:val="00AE7F13"/>
    <w:rsid w:val="00B20DC2"/>
    <w:rsid w:val="00B3084B"/>
    <w:rsid w:val="00B41AD9"/>
    <w:rsid w:val="00B54B67"/>
    <w:rsid w:val="00B56A0A"/>
    <w:rsid w:val="00B815D1"/>
    <w:rsid w:val="00B9253C"/>
    <w:rsid w:val="00B93FF6"/>
    <w:rsid w:val="00B9738F"/>
    <w:rsid w:val="00BB74DE"/>
    <w:rsid w:val="00BC382D"/>
    <w:rsid w:val="00BC6CB0"/>
    <w:rsid w:val="00BD0108"/>
    <w:rsid w:val="00BD5770"/>
    <w:rsid w:val="00BD705E"/>
    <w:rsid w:val="00BE277F"/>
    <w:rsid w:val="00BE5E3B"/>
    <w:rsid w:val="00C01405"/>
    <w:rsid w:val="00C0459D"/>
    <w:rsid w:val="00C122B4"/>
    <w:rsid w:val="00C27663"/>
    <w:rsid w:val="00CA6B0E"/>
    <w:rsid w:val="00CA6BE3"/>
    <w:rsid w:val="00CC2C79"/>
    <w:rsid w:val="00CC592C"/>
    <w:rsid w:val="00CD7E53"/>
    <w:rsid w:val="00CE7048"/>
    <w:rsid w:val="00D05BCC"/>
    <w:rsid w:val="00D25594"/>
    <w:rsid w:val="00D30475"/>
    <w:rsid w:val="00D323FC"/>
    <w:rsid w:val="00D47DD3"/>
    <w:rsid w:val="00D5226E"/>
    <w:rsid w:val="00D52577"/>
    <w:rsid w:val="00D558E1"/>
    <w:rsid w:val="00D6042D"/>
    <w:rsid w:val="00D66032"/>
    <w:rsid w:val="00DA6696"/>
    <w:rsid w:val="00DB668A"/>
    <w:rsid w:val="00DB77BA"/>
    <w:rsid w:val="00DE5053"/>
    <w:rsid w:val="00DF3FD5"/>
    <w:rsid w:val="00DF5C86"/>
    <w:rsid w:val="00E113A2"/>
    <w:rsid w:val="00E17B42"/>
    <w:rsid w:val="00E35308"/>
    <w:rsid w:val="00E44B35"/>
    <w:rsid w:val="00E458D1"/>
    <w:rsid w:val="00E459C1"/>
    <w:rsid w:val="00E7661C"/>
    <w:rsid w:val="00E81D65"/>
    <w:rsid w:val="00E84D8B"/>
    <w:rsid w:val="00E902F3"/>
    <w:rsid w:val="00EA7A50"/>
    <w:rsid w:val="00EB3265"/>
    <w:rsid w:val="00ED4A3A"/>
    <w:rsid w:val="00EE27E8"/>
    <w:rsid w:val="00EE3CCB"/>
    <w:rsid w:val="00EF1F30"/>
    <w:rsid w:val="00F018EB"/>
    <w:rsid w:val="00F040D0"/>
    <w:rsid w:val="00F078B5"/>
    <w:rsid w:val="00F1304B"/>
    <w:rsid w:val="00F1529C"/>
    <w:rsid w:val="00F221B4"/>
    <w:rsid w:val="00F22A6D"/>
    <w:rsid w:val="00F258F6"/>
    <w:rsid w:val="00F33D80"/>
    <w:rsid w:val="00F36B29"/>
    <w:rsid w:val="00F5272D"/>
    <w:rsid w:val="00F5487F"/>
    <w:rsid w:val="00F569A7"/>
    <w:rsid w:val="00F67667"/>
    <w:rsid w:val="00F72068"/>
    <w:rsid w:val="00FA5A1D"/>
    <w:rsid w:val="00FB0436"/>
    <w:rsid w:val="00FD2DE7"/>
    <w:rsid w:val="00FD7C44"/>
    <w:rsid w:val="00FF4A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D9973"/>
  <w15:chartTrackingRefBased/>
  <w15:docId w15:val="{FE86876A-B96D-41B3-827B-926A3FA7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5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5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D1C"/>
    <w:rPr>
      <w:rFonts w:eastAsiaTheme="majorEastAsia" w:cstheme="majorBidi"/>
      <w:color w:val="272727" w:themeColor="text1" w:themeTint="D8"/>
    </w:rPr>
  </w:style>
  <w:style w:type="paragraph" w:styleId="Title">
    <w:name w:val="Title"/>
    <w:basedOn w:val="Normal"/>
    <w:next w:val="Normal"/>
    <w:link w:val="TitleChar"/>
    <w:uiPriority w:val="10"/>
    <w:qFormat/>
    <w:rsid w:val="00AB5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D1C"/>
    <w:pPr>
      <w:spacing w:before="160"/>
      <w:jc w:val="center"/>
    </w:pPr>
    <w:rPr>
      <w:i/>
      <w:iCs/>
      <w:color w:val="404040" w:themeColor="text1" w:themeTint="BF"/>
    </w:rPr>
  </w:style>
  <w:style w:type="character" w:customStyle="1" w:styleId="QuoteChar">
    <w:name w:val="Quote Char"/>
    <w:basedOn w:val="DefaultParagraphFont"/>
    <w:link w:val="Quote"/>
    <w:uiPriority w:val="29"/>
    <w:rsid w:val="00AB5D1C"/>
    <w:rPr>
      <w:i/>
      <w:iCs/>
      <w:color w:val="404040" w:themeColor="text1" w:themeTint="BF"/>
    </w:rPr>
  </w:style>
  <w:style w:type="paragraph" w:styleId="ListParagraph">
    <w:name w:val="List Paragraph"/>
    <w:basedOn w:val="Normal"/>
    <w:uiPriority w:val="34"/>
    <w:qFormat/>
    <w:rsid w:val="00AB5D1C"/>
    <w:pPr>
      <w:ind w:left="720"/>
      <w:contextualSpacing/>
    </w:pPr>
  </w:style>
  <w:style w:type="character" w:styleId="IntenseEmphasis">
    <w:name w:val="Intense Emphasis"/>
    <w:basedOn w:val="DefaultParagraphFont"/>
    <w:uiPriority w:val="21"/>
    <w:qFormat/>
    <w:rsid w:val="00AB5D1C"/>
    <w:rPr>
      <w:i/>
      <w:iCs/>
      <w:color w:val="0F4761" w:themeColor="accent1" w:themeShade="BF"/>
    </w:rPr>
  </w:style>
  <w:style w:type="paragraph" w:styleId="IntenseQuote">
    <w:name w:val="Intense Quote"/>
    <w:basedOn w:val="Normal"/>
    <w:next w:val="Normal"/>
    <w:link w:val="IntenseQuoteChar"/>
    <w:uiPriority w:val="30"/>
    <w:qFormat/>
    <w:rsid w:val="00AB5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D1C"/>
    <w:rPr>
      <w:i/>
      <w:iCs/>
      <w:color w:val="0F4761" w:themeColor="accent1" w:themeShade="BF"/>
    </w:rPr>
  </w:style>
  <w:style w:type="character" w:styleId="IntenseReference">
    <w:name w:val="Intense Reference"/>
    <w:basedOn w:val="DefaultParagraphFont"/>
    <w:uiPriority w:val="32"/>
    <w:qFormat/>
    <w:rsid w:val="00AB5D1C"/>
    <w:rPr>
      <w:b/>
      <w:bCs/>
      <w:smallCaps/>
      <w:color w:val="0F4761" w:themeColor="accent1" w:themeShade="BF"/>
      <w:spacing w:val="5"/>
    </w:rPr>
  </w:style>
  <w:style w:type="character" w:styleId="Hyperlink">
    <w:name w:val="Hyperlink"/>
    <w:basedOn w:val="DefaultParagraphFont"/>
    <w:uiPriority w:val="99"/>
    <w:unhideWhenUsed/>
    <w:rsid w:val="005F3B6D"/>
    <w:rPr>
      <w:color w:val="467886" w:themeColor="hyperlink"/>
      <w:u w:val="single"/>
    </w:rPr>
  </w:style>
  <w:style w:type="character" w:styleId="UnresolvedMention">
    <w:name w:val="Unresolved Mention"/>
    <w:basedOn w:val="DefaultParagraphFont"/>
    <w:uiPriority w:val="99"/>
    <w:semiHidden/>
    <w:unhideWhenUsed/>
    <w:rsid w:val="005F3B6D"/>
    <w:rPr>
      <w:color w:val="605E5C"/>
      <w:shd w:val="clear" w:color="auto" w:fill="E1DFDD"/>
    </w:rPr>
  </w:style>
  <w:style w:type="paragraph" w:styleId="Header">
    <w:name w:val="header"/>
    <w:basedOn w:val="Normal"/>
    <w:link w:val="HeaderChar"/>
    <w:uiPriority w:val="99"/>
    <w:unhideWhenUsed/>
    <w:rsid w:val="00243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6E2"/>
  </w:style>
  <w:style w:type="paragraph" w:styleId="Footer">
    <w:name w:val="footer"/>
    <w:basedOn w:val="Normal"/>
    <w:link w:val="FooterChar"/>
    <w:uiPriority w:val="99"/>
    <w:unhideWhenUsed/>
    <w:rsid w:val="00243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6E2"/>
  </w:style>
  <w:style w:type="character" w:styleId="FollowedHyperlink">
    <w:name w:val="FollowedHyperlink"/>
    <w:basedOn w:val="DefaultParagraphFont"/>
    <w:uiPriority w:val="99"/>
    <w:semiHidden/>
    <w:unhideWhenUsed/>
    <w:rsid w:val="004D4ED1"/>
    <w:rPr>
      <w:color w:val="96607D" w:themeColor="followedHyperlink"/>
      <w:u w:val="single"/>
    </w:rPr>
  </w:style>
  <w:style w:type="paragraph" w:styleId="NormalWeb">
    <w:name w:val="Normal (Web)"/>
    <w:basedOn w:val="Normal"/>
    <w:uiPriority w:val="99"/>
    <w:semiHidden/>
    <w:unhideWhenUsed/>
    <w:rsid w:val="005050F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geing-better.org.uk/publications/digital-age-supporting-older-people" TargetMode="External"/><Relationship Id="rId18" Type="http://schemas.openxmlformats.org/officeDocument/2006/relationships/hyperlink" Target="https://harperjames.co.uk/article/data-privacy-for-app-developers/" TargetMode="External"/><Relationship Id="rId26" Type="http://schemas.openxmlformats.org/officeDocument/2006/relationships/hyperlink" Target="https://www.nice.org.uk/what-nice-does/digital-health/evidence-standards-framework-esf-for-digital-health-technologies" TargetMode="External"/><Relationship Id="rId3" Type="http://schemas.openxmlformats.org/officeDocument/2006/relationships/styles" Target="styles.xml"/><Relationship Id="rId21" Type="http://schemas.openxmlformats.org/officeDocument/2006/relationships/hyperlink" Target="https://www.longtermplan.nhs.uk/" TargetMode="External"/><Relationship Id="rId7" Type="http://schemas.openxmlformats.org/officeDocument/2006/relationships/endnotes" Target="endnotes.xml"/><Relationship Id="rId12" Type="http://schemas.openxmlformats.org/officeDocument/2006/relationships/hyperlink" Target="https://www.gov.uk/government/publications/government-digital-inclusion-strategy" TargetMode="External"/><Relationship Id="rId17" Type="http://schemas.openxmlformats.org/officeDocument/2006/relationships/hyperlink" Target="https://www.gov.uk/data-protection" TargetMode="External"/><Relationship Id="rId25" Type="http://schemas.openxmlformats.org/officeDocument/2006/relationships/hyperlink" Target="https://www.nuffieldtrust.org.uk/research/digital-technology-in-health-and-car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a-plan-for-digital-health-and-social-care" TargetMode="External"/><Relationship Id="rId20" Type="http://schemas.openxmlformats.org/officeDocument/2006/relationships/hyperlink" Target="https://doi.org/10.2196/20359" TargetMode="External"/><Relationship Id="rId29" Type="http://schemas.openxmlformats.org/officeDocument/2006/relationships/hyperlink" Target="https://writingcommons.org/section/information-literacy/information-evaluation/the-craap-te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35930866_Systematic_Approaches_to_a_Successful_Literature_Review%20(19" TargetMode="External"/><Relationship Id="rId24" Type="http://schemas.openxmlformats.org/officeDocument/2006/relationships/hyperlink" Target="https://www.nao.org.uk/reports/addressing-digital-exclusion-in-public-servic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qc.org.uk/guidance-providers/adult-social-care/digital-record-systems-adult-social-care-services" TargetMode="External"/><Relationship Id="rId23" Type="http://schemas.openxmlformats.org/officeDocument/2006/relationships/hyperlink" Target="https://www.nao.org.uk/reports/digital-transformation-in-the-nhs/" TargetMode="External"/><Relationship Id="rId28" Type="http://schemas.openxmlformats.org/officeDocument/2006/relationships/hyperlink" Target="https://www.researchgate.net/publication/336775102_The_Digital_Divide%20(Accessed" TargetMode="External"/><Relationship Id="rId10" Type="http://schemas.openxmlformats.org/officeDocument/2006/relationships/hyperlink" Target="https://www.ageuk.org.uk" TargetMode="External"/><Relationship Id="rId19" Type="http://schemas.openxmlformats.org/officeDocument/2006/relationships/hyperlink" Target="https://www.health.org.uk/publications/long-reads/what-does-good-digital-health-care-look-lik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books/edition/Research_Design/335ZDwAAQBAJ?hl=en&amp;gbpv=1&amp;dq=inauthor:%22John+W.+Creswell%22&amp;printsec=frontcover" TargetMode="External"/><Relationship Id="rId22" Type="http://schemas.openxmlformats.org/officeDocument/2006/relationships/hyperlink" Target="https://www.england.nhs.uk/digitaltechnology" TargetMode="External"/><Relationship Id="rId27" Type="http://schemas.openxmlformats.org/officeDocument/2006/relationships/hyperlink" Target="https://www.ons.gov.uk/peoplepopulationandcommunity/populationandmigration/populationestimates" TargetMode="External"/><Relationship Id="rId30" Type="http://schemas.openxmlformats.org/officeDocument/2006/relationships/hyperlink" Target="https://www.who.int/publications/i/item/9789240020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C06D9-CCC3-4D3C-B13D-6D7509F0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3790</Words>
  <Characters>26117</Characters>
  <Application>Microsoft Office Word</Application>
  <DocSecurity>0</DocSecurity>
  <Lines>442</Lines>
  <Paragraphs>105</Paragraphs>
  <ScaleCrop>false</ScaleCrop>
  <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Nabeela Begum (2216501)</dc:creator>
  <cp:keywords/>
  <dc:description/>
  <cp:lastModifiedBy>Nabeela Begum (2216501)</cp:lastModifiedBy>
  <cp:revision>252</cp:revision>
  <dcterms:created xsi:type="dcterms:W3CDTF">2026-03-08T10:09:00Z</dcterms:created>
  <dcterms:modified xsi:type="dcterms:W3CDTF">2026-03-27T08:18:00Z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956c9302-6cee-494a-8c24-d5a206395df9</vt:lpwstr>
  </property>
</Properties>
</file>