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93D82" w14:textId="2DE5ABCF" w:rsidR="34E5AF60" w:rsidRDefault="34E5AF60" w:rsidP="34E5AF60">
      <w:pPr>
        <w:ind w:right="237"/>
        <w:rPr>
          <w:color w:val="000000" w:themeColor="text1"/>
          <w:sz w:val="24"/>
          <w:szCs w:val="24"/>
        </w:rPr>
      </w:pPr>
    </w:p>
    <w:p w14:paraId="223426C7" w14:textId="31FC545C" w:rsidR="34E5AF60" w:rsidRDefault="34E5AF60" w:rsidP="34E5AF60">
      <w:pPr>
        <w:ind w:right="237"/>
        <w:rPr>
          <w:color w:val="000000" w:themeColor="text1"/>
          <w:sz w:val="24"/>
          <w:szCs w:val="24"/>
        </w:rPr>
      </w:pPr>
      <w:r w:rsidRPr="34E5AF60">
        <w:rPr>
          <w:color w:val="000000" w:themeColor="text1"/>
          <w:sz w:val="24"/>
          <w:szCs w:val="24"/>
        </w:rPr>
        <w:t>+</w:t>
      </w:r>
    </w:p>
    <w:p w14:paraId="09311D6A" w14:textId="3D4E59C7" w:rsidR="34E5AF60" w:rsidRDefault="34E5AF60" w:rsidP="34E5AF60">
      <w:pPr>
        <w:ind w:right="237"/>
        <w:rPr>
          <w:color w:val="000000" w:themeColor="text1"/>
          <w:sz w:val="24"/>
          <w:szCs w:val="24"/>
        </w:rPr>
      </w:pPr>
    </w:p>
    <w:p w14:paraId="5B624BB2" w14:textId="2A1AF86C" w:rsidR="34E5AF60" w:rsidRDefault="34E5AF60" w:rsidP="34E5AF60">
      <w:pPr>
        <w:ind w:right="237"/>
        <w:rPr>
          <w:color w:val="000000" w:themeColor="text1"/>
          <w:sz w:val="24"/>
          <w:szCs w:val="24"/>
        </w:rPr>
      </w:pPr>
    </w:p>
    <w:p w14:paraId="4DD178A3" w14:textId="525A6FDD" w:rsidR="34E5AF60" w:rsidRDefault="34E5AF60" w:rsidP="34E5AF60">
      <w:pPr>
        <w:ind w:right="237"/>
        <w:rPr>
          <w:color w:val="000000" w:themeColor="text1"/>
          <w:sz w:val="24"/>
          <w:szCs w:val="24"/>
        </w:rPr>
      </w:pPr>
    </w:p>
    <w:p w14:paraId="4D40915B" w14:textId="73E2EE89" w:rsidR="34E5AF60" w:rsidRDefault="34E5AF60" w:rsidP="34E5AF60">
      <w:pPr>
        <w:ind w:right="237"/>
        <w:rPr>
          <w:color w:val="000000" w:themeColor="text1"/>
          <w:sz w:val="24"/>
          <w:szCs w:val="24"/>
        </w:rPr>
      </w:pPr>
    </w:p>
    <w:p w14:paraId="10F71D8A" w14:textId="2FBA271F" w:rsidR="34E5AF60" w:rsidRDefault="34E5AF60" w:rsidP="34E5AF60">
      <w:pPr>
        <w:ind w:right="237"/>
        <w:rPr>
          <w:color w:val="000000" w:themeColor="text1"/>
          <w:sz w:val="24"/>
          <w:szCs w:val="24"/>
        </w:rPr>
      </w:pPr>
    </w:p>
    <w:p w14:paraId="3F2BE773" w14:textId="5B11F0EE" w:rsidR="34E5AF60" w:rsidRDefault="34E5AF60" w:rsidP="34E5AF60">
      <w:pPr>
        <w:ind w:right="237"/>
        <w:rPr>
          <w:color w:val="000000" w:themeColor="text1"/>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proofErr w:type="spellStart"/>
      <w:r w:rsidR="00FD4FF1" w:rsidRPr="00E676F7">
        <w:rPr>
          <w:b/>
          <w:color w:val="auto"/>
          <w:sz w:val="40"/>
        </w:rPr>
        <w:t>DHEP</w:t>
      </w:r>
      <w:proofErr w:type="spellEnd"/>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proofErr w:type="spellStart"/>
      <w:r w:rsidRPr="00E676F7">
        <w:rPr>
          <w:b/>
          <w:color w:val="auto"/>
          <w:sz w:val="36"/>
        </w:rPr>
        <w:t>UWTSD</w:t>
      </w:r>
      <w:proofErr w:type="spellEnd"/>
      <w:r w:rsidRPr="00E676F7">
        <w:rPr>
          <w:b/>
          <w:color w:val="auto"/>
          <w:sz w:val="36"/>
        </w:rPr>
        <w:t>)</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BBEBBDC" w:rsidR="7908378C" w:rsidRDefault="7908378C" w:rsidP="33572C6E">
            <w:pPr>
              <w:ind w:right="237"/>
              <w:rPr>
                <w:b/>
                <w:bCs/>
                <w:color w:val="auto"/>
                <w:sz w:val="32"/>
                <w:szCs w:val="32"/>
              </w:rPr>
            </w:pPr>
            <w:r w:rsidRPr="33572C6E">
              <w:rPr>
                <w:b/>
                <w:bCs/>
                <w:color w:val="auto"/>
                <w:sz w:val="32"/>
                <w:szCs w:val="32"/>
              </w:rPr>
              <w:t>Learner name: _</w:t>
            </w:r>
            <w:r w:rsidR="00235FB8">
              <w:rPr>
                <w:b/>
                <w:bCs/>
                <w:color w:val="auto"/>
                <w:sz w:val="32"/>
                <w:szCs w:val="32"/>
              </w:rPr>
              <w:t>Abbie Coles</w:t>
            </w:r>
            <w:r w:rsidRPr="33572C6E">
              <w:rPr>
                <w:b/>
                <w:bCs/>
                <w:color w:val="auto"/>
                <w:sz w:val="32"/>
                <w:szCs w:val="32"/>
              </w:rPr>
              <w:t>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432DCD93" w:rsidR="7908378C" w:rsidRDefault="7908378C" w:rsidP="33572C6E">
            <w:pPr>
              <w:ind w:right="237"/>
              <w:rPr>
                <w:b/>
                <w:bCs/>
                <w:color w:val="auto"/>
                <w:sz w:val="32"/>
                <w:szCs w:val="32"/>
              </w:rPr>
            </w:pPr>
            <w:r w:rsidRPr="33572C6E">
              <w:rPr>
                <w:b/>
                <w:bCs/>
                <w:color w:val="auto"/>
                <w:sz w:val="32"/>
                <w:szCs w:val="32"/>
              </w:rPr>
              <w:t>_______</w:t>
            </w:r>
            <w:r w:rsidR="00235FB8">
              <w:rPr>
                <w:b/>
                <w:bCs/>
                <w:color w:val="auto"/>
                <w:sz w:val="32"/>
                <w:szCs w:val="32"/>
              </w:rPr>
              <w:t>2029490</w:t>
            </w:r>
            <w:r w:rsidRPr="33572C6E">
              <w:rPr>
                <w:b/>
                <w:bCs/>
                <w:color w:val="auto"/>
                <w:sz w:val="32"/>
                <w:szCs w:val="32"/>
              </w:rPr>
              <w:t>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lastRenderedPageBreak/>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proofErr w:type="spellStart"/>
      <w:r w:rsidR="00E0649E" w:rsidRPr="45B99DA0">
        <w:rPr>
          <w:b/>
          <w:bCs/>
          <w:i/>
          <w:iCs/>
          <w:color w:val="auto"/>
          <w:sz w:val="24"/>
          <w:szCs w:val="24"/>
        </w:rPr>
        <w:t>DHEP</w:t>
      </w:r>
      <w:proofErr w:type="spellEnd"/>
      <w:r w:rsidRPr="45B99DA0">
        <w:rPr>
          <w:b/>
          <w:bCs/>
          <w:i/>
          <w:iCs/>
          <w:color w:val="auto"/>
          <w:sz w:val="24"/>
          <w:szCs w:val="24"/>
        </w:rPr>
        <w:t xml:space="preserve">) </w:t>
      </w:r>
      <w:r w:rsidR="3DBF3393" w:rsidRPr="45B99DA0">
        <w:rPr>
          <w:b/>
          <w:bCs/>
          <w:i/>
          <w:iCs/>
          <w:color w:val="auto"/>
          <w:sz w:val="24"/>
          <w:szCs w:val="24"/>
        </w:rPr>
        <w:t xml:space="preserve">- </w:t>
      </w:r>
      <w:proofErr w:type="spellStart"/>
      <w:r w:rsidR="3DBF3393" w:rsidRPr="45B99DA0">
        <w:rPr>
          <w:b/>
          <w:bCs/>
          <w:i/>
          <w:iCs/>
          <w:color w:val="auto"/>
          <w:sz w:val="24"/>
          <w:szCs w:val="24"/>
        </w:rPr>
        <w:t>BMPP6001D</w:t>
      </w:r>
      <w:proofErr w:type="spellEnd"/>
      <w:r w:rsidR="3DBF3393" w:rsidRPr="45B99DA0">
        <w:rPr>
          <w:b/>
          <w:bCs/>
          <w:i/>
          <w:iCs/>
          <w:color w:val="auto"/>
          <w:sz w:val="24"/>
          <w:szCs w:val="24"/>
        </w:rPr>
        <w:t xml:space="preserve">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8D3045"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0BCF2875" w14:textId="4EF7DF26"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One such incident that I played a significant role was during a hate-crime related offence. Due to demand, my team was unable to answer </w:t>
      </w:r>
      <w:proofErr w:type="gramStart"/>
      <w:r w:rsidRPr="00235FB8">
        <w:rPr>
          <w:rFonts w:asciiTheme="minorHAnsi" w:hAnsiTheme="minorHAnsi" w:cstheme="minorHAnsi"/>
          <w:sz w:val="24"/>
          <w:szCs w:val="24"/>
        </w:rPr>
        <w:t>all of</w:t>
      </w:r>
      <w:proofErr w:type="gramEnd"/>
      <w:r w:rsidRPr="00235FB8">
        <w:rPr>
          <w:rFonts w:asciiTheme="minorHAnsi" w:hAnsiTheme="minorHAnsi" w:cstheme="minorHAnsi"/>
          <w:sz w:val="24"/>
          <w:szCs w:val="24"/>
        </w:rPr>
        <w:t xml:space="preserve"> the call that came in during our shift. As a result, the following team initiated the first contact with a victim who attended our station to report an ongoing hate related incident. UK law currently recognised five types of hate crime – race, religion, disability, sexual </w:t>
      </w:r>
      <w:proofErr w:type="gramStart"/>
      <w:r w:rsidRPr="00235FB8">
        <w:rPr>
          <w:rFonts w:asciiTheme="minorHAnsi" w:hAnsiTheme="minorHAnsi" w:cstheme="minorHAnsi"/>
          <w:sz w:val="24"/>
          <w:szCs w:val="24"/>
        </w:rPr>
        <w:t>orientation</w:t>
      </w:r>
      <w:proofErr w:type="gramEnd"/>
      <w:r w:rsidRPr="00235FB8">
        <w:rPr>
          <w:rFonts w:asciiTheme="minorHAnsi" w:hAnsiTheme="minorHAnsi" w:cstheme="minorHAnsi"/>
          <w:sz w:val="24"/>
          <w:szCs w:val="24"/>
        </w:rPr>
        <w:t xml:space="preserve"> and transgender identity </w:t>
      </w:r>
      <w:sdt>
        <w:sdtPr>
          <w:rPr>
            <w:rFonts w:asciiTheme="minorHAnsi" w:hAnsiTheme="minorHAnsi" w:cstheme="minorHAnsi"/>
            <w:sz w:val="24"/>
            <w:szCs w:val="24"/>
          </w:rPr>
          <w:id w:val="1816837563"/>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The221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(The Crown Prosecution Service ,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However, any crime can be prosecuted as a hate crime if the offender has demonstrated or been motivated by hostility </w:t>
      </w:r>
      <w:proofErr w:type="gramStart"/>
      <w:r w:rsidRPr="00235FB8">
        <w:rPr>
          <w:rFonts w:asciiTheme="minorHAnsi" w:hAnsiTheme="minorHAnsi" w:cstheme="minorHAnsi"/>
          <w:sz w:val="24"/>
          <w:szCs w:val="24"/>
        </w:rPr>
        <w:t>on the basis of</w:t>
      </w:r>
      <w:proofErr w:type="gramEnd"/>
      <w:r w:rsidRPr="00235FB8">
        <w:rPr>
          <w:rFonts w:asciiTheme="minorHAnsi" w:hAnsiTheme="minorHAnsi" w:cstheme="minorHAnsi"/>
          <w:sz w:val="24"/>
          <w:szCs w:val="24"/>
        </w:rPr>
        <w:t xml:space="preserve"> the 5 types above. Due to </w:t>
      </w:r>
      <w:r w:rsidR="00082D90">
        <w:rPr>
          <w:rFonts w:asciiTheme="minorHAnsi" w:hAnsiTheme="minorHAnsi" w:cstheme="minorHAnsi"/>
          <w:sz w:val="24"/>
          <w:szCs w:val="24"/>
        </w:rPr>
        <w:t xml:space="preserve">this, </w:t>
      </w:r>
      <w:r w:rsidRPr="00235FB8">
        <w:rPr>
          <w:rFonts w:asciiTheme="minorHAnsi" w:hAnsiTheme="minorHAnsi" w:cstheme="minorHAnsi"/>
          <w:sz w:val="24"/>
          <w:szCs w:val="24"/>
        </w:rPr>
        <w:t xml:space="preserve">the police and CPS have agreed the following definition </w:t>
      </w:r>
    </w:p>
    <w:p w14:paraId="254FBE96" w14:textId="54D5B637" w:rsidR="00235FB8" w:rsidRDefault="00235FB8" w:rsidP="00235FB8">
      <w:pPr>
        <w:rPr>
          <w:rFonts w:asciiTheme="minorHAnsi" w:hAnsiTheme="minorHAnsi" w:cstheme="minorHAnsi"/>
          <w:sz w:val="24"/>
          <w:szCs w:val="24"/>
        </w:rPr>
      </w:pPr>
      <w:r w:rsidRPr="00235FB8">
        <w:rPr>
          <w:rFonts w:asciiTheme="minorHAnsi" w:hAnsiTheme="minorHAnsi" w:cstheme="minorHAnsi"/>
          <w:sz w:val="24"/>
          <w:szCs w:val="24"/>
        </w:rPr>
        <w:t>“Any criminal offence which is perceived by the victim or any other, to be motivated by hostility or prejudice, based on a person’s disability or perceived disability; race or perceived race; or religion or perceived religion; or sexual orientation or perceived sexual orientation or transgender identity or perceived transgender identity.”</w:t>
      </w:r>
    </w:p>
    <w:p w14:paraId="25BC445C" w14:textId="77777777" w:rsidR="00235FB8" w:rsidRPr="00235FB8" w:rsidRDefault="00235FB8" w:rsidP="00235FB8">
      <w:pPr>
        <w:rPr>
          <w:rFonts w:asciiTheme="minorHAnsi" w:hAnsiTheme="minorHAnsi" w:cstheme="minorHAnsi"/>
          <w:sz w:val="24"/>
          <w:szCs w:val="24"/>
        </w:rPr>
      </w:pPr>
    </w:p>
    <w:p w14:paraId="7F4F4F2A" w14:textId="27B0DB2A"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Though there is no hate crime legislation within England and Wales, the Crime and Disorder Act 1998 presents racially and religiously aggravated offence to which can be applied to offences such as assault, criminal damage, harassment, and public order </w:t>
      </w:r>
      <w:sdt>
        <w:sdtPr>
          <w:rPr>
            <w:rFonts w:asciiTheme="minorHAnsi" w:hAnsiTheme="minorHAnsi" w:cstheme="minorHAnsi"/>
            <w:sz w:val="24"/>
            <w:szCs w:val="24"/>
          </w:rPr>
          <w:id w:val="1263183824"/>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CITATION Jol02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(Jolliffe,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Whilst the Criminal Justice Act 2003 </w:t>
      </w:r>
      <w:r w:rsidR="00082D90" w:rsidRPr="00235FB8">
        <w:rPr>
          <w:rFonts w:asciiTheme="minorHAnsi" w:hAnsiTheme="minorHAnsi" w:cstheme="minorHAnsi"/>
          <w:sz w:val="24"/>
          <w:szCs w:val="24"/>
        </w:rPr>
        <w:t>legalised</w:t>
      </w:r>
      <w:r w:rsidRPr="00235FB8">
        <w:rPr>
          <w:rFonts w:asciiTheme="minorHAnsi" w:hAnsiTheme="minorHAnsi" w:cstheme="minorHAnsi"/>
          <w:sz w:val="24"/>
          <w:szCs w:val="24"/>
        </w:rPr>
        <w:t xml:space="preserve"> enhanced penalties such as longer prison sentences for those found guilty of hate related offences</w:t>
      </w:r>
      <w:r w:rsidR="00082D90">
        <w:rPr>
          <w:rFonts w:asciiTheme="minorHAnsi" w:hAnsiTheme="minorHAnsi" w:cstheme="minorHAnsi"/>
          <w:sz w:val="24"/>
          <w:szCs w:val="24"/>
        </w:rPr>
        <w:t xml:space="preserve">; </w:t>
      </w:r>
      <w:r w:rsidRPr="00235FB8">
        <w:rPr>
          <w:rFonts w:asciiTheme="minorHAnsi" w:hAnsiTheme="minorHAnsi" w:cstheme="minorHAnsi"/>
          <w:sz w:val="24"/>
          <w:szCs w:val="24"/>
        </w:rPr>
        <w:t xml:space="preserve">there is no legal definition of hostility. Therefore, the everyday understanding of the word is utilised. Though, evidence of the hate element is not a requirement </w:t>
      </w:r>
      <w:sdt>
        <w:sdtPr>
          <w:rPr>
            <w:rFonts w:asciiTheme="minorHAnsi" w:hAnsiTheme="minorHAnsi" w:cstheme="minorHAnsi"/>
            <w:sz w:val="24"/>
            <w:szCs w:val="24"/>
          </w:rPr>
          <w:id w:val="-1942370849"/>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Met22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(Metropolitan Police ,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A victim does not </w:t>
      </w:r>
      <w:r w:rsidRPr="00235FB8">
        <w:rPr>
          <w:rFonts w:asciiTheme="minorHAnsi" w:hAnsiTheme="minorHAnsi" w:cstheme="minorHAnsi"/>
          <w:sz w:val="24"/>
          <w:szCs w:val="24"/>
        </w:rPr>
        <w:lastRenderedPageBreak/>
        <w:t xml:space="preserve">personally need to perceive the incident as a hate crime. It would be sufficient if another individual, witness or officer believed the incident was hate related. </w:t>
      </w:r>
    </w:p>
    <w:p w14:paraId="3D61178C" w14:textId="77777777" w:rsidR="00235FB8" w:rsidRPr="00235FB8" w:rsidRDefault="00235FB8" w:rsidP="00235FB8">
      <w:pPr>
        <w:ind w:firstLine="720"/>
        <w:rPr>
          <w:rFonts w:asciiTheme="minorHAnsi" w:hAnsiTheme="minorHAnsi" w:cstheme="minorHAnsi"/>
          <w:sz w:val="24"/>
          <w:szCs w:val="24"/>
        </w:rPr>
      </w:pPr>
    </w:p>
    <w:p w14:paraId="209CF3D3" w14:textId="77777777"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From March 2021 to March 2021, there were approximately 155,841 hate crimes reported to police within England and Wales: demonstrating a 26% increase </w:t>
      </w:r>
      <w:sdt>
        <w:sdtPr>
          <w:rPr>
            <w:rFonts w:asciiTheme="minorHAnsi" w:hAnsiTheme="minorHAnsi" w:cstheme="minorHAnsi"/>
            <w:sz w:val="24"/>
            <w:szCs w:val="24"/>
          </w:rPr>
          <w:id w:val="1786847560"/>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Hom221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(Home Office,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This is the highest increase in hate crime recorded since March 2017, whereby there was a 29% per cent rise. This may be </w:t>
      </w:r>
      <w:proofErr w:type="gramStart"/>
      <w:r w:rsidRPr="00235FB8">
        <w:rPr>
          <w:rFonts w:asciiTheme="minorHAnsi" w:hAnsiTheme="minorHAnsi" w:cstheme="minorHAnsi"/>
          <w:sz w:val="24"/>
          <w:szCs w:val="24"/>
        </w:rPr>
        <w:t>as a result of</w:t>
      </w:r>
      <w:proofErr w:type="gramEnd"/>
      <w:r w:rsidRPr="00235FB8">
        <w:rPr>
          <w:rFonts w:asciiTheme="minorHAnsi" w:hAnsiTheme="minorHAnsi" w:cstheme="minorHAnsi"/>
          <w:sz w:val="24"/>
          <w:szCs w:val="24"/>
        </w:rPr>
        <w:t xml:space="preserve"> the significant improvements to which police have made regarding recording crime over the recent years. However, it is uncertain to what degree the increase in police recorded hate is linked to this or a rise in hate related offences. Former years, the majority of hate related offences were racially motivated, accounting for over two thirds of offences reported. Likewise, this has also significantly increased by 19% by March 2022. </w:t>
      </w:r>
    </w:p>
    <w:p w14:paraId="404298FB" w14:textId="77777777" w:rsidR="00235FB8" w:rsidRPr="00235FB8" w:rsidRDefault="00235FB8" w:rsidP="00235FB8">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p>
    <w:p w14:paraId="55F398EB" w14:textId="77777777" w:rsidR="00235FB8" w:rsidRPr="00235FB8" w:rsidRDefault="00235FB8" w:rsidP="00235FB8">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p>
    <w:p w14:paraId="7D3E5100" w14:textId="73DD87B7"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During this incident, I began by contacting the victim to discuss the matter fully as I only received a brief account to what occurred. To which the victim disclosed that the subject of the report was a staff member at his work of place. Over the past few months, they had been working together more frequently. Whilst working, the subject began to make remarks regarding the victim to other colleagues. This slowly developed into the subject making the remarks whilst in the victim’s presence whereby he could hear them clearly. The victim elected to ignore this however this soon developed into the remarks and comments being made on social media. The victim explained that both parties were members of the works group chat. On this, the subject would send remarks and comments regarding the victim. This would only occur every so often however this soon developed. The subjects and his use of language was far clearer and more aggressive compared to when the subject would verbally make remarks in the work environment. </w:t>
      </w:r>
    </w:p>
    <w:p w14:paraId="14AC6A93" w14:textId="77777777" w:rsidR="00235FB8" w:rsidRPr="00235FB8" w:rsidRDefault="00235FB8" w:rsidP="00235FB8">
      <w:pPr>
        <w:ind w:firstLine="720"/>
        <w:rPr>
          <w:rFonts w:asciiTheme="minorHAnsi" w:hAnsiTheme="minorHAnsi" w:cstheme="minorHAnsi"/>
          <w:sz w:val="24"/>
          <w:szCs w:val="24"/>
        </w:rPr>
      </w:pPr>
    </w:p>
    <w:p w14:paraId="5AB660D6" w14:textId="35813CE1"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This is not surprising as the use of internet has adapted the way individuals communicate with each other  </w:t>
      </w:r>
      <w:sdt>
        <w:sdtPr>
          <w:rPr>
            <w:rFonts w:asciiTheme="minorHAnsi" w:hAnsiTheme="minorHAnsi" w:cstheme="minorHAnsi"/>
            <w:sz w:val="24"/>
            <w:szCs w:val="24"/>
          </w:rPr>
          <w:id w:val="-619443450"/>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Tru22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(True Vision ,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Though it has many positive values, it has also permitted hateful content to be transmitted to a broader audience, anonymously without any form of control. Therefore, it is essential that all incidents are recorded to effectively monitor community cohesion. Though, some reports may constitute as hate motivated, it may not necessarily meet the criminal threshold. However, it will still be recorded as a ‘non-crime hate incident”. </w:t>
      </w:r>
    </w:p>
    <w:p w14:paraId="3A095569" w14:textId="77777777" w:rsidR="00235FB8" w:rsidRPr="00235FB8" w:rsidRDefault="00235FB8" w:rsidP="00235FB8">
      <w:pPr>
        <w:ind w:firstLine="720"/>
        <w:rPr>
          <w:rFonts w:asciiTheme="minorHAnsi" w:hAnsiTheme="minorHAnsi" w:cstheme="minorHAnsi"/>
          <w:sz w:val="24"/>
          <w:szCs w:val="24"/>
        </w:rPr>
      </w:pPr>
    </w:p>
    <w:p w14:paraId="21ADEB0E" w14:textId="72F58963"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Recently, the use of evidence-based policing has become increasingly common within the criminal system. Evidence- based policing is essentially whereby the best available evidence is utilised to inform and challenge policing policies, </w:t>
      </w:r>
      <w:proofErr w:type="gramStart"/>
      <w:r w:rsidRPr="00235FB8">
        <w:rPr>
          <w:rFonts w:asciiTheme="minorHAnsi" w:hAnsiTheme="minorHAnsi" w:cstheme="minorHAnsi"/>
          <w:sz w:val="24"/>
          <w:szCs w:val="24"/>
        </w:rPr>
        <w:t>practices</w:t>
      </w:r>
      <w:proofErr w:type="gramEnd"/>
      <w:r w:rsidRPr="00235FB8">
        <w:rPr>
          <w:rFonts w:asciiTheme="minorHAnsi" w:hAnsiTheme="minorHAnsi" w:cstheme="minorHAnsi"/>
          <w:sz w:val="24"/>
          <w:szCs w:val="24"/>
        </w:rPr>
        <w:t xml:space="preserve"> and decisions </w:t>
      </w:r>
      <w:sdt>
        <w:sdtPr>
          <w:rPr>
            <w:rFonts w:asciiTheme="minorHAnsi" w:hAnsiTheme="minorHAnsi" w:cstheme="minorHAnsi"/>
            <w:sz w:val="24"/>
            <w:szCs w:val="24"/>
          </w:rPr>
          <w:id w:val="1636065422"/>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Col222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(College of Policing,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It will use appropriate research methods and sourced to develop better understanding of issues raised and assess the effect of policing intervention. Though it does not provide definitive responses. Officers should reflect on their practice and understand how </w:t>
      </w:r>
      <w:proofErr w:type="spellStart"/>
      <w:r w:rsidRPr="00235FB8">
        <w:rPr>
          <w:rFonts w:asciiTheme="minorHAnsi" w:hAnsiTheme="minorHAnsi" w:cstheme="minorHAnsi"/>
          <w:sz w:val="24"/>
          <w:szCs w:val="24"/>
        </w:rPr>
        <w:t>EBP</w:t>
      </w:r>
      <w:proofErr w:type="spellEnd"/>
      <w:r w:rsidRPr="00235FB8">
        <w:rPr>
          <w:rFonts w:asciiTheme="minorHAnsi" w:hAnsiTheme="minorHAnsi" w:cstheme="minorHAnsi"/>
          <w:sz w:val="24"/>
          <w:szCs w:val="24"/>
        </w:rPr>
        <w:t xml:space="preserve"> is best utilised during their tour of duty and learn from mistakes and achievements. This method essentially forces officers to ask question and modernise public interest. However, not all academic agree that this method is practical. </w:t>
      </w:r>
      <w:sdt>
        <w:sdtPr>
          <w:rPr>
            <w:rFonts w:asciiTheme="minorHAnsi" w:hAnsiTheme="minorHAnsi" w:cstheme="minorHAnsi"/>
            <w:sz w:val="24"/>
            <w:szCs w:val="24"/>
          </w:rPr>
          <w:id w:val="560522228"/>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Dun20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(Dunham, 2020)</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argues that while it may seem logical in theory to utilise this concept, it is challenge and perhaps impractical. Policing is a complex system, stepped in rules, values and procedures to which have very little to do with research knowledge or scientific process. </w:t>
      </w:r>
      <w:r w:rsidRPr="00235FB8">
        <w:rPr>
          <w:rFonts w:asciiTheme="minorHAnsi" w:hAnsiTheme="minorHAnsi" w:cstheme="minorHAnsi"/>
          <w:sz w:val="24"/>
          <w:szCs w:val="24"/>
        </w:rPr>
        <w:lastRenderedPageBreak/>
        <w:t xml:space="preserve">Additionally, previously policing and the scientific community have not always created a positive relationship. Thus, it will require fundamental changes to deep-rooted practices within the organisation and time. </w:t>
      </w:r>
    </w:p>
    <w:p w14:paraId="50A48D4E" w14:textId="77777777" w:rsidR="00235FB8" w:rsidRPr="00235FB8" w:rsidRDefault="00235FB8" w:rsidP="00235FB8">
      <w:pPr>
        <w:ind w:firstLine="720"/>
        <w:rPr>
          <w:rFonts w:asciiTheme="minorHAnsi" w:hAnsiTheme="minorHAnsi" w:cstheme="minorHAnsi"/>
          <w:sz w:val="24"/>
          <w:szCs w:val="24"/>
        </w:rPr>
      </w:pPr>
    </w:p>
    <w:p w14:paraId="281F2E7C" w14:textId="4A1DC8C2"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I utilised evidence-based policing within this incident by asking multiple questions surrounding the report. As this appeared to be multiple incidents whereby the subject has used hate-related language within the workplace too then transferring over onto social media. Therefore, I needed to gather as much information as possible to assess the level of rise and likelihood of reoccurrence. However, at this point I had not attended any hate crime related offences and therefore any mistakes made would provide future guidance. </w:t>
      </w:r>
    </w:p>
    <w:p w14:paraId="73AB9656" w14:textId="77777777" w:rsidR="00235FB8" w:rsidRPr="00235FB8" w:rsidRDefault="00235FB8" w:rsidP="00235FB8">
      <w:pPr>
        <w:ind w:firstLine="720"/>
        <w:rPr>
          <w:rFonts w:asciiTheme="minorHAnsi" w:hAnsiTheme="minorHAnsi" w:cstheme="minorHAnsi"/>
          <w:sz w:val="24"/>
          <w:szCs w:val="24"/>
        </w:rPr>
      </w:pPr>
    </w:p>
    <w:p w14:paraId="6653742E" w14:textId="77777777" w:rsidR="00082D90"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After discussing the matter in detail, I felt that it was best to ascertain how the victim wished for this matter to dealt with moving forward. The victim proceeded to explain that he had discussed how the remark were having an impact upon him to the subject however he ignored this and continued. As a result, the victim stated that he felt he had no choice other than by providing a statement and attending court as the subject’s behaviour was not changing.  The victim proceeded explained to me how much this incident had impacted him personally. Studies have demonstrated that hate crime victimisation has damaging effect for all individuals </w:t>
      </w:r>
      <w:sdt>
        <w:sdtPr>
          <w:rPr>
            <w:rFonts w:asciiTheme="minorHAnsi" w:hAnsiTheme="minorHAnsi" w:cstheme="minorHAnsi"/>
            <w:sz w:val="24"/>
            <w:szCs w:val="24"/>
          </w:rPr>
          <w:id w:val="-850106615"/>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Ben17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(Benier, 2017)</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Each victim reported feeling anger, nervousness, the feeling of being unsafe, lack of concentration and loss of self-confidence. </w:t>
      </w:r>
    </w:p>
    <w:p w14:paraId="603326D1" w14:textId="77777777" w:rsidR="00082D90" w:rsidRDefault="00082D90" w:rsidP="00082D90">
      <w:pPr>
        <w:ind w:firstLine="720"/>
        <w:rPr>
          <w:rFonts w:asciiTheme="minorHAnsi" w:hAnsiTheme="minorHAnsi" w:cstheme="minorHAnsi"/>
          <w:sz w:val="24"/>
          <w:szCs w:val="24"/>
        </w:rPr>
      </w:pPr>
    </w:p>
    <w:p w14:paraId="4F471FF1" w14:textId="11378928" w:rsidR="00235FB8" w:rsidRDefault="00235FB8" w:rsidP="00082D90">
      <w:pPr>
        <w:ind w:firstLine="720"/>
        <w:rPr>
          <w:rFonts w:asciiTheme="minorHAnsi" w:hAnsiTheme="minorHAnsi" w:cstheme="minorHAnsi"/>
          <w:sz w:val="24"/>
          <w:szCs w:val="24"/>
        </w:rPr>
      </w:pPr>
      <w:r w:rsidRPr="00235FB8">
        <w:rPr>
          <w:rFonts w:asciiTheme="minorHAnsi" w:hAnsiTheme="minorHAnsi" w:cstheme="minorHAnsi"/>
          <w:sz w:val="24"/>
          <w:szCs w:val="24"/>
        </w:rPr>
        <w:t xml:space="preserve">Thousands of individuals each year are affected by hate crime; to which can also have an impact other induvial within the community if seen to be a part of the group </w:t>
      </w:r>
      <w:sdt>
        <w:sdtPr>
          <w:rPr>
            <w:rFonts w:asciiTheme="minorHAnsi" w:hAnsiTheme="minorHAnsi" w:cstheme="minorHAnsi"/>
            <w:sz w:val="24"/>
            <w:szCs w:val="24"/>
          </w:rPr>
          <w:id w:val="1207376813"/>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Vic222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(Victim Suppport ,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As well as emotional and physical harm, financial loss may be another consequence. Worst case, individuals could be made homeless, forced to leave an area/ move away due to feeling unsafe. Other </w:t>
      </w:r>
      <w:r w:rsidR="00082D90" w:rsidRPr="00235FB8">
        <w:rPr>
          <w:rFonts w:asciiTheme="minorHAnsi" w:hAnsiTheme="minorHAnsi" w:cstheme="minorHAnsi"/>
          <w:sz w:val="24"/>
          <w:szCs w:val="24"/>
        </w:rPr>
        <w:t>expenses</w:t>
      </w:r>
      <w:r w:rsidRPr="00235FB8">
        <w:rPr>
          <w:rFonts w:asciiTheme="minorHAnsi" w:hAnsiTheme="minorHAnsi" w:cstheme="minorHAnsi"/>
          <w:sz w:val="24"/>
          <w:szCs w:val="24"/>
        </w:rPr>
        <w:t xml:space="preserve"> may include repairing or replacing damage, dealing with </w:t>
      </w:r>
      <w:proofErr w:type="gramStart"/>
      <w:r w:rsidRPr="00235FB8">
        <w:rPr>
          <w:rFonts w:asciiTheme="minorHAnsi" w:hAnsiTheme="minorHAnsi" w:cstheme="minorHAnsi"/>
          <w:sz w:val="24"/>
          <w:szCs w:val="24"/>
        </w:rPr>
        <w:t>graffiti</w:t>
      </w:r>
      <w:proofErr w:type="gramEnd"/>
      <w:r w:rsidRPr="00235FB8">
        <w:rPr>
          <w:rFonts w:asciiTheme="minorHAnsi" w:hAnsiTheme="minorHAnsi" w:cstheme="minorHAnsi"/>
          <w:sz w:val="24"/>
          <w:szCs w:val="24"/>
        </w:rPr>
        <w:t xml:space="preserve"> and increasing home security. To which may not be covered by insurance or associated with a no-claims bonus or policy excess. </w:t>
      </w:r>
    </w:p>
    <w:p w14:paraId="32E7F898" w14:textId="77777777" w:rsidR="00235FB8" w:rsidRPr="00235FB8" w:rsidRDefault="00235FB8" w:rsidP="00235FB8">
      <w:pPr>
        <w:ind w:firstLine="720"/>
        <w:rPr>
          <w:rFonts w:asciiTheme="minorHAnsi" w:hAnsiTheme="minorHAnsi" w:cstheme="minorHAnsi"/>
          <w:sz w:val="24"/>
          <w:szCs w:val="24"/>
        </w:rPr>
      </w:pPr>
    </w:p>
    <w:p w14:paraId="76A132AB" w14:textId="1E55D6F5"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Thus, it is also essential that officers assess the needs of the victim quickly especially if there are steps to overcome in gathering evidence </w:t>
      </w:r>
      <w:sdt>
        <w:sdtPr>
          <w:rPr>
            <w:rFonts w:asciiTheme="minorHAnsi" w:hAnsiTheme="minorHAnsi" w:cstheme="minorHAnsi"/>
            <w:sz w:val="24"/>
            <w:szCs w:val="24"/>
          </w:rPr>
          <w:id w:val="-221910461"/>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Cro16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(Crown Prosecution Service , 2016)</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For example, a registered intermediary may be required to conduct a best evidence interview with the victim to which officer will need to contact the Witness Intermediary Service (WIS). This is supervised by the National Crime Agency (</w:t>
      </w:r>
      <w:proofErr w:type="spellStart"/>
      <w:r w:rsidRPr="00235FB8">
        <w:rPr>
          <w:rFonts w:asciiTheme="minorHAnsi" w:hAnsiTheme="minorHAnsi" w:cstheme="minorHAnsi"/>
          <w:sz w:val="24"/>
          <w:szCs w:val="24"/>
        </w:rPr>
        <w:t>NCA</w:t>
      </w:r>
      <w:proofErr w:type="spellEnd"/>
      <w:r w:rsidRPr="00235FB8">
        <w:rPr>
          <w:rFonts w:asciiTheme="minorHAnsi" w:hAnsiTheme="minorHAnsi" w:cstheme="minorHAnsi"/>
          <w:sz w:val="24"/>
          <w:szCs w:val="24"/>
        </w:rPr>
        <w:t xml:space="preserve">) on behalf of the Ministry of Justice. Due to WIS requiring time to essentially ‘match’ a registered intermediary with the required skills to communicate with the victim, police must make this request as quickly as possible. The registered intermediary will develop a working relationship with the victim whilst also conducting a full assessment to which will include recommendations to the court. Following this, police will hold an initial special measures discussion with CPS after charge, to who will then apply to court. </w:t>
      </w:r>
    </w:p>
    <w:p w14:paraId="5E244001" w14:textId="77777777" w:rsidR="00235FB8" w:rsidRPr="00235FB8" w:rsidRDefault="00235FB8" w:rsidP="00235FB8">
      <w:pPr>
        <w:ind w:firstLine="720"/>
        <w:rPr>
          <w:rFonts w:asciiTheme="minorHAnsi" w:hAnsiTheme="minorHAnsi" w:cstheme="minorHAnsi"/>
          <w:sz w:val="24"/>
          <w:szCs w:val="24"/>
        </w:rPr>
      </w:pPr>
    </w:p>
    <w:p w14:paraId="2121CD53" w14:textId="2BF4B199"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Though there is a vast amount of support available, and measures have adapted and created by policy makers, non-governmental </w:t>
      </w:r>
      <w:proofErr w:type="gramStart"/>
      <w:r w:rsidRPr="00235FB8">
        <w:rPr>
          <w:rFonts w:asciiTheme="minorHAnsi" w:hAnsiTheme="minorHAnsi" w:cstheme="minorHAnsi"/>
          <w:sz w:val="24"/>
          <w:szCs w:val="24"/>
        </w:rPr>
        <w:t>organisations</w:t>
      </w:r>
      <w:proofErr w:type="gramEnd"/>
      <w:r w:rsidRPr="00235FB8">
        <w:rPr>
          <w:rFonts w:asciiTheme="minorHAnsi" w:hAnsiTheme="minorHAnsi" w:cstheme="minorHAnsi"/>
          <w:sz w:val="24"/>
          <w:szCs w:val="24"/>
        </w:rPr>
        <w:t xml:space="preserve"> and professionals within the criminal justice system over the past twenty years to advance the response provided to hate occurrences </w:t>
      </w:r>
      <w:sdt>
        <w:sdtPr>
          <w:rPr>
            <w:rFonts w:asciiTheme="minorHAnsi" w:hAnsiTheme="minorHAnsi" w:cstheme="minorHAnsi"/>
            <w:sz w:val="24"/>
            <w:szCs w:val="24"/>
          </w:rPr>
          <w:id w:val="688875395"/>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Cha17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(Chakraborti, 2017)</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Including the introduction of legislation and evidence-based policy guidance. Though </w:t>
      </w:r>
      <w:sdt>
        <w:sdtPr>
          <w:rPr>
            <w:rFonts w:asciiTheme="minorHAnsi" w:hAnsiTheme="minorHAnsi" w:cstheme="minorHAnsi"/>
            <w:sz w:val="24"/>
            <w:szCs w:val="24"/>
          </w:rPr>
          <w:id w:val="1200812979"/>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Cha17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(Chakraborti, 2017)</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argues that the governmental and legal professionals must expand their understanding of the variety of </w:t>
      </w:r>
      <w:r w:rsidR="00082D90">
        <w:rPr>
          <w:rFonts w:asciiTheme="minorHAnsi" w:hAnsiTheme="minorHAnsi" w:cstheme="minorHAnsi"/>
          <w:sz w:val="24"/>
          <w:szCs w:val="24"/>
        </w:rPr>
        <w:t>difficulties</w:t>
      </w:r>
      <w:r w:rsidRPr="00235FB8">
        <w:rPr>
          <w:rFonts w:asciiTheme="minorHAnsi" w:hAnsiTheme="minorHAnsi" w:cstheme="minorHAnsi"/>
          <w:sz w:val="24"/>
          <w:szCs w:val="24"/>
        </w:rPr>
        <w:t xml:space="preserve"> that </w:t>
      </w:r>
      <w:r w:rsidRPr="00235FB8">
        <w:rPr>
          <w:rFonts w:asciiTheme="minorHAnsi" w:hAnsiTheme="minorHAnsi" w:cstheme="minorHAnsi"/>
          <w:sz w:val="24"/>
          <w:szCs w:val="24"/>
        </w:rPr>
        <w:lastRenderedPageBreak/>
        <w:t xml:space="preserve">communities and individuals encounter and thus develop solutions to overcome them. </w:t>
      </w:r>
      <w:proofErr w:type="spellStart"/>
      <w:r w:rsidRPr="00235FB8">
        <w:rPr>
          <w:rFonts w:asciiTheme="minorHAnsi" w:hAnsiTheme="minorHAnsi" w:cstheme="minorHAnsi"/>
          <w:sz w:val="24"/>
          <w:szCs w:val="24"/>
        </w:rPr>
        <w:t>Chakraborti</w:t>
      </w:r>
      <w:proofErr w:type="spellEnd"/>
      <w:r w:rsidRPr="00235FB8">
        <w:rPr>
          <w:rFonts w:asciiTheme="minorHAnsi" w:hAnsiTheme="minorHAnsi" w:cstheme="minorHAnsi"/>
          <w:sz w:val="24"/>
          <w:szCs w:val="24"/>
        </w:rPr>
        <w:t xml:space="preserve"> (2017) also found that the main barrier to overcome was the overwhelming feeling amongst victims of hate crime was that their report would not be taken seriously. Thus, resulting in under-reporting to which has a further implication on support services. Awareness and access to support services is dependent upon the victim being guided towards support by public sector staff.</w:t>
      </w:r>
    </w:p>
    <w:p w14:paraId="28CE9EBA" w14:textId="77777777" w:rsidR="00235FB8" w:rsidRPr="00235FB8" w:rsidRDefault="00235FB8" w:rsidP="00235FB8">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p>
    <w:p w14:paraId="19AC1A8B" w14:textId="77777777"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Consequently, I obtained a full statement from him documenting fully details regarding the numerous incidents and how it had impacted him personally. When victims of crime report a crime, it is essential that they are offered support as it can be a stressful and difficult time </w:t>
      </w:r>
      <w:sdt>
        <w:sdtPr>
          <w:rPr>
            <w:rFonts w:asciiTheme="minorHAnsi" w:hAnsiTheme="minorHAnsi" w:cstheme="minorHAnsi"/>
            <w:sz w:val="24"/>
            <w:szCs w:val="24"/>
          </w:rPr>
          <w:id w:val="226502643"/>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Min22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(Ministry of Justice ,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However, some are unsure on where to gain this support. Victim support is one such organisation whereby they offer a free and confidential 24/7 support line and chat service. The organisation offers specialised support to any victim of crime or witness. Whilst another form of support available to victims of crime is Citizen Advice. They provide free, independent support to victims who are required to provide evidence in court. When I proceeded to explain these organisations to the victim, I also offered to refer him to Victim Support immediately; to which he accepted. </w:t>
      </w:r>
    </w:p>
    <w:p w14:paraId="21468370" w14:textId="77777777" w:rsidR="00235FB8" w:rsidRPr="00235FB8" w:rsidRDefault="00235FB8" w:rsidP="00235FB8">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p>
    <w:p w14:paraId="292D284B" w14:textId="77777777" w:rsidR="00235FB8" w:rsidRPr="00235FB8" w:rsidRDefault="00235FB8" w:rsidP="00235FB8">
      <w:pPr>
        <w:pStyle w:val="Body"/>
        <w:pBdr>
          <w:top w:val="none" w:sz="0" w:space="0" w:color="auto"/>
          <w:left w:val="none" w:sz="0" w:space="0" w:color="auto"/>
          <w:bottom w:val="none" w:sz="0" w:space="0" w:color="auto"/>
          <w:right w:val="none" w:sz="0" w:space="0" w:color="auto"/>
        </w:pBdr>
        <w:ind w:firstLine="720"/>
        <w:rPr>
          <w:rFonts w:asciiTheme="minorHAnsi" w:hAnsiTheme="minorHAnsi" w:cstheme="minorHAnsi"/>
          <w:sz w:val="24"/>
          <w:szCs w:val="24"/>
        </w:rPr>
      </w:pPr>
      <w:r w:rsidRPr="00235FB8">
        <w:rPr>
          <w:rFonts w:asciiTheme="minorHAnsi" w:hAnsiTheme="minorHAnsi" w:cstheme="minorHAnsi"/>
          <w:sz w:val="24"/>
          <w:szCs w:val="24"/>
        </w:rPr>
        <w:t xml:space="preserve">Throughout the investigation, I continued to update the victim regarding the matter as I felt it was essential that he felt his investigation was a serious matter. This included when I attended his workplace to discuss the matter with his manager as it was brought to my attention that they had also began </w:t>
      </w:r>
      <w:proofErr w:type="gramStart"/>
      <w:r w:rsidRPr="00235FB8">
        <w:rPr>
          <w:rFonts w:asciiTheme="minorHAnsi" w:hAnsiTheme="minorHAnsi" w:cstheme="minorHAnsi"/>
          <w:sz w:val="24"/>
          <w:szCs w:val="24"/>
        </w:rPr>
        <w:t>conducting an investigation into</w:t>
      </w:r>
      <w:proofErr w:type="gramEnd"/>
      <w:r w:rsidRPr="00235FB8">
        <w:rPr>
          <w:rFonts w:asciiTheme="minorHAnsi" w:hAnsiTheme="minorHAnsi" w:cstheme="minorHAnsi"/>
          <w:sz w:val="24"/>
          <w:szCs w:val="24"/>
        </w:rPr>
        <w:t xml:space="preserve"> the matter after being notified by the victim. Therefore, I began questioning member of staff who may wish to provide information regarding the incidents that were reported to have occurred in the workplace </w:t>
      </w:r>
      <w:proofErr w:type="gramStart"/>
      <w:r w:rsidRPr="00235FB8">
        <w:rPr>
          <w:rFonts w:asciiTheme="minorHAnsi" w:hAnsiTheme="minorHAnsi" w:cstheme="minorHAnsi"/>
          <w:sz w:val="24"/>
          <w:szCs w:val="24"/>
        </w:rPr>
        <w:t>and also</w:t>
      </w:r>
      <w:proofErr w:type="gramEnd"/>
      <w:r w:rsidRPr="00235FB8">
        <w:rPr>
          <w:rFonts w:asciiTheme="minorHAnsi" w:hAnsiTheme="minorHAnsi" w:cstheme="minorHAnsi"/>
          <w:sz w:val="24"/>
          <w:szCs w:val="24"/>
        </w:rPr>
        <w:t xml:space="preserve"> over social media. However, many individuals did not wish to get involved. This was due to them explaining that it was a matter between both parties and thus did not wish to get involved. Though at times, due to attempting to manage a large workload, I was unable to conduct the investigation as quickly as the victim wished and unable to update him as often. Therefore, on occasion the victim would have to contact myself to gain an update and felt that I was not taking the investigation seriously. This was a failure on my part to which I have greatly learnt from. </w:t>
      </w:r>
    </w:p>
    <w:p w14:paraId="446F9F76" w14:textId="77777777" w:rsidR="00235FB8" w:rsidRPr="00235FB8" w:rsidRDefault="00235FB8" w:rsidP="00235FB8">
      <w:pPr>
        <w:pStyle w:val="Body"/>
        <w:pBdr>
          <w:top w:val="none" w:sz="0" w:space="0" w:color="auto"/>
          <w:left w:val="none" w:sz="0" w:space="0" w:color="auto"/>
          <w:bottom w:val="none" w:sz="0" w:space="0" w:color="auto"/>
          <w:right w:val="none" w:sz="0" w:space="0" w:color="auto"/>
        </w:pBdr>
        <w:rPr>
          <w:rFonts w:asciiTheme="minorHAnsi" w:hAnsiTheme="minorHAnsi" w:cstheme="minorHAnsi"/>
          <w:sz w:val="24"/>
          <w:szCs w:val="24"/>
        </w:rPr>
      </w:pPr>
    </w:p>
    <w:p w14:paraId="09454005" w14:textId="77777777" w:rsidR="00235FB8" w:rsidRPr="00235FB8" w:rsidRDefault="00235FB8" w:rsidP="00235FB8">
      <w:pPr>
        <w:pStyle w:val="Body"/>
        <w:pBdr>
          <w:top w:val="none" w:sz="0" w:space="0" w:color="auto"/>
          <w:left w:val="none" w:sz="0" w:space="0" w:color="auto"/>
          <w:bottom w:val="none" w:sz="0" w:space="0" w:color="auto"/>
          <w:right w:val="none" w:sz="0" w:space="0" w:color="auto"/>
        </w:pBdr>
        <w:ind w:firstLine="720"/>
        <w:rPr>
          <w:rFonts w:asciiTheme="minorHAnsi" w:hAnsiTheme="minorHAnsi" w:cstheme="minorHAnsi"/>
          <w:sz w:val="24"/>
          <w:szCs w:val="24"/>
        </w:rPr>
      </w:pPr>
      <w:r w:rsidRPr="00235FB8">
        <w:rPr>
          <w:rFonts w:asciiTheme="minorHAnsi" w:hAnsiTheme="minorHAnsi" w:cstheme="minorHAnsi"/>
          <w:sz w:val="24"/>
          <w:szCs w:val="24"/>
        </w:rPr>
        <w:t xml:space="preserve">Once, I completed my investigation, I invited the subject to attend the station to conduct a voluntarily attendee interview. This would allow the subject to provide his version of events and evidence. The subject did apologies for his actions but explained that he was attempting to ‘fit in’ </w:t>
      </w:r>
      <w:proofErr w:type="gramStart"/>
      <w:r w:rsidRPr="00235FB8">
        <w:rPr>
          <w:rFonts w:asciiTheme="minorHAnsi" w:hAnsiTheme="minorHAnsi" w:cstheme="minorHAnsi"/>
          <w:sz w:val="24"/>
          <w:szCs w:val="24"/>
        </w:rPr>
        <w:t>in regard to</w:t>
      </w:r>
      <w:proofErr w:type="gramEnd"/>
      <w:r w:rsidRPr="00235FB8">
        <w:rPr>
          <w:rFonts w:asciiTheme="minorHAnsi" w:hAnsiTheme="minorHAnsi" w:cstheme="minorHAnsi"/>
          <w:sz w:val="24"/>
          <w:szCs w:val="24"/>
        </w:rPr>
        <w:t xml:space="preserve"> the tone of the group chat and therefore did not see anything wrong. Due to this, the matter was forwarded to CPS for a decision to which they stated that there was not enough evidence. When I received this decision, I contacted the victim and explained in detail the decision made. The victim explained that he was satisfied with how the matter was discussed and the support he received from officers and third-party organizations. </w:t>
      </w:r>
    </w:p>
    <w:p w14:paraId="40B5C49A" w14:textId="77777777" w:rsidR="00235FB8" w:rsidRPr="00235FB8" w:rsidRDefault="00235FB8" w:rsidP="00235FB8">
      <w:pPr>
        <w:pStyle w:val="Body"/>
        <w:pBdr>
          <w:top w:val="none" w:sz="0" w:space="0" w:color="auto"/>
          <w:left w:val="none" w:sz="0" w:space="0" w:color="auto"/>
          <w:bottom w:val="none" w:sz="0" w:space="0" w:color="auto"/>
          <w:right w:val="none" w:sz="0" w:space="0" w:color="auto"/>
        </w:pBdr>
        <w:ind w:firstLine="720"/>
        <w:rPr>
          <w:rFonts w:asciiTheme="minorHAnsi" w:hAnsiTheme="minorHAnsi" w:cstheme="minorHAnsi"/>
          <w:sz w:val="24"/>
          <w:szCs w:val="24"/>
        </w:rPr>
      </w:pPr>
    </w:p>
    <w:p w14:paraId="1844180C" w14:textId="77777777"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To conclude, current studies suggests that further emphasis is requires on preventing hate crime rather than intervention </w:t>
      </w:r>
      <w:sdt>
        <w:sdtPr>
          <w:rPr>
            <w:rFonts w:asciiTheme="minorHAnsi" w:hAnsiTheme="minorHAnsi" w:cstheme="minorHAnsi"/>
            <w:sz w:val="24"/>
            <w:szCs w:val="24"/>
          </w:rPr>
          <w:id w:val="-139732289"/>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Tai14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(Tai Pawb , 2014)</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This is also relevant due to evidence regarding the increase of tension and decreasing community relations. Consequential from welfare reform, consistent negative media coverage regarding immigration, poverty, </w:t>
      </w:r>
      <w:proofErr w:type="gramStart"/>
      <w:r w:rsidRPr="00235FB8">
        <w:rPr>
          <w:rFonts w:asciiTheme="minorHAnsi" w:hAnsiTheme="minorHAnsi" w:cstheme="minorHAnsi"/>
          <w:sz w:val="24"/>
          <w:szCs w:val="24"/>
        </w:rPr>
        <w:t>disability</w:t>
      </w:r>
      <w:proofErr w:type="gramEnd"/>
      <w:r w:rsidRPr="00235FB8">
        <w:rPr>
          <w:rFonts w:asciiTheme="minorHAnsi" w:hAnsiTheme="minorHAnsi" w:cstheme="minorHAnsi"/>
          <w:sz w:val="24"/>
          <w:szCs w:val="24"/>
        </w:rPr>
        <w:t xml:space="preserve"> and social housing.  It is essential to consider that reports </w:t>
      </w:r>
      <w:r w:rsidRPr="00235FB8">
        <w:rPr>
          <w:rFonts w:asciiTheme="minorHAnsi" w:hAnsiTheme="minorHAnsi" w:cstheme="minorHAnsi"/>
          <w:sz w:val="24"/>
          <w:szCs w:val="24"/>
        </w:rPr>
        <w:lastRenderedPageBreak/>
        <w:t xml:space="preserve">regarding hate crime related offences are increasing. This is evident as since this incident, I have attended multiple accounts of hate crime to which I was able to learn and develop. This incident allowed me to further research and develop an understanding of the services available to victims and the impact it can have upon them and translate this effectively to victims. </w:t>
      </w:r>
    </w:p>
    <w:p w14:paraId="166A5FD4" w14:textId="5E09FC1F" w:rsidR="00A221AB" w:rsidRPr="008D3045" w:rsidRDefault="00E676F7" w:rsidP="008D3045">
      <w:pPr>
        <w:overflowPunct/>
        <w:autoSpaceDE/>
        <w:autoSpaceDN/>
        <w:adjustRightInd/>
        <w:textAlignment w:val="auto"/>
        <w:rPr>
          <w:b/>
          <w:bCs/>
          <w:sz w:val="24"/>
          <w:szCs w:val="24"/>
        </w:rPr>
      </w:pPr>
      <w:r w:rsidRPr="5CE196A1">
        <w:rPr>
          <w:b/>
          <w:bCs/>
          <w:sz w:val="24"/>
          <w:szCs w:val="24"/>
        </w:rPr>
        <w:br w:type="page"/>
      </w:r>
    </w:p>
    <w:p w14:paraId="06491356" w14:textId="7E4B01FA"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lastRenderedPageBreak/>
        <w:t> </w:t>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2D40764B" w14:textId="5F694D7D" w:rsidR="00710D69" w:rsidRPr="00235FB8" w:rsidRDefault="00710D69" w:rsidP="00235FB8">
            <w:pPr>
              <w:ind w:right="237"/>
              <w:jc w:val="both"/>
              <w:rPr>
                <w:color w:val="000000" w:themeColor="text1"/>
                <w:sz w:val="24"/>
                <w:szCs w:val="24"/>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35D39E5C" w14:textId="77777777" w:rsidR="00235FB8" w:rsidRPr="00235FB8" w:rsidRDefault="00235FB8" w:rsidP="00235FB8">
      <w:pPr>
        <w:rPr>
          <w:rFonts w:asciiTheme="minorHAnsi" w:hAnsiTheme="minorHAnsi" w:cstheme="minorHAnsi"/>
          <w:sz w:val="24"/>
          <w:szCs w:val="24"/>
        </w:rPr>
      </w:pPr>
      <w:r w:rsidRPr="00235FB8">
        <w:rPr>
          <w:rFonts w:asciiTheme="minorHAnsi" w:hAnsiTheme="minorHAnsi" w:cstheme="minorHAnsi"/>
          <w:sz w:val="24"/>
          <w:szCs w:val="24"/>
        </w:rPr>
        <w:t xml:space="preserve">It is common that victims will remain in a relationship with the abuse or will return to the relationship (College of Policing, 2022). This is due to it being difficult for individuals inside the relationship reaching a decision due to it being a far more complex process especially if children are involved. Whereas a person outside of the relationship may reach the conclusion that the relationship should end far more quickly </w:t>
      </w:r>
      <w:sdt>
        <w:sdtPr>
          <w:rPr>
            <w:rFonts w:asciiTheme="minorHAnsi" w:hAnsiTheme="minorHAnsi" w:cstheme="minorHAnsi"/>
            <w:sz w:val="24"/>
            <w:szCs w:val="24"/>
          </w:rPr>
          <w:id w:val="-1384718053"/>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Col22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(College of Policing ,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Between March 2020 to March 2021, police across Wales and England recorded a total of 1,459,663 domestic abuse relations incidents </w:t>
      </w:r>
      <w:sdt>
        <w:sdtPr>
          <w:rPr>
            <w:rFonts w:asciiTheme="minorHAnsi" w:hAnsiTheme="minorHAnsi" w:cstheme="minorHAnsi"/>
            <w:sz w:val="24"/>
            <w:szCs w:val="24"/>
          </w:rPr>
          <w:id w:val="635769874"/>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Off21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(Office for National Statistics, 2021)</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Of this, approximately 845,734 were documented as domestic abuse-related crimes. Demonstrating an increase of 6% from the year previous.  Whilst data demonstrated that in the year ending March 2020, women were far more likely to experience domestic abuse than men within the previous 12 months </w:t>
      </w:r>
      <w:sdt>
        <w:sdtPr>
          <w:rPr>
            <w:rFonts w:asciiTheme="minorHAnsi" w:hAnsiTheme="minorHAnsi" w:cstheme="minorHAnsi"/>
            <w:sz w:val="24"/>
            <w:szCs w:val="24"/>
          </w:rPr>
          <w:id w:val="-1067189695"/>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Gov21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(Gov.Uk, 2021)</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Of which 7.7% of white women were above twice as likely to experience domestic abuse compared to 3.6% of white males. In addition, they were more probable than Asian women (4.4%) or black women (4.6%). </w:t>
      </w:r>
    </w:p>
    <w:p w14:paraId="03833ED4" w14:textId="77777777" w:rsidR="00235FB8" w:rsidRDefault="00235FB8" w:rsidP="00235FB8">
      <w:pPr>
        <w:rPr>
          <w:rFonts w:asciiTheme="minorHAnsi" w:hAnsiTheme="minorHAnsi" w:cstheme="minorHAnsi"/>
          <w:sz w:val="24"/>
          <w:szCs w:val="24"/>
        </w:rPr>
      </w:pPr>
      <w:r w:rsidRPr="00235FB8">
        <w:rPr>
          <w:rFonts w:asciiTheme="minorHAnsi" w:hAnsiTheme="minorHAnsi" w:cstheme="minorHAnsi"/>
          <w:sz w:val="24"/>
          <w:szCs w:val="24"/>
        </w:rPr>
        <w:t xml:space="preserve">  </w:t>
      </w:r>
    </w:p>
    <w:p w14:paraId="126F0644" w14:textId="36234E65" w:rsidR="00235FB8" w:rsidRPr="00235FB8" w:rsidRDefault="00235FB8" w:rsidP="00235FB8">
      <w:pPr>
        <w:rPr>
          <w:rFonts w:asciiTheme="minorHAnsi" w:hAnsiTheme="minorHAnsi" w:cstheme="minorHAnsi"/>
          <w:sz w:val="24"/>
          <w:szCs w:val="24"/>
        </w:rPr>
      </w:pPr>
      <w:r w:rsidRPr="00235FB8">
        <w:rPr>
          <w:rFonts w:asciiTheme="minorHAnsi" w:hAnsiTheme="minorHAnsi" w:cstheme="minorHAnsi"/>
          <w:sz w:val="24"/>
          <w:szCs w:val="24"/>
        </w:rPr>
        <w:t xml:space="preserve">  One such policing incident in which I played a significant role as where I was called to an immediate response. I was informed that a disturbance was ongoing at an address whereby a male was kicking a door in with the female in the property highly distressed. By the time I arrived on scene however with my colleague, the male had left the area a few minutes prior. As a result, I spoke to the victim who informed me that her ex-partner had attended her home address after an argument had occurred via text messages and phone calls. The male had attended to which he was aggressive and began kicking the front door before trying to gain access to the property by the rear. He shortly left on foot prior to my attendance. </w:t>
      </w:r>
    </w:p>
    <w:p w14:paraId="7CFFF868" w14:textId="77777777" w:rsidR="00235FB8" w:rsidRDefault="00235FB8" w:rsidP="00235FB8">
      <w:pPr>
        <w:ind w:firstLine="720"/>
        <w:rPr>
          <w:rFonts w:asciiTheme="minorHAnsi" w:hAnsiTheme="minorHAnsi" w:cstheme="minorHAnsi"/>
          <w:sz w:val="24"/>
          <w:szCs w:val="24"/>
        </w:rPr>
      </w:pPr>
    </w:p>
    <w:p w14:paraId="4850262F" w14:textId="02E9B2EF"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Due to this crucial information, I was aware that the male would not be far and therefore requested another unit who was free to conduct an area search to see if they could locate the male. Whilst I remained on scene to gather further information such as local areas he may attend, his home residence and to understand the circumstances of the incident. </w:t>
      </w:r>
    </w:p>
    <w:p w14:paraId="5A8225C2" w14:textId="77777777" w:rsidR="00235FB8" w:rsidRPr="00235FB8" w:rsidRDefault="00235FB8" w:rsidP="00235FB8">
      <w:pPr>
        <w:ind w:firstLine="720"/>
        <w:rPr>
          <w:rFonts w:asciiTheme="minorHAnsi" w:hAnsiTheme="minorHAnsi" w:cstheme="minorHAnsi"/>
          <w:sz w:val="24"/>
          <w:szCs w:val="24"/>
        </w:rPr>
      </w:pPr>
    </w:p>
    <w:p w14:paraId="45D5BDDA" w14:textId="77777777"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The National Decision Model (NDM) is currently utilised by all officers to structure the rationale of their decision making when attending incidents </w:t>
      </w:r>
      <w:sdt>
        <w:sdtPr>
          <w:rPr>
            <w:rFonts w:asciiTheme="minorHAnsi" w:hAnsiTheme="minorHAnsi" w:cstheme="minorHAnsi"/>
            <w:sz w:val="24"/>
            <w:szCs w:val="24"/>
          </w:rPr>
          <w:id w:val="336663293"/>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Col14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(College of Policing, 2014)</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To which it contains six key components. Firstly, at the heart of all decisions made is the Code of Ethics; to which identifies the necessity for police decisions to be consistent with the principles and standards set. Next, is information gather and intelligence. Here, officers must gather the circumstanced and any relevant information and intelligence that is required. Afterwards, assessing the situation and information gained. This would include assessing any specific risk of harm, </w:t>
      </w:r>
      <w:proofErr w:type="gramStart"/>
      <w:r w:rsidRPr="00235FB8">
        <w:rPr>
          <w:rFonts w:asciiTheme="minorHAnsi" w:hAnsiTheme="minorHAnsi" w:cstheme="minorHAnsi"/>
          <w:sz w:val="24"/>
          <w:szCs w:val="24"/>
        </w:rPr>
        <w:t>threat</w:t>
      </w:r>
      <w:proofErr w:type="gramEnd"/>
      <w:r w:rsidRPr="00235FB8">
        <w:rPr>
          <w:rFonts w:asciiTheme="minorHAnsi" w:hAnsiTheme="minorHAnsi" w:cstheme="minorHAnsi"/>
          <w:sz w:val="24"/>
          <w:szCs w:val="24"/>
        </w:rPr>
        <w:t xml:space="preserve"> and likelihood of good outcome. Subsequently, officers must then consider the relevant powers and policies that could be useful for the incident. Whilst then, identifying all available options and possible contingencies if </w:t>
      </w:r>
      <w:r w:rsidRPr="00235FB8">
        <w:rPr>
          <w:rFonts w:asciiTheme="minorHAnsi" w:hAnsiTheme="minorHAnsi" w:cstheme="minorHAnsi"/>
          <w:sz w:val="24"/>
          <w:szCs w:val="24"/>
        </w:rPr>
        <w:lastRenderedPageBreak/>
        <w:t xml:space="preserve">necessary. The decision made must be proportionate, </w:t>
      </w:r>
      <w:proofErr w:type="gramStart"/>
      <w:r w:rsidRPr="00235FB8">
        <w:rPr>
          <w:rFonts w:asciiTheme="minorHAnsi" w:hAnsiTheme="minorHAnsi" w:cstheme="minorHAnsi"/>
          <w:sz w:val="24"/>
          <w:szCs w:val="24"/>
        </w:rPr>
        <w:t>legitimate</w:t>
      </w:r>
      <w:proofErr w:type="gramEnd"/>
      <w:r w:rsidRPr="00235FB8">
        <w:rPr>
          <w:rFonts w:asciiTheme="minorHAnsi" w:hAnsiTheme="minorHAnsi" w:cstheme="minorHAnsi"/>
          <w:sz w:val="24"/>
          <w:szCs w:val="24"/>
        </w:rPr>
        <w:t xml:space="preserve"> and necessary whilst also ethical. Lastly, officers must then </w:t>
      </w:r>
      <w:proofErr w:type="gramStart"/>
      <w:r w:rsidRPr="00235FB8">
        <w:rPr>
          <w:rFonts w:asciiTheme="minorHAnsi" w:hAnsiTheme="minorHAnsi" w:cstheme="minorHAnsi"/>
          <w:sz w:val="24"/>
          <w:szCs w:val="24"/>
        </w:rPr>
        <w:t>take action</w:t>
      </w:r>
      <w:proofErr w:type="gramEnd"/>
      <w:r w:rsidRPr="00235FB8">
        <w:rPr>
          <w:rFonts w:asciiTheme="minorHAnsi" w:hAnsiTheme="minorHAnsi" w:cstheme="minorHAnsi"/>
          <w:sz w:val="24"/>
          <w:szCs w:val="24"/>
        </w:rPr>
        <w:t xml:space="preserve"> upon the appropriate decision. Afterwards, reflect and review on what occurred and what could be learned.</w:t>
      </w:r>
    </w:p>
    <w:p w14:paraId="7351AFCC" w14:textId="77777777" w:rsidR="00235FB8" w:rsidRDefault="00235FB8" w:rsidP="00235FB8">
      <w:pPr>
        <w:ind w:firstLine="720"/>
        <w:rPr>
          <w:rFonts w:asciiTheme="minorHAnsi" w:hAnsiTheme="minorHAnsi" w:cstheme="minorHAnsi"/>
          <w:sz w:val="24"/>
          <w:szCs w:val="24"/>
        </w:rPr>
      </w:pPr>
    </w:p>
    <w:p w14:paraId="33E139CD" w14:textId="4DEF6064"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However, the NDM and Code of Ethics have raised </w:t>
      </w:r>
      <w:proofErr w:type="gramStart"/>
      <w:r w:rsidRPr="00235FB8">
        <w:rPr>
          <w:rFonts w:asciiTheme="minorHAnsi" w:hAnsiTheme="minorHAnsi" w:cstheme="minorHAnsi"/>
          <w:sz w:val="24"/>
          <w:szCs w:val="24"/>
        </w:rPr>
        <w:t>a number of</w:t>
      </w:r>
      <w:proofErr w:type="gramEnd"/>
      <w:r w:rsidRPr="00235FB8">
        <w:rPr>
          <w:rFonts w:asciiTheme="minorHAnsi" w:hAnsiTheme="minorHAnsi" w:cstheme="minorHAnsi"/>
          <w:sz w:val="24"/>
          <w:szCs w:val="24"/>
        </w:rPr>
        <w:t xml:space="preserve"> issues </w:t>
      </w:r>
      <w:sdt>
        <w:sdtPr>
          <w:rPr>
            <w:rFonts w:asciiTheme="minorHAnsi" w:hAnsiTheme="minorHAnsi" w:cstheme="minorHAnsi"/>
            <w:sz w:val="24"/>
            <w:szCs w:val="24"/>
          </w:rPr>
          <w:id w:val="-1681501118"/>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Joy21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(Joyce, 2021)</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Academics argue that despite the NDM being intended to accommodate for all decisions made within each level of police hierarchy, it is more appropriate for planned events whereby there is suitable time to enable all stages. Thus, it is less beneficial for officers making immediate decisions as to what strategy is best when dealing with emergency responses. Nevertheless, this model was essential for myself during this as I was able to effectively analyse the information provided and what I was able to do to safeguard the victim.  </w:t>
      </w:r>
    </w:p>
    <w:p w14:paraId="62732CA3" w14:textId="77777777" w:rsidR="00235FB8" w:rsidRPr="00235FB8" w:rsidRDefault="00235FB8" w:rsidP="00235FB8">
      <w:pPr>
        <w:ind w:firstLine="720"/>
        <w:rPr>
          <w:rFonts w:asciiTheme="minorHAnsi" w:hAnsiTheme="minorHAnsi" w:cstheme="minorHAnsi"/>
          <w:sz w:val="24"/>
          <w:szCs w:val="24"/>
        </w:rPr>
      </w:pPr>
    </w:p>
    <w:p w14:paraId="778447C5" w14:textId="1FD20C4A"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Whilst speaking to the victim, her phone continuously rang to which she informed me that it was the male contacting her. I advised her not to answer due to his behaviour prior to my attendance. It was at this point, that the victims further disclosed that the male had been harassing by sending multiple unwanted messages and phone calls over a period of 2 weeks, to which she demonstrated to me. Under the circumstances, I felt it was appropriate to obtain a statement from the victim regarding the incident and the harassment as soon as possible and with her consent began. </w:t>
      </w:r>
    </w:p>
    <w:p w14:paraId="582E2B01" w14:textId="77777777" w:rsidR="00235FB8" w:rsidRPr="00235FB8" w:rsidRDefault="00235FB8" w:rsidP="00235FB8">
      <w:pPr>
        <w:ind w:firstLine="720"/>
        <w:rPr>
          <w:rFonts w:asciiTheme="minorHAnsi" w:hAnsiTheme="minorHAnsi" w:cstheme="minorHAnsi"/>
          <w:sz w:val="24"/>
          <w:szCs w:val="24"/>
        </w:rPr>
      </w:pPr>
    </w:p>
    <w:p w14:paraId="28C2599D" w14:textId="63E7AC8E"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Whilst completing this, she began revealing other incidents which had occurred during the relationship to which she had not reported to police. This included criminal damage, coercive </w:t>
      </w:r>
      <w:proofErr w:type="gramStart"/>
      <w:r w:rsidRPr="00235FB8">
        <w:rPr>
          <w:rFonts w:asciiTheme="minorHAnsi" w:hAnsiTheme="minorHAnsi" w:cstheme="minorHAnsi"/>
          <w:sz w:val="24"/>
          <w:szCs w:val="24"/>
        </w:rPr>
        <w:t>control</w:t>
      </w:r>
      <w:proofErr w:type="gramEnd"/>
      <w:r w:rsidRPr="00235FB8">
        <w:rPr>
          <w:rFonts w:asciiTheme="minorHAnsi" w:hAnsiTheme="minorHAnsi" w:cstheme="minorHAnsi"/>
          <w:sz w:val="24"/>
          <w:szCs w:val="24"/>
        </w:rPr>
        <w:t xml:space="preserve"> and domestic abuse; to which I also included within her statement as it was within the 6 months statutory limitations. Employing the golden hour approach, I obtained all photos of damage caused within the property that she had disclosed at the same time as she explained that there may be photograph evidence of the injuries obtained on an old mobile phone that was being utilised by a family member. In respect to this, I enquired whether she would consent to submitting her phone for download on another day; to which she was. Whilst explaining this, the victim informed me that the messages sent from the male had now begun to disappear as he proceeded to delete them. Although, the male was deleting evidence, I was aware that I had obtained images of the messages sent via my body worn camera but also that the phone download may be able to retrieve these. </w:t>
      </w:r>
    </w:p>
    <w:p w14:paraId="49D3A644" w14:textId="77777777" w:rsidR="00235FB8" w:rsidRPr="00235FB8" w:rsidRDefault="00235FB8" w:rsidP="00235FB8">
      <w:pPr>
        <w:ind w:firstLine="720"/>
        <w:rPr>
          <w:rFonts w:asciiTheme="minorHAnsi" w:hAnsiTheme="minorHAnsi" w:cstheme="minorHAnsi"/>
          <w:sz w:val="24"/>
          <w:szCs w:val="24"/>
        </w:rPr>
      </w:pPr>
    </w:p>
    <w:p w14:paraId="42F4980E" w14:textId="579E6102"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I then proceeded to explain the relevant support available for victims of domestic abuse such as a charity called Live Fear Free. This is managed by Welsh Women’s Aid however funded by the Welsh Government  </w:t>
      </w:r>
      <w:sdt>
        <w:sdtPr>
          <w:rPr>
            <w:rFonts w:asciiTheme="minorHAnsi" w:hAnsiTheme="minorHAnsi" w:cstheme="minorHAnsi"/>
            <w:sz w:val="24"/>
            <w:szCs w:val="24"/>
          </w:rPr>
          <w:id w:val="-65185543"/>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Liv22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(Live Fear Free,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It helps provide free help and advice regarding domestic abuse, practitioners seeking professional advice or if someone known requires help 24 hours a day </w:t>
      </w:r>
      <w:sdt>
        <w:sdtPr>
          <w:rPr>
            <w:rFonts w:asciiTheme="minorHAnsi" w:hAnsiTheme="minorHAnsi" w:cstheme="minorHAnsi"/>
            <w:sz w:val="24"/>
            <w:szCs w:val="24"/>
          </w:rPr>
          <w:id w:val="-1734071231"/>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The22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(The Survivors Trust ,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.The number provided does not appear of phone bills nor will the person contacting be charged </w:t>
      </w:r>
      <w:sdt>
        <w:sdtPr>
          <w:rPr>
            <w:rFonts w:asciiTheme="minorHAnsi" w:hAnsiTheme="minorHAnsi" w:cstheme="minorHAnsi"/>
            <w:sz w:val="24"/>
            <w:szCs w:val="24"/>
          </w:rPr>
          <w:id w:val="1896846274"/>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Liv22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(Live Fear Free,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All calls made are confidential and answered by highly experiences and trained staff who will listen and offer any available help and support. At times, the necessary information may be shared with other agencies however only with consent of the caller. Unless there is an individual at risk of serious harm, </w:t>
      </w:r>
      <w:proofErr w:type="gramStart"/>
      <w:r w:rsidRPr="00235FB8">
        <w:rPr>
          <w:rFonts w:asciiTheme="minorHAnsi" w:hAnsiTheme="minorHAnsi" w:cstheme="minorHAnsi"/>
          <w:sz w:val="24"/>
          <w:szCs w:val="24"/>
        </w:rPr>
        <w:t>injury</w:t>
      </w:r>
      <w:proofErr w:type="gramEnd"/>
      <w:r w:rsidRPr="00235FB8">
        <w:rPr>
          <w:rFonts w:asciiTheme="minorHAnsi" w:hAnsiTheme="minorHAnsi" w:cstheme="minorHAnsi"/>
          <w:sz w:val="24"/>
          <w:szCs w:val="24"/>
        </w:rPr>
        <w:t xml:space="preserve"> or life at risk, then the authorities would be informed.  </w:t>
      </w:r>
    </w:p>
    <w:p w14:paraId="71FC6F8D" w14:textId="77777777" w:rsidR="00235FB8" w:rsidRPr="00235FB8" w:rsidRDefault="00235FB8" w:rsidP="00235FB8">
      <w:pPr>
        <w:ind w:firstLine="720"/>
        <w:rPr>
          <w:rFonts w:asciiTheme="minorHAnsi" w:hAnsiTheme="minorHAnsi" w:cstheme="minorHAnsi"/>
          <w:sz w:val="24"/>
          <w:szCs w:val="24"/>
        </w:rPr>
      </w:pPr>
    </w:p>
    <w:p w14:paraId="3C7A1785" w14:textId="70A3DDCF" w:rsidR="00235FB8" w:rsidRDefault="00235FB8" w:rsidP="00235FB8">
      <w:pPr>
        <w:rPr>
          <w:rFonts w:asciiTheme="minorHAnsi" w:hAnsiTheme="minorHAnsi" w:cstheme="minorHAnsi"/>
          <w:sz w:val="24"/>
          <w:szCs w:val="24"/>
        </w:rPr>
      </w:pPr>
      <w:r w:rsidRPr="00235FB8">
        <w:rPr>
          <w:rFonts w:asciiTheme="minorHAnsi" w:hAnsiTheme="minorHAnsi" w:cstheme="minorHAnsi"/>
          <w:sz w:val="24"/>
          <w:szCs w:val="24"/>
        </w:rPr>
        <w:lastRenderedPageBreak/>
        <w:t xml:space="preserve"> </w:t>
      </w:r>
      <w:r w:rsidRPr="00235FB8">
        <w:rPr>
          <w:rFonts w:asciiTheme="minorHAnsi" w:hAnsiTheme="minorHAnsi" w:cstheme="minorHAnsi"/>
          <w:sz w:val="24"/>
          <w:szCs w:val="24"/>
        </w:rPr>
        <w:tab/>
        <w:t xml:space="preserve">Another form of support, officers offer victims of domestic violence is a public protection notification (PPN). This is an information sharing document to which allows officers to record any safeguarding concerns </w:t>
      </w:r>
      <w:sdt>
        <w:sdtPr>
          <w:rPr>
            <w:rFonts w:asciiTheme="minorHAnsi" w:hAnsiTheme="minorHAnsi" w:cstheme="minorHAnsi"/>
            <w:sz w:val="24"/>
            <w:szCs w:val="24"/>
          </w:rPr>
          <w:id w:val="-1410912737"/>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Sou21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(South Wales Police, 2021)</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Offices must complete this by the end of their tour of duty or within 24 hours of the incident being reported for the information to be assessed. Once submitted, the information is then reviewed by a member of the PPU specialised staff. If deemed necessary, the information may be forwarded to partner agencies for their information and for action. Although, where possible consent should be gained from the victim however at times if there are safeguarding risks then this may be shared without consent. Since 2009, all UK officers have been enforced to utilise the Domestic Abuse, Stalking and Honour Based Violence (DASH) risk assessment tool when attending incidents involving domestic abuse </w:t>
      </w:r>
      <w:sdt>
        <w:sdtPr>
          <w:rPr>
            <w:rFonts w:asciiTheme="minorHAnsi" w:hAnsiTheme="minorHAnsi" w:cstheme="minorHAnsi"/>
            <w:sz w:val="24"/>
            <w:szCs w:val="24"/>
          </w:rPr>
          <w:id w:val="646244464"/>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CITATION Ama18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(Amanda, 2018)</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This was recommended by the Association of Chief Police Officers. This is included within the PPN document. Thought widely recognised that the development of DASH was pivotal for policing domestic abuse within the UK; its execution has not been wholly uncontroversial </w:t>
      </w:r>
      <w:sdt>
        <w:sdtPr>
          <w:rPr>
            <w:rFonts w:asciiTheme="minorHAnsi" w:hAnsiTheme="minorHAnsi" w:cstheme="minorHAnsi"/>
            <w:sz w:val="24"/>
            <w:szCs w:val="24"/>
          </w:rPr>
          <w:id w:val="-809861825"/>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Tur21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(Turner, 2021)</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As there are acknowledged issues surrounding the quality of data submitted within swift and extremely emotional circumstances. Consequently, there have been criticism surrounding the wording, </w:t>
      </w:r>
      <w:proofErr w:type="gramStart"/>
      <w:r w:rsidRPr="00235FB8">
        <w:rPr>
          <w:rFonts w:asciiTheme="minorHAnsi" w:hAnsiTheme="minorHAnsi" w:cstheme="minorHAnsi"/>
          <w:sz w:val="24"/>
          <w:szCs w:val="24"/>
        </w:rPr>
        <w:t>phrasing</w:t>
      </w:r>
      <w:proofErr w:type="gramEnd"/>
      <w:r w:rsidRPr="00235FB8">
        <w:rPr>
          <w:rFonts w:asciiTheme="minorHAnsi" w:hAnsiTheme="minorHAnsi" w:cstheme="minorHAnsi"/>
          <w:sz w:val="24"/>
          <w:szCs w:val="24"/>
        </w:rPr>
        <w:t xml:space="preserve"> and design of the tool. In addition, within a recent study, it was found that the tools performance was poor </w:t>
      </w:r>
      <w:proofErr w:type="gramStart"/>
      <w:r w:rsidRPr="00235FB8">
        <w:rPr>
          <w:rFonts w:asciiTheme="minorHAnsi" w:hAnsiTheme="minorHAnsi" w:cstheme="minorHAnsi"/>
          <w:sz w:val="24"/>
          <w:szCs w:val="24"/>
        </w:rPr>
        <w:t>in regard to</w:t>
      </w:r>
      <w:proofErr w:type="gramEnd"/>
      <w:r w:rsidRPr="00235FB8">
        <w:rPr>
          <w:rFonts w:asciiTheme="minorHAnsi" w:hAnsiTheme="minorHAnsi" w:cstheme="minorHAnsi"/>
          <w:sz w:val="24"/>
          <w:szCs w:val="24"/>
        </w:rPr>
        <w:t xml:space="preserve"> categorising victims and offender who are high risk of revictimization and reoffending. </w:t>
      </w:r>
    </w:p>
    <w:p w14:paraId="59813BD1" w14:textId="77777777" w:rsidR="00235FB8" w:rsidRPr="00235FB8" w:rsidRDefault="00235FB8" w:rsidP="00235FB8">
      <w:pPr>
        <w:rPr>
          <w:rFonts w:asciiTheme="minorHAnsi" w:hAnsiTheme="minorHAnsi" w:cstheme="minorHAnsi"/>
          <w:sz w:val="24"/>
          <w:szCs w:val="24"/>
        </w:rPr>
      </w:pPr>
    </w:p>
    <w:p w14:paraId="32E51944" w14:textId="0F257FF4"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 One such partner agency to which the PPN may be disclosed to is Victim Support. Victim Support is an independent charity to which is dedicated to supporting all victims of crime and traumatic events </w:t>
      </w:r>
      <w:sdt>
        <w:sdtPr>
          <w:rPr>
            <w:rFonts w:asciiTheme="minorHAnsi" w:hAnsiTheme="minorHAnsi" w:cstheme="minorHAnsi"/>
            <w:sz w:val="24"/>
            <w:szCs w:val="24"/>
          </w:rPr>
          <w:id w:val="-2007736453"/>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Vic221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(Victim Support,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Whilst providing specialist help to individuals who have been impacted by a range of crime </w:t>
      </w:r>
      <w:proofErr w:type="spellStart"/>
      <w:r w:rsidRPr="00235FB8">
        <w:rPr>
          <w:rFonts w:asciiTheme="minorHAnsi" w:hAnsiTheme="minorHAnsi" w:cstheme="minorHAnsi"/>
          <w:sz w:val="24"/>
          <w:szCs w:val="24"/>
        </w:rPr>
        <w:t>e.g</w:t>
      </w:r>
      <w:proofErr w:type="spellEnd"/>
      <w:r w:rsidRPr="00235FB8">
        <w:rPr>
          <w:rFonts w:asciiTheme="minorHAnsi" w:hAnsiTheme="minorHAnsi" w:cstheme="minorHAnsi"/>
          <w:sz w:val="24"/>
          <w:szCs w:val="24"/>
        </w:rPr>
        <w:t xml:space="preserve"> hate crime, stalking and domestic abuse. One of the services proposed to victims of domestic violence is </w:t>
      </w:r>
      <w:proofErr w:type="spellStart"/>
      <w:r w:rsidRPr="00235FB8">
        <w:rPr>
          <w:rFonts w:asciiTheme="minorHAnsi" w:hAnsiTheme="minorHAnsi" w:cstheme="minorHAnsi"/>
          <w:sz w:val="24"/>
          <w:szCs w:val="24"/>
        </w:rPr>
        <w:t>IDVA</w:t>
      </w:r>
      <w:proofErr w:type="spellEnd"/>
      <w:r w:rsidRPr="00235FB8">
        <w:rPr>
          <w:rFonts w:asciiTheme="minorHAnsi" w:hAnsiTheme="minorHAnsi" w:cstheme="minorHAnsi"/>
          <w:sz w:val="24"/>
          <w:szCs w:val="24"/>
        </w:rPr>
        <w:t xml:space="preserve"> (Independent Domestic Violence Advocates) </w:t>
      </w:r>
      <w:sdt>
        <w:sdtPr>
          <w:rPr>
            <w:rFonts w:asciiTheme="minorHAnsi" w:hAnsiTheme="minorHAnsi" w:cstheme="minorHAnsi"/>
            <w:sz w:val="24"/>
            <w:szCs w:val="24"/>
          </w:rPr>
          <w:id w:val="-309407957"/>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Vic22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(Victim Support ,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These are experiences and specialist caseworkers who engage with victims by discuss the relationship and conferring options accessible to them. They repeatedly support victims who are at high risk of serious harm and act as a primary contact for services. This may comprise of creating a place to address victims immediate safety needs such as planning safe exits or emergencies, access health services, legal protections, and safe housing. Additionally, supporting the victims through the criminal justice system. </w:t>
      </w:r>
    </w:p>
    <w:p w14:paraId="2CAA7428" w14:textId="77777777" w:rsidR="00235FB8" w:rsidRPr="00235FB8" w:rsidRDefault="00235FB8" w:rsidP="00235FB8">
      <w:pPr>
        <w:ind w:firstLine="720"/>
        <w:rPr>
          <w:rFonts w:asciiTheme="minorHAnsi" w:hAnsiTheme="minorHAnsi" w:cstheme="minorHAnsi"/>
          <w:sz w:val="24"/>
          <w:szCs w:val="24"/>
        </w:rPr>
      </w:pPr>
    </w:p>
    <w:p w14:paraId="1A071847" w14:textId="77777777"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When determining that a victim is deemed as high-risk via the PPN, they possibly will be referred to a local Multi-Agency Risk Assessment Conference (MARAC) </w:t>
      </w:r>
      <w:sdt>
        <w:sdtPr>
          <w:rPr>
            <w:rFonts w:asciiTheme="minorHAnsi" w:hAnsiTheme="minorHAnsi" w:cstheme="minorHAnsi"/>
            <w:sz w:val="24"/>
            <w:szCs w:val="24"/>
          </w:rPr>
          <w:id w:val="-195317515"/>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Saf15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(Safe Lives, 2015)</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To which is a conference whereby information surrounding the highest risk domestic abuse cases are shared between representatives of local police, health, child protection, housing options, </w:t>
      </w:r>
      <w:proofErr w:type="spellStart"/>
      <w:r w:rsidRPr="00235FB8">
        <w:rPr>
          <w:rFonts w:asciiTheme="minorHAnsi" w:hAnsiTheme="minorHAnsi" w:cstheme="minorHAnsi"/>
          <w:sz w:val="24"/>
          <w:szCs w:val="24"/>
        </w:rPr>
        <w:t>IDVA’s</w:t>
      </w:r>
      <w:proofErr w:type="spellEnd"/>
      <w:r w:rsidRPr="00235FB8">
        <w:rPr>
          <w:rFonts w:asciiTheme="minorHAnsi" w:hAnsiTheme="minorHAnsi" w:cstheme="minorHAnsi"/>
          <w:sz w:val="24"/>
          <w:szCs w:val="24"/>
        </w:rPr>
        <w:t xml:space="preserve">, probation and other specialists from statutory and voluntary sectors. The fundamental assumption of a MARAC is that no single agency/ individual can see the circumstances of a victim yet may have understandings of care that may be critical to their safety. Nevertheless, the victim is not present during the conference but rather is represented by an </w:t>
      </w:r>
      <w:proofErr w:type="spellStart"/>
      <w:r w:rsidRPr="00235FB8">
        <w:rPr>
          <w:rFonts w:asciiTheme="minorHAnsi" w:hAnsiTheme="minorHAnsi" w:cstheme="minorHAnsi"/>
          <w:sz w:val="24"/>
          <w:szCs w:val="24"/>
        </w:rPr>
        <w:t>IDVA</w:t>
      </w:r>
      <w:proofErr w:type="spellEnd"/>
      <w:r w:rsidRPr="00235FB8">
        <w:rPr>
          <w:rFonts w:asciiTheme="minorHAnsi" w:hAnsiTheme="minorHAnsi" w:cstheme="minorHAnsi"/>
          <w:sz w:val="24"/>
          <w:szCs w:val="24"/>
        </w:rPr>
        <w:t xml:space="preserve">. </w:t>
      </w:r>
    </w:p>
    <w:p w14:paraId="1D3B15B7" w14:textId="2F4B481E"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Another approach individuals can use if they are concerned that new or former partner has an abusive past is by requesting police to conduct a check under the Domestic Violence Disclosure Scheme </w:t>
      </w:r>
      <w:sdt>
        <w:sdtPr>
          <w:rPr>
            <w:rFonts w:asciiTheme="minorHAnsi" w:hAnsiTheme="minorHAnsi" w:cstheme="minorHAnsi"/>
            <w:sz w:val="24"/>
            <w:szCs w:val="24"/>
          </w:rPr>
          <w:id w:val="-694923313"/>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Hom211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(Home Office, 2021)</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This is also known as ‘Claire’s Law’. If records </w:t>
      </w:r>
      <w:r w:rsidR="00D76FDD" w:rsidRPr="00235FB8">
        <w:rPr>
          <w:rFonts w:asciiTheme="minorHAnsi" w:hAnsiTheme="minorHAnsi" w:cstheme="minorHAnsi"/>
          <w:sz w:val="24"/>
          <w:szCs w:val="24"/>
        </w:rPr>
        <w:t>establish</w:t>
      </w:r>
      <w:r w:rsidRPr="00235FB8">
        <w:rPr>
          <w:rFonts w:asciiTheme="minorHAnsi" w:hAnsiTheme="minorHAnsi" w:cstheme="minorHAnsi"/>
          <w:sz w:val="24"/>
          <w:szCs w:val="24"/>
        </w:rPr>
        <w:t xml:space="preserve"> that </w:t>
      </w:r>
      <w:r w:rsidR="00D76FDD">
        <w:rPr>
          <w:rFonts w:asciiTheme="minorHAnsi" w:hAnsiTheme="minorHAnsi" w:cstheme="minorHAnsi"/>
          <w:sz w:val="24"/>
          <w:szCs w:val="24"/>
        </w:rPr>
        <w:t xml:space="preserve">a </w:t>
      </w:r>
      <w:r w:rsidRPr="00235FB8">
        <w:rPr>
          <w:rFonts w:asciiTheme="minorHAnsi" w:hAnsiTheme="minorHAnsi" w:cstheme="minorHAnsi"/>
          <w:sz w:val="24"/>
          <w:szCs w:val="24"/>
        </w:rPr>
        <w:t xml:space="preserve">person may be at risk of domestic abuse, then police may consider </w:t>
      </w:r>
      <w:r w:rsidR="00D76FDD" w:rsidRPr="00235FB8">
        <w:rPr>
          <w:rFonts w:asciiTheme="minorHAnsi" w:hAnsiTheme="minorHAnsi" w:cstheme="minorHAnsi"/>
          <w:sz w:val="24"/>
          <w:szCs w:val="24"/>
        </w:rPr>
        <w:lastRenderedPageBreak/>
        <w:t>divulging</w:t>
      </w:r>
      <w:r w:rsidRPr="00235FB8">
        <w:rPr>
          <w:rFonts w:asciiTheme="minorHAnsi" w:hAnsiTheme="minorHAnsi" w:cstheme="minorHAnsi"/>
          <w:sz w:val="24"/>
          <w:szCs w:val="24"/>
        </w:rPr>
        <w:t xml:space="preserve"> the </w:t>
      </w:r>
      <w:r w:rsidR="00D76FDD" w:rsidRPr="00235FB8">
        <w:rPr>
          <w:rFonts w:asciiTheme="minorHAnsi" w:hAnsiTheme="minorHAnsi" w:cstheme="minorHAnsi"/>
          <w:sz w:val="24"/>
          <w:szCs w:val="24"/>
        </w:rPr>
        <w:t>evidence</w:t>
      </w:r>
      <w:r w:rsidRPr="00235FB8">
        <w:rPr>
          <w:rFonts w:asciiTheme="minorHAnsi" w:hAnsiTheme="minorHAnsi" w:cstheme="minorHAnsi"/>
          <w:sz w:val="24"/>
          <w:szCs w:val="24"/>
        </w:rPr>
        <w:t xml:space="preserve"> but only if proportionate and necessary to do so. A family member or friend can also do this request on behalf of another person. </w:t>
      </w:r>
    </w:p>
    <w:p w14:paraId="1EF2F500" w14:textId="77777777" w:rsidR="00235FB8" w:rsidRDefault="00235FB8" w:rsidP="00235FB8">
      <w:pPr>
        <w:ind w:firstLine="720"/>
        <w:rPr>
          <w:rFonts w:asciiTheme="minorHAnsi" w:hAnsiTheme="minorHAnsi" w:cstheme="minorHAnsi"/>
          <w:sz w:val="24"/>
          <w:szCs w:val="24"/>
        </w:rPr>
      </w:pPr>
    </w:p>
    <w:p w14:paraId="7EBCD09D" w14:textId="1BFBA8F6" w:rsid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The following shift, I was conducting further enquiries regarding the incident such as house to house and CCTV enquires. Even though CCTV is primary used for </w:t>
      </w:r>
      <w:r w:rsidR="00D76FDD" w:rsidRPr="00235FB8">
        <w:rPr>
          <w:rFonts w:asciiTheme="minorHAnsi" w:hAnsiTheme="minorHAnsi" w:cstheme="minorHAnsi"/>
          <w:sz w:val="24"/>
          <w:szCs w:val="24"/>
        </w:rPr>
        <w:t>corroborati</w:t>
      </w:r>
      <w:r w:rsidR="00D76FDD">
        <w:rPr>
          <w:rFonts w:asciiTheme="minorHAnsi" w:hAnsiTheme="minorHAnsi" w:cstheme="minorHAnsi"/>
          <w:sz w:val="24"/>
          <w:szCs w:val="24"/>
        </w:rPr>
        <w:t xml:space="preserve">ng </w:t>
      </w:r>
      <w:r w:rsidRPr="00235FB8">
        <w:rPr>
          <w:rFonts w:asciiTheme="minorHAnsi" w:hAnsiTheme="minorHAnsi" w:cstheme="minorHAnsi"/>
          <w:sz w:val="24"/>
          <w:szCs w:val="24"/>
        </w:rPr>
        <w:t xml:space="preserve">what has already been suspected/known, it can deliver compelling evidence and generating further investigative opportunities </w:t>
      </w:r>
      <w:sdt>
        <w:sdtPr>
          <w:rPr>
            <w:rFonts w:asciiTheme="minorHAnsi" w:hAnsiTheme="minorHAnsi" w:cstheme="minorHAnsi"/>
            <w:sz w:val="24"/>
            <w:szCs w:val="24"/>
          </w:rPr>
          <w:id w:val="1723023586"/>
          <w:citation/>
        </w:sdtPr>
        <w:sdtContent>
          <w:r w:rsidRPr="00235FB8">
            <w:rPr>
              <w:rFonts w:asciiTheme="minorHAnsi" w:hAnsiTheme="minorHAnsi" w:cstheme="minorHAnsi"/>
              <w:sz w:val="24"/>
              <w:szCs w:val="24"/>
            </w:rPr>
            <w:fldChar w:fldCharType="begin"/>
          </w:r>
          <w:r w:rsidRPr="00235FB8">
            <w:rPr>
              <w:rFonts w:asciiTheme="minorHAnsi" w:hAnsiTheme="minorHAnsi" w:cstheme="minorHAnsi"/>
              <w:sz w:val="24"/>
              <w:szCs w:val="24"/>
            </w:rPr>
            <w:instrText xml:space="preserve"> CITATION Col221 \l 2057 </w:instrText>
          </w:r>
          <w:r w:rsidRPr="00235FB8">
            <w:rPr>
              <w:rFonts w:asciiTheme="minorHAnsi" w:hAnsiTheme="minorHAnsi" w:cstheme="minorHAnsi"/>
              <w:sz w:val="24"/>
              <w:szCs w:val="24"/>
            </w:rPr>
            <w:fldChar w:fldCharType="separate"/>
          </w:r>
          <w:r w:rsidRPr="00235FB8">
            <w:rPr>
              <w:rFonts w:asciiTheme="minorHAnsi" w:hAnsiTheme="minorHAnsi" w:cstheme="minorHAnsi"/>
              <w:noProof/>
              <w:sz w:val="24"/>
              <w:szCs w:val="24"/>
            </w:rPr>
            <w:t>(College of Policing , 2022)</w:t>
          </w:r>
          <w:r w:rsidRPr="00235FB8">
            <w:rPr>
              <w:rFonts w:asciiTheme="minorHAnsi" w:hAnsiTheme="minorHAnsi" w:cstheme="minorHAnsi"/>
              <w:sz w:val="24"/>
              <w:szCs w:val="24"/>
            </w:rPr>
            <w:fldChar w:fldCharType="end"/>
          </w:r>
        </w:sdtContent>
      </w:sdt>
      <w:r w:rsidRPr="00235FB8">
        <w:rPr>
          <w:rFonts w:asciiTheme="minorHAnsi" w:hAnsiTheme="minorHAnsi" w:cstheme="minorHAnsi"/>
          <w:sz w:val="24"/>
          <w:szCs w:val="24"/>
        </w:rPr>
        <w:t xml:space="preserve">. CCTV can help identify any possible forensic opportunities </w:t>
      </w:r>
      <w:r w:rsidR="00D76FDD">
        <w:rPr>
          <w:rFonts w:asciiTheme="minorHAnsi" w:hAnsiTheme="minorHAnsi" w:cstheme="minorHAnsi"/>
          <w:sz w:val="24"/>
          <w:szCs w:val="24"/>
        </w:rPr>
        <w:t>such as DNA or fingerprints</w:t>
      </w:r>
      <w:r w:rsidRPr="00235FB8">
        <w:rPr>
          <w:rFonts w:asciiTheme="minorHAnsi" w:hAnsiTheme="minorHAnsi" w:cstheme="minorHAnsi"/>
          <w:sz w:val="24"/>
          <w:szCs w:val="24"/>
        </w:rPr>
        <w:t xml:space="preserve">. In addition, it can help verify a witnesses/ victims account whilst also establishing a timeline and </w:t>
      </w:r>
      <w:r w:rsidR="00D76FDD" w:rsidRPr="00235FB8">
        <w:rPr>
          <w:rFonts w:asciiTheme="minorHAnsi" w:hAnsiTheme="minorHAnsi" w:cstheme="minorHAnsi"/>
          <w:sz w:val="24"/>
          <w:szCs w:val="24"/>
        </w:rPr>
        <w:t>indicating</w:t>
      </w:r>
      <w:r w:rsidRPr="00235FB8">
        <w:rPr>
          <w:rFonts w:asciiTheme="minorHAnsi" w:hAnsiTheme="minorHAnsi" w:cstheme="minorHAnsi"/>
          <w:sz w:val="24"/>
          <w:szCs w:val="24"/>
        </w:rPr>
        <w:t xml:space="preserve"> the suspects behaviours.  Consequently, the prosecution </w:t>
      </w:r>
      <w:proofErr w:type="gramStart"/>
      <w:r w:rsidRPr="00235FB8">
        <w:rPr>
          <w:rFonts w:asciiTheme="minorHAnsi" w:hAnsiTheme="minorHAnsi" w:cstheme="minorHAnsi"/>
          <w:sz w:val="24"/>
          <w:szCs w:val="24"/>
        </w:rPr>
        <w:t>are</w:t>
      </w:r>
      <w:proofErr w:type="gramEnd"/>
      <w:r w:rsidRPr="00235FB8">
        <w:rPr>
          <w:rFonts w:asciiTheme="minorHAnsi" w:hAnsiTheme="minorHAnsi" w:cstheme="minorHAnsi"/>
          <w:sz w:val="24"/>
          <w:szCs w:val="24"/>
        </w:rPr>
        <w:t xml:space="preserve"> f</w:t>
      </w:r>
      <w:r w:rsidR="00D76FDD">
        <w:rPr>
          <w:rFonts w:asciiTheme="minorHAnsi" w:hAnsiTheme="minorHAnsi" w:cstheme="minorHAnsi"/>
          <w:sz w:val="24"/>
          <w:szCs w:val="24"/>
        </w:rPr>
        <w:t>a</w:t>
      </w:r>
      <w:r w:rsidRPr="00235FB8">
        <w:rPr>
          <w:rFonts w:asciiTheme="minorHAnsi" w:hAnsiTheme="minorHAnsi" w:cstheme="minorHAnsi"/>
          <w:sz w:val="24"/>
          <w:szCs w:val="24"/>
        </w:rPr>
        <w:t xml:space="preserve">r more likely to secure a conviction when reinforced with CCTV </w:t>
      </w:r>
      <w:r w:rsidR="00D76FDD">
        <w:rPr>
          <w:rFonts w:asciiTheme="minorHAnsi" w:hAnsiTheme="minorHAnsi" w:cstheme="minorHAnsi"/>
          <w:sz w:val="24"/>
          <w:szCs w:val="24"/>
        </w:rPr>
        <w:t xml:space="preserve">as it allows the court to visualise the crime via an independent third party. </w:t>
      </w:r>
    </w:p>
    <w:p w14:paraId="485BD935" w14:textId="77777777" w:rsidR="00235FB8" w:rsidRPr="00235FB8" w:rsidRDefault="00235FB8" w:rsidP="00235FB8">
      <w:pPr>
        <w:ind w:firstLine="720"/>
        <w:rPr>
          <w:rFonts w:asciiTheme="minorHAnsi" w:hAnsiTheme="minorHAnsi" w:cstheme="minorHAnsi"/>
          <w:sz w:val="24"/>
          <w:szCs w:val="24"/>
        </w:rPr>
      </w:pPr>
    </w:p>
    <w:p w14:paraId="2C9C0DA6" w14:textId="77777777"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Here, I was notified by a neighbour that the victim had received further contact from the subject and was in fear. Thus, I re-attended her home address to which she disclosed that the subject once again had been messaging abusive messages and phone calls regarding the report made to police. Due to this disclose of further evidence, I obtained a further statement and screenshot of the messages/ phone calls. I was aware that she was fearful of the subject and offered to escort her to another relative’s address; however, she refused. As a result, I explained that officers would be conducting area patrols around her address when available until the male was arrested. Shortly afterwards, I advised my sergeant of the development to which he agreed that arrest enquiries were needed to be conducted as soon as possible. As a result, arrest enquires were conducted by myself and my sergeant during our tour of duty to which the male was located and arrested by myself. </w:t>
      </w:r>
    </w:p>
    <w:p w14:paraId="79C46175" w14:textId="77777777" w:rsidR="00235FB8" w:rsidRPr="00235FB8" w:rsidRDefault="00235FB8" w:rsidP="00235FB8">
      <w:pPr>
        <w:ind w:firstLine="720"/>
        <w:rPr>
          <w:rFonts w:asciiTheme="minorHAnsi" w:hAnsiTheme="minorHAnsi" w:cstheme="minorHAnsi"/>
          <w:sz w:val="24"/>
          <w:szCs w:val="24"/>
        </w:rPr>
      </w:pPr>
    </w:p>
    <w:p w14:paraId="7DDBC2A1" w14:textId="77777777" w:rsidR="00235FB8" w:rsidRPr="00235FB8" w:rsidRDefault="00235FB8" w:rsidP="00235FB8">
      <w:pPr>
        <w:ind w:firstLine="720"/>
        <w:rPr>
          <w:rFonts w:asciiTheme="minorHAnsi" w:hAnsiTheme="minorHAnsi" w:cstheme="minorHAnsi"/>
          <w:sz w:val="24"/>
          <w:szCs w:val="24"/>
        </w:rPr>
      </w:pPr>
      <w:r w:rsidRPr="00235FB8">
        <w:rPr>
          <w:rFonts w:asciiTheme="minorHAnsi" w:hAnsiTheme="minorHAnsi" w:cstheme="minorHAnsi"/>
          <w:sz w:val="24"/>
          <w:szCs w:val="24"/>
        </w:rPr>
        <w:t xml:space="preserve">This incident was very complex in comparison to the original report. The incident developed from an ongoing disturbance to possible 4 different offences. In addition, I had to ensure the victim was safeguarded and was aware of all available support. I was required to spend an immense amount of time engaging with the victim and ensuring that she felt comfortable enough to disclose information. This incident allowed me to further develop my communication skills with vulnerable victims of domestic abuse. Whist my leadership skills also played a role by gaining control of the situation, I found it at times to communicate effectively with my team. Specifically, when I was trying to engage with the victim and trying to pass over crucial information of possible whereabout of the subject. Thus, I learnt a great deal and I have since developed and adapted as an officer dealing with domestic abuse. </w:t>
      </w:r>
    </w:p>
    <w:p w14:paraId="72529F42" w14:textId="291D3A23" w:rsidR="00025650" w:rsidRPr="00235FB8" w:rsidRDefault="00025650" w:rsidP="0FF883D4">
      <w:pPr>
        <w:ind w:right="237"/>
        <w:jc w:val="both"/>
        <w:rPr>
          <w:rFonts w:asciiTheme="minorHAnsi" w:hAnsiTheme="minorHAnsi" w:cstheme="minorHAnsi"/>
          <w:color w:val="000000" w:themeColor="text1"/>
          <w:sz w:val="24"/>
          <w:szCs w:val="24"/>
        </w:rPr>
      </w:pPr>
    </w:p>
    <w:p w14:paraId="41381FDB" w14:textId="10AF242D" w:rsidR="00025650" w:rsidRPr="00235FB8" w:rsidRDefault="00025650" w:rsidP="0FF883D4">
      <w:pPr>
        <w:ind w:right="237"/>
        <w:jc w:val="both"/>
        <w:rPr>
          <w:rFonts w:asciiTheme="minorHAnsi" w:hAnsiTheme="minorHAnsi" w:cstheme="minorHAnsi"/>
          <w:color w:val="000000" w:themeColor="text1"/>
          <w:sz w:val="24"/>
          <w:szCs w:val="24"/>
        </w:rPr>
      </w:pPr>
    </w:p>
    <w:p w14:paraId="5B0C1A0F" w14:textId="101118B2" w:rsidR="00025650" w:rsidRPr="00235FB8" w:rsidRDefault="00025650" w:rsidP="0FF883D4">
      <w:pPr>
        <w:ind w:right="237"/>
        <w:jc w:val="both"/>
        <w:rPr>
          <w:rFonts w:asciiTheme="minorHAnsi" w:hAnsiTheme="minorHAnsi" w:cstheme="minorHAnsi"/>
          <w:color w:val="000000" w:themeColor="text1"/>
          <w:sz w:val="24"/>
          <w:szCs w:val="24"/>
        </w:rPr>
      </w:pPr>
    </w:p>
    <w:p w14:paraId="596CEBB4" w14:textId="1632BF41" w:rsidR="00025650" w:rsidRPr="00235FB8" w:rsidRDefault="00025650" w:rsidP="0FF883D4">
      <w:pPr>
        <w:ind w:right="237"/>
        <w:jc w:val="both"/>
        <w:rPr>
          <w:rFonts w:asciiTheme="minorHAnsi" w:hAnsiTheme="minorHAnsi" w:cstheme="minorHAnsi"/>
          <w:color w:val="000000" w:themeColor="text1"/>
          <w:sz w:val="24"/>
          <w:szCs w:val="24"/>
        </w:rPr>
      </w:pPr>
    </w:p>
    <w:p w14:paraId="50F8C47E" w14:textId="5AEE95C3" w:rsidR="00025650" w:rsidRPr="00235FB8" w:rsidRDefault="00025650" w:rsidP="0FF883D4">
      <w:pPr>
        <w:ind w:right="237"/>
        <w:jc w:val="both"/>
        <w:rPr>
          <w:rFonts w:asciiTheme="minorHAnsi" w:hAnsiTheme="minorHAnsi" w:cstheme="minorHAnsi"/>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lastRenderedPageBreak/>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C38D18F" w:rsidR="0FF883D4" w:rsidRDefault="5CE196A1" w:rsidP="5CE196A1">
      <w:r w:rsidRPr="5CE196A1">
        <w:rPr>
          <w:rFonts w:eastAsia="Arial"/>
          <w:b/>
          <w:bCs/>
          <w:color w:val="000000" w:themeColor="text1"/>
          <w:sz w:val="24"/>
          <w:szCs w:val="24"/>
        </w:rPr>
        <w:t xml:space="preserve">Signed: </w:t>
      </w:r>
      <w:r w:rsidR="00235FB8">
        <w:rPr>
          <w:rFonts w:eastAsia="Arial"/>
          <w:b/>
          <w:bCs/>
          <w:color w:val="000000" w:themeColor="text1"/>
          <w:sz w:val="24"/>
          <w:szCs w:val="24"/>
        </w:rPr>
        <w:t xml:space="preserve"> </w:t>
      </w:r>
      <w:proofErr w:type="spellStart"/>
      <w:r w:rsidR="00235FB8">
        <w:rPr>
          <w:rFonts w:eastAsia="Arial"/>
          <w:b/>
          <w:bCs/>
          <w:color w:val="000000" w:themeColor="text1"/>
          <w:sz w:val="24"/>
          <w:szCs w:val="24"/>
        </w:rPr>
        <w:t>A.L</w:t>
      </w:r>
      <w:proofErr w:type="spellEnd"/>
      <w:r w:rsidR="00235FB8">
        <w:rPr>
          <w:rFonts w:eastAsia="Arial"/>
          <w:b/>
          <w:bCs/>
          <w:color w:val="000000" w:themeColor="text1"/>
          <w:sz w:val="24"/>
          <w:szCs w:val="24"/>
        </w:rPr>
        <w:t xml:space="preserve"> Coles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76C18B3A" w:rsidR="0FF883D4" w:rsidRDefault="00235FB8"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31/10/2022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97D380"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41999CC2" w14:textId="3D1F8E5A" w:rsidR="00235FB8" w:rsidRDefault="00235FB8" w:rsidP="00EA28F1">
      <w:pPr>
        <w:keepNext/>
        <w:spacing w:before="240" w:after="60"/>
        <w:ind w:right="237"/>
        <w:jc w:val="both"/>
        <w:rPr>
          <w:sz w:val="24"/>
          <w:szCs w:val="24"/>
        </w:rPr>
      </w:pPr>
    </w:p>
    <w:sdt>
      <w:sdtPr>
        <w:id w:val="-1799442859"/>
        <w:bibliography/>
      </w:sdtPr>
      <w:sdtEndPr>
        <w:rPr>
          <w:rFonts w:ascii="Arial" w:eastAsia="Times New Roman" w:hAnsi="Arial" w:cs="Arial"/>
          <w:color w:val="000000"/>
          <w:sz w:val="20"/>
          <w:szCs w:val="20"/>
          <w:lang w:eastAsia="en-GB"/>
        </w:rPr>
      </w:sdtEndPr>
      <w:sdtContent>
        <w:p w14:paraId="02DA11B7" w14:textId="77777777" w:rsidR="00235FB8" w:rsidRDefault="00235FB8" w:rsidP="00235FB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Amanda, L. R. (2018). A small constellation: risk factors informing police perception of domestic abuse. </w:t>
          </w:r>
          <w:r>
            <w:rPr>
              <w:i/>
              <w:iCs/>
              <w:noProof/>
              <w:lang w:val="en-US"/>
            </w:rPr>
            <w:t>Policing and Society</w:t>
          </w:r>
          <w:r>
            <w:rPr>
              <w:noProof/>
              <w:lang w:val="en-US"/>
            </w:rPr>
            <w:t>, 189-204. doi:10.1080/10439463.2016.1151881</w:t>
          </w:r>
        </w:p>
        <w:p w14:paraId="02E63BE0" w14:textId="77777777" w:rsidR="00235FB8" w:rsidRDefault="00235FB8" w:rsidP="00235FB8">
          <w:pPr>
            <w:pStyle w:val="Bibliography"/>
            <w:ind w:left="720" w:hanging="720"/>
            <w:rPr>
              <w:noProof/>
              <w:lang w:val="en-US"/>
            </w:rPr>
          </w:pPr>
          <w:r>
            <w:rPr>
              <w:noProof/>
              <w:lang w:val="en-US"/>
            </w:rPr>
            <w:t xml:space="preserve">Benier, K. (2017). The harms of hate: Comparing the neighbouring practices and interactions of hate crime victims, non-hate crime victims and non-victims. </w:t>
          </w:r>
          <w:r>
            <w:rPr>
              <w:i/>
              <w:iCs/>
              <w:noProof/>
              <w:lang w:val="en-US"/>
            </w:rPr>
            <w:t>International Review of Victimology, 23</w:t>
          </w:r>
          <w:r>
            <w:rPr>
              <w:noProof/>
              <w:lang w:val="en-US"/>
            </w:rPr>
            <w:t>(2), 179-201. doi:https://doi-org.ezproxy.uwtsd.ac.uk/10.1177/0269758017693087</w:t>
          </w:r>
        </w:p>
        <w:p w14:paraId="5593C22A" w14:textId="77777777" w:rsidR="00235FB8" w:rsidRDefault="00235FB8" w:rsidP="00235FB8">
          <w:pPr>
            <w:pStyle w:val="Bibliography"/>
            <w:ind w:left="720" w:hanging="720"/>
            <w:rPr>
              <w:noProof/>
              <w:lang w:val="en-US"/>
            </w:rPr>
          </w:pPr>
          <w:r>
            <w:rPr>
              <w:noProof/>
              <w:lang w:val="en-US"/>
            </w:rPr>
            <w:t xml:space="preserve">Chakraborti, N. H. (2017). Beyond emoty promises? A reality check for hate crime scholarship and policy. </w:t>
          </w:r>
          <w:r>
            <w:rPr>
              <w:i/>
              <w:iCs/>
              <w:noProof/>
              <w:lang w:val="en-US"/>
            </w:rPr>
            <w:t>Safer Communities, 16</w:t>
          </w:r>
          <w:r>
            <w:rPr>
              <w:noProof/>
              <w:lang w:val="en-US"/>
            </w:rPr>
            <w:t>(4), 148-154.</w:t>
          </w:r>
        </w:p>
        <w:p w14:paraId="208CA22B" w14:textId="77777777" w:rsidR="00235FB8" w:rsidRDefault="00235FB8" w:rsidP="00235FB8">
          <w:pPr>
            <w:pStyle w:val="Bibliography"/>
            <w:ind w:left="720" w:hanging="720"/>
            <w:rPr>
              <w:noProof/>
              <w:lang w:val="en-US"/>
            </w:rPr>
          </w:pPr>
          <w:r>
            <w:rPr>
              <w:noProof/>
              <w:lang w:val="en-US"/>
            </w:rPr>
            <w:t xml:space="preserve">College of Policing . (2022). </w:t>
          </w:r>
          <w:r>
            <w:rPr>
              <w:i/>
              <w:iCs/>
              <w:noProof/>
              <w:lang w:val="en-US"/>
            </w:rPr>
            <w:t xml:space="preserve">Domestic Abuse Definitioons </w:t>
          </w:r>
          <w:r>
            <w:rPr>
              <w:noProof/>
              <w:lang w:val="en-US"/>
            </w:rPr>
            <w:t>. Retrieved from College of Policing : https://www.college.police.uk/app/major-investigation-and-public-protection/domestic-abuse/context-and-dynamics-domestic-abuse#domestic-abuse-definitions</w:t>
          </w:r>
        </w:p>
        <w:p w14:paraId="4E360072" w14:textId="77777777" w:rsidR="00235FB8" w:rsidRDefault="00235FB8" w:rsidP="00235FB8">
          <w:pPr>
            <w:pStyle w:val="Bibliography"/>
            <w:ind w:left="720" w:hanging="720"/>
            <w:rPr>
              <w:noProof/>
              <w:lang w:val="en-US"/>
            </w:rPr>
          </w:pPr>
          <w:r>
            <w:rPr>
              <w:noProof/>
              <w:lang w:val="en-US"/>
            </w:rPr>
            <w:t xml:space="preserve">College of Policing . (2022). </w:t>
          </w:r>
          <w:r>
            <w:rPr>
              <w:i/>
              <w:iCs/>
              <w:noProof/>
              <w:lang w:val="en-US"/>
            </w:rPr>
            <w:t>Passive data generators: CCTV</w:t>
          </w:r>
          <w:r>
            <w:rPr>
              <w:noProof/>
              <w:lang w:val="en-US"/>
            </w:rPr>
            <w:t>. Retrieved from College of Policing : https://www.college.police.uk/app/investigation/investigative-strategies/passive-data-generators#cctv</w:t>
          </w:r>
        </w:p>
        <w:p w14:paraId="08BBF16E" w14:textId="77777777" w:rsidR="00235FB8" w:rsidRDefault="00235FB8" w:rsidP="00235FB8">
          <w:pPr>
            <w:pStyle w:val="Bibliography"/>
            <w:ind w:left="720" w:hanging="720"/>
            <w:rPr>
              <w:noProof/>
              <w:lang w:val="en-US"/>
            </w:rPr>
          </w:pPr>
          <w:r>
            <w:rPr>
              <w:noProof/>
              <w:lang w:val="en-US"/>
            </w:rPr>
            <w:t xml:space="preserve">College of Policing. (2014). </w:t>
          </w:r>
          <w:r>
            <w:rPr>
              <w:i/>
              <w:iCs/>
              <w:noProof/>
              <w:lang w:val="en-US"/>
            </w:rPr>
            <w:t xml:space="preserve">National Decision Model </w:t>
          </w:r>
          <w:r>
            <w:rPr>
              <w:noProof/>
              <w:lang w:val="en-US"/>
            </w:rPr>
            <w:t>. Retrieved from College of Policing : https://www.college.police.uk/app/national-decision-model/national-decision-model</w:t>
          </w:r>
        </w:p>
        <w:p w14:paraId="2D29BE89" w14:textId="77777777" w:rsidR="00235FB8" w:rsidRDefault="00235FB8" w:rsidP="00235FB8">
          <w:pPr>
            <w:pStyle w:val="Bibliography"/>
            <w:ind w:left="720" w:hanging="720"/>
            <w:rPr>
              <w:noProof/>
              <w:lang w:val="en-US"/>
            </w:rPr>
          </w:pPr>
          <w:r>
            <w:rPr>
              <w:noProof/>
              <w:lang w:val="en-US"/>
            </w:rPr>
            <w:t xml:space="preserve">College of Policing. (2022). </w:t>
          </w:r>
          <w:r>
            <w:rPr>
              <w:i/>
              <w:iCs/>
              <w:noProof/>
              <w:lang w:val="en-US"/>
            </w:rPr>
            <w:t>Evidence-based policing</w:t>
          </w:r>
          <w:r>
            <w:rPr>
              <w:noProof/>
              <w:lang w:val="en-US"/>
            </w:rPr>
            <w:t>. Retrieved from College of Policing : https://www.college.police.uk/research/evidence-based-policing-EBP#:~:text=Evidence%2Dbased%20policing%20(EBP),with%20academics%20and%20other%20partners.</w:t>
          </w:r>
        </w:p>
        <w:p w14:paraId="357F62BD" w14:textId="77777777" w:rsidR="00235FB8" w:rsidRDefault="00235FB8" w:rsidP="00235FB8">
          <w:pPr>
            <w:pStyle w:val="Bibliography"/>
            <w:ind w:left="720" w:hanging="720"/>
            <w:rPr>
              <w:noProof/>
              <w:lang w:val="en-US"/>
            </w:rPr>
          </w:pPr>
          <w:r>
            <w:rPr>
              <w:noProof/>
              <w:lang w:val="en-US"/>
            </w:rPr>
            <w:t xml:space="preserve">Crown Prosecution Service . (2016, October ). </w:t>
          </w:r>
          <w:r>
            <w:rPr>
              <w:i/>
              <w:iCs/>
              <w:noProof/>
              <w:lang w:val="en-US"/>
            </w:rPr>
            <w:t>Hate Crime: What it is and how to support victims and witnesses .</w:t>
          </w:r>
          <w:r>
            <w:rPr>
              <w:noProof/>
              <w:lang w:val="en-US"/>
            </w:rPr>
            <w:t xml:space="preserve"> Retrieved from CPS. GOV.UK: https://www.cps.gov.uk/sites/default/files/documents/publications/Hate-Crime-what-it-is-and-how-to-support-victims-and-witnesses.pdf</w:t>
          </w:r>
        </w:p>
        <w:p w14:paraId="72FBC5BF" w14:textId="77777777" w:rsidR="00235FB8" w:rsidRDefault="00235FB8" w:rsidP="00235FB8">
          <w:pPr>
            <w:pStyle w:val="Bibliography"/>
            <w:ind w:left="720" w:hanging="720"/>
            <w:rPr>
              <w:noProof/>
              <w:lang w:val="en-US"/>
            </w:rPr>
          </w:pPr>
          <w:r>
            <w:rPr>
              <w:noProof/>
              <w:lang w:val="en-US"/>
            </w:rPr>
            <w:t xml:space="preserve">Dunham, R. A. (2020). </w:t>
          </w:r>
          <w:r>
            <w:rPr>
              <w:i/>
              <w:iCs/>
              <w:noProof/>
              <w:lang w:val="en-US"/>
            </w:rPr>
            <w:t>Critical Issues in Policing: Conemporary Readings, Eith Edition</w:t>
          </w:r>
          <w:r>
            <w:rPr>
              <w:noProof/>
              <w:lang w:val="en-US"/>
            </w:rPr>
            <w:t xml:space="preserve"> (8 ed.). Waveland Press.</w:t>
          </w:r>
        </w:p>
        <w:p w14:paraId="3FDE2F77" w14:textId="77777777" w:rsidR="00235FB8" w:rsidRDefault="00235FB8" w:rsidP="00235FB8">
          <w:pPr>
            <w:pStyle w:val="Bibliography"/>
            <w:ind w:left="720" w:hanging="720"/>
            <w:rPr>
              <w:noProof/>
              <w:lang w:val="en-US"/>
            </w:rPr>
          </w:pPr>
          <w:r>
            <w:rPr>
              <w:noProof/>
              <w:lang w:val="en-US"/>
            </w:rPr>
            <w:t xml:space="preserve">Gov.Uk. (2021, February 26). </w:t>
          </w:r>
          <w:r>
            <w:rPr>
              <w:i/>
              <w:iCs/>
              <w:noProof/>
              <w:lang w:val="en-US"/>
            </w:rPr>
            <w:t>Domestic abuse</w:t>
          </w:r>
          <w:r>
            <w:rPr>
              <w:noProof/>
              <w:lang w:val="en-US"/>
            </w:rPr>
            <w:t>. Retrieved from GOV.UK: https://www.ethnicity-facts-figures.service.gov.uk/crime-justice-and-the-law/crime-and-reoffending/domestic-abuse/latest</w:t>
          </w:r>
        </w:p>
        <w:p w14:paraId="49CFC478" w14:textId="77777777" w:rsidR="00235FB8" w:rsidRDefault="00235FB8" w:rsidP="00235FB8">
          <w:pPr>
            <w:pStyle w:val="Bibliography"/>
            <w:ind w:left="720" w:hanging="720"/>
            <w:rPr>
              <w:noProof/>
              <w:lang w:val="en-US"/>
            </w:rPr>
          </w:pPr>
          <w:r>
            <w:rPr>
              <w:noProof/>
              <w:lang w:val="en-US"/>
            </w:rPr>
            <w:t xml:space="preserve">Home Office. (2021, November). </w:t>
          </w:r>
          <w:r>
            <w:rPr>
              <w:i/>
              <w:iCs/>
              <w:noProof/>
              <w:lang w:val="en-US"/>
            </w:rPr>
            <w:t>Domestic abuse: hot to get help</w:t>
          </w:r>
          <w:r>
            <w:rPr>
              <w:noProof/>
              <w:lang w:val="en-US"/>
            </w:rPr>
            <w:t>. Retrieved 2022, from GOV.UK: https://www.gov.uk/guidance/domestic-abuse-how-to-get-help</w:t>
          </w:r>
        </w:p>
        <w:p w14:paraId="42B0FA13" w14:textId="77777777" w:rsidR="00235FB8" w:rsidRDefault="00235FB8" w:rsidP="00235FB8">
          <w:pPr>
            <w:pStyle w:val="Bibliography"/>
            <w:ind w:left="720" w:hanging="720"/>
            <w:rPr>
              <w:noProof/>
              <w:lang w:val="en-US"/>
            </w:rPr>
          </w:pPr>
          <w:r>
            <w:rPr>
              <w:noProof/>
              <w:lang w:val="en-US"/>
            </w:rPr>
            <w:t xml:space="preserve">Home Office. (2022, September). </w:t>
          </w:r>
          <w:r>
            <w:rPr>
              <w:i/>
              <w:iCs/>
              <w:noProof/>
              <w:lang w:val="en-US"/>
            </w:rPr>
            <w:t>Domestic Abuse: statutory guidance - Objectives of the Domestic Abuse Act 2021</w:t>
          </w:r>
          <w:r>
            <w:rPr>
              <w:noProof/>
              <w:lang w:val="en-US"/>
            </w:rPr>
            <w:t xml:space="preserve">. Retrieved from GOV.UK: </w:t>
          </w:r>
          <w:r>
            <w:rPr>
              <w:noProof/>
              <w:lang w:val="en-US"/>
            </w:rPr>
            <w:lastRenderedPageBreak/>
            <w:t>https://www.gov.uk/government/publications/domestic-abuse-act-2021/domestic-abuse-statutory-guidance-accessible-version#chapter-1--objectives</w:t>
          </w:r>
        </w:p>
        <w:p w14:paraId="1A767383" w14:textId="77777777" w:rsidR="00235FB8" w:rsidRDefault="00235FB8" w:rsidP="00235FB8">
          <w:pPr>
            <w:pStyle w:val="Bibliography"/>
            <w:ind w:left="720" w:hanging="720"/>
            <w:rPr>
              <w:noProof/>
              <w:lang w:val="en-US"/>
            </w:rPr>
          </w:pPr>
          <w:r>
            <w:rPr>
              <w:noProof/>
              <w:lang w:val="en-US"/>
            </w:rPr>
            <w:t xml:space="preserve">Home Office. (2022, October 6). </w:t>
          </w:r>
          <w:r>
            <w:rPr>
              <w:i/>
              <w:iCs/>
              <w:noProof/>
              <w:lang w:val="en-US"/>
            </w:rPr>
            <w:t>Official Statistics: Hate crime, England and Wales, 2021 to 2022</w:t>
          </w:r>
          <w:r>
            <w:rPr>
              <w:noProof/>
              <w:lang w:val="en-US"/>
            </w:rPr>
            <w:t>. Retrieved from GOV.UK: https://www.gov.uk/government/statistics/hate-crime-england-and-wales-2021-to-2022/hate-crime-england-and-wales-2021-to-2022</w:t>
          </w:r>
        </w:p>
        <w:p w14:paraId="4D3A1C71" w14:textId="77777777" w:rsidR="00235FB8" w:rsidRDefault="00235FB8" w:rsidP="00235FB8">
          <w:pPr>
            <w:pStyle w:val="Bibliography"/>
            <w:ind w:left="720" w:hanging="720"/>
            <w:rPr>
              <w:noProof/>
              <w:lang w:val="en-US"/>
            </w:rPr>
          </w:pPr>
          <w:r>
            <w:rPr>
              <w:noProof/>
              <w:lang w:val="en-US"/>
            </w:rPr>
            <w:t xml:space="preserve">Jolliffe, D. F. (2022). The criminal careers of those imprisoned for ahte crime in the UK. </w:t>
          </w:r>
          <w:r>
            <w:rPr>
              <w:i/>
              <w:iCs/>
              <w:noProof/>
              <w:lang w:val="en-US"/>
            </w:rPr>
            <w:t>European Journal of Criminology, 17</w:t>
          </w:r>
          <w:r>
            <w:rPr>
              <w:noProof/>
              <w:lang w:val="en-US"/>
            </w:rPr>
            <w:t>(6), 936-955. doi:https://doi.org/10.1177/1477370819839598</w:t>
          </w:r>
        </w:p>
        <w:p w14:paraId="4961E933" w14:textId="77777777" w:rsidR="00235FB8" w:rsidRDefault="00235FB8" w:rsidP="00235FB8">
          <w:pPr>
            <w:pStyle w:val="Bibliography"/>
            <w:ind w:left="720" w:hanging="720"/>
            <w:rPr>
              <w:noProof/>
              <w:lang w:val="en-US"/>
            </w:rPr>
          </w:pPr>
          <w:r>
            <w:rPr>
              <w:noProof/>
              <w:lang w:val="en-US"/>
            </w:rPr>
            <w:t xml:space="preserve">Joyce, P. L. (2021). </w:t>
          </w:r>
          <w:r>
            <w:rPr>
              <w:i/>
              <w:iCs/>
              <w:noProof/>
              <w:lang w:val="en-US"/>
            </w:rPr>
            <w:t>Policing: Development and Contemporary Practice.</w:t>
          </w:r>
          <w:r>
            <w:rPr>
              <w:noProof/>
              <w:lang w:val="en-US"/>
            </w:rPr>
            <w:t xml:space="preserve"> London: SAGE.</w:t>
          </w:r>
        </w:p>
        <w:p w14:paraId="4C3C34AD" w14:textId="77777777" w:rsidR="00235FB8" w:rsidRDefault="00235FB8" w:rsidP="00235FB8">
          <w:pPr>
            <w:pStyle w:val="Bibliography"/>
            <w:ind w:left="720" w:hanging="720"/>
            <w:rPr>
              <w:noProof/>
              <w:lang w:val="en-US"/>
            </w:rPr>
          </w:pPr>
          <w:r>
            <w:rPr>
              <w:noProof/>
              <w:lang w:val="en-US"/>
            </w:rPr>
            <w:t xml:space="preserve">Live Fear Free. (2022). </w:t>
          </w:r>
          <w:r>
            <w:rPr>
              <w:i/>
              <w:iCs/>
              <w:noProof/>
              <w:lang w:val="en-US"/>
            </w:rPr>
            <w:t>About the Live Fear Free helpline</w:t>
          </w:r>
          <w:r>
            <w:rPr>
              <w:noProof/>
              <w:lang w:val="en-US"/>
            </w:rPr>
            <w:t>. Retrieved from Welsh Goverment : https://gov.wales/live-fear-free/about-live-fear-free-helpline</w:t>
          </w:r>
        </w:p>
        <w:p w14:paraId="3CBDA0F2" w14:textId="77777777" w:rsidR="00235FB8" w:rsidRDefault="00235FB8" w:rsidP="00235FB8">
          <w:pPr>
            <w:pStyle w:val="Bibliography"/>
            <w:ind w:left="720" w:hanging="720"/>
            <w:rPr>
              <w:noProof/>
              <w:lang w:val="en-US"/>
            </w:rPr>
          </w:pPr>
          <w:r>
            <w:rPr>
              <w:noProof/>
              <w:lang w:val="en-US"/>
            </w:rPr>
            <w:t xml:space="preserve">Metropolitan Police . (2022). </w:t>
          </w:r>
          <w:r>
            <w:rPr>
              <w:i/>
              <w:iCs/>
              <w:noProof/>
              <w:lang w:val="en-US"/>
            </w:rPr>
            <w:t>What is hate crime?</w:t>
          </w:r>
          <w:r>
            <w:rPr>
              <w:noProof/>
              <w:lang w:val="en-US"/>
            </w:rPr>
            <w:t xml:space="preserve"> Retrieved from Metropolitan Police : https://www.met.police.uk/advice/advice-and-information/hco/hate-crime/what-is-hate-crime/</w:t>
          </w:r>
        </w:p>
        <w:p w14:paraId="51D4446C" w14:textId="77777777" w:rsidR="00235FB8" w:rsidRDefault="00235FB8" w:rsidP="00235FB8">
          <w:pPr>
            <w:pStyle w:val="Bibliography"/>
            <w:ind w:left="720" w:hanging="720"/>
            <w:rPr>
              <w:noProof/>
              <w:lang w:val="en-US"/>
            </w:rPr>
          </w:pPr>
          <w:r>
            <w:rPr>
              <w:noProof/>
              <w:lang w:val="en-US"/>
            </w:rPr>
            <w:t xml:space="preserve">Ministry of Justice . (2022, July 5). </w:t>
          </w:r>
          <w:r>
            <w:rPr>
              <w:i/>
              <w:iCs/>
              <w:noProof/>
              <w:lang w:val="en-US"/>
            </w:rPr>
            <w:t>Victim and witness services</w:t>
          </w:r>
          <w:r>
            <w:rPr>
              <w:noProof/>
              <w:lang w:val="en-US"/>
            </w:rPr>
            <w:t>. Retrieved from GOV.UK: https://www.gov.uk/guidance/victim-and-witness-services</w:t>
          </w:r>
        </w:p>
        <w:p w14:paraId="5751BB46" w14:textId="77777777" w:rsidR="00235FB8" w:rsidRDefault="00235FB8" w:rsidP="00235FB8">
          <w:pPr>
            <w:pStyle w:val="Bibliography"/>
            <w:ind w:left="720" w:hanging="720"/>
            <w:rPr>
              <w:noProof/>
              <w:lang w:val="en-US"/>
            </w:rPr>
          </w:pPr>
          <w:r>
            <w:rPr>
              <w:noProof/>
              <w:lang w:val="en-US"/>
            </w:rPr>
            <w:t xml:space="preserve">Office for National Statistics. (2021, November 24). </w:t>
          </w:r>
          <w:r>
            <w:rPr>
              <w:i/>
              <w:iCs/>
              <w:noProof/>
              <w:lang w:val="en-US"/>
            </w:rPr>
            <w:t>Domestic abuse prevalence and trends, England and Wales: year ending March 2021</w:t>
          </w:r>
          <w:r>
            <w:rPr>
              <w:noProof/>
              <w:lang w:val="en-US"/>
            </w:rPr>
            <w:t>. Retrieved from Office for National Statistics: https://www.ons.gov.uk/peoplepopulationandcommunity/crimeandjustice/articles/domesticabuseprevalenceandtrendsenglandandwales/yearendingmarch2021</w:t>
          </w:r>
        </w:p>
        <w:p w14:paraId="758A56AD" w14:textId="77777777" w:rsidR="00235FB8" w:rsidRDefault="00235FB8" w:rsidP="00235FB8">
          <w:pPr>
            <w:pStyle w:val="Bibliography"/>
            <w:ind w:left="720" w:hanging="720"/>
            <w:rPr>
              <w:noProof/>
              <w:lang w:val="en-US"/>
            </w:rPr>
          </w:pPr>
          <w:r>
            <w:rPr>
              <w:noProof/>
              <w:lang w:val="en-US"/>
            </w:rPr>
            <w:t xml:space="preserve">Safe Lives. (2015). </w:t>
          </w:r>
          <w:r>
            <w:rPr>
              <w:i/>
              <w:iCs/>
              <w:noProof/>
              <w:lang w:val="en-US"/>
            </w:rPr>
            <w:t>Frequently asked questions - Multi-Agency Risk Assessment Conferences (MARAC).</w:t>
          </w:r>
          <w:r>
            <w:rPr>
              <w:noProof/>
              <w:lang w:val="en-US"/>
            </w:rPr>
            <w:t xml:space="preserve"> Retrieved from Safe Lives : https://safelives.org.uk/sites/default/files/resources/MARAC%20FAQs%20General%20FINAL.pdf</w:t>
          </w:r>
        </w:p>
        <w:p w14:paraId="572C1A6A" w14:textId="77777777" w:rsidR="00235FB8" w:rsidRDefault="00235FB8" w:rsidP="00235FB8">
          <w:pPr>
            <w:pStyle w:val="Bibliography"/>
            <w:ind w:left="720" w:hanging="720"/>
            <w:rPr>
              <w:noProof/>
              <w:lang w:val="en-US"/>
            </w:rPr>
          </w:pPr>
          <w:r>
            <w:rPr>
              <w:noProof/>
              <w:lang w:val="en-US"/>
            </w:rPr>
            <w:t xml:space="preserve">South Wales Police. (2021, February 21). </w:t>
          </w:r>
          <w:r>
            <w:rPr>
              <w:i/>
              <w:iCs/>
              <w:noProof/>
              <w:lang w:val="en-US"/>
            </w:rPr>
            <w:t>Adults at Risk: Public Protection Notice (PPN)</w:t>
          </w:r>
          <w:r>
            <w:rPr>
              <w:noProof/>
              <w:lang w:val="en-US"/>
            </w:rPr>
            <w:t>, 19. Retrieved 2022, from South Wales Police: https://www.south-wales.police.uk/SysSiteAssets/media/downloads/south-wales/about-us/policies-and-procedures/english/adults-at-risk---english.pdf</w:t>
          </w:r>
        </w:p>
        <w:p w14:paraId="51FE402E" w14:textId="77777777" w:rsidR="00235FB8" w:rsidRDefault="00235FB8" w:rsidP="00235FB8">
          <w:pPr>
            <w:pStyle w:val="Bibliography"/>
            <w:ind w:left="720" w:hanging="720"/>
            <w:rPr>
              <w:noProof/>
              <w:lang w:val="en-US"/>
            </w:rPr>
          </w:pPr>
          <w:r>
            <w:rPr>
              <w:noProof/>
              <w:lang w:val="en-US"/>
            </w:rPr>
            <w:t xml:space="preserve">Tai Pawb . (2014). </w:t>
          </w:r>
          <w:r>
            <w:rPr>
              <w:i/>
              <w:iCs/>
              <w:noProof/>
              <w:lang w:val="en-US"/>
            </w:rPr>
            <w:t>Hate Crime and Housing; Policy and Practice Update for Social Landlords .</w:t>
          </w:r>
          <w:r>
            <w:rPr>
              <w:noProof/>
              <w:lang w:val="en-US"/>
            </w:rPr>
            <w:t xml:space="preserve"> Retrieved from GOV.WALES: https://gov.wales/sites/default/files/publications/2019-05/guidance-on-hate-crime-and-housing.pdf</w:t>
          </w:r>
        </w:p>
        <w:p w14:paraId="21F0FF3A" w14:textId="77777777" w:rsidR="00235FB8" w:rsidRDefault="00235FB8" w:rsidP="00235FB8">
          <w:pPr>
            <w:pStyle w:val="Bibliography"/>
            <w:ind w:left="720" w:hanging="720"/>
            <w:rPr>
              <w:noProof/>
              <w:lang w:val="en-US"/>
            </w:rPr>
          </w:pPr>
          <w:r>
            <w:rPr>
              <w:noProof/>
              <w:lang w:val="en-US"/>
            </w:rPr>
            <w:t xml:space="preserve">The Crown Prosecution Service . (2022). </w:t>
          </w:r>
          <w:r>
            <w:rPr>
              <w:i/>
              <w:iCs/>
              <w:noProof/>
              <w:lang w:val="en-US"/>
            </w:rPr>
            <w:t xml:space="preserve">Hate Crime </w:t>
          </w:r>
          <w:r>
            <w:rPr>
              <w:noProof/>
              <w:lang w:val="en-US"/>
            </w:rPr>
            <w:t>. Retrieved from CPS: https://www.cps.gov.uk/crime-info/hate-crime</w:t>
          </w:r>
        </w:p>
        <w:p w14:paraId="357C17BB" w14:textId="77777777" w:rsidR="00235FB8" w:rsidRDefault="00235FB8" w:rsidP="00235FB8">
          <w:pPr>
            <w:pStyle w:val="Bibliography"/>
            <w:ind w:left="720" w:hanging="720"/>
            <w:rPr>
              <w:noProof/>
              <w:lang w:val="en-US"/>
            </w:rPr>
          </w:pPr>
          <w:r>
            <w:rPr>
              <w:noProof/>
              <w:lang w:val="en-US"/>
            </w:rPr>
            <w:t xml:space="preserve">The Survivors Trust . (2022). </w:t>
          </w:r>
          <w:r>
            <w:rPr>
              <w:i/>
              <w:iCs/>
              <w:noProof/>
              <w:lang w:val="en-US"/>
            </w:rPr>
            <w:t xml:space="preserve">Live Fear Free Helpline </w:t>
          </w:r>
          <w:r>
            <w:rPr>
              <w:noProof/>
              <w:lang w:val="en-US"/>
            </w:rPr>
            <w:t>. Retrieved from The Survivors Trust : https://www.thesurvivorstrust.org/FAQs/live-fear-free-helpline</w:t>
          </w:r>
        </w:p>
        <w:p w14:paraId="74A73B98" w14:textId="77777777" w:rsidR="00235FB8" w:rsidRDefault="00235FB8" w:rsidP="00235FB8">
          <w:pPr>
            <w:pStyle w:val="Bibliography"/>
            <w:ind w:left="720" w:hanging="720"/>
            <w:rPr>
              <w:noProof/>
              <w:lang w:val="en-US"/>
            </w:rPr>
          </w:pPr>
          <w:r>
            <w:rPr>
              <w:noProof/>
              <w:lang w:val="en-US"/>
            </w:rPr>
            <w:t xml:space="preserve">True Vision . (2022). </w:t>
          </w:r>
          <w:r>
            <w:rPr>
              <w:i/>
              <w:iCs/>
              <w:noProof/>
              <w:lang w:val="en-US"/>
            </w:rPr>
            <w:t xml:space="preserve">Internet Hate Crime </w:t>
          </w:r>
          <w:r>
            <w:rPr>
              <w:noProof/>
              <w:lang w:val="en-US"/>
            </w:rPr>
            <w:t>. Retrieved from True Vision : https://www.report-it.org.uk/reporting_internet_hate_crime</w:t>
          </w:r>
        </w:p>
        <w:p w14:paraId="4EA62E2E" w14:textId="77777777" w:rsidR="00235FB8" w:rsidRDefault="00235FB8" w:rsidP="00235FB8">
          <w:pPr>
            <w:pStyle w:val="Bibliography"/>
            <w:ind w:left="720" w:hanging="720"/>
            <w:rPr>
              <w:noProof/>
              <w:lang w:val="en-US"/>
            </w:rPr>
          </w:pPr>
          <w:r>
            <w:rPr>
              <w:noProof/>
              <w:lang w:val="en-US"/>
            </w:rPr>
            <w:t xml:space="preserve">Turner, E. B. (2021). Predicting domestic abuse (fairly) and police risk assessment. </w:t>
          </w:r>
          <w:r>
            <w:rPr>
              <w:i/>
              <w:iCs/>
              <w:noProof/>
              <w:lang w:val="en-US"/>
            </w:rPr>
            <w:t>CrimRxiv</w:t>
          </w:r>
          <w:r>
            <w:rPr>
              <w:noProof/>
              <w:lang w:val="en-US"/>
            </w:rPr>
            <w:t>. doi:https://doi.org/10.21428/cb6ab371.3f0ab9af</w:t>
          </w:r>
        </w:p>
        <w:p w14:paraId="58466D35" w14:textId="77777777" w:rsidR="00235FB8" w:rsidRDefault="00235FB8" w:rsidP="00235FB8">
          <w:pPr>
            <w:pStyle w:val="Bibliography"/>
            <w:ind w:left="720" w:hanging="720"/>
            <w:rPr>
              <w:noProof/>
              <w:lang w:val="en-US"/>
            </w:rPr>
          </w:pPr>
          <w:r>
            <w:rPr>
              <w:noProof/>
              <w:lang w:val="en-US"/>
            </w:rPr>
            <w:lastRenderedPageBreak/>
            <w:t xml:space="preserve">Victim Support . (2022). </w:t>
          </w:r>
          <w:r>
            <w:rPr>
              <w:i/>
              <w:iCs/>
              <w:noProof/>
              <w:lang w:val="en-US"/>
            </w:rPr>
            <w:t>Domestic abuse: What is domestic abuse?</w:t>
          </w:r>
          <w:r>
            <w:rPr>
              <w:noProof/>
              <w:lang w:val="en-US"/>
            </w:rPr>
            <w:t xml:space="preserve"> Retrieved from Victim Support : https://www.victimsupport.org.uk/crime-info/types-crime/domestic-abuse/</w:t>
          </w:r>
        </w:p>
        <w:p w14:paraId="20D86392" w14:textId="77777777" w:rsidR="00235FB8" w:rsidRDefault="00235FB8" w:rsidP="00235FB8">
          <w:pPr>
            <w:pStyle w:val="Bibliography"/>
            <w:ind w:left="720" w:hanging="720"/>
            <w:rPr>
              <w:noProof/>
              <w:lang w:val="en-US"/>
            </w:rPr>
          </w:pPr>
          <w:r>
            <w:rPr>
              <w:noProof/>
              <w:lang w:val="en-US"/>
            </w:rPr>
            <w:t xml:space="preserve">Victim Support. (2022). </w:t>
          </w:r>
          <w:r>
            <w:rPr>
              <w:i/>
              <w:iCs/>
              <w:noProof/>
              <w:lang w:val="en-US"/>
            </w:rPr>
            <w:t>Need help after crime?</w:t>
          </w:r>
          <w:r>
            <w:rPr>
              <w:noProof/>
              <w:lang w:val="en-US"/>
            </w:rPr>
            <w:t xml:space="preserve"> Retrieved from Victim Support : https://www.victimsupport.org.uk/</w:t>
          </w:r>
        </w:p>
        <w:p w14:paraId="28709F4C" w14:textId="77777777" w:rsidR="00235FB8" w:rsidRDefault="00235FB8" w:rsidP="00235FB8">
          <w:pPr>
            <w:pStyle w:val="Bibliography"/>
            <w:ind w:left="720" w:hanging="720"/>
            <w:rPr>
              <w:noProof/>
              <w:lang w:val="en-US"/>
            </w:rPr>
          </w:pPr>
          <w:r>
            <w:rPr>
              <w:noProof/>
              <w:lang w:val="en-US"/>
            </w:rPr>
            <w:t xml:space="preserve">Victim Suppport . (2022). </w:t>
          </w:r>
          <w:r>
            <w:rPr>
              <w:i/>
              <w:iCs/>
              <w:noProof/>
              <w:lang w:val="en-US"/>
            </w:rPr>
            <w:t xml:space="preserve">Hate Crime </w:t>
          </w:r>
          <w:r>
            <w:rPr>
              <w:noProof/>
              <w:lang w:val="en-US"/>
            </w:rPr>
            <w:t>. Retrieved from Victim Support: https://www.victimsupport.org.uk/crime-info/types-crime/hate-crime/</w:t>
          </w:r>
        </w:p>
        <w:p w14:paraId="039BF67D" w14:textId="77777777" w:rsidR="00235FB8" w:rsidRDefault="00235FB8" w:rsidP="00235FB8">
          <w:r>
            <w:rPr>
              <w:b/>
              <w:bCs/>
              <w:noProof/>
            </w:rPr>
            <w:fldChar w:fldCharType="end"/>
          </w:r>
        </w:p>
      </w:sdtContent>
    </w:sdt>
    <w:p w14:paraId="7EA4DE4B" w14:textId="77777777" w:rsidR="00235FB8" w:rsidRDefault="00235FB8" w:rsidP="00EA28F1">
      <w:pPr>
        <w:keepNext/>
        <w:spacing w:before="240" w:after="60"/>
        <w:ind w:right="237"/>
        <w:jc w:val="both"/>
      </w:pPr>
    </w:p>
    <w:sectPr w:rsidR="00235FB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2E725" w14:textId="77777777" w:rsidR="00624AAB" w:rsidRDefault="00624A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861F7" w14:textId="77777777" w:rsidR="00624AAB" w:rsidRDefault="00624A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789F5" w14:textId="77777777" w:rsidR="00624AAB" w:rsidRDefault="00624A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DD0D4" w14:textId="77777777" w:rsidR="00624AAB" w:rsidRDefault="00624A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C05E5" w14:textId="77777777" w:rsidR="00624AAB" w:rsidRDefault="00624AAB">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B4A4DA4"/>
    <w:lvl w:ilvl="0" w:tplc="07FCB798">
      <w:start w:val="1"/>
      <w:numFmt w:val="decimal"/>
      <w:lvlText w:val="%1."/>
      <w:lvlJc w:val="left"/>
      <w:pPr>
        <w:ind w:left="720" w:hanging="360"/>
      </w:pPr>
    </w:lvl>
    <w:lvl w:ilvl="1" w:tplc="D17C0622">
      <w:start w:val="1"/>
      <w:numFmt w:val="lowerLetter"/>
      <w:lvlText w:val="%2."/>
      <w:lvlJc w:val="left"/>
      <w:pPr>
        <w:ind w:left="1440" w:hanging="360"/>
      </w:pPr>
    </w:lvl>
    <w:lvl w:ilvl="2" w:tplc="BBA8D312">
      <w:start w:val="1"/>
      <w:numFmt w:val="lowerRoman"/>
      <w:lvlText w:val="%3."/>
      <w:lvlJc w:val="right"/>
      <w:pPr>
        <w:ind w:left="2160" w:hanging="180"/>
      </w:pPr>
    </w:lvl>
    <w:lvl w:ilvl="3" w:tplc="D576B3B2">
      <w:start w:val="1"/>
      <w:numFmt w:val="decimal"/>
      <w:lvlText w:val="%4."/>
      <w:lvlJc w:val="left"/>
      <w:pPr>
        <w:ind w:left="2880" w:hanging="360"/>
      </w:pPr>
    </w:lvl>
    <w:lvl w:ilvl="4" w:tplc="2716DD5A">
      <w:start w:val="1"/>
      <w:numFmt w:val="lowerLetter"/>
      <w:lvlText w:val="%5."/>
      <w:lvlJc w:val="left"/>
      <w:pPr>
        <w:ind w:left="3600" w:hanging="360"/>
      </w:pPr>
    </w:lvl>
    <w:lvl w:ilvl="5" w:tplc="8708AE20">
      <w:start w:val="1"/>
      <w:numFmt w:val="lowerRoman"/>
      <w:lvlText w:val="%6."/>
      <w:lvlJc w:val="right"/>
      <w:pPr>
        <w:ind w:left="4320" w:hanging="180"/>
      </w:pPr>
    </w:lvl>
    <w:lvl w:ilvl="6" w:tplc="83D27CC4">
      <w:start w:val="1"/>
      <w:numFmt w:val="decimal"/>
      <w:lvlText w:val="%7."/>
      <w:lvlJc w:val="left"/>
      <w:pPr>
        <w:ind w:left="5040" w:hanging="360"/>
      </w:pPr>
    </w:lvl>
    <w:lvl w:ilvl="7" w:tplc="04DCDCF8">
      <w:start w:val="1"/>
      <w:numFmt w:val="lowerLetter"/>
      <w:lvlText w:val="%8."/>
      <w:lvlJc w:val="left"/>
      <w:pPr>
        <w:ind w:left="5760" w:hanging="360"/>
      </w:pPr>
    </w:lvl>
    <w:lvl w:ilvl="8" w:tplc="D68C3162">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ECC8DC2"/>
    <w:lvl w:ilvl="0" w:tplc="BFFA6492">
      <w:start w:val="1"/>
      <w:numFmt w:val="decimal"/>
      <w:lvlText w:val="%1."/>
      <w:lvlJc w:val="left"/>
      <w:pPr>
        <w:ind w:left="720" w:hanging="360"/>
      </w:pPr>
    </w:lvl>
    <w:lvl w:ilvl="1" w:tplc="B2CA82D4">
      <w:start w:val="1"/>
      <w:numFmt w:val="decimal"/>
      <w:lvlText w:val="%2."/>
      <w:lvlJc w:val="left"/>
      <w:pPr>
        <w:ind w:left="1440" w:hanging="360"/>
      </w:pPr>
    </w:lvl>
    <w:lvl w:ilvl="2" w:tplc="7AEC30AC">
      <w:start w:val="1"/>
      <w:numFmt w:val="lowerRoman"/>
      <w:lvlText w:val="%3."/>
      <w:lvlJc w:val="right"/>
      <w:pPr>
        <w:ind w:left="2160" w:hanging="180"/>
      </w:pPr>
    </w:lvl>
    <w:lvl w:ilvl="3" w:tplc="8C204E6E">
      <w:start w:val="1"/>
      <w:numFmt w:val="decimal"/>
      <w:lvlText w:val="%4."/>
      <w:lvlJc w:val="left"/>
      <w:pPr>
        <w:ind w:left="2880" w:hanging="360"/>
      </w:pPr>
    </w:lvl>
    <w:lvl w:ilvl="4" w:tplc="66C29B8E">
      <w:start w:val="1"/>
      <w:numFmt w:val="lowerLetter"/>
      <w:lvlText w:val="%5."/>
      <w:lvlJc w:val="left"/>
      <w:pPr>
        <w:ind w:left="3600" w:hanging="360"/>
      </w:pPr>
    </w:lvl>
    <w:lvl w:ilvl="5" w:tplc="1B1670AA">
      <w:start w:val="1"/>
      <w:numFmt w:val="lowerRoman"/>
      <w:lvlText w:val="%6."/>
      <w:lvlJc w:val="right"/>
      <w:pPr>
        <w:ind w:left="4320" w:hanging="180"/>
      </w:pPr>
    </w:lvl>
    <w:lvl w:ilvl="6" w:tplc="AF9C8594">
      <w:start w:val="1"/>
      <w:numFmt w:val="decimal"/>
      <w:lvlText w:val="%7."/>
      <w:lvlJc w:val="left"/>
      <w:pPr>
        <w:ind w:left="5040" w:hanging="360"/>
      </w:pPr>
    </w:lvl>
    <w:lvl w:ilvl="7" w:tplc="F51AAC24">
      <w:start w:val="1"/>
      <w:numFmt w:val="lowerLetter"/>
      <w:lvlText w:val="%8."/>
      <w:lvlJc w:val="left"/>
      <w:pPr>
        <w:ind w:left="5760" w:hanging="360"/>
      </w:pPr>
    </w:lvl>
    <w:lvl w:ilvl="8" w:tplc="7700D3FA">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2D90"/>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5FB8"/>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24AAB"/>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72B6"/>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3045"/>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6FDD"/>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Body">
    <w:name w:val="Body"/>
    <w:rsid w:val="00235FB8"/>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Helvetica Neue" w:hAnsi="Helvetica Neue" w:cs="Arial Unicode MS"/>
      <w:color w:val="000000"/>
      <w:sz w:val="22"/>
      <w:szCs w:val="22"/>
      <w:lang w:val="en-US" w:eastAsia="en-GB"/>
    </w:rPr>
  </w:style>
  <w:style w:type="paragraph" w:styleId="Bibliography">
    <w:name w:val="Bibliography"/>
    <w:basedOn w:val="Normal"/>
    <w:next w:val="Normal"/>
    <w:uiPriority w:val="37"/>
    <w:unhideWhenUsed/>
    <w:rsid w:val="00235FB8"/>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b:Source>
    <b:Tag>The221</b:Tag>
    <b:SourceType>InternetSite</b:SourceType>
    <b:Guid>{65B23E17-40CE-44C6-BF37-8121EF3BE78D}</b:Guid>
    <b:Title>Hate Crime </b:Title>
    <b:Year>2022</b:Year>
    <b:Author>
      <b:Author>
        <b:Corporate>The Crown Prosecution Service </b:Corporate>
      </b:Author>
    </b:Author>
    <b:InternetSiteTitle>CPS</b:InternetSiteTitle>
    <b:URL>https://www.cps.gov.uk/crime-info/hate-crime</b:URL>
    <b:RefOrder>1</b:RefOrder>
  </b:Source>
  <b:Source>
    <b:Tag>Jol02</b:Tag>
    <b:SourceType>JournalArticle</b:SourceType>
    <b:Guid>{D3396494-749F-4874-B37B-5D4C8F32A938}</b:Guid>
    <b:Title>The criminal careers of those imprisoned for ahte crime in the UK</b:Title>
    <b:Year>2022</b:Year>
    <b:Author>
      <b:Author>
        <b:NameList>
          <b:Person>
            <b:Last>Jolliffe</b:Last>
            <b:First>D.,</b:First>
            <b:Middle>Farrington, D.P.</b:Middle>
          </b:Person>
        </b:NameList>
      </b:Author>
    </b:Author>
    <b:JournalName>European Journal of Criminology</b:JournalName>
    <b:Pages>936-955</b:Pages>
    <b:Volume>17</b:Volume>
    <b:Issue>6</b:Issue>
    <b:DOI>https://doi.org/10.1177/1477370819839598</b:DOI>
    <b:RefOrder>2</b:RefOrder>
  </b:Source>
  <b:Source>
    <b:Tag>Met22</b:Tag>
    <b:SourceType>InternetSite</b:SourceType>
    <b:Guid>{685514E5-7749-4DA6-86C6-005D31A22D5E}</b:Guid>
    <b:Author>
      <b:Author>
        <b:Corporate>Metropolitan Police </b:Corporate>
      </b:Author>
    </b:Author>
    <b:Title>What is hate crime?</b:Title>
    <b:InternetSiteTitle>Metropolitan Police </b:InternetSiteTitle>
    <b:Year>2022</b:Year>
    <b:URL>https://www.met.police.uk/advice/advice-and-information/hco/hate-crime/what-is-hate-crime/</b:URL>
    <b:RefOrder>3</b:RefOrder>
  </b:Source>
  <b:Source>
    <b:Tag>Hom221</b:Tag>
    <b:SourceType>InternetSite</b:SourceType>
    <b:Guid>{55099D44-55B1-4365-A984-A1417421ECC0}</b:Guid>
    <b:Title>Official Statistics: Hate crime, England and Wales, 2021 to 2022</b:Title>
    <b:Year>2022</b:Year>
    <b:Author>
      <b:Author>
        <b:Corporate>Home Office</b:Corporate>
      </b:Author>
    </b:Author>
    <b:InternetSiteTitle>GOV.UK</b:InternetSiteTitle>
    <b:Month>October </b:Month>
    <b:Day>6</b:Day>
    <b:URL>https://www.gov.uk/government/statistics/hate-crime-england-and-wales-2021-to-2022/hate-crime-england-and-wales-2021-to-2022</b:URL>
    <b:RefOrder>4</b:RefOrder>
  </b:Source>
  <b:Source>
    <b:Tag>Tru22</b:Tag>
    <b:SourceType>InternetSite</b:SourceType>
    <b:Guid>{89FB359B-04E6-4C3E-9346-A201ADC8FF43}</b:Guid>
    <b:Title>Internet Hate Crime </b:Title>
    <b:InternetSiteTitle>True Vision </b:InternetSiteTitle>
    <b:Year>2022</b:Year>
    <b:URL>https://www.report-it.org.uk/reporting_internet_hate_crime</b:URL>
    <b:Author>
      <b:Author>
        <b:Corporate>True Vision </b:Corporate>
      </b:Author>
    </b:Author>
    <b:RefOrder>5</b:RefOrder>
  </b:Source>
  <b:Source>
    <b:Tag>Col222</b:Tag>
    <b:SourceType>InternetSite</b:SourceType>
    <b:Guid>{64D67FE5-B071-41BF-9AF7-C6068C514DCC}</b:Guid>
    <b:Title>Evidence-based policing</b:Title>
    <b:Year>2022</b:Year>
    <b:Author>
      <b:Author>
        <b:Corporate>College of Policing</b:Corporate>
      </b:Author>
    </b:Author>
    <b:InternetSiteTitle>College of Policing </b:InternetSiteTitle>
    <b:URL>https://www.college.police.uk/research/evidence-based-policing-EBP#:~:text=Evidence%2Dbased%20policing%20(EBP),with%20academics%20and%20other%20partners.</b:URL>
    <b:RefOrder>6</b:RefOrder>
  </b:Source>
  <b:Source>
    <b:Tag>Dun20</b:Tag>
    <b:SourceType>Book</b:SourceType>
    <b:Guid>{0D886DA9-24A6-4F47-A9A0-419920F60782}</b:Guid>
    <b:Title>Critical Issues in Policing: Conemporary Readings, Eith Edition</b:Title>
    <b:Year>2020</b:Year>
    <b:Author>
      <b:Author>
        <b:NameList>
          <b:Person>
            <b:Last>Dunham</b:Last>
            <b:First>R.,</b:First>
            <b:Middle>Alpert, G., McLean, K.</b:Middle>
          </b:Person>
        </b:NameList>
      </b:Author>
    </b:Author>
    <b:Publisher>Waveland Press</b:Publisher>
    <b:Edition>8</b:Edition>
    <b:RefOrder>7</b:RefOrder>
  </b:Source>
  <b:Source>
    <b:Tag>Ben17</b:Tag>
    <b:SourceType>JournalArticle</b:SourceType>
    <b:Guid>{4D9C3AD1-1336-4895-87FE-36725FF33087}</b:Guid>
    <b:Title>The harms of hate: Comparing the neighbouring practices and interactions of hate crime victims, non-hate crime victims and non-victims</b:Title>
    <b:Year>2017</b:Year>
    <b:Author>
      <b:Author>
        <b:NameList>
          <b:Person>
            <b:Last>Benier</b:Last>
            <b:First>K.</b:First>
          </b:Person>
        </b:NameList>
      </b:Author>
    </b:Author>
    <b:JournalName>International Review of Victimology</b:JournalName>
    <b:Pages>179-201</b:Pages>
    <b:Volume>23</b:Volume>
    <b:Issue>2</b:Issue>
    <b:DOI>https://doi-org.ezproxy.uwtsd.ac.uk/10.1177/0269758017693087</b:DOI>
    <b:RefOrder>8</b:RefOrder>
  </b:Source>
  <b:Source>
    <b:Tag>Vic222</b:Tag>
    <b:SourceType>InternetSite</b:SourceType>
    <b:Guid>{D826302E-1312-4D50-A1CF-74FC111A0842}</b:Guid>
    <b:Author>
      <b:Author>
        <b:Corporate>Victim Suppport </b:Corporate>
      </b:Author>
    </b:Author>
    <b:Title>Hate Crime </b:Title>
    <b:InternetSiteTitle>Victim Support</b:InternetSiteTitle>
    <b:Year>2022</b:Year>
    <b:URL>https://www.victimsupport.org.uk/crime-info/types-crime/hate-crime/</b:URL>
    <b:RefOrder>9</b:RefOrder>
  </b:Source>
  <b:Source>
    <b:Tag>Cro16</b:Tag>
    <b:SourceType>DocumentFromInternetSite</b:SourceType>
    <b:Guid>{1687BF05-DC2A-4D30-A1D1-EBCF764E980A}</b:Guid>
    <b:Title>Hate Crime: What it is and how to support victims and witnesses </b:Title>
    <b:InternetSiteTitle>CPS. GOV.UK</b:InternetSiteTitle>
    <b:Year>2016</b:Year>
    <b:Month>October </b:Month>
    <b:URL>https://www.cps.gov.uk/sites/default/files/documents/publications/Hate-Crime-what-it-is-and-how-to-support-victims-and-witnesses.pdf</b:URL>
    <b:Author>
      <b:Author>
        <b:Corporate>Crown Prosecution Service </b:Corporate>
      </b:Author>
    </b:Author>
    <b:RefOrder>10</b:RefOrder>
  </b:Source>
  <b:Source>
    <b:Tag>Cha17</b:Tag>
    <b:SourceType>JournalArticle</b:SourceType>
    <b:Guid>{B2F77192-E037-4CFF-9B6C-0165651D68BB}</b:Guid>
    <b:Author>
      <b:Author>
        <b:NameList>
          <b:Person>
            <b:Last>Chakraborti</b:Last>
            <b:First>N.,</b:First>
            <b:Middle>Hardy, S.</b:Middle>
          </b:Person>
        </b:NameList>
      </b:Author>
    </b:Author>
    <b:Title>Beyond emoty promises? A reality check for hate crime scholarship and policy</b:Title>
    <b:Year>2017</b:Year>
    <b:JournalName>Safer Communities</b:JournalName>
    <b:Pages>148-154</b:Pages>
    <b:Volume>16</b:Volume>
    <b:Issue>4</b:Issue>
    <b:RefOrder>11</b:RefOrder>
  </b:Source>
  <b:Source>
    <b:Tag>Min22</b:Tag>
    <b:SourceType>InternetSite</b:SourceType>
    <b:Guid>{BEC56244-A1E1-4F58-AC40-03261B7D78DD}</b:Guid>
    <b:Author>
      <b:Author>
        <b:Corporate>Ministry of Justice </b:Corporate>
      </b:Author>
    </b:Author>
    <b:Title>Victim and witness services</b:Title>
    <b:InternetSiteTitle>GOV.UK</b:InternetSiteTitle>
    <b:Year>2022</b:Year>
    <b:Month>July </b:Month>
    <b:Day>5</b:Day>
    <b:URL>https://www.gov.uk/guidance/victim-and-witness-services</b:URL>
    <b:RefOrder>12</b:RefOrder>
  </b:Source>
  <b:Source>
    <b:Tag>Tai14</b:Tag>
    <b:SourceType>DocumentFromInternetSite</b:SourceType>
    <b:Guid>{47A74098-5BAF-4711-8812-40903DD3FB94}</b:Guid>
    <b:Title>Hate Crime and Housing; Policy and Practice Update for Social Landlords </b:Title>
    <b:InternetSiteTitle>GOV.WALES</b:InternetSiteTitle>
    <b:Year>2014</b:Year>
    <b:URL>https://gov.wales/sites/default/files/publications/2019-05/guidance-on-hate-crime-and-housing.pdf</b:URL>
    <b:Author>
      <b:Author>
        <b:Corporate>Tai Pawb </b:Corporate>
      </b:Author>
    </b:Author>
    <b:RefOrder>13</b:RefOrder>
  </b:Source>
  <b:Source>
    <b:Tag>Col22</b:Tag>
    <b:SourceType>InternetSite</b:SourceType>
    <b:Guid>{EFBAE7BA-4712-4626-B0AD-AA3F305F9F66}</b:Guid>
    <b:Title>Domestic Abuse Definitioons </b:Title>
    <b:Year>2022</b:Year>
    <b:Author>
      <b:Author>
        <b:Corporate>College of Policing </b:Corporate>
      </b:Author>
    </b:Author>
    <b:InternetSiteTitle>College of Policing </b:InternetSiteTitle>
    <b:URL>https://www.college.police.uk/app/major-investigation-and-public-protection/domestic-abuse/context-and-dynamics-domestic-abuse#domestic-abuse-definitions</b:URL>
    <b:RefOrder>1</b:RefOrder>
  </b:Source>
  <b:Source>
    <b:Tag>Off21</b:Tag>
    <b:SourceType>InternetSite</b:SourceType>
    <b:Guid>{915FDDE9-9DD7-4AA6-95CA-9BA2E87D2E79}</b:Guid>
    <b:Title>Domestic abuse prevalence and trends, England and Wales: year ending March 2021</b:Title>
    <b:Year>2021</b:Year>
    <b:Author>
      <b:Author>
        <b:Corporate>Office for National Statistics</b:Corporate>
      </b:Author>
    </b:Author>
    <b:InternetSiteTitle>Office for National Statistics</b:InternetSiteTitle>
    <b:Month>November</b:Month>
    <b:Day>24</b:Day>
    <b:URL>https://www.ons.gov.uk/peoplepopulationandcommunity/crimeandjustice/articles/domesticabuseprevalenceandtrendsenglandandwales/yearendingmarch2021</b:URL>
    <b:RefOrder>2</b:RefOrder>
  </b:Source>
  <b:Source>
    <b:Tag>Gov21</b:Tag>
    <b:SourceType>InternetSite</b:SourceType>
    <b:Guid>{4AD74297-8794-4523-A74D-542E4EB05B98}</b:Guid>
    <b:Author>
      <b:Author>
        <b:Corporate>Gov.Uk</b:Corporate>
      </b:Author>
    </b:Author>
    <b:Title>Domestic abuse</b:Title>
    <b:InternetSiteTitle>GOV.UK</b:InternetSiteTitle>
    <b:Year>2021</b:Year>
    <b:Month>February </b:Month>
    <b:Day>26</b:Day>
    <b:URL>https://www.ethnicity-facts-figures.service.gov.uk/crime-justice-and-the-law/crime-and-reoffending/domestic-abuse/latest</b:URL>
    <b:RefOrder>3</b:RefOrder>
  </b:Source>
  <b:Source>
    <b:Tag>Col14</b:Tag>
    <b:SourceType>InternetSite</b:SourceType>
    <b:Guid>{E2643C59-FC4F-428F-B46A-32CAFDF2593A}</b:Guid>
    <b:Title>National Decision Model </b:Title>
    <b:Year>2014</b:Year>
    <b:Author>
      <b:Author>
        <b:Corporate>College of Policing</b:Corporate>
      </b:Author>
    </b:Author>
    <b:InternetSiteTitle>College of Policing </b:InternetSiteTitle>
    <b:URL>https://www.college.police.uk/app/national-decision-model/national-decision-model</b:URL>
    <b:RefOrder>4</b:RefOrder>
  </b:Source>
  <b:Source>
    <b:Tag>Joy21</b:Tag>
    <b:SourceType>Book</b:SourceType>
    <b:Guid>{497AC78D-EC5A-4BE1-B278-D050AF417259}</b:Guid>
    <b:Title>Policing: Development and Contemporary Practice</b:Title>
    <b:Year>2021</b:Year>
    <b:Author>
      <b:Author>
        <b:NameList>
          <b:Person>
            <b:Last>Joyce</b:Last>
            <b:First>P.,</b:First>
            <b:Middle>Laverick, W.</b:Middle>
          </b:Person>
        </b:NameList>
      </b:Author>
    </b:Author>
    <b:City>London</b:City>
    <b:Publisher>SAGE</b:Publisher>
    <b:RefOrder>5</b:RefOrder>
  </b:Source>
  <b:Source>
    <b:Tag>Liv22</b:Tag>
    <b:SourceType>InternetSite</b:SourceType>
    <b:Guid>{804C75A8-3019-4EC1-AFE5-4995F36FE380}</b:Guid>
    <b:Author>
      <b:Author>
        <b:Corporate>Live Fear Free</b:Corporate>
      </b:Author>
    </b:Author>
    <b:Title>About the Live Fear Free helpline</b:Title>
    <b:InternetSiteTitle>Welsh Goverment </b:InternetSiteTitle>
    <b:Year>2022</b:Year>
    <b:URL>https://gov.wales/live-fear-free/about-live-fear-free-helpline</b:URL>
    <b:RefOrder>6</b:RefOrder>
  </b:Source>
  <b:Source>
    <b:Tag>The22</b:Tag>
    <b:SourceType>InternetSite</b:SourceType>
    <b:Guid>{581F5784-DDAC-4839-B665-A904BF3EE46E}</b:Guid>
    <b:Author>
      <b:Author>
        <b:Corporate>The Survivors Trust </b:Corporate>
      </b:Author>
    </b:Author>
    <b:Title>Live Fear Free Helpline </b:Title>
    <b:InternetSiteTitle>The Survivors Trust </b:InternetSiteTitle>
    <b:Year>2022</b:Year>
    <b:URL>https://www.thesurvivorstrust.org/FAQs/live-fear-free-helpline</b:URL>
    <b:RefOrder>7</b:RefOrder>
  </b:Source>
  <b:Source>
    <b:Tag>Sou21</b:Tag>
    <b:SourceType>InternetSite</b:SourceType>
    <b:Guid>{6B40E14D-A0D0-48BA-8ED0-609354738AF4}</b:Guid>
    <b:Author>
      <b:Author>
        <b:Corporate>South Wales Police</b:Corporate>
      </b:Author>
    </b:Author>
    <b:Title>Adults at Risk: Public Protection Notice (PPN)</b:Title>
    <b:InternetSiteTitle>South Wales Police</b:InternetSiteTitle>
    <b:Year>2021</b:Year>
    <b:Month>February </b:Month>
    <b:Day>21</b:Day>
    <b:URL>https://www.south-wales.police.uk/SysSiteAssets/media/downloads/south-wales/about-us/policies-and-procedures/english/adults-at-risk---english.pdf</b:URL>
    <b:YearAccessed>2022</b:YearAccessed>
    <b:Version>19</b:Version>
    <b:RefOrder>8</b:RefOrder>
  </b:Source>
  <b:Source>
    <b:Tag>Ama18</b:Tag>
    <b:SourceType>JournalArticle</b:SourceType>
    <b:Guid>{BF36E3E1-BCA6-4601-86CC-ED0051C233DB}</b:Guid>
    <b:Title>A small constellation: risk factors informing police perception of domestic abuse</b:Title>
    <b:Year>2018</b:Year>
    <b:Author>
      <b:Author>
        <b:NameList>
          <b:Person>
            <b:Last>Amanda</b:Last>
            <b:First>L.</b:First>
            <b:Middle>Robinson, Gillian M. Pinchevsky &amp; Jennifer A. Guthrie</b:Middle>
          </b:Person>
        </b:NameList>
      </b:Author>
    </b:Author>
    <b:JournalName>Policing and Society</b:JournalName>
    <b:Pages>189-204</b:Pages>
    <b:DOI>10.1080/10439463.2016.1151881</b:DOI>
    <b:RefOrder>9</b:RefOrder>
  </b:Source>
  <b:Source>
    <b:Tag>Tur21</b:Tag>
    <b:SourceType>JournalArticle</b:SourceType>
    <b:Guid>{A9FB4206-FFC6-44C7-9A60-B825E4EB59D7}</b:Guid>
    <b:Title>Predicting domestic abuse (fairly) and police risk assessment</b:Title>
    <b:Year>2021</b:Year>
    <b:Author>
      <b:Author>
        <b:NameList>
          <b:Person>
            <b:Last>Turner</b:Last>
            <b:First>E.,</b:First>
            <b:Middle>Brown, G and Medina, J.</b:Middle>
          </b:Person>
        </b:NameList>
      </b:Author>
    </b:Author>
    <b:JournalName>CrimRxiv</b:JournalName>
    <b:DOI>https://doi.org/10.21428/cb6ab371.3f0ab9af</b:DOI>
    <b:RefOrder>10</b:RefOrder>
  </b:Source>
  <b:Source>
    <b:Tag>Vic221</b:Tag>
    <b:SourceType>InternetSite</b:SourceType>
    <b:Guid>{587A1D7F-4429-4DF8-A55E-07016AB29D0E}</b:Guid>
    <b:Author>
      <b:Author>
        <b:Corporate>Victim Support</b:Corporate>
      </b:Author>
    </b:Author>
    <b:Title>Need help after crime?</b:Title>
    <b:InternetSiteTitle>Victim Support </b:InternetSiteTitle>
    <b:Year>2022</b:Year>
    <b:URL>https://www.victimsupport.org.uk/</b:URL>
    <b:RefOrder>11</b:RefOrder>
  </b:Source>
  <b:Source>
    <b:Tag>Vic22</b:Tag>
    <b:SourceType>InternetSite</b:SourceType>
    <b:Guid>{0901379E-7FC7-4A9B-86EF-E3EA34EA7853}</b:Guid>
    <b:Author>
      <b:Author>
        <b:Corporate>Victim Support </b:Corporate>
      </b:Author>
    </b:Author>
    <b:Title>Domestic abuse: What is domestic abuse?</b:Title>
    <b:InternetSiteTitle>Victim Support </b:InternetSiteTitle>
    <b:Year>2022</b:Year>
    <b:URL>https://www.victimsupport.org.uk/crime-info/types-crime/domestic-abuse/</b:URL>
    <b:RefOrder>12</b:RefOrder>
  </b:Source>
  <b:Source>
    <b:Tag>Saf15</b:Tag>
    <b:SourceType>DocumentFromInternetSite</b:SourceType>
    <b:Guid>{9A694D9F-FB94-4BA7-BF84-B2B2391864E2}</b:Guid>
    <b:Title>Frequently asked questions - Multi-Agency Risk Assessment Conferences (MARAC)</b:Title>
    <b:Year>2015</b:Year>
    <b:Author>
      <b:Author>
        <b:Corporate>Safe Lives</b:Corporate>
      </b:Author>
    </b:Author>
    <b:InternetSiteTitle>Safe Lives </b:InternetSiteTitle>
    <b:URL>https://safelives.org.uk/sites/default/files/resources/MARAC%20FAQs%20General%20FINAL.pdf</b:URL>
    <b:RefOrder>13</b:RefOrder>
  </b:Source>
  <b:Source>
    <b:Tag>Hom211</b:Tag>
    <b:SourceType>InternetSite</b:SourceType>
    <b:Guid>{7D873690-1CD7-45FA-B52B-F60334BEC97B}</b:Guid>
    <b:Author>
      <b:Author>
        <b:Corporate>Home Office</b:Corporate>
      </b:Author>
    </b:Author>
    <b:Title>Domestic abuse: hot to get help</b:Title>
    <b:InternetSiteTitle>GOV.UK</b:InternetSiteTitle>
    <b:Year>2021</b:Year>
    <b:Month>November</b:Month>
    <b:URL>https://www.gov.uk/guidance/domestic-abuse-how-to-get-help</b:URL>
    <b:YearAccessed>2022</b:YearAccessed>
    <b:RefOrder>14</b:RefOrder>
  </b:Source>
  <b:Source>
    <b:Tag>Col221</b:Tag>
    <b:SourceType>InternetSite</b:SourceType>
    <b:Guid>{8EDFF807-48FC-409F-B501-673A370F8CE3}</b:Guid>
    <b:Author>
      <b:Author>
        <b:Corporate>College of Policing </b:Corporate>
      </b:Author>
    </b:Author>
    <b:Title>Passive data generators: CCTV</b:Title>
    <b:InternetSiteTitle>College of Policing </b:InternetSiteTitle>
    <b:Year>2022</b:Year>
    <b:URL>https://www.college.police.uk/app/investigation/investigative-strategies/passive-data-generators#cctv</b:URL>
    <b:RefOrder>15</b:RefOrder>
  </b:Source>
  <b:Source>
    <b:Tag>Hom22</b:Tag>
    <b:SourceType>InternetSite</b:SourceType>
    <b:Guid>{29DFFA16-0016-4DC3-99CE-BD108454CDEB}</b:Guid>
    <b:Author>
      <b:Author>
        <b:Corporate>Home Office</b:Corporate>
      </b:Author>
    </b:Author>
    <b:Title>Domestic Abuse: statutory guidance  - Objectives of the Domestic Abuse Act 2021</b:Title>
    <b:InternetSiteTitle>GOV.UK</b:InternetSiteTitle>
    <b:Year>2022</b:Year>
    <b:Month>September</b:Month>
    <b:URL>https://www.gov.uk/government/publications/domestic-abuse-act-2021/domestic-abuse-statutory-guidance-accessible-version#chapter-1--objectives</b:URL>
    <b:RefOrder>16</b:RefOrder>
  </b:Source>
</b:Sourc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D69892-C016-4649-B29D-7411B4ADD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21</Pages>
  <Words>5909</Words>
  <Characters>35472</Characters>
  <Application>Microsoft Office Word</Application>
  <DocSecurity>0</DocSecurity>
  <Lines>622</Lines>
  <Paragraphs>157</Paragraphs>
  <ScaleCrop>false</ScaleCrop>
  <Company>Powys County Council</Company>
  <LinksUpToDate>false</LinksUpToDate>
  <CharactersWithSpaces>41224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Coles,Abbie swp6959</cp:lastModifiedBy>
  <cp:revision>6</cp:revision>
  <cp:lastPrinted>2014-08-26T08:55:00Z</cp:lastPrinted>
  <dcterms:created xsi:type="dcterms:W3CDTF">2022-10-31T16:41:00Z</dcterms:created>
  <dcterms:modified xsi:type="dcterms:W3CDTF">2022-10-31T16:52:00Z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2022-07-20T05:43:11Z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423a6ada-a243-465c-9aa8-b1a8b68b43ea</vt:lpwstr>
  </property>
  <property fmtid="{D5CDD505-2E9C-101B-9397-08002B2CF9AE}" pid="9" name="MSIP_Label_66cf8fe5-b7b7-4df7-b38d-1c61ac2f6639_ContentBits">
    <vt:lpwstr>0</vt:lpwstr>
  </property>
</Properties>
</file>