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pBdr>
          <w:left w:val="nil"/>
          <w:right w:val="nil"/>
          <w:top w:val="nil"/>
          <w:bottom w:val="nil"/>
          <w:between w:val="nil"/>
        </w:pBdr>
        <w:spacing w:after="0" w:lineRule="auto" w:line="276"/>
        <w:jc w:val="both"/>
        <w:rPr>
          <w:rFonts w:ascii="Arial" w:cs="Arial" w:eastAsia="Times New Roman" w:hAnsi="Arial"/>
          <w:lang w:eastAsia="en-GB"/>
        </w:rPr>
      </w:pPr>
    </w:p>
    <w:p>
      <w:pPr>
        <w:pStyle w:val="style0"/>
        <w:widowControl w:val="false"/>
        <w:pBdr>
          <w:left w:val="nil"/>
          <w:right w:val="nil"/>
          <w:top w:val="nil"/>
          <w:bottom w:val="nil"/>
          <w:between w:val="nil"/>
        </w:pBdr>
        <w:spacing w:after="0" w:lineRule="auto" w:line="276"/>
        <w:jc w:val="both"/>
        <w:rPr>
          <w:rFonts w:ascii="Arial" w:cs="Arial" w:eastAsia="Times New Roman" w:hAnsi="Arial"/>
          <w:lang w:eastAsia="en-GB"/>
        </w:rPr>
      </w:pPr>
    </w:p>
    <w:p>
      <w:pPr>
        <w:pStyle w:val="style0"/>
        <w:jc w:val="center"/>
        <w:rPr>
          <w:rFonts w:ascii="Arial" w:cs="Arial" w:eastAsia="Times New Roman" w:hAnsi="Arial"/>
          <w:lang w:bidi="bn-BD" w:eastAsia="en-GB"/>
        </w:rPr>
      </w:pPr>
      <w:r>
        <w:rPr>
          <w:rFonts w:ascii="Arial" w:cs="Arial" w:eastAsia="Times New Roman" w:hAnsi="Arial"/>
          <w:noProof/>
          <w:lang w:eastAsia="en-GB"/>
        </w:rPr>
        <w:drawing>
          <wp:inline distL="0" distT="0" distB="0" distR="0">
            <wp:extent cx="3917950" cy="1877060"/>
            <wp:effectExtent l="0" t="0" r="6350" b="889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3917950" cy="1877060"/>
                    </a:xfrm>
                    <a:prstGeom prst="rect"/>
                  </pic:spPr>
                </pic:pic>
              </a:graphicData>
            </a:graphic>
          </wp:inline>
        </w:drawing>
      </w:r>
    </w:p>
    <w:p>
      <w:pPr>
        <w:pStyle w:val="style0"/>
        <w:widowControl w:val="false"/>
        <w:spacing w:after="0" w:lineRule="auto" w:line="360"/>
        <w:jc w:val="center"/>
        <w:rPr>
          <w:rFonts w:ascii="Arial" w:cs="Arial" w:eastAsia="Times New Roman" w:hAnsi="Arial"/>
          <w:b/>
          <w:sz w:val="28"/>
          <w:szCs w:val="28"/>
          <w:lang w:bidi="bn-BD" w:eastAsia="en-GB"/>
        </w:rPr>
      </w:pPr>
    </w:p>
    <w:p>
      <w:pPr>
        <w:pStyle w:val="style0"/>
        <w:widowControl w:val="false"/>
        <w:spacing w:after="0" w:lineRule="auto" w:line="360"/>
        <w:rPr>
          <w:rFonts w:ascii="Arial" w:cs="Arial" w:eastAsia="Times New Roman" w:hAnsi="Arial"/>
          <w:b/>
          <w:sz w:val="28"/>
          <w:szCs w:val="28"/>
          <w:lang w:bidi="bn-BD" w:eastAsia="en-GB"/>
        </w:rPr>
      </w:pPr>
    </w:p>
    <w:p>
      <w:pPr>
        <w:pStyle w:val="style0"/>
        <w:widowControl w:val="false"/>
        <w:spacing w:after="0" w:lineRule="auto" w:line="360"/>
        <w:jc w:val="center"/>
        <w:rPr>
          <w:rFonts w:ascii="Arial" w:cs="Arial" w:eastAsia="Times New Roman" w:hAnsi="Arial"/>
          <w:b/>
          <w:sz w:val="28"/>
          <w:szCs w:val="28"/>
          <w:lang w:bidi="bn-BD" w:eastAsia="en-GB"/>
        </w:rPr>
      </w:pPr>
      <w:r>
        <w:rPr>
          <w:rFonts w:ascii="Arial" w:cs="Arial" w:eastAsia="Times New Roman" w:hAnsi="Arial"/>
          <w:b/>
          <w:sz w:val="28"/>
          <w:szCs w:val="28"/>
          <w:lang w:bidi="bn-BD" w:eastAsia="en-GB"/>
        </w:rPr>
        <w:t xml:space="preserve">Programme: </w:t>
      </w:r>
      <w:r>
        <w:rPr>
          <w:rFonts w:ascii="Arial" w:cs="Arial" w:eastAsia="Times New Roman" w:hAnsi="Arial"/>
          <w:b/>
          <w:sz w:val="28"/>
          <w:szCs w:val="28"/>
          <w:lang w:bidi="bn-BD" w:eastAsia="en-GB"/>
        </w:rPr>
        <w:t>MSc Public Health and Social Care in Practice</w:t>
      </w:r>
    </w:p>
    <w:p>
      <w:pPr>
        <w:pStyle w:val="style0"/>
        <w:widowControl w:val="false"/>
        <w:spacing w:after="0" w:lineRule="auto" w:line="360"/>
        <w:jc w:val="center"/>
        <w:rPr>
          <w:rFonts w:ascii="Arial" w:cs="Arial" w:eastAsia="Times New Roman" w:hAnsi="Arial"/>
          <w:b/>
          <w:sz w:val="28"/>
          <w:szCs w:val="24"/>
          <w:lang w:bidi="bn-BD" w:eastAsia="en-GB"/>
        </w:rPr>
      </w:pPr>
      <w:r>
        <w:rPr>
          <w:rFonts w:ascii="Arial" w:cs="Arial" w:eastAsia="Times New Roman" w:hAnsi="Arial"/>
          <w:b/>
          <w:sz w:val="28"/>
          <w:szCs w:val="24"/>
          <w:lang w:bidi="bn-BD" w:eastAsia="en-GB"/>
        </w:rPr>
        <w:t xml:space="preserve">Module Name &amp; Code: </w:t>
      </w:r>
      <w:r>
        <w:rPr>
          <w:rFonts w:ascii="Arial" w:cs="Arial" w:hAnsi="Arial"/>
          <w:b/>
          <w:sz w:val="28"/>
        </w:rPr>
        <w:t xml:space="preserve">Social Epidemiology and Public Health Development </w:t>
      </w:r>
      <w:r>
        <w:rPr>
          <w:rFonts w:ascii="Arial" w:cs="Arial" w:hAnsi="Arial"/>
          <w:b/>
          <w:sz w:val="28"/>
        </w:rPr>
        <w:t>(</w:t>
      </w:r>
      <w:r>
        <w:rPr>
          <w:rFonts w:ascii="Arial" w:cs="Arial" w:eastAsia="Times New Roman" w:hAnsi="Arial"/>
          <w:b/>
          <w:sz w:val="28"/>
          <w:szCs w:val="24"/>
          <w:lang w:bidi="bn-BD" w:eastAsia="en-GB"/>
        </w:rPr>
        <w:t>LCHS7000</w:t>
      </w:r>
      <w:r>
        <w:rPr>
          <w:rFonts w:ascii="Arial" w:cs="Arial" w:eastAsia="Times New Roman" w:hAnsi="Arial"/>
          <w:b/>
          <w:sz w:val="28"/>
          <w:szCs w:val="24"/>
          <w:lang w:bidi="bn-BD" w:eastAsia="en-GB"/>
        </w:rPr>
        <w:t>)</w:t>
      </w:r>
    </w:p>
    <w:p>
      <w:pPr>
        <w:pStyle w:val="style0"/>
        <w:widowControl w:val="false"/>
        <w:spacing w:after="0" w:lineRule="auto" w:line="360"/>
        <w:jc w:val="center"/>
        <w:rPr>
          <w:rFonts w:ascii="Arial" w:cs="Arial" w:eastAsia="Times New Roman" w:hAnsi="Arial"/>
          <w:b/>
          <w:sz w:val="28"/>
          <w:szCs w:val="24"/>
          <w:lang w:bidi="bn-BD" w:eastAsia="en-GB"/>
        </w:rPr>
      </w:pPr>
      <w:r>
        <w:rPr>
          <w:rFonts w:ascii="Arial" w:cs="Arial" w:eastAsia="Times New Roman" w:hAnsi="Arial"/>
          <w:b/>
          <w:sz w:val="28"/>
          <w:szCs w:val="24"/>
          <w:lang w:bidi="bn-BD" w:eastAsia="en-GB"/>
        </w:rPr>
        <w:t xml:space="preserve">Assignment Title: </w:t>
      </w:r>
      <w:r>
        <w:rPr>
          <w:rFonts w:ascii="Arial" w:cs="Arial" w:eastAsia="Times New Roman" w:hAnsi="Arial"/>
          <w:b/>
          <w:sz w:val="28"/>
          <w:szCs w:val="24"/>
          <w:lang w:bidi="bn-BD" w:eastAsia="en-GB"/>
        </w:rPr>
        <w:t xml:space="preserve">Component 2 </w:t>
      </w:r>
      <w:r>
        <w:rPr>
          <w:rFonts w:ascii="Arial" w:cs="Arial" w:eastAsia="Times New Roman" w:hAnsi="Arial"/>
          <w:b/>
          <w:sz w:val="28"/>
          <w:szCs w:val="24"/>
          <w:lang w:bidi="bn-BD" w:eastAsia="en-GB"/>
        </w:rPr>
        <w:t>Analytical Report</w:t>
      </w:r>
    </w:p>
    <w:p>
      <w:pPr>
        <w:spacing w:lineRule="auto" w:line="360"/>
        <w:jc w:val="center"/>
        <w:rPr>
          <w:rFonts w:ascii="Arial" w:cs="Arial" w:hAnsi="Arial"/>
          <w:b/>
          <w:sz w:val="28"/>
        </w:rPr>
      </w:pPr>
      <w:r>
        <w:rPr>
          <w:rFonts w:ascii="Arial" w:cs="Arial" w:eastAsia="Times New Roman" w:hAnsi="Arial"/>
          <w:b/>
          <w:sz w:val="28"/>
          <w:szCs w:val="28"/>
          <w:lang w:bidi="bn-BD" w:eastAsia="en-GB"/>
        </w:rPr>
        <w:t xml:space="preserve">Lecturer: </w:t>
      </w:r>
      <w:r>
        <w:rPr>
          <w:rFonts w:ascii="Arial" w:cs="Arial" w:eastAsia="Times New Roman" w:hAnsi="Arial" w:hint="default"/>
          <w:b/>
          <w:bCs/>
          <w:i w:val="false"/>
          <w:iCs w:val="false"/>
          <w:color w:val="auto"/>
          <w:sz w:val="28"/>
          <w:szCs w:val="28"/>
          <w:highlight w:val="none"/>
          <w:vertAlign w:val="baseline"/>
          <w:em w:val="none"/>
          <w:lang w:val="en-US" w:bidi="bn-BD" w:eastAsia="en-GB"/>
        </w:rPr>
        <w:t>Muhammad</w:t>
      </w:r>
      <w:r>
        <w:rPr>
          <w:rFonts w:ascii="Arial" w:cs="Arial" w:eastAsia="Times New Roman" w:hAnsi="Arial" w:hint="default"/>
          <w:b/>
          <w:bCs/>
          <w:i w:val="false"/>
          <w:iCs w:val="false"/>
          <w:color w:val="auto"/>
          <w:sz w:val="28"/>
          <w:szCs w:val="28"/>
          <w:highlight w:val="none"/>
          <w:vertAlign w:val="baseline"/>
          <w:em w:val="none"/>
          <w:lang w:val="en-US" w:bidi="bn-BD" w:eastAsia="en-GB"/>
        </w:rPr>
        <w:t xml:space="preserve"> </w:t>
      </w:r>
      <w:r>
        <w:rPr>
          <w:rFonts w:ascii="Arial" w:cs="Arial" w:eastAsia="Times New Roman" w:hAnsi="Arial" w:hint="default"/>
          <w:b/>
          <w:bCs/>
          <w:i w:val="false"/>
          <w:iCs w:val="false"/>
          <w:color w:val="auto"/>
          <w:sz w:val="28"/>
          <w:szCs w:val="28"/>
          <w:highlight w:val="none"/>
          <w:vertAlign w:val="baseline"/>
          <w:em w:val="none"/>
          <w:lang w:val="en-US" w:bidi="bn-BD" w:eastAsia="en-GB"/>
        </w:rPr>
        <w:t>Aliyu</w:t>
      </w:r>
      <w:r>
        <w:rPr>
          <w:rFonts w:ascii="Arial" w:cs="Arial" w:eastAsia="Times New Roman" w:hAnsi="Arial" w:hint="default"/>
          <w:b/>
          <w:bCs/>
          <w:i w:val="false"/>
          <w:iCs w:val="false"/>
          <w:color w:val="auto"/>
          <w:sz w:val="28"/>
          <w:szCs w:val="28"/>
          <w:highlight w:val="none"/>
          <w:vertAlign w:val="baseline"/>
          <w:em w:val="none"/>
          <w:lang w:val="en-US" w:bidi="bn-BD" w:eastAsia="en-GB"/>
        </w:rPr>
        <w:t xml:space="preserve"> </w:t>
      </w:r>
      <w:r>
        <w:rPr>
          <w:rFonts w:ascii="Arial" w:cs="Arial" w:eastAsia="Times New Roman" w:hAnsi="Arial" w:hint="default"/>
          <w:b/>
          <w:bCs/>
          <w:i w:val="false"/>
          <w:iCs w:val="false"/>
          <w:color w:val="auto"/>
          <w:sz w:val="28"/>
          <w:szCs w:val="28"/>
          <w:highlight w:val="none"/>
          <w:vertAlign w:val="baseline"/>
          <w:em w:val="none"/>
          <w:lang w:val="en-US" w:bidi="bn-BD" w:eastAsia="en-GB"/>
        </w:rPr>
        <w:t>&amp;</w:t>
      </w:r>
      <w:r>
        <w:rPr>
          <w:rFonts w:ascii="Arial" w:cs="Arial" w:eastAsia="Times New Roman" w:hAnsi="Arial" w:hint="default"/>
          <w:b/>
          <w:bCs/>
          <w:i w:val="false"/>
          <w:iCs w:val="false"/>
          <w:color w:val="auto"/>
          <w:sz w:val="28"/>
          <w:szCs w:val="28"/>
          <w:highlight w:val="none"/>
          <w:vertAlign w:val="baseline"/>
          <w:em w:val="none"/>
          <w:lang w:val="en-US" w:bidi="bn-BD" w:eastAsia="en-GB"/>
        </w:rPr>
        <w:t xml:space="preserve"> </w:t>
      </w:r>
      <w:r>
        <w:rPr>
          <w:rFonts w:ascii="Arial" w:cs="Arial" w:eastAsia="Times New Roman" w:hAnsi="Arial" w:hint="default"/>
          <w:b/>
          <w:bCs/>
          <w:i w:val="false"/>
          <w:iCs w:val="false"/>
          <w:color w:val="auto"/>
          <w:sz w:val="28"/>
          <w:szCs w:val="28"/>
          <w:highlight w:val="none"/>
          <w:vertAlign w:val="baseline"/>
          <w:em w:val="none"/>
          <w:lang w:val="en-US" w:bidi="bn-BD" w:eastAsia="en-GB"/>
        </w:rPr>
        <w:t>Dr</w:t>
      </w:r>
      <w:r>
        <w:rPr>
          <w:rFonts w:ascii="Arial" w:cs="Arial" w:eastAsia="Times New Roman" w:hAnsi="Arial" w:hint="default"/>
          <w:b/>
          <w:bCs/>
          <w:i w:val="false"/>
          <w:iCs w:val="false"/>
          <w:color w:val="auto"/>
          <w:sz w:val="28"/>
          <w:szCs w:val="28"/>
          <w:highlight w:val="none"/>
          <w:vertAlign w:val="baseline"/>
          <w:em w:val="none"/>
          <w:lang w:val="en-US" w:bidi="bn-BD" w:eastAsia="en-GB"/>
        </w:rPr>
        <w:t xml:space="preserve"> </w:t>
      </w:r>
      <w:r>
        <w:rPr>
          <w:rFonts w:ascii="Arial" w:cs="Arial" w:eastAsia="Times New Roman" w:hAnsi="Arial" w:hint="default"/>
          <w:b/>
          <w:bCs/>
          <w:i w:val="false"/>
          <w:iCs w:val="false"/>
          <w:color w:val="auto"/>
          <w:sz w:val="28"/>
          <w:szCs w:val="28"/>
          <w:highlight w:val="none"/>
          <w:vertAlign w:val="baseline"/>
          <w:em w:val="none"/>
          <w:lang w:val="en-US" w:bidi="bn-BD" w:eastAsia="en-GB"/>
        </w:rPr>
        <w:t>Itse</w:t>
      </w:r>
      <w:r>
        <w:rPr>
          <w:rFonts w:ascii="Arial" w:cs="Arial" w:eastAsia="Times New Roman" w:hAnsi="Arial" w:hint="default"/>
          <w:b/>
          <w:bCs/>
          <w:i w:val="false"/>
          <w:iCs w:val="false"/>
          <w:color w:val="auto"/>
          <w:sz w:val="28"/>
          <w:szCs w:val="28"/>
          <w:highlight w:val="none"/>
          <w:vertAlign w:val="baseline"/>
          <w:em w:val="none"/>
          <w:lang w:val="en-US" w:bidi="bn-BD" w:eastAsia="en-GB"/>
        </w:rPr>
        <w:t xml:space="preserve"> </w:t>
      </w:r>
      <w:r>
        <w:rPr>
          <w:rFonts w:ascii="Arial" w:cs="Arial" w:eastAsia="Times New Roman" w:hAnsi="Arial" w:hint="default"/>
          <w:b/>
          <w:bCs/>
          <w:i w:val="false"/>
          <w:iCs w:val="false"/>
          <w:color w:val="auto"/>
          <w:sz w:val="28"/>
          <w:szCs w:val="28"/>
          <w:highlight w:val="none"/>
          <w:vertAlign w:val="baseline"/>
          <w:em w:val="none"/>
          <w:lang w:val="en-US" w:bidi="bn-BD" w:eastAsia="en-GB"/>
        </w:rPr>
        <w:t>Olaoye</w:t>
      </w:r>
    </w:p>
    <w:p>
      <w:pPr>
        <w:pStyle w:val="style0"/>
        <w:widowControl w:val="false"/>
        <w:spacing w:after="0" w:lineRule="auto" w:line="360"/>
        <w:jc w:val="center"/>
        <w:rPr>
          <w:rFonts w:ascii="Arial" w:cs="Arial" w:eastAsia="Times New Roman" w:hAnsi="Arial"/>
          <w:b/>
          <w:sz w:val="28"/>
          <w:szCs w:val="28"/>
          <w:lang w:bidi="bn-BD" w:eastAsia="en-GB"/>
        </w:rPr>
      </w:pPr>
      <w:r>
        <w:rPr>
          <w:rFonts w:ascii="Arial" w:cs="Arial" w:eastAsia="Times New Roman" w:hAnsi="Arial"/>
          <w:b/>
          <w:sz w:val="28"/>
          <w:szCs w:val="28"/>
          <w:lang w:bidi="bn-BD" w:eastAsia="en-GB"/>
        </w:rPr>
        <w:t xml:space="preserve">Student Name: </w:t>
      </w:r>
      <w:r>
        <w:rPr>
          <w:rFonts w:ascii="Arial" w:cs="Arial" w:eastAsia="Times New Roman" w:hAnsi="Arial"/>
          <w:b/>
          <w:sz w:val="28"/>
          <w:szCs w:val="28"/>
          <w:lang w:bidi="bn-BD" w:eastAsia="en-GB"/>
        </w:rPr>
        <w:t>MD ASEIQUR RAHAMAN</w:t>
      </w:r>
    </w:p>
    <w:p>
      <w:pPr>
        <w:pStyle w:val="style0"/>
        <w:widowControl w:val="false"/>
        <w:spacing w:after="0" w:lineRule="auto" w:line="360"/>
        <w:jc w:val="center"/>
        <w:rPr>
          <w:rFonts w:ascii="Arial" w:cs="Arial" w:eastAsia="Times New Roman" w:hAnsi="Arial"/>
          <w:b/>
          <w:sz w:val="28"/>
          <w:szCs w:val="28"/>
          <w:lang w:bidi="bn-BD" w:eastAsia="en-GB"/>
        </w:rPr>
      </w:pPr>
      <w:r>
        <w:rPr>
          <w:rFonts w:ascii="Arial" w:cs="Arial" w:eastAsia="Times New Roman" w:hAnsi="Arial"/>
          <w:b/>
          <w:sz w:val="28"/>
          <w:szCs w:val="28"/>
          <w:lang w:bidi="bn-BD" w:eastAsia="en-GB"/>
        </w:rPr>
        <w:t xml:space="preserve">Student ID: </w:t>
      </w:r>
      <w:r>
        <w:rPr>
          <w:rFonts w:ascii="Arial" w:cs="Arial" w:eastAsia="Times New Roman" w:hAnsi="Arial"/>
          <w:b/>
          <w:sz w:val="28"/>
          <w:szCs w:val="28"/>
          <w:lang w:bidi="bn-BD" w:eastAsia="en-GB"/>
        </w:rPr>
        <w:t>2524402</w:t>
      </w:r>
    </w:p>
    <w:p>
      <w:pPr>
        <w:pStyle w:val="style0"/>
        <w:widowControl w:val="false"/>
        <w:spacing w:after="0" w:lineRule="auto" w:line="360"/>
        <w:jc w:val="center"/>
        <w:rPr>
          <w:rFonts w:ascii="Arial" w:cs="Arial" w:eastAsia="Times New Roman" w:hAnsi="Arial"/>
          <w:b/>
          <w:sz w:val="28"/>
          <w:szCs w:val="28"/>
          <w:lang w:bidi="bn-BD" w:eastAsia="en-GB"/>
        </w:rPr>
      </w:pPr>
      <w:r>
        <w:rPr>
          <w:rFonts w:ascii="Arial" w:cs="Arial" w:hAnsi="Arial"/>
          <w:b/>
          <w:sz w:val="28"/>
          <w:szCs w:val="28"/>
        </w:rPr>
        <w:t>Word Count</w:t>
      </w:r>
      <w:r>
        <w:rPr>
          <w:rFonts w:ascii="Arial" w:cs="Arial" w:eastAsia="Times New Roman" w:hAnsi="Arial"/>
          <w:b/>
          <w:sz w:val="28"/>
          <w:szCs w:val="28"/>
          <w:lang w:bidi="bn-BD" w:eastAsia="en-GB"/>
        </w:rPr>
        <w:t>:</w:t>
      </w:r>
      <w:r>
        <w:rPr>
          <w:rFonts w:ascii="Arial" w:cs="Arial" w:eastAsia="Times New Roman" w:hAnsi="Arial"/>
          <w:b/>
          <w:sz w:val="28"/>
          <w:szCs w:val="28"/>
          <w:lang w:bidi="bn-BD" w:eastAsia="en-GB"/>
        </w:rPr>
        <w:t xml:space="preserve"> </w:t>
      </w:r>
      <w:r>
        <w:rPr>
          <w:rFonts w:ascii="Arial" w:cs="Arial" w:eastAsia="Times New Roman" w:hAnsi="Arial"/>
          <w:b/>
          <w:sz w:val="28"/>
          <w:szCs w:val="28"/>
          <w:lang w:bidi="bn-BD" w:eastAsia="en-GB"/>
        </w:rPr>
        <w:t>2750</w:t>
      </w:r>
    </w:p>
    <w:p>
      <w:pPr>
        <w:pStyle w:val="style0"/>
        <w:widowControl w:val="false"/>
        <w:spacing w:after="0" w:lineRule="auto" w:line="360"/>
        <w:jc w:val="center"/>
        <w:rPr>
          <w:rFonts w:ascii="Arial" w:cs="Arial" w:eastAsia="Times New Roman" w:hAnsi="Arial"/>
          <w:b/>
          <w:sz w:val="28"/>
          <w:szCs w:val="28"/>
          <w:lang w:bidi="bn-BD" w:eastAsia="en-GB"/>
        </w:rPr>
      </w:pPr>
      <w:r>
        <w:rPr>
          <w:rFonts w:ascii="Arial" w:cs="Arial" w:eastAsia="Times New Roman" w:hAnsi="Arial"/>
          <w:b/>
          <w:sz w:val="28"/>
          <w:szCs w:val="28"/>
          <w:lang w:bidi="bn-BD" w:eastAsia="en-GB"/>
        </w:rPr>
        <w:t>Submission D</w:t>
      </w:r>
      <w:r>
        <w:rPr>
          <w:rFonts w:ascii="Arial" w:cs="Arial" w:eastAsia="Times New Roman" w:hAnsi="Arial"/>
          <w:b/>
          <w:sz w:val="28"/>
          <w:szCs w:val="28"/>
          <w:lang w:bidi="bn-BD" w:eastAsia="en-GB"/>
        </w:rPr>
        <w:t>ate:</w:t>
      </w:r>
      <w:r>
        <w:rPr>
          <w:rFonts w:ascii="Arial" w:cs="Arial" w:eastAsia="Times New Roman" w:hAnsi="Arial"/>
          <w:b/>
          <w:sz w:val="28"/>
          <w:szCs w:val="28"/>
          <w:lang w:val="en-US" w:bidi="bn-BD" w:eastAsia="en-GB"/>
        </w:rPr>
        <w:t xml:space="preserve"> 01/05/2026</w:t>
      </w:r>
    </w:p>
    <w:p>
      <w:pPr>
        <w:pStyle w:val="style0"/>
        <w:widowControl w:val="false"/>
        <w:spacing w:after="0" w:lineRule="auto" w:line="360"/>
        <w:jc w:val="center"/>
        <w:rPr>
          <w:rFonts w:ascii="Arial" w:cs="Arial" w:eastAsia="Times New Roman" w:hAnsi="Arial"/>
          <w:b/>
          <w:sz w:val="24"/>
          <w:szCs w:val="24"/>
          <w:lang w:eastAsia="en-GB"/>
        </w:rPr>
      </w:pPr>
    </w:p>
    <w:p>
      <w:pPr>
        <w:pStyle w:val="style0"/>
        <w:widowControl w:val="false"/>
        <w:spacing w:after="0" w:lineRule="auto" w:line="360"/>
        <w:jc w:val="center"/>
        <w:rPr>
          <w:rFonts w:ascii="Arial" w:cs="Arial" w:eastAsia="Times New Roman" w:hAnsi="Arial"/>
          <w:b/>
          <w:sz w:val="24"/>
          <w:szCs w:val="24"/>
          <w:lang w:eastAsia="en-GB"/>
        </w:rPr>
      </w:pPr>
    </w:p>
    <w:p>
      <w:pPr>
        <w:pStyle w:val="style0"/>
        <w:widowControl w:val="false"/>
        <w:spacing w:after="0" w:lineRule="auto" w:line="360"/>
        <w:jc w:val="center"/>
        <w:rPr>
          <w:rFonts w:ascii="Arial" w:cs="Arial" w:eastAsia="Times New Roman" w:hAnsi="Arial"/>
          <w:b/>
          <w:sz w:val="28"/>
          <w:szCs w:val="28"/>
          <w:lang w:eastAsia="en-GB"/>
        </w:rPr>
      </w:pPr>
    </w:p>
    <w:p>
      <w:pPr>
        <w:pStyle w:val="style0"/>
        <w:widowControl w:val="false"/>
        <w:spacing w:after="0" w:lineRule="auto" w:line="360"/>
        <w:jc w:val="center"/>
        <w:rPr>
          <w:rFonts w:ascii="Arial" w:cs="Arial" w:eastAsia="Times New Roman" w:hAnsi="Arial"/>
          <w:b/>
          <w:sz w:val="28"/>
          <w:szCs w:val="28"/>
          <w:lang w:eastAsia="en-GB"/>
        </w:rPr>
      </w:pPr>
    </w:p>
    <w:p>
      <w:pPr>
        <w:pStyle w:val="style0"/>
        <w:rPr>
          <w:rFonts w:ascii="Arial" w:cs="Arial" w:eastAsia="Times New Roman" w:hAnsi="Arial"/>
          <w:b/>
          <w:lang w:eastAsia="en-GB"/>
        </w:rPr>
      </w:pPr>
    </w:p>
    <w:p>
      <w:pPr>
        <w:pStyle w:val="style0"/>
        <w:jc w:val="center"/>
        <w:rPr>
          <w:rFonts w:ascii="Arial" w:cs="Arial" w:eastAsia="Times New Roman" w:hAnsi="Arial"/>
          <w:b/>
          <w:lang w:eastAsia="en-GB"/>
        </w:rPr>
      </w:pPr>
    </w:p>
    <w:p>
      <w:pPr>
        <w:pStyle w:val="style0"/>
        <w:jc w:val="center"/>
        <w:rPr>
          <w:rFonts w:ascii="Arial" w:cs="Arial" w:eastAsia="Times New Roman" w:hAnsi="Arial"/>
          <w:b/>
          <w:lang w:eastAsia="en-GB"/>
        </w:rPr>
      </w:pPr>
    </w:p>
    <w:p>
      <w:pPr>
        <w:pStyle w:val="style0"/>
        <w:jc w:val="center"/>
        <w:rPr>
          <w:rFonts w:ascii="Arial" w:cs="Arial" w:eastAsia="Times New Roman" w:hAnsi="Arial"/>
          <w:b/>
          <w:lang w:eastAsia="en-GB"/>
        </w:rPr>
      </w:pPr>
    </w:p>
    <w:p>
      <w:pPr>
        <w:pStyle w:val="style0"/>
        <w:spacing w:lineRule="auto" w:line="360"/>
        <w:jc w:val="both"/>
        <w:rPr>
          <w:rFonts w:ascii="Arial" w:cs="Arial" w:eastAsia="Times New Roman" w:hAnsi="Arial"/>
          <w:sz w:val="24"/>
          <w:szCs w:val="24"/>
          <w:lang w:eastAsia="en-GB"/>
        </w:rPr>
      </w:pPr>
    </w:p>
    <w:bookmarkStart w:id="0" w:name="_GoBack"/>
    <w:p>
      <w:pPr>
        <w:pStyle w:val="style266"/>
        <w:jc w:val="center"/>
        <w:rPr>
          <w:rFonts w:cs="Arial"/>
          <w:b w:val="false"/>
          <w:color w:val="auto"/>
          <w:sz w:val="24"/>
          <w:szCs w:val="24"/>
        </w:rPr>
      </w:pPr>
      <w:r>
        <w:rPr>
          <w:rFonts w:cs="Arial"/>
          <w:color w:val="auto"/>
          <w:sz w:val="24"/>
          <w:szCs w:val="24"/>
        </w:rPr>
        <w:t>Contents</w:t>
      </w:r>
    </w:p>
    <w:p>
      <w:pPr>
        <w:pStyle w:val="style19"/>
        <w:tabs>
          <w:tab w:val="right" w:leader="dot" w:pos="9350"/>
        </w:tabs>
        <w:rPr>
          <w:rFonts w:ascii="Arial" w:cs="Arial" w:eastAsia="宋体" w:hAnsi="Arial"/>
          <w:noProof/>
          <w:sz w:val="24"/>
          <w:szCs w:val="24"/>
          <w:lang w:eastAsia="en-GB"/>
        </w:rPr>
      </w:pPr>
      <w:r>
        <w:rPr>
          <w:rFonts w:ascii="Arial" w:cs="Arial" w:hAnsi="Arial"/>
          <w:sz w:val="24"/>
          <w:szCs w:val="24"/>
        </w:rPr>
        <w:fldChar w:fldCharType="begin"/>
      </w:r>
      <w:r>
        <w:rPr>
          <w:rFonts w:ascii="Arial" w:cs="Arial" w:hAnsi="Arial"/>
          <w:sz w:val="24"/>
          <w:szCs w:val="24"/>
        </w:rPr>
        <w:instrText xml:space="preserve"> TOC \o "1-3" \h \z \u </w:instrText>
      </w:r>
      <w:r>
        <w:rPr>
          <w:rFonts w:ascii="Arial" w:cs="Arial" w:hAnsi="Arial"/>
          <w:sz w:val="24"/>
          <w:szCs w:val="24"/>
        </w:rPr>
        <w:fldChar w:fldCharType="separate"/>
      </w:r>
      <w:r>
        <w:rPr/>
        <w:fldChar w:fldCharType="begin"/>
      </w:r>
      <w:r>
        <w:instrText xml:space="preserve"> HYPERLINK \l "_Toc228543394" </w:instrText>
      </w:r>
      <w:r>
        <w:rPr/>
        <w:fldChar w:fldCharType="separate"/>
      </w:r>
      <w:r>
        <w:rPr>
          <w:rStyle w:val="style85"/>
          <w:rFonts w:ascii="Arial" w:cs="Arial" w:eastAsia="Times New Roman" w:hAnsi="Arial"/>
          <w:noProof/>
          <w:sz w:val="24"/>
          <w:szCs w:val="24"/>
          <w:lang w:eastAsia="en-GB"/>
        </w:rPr>
        <w:t>Task 1: Social Epidemiological Analysis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_Toc228543394 \h </w:instrText>
      </w:r>
      <w:r>
        <w:rPr>
          <w:rFonts w:ascii="Arial" w:cs="Arial" w:hAnsi="Arial"/>
          <w:noProof/>
          <w:webHidden/>
          <w:sz w:val="24"/>
          <w:szCs w:val="24"/>
        </w:rPr>
        <w:fldChar w:fldCharType="separate"/>
      </w:r>
      <w:r>
        <w:rPr>
          <w:rFonts w:ascii="Arial" w:cs="Arial" w:hAnsi="Arial"/>
          <w:noProof/>
          <w:webHidden/>
          <w:sz w:val="24"/>
          <w:szCs w:val="24"/>
        </w:rPr>
        <w:t>1</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"_Toc228543395" </w:instrText>
      </w:r>
      <w:r>
        <w:rPr/>
        <w:fldChar w:fldCharType="separate"/>
      </w:r>
      <w:r>
        <w:rPr>
          <w:rStyle w:val="style85"/>
          <w:rFonts w:ascii="Arial" w:cs="Arial" w:eastAsia="Times New Roman" w:hAnsi="Arial"/>
          <w:noProof/>
          <w:sz w:val="24"/>
          <w:szCs w:val="24"/>
          <w:lang w:eastAsia="en-GB"/>
        </w:rPr>
        <w:t>1. Introduction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_Toc228543395 \h </w:instrText>
      </w:r>
      <w:r>
        <w:rPr>
          <w:rFonts w:ascii="Arial" w:cs="Arial" w:hAnsi="Arial"/>
          <w:noProof/>
          <w:webHidden/>
          <w:sz w:val="24"/>
          <w:szCs w:val="24"/>
        </w:rPr>
        <w:fldChar w:fldCharType="separate"/>
      </w:r>
      <w:r>
        <w:rPr>
          <w:rFonts w:ascii="Arial" w:cs="Arial" w:hAnsi="Arial"/>
          <w:noProof/>
          <w:webHidden/>
          <w:sz w:val="24"/>
          <w:szCs w:val="24"/>
        </w:rPr>
        <w:t>1</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"_Toc228543396" </w:instrText>
      </w:r>
      <w:r>
        <w:rPr/>
        <w:fldChar w:fldCharType="separate"/>
      </w:r>
      <w:r>
        <w:rPr>
          <w:rStyle w:val="style85"/>
          <w:rFonts w:ascii="Arial" w:cs="Arial" w:eastAsia="Times New Roman" w:hAnsi="Arial"/>
          <w:noProof/>
          <w:sz w:val="24"/>
          <w:szCs w:val="24"/>
          <w:lang w:eastAsia="en-GB"/>
        </w:rPr>
        <w:t>2. Key health inequalities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_Toc228543396 \h </w:instrText>
      </w:r>
      <w:r>
        <w:rPr>
          <w:rFonts w:ascii="Arial" w:cs="Arial" w:hAnsi="Arial"/>
          <w:noProof/>
          <w:webHidden/>
          <w:sz w:val="24"/>
          <w:szCs w:val="24"/>
        </w:rPr>
        <w:fldChar w:fldCharType="separate"/>
      </w:r>
      <w:r>
        <w:rPr>
          <w:rFonts w:ascii="Arial" w:cs="Arial" w:hAnsi="Arial"/>
          <w:noProof/>
          <w:webHidden/>
          <w:sz w:val="24"/>
          <w:szCs w:val="24"/>
        </w:rPr>
        <w:t>2</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"_Toc228543397" </w:instrText>
      </w:r>
      <w:r>
        <w:rPr/>
        <w:fldChar w:fldCharType="separate"/>
      </w:r>
      <w:r>
        <w:rPr>
          <w:rStyle w:val="style85"/>
          <w:rFonts w:ascii="Arial" w:cs="Arial" w:eastAsia="Times New Roman" w:hAnsi="Arial"/>
          <w:noProof/>
          <w:sz w:val="24"/>
          <w:szCs w:val="24"/>
          <w:lang w:eastAsia="en-GB"/>
        </w:rPr>
        <w:t>A. Disease / illness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_Toc228543397 \h </w:instrText>
      </w:r>
      <w:r>
        <w:rPr>
          <w:rFonts w:ascii="Arial" w:cs="Arial" w:hAnsi="Arial"/>
          <w:noProof/>
          <w:webHidden/>
          <w:sz w:val="24"/>
          <w:szCs w:val="24"/>
        </w:rPr>
        <w:fldChar w:fldCharType="separate"/>
      </w:r>
      <w:r>
        <w:rPr>
          <w:rFonts w:ascii="Arial" w:cs="Arial" w:hAnsi="Arial"/>
          <w:noProof/>
          <w:webHidden/>
          <w:sz w:val="24"/>
          <w:szCs w:val="24"/>
        </w:rPr>
        <w:t>2</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"_Toc228543398" </w:instrText>
      </w:r>
      <w:r>
        <w:rPr/>
        <w:fldChar w:fldCharType="separate"/>
      </w:r>
      <w:r>
        <w:rPr>
          <w:rStyle w:val="style85"/>
          <w:rFonts w:ascii="Arial" w:cs="Arial" w:eastAsia="Times New Roman" w:hAnsi="Arial"/>
          <w:noProof/>
          <w:sz w:val="24"/>
          <w:szCs w:val="24"/>
          <w:lang w:eastAsia="en-GB"/>
        </w:rPr>
        <w:t>B. Social issues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_Toc228543398 \h </w:instrText>
      </w:r>
      <w:r>
        <w:rPr>
          <w:rFonts w:ascii="Arial" w:cs="Arial" w:hAnsi="Arial"/>
          <w:noProof/>
          <w:webHidden/>
          <w:sz w:val="24"/>
          <w:szCs w:val="24"/>
        </w:rPr>
        <w:fldChar w:fldCharType="separate"/>
      </w:r>
      <w:r>
        <w:rPr>
          <w:rFonts w:ascii="Arial" w:cs="Arial" w:hAnsi="Arial"/>
          <w:noProof/>
          <w:webHidden/>
          <w:sz w:val="24"/>
          <w:szCs w:val="24"/>
        </w:rPr>
        <w:t>3</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"_Toc228543399" </w:instrText>
      </w:r>
      <w:r>
        <w:rPr/>
        <w:fldChar w:fldCharType="separate"/>
      </w:r>
      <w:r>
        <w:rPr>
          <w:rStyle w:val="style85"/>
          <w:rFonts w:ascii="Arial" w:cs="Arial" w:eastAsia="Times New Roman" w:hAnsi="Arial"/>
          <w:noProof/>
          <w:sz w:val="24"/>
          <w:szCs w:val="24"/>
          <w:lang w:eastAsia="en-GB"/>
        </w:rPr>
        <w:t>3. National response</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_Toc228543399 \h </w:instrText>
      </w:r>
      <w:r>
        <w:rPr>
          <w:rFonts w:ascii="Arial" w:cs="Arial" w:hAnsi="Arial"/>
          <w:noProof/>
          <w:webHidden/>
          <w:sz w:val="24"/>
          <w:szCs w:val="24"/>
        </w:rPr>
        <w:fldChar w:fldCharType="separate"/>
      </w:r>
      <w:r>
        <w:rPr>
          <w:rFonts w:ascii="Arial" w:cs="Arial" w:hAnsi="Arial"/>
          <w:noProof/>
          <w:webHidden/>
          <w:sz w:val="24"/>
          <w:szCs w:val="24"/>
        </w:rPr>
        <w:t>4</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"_Toc228543400" </w:instrText>
      </w:r>
      <w:r>
        <w:rPr/>
        <w:fldChar w:fldCharType="separate"/>
      </w:r>
      <w:r>
        <w:rPr>
          <w:rStyle w:val="style85"/>
          <w:rFonts w:ascii="Arial" w:cs="Arial" w:hAnsi="Arial"/>
          <w:noProof/>
          <w:sz w:val="24"/>
          <w:szCs w:val="24"/>
          <w:lang w:eastAsia="en-GB"/>
        </w:rPr>
        <w:t xml:space="preserve">1. </w:t>
      </w:r>
      <w:r>
        <w:rPr>
          <w:rStyle w:val="style85"/>
          <w:rFonts w:ascii="Arial" w:cs="Arial" w:eastAsia="Times New Roman" w:hAnsi="Arial"/>
          <w:noProof/>
          <w:sz w:val="24"/>
          <w:szCs w:val="24"/>
          <w:lang w:eastAsia="en-GB"/>
        </w:rPr>
        <w:t>The NHS Long Term Plan is the first one.</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_Toc228543400 \h </w:instrText>
      </w:r>
      <w:r>
        <w:rPr>
          <w:rFonts w:ascii="Arial" w:cs="Arial" w:hAnsi="Arial"/>
          <w:noProof/>
          <w:webHidden/>
          <w:sz w:val="24"/>
          <w:szCs w:val="24"/>
        </w:rPr>
        <w:fldChar w:fldCharType="separate"/>
      </w:r>
      <w:r>
        <w:rPr>
          <w:rFonts w:ascii="Arial" w:cs="Arial" w:hAnsi="Arial"/>
          <w:noProof/>
          <w:webHidden/>
          <w:sz w:val="24"/>
          <w:szCs w:val="24"/>
        </w:rPr>
        <w:t>4</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"_Toc228543401" </w:instrText>
      </w:r>
      <w:r>
        <w:rPr/>
        <w:fldChar w:fldCharType="separate"/>
      </w:r>
      <w:r>
        <w:rPr>
          <w:rStyle w:val="style85"/>
          <w:rFonts w:ascii="Arial" w:cs="Arial" w:eastAsia="Times New Roman" w:hAnsi="Arial"/>
          <w:noProof/>
          <w:sz w:val="24"/>
          <w:szCs w:val="24"/>
          <w:lang w:eastAsia="en-GB"/>
        </w:rPr>
        <w:t>2. Race Disparity Unit (UK Government)</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_Toc228543401 \h </w:instrText>
      </w:r>
      <w:r>
        <w:rPr>
          <w:rFonts w:ascii="Arial" w:cs="Arial" w:hAnsi="Arial"/>
          <w:noProof/>
          <w:webHidden/>
          <w:sz w:val="24"/>
          <w:szCs w:val="24"/>
        </w:rPr>
        <w:fldChar w:fldCharType="separate"/>
      </w:r>
      <w:r>
        <w:rPr>
          <w:rFonts w:ascii="Arial" w:cs="Arial" w:hAnsi="Arial"/>
          <w:noProof/>
          <w:webHidden/>
          <w:sz w:val="24"/>
          <w:szCs w:val="24"/>
        </w:rPr>
        <w:t>5</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"_Toc228543402" </w:instrText>
      </w:r>
      <w:r>
        <w:rPr/>
        <w:fldChar w:fldCharType="separate"/>
      </w:r>
      <w:r>
        <w:rPr>
          <w:rStyle w:val="style85"/>
          <w:rFonts w:ascii="Arial" w:cs="Arial" w:eastAsia="Times New Roman" w:hAnsi="Arial"/>
          <w:noProof/>
          <w:sz w:val="24"/>
          <w:szCs w:val="24"/>
          <w:lang w:eastAsia="en-GB"/>
        </w:rPr>
        <w:t>4. Organisation / charity</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_Toc228543402 \h </w:instrText>
      </w:r>
      <w:r>
        <w:rPr>
          <w:rFonts w:ascii="Arial" w:cs="Arial" w:hAnsi="Arial"/>
          <w:noProof/>
          <w:webHidden/>
          <w:sz w:val="24"/>
          <w:szCs w:val="24"/>
        </w:rPr>
        <w:fldChar w:fldCharType="separate"/>
      </w:r>
      <w:r>
        <w:rPr>
          <w:rFonts w:ascii="Arial" w:cs="Arial" w:hAnsi="Arial"/>
          <w:noProof/>
          <w:webHidden/>
          <w:sz w:val="24"/>
          <w:szCs w:val="24"/>
        </w:rPr>
        <w:t>5</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"_Toc228543403" </w:instrText>
      </w:r>
      <w:r>
        <w:rPr/>
        <w:fldChar w:fldCharType="separate"/>
      </w:r>
      <w:r>
        <w:rPr>
          <w:rStyle w:val="style85"/>
          <w:rFonts w:ascii="Arial" w:cs="Arial" w:eastAsia="Times New Roman" w:hAnsi="Arial"/>
          <w:noProof/>
          <w:sz w:val="24"/>
          <w:szCs w:val="24"/>
          <w:lang w:eastAsia="en-GB"/>
        </w:rPr>
        <w:t>5. Conclusion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_Toc228543403 \h </w:instrText>
      </w:r>
      <w:r>
        <w:rPr>
          <w:rFonts w:ascii="Arial" w:cs="Arial" w:hAnsi="Arial"/>
          <w:noProof/>
          <w:webHidden/>
          <w:sz w:val="24"/>
          <w:szCs w:val="24"/>
        </w:rPr>
        <w:fldChar w:fldCharType="separate"/>
      </w:r>
      <w:r>
        <w:rPr>
          <w:rFonts w:ascii="Arial" w:cs="Arial" w:hAnsi="Arial"/>
          <w:noProof/>
          <w:webHidden/>
          <w:sz w:val="24"/>
          <w:szCs w:val="24"/>
        </w:rPr>
        <w:t>5</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"_Toc228543404" </w:instrText>
      </w:r>
      <w:r>
        <w:rPr/>
        <w:fldChar w:fldCharType="separate"/>
      </w:r>
      <w:r>
        <w:rPr>
          <w:rStyle w:val="style85"/>
          <w:rFonts w:ascii="Arial" w:cs="Arial" w:hAnsi="Arial"/>
          <w:noProof/>
          <w:sz w:val="24"/>
          <w:szCs w:val="24"/>
        </w:rPr>
        <w:t>Task 2:  Epidemiological Analysis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_Toc228543404 \h </w:instrText>
      </w:r>
      <w:r>
        <w:rPr>
          <w:rFonts w:ascii="Arial" w:cs="Arial" w:hAnsi="Arial"/>
          <w:noProof/>
          <w:webHidden/>
          <w:sz w:val="24"/>
          <w:szCs w:val="24"/>
        </w:rPr>
        <w:fldChar w:fldCharType="separate"/>
      </w:r>
      <w:r>
        <w:rPr>
          <w:rFonts w:ascii="Arial" w:cs="Arial" w:hAnsi="Arial"/>
          <w:noProof/>
          <w:webHidden/>
          <w:sz w:val="24"/>
          <w:szCs w:val="24"/>
        </w:rPr>
        <w:t>6</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"_Toc228543405" </w:instrText>
      </w:r>
      <w:r>
        <w:rPr/>
        <w:fldChar w:fldCharType="separate"/>
      </w:r>
      <w:r>
        <w:rPr>
          <w:rStyle w:val="style85"/>
          <w:rFonts w:ascii="Arial" w:cs="Arial" w:hAnsi="Arial"/>
          <w:noProof/>
          <w:sz w:val="24"/>
          <w:szCs w:val="24"/>
        </w:rPr>
        <w:t>1. Introduction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_Toc228543405 \h </w:instrText>
      </w:r>
      <w:r>
        <w:rPr>
          <w:rFonts w:ascii="Arial" w:cs="Arial" w:hAnsi="Arial"/>
          <w:noProof/>
          <w:webHidden/>
          <w:sz w:val="24"/>
          <w:szCs w:val="24"/>
        </w:rPr>
        <w:fldChar w:fldCharType="separate"/>
      </w:r>
      <w:r>
        <w:rPr>
          <w:rFonts w:ascii="Arial" w:cs="Arial" w:hAnsi="Arial"/>
          <w:noProof/>
          <w:webHidden/>
          <w:sz w:val="24"/>
          <w:szCs w:val="24"/>
        </w:rPr>
        <w:t>6</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"_Toc228543406" </w:instrText>
      </w:r>
      <w:r>
        <w:rPr/>
        <w:fldChar w:fldCharType="separate"/>
      </w:r>
      <w:r>
        <w:rPr>
          <w:rStyle w:val="style85"/>
          <w:rFonts w:ascii="Arial" w:cs="Arial" w:hAnsi="Arial"/>
          <w:noProof/>
          <w:sz w:val="24"/>
          <w:szCs w:val="24"/>
        </w:rPr>
        <w:t>2. Detection and Epidemiology</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_Toc228543406 \h </w:instrText>
      </w:r>
      <w:r>
        <w:rPr>
          <w:rFonts w:ascii="Arial" w:cs="Arial" w:hAnsi="Arial"/>
          <w:noProof/>
          <w:webHidden/>
          <w:sz w:val="24"/>
          <w:szCs w:val="24"/>
        </w:rPr>
        <w:fldChar w:fldCharType="separate"/>
      </w:r>
      <w:r>
        <w:rPr>
          <w:rFonts w:ascii="Arial" w:cs="Arial" w:hAnsi="Arial"/>
          <w:noProof/>
          <w:webHidden/>
          <w:sz w:val="24"/>
          <w:szCs w:val="24"/>
        </w:rPr>
        <w:t>7</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"_Toc228543407" </w:instrText>
      </w:r>
      <w:r>
        <w:rPr/>
        <w:fldChar w:fldCharType="separate"/>
      </w:r>
      <w:r>
        <w:rPr>
          <w:rStyle w:val="style85"/>
          <w:rFonts w:ascii="Arial" w:cs="Arial" w:hAnsi="Arial"/>
          <w:noProof/>
          <w:sz w:val="24"/>
          <w:szCs w:val="24"/>
        </w:rPr>
        <w:t>3. Risk Factors and Determinants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_Toc228543407 \h </w:instrText>
      </w:r>
      <w:r>
        <w:rPr>
          <w:rFonts w:ascii="Arial" w:cs="Arial" w:hAnsi="Arial"/>
          <w:noProof/>
          <w:webHidden/>
          <w:sz w:val="24"/>
          <w:szCs w:val="24"/>
        </w:rPr>
        <w:fldChar w:fldCharType="separate"/>
      </w:r>
      <w:r>
        <w:rPr>
          <w:rFonts w:ascii="Arial" w:cs="Arial" w:hAnsi="Arial"/>
          <w:noProof/>
          <w:webHidden/>
          <w:sz w:val="24"/>
          <w:szCs w:val="24"/>
        </w:rPr>
        <w:t>8</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"_Toc228543408" </w:instrText>
      </w:r>
      <w:r>
        <w:rPr/>
        <w:fldChar w:fldCharType="separate"/>
      </w:r>
      <w:r>
        <w:rPr>
          <w:rStyle w:val="style85"/>
          <w:rFonts w:ascii="Arial" w:cs="Arial" w:hAnsi="Arial"/>
          <w:noProof/>
          <w:sz w:val="24"/>
          <w:szCs w:val="24"/>
        </w:rPr>
        <w:t>4. Surveillance Systems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_Toc228543408 \h </w:instrText>
      </w:r>
      <w:r>
        <w:rPr>
          <w:rFonts w:ascii="Arial" w:cs="Arial" w:hAnsi="Arial"/>
          <w:noProof/>
          <w:webHidden/>
          <w:sz w:val="24"/>
          <w:szCs w:val="24"/>
        </w:rPr>
        <w:fldChar w:fldCharType="separate"/>
      </w:r>
      <w:r>
        <w:rPr>
          <w:rFonts w:ascii="Arial" w:cs="Arial" w:hAnsi="Arial"/>
          <w:noProof/>
          <w:webHidden/>
          <w:sz w:val="24"/>
          <w:szCs w:val="24"/>
        </w:rPr>
        <w:t>8</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"_Toc228543409" </w:instrText>
      </w:r>
      <w:r>
        <w:rPr/>
        <w:fldChar w:fldCharType="separate"/>
      </w:r>
      <w:r>
        <w:rPr>
          <w:rStyle w:val="style85"/>
          <w:rFonts w:ascii="Arial" w:cs="Arial" w:hAnsi="Arial"/>
          <w:noProof/>
          <w:sz w:val="24"/>
          <w:szCs w:val="24"/>
        </w:rPr>
        <w:t>5. Public Health Response (3 Ps Model)</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_Toc228543409 \h </w:instrText>
      </w:r>
      <w:r>
        <w:rPr>
          <w:rFonts w:ascii="Arial" w:cs="Arial" w:hAnsi="Arial"/>
          <w:noProof/>
          <w:webHidden/>
          <w:sz w:val="24"/>
          <w:szCs w:val="24"/>
        </w:rPr>
        <w:fldChar w:fldCharType="separate"/>
      </w:r>
      <w:r>
        <w:rPr>
          <w:rFonts w:ascii="Arial" w:cs="Arial" w:hAnsi="Arial"/>
          <w:noProof/>
          <w:webHidden/>
          <w:sz w:val="24"/>
          <w:szCs w:val="24"/>
        </w:rPr>
        <w:t>10</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"_Toc228543410" </w:instrText>
      </w:r>
      <w:r>
        <w:rPr/>
        <w:fldChar w:fldCharType="separate"/>
      </w:r>
      <w:r>
        <w:rPr>
          <w:rStyle w:val="style85"/>
          <w:rFonts w:ascii="Arial" w:cs="Arial" w:hAnsi="Arial"/>
          <w:noProof/>
          <w:sz w:val="24"/>
          <w:szCs w:val="24"/>
        </w:rPr>
        <w:t>5.1 Prevention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_Toc228543410 \h </w:instrText>
      </w:r>
      <w:r>
        <w:rPr>
          <w:rFonts w:ascii="Arial" w:cs="Arial" w:hAnsi="Arial"/>
          <w:noProof/>
          <w:webHidden/>
          <w:sz w:val="24"/>
          <w:szCs w:val="24"/>
        </w:rPr>
        <w:fldChar w:fldCharType="separate"/>
      </w:r>
      <w:r>
        <w:rPr>
          <w:rFonts w:ascii="Arial" w:cs="Arial" w:hAnsi="Arial"/>
          <w:noProof/>
          <w:webHidden/>
          <w:sz w:val="24"/>
          <w:szCs w:val="24"/>
        </w:rPr>
        <w:t>10</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"_Toc228543411" </w:instrText>
      </w:r>
      <w:r>
        <w:rPr/>
        <w:fldChar w:fldCharType="separate"/>
      </w:r>
      <w:r>
        <w:rPr>
          <w:rStyle w:val="style85"/>
          <w:rFonts w:ascii="Arial" w:cs="Arial" w:hAnsi="Arial"/>
          <w:noProof/>
          <w:sz w:val="24"/>
          <w:szCs w:val="24"/>
        </w:rPr>
        <w:t>5.2 Protection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_Toc228543411 \h </w:instrText>
      </w:r>
      <w:r>
        <w:rPr>
          <w:rFonts w:ascii="Arial" w:cs="Arial" w:hAnsi="Arial"/>
          <w:noProof/>
          <w:webHidden/>
          <w:sz w:val="24"/>
          <w:szCs w:val="24"/>
        </w:rPr>
        <w:fldChar w:fldCharType="separate"/>
      </w:r>
      <w:r>
        <w:rPr>
          <w:rFonts w:ascii="Arial" w:cs="Arial" w:hAnsi="Arial"/>
          <w:noProof/>
          <w:webHidden/>
          <w:sz w:val="24"/>
          <w:szCs w:val="24"/>
        </w:rPr>
        <w:t>10</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"_Toc228543412" </w:instrText>
      </w:r>
      <w:r>
        <w:rPr/>
        <w:fldChar w:fldCharType="separate"/>
      </w:r>
      <w:r>
        <w:rPr>
          <w:rStyle w:val="style85"/>
          <w:rFonts w:ascii="Arial" w:cs="Arial" w:hAnsi="Arial"/>
          <w:noProof/>
          <w:sz w:val="24"/>
          <w:szCs w:val="24"/>
        </w:rPr>
        <w:t>5.3 Promotion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_Toc228543412 \h </w:instrText>
      </w:r>
      <w:r>
        <w:rPr>
          <w:rFonts w:ascii="Arial" w:cs="Arial" w:hAnsi="Arial"/>
          <w:noProof/>
          <w:webHidden/>
          <w:sz w:val="24"/>
          <w:szCs w:val="24"/>
        </w:rPr>
        <w:fldChar w:fldCharType="separate"/>
      </w:r>
      <w:r>
        <w:rPr>
          <w:rFonts w:ascii="Arial" w:cs="Arial" w:hAnsi="Arial"/>
          <w:noProof/>
          <w:webHidden/>
          <w:sz w:val="24"/>
          <w:szCs w:val="24"/>
        </w:rPr>
        <w:t>11</w:t>
      </w:r>
      <w:r>
        <w:rPr>
          <w:rFonts w:ascii="Arial" w:cs="Arial" w:hAnsi="Arial"/>
          <w:noProof/>
          <w:webHidden/>
          <w:sz w:val="24"/>
          <w:szCs w:val="24"/>
        </w:rPr>
        <w:fldChar w:fldCharType="end"/>
      </w:r>
      <w:r>
        <w:rPr/>
        <w:fldChar w:fldCharType="end"/>
      </w:r>
    </w:p>
    <w:p>
      <w:pPr>
        <w:pStyle w:val="style20"/>
        <w:tabs>
          <w:tab w:val="right" w:leader="dot" w:pos="9350"/>
        </w:tabs>
        <w:rPr>
          <w:rFonts w:ascii="Arial" w:cs="Arial" w:eastAsia="宋体" w:hAnsi="Arial"/>
          <w:noProof/>
          <w:sz w:val="24"/>
          <w:szCs w:val="24"/>
          <w:lang w:eastAsia="en-GB"/>
        </w:rPr>
      </w:pPr>
      <w:r>
        <w:rPr/>
        <w:fldChar w:fldCharType="begin"/>
      </w:r>
      <w:r>
        <w:instrText xml:space="preserve"> HYPERLINK \l "_Toc228543413" </w:instrText>
      </w:r>
      <w:r>
        <w:rPr/>
        <w:fldChar w:fldCharType="separate"/>
      </w:r>
      <w:r>
        <w:rPr>
          <w:rStyle w:val="style85"/>
          <w:rFonts w:ascii="Arial" w:cs="Arial" w:hAnsi="Arial"/>
          <w:noProof/>
          <w:sz w:val="24"/>
          <w:szCs w:val="24"/>
        </w:rPr>
        <w:t>5.4 Critical Analysis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_Toc228543413 \h </w:instrText>
      </w:r>
      <w:r>
        <w:rPr>
          <w:rFonts w:ascii="Arial" w:cs="Arial" w:hAnsi="Arial"/>
          <w:noProof/>
          <w:webHidden/>
          <w:sz w:val="24"/>
          <w:szCs w:val="24"/>
        </w:rPr>
        <w:fldChar w:fldCharType="separate"/>
      </w:r>
      <w:r>
        <w:rPr>
          <w:rFonts w:ascii="Arial" w:cs="Arial" w:hAnsi="Arial"/>
          <w:noProof/>
          <w:webHidden/>
          <w:sz w:val="24"/>
          <w:szCs w:val="24"/>
        </w:rPr>
        <w:t>11</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"_Toc228543414" </w:instrText>
      </w:r>
      <w:r>
        <w:rPr/>
        <w:fldChar w:fldCharType="separate"/>
      </w:r>
      <w:r>
        <w:rPr>
          <w:rStyle w:val="style85"/>
          <w:rFonts w:ascii="Arial" w:cs="Arial" w:hAnsi="Arial"/>
          <w:noProof/>
          <w:sz w:val="24"/>
          <w:szCs w:val="24"/>
        </w:rPr>
        <w:t>6. Intervention Programme</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_Toc228543414 \h </w:instrText>
      </w:r>
      <w:r>
        <w:rPr>
          <w:rFonts w:ascii="Arial" w:cs="Arial" w:hAnsi="Arial"/>
          <w:noProof/>
          <w:webHidden/>
          <w:sz w:val="24"/>
          <w:szCs w:val="24"/>
        </w:rPr>
        <w:fldChar w:fldCharType="separate"/>
      </w:r>
      <w:r>
        <w:rPr>
          <w:rFonts w:ascii="Arial" w:cs="Arial" w:hAnsi="Arial"/>
          <w:noProof/>
          <w:webHidden/>
          <w:sz w:val="24"/>
          <w:szCs w:val="24"/>
        </w:rPr>
        <w:t>11</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"_Toc228543415" </w:instrText>
      </w:r>
      <w:r>
        <w:rPr/>
        <w:fldChar w:fldCharType="separate"/>
      </w:r>
      <w:r>
        <w:rPr>
          <w:rStyle w:val="style85"/>
          <w:rFonts w:ascii="Arial" w:cs="Arial" w:hAnsi="Arial"/>
          <w:noProof/>
          <w:sz w:val="24"/>
          <w:szCs w:val="24"/>
        </w:rPr>
        <w:t>7. Impact of Type 2 Diabetes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_Toc228543415 \h </w:instrText>
      </w:r>
      <w:r>
        <w:rPr>
          <w:rFonts w:ascii="Arial" w:cs="Arial" w:hAnsi="Arial"/>
          <w:noProof/>
          <w:webHidden/>
          <w:sz w:val="24"/>
          <w:szCs w:val="24"/>
        </w:rPr>
        <w:fldChar w:fldCharType="separate"/>
      </w:r>
      <w:r>
        <w:rPr>
          <w:rFonts w:ascii="Arial" w:cs="Arial" w:hAnsi="Arial"/>
          <w:noProof/>
          <w:webHidden/>
          <w:sz w:val="24"/>
          <w:szCs w:val="24"/>
        </w:rPr>
        <w:t>12</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"_Toc228543416" </w:instrText>
      </w:r>
      <w:r>
        <w:rPr/>
        <w:fldChar w:fldCharType="separate"/>
      </w:r>
      <w:r>
        <w:rPr>
          <w:rStyle w:val="style85"/>
          <w:rFonts w:ascii="Arial" w:cs="Arial" w:hAnsi="Arial"/>
          <w:noProof/>
          <w:sz w:val="24"/>
          <w:szCs w:val="24"/>
        </w:rPr>
        <w:t>8. Strengths and Limitations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_Toc228543416 \h </w:instrText>
      </w:r>
      <w:r>
        <w:rPr>
          <w:rFonts w:ascii="Arial" w:cs="Arial" w:hAnsi="Arial"/>
          <w:noProof/>
          <w:webHidden/>
          <w:sz w:val="24"/>
          <w:szCs w:val="24"/>
        </w:rPr>
        <w:fldChar w:fldCharType="separate"/>
      </w:r>
      <w:r>
        <w:rPr>
          <w:rFonts w:ascii="Arial" w:cs="Arial" w:hAnsi="Arial"/>
          <w:noProof/>
          <w:webHidden/>
          <w:sz w:val="24"/>
          <w:szCs w:val="24"/>
        </w:rPr>
        <w:t>12</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"_Toc228543417" </w:instrText>
      </w:r>
      <w:r>
        <w:rPr/>
        <w:fldChar w:fldCharType="separate"/>
      </w:r>
      <w:r>
        <w:rPr>
          <w:rStyle w:val="style85"/>
          <w:rFonts w:ascii="Arial" w:cs="Arial" w:hAnsi="Arial"/>
          <w:noProof/>
          <w:sz w:val="24"/>
          <w:szCs w:val="24"/>
        </w:rPr>
        <w:t>9. Conclusion</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_Toc228543417 \h </w:instrText>
      </w:r>
      <w:r>
        <w:rPr>
          <w:rFonts w:ascii="Arial" w:cs="Arial" w:hAnsi="Arial"/>
          <w:noProof/>
          <w:webHidden/>
          <w:sz w:val="24"/>
          <w:szCs w:val="24"/>
        </w:rPr>
        <w:fldChar w:fldCharType="separate"/>
      </w:r>
      <w:r>
        <w:rPr>
          <w:rFonts w:ascii="Arial" w:cs="Arial" w:hAnsi="Arial"/>
          <w:noProof/>
          <w:webHidden/>
          <w:sz w:val="24"/>
          <w:szCs w:val="24"/>
        </w:rPr>
        <w:t>13</w:t>
      </w:r>
      <w:r>
        <w:rPr>
          <w:rFonts w:ascii="Arial" w:cs="Arial" w:hAnsi="Arial"/>
          <w:noProof/>
          <w:webHidden/>
          <w:sz w:val="24"/>
          <w:szCs w:val="24"/>
        </w:rPr>
        <w:fldChar w:fldCharType="end"/>
      </w:r>
      <w:r>
        <w:rPr/>
        <w:fldChar w:fldCharType="end"/>
      </w:r>
    </w:p>
    <w:p>
      <w:pPr>
        <w:pStyle w:val="style19"/>
        <w:tabs>
          <w:tab w:val="right" w:leader="dot" w:pos="9350"/>
        </w:tabs>
        <w:rPr>
          <w:rFonts w:ascii="Arial" w:cs="Arial" w:eastAsia="宋体" w:hAnsi="Arial"/>
          <w:noProof/>
          <w:sz w:val="24"/>
          <w:szCs w:val="24"/>
          <w:lang w:eastAsia="en-GB"/>
        </w:rPr>
      </w:pPr>
      <w:r>
        <w:rPr/>
        <w:fldChar w:fldCharType="begin"/>
      </w:r>
      <w:r>
        <w:instrText xml:space="preserve"> HYPERLINK \l "_Toc228543418" </w:instrText>
      </w:r>
      <w:r>
        <w:rPr/>
        <w:fldChar w:fldCharType="separate"/>
      </w:r>
      <w:r>
        <w:rPr>
          <w:rStyle w:val="style85"/>
          <w:rFonts w:ascii="Arial" w:cs="Arial" w:eastAsia="Times New Roman" w:hAnsi="Arial"/>
          <w:noProof/>
          <w:sz w:val="24"/>
          <w:szCs w:val="24"/>
          <w:lang w:eastAsia="en-GB"/>
        </w:rPr>
        <w:t>References</w:t>
      </w:r>
      <w:r>
        <w:rPr>
          <w:rFonts w:ascii="Arial" w:cs="Arial" w:hAnsi="Arial"/>
          <w:noProof/>
          <w:webHidden/>
          <w:sz w:val="24"/>
          <w:szCs w:val="24"/>
        </w:rPr>
        <w:tab/>
      </w:r>
      <w:r>
        <w:rPr>
          <w:rFonts w:ascii="Arial" w:cs="Arial" w:hAnsi="Arial"/>
          <w:noProof/>
          <w:webHidden/>
          <w:sz w:val="24"/>
          <w:szCs w:val="24"/>
        </w:rPr>
        <w:fldChar w:fldCharType="begin"/>
      </w:r>
      <w:r>
        <w:rPr>
          <w:rFonts w:ascii="Arial" w:cs="Arial" w:hAnsi="Arial"/>
          <w:noProof/>
          <w:webHidden/>
          <w:sz w:val="24"/>
          <w:szCs w:val="24"/>
        </w:rPr>
        <w:instrText xml:space="preserve"> PAGEREF _Toc228543418 \h </w:instrText>
      </w:r>
      <w:r>
        <w:rPr>
          <w:rFonts w:ascii="Arial" w:cs="Arial" w:hAnsi="Arial"/>
          <w:noProof/>
          <w:webHidden/>
          <w:sz w:val="24"/>
          <w:szCs w:val="24"/>
        </w:rPr>
        <w:fldChar w:fldCharType="separate"/>
      </w:r>
      <w:r>
        <w:rPr>
          <w:rFonts w:ascii="Arial" w:cs="Arial" w:hAnsi="Arial"/>
          <w:noProof/>
          <w:webHidden/>
          <w:sz w:val="24"/>
          <w:szCs w:val="24"/>
        </w:rPr>
        <w:t>14</w:t>
      </w:r>
      <w:r>
        <w:rPr>
          <w:rFonts w:ascii="Arial" w:cs="Arial" w:hAnsi="Arial"/>
          <w:noProof/>
          <w:webHidden/>
          <w:sz w:val="24"/>
          <w:szCs w:val="24"/>
        </w:rPr>
        <w:fldChar w:fldCharType="end"/>
      </w:r>
      <w:r>
        <w:rPr/>
        <w:fldChar w:fldCharType="end"/>
      </w:r>
    </w:p>
    <w:p>
      <w:pPr>
        <w:pStyle w:val="style0"/>
        <w:spacing w:lineRule="auto" w:line="360"/>
        <w:jc w:val="both"/>
        <w:rPr>
          <w:rFonts w:ascii="Arial" w:cs="Arial" w:hAnsi="Arial"/>
        </w:rPr>
      </w:pPr>
      <w:r>
        <w:rPr>
          <w:rFonts w:ascii="Arial" w:cs="Arial" w:hAnsi="Arial"/>
          <w:b/>
          <w:bCs/>
          <w:noProof/>
          <w:sz w:val="24"/>
          <w:szCs w:val="24"/>
        </w:rPr>
        <w:fldChar w:fldCharType="end"/>
      </w:r>
    </w:p>
    <w:bookmarkEnd w:id="0"/>
    <w:p>
      <w:pPr>
        <w:pStyle w:val="style0"/>
        <w:rPr>
          <w:rFonts w:ascii="Arial" w:cs="Arial" w:hAnsi="Arial"/>
        </w:rPr>
      </w:pPr>
    </w:p>
    <w:p>
      <w:pPr>
        <w:pStyle w:val="style0"/>
        <w:rPr>
          <w:rFonts w:ascii="Arial" w:cs="Arial" w:hAnsi="Arial"/>
        </w:rPr>
      </w:pPr>
    </w:p>
    <w:p>
      <w:pPr>
        <w:pStyle w:val="style0"/>
        <w:rPr>
          <w:rFonts w:ascii="Arial" w:cs="Arial" w:hAnsi="Arial"/>
        </w:rPr>
      </w:pPr>
    </w:p>
    <w:p>
      <w:pPr>
        <w:pStyle w:val="style0"/>
        <w:rPr>
          <w:rFonts w:ascii="Arial" w:cs="Arial" w:hAnsi="Arial"/>
        </w:rPr>
      </w:pPr>
    </w:p>
    <w:p>
      <w:pPr>
        <w:pStyle w:val="style0"/>
        <w:rPr>
          <w:rFonts w:ascii="Arial" w:cs="Arial" w:hAnsi="Arial"/>
        </w:rPr>
      </w:pPr>
    </w:p>
    <w:p>
      <w:pPr>
        <w:pStyle w:val="style0"/>
        <w:jc w:val="center"/>
        <w:rPr>
          <w:rFonts w:ascii="Arial" w:cs="Arial" w:hAnsi="Arial"/>
          <w:b/>
          <w:sz w:val="28"/>
        </w:rPr>
      </w:pPr>
      <w:r>
        <w:rPr>
          <w:rFonts w:ascii="Arial" w:cs="Arial" w:hAnsi="Arial"/>
          <w:b/>
          <w:sz w:val="28"/>
        </w:rPr>
        <w:t>List of Figure</w:t>
      </w:r>
    </w:p>
    <w:p>
      <w:pPr>
        <w:pStyle w:val="style35"/>
        <w:tabs>
          <w:tab w:val="right" w:leader="dot" w:pos="9350"/>
        </w:tabs>
        <w:spacing w:lineRule="auto" w:line="360"/>
        <w:jc w:val="both"/>
        <w:rPr>
          <w:rFonts w:ascii="Arial" w:cs="Arial" w:eastAsia="宋体" w:hAnsi="Arial"/>
          <w:noProof/>
          <w:sz w:val="24"/>
          <w:lang w:eastAsia="en-GB"/>
        </w:rPr>
      </w:pPr>
      <w:r>
        <w:rPr>
          <w:rFonts w:ascii="Arial" w:cs="Arial" w:hAnsi="Arial"/>
        </w:rPr>
        <w:fldChar w:fldCharType="begin"/>
      </w:r>
      <w:r>
        <w:rPr>
          <w:rFonts w:ascii="Arial" w:cs="Arial" w:hAnsi="Arial"/>
        </w:rPr>
        <w:instrText xml:space="preserve"> TOC \h \z \c "Figure" </w:instrText>
      </w:r>
      <w:r>
        <w:rPr>
          <w:rFonts w:ascii="Arial" w:cs="Arial" w:hAnsi="Arial"/>
        </w:rPr>
        <w:fldChar w:fldCharType="separate"/>
      </w:r>
      <w:r>
        <w:rPr/>
        <w:fldChar w:fldCharType="begin"/>
      </w:r>
      <w:r>
        <w:instrText xml:space="preserve"> HYPERLINK \l "_Toc228543419" </w:instrText>
      </w:r>
      <w:r>
        <w:rPr/>
        <w:fldChar w:fldCharType="separate"/>
      </w:r>
      <w:r>
        <w:rPr>
          <w:rStyle w:val="style85"/>
          <w:rFonts w:ascii="Arial" w:cs="Arial" w:hAnsi="Arial"/>
          <w:noProof/>
          <w:sz w:val="24"/>
        </w:rPr>
        <w:t>Figure 1. Concept of disease and illness. Adapted from Ashvath Online Learning Center (n.d.), contextualized with definitions from WHO and Kleinman (1988).</w:t>
      </w:r>
      <w:r>
        <w:rPr>
          <w:rFonts w:ascii="Arial" w:cs="Arial" w:hAnsi="Arial"/>
          <w:noProof/>
          <w:webHidden/>
          <w:sz w:val="24"/>
        </w:rPr>
        <w:tab/>
      </w:r>
      <w:r>
        <w:rPr>
          <w:rFonts w:ascii="Arial" w:cs="Arial" w:hAnsi="Arial"/>
          <w:noProof/>
          <w:webHidden/>
          <w:sz w:val="24"/>
        </w:rPr>
        <w:fldChar w:fldCharType="begin"/>
      </w:r>
      <w:r>
        <w:rPr>
          <w:rFonts w:ascii="Arial" w:cs="Arial" w:hAnsi="Arial"/>
          <w:noProof/>
          <w:webHidden/>
          <w:sz w:val="24"/>
        </w:rPr>
        <w:instrText xml:space="preserve"> PAGEREF _Toc228543419 \h </w:instrText>
      </w:r>
      <w:r>
        <w:rPr>
          <w:rFonts w:ascii="Arial" w:cs="Arial" w:hAnsi="Arial"/>
          <w:noProof/>
          <w:webHidden/>
          <w:sz w:val="24"/>
        </w:rPr>
        <w:fldChar w:fldCharType="separate"/>
      </w:r>
      <w:r>
        <w:rPr>
          <w:rFonts w:ascii="Arial" w:cs="Arial" w:hAnsi="Arial"/>
          <w:noProof/>
          <w:webHidden/>
          <w:sz w:val="24"/>
        </w:rPr>
        <w:t>2</w:t>
      </w:r>
      <w:r>
        <w:rPr>
          <w:rFonts w:ascii="Arial" w:cs="Arial" w:hAnsi="Arial"/>
          <w:noProof/>
          <w:webHidden/>
          <w:sz w:val="24"/>
        </w:rPr>
        <w:fldChar w:fldCharType="end"/>
      </w:r>
      <w:r>
        <w:rPr/>
        <w:fldChar w:fldCharType="end"/>
      </w:r>
    </w:p>
    <w:p>
      <w:pPr>
        <w:pStyle w:val="style35"/>
        <w:tabs>
          <w:tab w:val="right" w:leader="dot" w:pos="9350"/>
        </w:tabs>
        <w:spacing w:lineRule="auto" w:line="360"/>
        <w:jc w:val="both"/>
        <w:rPr>
          <w:rFonts w:ascii="Arial" w:cs="Arial" w:eastAsia="宋体" w:hAnsi="Arial"/>
          <w:noProof/>
          <w:sz w:val="24"/>
          <w:lang w:eastAsia="en-GB"/>
        </w:rPr>
      </w:pPr>
      <w:r>
        <w:rPr/>
        <w:fldChar w:fldCharType="begin"/>
      </w:r>
      <w:r>
        <w:instrText xml:space="preserve"> HYPERLINK \l "_Toc228543420" </w:instrText>
      </w:r>
      <w:r>
        <w:rPr/>
        <w:fldChar w:fldCharType="separate"/>
      </w:r>
      <w:r>
        <w:rPr>
          <w:rStyle w:val="style85"/>
          <w:rFonts w:ascii="Arial" w:cs="Arial" w:hAnsi="Arial"/>
          <w:noProof/>
          <w:sz w:val="24"/>
        </w:rPr>
        <w:t>Figure 2. Social issues word cloud. Adapted from Ashvath Online Learning Center (n.d.), contextualized with analyses from ONS, Shelter UK, NHS England, and WHO</w:t>
      </w:r>
      <w:r>
        <w:rPr>
          <w:rFonts w:ascii="Arial" w:cs="Arial" w:hAnsi="Arial"/>
          <w:noProof/>
          <w:webHidden/>
          <w:sz w:val="24"/>
        </w:rPr>
        <w:tab/>
      </w:r>
      <w:r>
        <w:rPr>
          <w:rFonts w:ascii="Arial" w:cs="Arial" w:hAnsi="Arial"/>
          <w:noProof/>
          <w:webHidden/>
          <w:sz w:val="24"/>
        </w:rPr>
        <w:fldChar w:fldCharType="begin"/>
      </w:r>
      <w:r>
        <w:rPr>
          <w:rFonts w:ascii="Arial" w:cs="Arial" w:hAnsi="Arial"/>
          <w:noProof/>
          <w:webHidden/>
          <w:sz w:val="24"/>
        </w:rPr>
        <w:instrText xml:space="preserve"> PAGEREF _Toc228543420 \h </w:instrText>
      </w:r>
      <w:r>
        <w:rPr>
          <w:rFonts w:ascii="Arial" w:cs="Arial" w:hAnsi="Arial"/>
          <w:noProof/>
          <w:webHidden/>
          <w:sz w:val="24"/>
        </w:rPr>
        <w:fldChar w:fldCharType="separate"/>
      </w:r>
      <w:r>
        <w:rPr>
          <w:rFonts w:ascii="Arial" w:cs="Arial" w:hAnsi="Arial"/>
          <w:noProof/>
          <w:webHidden/>
          <w:sz w:val="24"/>
        </w:rPr>
        <w:t>3</w:t>
      </w:r>
      <w:r>
        <w:rPr>
          <w:rFonts w:ascii="Arial" w:cs="Arial" w:hAnsi="Arial"/>
          <w:noProof/>
          <w:webHidden/>
          <w:sz w:val="24"/>
        </w:rPr>
        <w:fldChar w:fldCharType="end"/>
      </w:r>
      <w:r>
        <w:rPr/>
        <w:fldChar w:fldCharType="end"/>
      </w:r>
    </w:p>
    <w:p>
      <w:pPr>
        <w:pStyle w:val="style35"/>
        <w:tabs>
          <w:tab w:val="right" w:leader="dot" w:pos="9350"/>
        </w:tabs>
        <w:spacing w:lineRule="auto" w:line="360"/>
        <w:jc w:val="both"/>
        <w:rPr>
          <w:rFonts w:ascii="Arial" w:cs="Arial" w:eastAsia="宋体" w:hAnsi="Arial"/>
          <w:noProof/>
          <w:sz w:val="24"/>
          <w:lang w:eastAsia="en-GB"/>
        </w:rPr>
      </w:pPr>
      <w:r>
        <w:rPr/>
        <w:fldChar w:fldCharType="begin"/>
      </w:r>
      <w:r>
        <w:instrText xml:space="preserve"> HYPERLINK \l "_Toc228543421" </w:instrText>
      </w:r>
      <w:r>
        <w:rPr/>
        <w:fldChar w:fldCharType="separate"/>
      </w:r>
      <w:r>
        <w:rPr>
          <w:rStyle w:val="style85"/>
          <w:rFonts w:ascii="Arial" w:cs="Arial" w:hAnsi="Arial"/>
          <w:noProof/>
          <w:sz w:val="24"/>
        </w:rPr>
        <w:t>Figure 3. Detection and epidemiology of infectious disease. Adapted from Heymann (2022), Nelson &amp; Williams (2023), and Oxford Textbook of Infectious Disease Epidemiology (2024)</w:t>
      </w:r>
      <w:r>
        <w:rPr>
          <w:rFonts w:ascii="Arial" w:cs="Arial" w:hAnsi="Arial"/>
          <w:noProof/>
          <w:webHidden/>
          <w:sz w:val="24"/>
        </w:rPr>
        <w:tab/>
      </w:r>
      <w:r>
        <w:rPr>
          <w:rFonts w:ascii="Arial" w:cs="Arial" w:hAnsi="Arial"/>
          <w:noProof/>
          <w:webHidden/>
          <w:sz w:val="24"/>
        </w:rPr>
        <w:fldChar w:fldCharType="begin"/>
      </w:r>
      <w:r>
        <w:rPr>
          <w:rFonts w:ascii="Arial" w:cs="Arial" w:hAnsi="Arial"/>
          <w:noProof/>
          <w:webHidden/>
          <w:sz w:val="24"/>
        </w:rPr>
        <w:instrText xml:space="preserve"> PAGEREF _Toc228543421 \h </w:instrText>
      </w:r>
      <w:r>
        <w:rPr>
          <w:rFonts w:ascii="Arial" w:cs="Arial" w:hAnsi="Arial"/>
          <w:noProof/>
          <w:webHidden/>
          <w:sz w:val="24"/>
        </w:rPr>
        <w:fldChar w:fldCharType="separate"/>
      </w:r>
      <w:r>
        <w:rPr>
          <w:rFonts w:ascii="Arial" w:cs="Arial" w:hAnsi="Arial"/>
          <w:noProof/>
          <w:webHidden/>
          <w:sz w:val="24"/>
        </w:rPr>
        <w:t>7</w:t>
      </w:r>
      <w:r>
        <w:rPr>
          <w:rFonts w:ascii="Arial" w:cs="Arial" w:hAnsi="Arial"/>
          <w:noProof/>
          <w:webHidden/>
          <w:sz w:val="24"/>
        </w:rPr>
        <w:fldChar w:fldCharType="end"/>
      </w:r>
      <w:r>
        <w:rPr/>
        <w:fldChar w:fldCharType="end"/>
      </w:r>
    </w:p>
    <w:p>
      <w:pPr>
        <w:pStyle w:val="style35"/>
        <w:tabs>
          <w:tab w:val="right" w:leader="dot" w:pos="9350"/>
        </w:tabs>
        <w:spacing w:lineRule="auto" w:line="360"/>
        <w:jc w:val="both"/>
        <w:rPr>
          <w:rFonts w:ascii="Arial" w:cs="Arial" w:eastAsia="宋体" w:hAnsi="Arial"/>
          <w:noProof/>
          <w:sz w:val="24"/>
          <w:lang w:eastAsia="en-GB"/>
        </w:rPr>
      </w:pPr>
      <w:r>
        <w:rPr/>
        <w:fldChar w:fldCharType="begin"/>
      </w:r>
      <w:r>
        <w:instrText xml:space="preserve"> HYPERLINK \l "_Toc228543422" </w:instrText>
      </w:r>
      <w:r>
        <w:rPr/>
        <w:fldChar w:fldCharType="separate"/>
      </w:r>
      <w:r>
        <w:rPr>
          <w:rStyle w:val="style85"/>
          <w:rFonts w:ascii="Arial" w:cs="Arial" w:hAnsi="Arial"/>
          <w:noProof/>
          <w:sz w:val="24"/>
        </w:rPr>
        <w:t>Figure 4. Surveillance systems in detection and epidemiology. Adapted from World Health Organization (2023), Centres for Disease Control and Prevention (CDC, 2024), and European Centre for Disease Prevention and Control (ECDC, 2023).</w:t>
      </w:r>
      <w:r>
        <w:rPr>
          <w:rFonts w:ascii="Arial" w:cs="Arial" w:hAnsi="Arial"/>
          <w:noProof/>
          <w:webHidden/>
          <w:sz w:val="24"/>
        </w:rPr>
        <w:tab/>
      </w:r>
      <w:r>
        <w:rPr>
          <w:rFonts w:ascii="Arial" w:cs="Arial" w:hAnsi="Arial"/>
          <w:noProof/>
          <w:webHidden/>
          <w:sz w:val="24"/>
        </w:rPr>
        <w:fldChar w:fldCharType="begin"/>
      </w:r>
      <w:r>
        <w:rPr>
          <w:rFonts w:ascii="Arial" w:cs="Arial" w:hAnsi="Arial"/>
          <w:noProof/>
          <w:webHidden/>
          <w:sz w:val="24"/>
        </w:rPr>
        <w:instrText xml:space="preserve"> PAGEREF _Toc228543422 \h </w:instrText>
      </w:r>
      <w:r>
        <w:rPr>
          <w:rFonts w:ascii="Arial" w:cs="Arial" w:hAnsi="Arial"/>
          <w:noProof/>
          <w:webHidden/>
          <w:sz w:val="24"/>
        </w:rPr>
        <w:fldChar w:fldCharType="separate"/>
      </w:r>
      <w:r>
        <w:rPr>
          <w:rFonts w:ascii="Arial" w:cs="Arial" w:hAnsi="Arial"/>
          <w:noProof/>
          <w:webHidden/>
          <w:sz w:val="24"/>
        </w:rPr>
        <w:t>8</w:t>
      </w:r>
      <w:r>
        <w:rPr>
          <w:rFonts w:ascii="Arial" w:cs="Arial" w:hAnsi="Arial"/>
          <w:noProof/>
          <w:webHidden/>
          <w:sz w:val="24"/>
        </w:rPr>
        <w:fldChar w:fldCharType="end"/>
      </w:r>
      <w:r>
        <w:rPr/>
        <w:fldChar w:fldCharType="end"/>
      </w:r>
    </w:p>
    <w:p>
      <w:pPr>
        <w:pStyle w:val="style35"/>
        <w:tabs>
          <w:tab w:val="right" w:leader="dot" w:pos="9350"/>
        </w:tabs>
        <w:spacing w:lineRule="auto" w:line="360"/>
        <w:jc w:val="both"/>
        <w:rPr>
          <w:rFonts w:ascii="Arial" w:cs="Arial" w:eastAsia="宋体" w:hAnsi="Arial"/>
          <w:noProof/>
          <w:sz w:val="24"/>
          <w:lang w:eastAsia="en-GB"/>
        </w:rPr>
      </w:pPr>
      <w:r>
        <w:rPr/>
        <w:fldChar w:fldCharType="begin"/>
      </w:r>
      <w:r>
        <w:instrText xml:space="preserve"> HYPERLINK \l "_Toc228543423" </w:instrText>
      </w:r>
      <w:r>
        <w:rPr/>
        <w:fldChar w:fldCharType="separate"/>
      </w:r>
      <w:r>
        <w:rPr>
          <w:rStyle w:val="style85"/>
          <w:rFonts w:ascii="Arial" w:cs="Arial" w:hAnsi="Arial"/>
          <w:noProof/>
          <w:sz w:val="24"/>
        </w:rPr>
        <w:t>Figure 5. Public health response using the 3Ps model. Adapted from World Health Organization (2023), Centers for Disease Control and Prevention (CDC, 2024), and Public Health England (2022).</w:t>
      </w:r>
      <w:r>
        <w:rPr>
          <w:rFonts w:ascii="Arial" w:cs="Arial" w:hAnsi="Arial"/>
          <w:noProof/>
          <w:webHidden/>
          <w:sz w:val="24"/>
        </w:rPr>
        <w:tab/>
      </w:r>
      <w:r>
        <w:rPr>
          <w:rFonts w:ascii="Arial" w:cs="Arial" w:hAnsi="Arial"/>
          <w:noProof/>
          <w:webHidden/>
          <w:sz w:val="24"/>
        </w:rPr>
        <w:fldChar w:fldCharType="begin"/>
      </w:r>
      <w:r>
        <w:rPr>
          <w:rFonts w:ascii="Arial" w:cs="Arial" w:hAnsi="Arial"/>
          <w:noProof/>
          <w:webHidden/>
          <w:sz w:val="24"/>
        </w:rPr>
        <w:instrText xml:space="preserve"> PAGEREF _Toc228543423 \h </w:instrText>
      </w:r>
      <w:r>
        <w:rPr>
          <w:rFonts w:ascii="Arial" w:cs="Arial" w:hAnsi="Arial"/>
          <w:noProof/>
          <w:webHidden/>
          <w:sz w:val="24"/>
        </w:rPr>
        <w:fldChar w:fldCharType="separate"/>
      </w:r>
      <w:r>
        <w:rPr>
          <w:rFonts w:ascii="Arial" w:cs="Arial" w:hAnsi="Arial"/>
          <w:noProof/>
          <w:webHidden/>
          <w:sz w:val="24"/>
        </w:rPr>
        <w:t>10</w:t>
      </w:r>
      <w:r>
        <w:rPr>
          <w:rFonts w:ascii="Arial" w:cs="Arial" w:hAnsi="Arial"/>
          <w:noProof/>
          <w:webHidden/>
          <w:sz w:val="24"/>
        </w:rPr>
        <w:fldChar w:fldCharType="end"/>
      </w:r>
      <w:r>
        <w:rPr/>
        <w:fldChar w:fldCharType="end"/>
      </w:r>
    </w:p>
    <w:p>
      <w:pPr>
        <w:pStyle w:val="style0"/>
        <w:rPr>
          <w:rFonts w:ascii="Arial" w:cs="Arial" w:hAnsi="Arial"/>
        </w:rPr>
      </w:pPr>
      <w:r>
        <w:rPr>
          <w:rFonts w:ascii="Arial" w:cs="Arial" w:hAnsi="Arial"/>
        </w:rPr>
        <w:fldChar w:fldCharType="end"/>
      </w:r>
    </w:p>
    <w:p>
      <w:pPr>
        <w:pStyle w:val="style0"/>
        <w:rPr>
          <w:rFonts w:ascii="Arial" w:cs="Arial" w:hAnsi="Arial"/>
        </w:rPr>
        <w:sectPr>
          <w:footerReference w:type="default" r:id="rId3"/>
          <w:pgSz w:w="12240" w:h="15840" w:orient="portrait"/>
          <w:pgMar w:top="1440" w:right="1440" w:bottom="1440" w:left="1440" w:header="720" w:footer="720" w:gutter="0"/>
          <w:pgNumType w:fmt="lowerRoman"/>
          <w:cols w:space="720"/>
        </w:sectPr>
      </w:pPr>
    </w:p>
    <w:bookmarkStart w:id="1" w:name="_4wxmkwmd022q" w:colFirst="0" w:colLast="0"/>
    <w:bookmarkStart w:id="2" w:name="_Toc228543394"/>
    <w:bookmarkEnd w:id="1"/>
    <w:p>
      <w:pPr>
        <w:pStyle w:val="style1"/>
        <w:spacing w:lineRule="auto" w:line="480"/>
        <w:jc w:val="center"/>
        <w:rPr>
          <w:rFonts w:eastAsia="Times New Roman"/>
          <w:lang w:eastAsia="en-GB"/>
        </w:rPr>
      </w:pPr>
      <w:r>
        <w:rPr>
          <w:rFonts w:eastAsia="Times New Roman"/>
          <w:lang w:eastAsia="en-GB"/>
        </w:rPr>
        <w:t>Task 1: Social Epidemiological Analysis</w:t>
      </w:r>
      <w:bookmarkEnd w:id="2"/>
    </w:p>
    <w:p>
      <w:pPr>
        <w:pStyle w:val="style0"/>
        <w:rPr>
          <w:lang w:eastAsia="en-GB"/>
        </w:rPr>
      </w:pPr>
    </w:p>
    <w:p>
      <w:pPr>
        <w:pStyle w:val="style0"/>
        <w:jc w:val="center"/>
        <w:rPr>
          <w:rFonts w:ascii="Arial" w:cs="Arial" w:hAnsi="Arial"/>
          <w:b/>
          <w:sz w:val="24"/>
          <w:lang w:eastAsia="en-GB"/>
        </w:rPr>
      </w:pPr>
      <w:r>
        <w:rPr>
          <w:rFonts w:ascii="Arial" w:cs="Arial" w:hAnsi="Arial"/>
          <w:b/>
          <w:sz w:val="24"/>
          <w:lang w:eastAsia="en-GB"/>
        </w:rPr>
        <w:t xml:space="preserve">Title: </w:t>
      </w:r>
      <w:r>
        <w:rPr>
          <w:rFonts w:ascii="Arial" w:cs="Arial" w:hAnsi="Arial"/>
          <w:b/>
          <w:sz w:val="24"/>
        </w:rPr>
        <w:t>“Ethnicity and Health Inequality in the UK: A Social Epidemiological Analysis”</w:t>
      </w:r>
    </w:p>
    <w:bookmarkStart w:id="3" w:name="_Toc228543395"/>
    <w:p>
      <w:pPr>
        <w:pStyle w:val="style1"/>
        <w:spacing w:lineRule="auto" w:line="480"/>
        <w:rPr>
          <w:rFonts w:eastAsia="Times New Roman"/>
          <w:lang w:eastAsia="en-GB"/>
        </w:rPr>
      </w:pPr>
      <w:r>
        <w:rPr>
          <w:rFonts w:eastAsia="Times New Roman"/>
          <w:lang w:eastAsia="en-GB"/>
        </w:rPr>
        <w:t>1. Introduction</w:t>
      </w:r>
      <w:bookmarkEnd w:id="3"/>
      <w:r>
        <w:rPr>
          <w:rFonts w:eastAsia="Times New Roman"/>
          <w:lang w:eastAsia="en-GB"/>
        </w:rPr>
        <w:t xml:space="preserve"> </w:t>
      </w:r>
    </w:p>
    <w:p>
      <w:pPr>
        <w:pStyle w:val="style0"/>
        <w:spacing w:lineRule="auto" w:line="480"/>
        <w:jc w:val="both"/>
        <w:rPr>
          <w:rFonts w:ascii="Arial" w:cs="Arial" w:hAnsi="Arial"/>
          <w:lang w:eastAsia="en-GB"/>
        </w:rPr>
      </w:pPr>
      <w:r>
        <w:rPr>
          <w:rFonts w:ascii="Arial" w:cs="Arial" w:hAnsi="Arial"/>
          <w:lang w:eastAsia="en-GB"/>
        </w:rPr>
        <w:t xml:space="preserve">Ethnicity is the common cultural traits, including language, religion, ancestry, and traditions, that determine the identity of a person in a social group (World Health Organization, 2022). Health inequalities refer to the unjustifiable and preventable disparities in health across various groups of people (NHS England, 2023). The White British population has a huge disparity in health impacts on the people of ethnic minority backgrounds in the United Kingdom. According to the data provided by the Office for National Statistics (2023), individuals belonging to ethnic minorities have more chronic illnesses and worse overall health outcomes. Structural and social determinants such as socioeconomic deprivation, discrimination, and inequitable access to healthcare services contribute to a large extent to these inequalities (World Health Organization, 2022). Moreover, institutional racism and unequal employment opportunities are some of the factors that lead to the long-standing health disparities between the ethnic groups in the UK (NHS England, 2023). </w:t>
      </w:r>
    </w:p>
    <w:p>
      <w:pPr>
        <w:pStyle w:val="style0"/>
        <w:spacing w:lineRule="auto" w:line="480"/>
        <w:jc w:val="both"/>
        <w:rPr>
          <w:rFonts w:ascii="Arial" w:cs="Arial" w:hAnsi="Arial"/>
          <w:sz w:val="24"/>
          <w:lang w:eastAsia="en-GB"/>
        </w:rPr>
      </w:pPr>
    </w:p>
    <w:p>
      <w:pPr>
        <w:pStyle w:val="style0"/>
        <w:spacing w:lineRule="auto" w:line="480"/>
        <w:jc w:val="both"/>
        <w:rPr>
          <w:rFonts w:ascii="Arial" w:cs="Arial" w:hAnsi="Arial"/>
          <w:sz w:val="24"/>
          <w:lang w:eastAsia="en-GB"/>
        </w:rPr>
      </w:pPr>
    </w:p>
    <w:p>
      <w:pPr>
        <w:pStyle w:val="style0"/>
        <w:spacing w:lineRule="auto" w:line="480"/>
        <w:jc w:val="both"/>
        <w:rPr>
          <w:rFonts w:ascii="Arial" w:cs="Arial" w:hAnsi="Arial"/>
          <w:sz w:val="24"/>
          <w:lang w:eastAsia="en-GB"/>
        </w:rPr>
      </w:pPr>
    </w:p>
    <w:p>
      <w:pPr>
        <w:pStyle w:val="style0"/>
        <w:spacing w:lineRule="auto" w:line="480"/>
        <w:jc w:val="both"/>
        <w:rPr>
          <w:rFonts w:ascii="Arial" w:cs="Arial" w:hAnsi="Arial"/>
          <w:sz w:val="24"/>
          <w:lang w:eastAsia="en-GB"/>
        </w:rPr>
      </w:pPr>
    </w:p>
    <w:p>
      <w:pPr>
        <w:pStyle w:val="style0"/>
        <w:spacing w:before="240" w:lineRule="auto" w:line="480"/>
        <w:jc w:val="both"/>
        <w:rPr>
          <w:rFonts w:ascii="Arial" w:cs="Arial" w:hAnsi="Arial"/>
          <w:sz w:val="24"/>
          <w:lang w:eastAsia="en-GB"/>
        </w:rPr>
      </w:pPr>
    </w:p>
    <w:bookmarkStart w:id="4" w:name="_Toc228543396"/>
    <w:p>
      <w:pPr>
        <w:pStyle w:val="style1"/>
        <w:spacing w:lineRule="auto" w:line="480"/>
        <w:jc w:val="both"/>
        <w:rPr>
          <w:rFonts w:eastAsia="Times New Roman"/>
          <w:lang w:eastAsia="en-GB"/>
        </w:rPr>
      </w:pPr>
      <w:r>
        <w:rPr>
          <w:rFonts w:eastAsia="Times New Roman"/>
          <w:lang w:eastAsia="en-GB"/>
        </w:rPr>
        <w:t>2. Key health inequalities</w:t>
      </w:r>
      <w:bookmarkEnd w:id="4"/>
      <w:r>
        <w:rPr>
          <w:rFonts w:eastAsia="Times New Roman"/>
          <w:lang w:eastAsia="en-GB"/>
        </w:rPr>
        <w:t xml:space="preserve"> </w:t>
      </w:r>
    </w:p>
    <w:bookmarkStart w:id="5" w:name="_Toc228543397"/>
    <w:p>
      <w:pPr>
        <w:pStyle w:val="style2"/>
        <w:spacing w:before="240" w:lineRule="auto" w:line="480"/>
        <w:jc w:val="both"/>
        <w:rPr>
          <w:rFonts w:eastAsia="Times New Roman"/>
          <w:lang w:eastAsia="en-GB"/>
        </w:rPr>
      </w:pPr>
      <w:r>
        <w:rPr>
          <w:rFonts w:eastAsia="Times New Roman"/>
          <w:lang w:eastAsia="en-GB"/>
        </w:rPr>
        <w:t>A. Disease / illness</w:t>
      </w:r>
      <w:bookmarkEnd w:id="5"/>
    </w:p>
    <w:p>
      <w:pPr>
        <w:pStyle w:val="style0"/>
        <w:keepNext/>
        <w:jc w:val="center"/>
        <w:rPr/>
      </w:pPr>
      <w:r>
        <w:rPr>
          <w:noProof/>
          <w:lang w:eastAsia="en-GB"/>
        </w:rPr>
        <w:drawing>
          <wp:inline distL="0" distT="0" distB="0" distR="0">
            <wp:extent cx="2952750" cy="1543050"/>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srcRect l="0" t="0" r="0" b="0"/>
                    <a:stretch/>
                  </pic:blipFill>
                  <pic:spPr>
                    <a:xfrm rot="0">
                      <a:off x="0" y="0"/>
                      <a:ext cx="2952750" cy="1543050"/>
                    </a:xfrm>
                    <a:prstGeom prst="rect"/>
                  </pic:spPr>
                </pic:pic>
              </a:graphicData>
            </a:graphic>
          </wp:inline>
        </w:drawing>
      </w:r>
    </w:p>
    <w:bookmarkStart w:id="6" w:name="_Toc228543419"/>
    <w:p>
      <w:pPr>
        <w:pStyle w:val="style34"/>
        <w:rPr>
          <w:rFonts w:cs="Arial"/>
        </w:rPr>
      </w:pPr>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noProof/>
        </w:rPr>
        <w:t>1</w:t>
      </w:r>
      <w:r>
        <w:rPr>
          <w:rFonts w:cs="Arial"/>
        </w:rPr>
        <w:fldChar w:fldCharType="end"/>
      </w:r>
      <w:r>
        <w:rPr>
          <w:rFonts w:cs="Arial"/>
        </w:rPr>
        <w:t>. Concept of disease and illness.</w:t>
      </w:r>
      <w:r>
        <w:t xml:space="preserve"> </w:t>
      </w:r>
      <w:r>
        <w:rPr>
          <w:rFonts w:cs="Arial"/>
        </w:rPr>
        <w:t xml:space="preserve">Adapted from </w:t>
      </w:r>
      <w:r>
        <w:rPr>
          <w:rFonts w:cs="Arial"/>
        </w:rPr>
        <w:t>Ashvath</w:t>
      </w:r>
      <w:r>
        <w:rPr>
          <w:rFonts w:cs="Arial"/>
        </w:rPr>
        <w:t xml:space="preserve"> Online Learning </w:t>
      </w:r>
      <w:r>
        <w:rPr>
          <w:rFonts w:cs="Arial"/>
        </w:rPr>
        <w:t>Center</w:t>
      </w:r>
      <w:r>
        <w:rPr>
          <w:rFonts w:cs="Arial"/>
        </w:rPr>
        <w:t xml:space="preserve"> (</w:t>
      </w:r>
      <w:r>
        <w:rPr>
          <w:rFonts w:cs="Arial"/>
        </w:rPr>
        <w:t>n.d.</w:t>
      </w:r>
      <w:r>
        <w:rPr>
          <w:rFonts w:cs="Arial"/>
        </w:rPr>
        <w:t xml:space="preserve">), contextualized with definitions from WHO and </w:t>
      </w:r>
      <w:r>
        <w:rPr>
          <w:rFonts w:cs="Arial"/>
        </w:rPr>
        <w:t>Kleinman</w:t>
      </w:r>
      <w:r>
        <w:rPr>
          <w:rFonts w:cs="Arial"/>
        </w:rPr>
        <w:t xml:space="preserve"> (1988).</w:t>
      </w:r>
      <w:bookmarkEnd w:id="6"/>
    </w:p>
    <w:p>
      <w:pPr>
        <w:pStyle w:val="style0"/>
        <w:spacing w:before="240" w:lineRule="auto" w:line="480"/>
        <w:jc w:val="both"/>
        <w:rPr>
          <w:rFonts w:ascii="Arial" w:cs="Arial" w:hAnsi="Arial"/>
          <w:b/>
          <w:sz w:val="24"/>
          <w:lang w:eastAsia="en-GB"/>
        </w:rPr>
      </w:pPr>
      <w:r>
        <w:rPr>
          <w:rFonts w:ascii="Arial" w:cs="Arial" w:hAnsi="Arial"/>
          <w:b/>
          <w:sz w:val="24"/>
          <w:lang w:eastAsia="en-GB"/>
        </w:rPr>
        <w:t>1. Increased Cardiovascular Disease.</w:t>
      </w:r>
    </w:p>
    <w:p>
      <w:pPr>
        <w:pStyle w:val="style0"/>
        <w:spacing w:before="240" w:lineRule="auto" w:line="480"/>
        <w:jc w:val="both"/>
        <w:rPr>
          <w:rFonts w:ascii="Arial" w:cs="Arial" w:hAnsi="Arial"/>
          <w:lang w:eastAsia="en-GB"/>
        </w:rPr>
      </w:pPr>
      <w:r>
        <w:rPr>
          <w:rFonts w:ascii="Arial" w:cs="Arial" w:hAnsi="Arial"/>
          <w:lang w:eastAsia="en-GB"/>
        </w:rPr>
        <w:t xml:space="preserve">Ethnic minorities in the UK continue to have a disproportionately high rate of cardiovascular disease (CVD) with South Asian ethnic groups having earlier onset and higher mortality rates than the White British population (British Heart Foundation, 2022). It is indicated that South Asians are at a higher risk of developing coronary heart disease by up to 50% and usually with a younger age (NHS England, 2023). </w:t>
      </w:r>
    </w:p>
    <w:p>
      <w:pPr>
        <w:pStyle w:val="style0"/>
        <w:spacing w:before="240" w:lineRule="auto" w:line="480"/>
        <w:jc w:val="both"/>
        <w:rPr>
          <w:rFonts w:ascii="Arial" w:cs="Arial" w:hAnsi="Arial"/>
          <w:b/>
          <w:sz w:val="24"/>
          <w:lang w:eastAsia="en-GB"/>
        </w:rPr>
      </w:pPr>
      <w:r>
        <w:rPr>
          <w:rFonts w:ascii="Arial" w:cs="Arial" w:hAnsi="Arial"/>
          <w:b/>
          <w:sz w:val="24"/>
          <w:lang w:eastAsia="en-GB"/>
        </w:rPr>
        <w:t>2. Increase</w:t>
      </w:r>
      <w:r>
        <w:rPr>
          <w:rFonts w:ascii="Arial" w:cs="Arial" w:hAnsi="Arial"/>
          <w:b/>
          <w:sz w:val="24"/>
          <w:lang w:eastAsia="en-GB"/>
        </w:rPr>
        <w:t>d Prevalence of Type 2 Diabetes</w:t>
      </w:r>
    </w:p>
    <w:p>
      <w:pPr>
        <w:pStyle w:val="style0"/>
        <w:spacing w:before="240" w:lineRule="auto" w:line="480"/>
        <w:jc w:val="both"/>
        <w:rPr>
          <w:rFonts w:ascii="Arial" w:cs="Arial" w:hAnsi="Arial"/>
          <w:lang w:eastAsia="en-GB"/>
        </w:rPr>
      </w:pPr>
      <w:r>
        <w:rPr>
          <w:rFonts w:ascii="Arial" w:cs="Arial" w:hAnsi="Arial"/>
          <w:lang w:eastAsia="en-GB"/>
        </w:rPr>
        <w:t>The prevalence of Type 2 diabetes is much higher in South Asian and Black ethnic groups in the UK, with South Asians being up to six times more likely to have developed diabetes than Whites (Diabetes UK, 2023). This elevated risk correlates with a greater incidence of insulin resistance, genetic predisposition, and a higher susceptibility to develop diabetes at less than normal body mass indices. This disparity is further increased by environmental factors like inaccessibility to healthy foods and reduce</w:t>
      </w:r>
      <w:r>
        <w:rPr>
          <w:rFonts w:ascii="Arial" w:cs="Arial" w:hAnsi="Arial"/>
          <w:lang w:eastAsia="en-GB"/>
        </w:rPr>
        <w:t>d levels of physical activities. (NHS England, 2023).</w:t>
      </w:r>
    </w:p>
    <w:p>
      <w:pPr>
        <w:pStyle w:val="style0"/>
        <w:spacing w:before="240" w:lineRule="auto" w:line="480"/>
        <w:jc w:val="both"/>
        <w:rPr>
          <w:rFonts w:ascii="Arial" w:cs="Arial" w:hAnsi="Arial"/>
          <w:b/>
          <w:sz w:val="24"/>
          <w:lang w:eastAsia="en-GB"/>
        </w:rPr>
      </w:pPr>
      <w:r>
        <w:rPr>
          <w:rFonts w:ascii="Arial" w:cs="Arial" w:hAnsi="Arial"/>
          <w:b/>
          <w:sz w:val="24"/>
          <w:lang w:eastAsia="en-GB"/>
        </w:rPr>
        <w:t>3. COVID-19 Mortality D</w:t>
      </w:r>
      <w:r>
        <w:rPr>
          <w:rFonts w:ascii="Arial" w:cs="Arial" w:hAnsi="Arial"/>
          <w:b/>
          <w:sz w:val="24"/>
          <w:lang w:eastAsia="en-GB"/>
        </w:rPr>
        <w:t>isparities</w:t>
      </w:r>
    </w:p>
    <w:p>
      <w:pPr>
        <w:pStyle w:val="style0"/>
        <w:spacing w:before="240" w:lineRule="auto" w:line="480"/>
        <w:jc w:val="both"/>
        <w:rPr>
          <w:rFonts w:ascii="Arial" w:cs="Arial" w:hAnsi="Arial"/>
          <w:lang w:eastAsia="en-GB"/>
        </w:rPr>
      </w:pPr>
      <w:r>
        <w:rPr>
          <w:rFonts w:ascii="Arial" w:cs="Arial" w:hAnsi="Arial"/>
          <w:lang w:eastAsia="en-GB"/>
        </w:rPr>
        <w:t>The COVID-19 pandemic has demonstrated that the ethnic health disparities in the UK were quite high, and Black and Asian communities were more affected than White ones in terms of infection and death rates (Office for National Statistics, 2021). Research has shown that people of Bangladeshi and Black African origins were at a significantly higher risk of death, even when they were aged (ONS, 2021). These disparities are mostly explained by social determinants such as increased representation in frontline jobs, overcrowded housing, and increased pre-existing conditions such as diabetes and hypertension. Lack of access to healthcare and late referral to treatment were also factors that led to worse outcomes. (UK</w:t>
      </w:r>
      <w:r>
        <w:rPr>
          <w:rFonts w:ascii="Arial" w:cs="Arial" w:hAnsi="Arial"/>
          <w:lang w:eastAsia="en-GB"/>
        </w:rPr>
        <w:t xml:space="preserve"> Health Security Agency, 2022).</w:t>
      </w:r>
    </w:p>
    <w:bookmarkStart w:id="7" w:name="_Toc228543398"/>
    <w:p>
      <w:pPr>
        <w:pStyle w:val="style2"/>
        <w:spacing w:before="240" w:lineRule="auto" w:line="480"/>
        <w:jc w:val="both"/>
        <w:rPr>
          <w:rFonts w:eastAsia="Times New Roman"/>
          <w:lang w:eastAsia="en-GB"/>
        </w:rPr>
      </w:pPr>
      <w:r>
        <w:rPr>
          <w:rFonts w:eastAsia="Times New Roman"/>
          <w:lang w:eastAsia="en-GB"/>
        </w:rPr>
        <w:t>B. Social issues</w:t>
      </w:r>
      <w:bookmarkEnd w:id="7"/>
    </w:p>
    <w:p>
      <w:pPr>
        <w:pStyle w:val="style0"/>
        <w:keepNext/>
        <w:jc w:val="center"/>
        <w:rPr/>
      </w:pPr>
      <w:r>
        <w:rPr>
          <w:noProof/>
          <w:lang w:eastAsia="en-GB"/>
        </w:rPr>
        <w:drawing>
          <wp:inline distL="0" distT="0" distB="0" distR="0">
            <wp:extent cx="3644809" cy="2247900"/>
            <wp:effectExtent l="0" t="0" r="0" b="0"/>
            <wp:docPr id="1028"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5" cstate="print"/>
                    <a:srcRect l="0" t="0" r="0" b="0"/>
                    <a:stretch/>
                  </pic:blipFill>
                  <pic:spPr>
                    <a:xfrm rot="0">
                      <a:off x="0" y="0"/>
                      <a:ext cx="3644809" cy="2247900"/>
                    </a:xfrm>
                    <a:prstGeom prst="rect"/>
                  </pic:spPr>
                </pic:pic>
              </a:graphicData>
            </a:graphic>
          </wp:inline>
        </w:drawing>
      </w:r>
    </w:p>
    <w:bookmarkStart w:id="8" w:name="_Toc228543420"/>
    <w:p>
      <w:pPr>
        <w:pStyle w:val="style34"/>
        <w:rPr>
          <w:rFonts w:cs="Arial"/>
          <w:sz w:val="22"/>
        </w:rPr>
      </w:pPr>
      <w:r>
        <w:rPr>
          <w:rFonts w:cs="Arial"/>
          <w:sz w:val="22"/>
        </w:rPr>
        <w:t xml:space="preserve">Figure </w:t>
      </w:r>
      <w:r>
        <w:rPr>
          <w:rFonts w:cs="Arial"/>
          <w:sz w:val="22"/>
        </w:rPr>
        <w:fldChar w:fldCharType="begin"/>
      </w:r>
      <w:r>
        <w:rPr>
          <w:rFonts w:cs="Arial"/>
          <w:sz w:val="22"/>
        </w:rPr>
        <w:instrText xml:space="preserve"> SEQ Figure \* ARABIC </w:instrText>
      </w:r>
      <w:r>
        <w:rPr>
          <w:rFonts w:cs="Arial"/>
          <w:sz w:val="22"/>
        </w:rPr>
        <w:fldChar w:fldCharType="separate"/>
      </w:r>
      <w:r>
        <w:rPr>
          <w:rFonts w:cs="Arial"/>
          <w:noProof/>
          <w:sz w:val="22"/>
        </w:rPr>
        <w:t>2</w:t>
      </w:r>
      <w:r>
        <w:rPr>
          <w:rFonts w:cs="Arial"/>
          <w:sz w:val="22"/>
        </w:rPr>
        <w:fldChar w:fldCharType="end"/>
      </w:r>
      <w:r>
        <w:rPr>
          <w:rFonts w:cs="Arial"/>
          <w:sz w:val="22"/>
        </w:rPr>
        <w:t>. Social issues word cloud.</w:t>
      </w:r>
      <w:r>
        <w:t xml:space="preserve"> </w:t>
      </w:r>
      <w:r>
        <w:rPr>
          <w:rFonts w:cs="Arial"/>
          <w:sz w:val="22"/>
        </w:rPr>
        <w:t xml:space="preserve">Adapted from </w:t>
      </w:r>
      <w:r>
        <w:rPr>
          <w:rFonts w:cs="Arial"/>
          <w:sz w:val="22"/>
        </w:rPr>
        <w:t>Ashvath</w:t>
      </w:r>
      <w:r>
        <w:rPr>
          <w:rFonts w:cs="Arial"/>
          <w:sz w:val="22"/>
        </w:rPr>
        <w:t xml:space="preserve"> Online Learning </w:t>
      </w:r>
      <w:r>
        <w:rPr>
          <w:rFonts w:cs="Arial"/>
          <w:sz w:val="22"/>
        </w:rPr>
        <w:t>Center</w:t>
      </w:r>
      <w:r>
        <w:rPr>
          <w:rFonts w:cs="Arial"/>
          <w:sz w:val="22"/>
        </w:rPr>
        <w:t xml:space="preserve"> (</w:t>
      </w:r>
      <w:r>
        <w:rPr>
          <w:rFonts w:cs="Arial"/>
          <w:sz w:val="22"/>
        </w:rPr>
        <w:t>n.d.</w:t>
      </w:r>
      <w:r>
        <w:rPr>
          <w:rFonts w:cs="Arial"/>
          <w:sz w:val="22"/>
        </w:rPr>
        <w:t>), contextualized with analyses from ONS, Shelter UK, NHS England, and WHO</w:t>
      </w:r>
      <w:bookmarkEnd w:id="8"/>
    </w:p>
    <w:p>
      <w:pPr>
        <w:pStyle w:val="style0"/>
        <w:jc w:val="both"/>
        <w:rPr>
          <w:rFonts w:ascii="Arial" w:cs="Arial" w:hAnsi="Arial"/>
        </w:rPr>
      </w:pPr>
      <w:r>
        <w:rPr>
          <w:rFonts w:ascii="Arial" w:cs="Arial" w:hAnsi="Arial"/>
        </w:rPr>
        <w:t>.</w:t>
      </w:r>
    </w:p>
    <w:p>
      <w:pPr>
        <w:pStyle w:val="style0"/>
        <w:jc w:val="both"/>
        <w:rPr>
          <w:rFonts w:ascii="Arial" w:cs="Arial" w:hAnsi="Arial"/>
          <w:lang w:eastAsia="en-GB"/>
        </w:rPr>
      </w:pPr>
    </w:p>
    <w:p>
      <w:pPr>
        <w:pStyle w:val="style0"/>
        <w:spacing w:before="240" w:lineRule="auto" w:line="480"/>
        <w:jc w:val="both"/>
        <w:rPr>
          <w:rFonts w:ascii="Arial" w:cs="Arial" w:hAnsi="Arial"/>
          <w:b/>
          <w:sz w:val="24"/>
          <w:lang w:eastAsia="en-GB"/>
        </w:rPr>
      </w:pPr>
      <w:r>
        <w:rPr>
          <w:rFonts w:ascii="Arial" w:cs="Arial" w:hAnsi="Arial"/>
          <w:b/>
          <w:sz w:val="24"/>
          <w:lang w:eastAsia="en-GB"/>
        </w:rPr>
        <w:t>4. Povert</w:t>
      </w:r>
      <w:r>
        <w:rPr>
          <w:rFonts w:ascii="Arial" w:cs="Arial" w:hAnsi="Arial"/>
          <w:b/>
          <w:sz w:val="24"/>
          <w:lang w:eastAsia="en-GB"/>
        </w:rPr>
        <w:t>y and Socioeconomic Inequality.</w:t>
      </w:r>
    </w:p>
    <w:p>
      <w:pPr>
        <w:pStyle w:val="style0"/>
        <w:spacing w:before="240" w:lineRule="auto" w:line="480"/>
        <w:jc w:val="both"/>
        <w:rPr>
          <w:rFonts w:ascii="Arial" w:cs="Arial" w:hAnsi="Arial"/>
          <w:lang w:eastAsia="en-GB"/>
        </w:rPr>
      </w:pPr>
      <w:r>
        <w:rPr>
          <w:rFonts w:ascii="Arial" w:cs="Arial" w:hAnsi="Arial"/>
          <w:lang w:eastAsia="en-GB"/>
        </w:rPr>
        <w:t xml:space="preserve">Poverty and socioeconomic disadvantage are disproportionately impacting ethnic minority groups in the UK and are a major contributor to health disparities. According to the data provided by the Office for National Statistics (2022), Black, Asian, and minority ethnic representatives are more likely to reside in deprived neighbourhoods and have a lower level of income in comparison to </w:t>
      </w:r>
      <w:r>
        <w:rPr>
          <w:rFonts w:ascii="Arial" w:cs="Arial" w:hAnsi="Arial"/>
          <w:lang w:eastAsia="en-GB"/>
        </w:rPr>
        <w:t xml:space="preserve">White British families. Such differences are usually fuelled by disparities on the labour market in terms of increased unemployment rates and occupational segregation. </w:t>
      </w:r>
    </w:p>
    <w:p>
      <w:pPr>
        <w:pStyle w:val="style0"/>
        <w:spacing w:before="240" w:lineRule="auto" w:line="480"/>
        <w:jc w:val="both"/>
        <w:rPr>
          <w:rFonts w:ascii="Arial" w:cs="Arial" w:hAnsi="Arial"/>
          <w:b/>
          <w:sz w:val="24"/>
          <w:lang w:eastAsia="en-GB"/>
        </w:rPr>
      </w:pPr>
      <w:r>
        <w:rPr>
          <w:rFonts w:ascii="Arial" w:cs="Arial" w:hAnsi="Arial"/>
          <w:b/>
          <w:sz w:val="24"/>
          <w:lang w:eastAsia="en-GB"/>
        </w:rPr>
        <w:t>5. Obstacles t</w:t>
      </w:r>
      <w:r>
        <w:rPr>
          <w:rFonts w:ascii="Arial" w:cs="Arial" w:hAnsi="Arial"/>
          <w:b/>
          <w:sz w:val="24"/>
          <w:lang w:eastAsia="en-GB"/>
        </w:rPr>
        <w:t>o Healthcare.</w:t>
      </w:r>
    </w:p>
    <w:p>
      <w:pPr>
        <w:pStyle w:val="style0"/>
        <w:spacing w:before="240" w:lineRule="auto" w:line="480"/>
        <w:jc w:val="both"/>
        <w:rPr>
          <w:rFonts w:ascii="Arial" w:cs="Arial" w:hAnsi="Arial"/>
          <w:lang w:eastAsia="en-GB"/>
        </w:rPr>
      </w:pPr>
      <w:r>
        <w:rPr>
          <w:rFonts w:ascii="Arial" w:cs="Arial" w:hAnsi="Arial"/>
          <w:lang w:eastAsia="en-GB"/>
        </w:rPr>
        <w:t xml:space="preserve">The health inequalities among the ethnic minorities in the UK continue to be significantly contributed by barriers to healthcare access. The effective communication can be constrained by language barriers, cultural misunderstanding, and mistrust in healthcare systems, which restrict the utilisation of healthcare (NHS England, 2023). </w:t>
      </w:r>
    </w:p>
    <w:p>
      <w:pPr>
        <w:pStyle w:val="style0"/>
        <w:spacing w:before="240" w:lineRule="auto" w:line="480"/>
        <w:jc w:val="both"/>
        <w:rPr>
          <w:rFonts w:ascii="Arial" w:cs="Arial" w:hAnsi="Arial"/>
          <w:b/>
          <w:sz w:val="24"/>
          <w:lang w:eastAsia="en-GB"/>
        </w:rPr>
      </w:pPr>
      <w:r>
        <w:rPr>
          <w:rFonts w:ascii="Arial" w:cs="Arial" w:hAnsi="Arial"/>
          <w:b/>
          <w:sz w:val="24"/>
          <w:lang w:eastAsia="en-GB"/>
        </w:rPr>
        <w:t>6. Housing and Overcrowding</w:t>
      </w:r>
    </w:p>
    <w:p>
      <w:pPr>
        <w:pStyle w:val="style0"/>
        <w:spacing w:before="240" w:lineRule="auto" w:line="480"/>
        <w:jc w:val="both"/>
        <w:rPr>
          <w:rFonts w:ascii="Arial" w:cs="Arial" w:hAnsi="Arial"/>
          <w:lang w:eastAsia="en-GB"/>
        </w:rPr>
      </w:pPr>
      <w:r>
        <w:rPr>
          <w:rFonts w:ascii="Arial" w:cs="Arial" w:hAnsi="Arial"/>
          <w:lang w:eastAsia="en-GB"/>
        </w:rPr>
        <w:t xml:space="preserve">One of the social determinants that lead to health inequalities among ethnic minority groups in the UK is their housing conditions, especially due to overcrowding. The Office for National Statistics (2021) indicates that the rates of overcrowding are higher among Bangladeshi, Pakistani, and Black African households, in comparison to White British ones. </w:t>
      </w:r>
    </w:p>
    <w:bookmarkStart w:id="9" w:name="_Toc228543399"/>
    <w:p>
      <w:pPr>
        <w:pStyle w:val="style1"/>
        <w:spacing w:lineRule="auto" w:line="480"/>
        <w:rPr>
          <w:rFonts w:eastAsia="Times New Roman"/>
          <w:lang w:eastAsia="en-GB"/>
        </w:rPr>
      </w:pPr>
      <w:r>
        <w:rPr>
          <w:rFonts w:eastAsia="Times New Roman"/>
          <w:lang w:eastAsia="en-GB"/>
        </w:rPr>
        <w:t>3. National response</w:t>
      </w:r>
      <w:bookmarkEnd w:id="9"/>
      <w:r>
        <w:rPr>
          <w:rFonts w:eastAsia="Times New Roman"/>
          <w:lang w:eastAsia="en-GB"/>
        </w:rPr>
        <w:t xml:space="preserve"> </w:t>
      </w:r>
    </w:p>
    <w:bookmarkStart w:id="10" w:name="_Toc228543400"/>
    <w:p>
      <w:pPr>
        <w:pStyle w:val="style2"/>
        <w:spacing w:lineRule="auto" w:line="480"/>
        <w:rPr>
          <w:rFonts w:eastAsia="Times New Roman"/>
          <w:lang w:eastAsia="en-GB"/>
        </w:rPr>
      </w:pPr>
      <w:r>
        <w:rPr>
          <w:lang w:eastAsia="en-GB"/>
        </w:rPr>
        <w:t xml:space="preserve">1. </w:t>
      </w:r>
      <w:r>
        <w:rPr>
          <w:rFonts w:eastAsia="Times New Roman"/>
          <w:lang w:eastAsia="en-GB"/>
        </w:rPr>
        <w:t>The NHS Long Term Plan is the first one.</w:t>
      </w:r>
      <w:bookmarkEnd w:id="10"/>
      <w:r>
        <w:rPr>
          <w:rFonts w:eastAsia="Times New Roman"/>
          <w:lang w:eastAsia="en-GB"/>
        </w:rPr>
        <w:t xml:space="preserve"> </w:t>
      </w:r>
    </w:p>
    <w:p>
      <w:pPr>
        <w:pStyle w:val="style0"/>
        <w:spacing w:before="240" w:lineRule="auto" w:line="480"/>
        <w:jc w:val="both"/>
        <w:rPr>
          <w:rFonts w:ascii="Arial" w:cs="Arial" w:hAnsi="Arial"/>
          <w:sz w:val="24"/>
          <w:lang w:eastAsia="en-GB"/>
        </w:rPr>
      </w:pPr>
      <w:r>
        <w:rPr>
          <w:rFonts w:ascii="Arial" w:cs="Arial" w:hAnsi="Arial"/>
          <w:lang w:eastAsia="en-GB"/>
        </w:rPr>
        <w:t xml:space="preserve">In the NHS England Long Term Plan, preventing health disparities by focusing on the disadvantaged groups is a priority by improving access to services. It involves interventions like the early screening programmes, community-based interventions, and culturally sensitive care to deal with such conditions as diabetes and cardiovascular disease among ethnic minorities (NHS England, 2019). Nevertheless, regardless of these efforts, local implementation differences and uneven distribution of resources constrain its overall efficiency in addressing ethnic health disparities </w:t>
      </w:r>
      <w:r>
        <w:rPr>
          <w:rFonts w:ascii="Arial" w:cs="Arial" w:hAnsi="Arial"/>
          <w:lang w:eastAsia="en-GB"/>
        </w:rPr>
        <w:t>that have been there over time</w:t>
      </w:r>
      <w:r>
        <w:rPr>
          <w:rFonts w:ascii="Arial" w:cs="Arial" w:hAnsi="Arial"/>
          <w:sz w:val="24"/>
          <w:lang w:eastAsia="en-GB"/>
        </w:rPr>
        <w:t>.</w:t>
      </w:r>
    </w:p>
    <w:bookmarkStart w:id="11" w:name="_Toc228543401"/>
    <w:p>
      <w:pPr>
        <w:pStyle w:val="style2"/>
        <w:spacing w:lineRule="auto" w:line="480"/>
        <w:rPr>
          <w:rFonts w:eastAsia="Times New Roman"/>
          <w:lang w:eastAsia="en-GB"/>
        </w:rPr>
      </w:pPr>
      <w:r>
        <w:rPr>
          <w:rFonts w:eastAsia="Times New Roman"/>
          <w:lang w:eastAsia="en-GB"/>
        </w:rPr>
        <w:t>2. Race Disparity Unit (UK Government)</w:t>
      </w:r>
      <w:bookmarkEnd w:id="11"/>
      <w:r>
        <w:rPr>
          <w:rFonts w:eastAsia="Times New Roman"/>
          <w:lang w:eastAsia="en-GB"/>
        </w:rPr>
        <w:t xml:space="preserve"> </w:t>
      </w:r>
    </w:p>
    <w:p>
      <w:pPr>
        <w:pStyle w:val="style0"/>
        <w:spacing w:before="240" w:lineRule="auto" w:line="480"/>
        <w:jc w:val="both"/>
        <w:rPr>
          <w:rFonts w:ascii="Arial" w:cs="Arial" w:hAnsi="Arial"/>
          <w:lang w:eastAsia="en-GB"/>
        </w:rPr>
      </w:pPr>
      <w:r>
        <w:rPr>
          <w:rFonts w:ascii="Arial" w:cs="Arial" w:hAnsi="Arial"/>
          <w:lang w:eastAsia="en-GB"/>
        </w:rPr>
        <w:t>The Race Disparity Unit is important in solving the inequalities by gathering, examining, and publishing information via the Ethnicity Facts and Figures site (UK Government, 2022). This evidence base assists policymakers to detect the disparities and to formulate specific interventions. However, as much as the level of data transparency has increased, institutional disparities like socioeconomic disadvantage and institutional bias remain, which means that data in itself cannot work without reinforcement of policy and a broader systemic transformation.</w:t>
      </w:r>
    </w:p>
    <w:bookmarkStart w:id="12" w:name="_Toc228543402"/>
    <w:p>
      <w:pPr>
        <w:pStyle w:val="style1"/>
        <w:spacing w:lineRule="auto" w:line="480"/>
        <w:rPr>
          <w:rFonts w:eastAsia="Times New Roman"/>
          <w:lang w:eastAsia="en-GB"/>
        </w:rPr>
      </w:pPr>
      <w:r>
        <w:rPr>
          <w:rFonts w:eastAsia="Times New Roman"/>
          <w:lang w:eastAsia="en-GB"/>
        </w:rPr>
        <w:t>4. Organisation / charity</w:t>
      </w:r>
      <w:bookmarkEnd w:id="12"/>
      <w:r>
        <w:rPr>
          <w:rFonts w:eastAsia="Times New Roman"/>
          <w:lang w:eastAsia="en-GB"/>
        </w:rPr>
        <w:t xml:space="preserve"> </w:t>
      </w:r>
    </w:p>
    <w:p>
      <w:pPr>
        <w:pStyle w:val="style0"/>
        <w:spacing w:after="0" w:lineRule="auto" w:line="480"/>
        <w:jc w:val="both"/>
        <w:rPr>
          <w:rFonts w:ascii="Arial" w:cs="Arial" w:eastAsia="Times New Roman" w:hAnsi="Arial"/>
          <w:bCs/>
          <w:kern w:val="36"/>
          <w:szCs w:val="48"/>
          <w:lang w:eastAsia="en-GB"/>
        </w:rPr>
      </w:pPr>
      <w:r>
        <w:rPr>
          <w:rFonts w:ascii="Arial" w:cs="Arial" w:eastAsia="Times New Roman" w:hAnsi="Arial"/>
          <w:bCs/>
          <w:kern w:val="36"/>
          <w:sz w:val="24"/>
          <w:szCs w:val="48"/>
          <w:lang w:eastAsia="en-GB"/>
        </w:rPr>
        <w:t xml:space="preserve"> </w:t>
      </w:r>
      <w:r>
        <w:rPr>
          <w:rFonts w:ascii="Arial" w:cs="Arial" w:eastAsia="Times New Roman" w:hAnsi="Arial"/>
          <w:bCs/>
          <w:kern w:val="36"/>
          <w:szCs w:val="48"/>
          <w:lang w:eastAsia="en-GB"/>
        </w:rPr>
        <w:t>The Health Foundation is an independent charity that aims to enhance health and healthcare in the UK, paying much attention to the reduction of health inequalities. It undertakes quality research and analysis on the social determinants of health, such as ethnicity, poverty, and access to care (The Health Foundation, 2023</w:t>
      </w:r>
      <w:r>
        <w:rPr>
          <w:rFonts w:ascii="Arial" w:cs="Arial" w:eastAsia="Times New Roman" w:hAnsi="Arial"/>
          <w:bCs/>
          <w:kern w:val="36"/>
          <w:szCs w:val="48"/>
          <w:lang w:eastAsia="en-GB"/>
        </w:rPr>
        <w:t>)..</w:t>
      </w:r>
    </w:p>
    <w:p>
      <w:pPr>
        <w:pStyle w:val="style0"/>
        <w:spacing w:after="0" w:lineRule="auto" w:line="480"/>
        <w:jc w:val="both"/>
        <w:rPr>
          <w:rFonts w:ascii="Arial" w:cs="Arial" w:eastAsia="Times New Roman" w:hAnsi="Arial"/>
          <w:bCs/>
          <w:kern w:val="36"/>
          <w:szCs w:val="48"/>
          <w:lang w:eastAsia="en-GB"/>
        </w:rPr>
      </w:pPr>
      <w:r>
        <w:rPr>
          <w:rFonts w:ascii="Arial" w:cs="Arial" w:eastAsia="Times New Roman" w:hAnsi="Arial"/>
          <w:bCs/>
          <w:kern w:val="36"/>
          <w:szCs w:val="48"/>
          <w:lang w:eastAsia="en-GB"/>
        </w:rPr>
        <w:t xml:space="preserve">With regard to ethnic minority health, the Health Foundation has issued reports on how structural issues like deprivation, housing and employment lead to poorer health outcomes amongst the minority groups. As an illustration, its research on inequalities of COVID-19 showed how the pandemic has disproportionately affected ethnic communities and how these findings have influenced policy reactions (The Health Foundation, 2022). </w:t>
      </w:r>
    </w:p>
    <w:bookmarkStart w:id="13" w:name="_Toc228543403"/>
    <w:p>
      <w:pPr>
        <w:pStyle w:val="style1"/>
        <w:spacing w:lineRule="auto" w:line="480"/>
        <w:rPr>
          <w:rFonts w:eastAsia="Times New Roman"/>
          <w:lang w:eastAsia="en-GB"/>
        </w:rPr>
      </w:pPr>
      <w:r>
        <w:rPr>
          <w:rFonts w:eastAsia="Times New Roman"/>
          <w:lang w:eastAsia="en-GB"/>
        </w:rPr>
        <w:t>5. Conclusion</w:t>
      </w:r>
      <w:bookmarkEnd w:id="13"/>
      <w:r>
        <w:rPr>
          <w:rFonts w:eastAsia="Times New Roman"/>
          <w:lang w:eastAsia="en-GB"/>
        </w:rPr>
        <w:t xml:space="preserve"> </w:t>
      </w:r>
    </w:p>
    <w:p>
      <w:pPr>
        <w:pStyle w:val="style0"/>
        <w:spacing w:after="0" w:lineRule="auto" w:line="480"/>
        <w:jc w:val="both"/>
        <w:rPr>
          <w:rFonts w:ascii="Arial" w:cs="Arial" w:eastAsia="Times New Roman" w:hAnsi="Arial"/>
          <w:bCs/>
          <w:kern w:val="36"/>
          <w:lang w:eastAsia="en-GB"/>
        </w:rPr>
      </w:pPr>
      <w:r>
        <w:rPr>
          <w:rFonts w:ascii="Arial" w:cs="Arial" w:eastAsia="Times New Roman" w:hAnsi="Arial"/>
          <w:bCs/>
          <w:kern w:val="36"/>
          <w:lang w:eastAsia="en-GB"/>
        </w:rPr>
        <w:t xml:space="preserve">Finally, the ethnic health disparities of the UK are multifactorial and systemic, with the complex interplay of social determinants and structural inequalities. Ethnic minority groups are still disproportionately impacted by factors like poverty, discrimination, housing conditions, and unequal access to healthcare (World Health Organization, 2022). </w:t>
      </w:r>
    </w:p>
    <w:p>
      <w:pPr>
        <w:pStyle w:val="style0"/>
        <w:spacing w:after="0" w:lineRule="auto" w:line="480"/>
        <w:jc w:val="both"/>
        <w:rPr>
          <w:rFonts w:ascii="Arial" w:cs="Arial" w:eastAsia="Times New Roman" w:hAnsi="Arial"/>
          <w:bCs/>
          <w:kern w:val="36"/>
          <w:lang w:eastAsia="en-GB"/>
        </w:rPr>
      </w:pPr>
    </w:p>
    <w:bookmarkStart w:id="14" w:name="_Toc228543404"/>
    <w:p>
      <w:pPr>
        <w:pStyle w:val="style1"/>
        <w:spacing w:after="240"/>
        <w:jc w:val="center"/>
        <w:rPr/>
      </w:pPr>
      <w:r>
        <w:t>Task 2:  Epidemiological Analysis</w:t>
      </w:r>
      <w:bookmarkEnd w:id="14"/>
    </w:p>
    <w:p>
      <w:pPr>
        <w:pStyle w:val="style0"/>
        <w:spacing w:before="240" w:after="240"/>
        <w:rPr/>
      </w:pPr>
    </w:p>
    <w:p>
      <w:pPr>
        <w:pStyle w:val="style0"/>
        <w:spacing w:before="240" w:after="240" w:lineRule="auto" w:line="480"/>
        <w:jc w:val="both"/>
        <w:rPr>
          <w:rFonts w:ascii="Arial" w:cs="Arial" w:hAnsi="Arial"/>
          <w:b/>
          <w:sz w:val="24"/>
        </w:rPr>
      </w:pPr>
      <w:r>
        <w:rPr>
          <w:rFonts w:ascii="Arial" w:cs="Arial" w:hAnsi="Arial"/>
          <w:b/>
          <w:sz w:val="24"/>
        </w:rPr>
        <w:t>Title</w:t>
      </w:r>
      <w:r>
        <w:rPr>
          <w:rFonts w:ascii="Arial" w:cs="Arial" w:eastAsia="Times New Roman" w:hAnsi="Arial"/>
          <w:b/>
          <w:sz w:val="24"/>
          <w:lang w:eastAsia="en-GB"/>
        </w:rPr>
        <w:t>:</w:t>
      </w:r>
      <w:r>
        <w:rPr>
          <w:rFonts w:ascii="Arial" w:cs="Arial" w:hAnsi="Arial"/>
          <w:b/>
          <w:sz w:val="24"/>
        </w:rPr>
        <w:t xml:space="preserve"> Epidemiological Analysis of Type 2 Diabetes in Tower Hamlets, London</w:t>
      </w:r>
    </w:p>
    <w:bookmarkStart w:id="15" w:name="_Toc228543405"/>
    <w:p>
      <w:pPr>
        <w:pStyle w:val="style1"/>
        <w:spacing w:after="240"/>
        <w:rPr/>
      </w:pPr>
      <w:r>
        <w:t>1. Introduction</w:t>
      </w:r>
      <w:bookmarkEnd w:id="15"/>
      <w:r>
        <w:t xml:space="preserve"> </w:t>
      </w:r>
    </w:p>
    <w:p>
      <w:pPr>
        <w:pStyle w:val="style0"/>
        <w:spacing w:before="240" w:after="240" w:lineRule="auto" w:line="480"/>
        <w:jc w:val="both"/>
        <w:rPr>
          <w:rFonts w:ascii="Arial" w:cs="Arial" w:hAnsi="Arial"/>
        </w:rPr>
      </w:pPr>
      <w:r>
        <w:rPr>
          <w:rFonts w:ascii="Arial" w:cs="Arial" w:hAnsi="Arial"/>
        </w:rPr>
        <w:t xml:space="preserve">Type 2 Diabetes (T2D) is a long-term metabolic condition that is marked by insulin resistance and a gradual loss of pancreatic capacity to produce an adequate amount of insulin to maintain normal levels of glucose in the blood </w:t>
      </w:r>
      <w:r>
        <w:rPr>
          <w:rFonts w:ascii="Arial" w:cs="Arial" w:hAnsi="Arial"/>
        </w:rPr>
        <w:t>(Type</w:t>
      </w:r>
      <w:r>
        <w:rPr>
          <w:rFonts w:ascii="Arial" w:cs="Arial" w:hAnsi="Arial"/>
        </w:rPr>
        <w:t xml:space="preserve"> 2 Diabetes, 2023). It is a non-communicable disease (NCD) which is not infectious but occurs with time as a result of the interaction of genetic, behavioural, and environmental factors. The global rate of T2D is on an alarming rise, owing to the growing obesity rates, an unhealthy lifestyle, and ageing (Wor</w:t>
      </w:r>
      <w:r>
        <w:rPr>
          <w:rFonts w:ascii="Arial" w:cs="Arial" w:hAnsi="Arial"/>
        </w:rPr>
        <w:t xml:space="preserve">ld Health Organization, 2023). </w:t>
      </w:r>
      <w:r>
        <w:rPr>
          <w:rFonts w:ascii="Arial" w:cs="Arial" w:hAnsi="Arial"/>
        </w:rPr>
        <w:t xml:space="preserve">Diabetes is a significant public health issue in the United Kingdom (UK) where the prevalence of diabetes is more than 5 million individuals with the majority having Type 2 diabetes (Diabetes UK, 2023). In London, one of the most impacted boroughs is Tower Hamlets, and the prevalence in this area is much higher than the national average because its population is diverse and socioeconomically deprived (Office </w:t>
      </w:r>
      <w:r>
        <w:rPr>
          <w:rFonts w:ascii="Arial" w:cs="Arial" w:hAnsi="Arial"/>
        </w:rPr>
        <w:t xml:space="preserve">for National Statistics, 2023). </w:t>
      </w:r>
      <w:r>
        <w:rPr>
          <w:rFonts w:ascii="Arial" w:cs="Arial" w:hAnsi="Arial"/>
        </w:rPr>
        <w:t>T2D is a disease that causes severe complications, such as cardiovascular disease, kidney failure, neuropathy, and lower-limb amputations, which is a significant burden on the NHS. Notably, Type 2 Diabetes is closely related to social deprivation, and ethnicity, which indicates that it is a disease with social causes of health, and not only biological factors.</w:t>
      </w:r>
    </w:p>
    <w:p>
      <w:pPr>
        <w:pStyle w:val="style0"/>
        <w:spacing w:before="240" w:after="240" w:lineRule="auto" w:line="480"/>
        <w:jc w:val="both"/>
        <w:rPr>
          <w:rFonts w:ascii="Arial" w:cs="Arial" w:hAnsi="Arial"/>
        </w:rPr>
      </w:pPr>
    </w:p>
    <w:p>
      <w:pPr>
        <w:pStyle w:val="style0"/>
        <w:spacing w:before="240" w:after="240" w:lineRule="auto" w:line="480"/>
        <w:jc w:val="both"/>
        <w:rPr>
          <w:rFonts w:ascii="Arial" w:cs="Arial" w:hAnsi="Arial"/>
        </w:rPr>
      </w:pPr>
    </w:p>
    <w:p>
      <w:pPr>
        <w:pStyle w:val="style0"/>
        <w:spacing w:before="240" w:after="240" w:lineRule="auto" w:line="480"/>
        <w:jc w:val="both"/>
        <w:rPr>
          <w:rFonts w:ascii="Arial" w:cs="Arial" w:hAnsi="Arial"/>
        </w:rPr>
      </w:pPr>
    </w:p>
    <w:bookmarkStart w:id="16" w:name="_Toc228543406"/>
    <w:p>
      <w:pPr>
        <w:pStyle w:val="style2"/>
        <w:spacing w:before="240" w:after="240"/>
        <w:rPr/>
      </w:pPr>
      <w:r>
        <w:t>2. Detection and Epidemiology</w:t>
      </w:r>
      <w:bookmarkEnd w:id="16"/>
      <w:r>
        <w:t xml:space="preserve"> </w:t>
      </w:r>
    </w:p>
    <w:p>
      <w:pPr>
        <w:pStyle w:val="style0"/>
        <w:keepNext/>
        <w:spacing w:before="240" w:after="240" w:lineRule="auto" w:line="480"/>
        <w:jc w:val="both"/>
        <w:rPr/>
      </w:pPr>
      <w:r>
        <w:rPr>
          <w:rFonts w:ascii="Arial" w:cs="Arial" w:hAnsi="Arial"/>
          <w:noProof/>
          <w:lang w:eastAsia="en-GB"/>
        </w:rPr>
        <w:drawing>
          <wp:inline distL="0" distT="0" distB="0" distR="0">
            <wp:extent cx="5943600" cy="1861185"/>
            <wp:effectExtent l="0" t="0" r="0" b="5715"/>
            <wp:docPr id="1029"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6" cstate="print"/>
                    <a:srcRect l="0" t="0" r="0" b="0"/>
                    <a:stretch/>
                  </pic:blipFill>
                  <pic:spPr>
                    <a:xfrm rot="0">
                      <a:off x="0" y="0"/>
                      <a:ext cx="5943600" cy="1861185"/>
                    </a:xfrm>
                    <a:prstGeom prst="rect"/>
                  </pic:spPr>
                </pic:pic>
              </a:graphicData>
            </a:graphic>
          </wp:inline>
        </w:drawing>
      </w:r>
    </w:p>
    <w:bookmarkStart w:id="17" w:name="_Toc228543421"/>
    <w:p>
      <w:pPr>
        <w:pStyle w:val="style34"/>
        <w:rPr>
          <w:rFonts w:cs="Arial"/>
          <w:sz w:val="22"/>
        </w:rPr>
      </w:pPr>
      <w:r>
        <w:rPr>
          <w:rFonts w:cs="Arial"/>
          <w:sz w:val="22"/>
        </w:rPr>
        <w:t xml:space="preserve">Figure </w:t>
      </w:r>
      <w:r>
        <w:rPr>
          <w:rFonts w:cs="Arial"/>
          <w:sz w:val="22"/>
        </w:rPr>
        <w:fldChar w:fldCharType="begin"/>
      </w:r>
      <w:r>
        <w:rPr>
          <w:rFonts w:cs="Arial"/>
          <w:sz w:val="22"/>
        </w:rPr>
        <w:instrText xml:space="preserve"> SEQ Figure \* ARABIC </w:instrText>
      </w:r>
      <w:r>
        <w:rPr>
          <w:rFonts w:cs="Arial"/>
          <w:sz w:val="22"/>
        </w:rPr>
        <w:fldChar w:fldCharType="separate"/>
      </w:r>
      <w:r>
        <w:rPr>
          <w:rFonts w:cs="Arial"/>
          <w:noProof/>
          <w:sz w:val="22"/>
        </w:rPr>
        <w:t>3</w:t>
      </w:r>
      <w:r>
        <w:rPr>
          <w:rFonts w:cs="Arial"/>
          <w:sz w:val="22"/>
        </w:rPr>
        <w:fldChar w:fldCharType="end"/>
      </w:r>
      <w:r>
        <w:rPr>
          <w:rFonts w:cs="Arial"/>
          <w:sz w:val="22"/>
        </w:rPr>
        <w:t>. Detection and epidemiology of infectious disease</w:t>
      </w:r>
      <w:r>
        <w:rPr>
          <w:rFonts w:cs="Arial"/>
          <w:sz w:val="22"/>
        </w:rPr>
        <w:t>.</w:t>
      </w:r>
      <w:r>
        <w:t xml:space="preserve"> </w:t>
      </w:r>
      <w:r>
        <w:rPr>
          <w:rFonts w:cs="Arial"/>
          <w:sz w:val="22"/>
        </w:rPr>
        <w:t xml:space="preserve">Adapted from </w:t>
      </w:r>
      <w:r>
        <w:rPr>
          <w:rFonts w:cs="Arial"/>
          <w:sz w:val="22"/>
        </w:rPr>
        <w:t>Heymann</w:t>
      </w:r>
      <w:r>
        <w:rPr>
          <w:rFonts w:cs="Arial"/>
          <w:sz w:val="22"/>
        </w:rPr>
        <w:t xml:space="preserve"> (2022), Nelson &amp; Williams (2023), and</w:t>
      </w:r>
      <w:r>
        <w:t xml:space="preserve"> </w:t>
      </w:r>
      <w:r>
        <w:rPr>
          <w:rFonts w:cs="Arial"/>
          <w:sz w:val="22"/>
        </w:rPr>
        <w:t>Oxford Textbook of Infectious Disease Epidemiology (2024)</w:t>
      </w:r>
      <w:bookmarkEnd w:id="17"/>
    </w:p>
    <w:p>
      <w:pPr>
        <w:pStyle w:val="style0"/>
        <w:spacing w:before="240" w:after="240" w:lineRule="auto" w:line="480"/>
        <w:jc w:val="both"/>
        <w:rPr>
          <w:rFonts w:ascii="Arial" w:cs="Arial" w:hAnsi="Arial"/>
        </w:rPr>
      </w:pPr>
      <w:r>
        <w:rPr>
          <w:rFonts w:ascii="Arial" w:cs="Arial" w:hAnsi="Arial"/>
        </w:rPr>
        <w:t>Epidemiology Type 2 Diabetes (T2D) is concerned with both the incidence (new cases of T2D over time) and prevalence (there are a fixed number of cases of T2D in a population). Prevalence is much greater than incidence in the UK because of a chronic nature of the disease and the growing survival after diagnosis (Diabetes UK, 2023). T2D has a disproportionate impact on some population groups, especially the South Asian populations, low-income populations, and older adults, which leaves no doubt of the potent role of social and demographic determinants on t</w:t>
      </w:r>
      <w:r>
        <w:rPr>
          <w:rFonts w:ascii="Arial" w:cs="Arial" w:hAnsi="Arial"/>
        </w:rPr>
        <w:t>he distribution of the disease.</w:t>
      </w:r>
    </w:p>
    <w:p>
      <w:pPr>
        <w:pStyle w:val="style0"/>
        <w:spacing w:before="240" w:after="240" w:lineRule="auto" w:line="480"/>
        <w:jc w:val="both"/>
        <w:rPr>
          <w:rFonts w:ascii="Arial" w:cs="Arial" w:hAnsi="Arial"/>
        </w:rPr>
      </w:pPr>
      <w:r>
        <w:rPr>
          <w:rFonts w:ascii="Arial" w:cs="Arial" w:hAnsi="Arial"/>
        </w:rPr>
        <w:t xml:space="preserve">Increased insulin resistance and genetic susceptibility has put South Asian populations at a very high risk of developing T2D, which usually occurs at earlier ages and at lower body mass indexes than White populations (NHS England, 2023). Socioeconomic deprivation also adds to the risk with the lack of access to healthy food, opportunities to exercise, and </w:t>
      </w:r>
      <w:r>
        <w:rPr>
          <w:rFonts w:ascii="Arial" w:cs="Arial" w:hAnsi="Arial"/>
        </w:rPr>
        <w:t>preventive healthcare services.</w:t>
      </w:r>
    </w:p>
    <w:p>
      <w:pPr>
        <w:pStyle w:val="style0"/>
        <w:spacing w:before="240" w:after="240" w:lineRule="auto" w:line="480"/>
        <w:jc w:val="both"/>
        <w:rPr>
          <w:rFonts w:ascii="Arial" w:cs="Arial" w:hAnsi="Arial"/>
        </w:rPr>
      </w:pPr>
      <w:r>
        <w:rPr>
          <w:rFonts w:ascii="Arial" w:cs="Arial" w:hAnsi="Arial"/>
        </w:rPr>
        <w:t xml:space="preserve">The case study of Tower Hamlets is of special interest because of the high percentage of residents of Bangladeshi origin and the fact that the borough is among the most deprived in London. </w:t>
      </w:r>
    </w:p>
    <w:bookmarkStart w:id="18" w:name="_Toc228543407"/>
    <w:p>
      <w:pPr>
        <w:pStyle w:val="style1"/>
        <w:spacing w:after="240"/>
        <w:rPr/>
      </w:pPr>
      <w:r>
        <w:t>3. Risk Factors</w:t>
      </w:r>
      <w:r>
        <w:t xml:space="preserve"> and Determinants</w:t>
      </w:r>
      <w:bookmarkEnd w:id="18"/>
      <w:r>
        <w:t xml:space="preserve"> </w:t>
      </w:r>
    </w:p>
    <w:p>
      <w:pPr>
        <w:pStyle w:val="style0"/>
        <w:spacing w:before="240" w:after="240" w:lineRule="auto" w:line="480"/>
        <w:jc w:val="both"/>
        <w:rPr>
          <w:rFonts w:ascii="Arial" w:cs="Arial" w:hAnsi="Arial"/>
        </w:rPr>
      </w:pPr>
      <w:r>
        <w:rPr>
          <w:rFonts w:ascii="Arial" w:cs="Arial" w:hAnsi="Arial"/>
        </w:rPr>
        <w:t xml:space="preserve">Type 2 Diabetes (T2D) is influenced by biological, lifestyle and social factors, proving that its distribution is not random but is socially patterned. Genetically, South Asian people are more prone to insulin resistance, which leads to the further predisposition to T2D at an earlier age and lower body mass index than other ethnic groups (World Health </w:t>
      </w:r>
      <w:r>
        <w:rPr>
          <w:rFonts w:ascii="Arial" w:cs="Arial" w:hAnsi="Arial"/>
        </w:rPr>
        <w:t>Organization, 2023).</w:t>
      </w:r>
    </w:p>
    <w:p>
      <w:pPr>
        <w:pStyle w:val="style0"/>
        <w:spacing w:before="240" w:after="240" w:lineRule="auto" w:line="480"/>
        <w:jc w:val="both"/>
        <w:rPr>
          <w:rFonts w:ascii="Arial" w:cs="Arial" w:hAnsi="Arial"/>
        </w:rPr>
      </w:pPr>
      <w:r>
        <w:rPr>
          <w:rFonts w:ascii="Arial" w:cs="Arial" w:hAnsi="Arial"/>
        </w:rPr>
        <w:t>Lifestyle factors are also very important. Higher amounts of processed foods, refined sugars and saturated fats with low amounts of physical activity make people obese and dysfunctional in metabolism. Such behaviours are usually influenced by the immediate environment, such as the lack of access to affordable healthy fo</w:t>
      </w:r>
      <w:r>
        <w:rPr>
          <w:rFonts w:ascii="Arial" w:cs="Arial" w:hAnsi="Arial"/>
        </w:rPr>
        <w:t>od and safe places to exercise.</w:t>
      </w:r>
    </w:p>
    <w:p>
      <w:pPr>
        <w:pStyle w:val="style0"/>
        <w:spacing w:before="240" w:after="240" w:lineRule="auto" w:line="480"/>
        <w:jc w:val="both"/>
        <w:rPr>
          <w:rFonts w:ascii="Arial" w:cs="Arial" w:hAnsi="Arial"/>
        </w:rPr>
      </w:pPr>
      <w:r>
        <w:rPr>
          <w:rFonts w:ascii="Arial" w:cs="Arial" w:hAnsi="Arial"/>
        </w:rPr>
        <w:t xml:space="preserve">It is also important to note that social determinants play a crucial role in elucidating inequalities in Tower Hamlets. Poverty, low educational levels, unemployment, and bad housing lead to higher exposure to the risk factors of diabetes and decreased access to preventive healthcare services (Office for National Statistics, 2023). These structural imbalances support disparities in health </w:t>
      </w:r>
      <w:r>
        <w:rPr>
          <w:rFonts w:ascii="Arial" w:cs="Arial" w:hAnsi="Arial"/>
        </w:rPr>
        <w:t>among populations.</w:t>
      </w:r>
    </w:p>
    <w:bookmarkStart w:id="19" w:name="_Toc228543408"/>
    <w:p>
      <w:pPr>
        <w:pStyle w:val="style1"/>
        <w:spacing w:after="240"/>
        <w:rPr/>
      </w:pPr>
      <w:r>
        <w:t>4. Surveillance Systems</w:t>
      </w:r>
      <w:bookmarkEnd w:id="19"/>
      <w:r>
        <w:t xml:space="preserve"> </w:t>
      </w:r>
    </w:p>
    <w:p>
      <w:pPr>
        <w:pStyle w:val="style0"/>
        <w:keepNext/>
        <w:jc w:val="center"/>
        <w:rPr/>
      </w:pPr>
      <w:r>
        <w:rPr>
          <w:noProof/>
          <w:lang w:eastAsia="en-GB"/>
        </w:rPr>
        <w:drawing>
          <wp:inline distL="0" distT="0" distB="0" distR="0">
            <wp:extent cx="3339917" cy="1895475"/>
            <wp:effectExtent l="0" t="0" r="0" b="0"/>
            <wp:docPr id="1030"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
                    <pic:cNvPicPr/>
                  </pic:nvPicPr>
                  <pic:blipFill>
                    <a:blip r:embed="rId7" cstate="print"/>
                    <a:srcRect l="0" t="0" r="0" b="0"/>
                    <a:stretch/>
                  </pic:blipFill>
                  <pic:spPr>
                    <a:xfrm rot="0">
                      <a:off x="0" y="0"/>
                      <a:ext cx="3339917" cy="1895475"/>
                    </a:xfrm>
                    <a:prstGeom prst="rect"/>
                  </pic:spPr>
                </pic:pic>
              </a:graphicData>
            </a:graphic>
          </wp:inline>
        </w:drawing>
      </w:r>
    </w:p>
    <w:bookmarkStart w:id="20" w:name="_Toc228543422"/>
    <w:p>
      <w:pPr>
        <w:pStyle w:val="style34"/>
        <w:rPr>
          <w:rFonts w:cs="Arial"/>
        </w:rPr>
      </w:pPr>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noProof/>
        </w:rPr>
        <w:t>4</w:t>
      </w:r>
      <w:r>
        <w:rPr>
          <w:rFonts w:cs="Arial"/>
        </w:rPr>
        <w:fldChar w:fldCharType="end"/>
      </w:r>
      <w:r>
        <w:rPr>
          <w:rFonts w:cs="Arial"/>
        </w:rPr>
        <w:t>. Surveillance systems in detection and epidemiology</w:t>
      </w:r>
      <w:r>
        <w:rPr>
          <w:rFonts w:cs="Arial"/>
        </w:rPr>
        <w:t>.</w:t>
      </w:r>
      <w:r>
        <w:t xml:space="preserve"> </w:t>
      </w:r>
      <w:r>
        <w:rPr>
          <w:rFonts w:cs="Arial"/>
        </w:rPr>
        <w:t xml:space="preserve">Adapted from World Health Organization (2023), </w:t>
      </w:r>
      <w:r>
        <w:rPr>
          <w:rFonts w:cs="Arial"/>
        </w:rPr>
        <w:t>Centres</w:t>
      </w:r>
      <w:r>
        <w:rPr>
          <w:rFonts w:cs="Arial"/>
        </w:rPr>
        <w:t xml:space="preserve"> for Disease Control and Prevention (CDC, 2024), and European Centre for Disease Prevention and Control (ECDC, 2023).</w:t>
      </w:r>
      <w:bookmarkEnd w:id="20"/>
    </w:p>
    <w:p>
      <w:pPr>
        <w:pStyle w:val="style0"/>
        <w:spacing w:before="240" w:after="240" w:lineRule="auto" w:line="480"/>
        <w:jc w:val="both"/>
        <w:rPr>
          <w:rFonts w:ascii="Arial" w:cs="Arial" w:hAnsi="Arial"/>
        </w:rPr>
      </w:pPr>
      <w:r>
        <w:rPr>
          <w:rFonts w:ascii="Arial" w:cs="Arial" w:hAnsi="Arial"/>
        </w:rPr>
        <w:t>The UK has a range of national data systems that support epidemiological surveillance of Type 2 Diabetes (T2D) to assist in monitoring prevalence and trends and health outcomes. The NHS Digital is strategic in gathering and analysing the health data of both primary and secondary care services such as diagnoses of diabetes, treatment outcomes, and complications. Likewise, general practice (GP) registers offer useful real-time clinical information on the diagnosed cases that can help healthcare providers to monitor disease</w:t>
      </w:r>
      <w:r>
        <w:rPr>
          <w:rFonts w:ascii="Arial" w:cs="Arial" w:hAnsi="Arial"/>
        </w:rPr>
        <w:t xml:space="preserve"> management at the local scale.</w:t>
      </w:r>
    </w:p>
    <w:p>
      <w:pPr>
        <w:pStyle w:val="style0"/>
        <w:spacing w:before="240" w:after="240" w:lineRule="auto" w:line="480"/>
        <w:jc w:val="both"/>
        <w:rPr>
          <w:rFonts w:ascii="Arial" w:cs="Arial" w:hAnsi="Arial"/>
        </w:rPr>
      </w:pPr>
      <w:r>
        <w:rPr>
          <w:rFonts w:ascii="Arial" w:cs="Arial" w:hAnsi="Arial"/>
        </w:rPr>
        <w:t>Population health indicators, such as diabetes prevalence and the inequalities based on the region, are measured with the help of the Public Health Outcomes Framework (PHOF). Furthermore, the UK Health Security Agency has broader surveillance capabilities, especially in the scope of tracking the risks to the health of the population and providing national policies to preve</w:t>
      </w:r>
      <w:r>
        <w:rPr>
          <w:rFonts w:ascii="Arial" w:cs="Arial" w:hAnsi="Arial"/>
        </w:rPr>
        <w:t>nt and counteract the diseases.</w:t>
      </w:r>
    </w:p>
    <w:p>
      <w:pPr>
        <w:pStyle w:val="style0"/>
        <w:spacing w:before="240" w:after="240" w:lineRule="auto" w:line="480"/>
        <w:jc w:val="both"/>
        <w:rPr>
          <w:rFonts w:ascii="Arial" w:cs="Arial" w:hAnsi="Arial"/>
        </w:rPr>
      </w:pPr>
      <w:r>
        <w:rPr>
          <w:rFonts w:ascii="Arial" w:cs="Arial" w:hAnsi="Arial"/>
        </w:rPr>
        <w:t xml:space="preserve">All these systems assist in identifying high-risk populations, monitoring the course of diseases, and the efficiency of interventions in public health. However, limitations remain. The quality of inequality analysis can be less accurate when there is a data gap in ethnicity records, and underreporting is more likely to occur in deprived communities where the access to healthcare and rates of diagnosis might be less. </w:t>
      </w:r>
    </w:p>
    <w:bookmarkStart w:id="21" w:name="_Toc228543409"/>
    <w:p>
      <w:pPr>
        <w:pStyle w:val="style1"/>
        <w:spacing w:after="240"/>
        <w:rPr/>
      </w:pPr>
      <w:r>
        <w:t>5. Public Health Response (3 Ps Model)</w:t>
      </w:r>
      <w:bookmarkEnd w:id="21"/>
      <w:r>
        <w:t xml:space="preserve"> </w:t>
      </w:r>
    </w:p>
    <w:p>
      <w:pPr>
        <w:pStyle w:val="style0"/>
        <w:keepNext/>
        <w:jc w:val="center"/>
        <w:rPr/>
      </w:pPr>
      <w:r>
        <w:rPr>
          <w:noProof/>
          <w:lang w:eastAsia="en-GB"/>
        </w:rPr>
        <w:drawing>
          <wp:inline distL="0" distT="0" distB="0" distR="0">
            <wp:extent cx="3524250" cy="2375857"/>
            <wp:effectExtent l="0" t="0" r="0" b="5715"/>
            <wp:docPr id="1031"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8"/>
                    <pic:cNvPicPr/>
                  </pic:nvPicPr>
                  <pic:blipFill>
                    <a:blip r:embed="rId8" cstate="print"/>
                    <a:srcRect l="0" t="0" r="0" b="0"/>
                    <a:stretch/>
                  </pic:blipFill>
                  <pic:spPr>
                    <a:xfrm rot="0">
                      <a:off x="0" y="0"/>
                      <a:ext cx="3524250" cy="2375857"/>
                    </a:xfrm>
                    <a:prstGeom prst="rect"/>
                  </pic:spPr>
                </pic:pic>
              </a:graphicData>
            </a:graphic>
          </wp:inline>
        </w:drawing>
      </w:r>
    </w:p>
    <w:bookmarkStart w:id="22" w:name="_Toc228543423"/>
    <w:p>
      <w:pPr>
        <w:pStyle w:val="style34"/>
        <w:rPr>
          <w:rFonts w:cs="Arial"/>
        </w:rPr>
      </w:pPr>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noProof/>
        </w:rPr>
        <w:t>5</w:t>
      </w:r>
      <w:r>
        <w:rPr>
          <w:rFonts w:cs="Arial"/>
        </w:rPr>
        <w:fldChar w:fldCharType="end"/>
      </w:r>
      <w:r>
        <w:rPr>
          <w:rFonts w:cs="Arial"/>
        </w:rPr>
        <w:t xml:space="preserve">. Public health response using the 3Ps model. Adapted from World Health Organization (2023), </w:t>
      </w:r>
      <w:r>
        <w:rPr>
          <w:rFonts w:cs="Arial"/>
        </w:rPr>
        <w:t>Centers</w:t>
      </w:r>
      <w:r>
        <w:rPr>
          <w:rFonts w:cs="Arial"/>
        </w:rPr>
        <w:t xml:space="preserve"> for Disease Control and Prevention (CDC, 2024), and Public Health England (2022).</w:t>
      </w:r>
      <w:bookmarkEnd w:id="22"/>
    </w:p>
    <w:p>
      <w:pPr>
        <w:pStyle w:val="style34"/>
        <w:rPr>
          <w:rFonts w:cs="Arial"/>
          <w:sz w:val="22"/>
        </w:rPr>
      </w:pPr>
      <w:r>
        <w:rPr>
          <w:rFonts w:cs="Arial"/>
          <w:sz w:val="22"/>
        </w:rPr>
        <w:t>.</w:t>
      </w:r>
    </w:p>
    <w:bookmarkStart w:id="23" w:name="_Toc228543410"/>
    <w:p>
      <w:pPr>
        <w:pStyle w:val="style2"/>
        <w:spacing w:before="240" w:after="240"/>
        <w:rPr/>
      </w:pPr>
      <w:r>
        <w:t xml:space="preserve">5.1 </w:t>
      </w:r>
      <w:r>
        <w:t>Prevention</w:t>
      </w:r>
      <w:bookmarkEnd w:id="23"/>
    </w:p>
    <w:p>
      <w:pPr>
        <w:pStyle w:val="style0"/>
        <w:spacing w:before="240" w:after="240" w:lineRule="auto" w:line="480"/>
        <w:jc w:val="both"/>
        <w:rPr>
          <w:rFonts w:ascii="Arial" w:cs="Arial" w:hAnsi="Arial"/>
        </w:rPr>
      </w:pPr>
      <w:r>
        <w:rPr>
          <w:rFonts w:ascii="Arial" w:cs="Arial" w:hAnsi="Arial"/>
        </w:rPr>
        <w:t>Prevention of Type 2 Diabetes (T2D) in the UK is supported mainly on the basis of the NHS Diabetes Prevention Programme that focuses on reducing the risk among the high-risk people by means of organized lifestyle interventions (NHS England, 2023). These involve weight management, dietary changes and physical activity. Education on lifestyle is also encouraged at the community and primary care levels to minimize the modifiable risk factors including obesity an</w:t>
      </w:r>
      <w:r>
        <w:rPr>
          <w:rFonts w:ascii="Arial" w:cs="Arial" w:hAnsi="Arial"/>
        </w:rPr>
        <w:t>d poor dietary habits.</w:t>
      </w:r>
    </w:p>
    <w:bookmarkStart w:id="24" w:name="_Toc228543411"/>
    <w:p>
      <w:pPr>
        <w:pStyle w:val="style2"/>
        <w:spacing w:before="240" w:after="240"/>
        <w:rPr/>
      </w:pPr>
      <w:r>
        <w:t xml:space="preserve">5.2 </w:t>
      </w:r>
      <w:r>
        <w:t>Protection</w:t>
      </w:r>
      <w:bookmarkEnd w:id="24"/>
    </w:p>
    <w:p>
      <w:pPr>
        <w:pStyle w:val="style0"/>
        <w:spacing w:before="240" w:after="240" w:lineRule="auto" w:line="480"/>
        <w:jc w:val="both"/>
        <w:rPr>
          <w:rFonts w:ascii="Arial" w:cs="Arial" w:hAnsi="Arial"/>
        </w:rPr>
      </w:pPr>
      <w:r>
        <w:rPr>
          <w:rFonts w:ascii="Arial" w:cs="Arial" w:hAnsi="Arial"/>
        </w:rPr>
        <w:t xml:space="preserve">Preventive plans are based on early detection and prompt intervention to minimize complications. HbA1c blood tests are an extremely popular screening method that allows detecting people with pre-diabetes or undiagnosed T2D. Early-stage detection is critical in overcoming chronic complications including cardiovascular disease, kidney failure and neuropathy. These preventive </w:t>
      </w:r>
      <w:r>
        <w:rPr>
          <w:rFonts w:ascii="Arial" w:cs="Arial" w:hAnsi="Arial"/>
        </w:rPr>
        <w:t>measures are provided primarily by the primary care and regular health check-u</w:t>
      </w:r>
      <w:r>
        <w:rPr>
          <w:rFonts w:ascii="Arial" w:cs="Arial" w:hAnsi="Arial"/>
        </w:rPr>
        <w:t>ps among high-risk populations.</w:t>
      </w:r>
    </w:p>
    <w:bookmarkStart w:id="25" w:name="_Toc228543412"/>
    <w:p>
      <w:pPr>
        <w:pStyle w:val="style2"/>
        <w:spacing w:before="240" w:after="240"/>
        <w:rPr/>
      </w:pPr>
      <w:r>
        <w:t xml:space="preserve">5.3 </w:t>
      </w:r>
      <w:r>
        <w:t>Promotion</w:t>
      </w:r>
      <w:bookmarkEnd w:id="25"/>
    </w:p>
    <w:p>
      <w:pPr>
        <w:pStyle w:val="style0"/>
        <w:spacing w:before="240" w:after="240" w:lineRule="auto" w:line="480"/>
        <w:jc w:val="both"/>
        <w:rPr>
          <w:rFonts w:ascii="Arial" w:cs="Arial" w:hAnsi="Arial"/>
        </w:rPr>
      </w:pPr>
      <w:r>
        <w:rPr>
          <w:rFonts w:ascii="Arial" w:cs="Arial" w:hAnsi="Arial"/>
        </w:rPr>
        <w:t xml:space="preserve">The health promotion activities will target the awareness of diabetes risk factors and promotion of healthy behaviours. Lifestyle change through the community outreach programmes and public health campaigns focus on the deprived and high-risk ethnic communities. Intervention based on cultural considerations is gaining popularity as a way to enhance </w:t>
      </w:r>
      <w:r>
        <w:rPr>
          <w:rFonts w:ascii="Arial" w:cs="Arial" w:hAnsi="Arial"/>
        </w:rPr>
        <w:t>engagement and health literacy.</w:t>
      </w:r>
    </w:p>
    <w:bookmarkStart w:id="26" w:name="_Toc228543413"/>
    <w:p>
      <w:pPr>
        <w:pStyle w:val="style2"/>
        <w:spacing w:before="240" w:after="240"/>
        <w:rPr/>
      </w:pPr>
      <w:r>
        <w:t xml:space="preserve">5.4 </w:t>
      </w:r>
      <w:r>
        <w:t>Critical Analysis</w:t>
      </w:r>
      <w:bookmarkEnd w:id="26"/>
    </w:p>
    <w:p>
      <w:pPr>
        <w:pStyle w:val="style0"/>
        <w:spacing w:before="240" w:after="240" w:lineRule="auto" w:line="480"/>
        <w:jc w:val="both"/>
        <w:rPr>
          <w:rFonts w:ascii="Arial" w:cs="Arial" w:hAnsi="Arial"/>
        </w:rPr>
      </w:pPr>
      <w:r>
        <w:rPr>
          <w:rFonts w:ascii="Arial" w:cs="Arial" w:hAnsi="Arial"/>
        </w:rPr>
        <w:t>In spite of these efforts, disparities in the uptake of programmes remain. There is evidence that the ethnic minority populations especially in deprived communities like Tower Hamlets are less likely to attend or complete prevention programmes because of cultural barriers, language differences and lack of trust in healthcare services. This emphasizes the fact that there are strategies in place to address the public health, although their efficacy is hampered by disparities in accessibility and structural hindrances.</w:t>
      </w:r>
    </w:p>
    <w:bookmarkStart w:id="27" w:name="_Toc228543414"/>
    <w:p>
      <w:pPr>
        <w:pStyle w:val="style1"/>
        <w:spacing w:after="240"/>
        <w:rPr/>
      </w:pPr>
      <w:r>
        <w:t>6. Intervention Programme</w:t>
      </w:r>
      <w:bookmarkEnd w:id="27"/>
      <w:r>
        <w:t xml:space="preserve"> </w:t>
      </w:r>
    </w:p>
    <w:p>
      <w:pPr>
        <w:pStyle w:val="style0"/>
        <w:spacing w:before="240" w:after="240" w:lineRule="auto" w:line="480"/>
        <w:jc w:val="both"/>
        <w:rPr>
          <w:rFonts w:ascii="Arial" w:cs="Arial" w:hAnsi="Arial"/>
        </w:rPr>
      </w:pPr>
      <w:r>
        <w:rPr>
          <w:rFonts w:ascii="Arial" w:cs="Arial" w:hAnsi="Arial"/>
        </w:rPr>
        <w:t>The suggested intervention to decrease Type 2 Diabetes (T2D) in Tower Hamlets is the Tower Hamlets Community Diabetes Prevention Programme, which aims to address South Asian adults aged 3060 years who are more susceptible to developing Type 2 Diabetes. This population has been listed as a priority because it has a high prevalence associated with genetic vulnerability, socioeconomic deprivation, and</w:t>
      </w:r>
      <w:r>
        <w:rPr>
          <w:rFonts w:ascii="Arial" w:cs="Arial" w:hAnsi="Arial"/>
        </w:rPr>
        <w:t xml:space="preserve"> lifestyle (NHS England, 2023).</w:t>
      </w:r>
    </w:p>
    <w:p>
      <w:pPr>
        <w:pStyle w:val="style0"/>
        <w:spacing w:before="240" w:after="240" w:lineRule="auto" w:line="480"/>
        <w:jc w:val="both"/>
        <w:rPr>
          <w:rFonts w:ascii="Arial" w:cs="Arial" w:hAnsi="Arial"/>
        </w:rPr>
      </w:pPr>
      <w:r>
        <w:rPr>
          <w:rFonts w:ascii="Arial" w:cs="Arial" w:hAnsi="Arial"/>
        </w:rPr>
        <w:t xml:space="preserve">The programme would entail cultural specific diet education that emphasizes on the minimization of refined carbohydrates and saturated fats and enhancing the traditional, healthy options. </w:t>
      </w:r>
      <w:r>
        <w:rPr>
          <w:rFonts w:ascii="Arial" w:cs="Arial" w:hAnsi="Arial"/>
        </w:rPr>
        <w:t xml:space="preserve">Moreover, community-based physical activity programs like walking clubs and women-only exercise classes would be implemented to enhance access and participation. </w:t>
      </w:r>
    </w:p>
    <w:p>
      <w:pPr>
        <w:pStyle w:val="style0"/>
        <w:spacing w:before="240" w:after="240" w:lineRule="auto" w:line="480"/>
        <w:jc w:val="both"/>
        <w:rPr>
          <w:rFonts w:ascii="Arial" w:cs="Arial" w:hAnsi="Arial"/>
        </w:rPr>
      </w:pPr>
      <w:r>
        <w:rPr>
          <w:rFonts w:ascii="Arial" w:cs="Arial" w:hAnsi="Arial"/>
        </w:rPr>
        <w:t xml:space="preserve">The primary advantage of this intervention is its community-based and culturally sensitive nature that enhances the level of trust and engagement among ethnic minorities. Yet, its major drawback is the long-term sustainability, especially in terms of funding, staffing, and continuing engagement. </w:t>
      </w:r>
    </w:p>
    <w:bookmarkStart w:id="28" w:name="_Toc228543415"/>
    <w:p>
      <w:pPr>
        <w:pStyle w:val="style1"/>
        <w:spacing w:after="240"/>
        <w:rPr/>
      </w:pPr>
      <w:r>
        <w:t>7. Impact of Type 2 Diabetes</w:t>
      </w:r>
      <w:bookmarkEnd w:id="28"/>
      <w:r>
        <w:t xml:space="preserve"> </w:t>
      </w:r>
    </w:p>
    <w:p>
      <w:pPr>
        <w:pStyle w:val="style0"/>
        <w:spacing w:before="240" w:after="240" w:lineRule="auto" w:line="480"/>
        <w:jc w:val="both"/>
        <w:rPr>
          <w:rFonts w:ascii="Arial" w:cs="Arial" w:hAnsi="Arial"/>
        </w:rPr>
      </w:pPr>
      <w:r>
        <w:rPr>
          <w:rFonts w:ascii="Arial" w:cs="Arial" w:hAnsi="Arial"/>
        </w:rPr>
        <w:t>The effects of Type 2 Diabetes (T2D) are severe both in the short-run, as well as in the long-run and economically to both the individual and the overall healthcare system. The short-term effects of diabetes are fatigue, more thirst, frequent urination, and poor quality of life because of inadequate glucose levels in the blood (Diabetes UK, 2023). The symptoms may impact on daily functioning, producti</w:t>
      </w:r>
      <w:r>
        <w:rPr>
          <w:rFonts w:ascii="Arial" w:cs="Arial" w:hAnsi="Arial"/>
        </w:rPr>
        <w:t>vity at work and mental health.</w:t>
      </w:r>
    </w:p>
    <w:p>
      <w:pPr>
        <w:pStyle w:val="style0"/>
        <w:spacing w:before="240" w:after="240" w:lineRule="auto" w:line="480"/>
        <w:jc w:val="both"/>
        <w:rPr>
          <w:rFonts w:ascii="Arial" w:cs="Arial" w:hAnsi="Arial"/>
        </w:rPr>
      </w:pPr>
      <w:r>
        <w:rPr>
          <w:rFonts w:ascii="Arial" w:cs="Arial" w:hAnsi="Arial"/>
        </w:rPr>
        <w:t>Poorly controlled T2D may cause serious complications such as stroke, kidney disease, cardiovascular disease, neuropathy, and vision loss, in the long run. These complications pose a huge burden on morbidity and mortality especially in high-risk groups in the depri</w:t>
      </w:r>
      <w:r>
        <w:rPr>
          <w:rFonts w:ascii="Arial" w:cs="Arial" w:hAnsi="Arial"/>
        </w:rPr>
        <w:t>ved regions like Tower Hamlets.</w:t>
      </w:r>
    </w:p>
    <w:p>
      <w:pPr>
        <w:pStyle w:val="style0"/>
        <w:spacing w:before="240" w:after="240" w:lineRule="auto" w:line="480"/>
        <w:jc w:val="both"/>
        <w:rPr>
          <w:rFonts w:ascii="Arial" w:cs="Arial" w:hAnsi="Arial"/>
        </w:rPr>
      </w:pPr>
      <w:r>
        <w:rPr>
          <w:rFonts w:ascii="Arial" w:cs="Arial" w:hAnsi="Arial"/>
        </w:rPr>
        <w:t>T2D is an economic burden to the NHS through the long-term cost of treatment, hospitalization, and complications management. Besides this, it has a broader social effect in the form of decreased workforce productivity, sickness absence and early retirement. In general, T2D is a significant health and economic issue with a disproportionate burden in socially disadvantaged and ethnic minorities.</w:t>
      </w:r>
    </w:p>
    <w:bookmarkStart w:id="29" w:name="_Toc228543416"/>
    <w:p>
      <w:pPr>
        <w:pStyle w:val="style1"/>
        <w:spacing w:after="240"/>
        <w:rPr/>
      </w:pPr>
      <w:r>
        <w:t>8. Strengths and Limitations</w:t>
      </w:r>
      <w:bookmarkEnd w:id="29"/>
      <w:r>
        <w:t xml:space="preserve"> </w:t>
      </w:r>
      <w:r>
        <w:t xml:space="preserve"> </w:t>
      </w:r>
    </w:p>
    <w:p>
      <w:pPr>
        <w:pStyle w:val="style0"/>
        <w:spacing w:before="240" w:after="240" w:lineRule="auto" w:line="480"/>
        <w:jc w:val="both"/>
        <w:rPr>
          <w:rFonts w:ascii="Arial" w:cs="Arial" w:hAnsi="Arial"/>
        </w:rPr>
      </w:pPr>
      <w:r>
        <w:rPr>
          <w:rFonts w:ascii="Arial" w:cs="Arial" w:hAnsi="Arial"/>
        </w:rPr>
        <w:t xml:space="preserve">The epidemiological methods to Type 2 Diabetes (T2D) in the UK have a number of advantages, especially the presence of powerful national data and developed systems of surveillance. The </w:t>
      </w:r>
      <w:r>
        <w:rPr>
          <w:rFonts w:ascii="Arial" w:cs="Arial" w:hAnsi="Arial"/>
        </w:rPr>
        <w:t>NHS Digital and similar organisations are large, standardised sources of health data that can be used to conduct proper monitoring of prevalence, complications, and outcomes of treatment. Moreover, the NHS Diabetes Prevention Programme and other evidence-based interventions, are based on epidemiological evidence and are used to inform specific public hea</w:t>
      </w:r>
      <w:r>
        <w:rPr>
          <w:rFonts w:ascii="Arial" w:cs="Arial" w:hAnsi="Arial"/>
        </w:rPr>
        <w:t>lth action (NHS England, 2023).</w:t>
      </w:r>
    </w:p>
    <w:p>
      <w:pPr>
        <w:pStyle w:val="style0"/>
        <w:spacing w:before="240" w:after="240" w:lineRule="auto" w:line="480"/>
        <w:jc w:val="both"/>
        <w:rPr>
          <w:rFonts w:ascii="Arial" w:cs="Arial" w:hAnsi="Arial"/>
        </w:rPr>
      </w:pPr>
      <w:r>
        <w:rPr>
          <w:rFonts w:ascii="Arial" w:cs="Arial" w:hAnsi="Arial"/>
        </w:rPr>
        <w:t xml:space="preserve">Nevertheless, there are still significant constraints. Ethnic minority and deprived populations are more likely to be underdiagnosed, which results in the incomplete representation of the data and possible underestimation of disease burden. </w:t>
      </w:r>
    </w:p>
    <w:bookmarkStart w:id="30" w:name="_Toc228543417"/>
    <w:p>
      <w:pPr>
        <w:pStyle w:val="style1"/>
        <w:rPr/>
      </w:pPr>
      <w:r>
        <w:t xml:space="preserve">9. </w:t>
      </w:r>
      <w:r>
        <w:t>Conclusion</w:t>
      </w:r>
      <w:bookmarkEnd w:id="30"/>
    </w:p>
    <w:p>
      <w:pPr>
        <w:pStyle w:val="style0"/>
        <w:spacing w:before="240" w:after="240" w:lineRule="auto" w:line="480"/>
        <w:jc w:val="both"/>
        <w:rPr>
          <w:rFonts w:ascii="Arial" w:cs="Arial" w:hAnsi="Arial"/>
        </w:rPr>
      </w:pPr>
      <w:r>
        <w:rPr>
          <w:rFonts w:ascii="Arial" w:cs="Arial" w:hAnsi="Arial"/>
        </w:rPr>
        <w:t>Health inequalities among ethnic minorities in the UK are multifaceted, systemic and largely attributable to social determinants of health, rather than genetics. Research demonstrates that ethnic minorities have greater risks of cardiovascular disease, type 2 diabetes, and COVID-19 death, as well as lower access to health services, greater deprivation, and crowded living conditions. These disparities are compounded by social determinants of health, including income inequality, discrimination and healthcare system barriers. While national strategies, such as the NHS Long Term Plan and Race Disparity Unit initiatives, seek to address inequalities, implementation barriers remain. As a result, policy and culturally sensitive interventions and community involvement are crucial to minimising these preventable inequalities.</w:t>
      </w:r>
    </w:p>
    <w:p>
      <w:pPr>
        <w:pStyle w:val="style0"/>
        <w:spacing w:before="240" w:after="240" w:lineRule="auto" w:line="480"/>
        <w:jc w:val="both"/>
        <w:rPr>
          <w:rFonts w:ascii="Arial" w:cs="Arial" w:hAnsi="Arial"/>
        </w:rPr>
      </w:pPr>
    </w:p>
    <w:p>
      <w:pPr>
        <w:pStyle w:val="style0"/>
        <w:spacing w:before="240" w:after="240" w:lineRule="auto" w:line="480"/>
        <w:jc w:val="both"/>
        <w:rPr>
          <w:rFonts w:ascii="Arial" w:cs="Arial" w:hAnsi="Arial"/>
        </w:rPr>
      </w:pPr>
    </w:p>
    <w:p>
      <w:pPr>
        <w:pStyle w:val="style0"/>
        <w:spacing w:before="240" w:after="240" w:lineRule="auto" w:line="480"/>
        <w:jc w:val="both"/>
        <w:rPr>
          <w:rFonts w:ascii="Arial" w:cs="Arial" w:hAnsi="Arial"/>
        </w:rPr>
      </w:pPr>
    </w:p>
    <w:p>
      <w:pPr>
        <w:pStyle w:val="style0"/>
        <w:spacing w:before="240" w:after="240" w:lineRule="auto" w:line="480"/>
        <w:jc w:val="both"/>
        <w:rPr>
          <w:rFonts w:ascii="Arial" w:cs="Arial" w:hAnsi="Arial"/>
        </w:rPr>
      </w:pPr>
    </w:p>
    <w:bookmarkStart w:id="31" w:name="_Toc228543418"/>
    <w:p>
      <w:pPr>
        <w:pStyle w:val="style1"/>
        <w:spacing w:after="240"/>
        <w:rPr>
          <w:rFonts w:eastAsia="Times New Roman"/>
          <w:lang w:eastAsia="en-GB"/>
        </w:rPr>
      </w:pPr>
      <w:r>
        <w:rPr>
          <w:rFonts w:eastAsia="Times New Roman"/>
          <w:lang w:eastAsia="en-GB"/>
        </w:rPr>
        <w:t>References</w:t>
      </w:r>
      <w:bookmarkEnd w:id="31"/>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British Heart Foundation (2022) Diabetes and cardiovascular disease. Available at: </w:t>
      </w:r>
      <w:r>
        <w:rPr/>
        <w:fldChar w:fldCharType="begin"/>
      </w:r>
      <w:r>
        <w:instrText xml:space="preserve"> HYPERLINK "https://www.bhf.org.uk" </w:instrText>
      </w:r>
      <w:r>
        <w:rPr/>
        <w:fldChar w:fldCharType="separate"/>
      </w:r>
      <w:r>
        <w:rPr>
          <w:rStyle w:val="style85"/>
          <w:rFonts w:ascii="Arial" w:cs="Arial" w:eastAsia="MS Mincho" w:hAnsi="Arial"/>
          <w:lang w:val="en-US"/>
        </w:rPr>
        <w:t>https://www.bhf.org.uk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Barts</w:t>
      </w:r>
      <w:r>
        <w:rPr>
          <w:rFonts w:ascii="Arial" w:cs="Arial" w:eastAsia="MS Mincho" w:hAnsi="Arial"/>
          <w:lang w:val="en-US"/>
        </w:rPr>
        <w:t xml:space="preserve"> Health NHS Trust (2023) Diabetes services in East London. Available at: </w:t>
      </w:r>
      <w:r>
        <w:rPr/>
        <w:fldChar w:fldCharType="begin"/>
      </w:r>
      <w:r>
        <w:instrText xml:space="preserve"> HYPERLINK "https://www.bartshealth.nhs.uk" </w:instrText>
      </w:r>
      <w:r>
        <w:rPr/>
        <w:fldChar w:fldCharType="separate"/>
      </w:r>
      <w:r>
        <w:rPr>
          <w:rStyle w:val="style85"/>
          <w:rFonts w:ascii="Arial" w:cs="Arial" w:eastAsia="MS Mincho" w:hAnsi="Arial"/>
          <w:lang w:val="en-US"/>
        </w:rPr>
        <w:t>https://www.bartshealth.nhs.uk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BMJ (2022) Social determinants of diabetes. Available at: </w:t>
      </w:r>
      <w:r>
        <w:rPr/>
        <w:fldChar w:fldCharType="begin"/>
      </w:r>
      <w:r>
        <w:instrText xml:space="preserve"> HYPERLINK "https://www.bmj.com" </w:instrText>
      </w:r>
      <w:r>
        <w:rPr/>
        <w:fldChar w:fldCharType="separate"/>
      </w:r>
      <w:r>
        <w:rPr>
          <w:rStyle w:val="style85"/>
          <w:rFonts w:ascii="Arial" w:cs="Arial" w:eastAsia="MS Mincho" w:hAnsi="Arial"/>
          <w:lang w:val="en-US"/>
        </w:rPr>
        <w:t>https://www.bmj.com</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Diabetes Research &amp; Wellness Foundation (2023) Complications of diabetes. Available at: </w:t>
      </w:r>
      <w:r>
        <w:rPr/>
        <w:fldChar w:fldCharType="begin"/>
      </w:r>
      <w:r>
        <w:instrText xml:space="preserve"> HYPERLINK "https://www.drwf.org.uk" </w:instrText>
      </w:r>
      <w:r>
        <w:rPr/>
        <w:fldChar w:fldCharType="separate"/>
      </w:r>
      <w:r>
        <w:rPr>
          <w:rStyle w:val="style85"/>
          <w:rFonts w:ascii="Arial" w:cs="Arial" w:eastAsia="MS Mincho" w:hAnsi="Arial"/>
          <w:lang w:val="en-US"/>
        </w:rPr>
        <w:t>https://www.drwf.org.uk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Diabetes UK (2022) Diabetes and deprivation. Available at: </w:t>
      </w:r>
      <w:r>
        <w:rPr/>
        <w:fldChar w:fldCharType="begin"/>
      </w:r>
      <w:r>
        <w:instrText xml:space="preserve"> HYPERLINK "https://www.diabetes.org.uk/professionals/position-statements-reports" </w:instrText>
      </w:r>
      <w:r>
        <w:rPr/>
        <w:fldChar w:fldCharType="separate"/>
      </w:r>
      <w:r>
        <w:rPr>
          <w:rStyle w:val="style85"/>
          <w:rFonts w:ascii="Arial" w:cs="Arial" w:eastAsia="MS Mincho" w:hAnsi="Arial"/>
          <w:lang w:val="en-US"/>
        </w:rPr>
        <w:t>https://www.diabetes.org.uk/professionals/position-statements-reports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Diabetes UK (2023) Diabetes statistics. Available at: </w:t>
      </w:r>
      <w:r>
        <w:rPr/>
        <w:fldChar w:fldCharType="begin"/>
      </w:r>
      <w:r>
        <w:instrText xml:space="preserve"> HYPERLINK "https://www.diabetes.org.uk/professionals/position-statements-reports/statistics" </w:instrText>
      </w:r>
      <w:r>
        <w:rPr/>
        <w:fldChar w:fldCharType="separate"/>
      </w:r>
      <w:r>
        <w:rPr>
          <w:rStyle w:val="style85"/>
          <w:rFonts w:ascii="Arial" w:cs="Arial" w:eastAsia="MS Mincho" w:hAnsi="Arial"/>
          <w:lang w:val="en-US"/>
        </w:rPr>
        <w:t>https://www.diabetes.org.uk/professionals/position-statements-reports/statistics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Diabetes UK (2024) Diabetes and ethnicity report. Available at: </w:t>
      </w:r>
      <w:r>
        <w:rPr/>
        <w:fldChar w:fldCharType="begin"/>
      </w:r>
      <w:r>
        <w:instrText xml:space="preserve"> HYPERLINK "https://www.diabetes.org.uk" </w:instrText>
      </w:r>
      <w:r>
        <w:rPr/>
        <w:fldChar w:fldCharType="separate"/>
      </w:r>
      <w:r>
        <w:rPr>
          <w:rStyle w:val="style85"/>
          <w:rFonts w:ascii="Arial" w:cs="Arial" w:eastAsia="MS Mincho" w:hAnsi="Arial"/>
          <w:lang w:val="en-US"/>
        </w:rPr>
        <w:t>https://www.diabetes.org.uk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GOV.UK (2018) Health matters: preventing Type 2 diabetes. Available at: </w:t>
      </w:r>
      <w:r>
        <w:rPr/>
        <w:fldChar w:fldCharType="begin"/>
      </w:r>
      <w:r>
        <w:instrText xml:space="preserve"> HYPERLINK "https://www.gov.uk/government/publications/health-matters-preventing-type-2-diabetes" </w:instrText>
      </w:r>
      <w:r>
        <w:rPr/>
        <w:fldChar w:fldCharType="separate"/>
      </w:r>
      <w:r>
        <w:rPr>
          <w:rStyle w:val="style85"/>
          <w:rFonts w:ascii="Arial" w:cs="Arial" w:eastAsia="MS Mincho" w:hAnsi="Arial"/>
          <w:lang w:val="en-US"/>
        </w:rPr>
        <w:t>https://www.gov.uk/government/publications/health-matters-preventing-type-2-diabetes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Health Foundation (2023) Health inequalities research. Available at: </w:t>
      </w:r>
      <w:r>
        <w:rPr/>
        <w:fldChar w:fldCharType="begin"/>
      </w:r>
      <w:r>
        <w:instrText xml:space="preserve"> HYPERLINK "https://www.health.org.uk" </w:instrText>
      </w:r>
      <w:r>
        <w:rPr/>
        <w:fldChar w:fldCharType="separate"/>
      </w:r>
      <w:r>
        <w:rPr>
          <w:rStyle w:val="style85"/>
          <w:rFonts w:ascii="Arial" w:cs="Arial" w:eastAsia="MS Mincho" w:hAnsi="Arial"/>
          <w:lang w:val="en-US"/>
        </w:rPr>
        <w:t>https://www.health.org.uk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King’s Fund (2022) Health inequalities in the UK. Available at: </w:t>
      </w:r>
      <w:r>
        <w:rPr/>
        <w:fldChar w:fldCharType="begin"/>
      </w:r>
      <w:r>
        <w:instrText xml:space="preserve"> HYPERLINK "https://www.kingsfund.org.uk" </w:instrText>
      </w:r>
      <w:r>
        <w:rPr/>
        <w:fldChar w:fldCharType="separate"/>
      </w:r>
      <w:r>
        <w:rPr>
          <w:rStyle w:val="style85"/>
          <w:rFonts w:ascii="Arial" w:cs="Arial" w:eastAsia="MS Mincho" w:hAnsi="Arial"/>
          <w:lang w:val="en-US"/>
        </w:rPr>
        <w:t>https://www.kingsfund.org.uk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Lancet Public Health (2021) Ethnic disparities in diabetes. Available at: </w:t>
      </w:r>
      <w:r>
        <w:rPr/>
        <w:fldChar w:fldCharType="begin"/>
      </w:r>
      <w:r>
        <w:instrText xml:space="preserve"> HYPERLINK "https://www.thelancet.com" </w:instrText>
      </w:r>
      <w:r>
        <w:rPr/>
        <w:fldChar w:fldCharType="separate"/>
      </w:r>
      <w:r>
        <w:rPr>
          <w:rStyle w:val="style85"/>
          <w:rFonts w:ascii="Arial" w:cs="Arial" w:eastAsia="MS Mincho" w:hAnsi="Arial"/>
          <w:lang w:val="en-US"/>
        </w:rPr>
        <w:t>https://www.thelancet.com</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Marmot Review (2020) Health equity in England. Available at: </w:t>
      </w:r>
      <w:r>
        <w:rPr/>
        <w:fldChar w:fldCharType="begin"/>
      </w:r>
      <w:r>
        <w:instrText xml:space="preserve"> HYPERLINK "https://www.instituteofhealthequity.org" </w:instrText>
      </w:r>
      <w:r>
        <w:rPr/>
        <w:fldChar w:fldCharType="separate"/>
      </w:r>
      <w:r>
        <w:rPr>
          <w:rStyle w:val="style85"/>
          <w:rFonts w:ascii="Arial" w:cs="Arial" w:eastAsia="MS Mincho" w:hAnsi="Arial"/>
          <w:lang w:val="en-US"/>
        </w:rPr>
        <w:t>https://www.instituteofhealthequity.org</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NHS (2023) HbA1c testing and diagnosis. Available at: </w:t>
      </w:r>
      <w:r>
        <w:rPr/>
        <w:fldChar w:fldCharType="begin"/>
      </w:r>
      <w:r>
        <w:instrText xml:space="preserve"> HYPERLINK "https://www.nhs.uk/conditions/type-2-diabetes/diagnosis/" </w:instrText>
      </w:r>
      <w:r>
        <w:rPr/>
        <w:fldChar w:fldCharType="separate"/>
      </w:r>
      <w:r>
        <w:rPr>
          <w:rStyle w:val="style85"/>
          <w:rFonts w:ascii="Arial" w:cs="Arial" w:eastAsia="MS Mincho" w:hAnsi="Arial"/>
          <w:lang w:val="en-US"/>
        </w:rPr>
        <w:t>https://www.nhs.uk/conditions/type-2-diabetes/diagnosis/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NHS Digital (2023) National diabetes audit. Available at: </w:t>
      </w:r>
      <w:r>
        <w:rPr/>
        <w:fldChar w:fldCharType="begin"/>
      </w:r>
      <w:r>
        <w:instrText xml:space="preserve"> HYPERLINK "https://digital.nhs.uk/data-and-information/publications/statistical/national-diabetes-audit" </w:instrText>
      </w:r>
      <w:r>
        <w:rPr/>
        <w:fldChar w:fldCharType="separate"/>
      </w:r>
      <w:r>
        <w:rPr>
          <w:rStyle w:val="style85"/>
          <w:rFonts w:ascii="Arial" w:cs="Arial" w:eastAsia="MS Mincho" w:hAnsi="Arial"/>
          <w:lang w:val="en-US"/>
        </w:rPr>
        <w:t>https://digital.nhs.uk/data-and-information/publications/statistical/national-diabetes-audit</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NHS England (2023) Type 2 diabetes prevention </w:t>
      </w:r>
      <w:r>
        <w:rPr>
          <w:rFonts w:ascii="Arial" w:cs="Arial" w:eastAsia="MS Mincho" w:hAnsi="Arial"/>
          <w:lang w:val="en-US"/>
        </w:rPr>
        <w:t>programme</w:t>
      </w:r>
      <w:r>
        <w:rPr>
          <w:rFonts w:ascii="Arial" w:cs="Arial" w:eastAsia="MS Mincho" w:hAnsi="Arial"/>
          <w:lang w:val="en-US"/>
        </w:rPr>
        <w:t xml:space="preserve">. Available at: </w:t>
      </w:r>
      <w:r>
        <w:rPr/>
        <w:fldChar w:fldCharType="begin"/>
      </w:r>
      <w:r>
        <w:instrText xml:space="preserve"> HYPERLINK "https://www.england.nhs.uk/diabetes/" </w:instrText>
      </w:r>
      <w:r>
        <w:rPr/>
        <w:fldChar w:fldCharType="separate"/>
      </w:r>
      <w:r>
        <w:rPr>
          <w:rStyle w:val="style85"/>
          <w:rFonts w:ascii="Arial" w:cs="Arial" w:eastAsia="MS Mincho" w:hAnsi="Arial"/>
          <w:lang w:val="en-US"/>
        </w:rPr>
        <w:t>https://www.england.nhs.uk/diabetes/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Nature Reviews Endocrinology (2021) Type 2 diabetes pathophysiology. Available at: </w:t>
      </w:r>
      <w:r>
        <w:rPr/>
        <w:fldChar w:fldCharType="begin"/>
      </w:r>
      <w:r>
        <w:instrText xml:space="preserve"> HYPERLINK "https://www.nature.com" </w:instrText>
      </w:r>
      <w:r>
        <w:rPr/>
        <w:fldChar w:fldCharType="separate"/>
      </w:r>
      <w:r>
        <w:rPr>
          <w:rStyle w:val="style85"/>
          <w:rFonts w:ascii="Arial" w:cs="Arial" w:eastAsia="MS Mincho" w:hAnsi="Arial"/>
          <w:lang w:val="en-US"/>
        </w:rPr>
        <w:t>https://www.nature.com</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NICE (2022) Type 2 diabetes in adults: management. Available at: </w:t>
      </w:r>
      <w:r>
        <w:rPr/>
        <w:fldChar w:fldCharType="begin"/>
      </w:r>
      <w:r>
        <w:instrText xml:space="preserve"> HYPERLINK "https://www.nice.org.uk/guidance/ng28" </w:instrText>
      </w:r>
      <w:r>
        <w:rPr/>
        <w:fldChar w:fldCharType="separate"/>
      </w:r>
      <w:r>
        <w:rPr>
          <w:rStyle w:val="style85"/>
          <w:rFonts w:ascii="Arial" w:cs="Arial" w:eastAsia="MS Mincho" w:hAnsi="Arial"/>
          <w:lang w:val="en-US"/>
        </w:rPr>
        <w:t>https://www.nice.org.uk/guidance/ng28</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Office for National Statistics (2023) Health inequalities data. Available at: </w:t>
      </w:r>
      <w:r>
        <w:rPr/>
        <w:fldChar w:fldCharType="begin"/>
      </w:r>
      <w:r>
        <w:instrText xml:space="preserve"> HYPERLINK "https://www.ons.gov.uk/" </w:instrText>
      </w:r>
      <w:r>
        <w:rPr/>
        <w:fldChar w:fldCharType="separate"/>
      </w:r>
      <w:r>
        <w:rPr>
          <w:rStyle w:val="style85"/>
          <w:rFonts w:ascii="Arial" w:cs="Arial" w:eastAsia="MS Mincho" w:hAnsi="Arial"/>
          <w:lang w:val="en-US"/>
        </w:rPr>
        <w:t>https://www.ons.gov.uk/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OECD (2022) Diabetes burden across countries. Available at: </w:t>
      </w:r>
      <w:r>
        <w:rPr/>
        <w:fldChar w:fldCharType="begin"/>
      </w:r>
      <w:r>
        <w:instrText xml:space="preserve"> HYPERLINK "https://www.oecd.org/health" </w:instrText>
      </w:r>
      <w:r>
        <w:rPr/>
        <w:fldChar w:fldCharType="separate"/>
      </w:r>
      <w:r>
        <w:rPr>
          <w:rStyle w:val="style85"/>
          <w:rFonts w:ascii="Arial" w:cs="Arial" w:eastAsia="MS Mincho" w:hAnsi="Arial"/>
          <w:lang w:val="en-US"/>
        </w:rPr>
        <w:t>https://www.oecd.org/health</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Public Health England (2021) Health profile for England. Available at: </w:t>
      </w:r>
      <w:r>
        <w:rPr/>
        <w:fldChar w:fldCharType="begin"/>
      </w:r>
      <w:r>
        <w:instrText xml:space="preserve"> HYPERLINK "https://www.gov.uk/government/statistics/health-profile-for-england" </w:instrText>
      </w:r>
      <w:r>
        <w:rPr/>
        <w:fldChar w:fldCharType="separate"/>
      </w:r>
      <w:r>
        <w:rPr>
          <w:rStyle w:val="style85"/>
          <w:rFonts w:ascii="Arial" w:cs="Arial" w:eastAsia="MS Mincho" w:hAnsi="Arial"/>
          <w:lang w:val="en-US"/>
        </w:rPr>
        <w:t>https://www.gov.uk/government/statistics/health-profile-for-england</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Public Health Outcomes Framework (2023) Diabetes indicators. Available at: </w:t>
      </w:r>
      <w:r>
        <w:rPr/>
        <w:fldChar w:fldCharType="begin"/>
      </w:r>
      <w:r>
        <w:instrText xml:space="preserve"> HYPERLINK "https://fingertips.phe.org.uk" </w:instrText>
      </w:r>
      <w:r>
        <w:rPr/>
        <w:fldChar w:fldCharType="separate"/>
      </w:r>
      <w:r>
        <w:rPr>
          <w:rStyle w:val="style85"/>
          <w:rFonts w:ascii="Arial" w:cs="Arial" w:eastAsia="MS Mincho" w:hAnsi="Arial"/>
          <w:lang w:val="en-US"/>
        </w:rPr>
        <w:t>https://fingertips.phe.org.uk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Statista (2023) Diabetes prevalence UK. Available at: </w:t>
      </w:r>
      <w:r>
        <w:rPr/>
        <w:fldChar w:fldCharType="begin"/>
      </w:r>
      <w:r>
        <w:instrText xml:space="preserve"> HYPERLINK "https://www.statista.com" </w:instrText>
      </w:r>
      <w:r>
        <w:rPr/>
        <w:fldChar w:fldCharType="separate"/>
      </w:r>
      <w:r>
        <w:rPr>
          <w:rStyle w:val="style85"/>
          <w:rFonts w:ascii="Arial" w:cs="Arial" w:eastAsia="MS Mincho" w:hAnsi="Arial"/>
          <w:lang w:val="en-US"/>
        </w:rPr>
        <w:t>https://www.statista.com</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Tower Hamlets Council (2023) Type 2 diabetes factsheet. Available at: </w:t>
      </w:r>
      <w:r>
        <w:rPr/>
        <w:fldChar w:fldCharType="begin"/>
      </w:r>
      <w:r>
        <w:instrText xml:space="preserve"> HYPERLINK "https://www.towerhamlets.gov.uk" </w:instrText>
      </w:r>
      <w:r>
        <w:rPr/>
        <w:fldChar w:fldCharType="separate"/>
      </w:r>
      <w:r>
        <w:rPr>
          <w:rStyle w:val="style85"/>
          <w:rFonts w:ascii="Arial" w:cs="Arial" w:eastAsia="MS Mincho" w:hAnsi="Arial"/>
          <w:lang w:val="en-US"/>
        </w:rPr>
        <w:t>https://www.towerhamlets.gov.uk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UK Government (2022) Race disparity unit reports. Available at: </w:t>
      </w:r>
      <w:r>
        <w:rPr/>
        <w:fldChar w:fldCharType="begin"/>
      </w:r>
      <w:r>
        <w:instrText xml:space="preserve"> HYPERLINK "https://www.ethnicity-facts-figures.service.gov.uk" </w:instrText>
      </w:r>
      <w:r>
        <w:rPr/>
        <w:fldChar w:fldCharType="separate"/>
      </w:r>
      <w:r>
        <w:rPr>
          <w:rStyle w:val="style85"/>
          <w:rFonts w:ascii="Arial" w:cs="Arial" w:eastAsia="MS Mincho" w:hAnsi="Arial"/>
          <w:lang w:val="en-US"/>
        </w:rPr>
        <w:t>https://www.ethnicity-facts-figures.service.gov.uk</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UK Health Security Agency (2023) Diabetes surveillance and prevention. Available at: </w:t>
      </w:r>
      <w:r>
        <w:rPr/>
        <w:fldChar w:fldCharType="begin"/>
      </w:r>
      <w:r>
        <w:instrText xml:space="preserve"> HYPERLINK "https://www.gov.uk/government/organisations/uk-health-security-agency" </w:instrText>
      </w:r>
      <w:r>
        <w:rPr/>
        <w:fldChar w:fldCharType="separate"/>
      </w:r>
      <w:r>
        <w:rPr>
          <w:rStyle w:val="style85"/>
          <w:rFonts w:ascii="Arial" w:cs="Arial" w:eastAsia="MS Mincho" w:hAnsi="Arial"/>
          <w:lang w:val="en-US"/>
        </w:rPr>
        <w:t>https://www.gov.uk/government/organisations/uk-health-security-agency</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WHO (2022) Social determinants of health. Available at: </w:t>
      </w:r>
      <w:r>
        <w:rPr/>
        <w:fldChar w:fldCharType="begin"/>
      </w:r>
      <w:r>
        <w:instrText xml:space="preserve"> HYPERLINK "https://www.who.int/health-topics/social-determinants-of-health" </w:instrText>
      </w:r>
      <w:r>
        <w:rPr/>
        <w:fldChar w:fldCharType="separate"/>
      </w:r>
      <w:r>
        <w:rPr>
          <w:rStyle w:val="style85"/>
          <w:rFonts w:ascii="Arial" w:cs="Arial" w:eastAsia="MS Mincho" w:hAnsi="Arial"/>
          <w:lang w:val="en-US"/>
        </w:rPr>
        <w:t>https://www.who.int/health-topics/social-determinants-of-health</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WHO (2023) Diabetes fact sheet. Available at: </w:t>
      </w:r>
      <w:r>
        <w:rPr/>
        <w:fldChar w:fldCharType="begin"/>
      </w:r>
      <w:r>
        <w:instrText xml:space="preserve"> HYPERLINK "https://www.who.int/news-room/fact-sheets/detail/diabetes" </w:instrText>
      </w:r>
      <w:r>
        <w:rPr/>
        <w:fldChar w:fldCharType="separate"/>
      </w:r>
      <w:r>
        <w:rPr>
          <w:rStyle w:val="style85"/>
          <w:rFonts w:ascii="Arial" w:cs="Arial" w:eastAsia="MS Mincho" w:hAnsi="Arial"/>
          <w:lang w:val="en-US"/>
        </w:rPr>
        <w:t>https://www.who.int/news-room/fact-sheets/detail/diabetes</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WHO (2023) Global report on diabetes. Available at: </w:t>
      </w:r>
      <w:r>
        <w:rPr/>
        <w:fldChar w:fldCharType="begin"/>
      </w:r>
      <w:r>
        <w:instrText xml:space="preserve"> HYPERLINK "https://www.who.int/publications/i/item/9789241565257" </w:instrText>
      </w:r>
      <w:r>
        <w:rPr/>
        <w:fldChar w:fldCharType="separate"/>
      </w:r>
      <w:r>
        <w:rPr>
          <w:rStyle w:val="style85"/>
          <w:rFonts w:ascii="Arial" w:cs="Arial" w:eastAsia="MS Mincho" w:hAnsi="Arial"/>
          <w:lang w:val="en-US"/>
        </w:rPr>
        <w:t>https://www.who.int/publications/i/item/9789241565257</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Journal of Epidemiology &amp; Community Health (2022) Diabetes inequalities. Available at: </w:t>
      </w:r>
      <w:r>
        <w:rPr/>
        <w:fldChar w:fldCharType="begin"/>
      </w:r>
      <w:r>
        <w:instrText xml:space="preserve"> HYPERLINK "https://jech.bmj.com" </w:instrText>
      </w:r>
      <w:r>
        <w:rPr/>
        <w:fldChar w:fldCharType="separate"/>
      </w:r>
      <w:r>
        <w:rPr>
          <w:rStyle w:val="style85"/>
          <w:rFonts w:ascii="Arial" w:cs="Arial" w:eastAsia="MS Mincho" w:hAnsi="Arial"/>
          <w:lang w:val="en-US"/>
        </w:rPr>
        <w:t>https://jech.bmj.com</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Public Health Scotland (2023) Diabetes inequality report. Available at: </w:t>
      </w:r>
      <w:r>
        <w:rPr/>
        <w:fldChar w:fldCharType="begin"/>
      </w:r>
      <w:r>
        <w:instrText xml:space="preserve"> HYPERLINK "https://publichealthscotland.scot" </w:instrText>
      </w:r>
      <w:r>
        <w:rPr/>
        <w:fldChar w:fldCharType="separate"/>
      </w:r>
      <w:r>
        <w:rPr>
          <w:rStyle w:val="style85"/>
          <w:rFonts w:ascii="Arial" w:cs="Arial" w:eastAsia="MS Mincho" w:hAnsi="Arial"/>
          <w:lang w:val="en-US"/>
        </w:rPr>
        <w:t>https://publichealthscotland.scot</w:t>
      </w:r>
      <w:r>
        <w:rPr/>
        <w:fldChar w:fldCharType="end"/>
      </w:r>
      <w:r>
        <w:rPr>
          <w:rFonts w:ascii="Arial" w:cs="Arial" w:eastAsia="MS Mincho" w:hAnsi="Arial"/>
          <w:lang w:val="en-US"/>
        </w:rPr>
        <w:t xml:space="preserve"> </w:t>
      </w:r>
    </w:p>
    <w:p>
      <w:pPr>
        <w:pStyle w:val="style0"/>
        <w:spacing w:after="200" w:lineRule="auto" w:line="276"/>
        <w:jc w:val="both"/>
        <w:rPr>
          <w:rFonts w:ascii="Arial" w:cs="Arial" w:eastAsia="MS Mincho" w:hAnsi="Arial"/>
          <w:lang w:val="en-US"/>
        </w:rPr>
      </w:pPr>
      <w:r>
        <w:rPr>
          <w:rFonts w:ascii="Arial" w:cs="Arial" w:eastAsia="MS Mincho" w:hAnsi="Arial"/>
          <w:lang w:val="en-US"/>
        </w:rPr>
        <w:t xml:space="preserve">Diabetes UK (2023) Diabetes statistics update. Available at: </w:t>
      </w:r>
      <w:r>
        <w:rPr/>
        <w:fldChar w:fldCharType="begin"/>
      </w:r>
      <w:r>
        <w:instrText xml:space="preserve"> HYPERLINK "https://www.diabetes.org.uk/professionals/position-statements-reports/statistics" </w:instrText>
      </w:r>
      <w:r>
        <w:rPr/>
        <w:fldChar w:fldCharType="separate"/>
      </w:r>
      <w:r>
        <w:rPr>
          <w:rStyle w:val="style85"/>
          <w:rFonts w:ascii="Arial" w:cs="Arial" w:eastAsia="MS Mincho" w:hAnsi="Arial"/>
          <w:lang w:val="en-US"/>
        </w:rPr>
        <w:t>https://www.diabetes.org.uk/professionals/position-statements-reports/statistics</w:t>
      </w:r>
      <w:r>
        <w:rPr/>
        <w:fldChar w:fldCharType="end"/>
      </w:r>
      <w:r>
        <w:rPr>
          <w:rFonts w:ascii="Arial" w:cs="Arial" w:eastAsia="MS Mincho" w:hAnsi="Arial"/>
          <w:lang w:val="en-US"/>
        </w:rPr>
        <w:t xml:space="preserve"> </w:t>
      </w:r>
    </w:p>
    <w:p>
      <w:pPr>
        <w:pStyle w:val="style0"/>
        <w:spacing w:before="240" w:after="240" w:lineRule="auto" w:line="480"/>
        <w:jc w:val="both"/>
        <w:rPr>
          <w:rFonts w:ascii="Times New Roman" w:cs="Times New Roman" w:eastAsia="Times New Roman" w:hAnsi="Times New Roman"/>
          <w:sz w:val="24"/>
          <w:szCs w:val="24"/>
          <w:lang w:eastAsia="en-GB"/>
        </w:rPr>
      </w:pPr>
    </w:p>
    <w:sectPr>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 w:name="MS Mincho">
    <w:altName w:val="ＭＳ 明朝"/>
    <w:panose1 w:val="02020609040002080304"/>
    <w:charset w:val="80"/>
    <w:family w:val="roman"/>
    <w:pitch w:val="fixed"/>
    <w:sig w:usb0="00000001" w:usb1="08070000" w:usb2="00000010" w:usb3="00000000" w:csb0="00020000" w:csb1="00000000"/>
  </w:font>
  <w:font w:name="Vrinda">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680"/>
        <w:tab w:val="right" w:leader="none" w:pos="9360"/>
      </w:tabs>
      <w:spacing w:after="0" w:lineRule="auto" w:line="240"/>
      <w:jc w:val="center"/>
      <w:rPr>
        <w:color w:val="000000"/>
      </w:rPr>
    </w:pPr>
    <w:r>
      <w:rPr>
        <w:color w:val="000000"/>
      </w:rPr>
      <w:fldChar w:fldCharType="begin"/>
    </w:r>
    <w:r>
      <w:rPr>
        <w:rFonts w:ascii="Calibri" w:cs="Calibri" w:eastAsia="Calibri" w:hAnsi="Calibri"/>
        <w:color w:val="000000"/>
      </w:rPr>
      <w:instrText>PAGE</w:instrText>
    </w:r>
    <w:r>
      <w:rPr>
        <w:color w:val="000000"/>
      </w:rPr>
      <w:fldChar w:fldCharType="separate"/>
    </w:r>
    <w:r>
      <w:rPr>
        <w:rFonts w:ascii="Calibri" w:cs="Calibri" w:eastAsia="Calibri" w:hAnsi="Calibri"/>
        <w:noProof/>
        <w:color w:val="000000"/>
      </w:rPr>
      <w:t>15</w:t>
    </w:r>
    <w:r>
      <w:rPr>
        <w:color w:val="000000"/>
      </w:rPr>
      <w:fldChar w:fldCharType="end"/>
    </w:r>
  </w:p>
  <w:p>
    <w:pPr>
      <w:pStyle w:val="style0"/>
      <w:pBdr>
        <w:left w:val="nil"/>
        <w:right w:val="nil"/>
        <w:top w:val="nil"/>
        <w:bottom w:val="nil"/>
        <w:between w:val="nil"/>
      </w:pBdr>
      <w:tabs>
        <w:tab w:val="center" w:leader="none" w:pos="4680"/>
        <w:tab w:val="right" w:leader="none" w:pos="9360"/>
      </w:tabs>
      <w:spacing w:after="0"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Vrinda"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lang w:val="en-GB"/>
    </w:rPr>
  </w:style>
  <w:style w:type="paragraph" w:styleId="style1">
    <w:name w:val="heading 1"/>
    <w:basedOn w:val="style0"/>
    <w:next w:val="style0"/>
    <w:link w:val="style4098"/>
    <w:qFormat/>
    <w:uiPriority w:val="9"/>
    <w:pPr>
      <w:keepNext/>
      <w:keepLines/>
      <w:spacing w:before="240" w:after="0"/>
      <w:outlineLvl w:val="0"/>
    </w:pPr>
    <w:rPr>
      <w:rFonts w:ascii="Arial" w:cs="Vrinda" w:eastAsia="宋体" w:hAnsi="Arial"/>
      <w:b/>
      <w:color w:val="000000"/>
      <w:sz w:val="32"/>
      <w:szCs w:val="32"/>
    </w:rPr>
  </w:style>
  <w:style w:type="paragraph" w:styleId="style2">
    <w:name w:val="heading 2"/>
    <w:basedOn w:val="style0"/>
    <w:next w:val="style0"/>
    <w:link w:val="style4097"/>
    <w:qFormat/>
    <w:uiPriority w:val="9"/>
    <w:pPr>
      <w:keepNext/>
      <w:keepLines/>
      <w:spacing w:before="40" w:after="0"/>
      <w:outlineLvl w:val="1"/>
    </w:pPr>
    <w:rPr>
      <w:rFonts w:ascii="Arial" w:cs="Vrinda" w:eastAsia="宋体" w:hAnsi="Arial"/>
      <w:b/>
      <w:color w:val="000000"/>
      <w:sz w:val="28"/>
      <w:szCs w:val="26"/>
    </w:rPr>
  </w:style>
  <w:style w:type="paragraph" w:styleId="style3">
    <w:name w:val="heading 3"/>
    <w:basedOn w:val="style0"/>
    <w:next w:val="style0"/>
    <w:link w:val="style4102"/>
    <w:qFormat/>
    <w:uiPriority w:val="9"/>
    <w:pPr>
      <w:keepNext/>
      <w:keepLines/>
      <w:spacing w:before="40" w:after="0"/>
      <w:outlineLvl w:val="2"/>
    </w:pPr>
    <w:rPr>
      <w:rFonts w:ascii="Arial" w:cs="Vrinda" w:eastAsia="宋体" w:hAnsi="Arial"/>
      <w:b/>
      <w:color w:val="000000"/>
      <w:sz w:val="24"/>
      <w:szCs w:val="24"/>
    </w:rPr>
  </w:style>
  <w:style w:type="paragraph" w:styleId="style4">
    <w:name w:val="heading 4"/>
    <w:basedOn w:val="style0"/>
    <w:next w:val="style0"/>
    <w:link w:val="style4103"/>
    <w:qFormat/>
    <w:uiPriority w:val="9"/>
    <w:pPr>
      <w:keepNext/>
      <w:keepLines/>
      <w:spacing w:before="40" w:after="0"/>
      <w:outlineLvl w:val="3"/>
    </w:pPr>
    <w:rPr>
      <w:rFonts w:ascii="Calibri Light" w:cs="Vrinda" w:eastAsia="宋体" w:hAnsi="Calibri Light"/>
      <w:i/>
      <w:iCs/>
      <w:color w:val="2e74b5"/>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9c15afab-1c88-44f7-8f3c-bbf787704525"/>
    <w:basedOn w:val="style65"/>
    <w:next w:val="style4097"/>
    <w:link w:val="style2"/>
    <w:uiPriority w:val="9"/>
    <w:rPr>
      <w:rFonts w:ascii="Arial" w:cs="Vrinda" w:eastAsia="宋体" w:hAnsi="Arial"/>
      <w:b/>
      <w:color w:val="000000"/>
      <w:sz w:val="28"/>
      <w:szCs w:val="26"/>
      <w:lang w:val="en-GB"/>
    </w:rPr>
  </w:style>
  <w:style w:type="character" w:customStyle="1" w:styleId="style4098">
    <w:name w:val="Heading 1 Char_154bd484-604a-48c1-bcaf-ed3b9b8f40c3"/>
    <w:basedOn w:val="style65"/>
    <w:next w:val="style4098"/>
    <w:link w:val="style1"/>
    <w:uiPriority w:val="9"/>
    <w:rPr>
      <w:rFonts w:ascii="Arial" w:cs="Vrinda" w:eastAsia="宋体" w:hAnsi="Arial"/>
      <w:b/>
      <w:color w:val="000000"/>
      <w:sz w:val="32"/>
      <w:szCs w:val="32"/>
      <w:lang w:val="en-GB"/>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563c1"/>
      <w:u w:val="single"/>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paragraph" w:styleId="style31">
    <w:name w:val="header"/>
    <w:basedOn w:val="style0"/>
    <w:next w:val="style31"/>
    <w:link w:val="style4099"/>
    <w:uiPriority w:val="99"/>
    <w:pPr>
      <w:tabs>
        <w:tab w:val="center" w:leader="none" w:pos="4680"/>
        <w:tab w:val="right" w:leader="none" w:pos="9360"/>
      </w:tabs>
      <w:spacing w:after="0" w:lineRule="auto" w:line="240"/>
    </w:pPr>
    <w:rPr/>
  </w:style>
  <w:style w:type="character" w:customStyle="1" w:styleId="style4099">
    <w:name w:val="Header Char_8b368258-60fe-4fd7-9624-f13ce3a129bd"/>
    <w:basedOn w:val="style65"/>
    <w:next w:val="style4099"/>
    <w:link w:val="style31"/>
    <w:uiPriority w:val="99"/>
    <w:rPr>
      <w:lang w:val="en-GB"/>
    </w:rPr>
  </w:style>
  <w:style w:type="paragraph" w:styleId="style32">
    <w:name w:val="footer"/>
    <w:basedOn w:val="style0"/>
    <w:next w:val="style32"/>
    <w:link w:val="style4100"/>
    <w:uiPriority w:val="99"/>
    <w:pPr>
      <w:tabs>
        <w:tab w:val="center" w:leader="none" w:pos="4680"/>
        <w:tab w:val="right" w:leader="none" w:pos="9360"/>
      </w:tabs>
      <w:spacing w:after="0" w:lineRule="auto" w:line="240"/>
    </w:pPr>
    <w:rPr/>
  </w:style>
  <w:style w:type="character" w:customStyle="1" w:styleId="style4100">
    <w:name w:val="Footer Char_a2860be6-c9e2-466a-b0b1-043f6e14fc39"/>
    <w:basedOn w:val="style65"/>
    <w:next w:val="style4100"/>
    <w:link w:val="style32"/>
    <w:uiPriority w:val="99"/>
    <w:rPr>
      <w:lang w:val="en-GB"/>
    </w:rPr>
  </w:style>
  <w:style w:type="character" w:styleId="style88">
    <w:name w:val="Emphasis"/>
    <w:basedOn w:val="style65"/>
    <w:next w:val="style88"/>
    <w:qFormat/>
    <w:uiPriority w:val="20"/>
    <w:rPr>
      <w:i/>
      <w:iCs/>
    </w:rPr>
  </w:style>
  <w:style w:type="character" w:customStyle="1" w:styleId="style4101">
    <w:name w:val="cm-author"/>
    <w:basedOn w:val="style65"/>
    <w:next w:val="style4101"/>
  </w:style>
  <w:style w:type="character" w:customStyle="1" w:styleId="style4102">
    <w:name w:val="Heading 3 Char_93e9b9c0-48b0-4a9d-99b3-19a819a3a502"/>
    <w:basedOn w:val="style65"/>
    <w:next w:val="style4102"/>
    <w:link w:val="style3"/>
    <w:uiPriority w:val="9"/>
    <w:rPr>
      <w:rFonts w:ascii="Arial" w:cs="Vrinda" w:eastAsia="宋体" w:hAnsi="Arial"/>
      <w:b/>
      <w:color w:val="000000"/>
      <w:sz w:val="24"/>
      <w:szCs w:val="24"/>
      <w:lang w:val="en-GB"/>
    </w:rPr>
  </w:style>
  <w:style w:type="character" w:customStyle="1" w:styleId="style4103">
    <w:name w:val="Heading 4 Char_f1fc1b93-c8e1-4591-b3d8-60164747744c"/>
    <w:basedOn w:val="style65"/>
    <w:next w:val="style4103"/>
    <w:link w:val="style4"/>
    <w:uiPriority w:val="9"/>
    <w:rPr>
      <w:rFonts w:ascii="Calibri Light" w:cs="Vrinda" w:eastAsia="宋体" w:hAnsi="Calibri Light"/>
      <w:i/>
      <w:iCs/>
      <w:color w:val="2e74b5"/>
      <w:lang w:val="en-GB"/>
    </w:rPr>
  </w:style>
  <w:style w:type="paragraph" w:styleId="style157">
    <w:name w:val="No Spacing"/>
    <w:next w:val="style157"/>
    <w:qFormat/>
    <w:uiPriority w:val="1"/>
    <w:pPr>
      <w:spacing w:after="0" w:lineRule="auto" w:line="240"/>
    </w:pPr>
    <w:rPr>
      <w:lang w:val="en-GB"/>
    </w:rPr>
  </w:style>
  <w:style w:type="character" w:styleId="style87">
    <w:name w:val="Strong"/>
    <w:basedOn w:val="style65"/>
    <w:next w:val="style87"/>
    <w:qFormat/>
    <w:uiPriority w:val="22"/>
    <w:rPr>
      <w:b/>
      <w:bCs/>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4"/>
    <w:uiPriority w:val="99"/>
    <w:pPr>
      <w:spacing w:lineRule="auto" w:line="240"/>
    </w:pPr>
    <w:rPr>
      <w:sz w:val="20"/>
      <w:szCs w:val="20"/>
    </w:rPr>
  </w:style>
  <w:style w:type="character" w:customStyle="1" w:styleId="style4104">
    <w:name w:val="Comment Text Char"/>
    <w:basedOn w:val="style65"/>
    <w:next w:val="style4104"/>
    <w:link w:val="style30"/>
    <w:uiPriority w:val="99"/>
    <w:rPr>
      <w:sz w:val="20"/>
      <w:szCs w:val="20"/>
      <w:lang w:val="en-GB"/>
    </w:rPr>
  </w:style>
  <w:style w:type="paragraph" w:styleId="style106">
    <w:name w:val="annotation subject"/>
    <w:basedOn w:val="style30"/>
    <w:next w:val="style30"/>
    <w:link w:val="style4105"/>
    <w:uiPriority w:val="99"/>
    <w:pPr/>
    <w:rPr>
      <w:b/>
      <w:bCs/>
    </w:rPr>
  </w:style>
  <w:style w:type="character" w:customStyle="1" w:styleId="style4105">
    <w:name w:val="Comment Subject Char"/>
    <w:basedOn w:val="style4104"/>
    <w:next w:val="style4105"/>
    <w:link w:val="style106"/>
    <w:uiPriority w:val="99"/>
    <w:rPr>
      <w:b/>
      <w:bCs/>
      <w:sz w:val="20"/>
      <w:szCs w:val="20"/>
      <w:lang w:val="en-GB"/>
    </w:rPr>
  </w:style>
  <w:style w:type="paragraph" w:styleId="style153">
    <w:name w:val="Balloon Text"/>
    <w:basedOn w:val="style0"/>
    <w:next w:val="style153"/>
    <w:link w:val="style4106"/>
    <w:uiPriority w:val="99"/>
    <w:pPr>
      <w:spacing w:after="0" w:lineRule="auto" w:line="240"/>
    </w:pPr>
    <w:rPr>
      <w:rFonts w:ascii="Segoe UI" w:cs="Segoe UI" w:hAnsi="Segoe UI"/>
      <w:sz w:val="18"/>
      <w:szCs w:val="18"/>
    </w:rPr>
  </w:style>
  <w:style w:type="character" w:customStyle="1" w:styleId="style4106">
    <w:name w:val="Balloon Text Char"/>
    <w:basedOn w:val="style65"/>
    <w:next w:val="style4106"/>
    <w:link w:val="style153"/>
    <w:uiPriority w:val="99"/>
    <w:rPr>
      <w:rFonts w:ascii="Segoe UI" w:cs="Segoe UI" w:hAnsi="Segoe UI"/>
      <w:sz w:val="18"/>
      <w:szCs w:val="18"/>
      <w:lang w:val="en-GB"/>
    </w:rPr>
  </w:style>
  <w:style w:type="paragraph" w:styleId="style34">
    <w:name w:val="caption"/>
    <w:basedOn w:val="style0"/>
    <w:next w:val="style0"/>
    <w:qFormat/>
    <w:uiPriority w:val="35"/>
    <w:pPr>
      <w:spacing w:after="200" w:lineRule="auto" w:line="240"/>
      <w:jc w:val="center"/>
    </w:pPr>
    <w:rPr>
      <w:rFonts w:ascii="Arial" w:hAnsi="Arial"/>
      <w:i/>
      <w:iCs/>
      <w:color w:val="44546a"/>
      <w:sz w:val="24"/>
      <w:szCs w:val="18"/>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jpeg"/><Relationship Id="rId9" Type="http://schemas.openxmlformats.org/officeDocument/2006/relationships/styles" Target="styles.xml"/><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E6C17-3E9C-40C5-8E8D-F677869D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Words>3390</Words>
  <Pages>18</Pages>
  <Characters>21044</Characters>
  <Application>WPS Office</Application>
  <DocSecurity>0</DocSecurity>
  <Paragraphs>193</Paragraphs>
  <ScaleCrop>false</ScaleCrop>
  <LinksUpToDate>false</LinksUpToDate>
  <CharactersWithSpaces>24350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2026-04-17T17:47:00Z</dcterms:created>
  <dc:creator>MLC</dc:creator>
  <lastModifiedBy>SM-A156E</lastModifiedBy>
  <dcterms:modified xsi:type="dcterms:W3CDTF">2026-05-01T10:38:00Z</dcterms:modified>
  <revision>92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4afd5b0e8cb1404d8005c5181044fa7d</vt:lpwstr>
  </property>
</Properties>
</file>