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6A046" w14:textId="44725723" w:rsidR="00AC7C07" w:rsidRPr="00EE04E0" w:rsidRDefault="00EE04E0" w:rsidP="007725A9">
      <w:pPr>
        <w:spacing w:line="360" w:lineRule="auto"/>
        <w:rPr>
          <w:b/>
          <w:bCs/>
          <w:sz w:val="24"/>
          <w:szCs w:val="24"/>
        </w:rPr>
      </w:pPr>
      <w:r w:rsidRPr="00EE04E0">
        <w:rPr>
          <w:b/>
          <w:bCs/>
          <w:sz w:val="24"/>
          <w:szCs w:val="24"/>
        </w:rPr>
        <w:t>Name – Hannah Rosser</w:t>
      </w:r>
    </w:p>
    <w:p w14:paraId="6B43966D" w14:textId="1E222DCF" w:rsidR="00EE04E0" w:rsidRPr="00EE04E0" w:rsidRDefault="00EE04E0" w:rsidP="007725A9">
      <w:pPr>
        <w:pStyle w:val="Default"/>
        <w:spacing w:line="360" w:lineRule="auto"/>
        <w:rPr>
          <w:rFonts w:asciiTheme="minorHAnsi" w:hAnsiTheme="minorHAnsi" w:cstheme="minorHAnsi"/>
          <w:b/>
          <w:bCs/>
        </w:rPr>
      </w:pPr>
      <w:r w:rsidRPr="00EE04E0">
        <w:rPr>
          <w:rFonts w:asciiTheme="minorHAnsi" w:hAnsiTheme="minorHAnsi" w:cstheme="minorHAnsi"/>
          <w:b/>
          <w:bCs/>
        </w:rPr>
        <w:t>Student ID number – 2236406</w:t>
      </w:r>
    </w:p>
    <w:p w14:paraId="5409FC55" w14:textId="77777777" w:rsidR="00EE04E0" w:rsidRPr="00EE04E0" w:rsidRDefault="00EE04E0" w:rsidP="007725A9">
      <w:pPr>
        <w:pStyle w:val="Default"/>
        <w:spacing w:line="360" w:lineRule="auto"/>
        <w:rPr>
          <w:rFonts w:asciiTheme="minorHAnsi" w:hAnsiTheme="minorHAnsi" w:cstheme="minorHAnsi"/>
          <w:b/>
          <w:bCs/>
        </w:rPr>
      </w:pPr>
    </w:p>
    <w:p w14:paraId="6BC5C8A4" w14:textId="77777777" w:rsidR="00EE04E0" w:rsidRPr="00EE04E0" w:rsidRDefault="00EE04E0" w:rsidP="007725A9">
      <w:pPr>
        <w:pStyle w:val="Default"/>
        <w:spacing w:line="360" w:lineRule="auto"/>
        <w:rPr>
          <w:rFonts w:asciiTheme="minorHAnsi" w:hAnsiTheme="minorHAnsi" w:cstheme="minorHAnsi"/>
        </w:rPr>
      </w:pPr>
      <w:r w:rsidRPr="00EE04E0">
        <w:rPr>
          <w:rFonts w:asciiTheme="minorHAnsi" w:hAnsiTheme="minorHAnsi" w:cstheme="minorHAnsi"/>
          <w:b/>
          <w:bCs/>
        </w:rPr>
        <w:t xml:space="preserve">Essay one – Maintaining Professional Standards </w:t>
      </w:r>
    </w:p>
    <w:p w14:paraId="1DAF2993" w14:textId="77777777" w:rsidR="00EE04E0" w:rsidRPr="00EE04E0" w:rsidRDefault="00EE04E0" w:rsidP="007725A9">
      <w:pPr>
        <w:pStyle w:val="Default"/>
        <w:spacing w:line="360" w:lineRule="auto"/>
        <w:rPr>
          <w:rFonts w:asciiTheme="minorHAnsi" w:hAnsiTheme="minorHAnsi" w:cstheme="minorHAnsi"/>
        </w:rPr>
      </w:pPr>
      <w:r w:rsidRPr="00EE04E0">
        <w:rPr>
          <w:rFonts w:asciiTheme="minorHAnsi" w:hAnsiTheme="minorHAnsi" w:cstheme="minorHAnsi"/>
        </w:rPr>
        <w:t xml:space="preserve">Critically examine policing policies and procedures (e.g. PACE, Code of Ethics, NDM, use of BWV) aimed at reducing misconduct and malpractice by police officers. How might these increase public confidence in police? </w:t>
      </w:r>
    </w:p>
    <w:p w14:paraId="63DAB8C1" w14:textId="77777777" w:rsidR="00EE04E0" w:rsidRPr="00EE04E0" w:rsidRDefault="00EE04E0" w:rsidP="007725A9">
      <w:pPr>
        <w:pStyle w:val="Default"/>
        <w:spacing w:line="360" w:lineRule="auto"/>
        <w:rPr>
          <w:rFonts w:asciiTheme="minorHAnsi" w:hAnsiTheme="minorHAnsi" w:cstheme="minorHAnsi"/>
        </w:rPr>
      </w:pPr>
      <w:r w:rsidRPr="00EE04E0">
        <w:rPr>
          <w:rFonts w:asciiTheme="minorHAnsi" w:hAnsiTheme="minorHAnsi" w:cstheme="minorHAnsi"/>
        </w:rPr>
        <w:t xml:space="preserve">Support your answer with relevant evidence drawn from academic sources. </w:t>
      </w:r>
    </w:p>
    <w:p w14:paraId="58EEA179" w14:textId="77777777" w:rsidR="00EE04E0" w:rsidRPr="00EE04E0" w:rsidRDefault="00EE04E0" w:rsidP="007725A9">
      <w:pPr>
        <w:pStyle w:val="Default"/>
        <w:spacing w:line="360" w:lineRule="auto"/>
        <w:rPr>
          <w:rFonts w:asciiTheme="minorHAnsi" w:hAnsiTheme="minorHAnsi" w:cstheme="minorHAnsi"/>
        </w:rPr>
      </w:pPr>
      <w:r w:rsidRPr="00EE04E0">
        <w:rPr>
          <w:rFonts w:asciiTheme="minorHAnsi" w:hAnsiTheme="minorHAnsi" w:cstheme="minorHAnsi"/>
        </w:rPr>
        <w:t xml:space="preserve">NB – to </w:t>
      </w:r>
      <w:r w:rsidRPr="00EE04E0">
        <w:rPr>
          <w:rFonts w:asciiTheme="minorHAnsi" w:hAnsiTheme="minorHAnsi" w:cstheme="minorHAnsi"/>
          <w:i/>
          <w:iCs/>
        </w:rPr>
        <w:t xml:space="preserve">critically examine </w:t>
      </w:r>
      <w:r w:rsidRPr="00EE04E0">
        <w:rPr>
          <w:rFonts w:asciiTheme="minorHAnsi" w:hAnsiTheme="minorHAnsi" w:cstheme="minorHAnsi"/>
        </w:rPr>
        <w:t xml:space="preserve">is to give a balanced answer that points out weaknesses as well as favourable aspects of the topic in question. </w:t>
      </w:r>
    </w:p>
    <w:p w14:paraId="7AFB2516" w14:textId="1DCC5042" w:rsidR="00E76989" w:rsidRPr="000532AD" w:rsidRDefault="00EE04E0" w:rsidP="007725A9">
      <w:pPr>
        <w:pStyle w:val="Default"/>
        <w:spacing w:line="360" w:lineRule="auto"/>
        <w:rPr>
          <w:rFonts w:asciiTheme="minorHAnsi" w:hAnsiTheme="minorHAnsi" w:cstheme="minorHAnsi"/>
        </w:rPr>
      </w:pPr>
      <w:r w:rsidRPr="00EE04E0">
        <w:rPr>
          <w:rFonts w:asciiTheme="minorHAnsi" w:hAnsiTheme="minorHAnsi" w:cstheme="minorHAnsi"/>
          <w:b/>
          <w:bCs/>
        </w:rPr>
        <w:t xml:space="preserve">Word limit: </w:t>
      </w:r>
      <w:r w:rsidRPr="00EE04E0">
        <w:rPr>
          <w:rFonts w:asciiTheme="minorHAnsi" w:hAnsiTheme="minorHAnsi" w:cstheme="minorHAnsi"/>
        </w:rPr>
        <w:t>1000 words</w:t>
      </w:r>
    </w:p>
    <w:p w14:paraId="0619A737" w14:textId="2D6E3BC9" w:rsidR="00683339" w:rsidRDefault="00831E7A" w:rsidP="007725A9">
      <w:pPr>
        <w:spacing w:line="360" w:lineRule="auto"/>
        <w:rPr>
          <w:sz w:val="24"/>
          <w:szCs w:val="24"/>
        </w:rPr>
      </w:pPr>
      <w:r w:rsidRPr="00831E7A">
        <w:rPr>
          <w:sz w:val="24"/>
          <w:szCs w:val="24"/>
        </w:rPr>
        <w:t xml:space="preserve">Misconduct and malpractice </w:t>
      </w:r>
      <w:r>
        <w:rPr>
          <w:sz w:val="24"/>
          <w:szCs w:val="24"/>
        </w:rPr>
        <w:t xml:space="preserve">within the police </w:t>
      </w:r>
      <w:r w:rsidR="000532AD">
        <w:rPr>
          <w:sz w:val="24"/>
          <w:szCs w:val="24"/>
        </w:rPr>
        <w:t>are</w:t>
      </w:r>
      <w:r>
        <w:rPr>
          <w:sz w:val="24"/>
          <w:szCs w:val="24"/>
        </w:rPr>
        <w:t xml:space="preserve"> unfortunately common, with many officers being dismissed due to their unprofessionalism. Policing ultimately relies on confidence from the public that officers will investigate their crimes to the best of their ability. </w:t>
      </w:r>
      <w:r w:rsidR="00683339">
        <w:rPr>
          <w:sz w:val="24"/>
          <w:szCs w:val="24"/>
        </w:rPr>
        <w:t>It’s important that the public feel confident in the police as they may be more likely to engage with the police service to work alongside them in tackling crime and anti-social behaviour (Rix et al, 2009</w:t>
      </w:r>
      <w:r w:rsidR="00664F0D">
        <w:rPr>
          <w:sz w:val="24"/>
          <w:szCs w:val="24"/>
        </w:rPr>
        <w:t>)</w:t>
      </w:r>
      <w:r w:rsidR="00FE5640">
        <w:rPr>
          <w:sz w:val="24"/>
          <w:szCs w:val="24"/>
        </w:rPr>
        <w:t>.</w:t>
      </w:r>
      <w:r w:rsidR="00664F0D">
        <w:rPr>
          <w:sz w:val="24"/>
          <w:szCs w:val="24"/>
        </w:rPr>
        <w:t xml:space="preserve"> </w:t>
      </w:r>
      <w:r w:rsidR="00FB685C">
        <w:rPr>
          <w:sz w:val="24"/>
          <w:szCs w:val="24"/>
        </w:rPr>
        <w:t>Due to this, policing policies and procedures have been introduced to help increase public confidence in police</w:t>
      </w:r>
      <w:r w:rsidR="000532AD">
        <w:rPr>
          <w:sz w:val="24"/>
          <w:szCs w:val="24"/>
        </w:rPr>
        <w:t xml:space="preserve">. Examples of these are the </w:t>
      </w:r>
      <w:r w:rsidR="00FB685C">
        <w:rPr>
          <w:sz w:val="24"/>
          <w:szCs w:val="24"/>
        </w:rPr>
        <w:t xml:space="preserve">Police and Criminal Evidence Act 1984 (PACE), body worn video and the National Decision Model (NDM) which have </w:t>
      </w:r>
      <w:r w:rsidR="00683339">
        <w:rPr>
          <w:sz w:val="24"/>
          <w:szCs w:val="24"/>
        </w:rPr>
        <w:t xml:space="preserve">been </w:t>
      </w:r>
      <w:r w:rsidR="00EB354F">
        <w:rPr>
          <w:sz w:val="24"/>
          <w:szCs w:val="24"/>
        </w:rPr>
        <w:t xml:space="preserve">shown to be </w:t>
      </w:r>
      <w:r w:rsidR="00683339">
        <w:rPr>
          <w:sz w:val="24"/>
          <w:szCs w:val="24"/>
        </w:rPr>
        <w:t>effective in increasing public confidence within the police.</w:t>
      </w:r>
    </w:p>
    <w:p w14:paraId="3BA6FEAF" w14:textId="6CAC0ADF" w:rsidR="00A00F93" w:rsidRDefault="005A3F88" w:rsidP="007725A9">
      <w:pPr>
        <w:spacing w:line="360" w:lineRule="auto"/>
        <w:rPr>
          <w:sz w:val="24"/>
          <w:szCs w:val="24"/>
        </w:rPr>
      </w:pPr>
      <w:r>
        <w:rPr>
          <w:sz w:val="24"/>
          <w:szCs w:val="24"/>
        </w:rPr>
        <w:t>PACE was introduced in 1984</w:t>
      </w:r>
      <w:r w:rsidR="00311238">
        <w:rPr>
          <w:sz w:val="24"/>
          <w:szCs w:val="24"/>
        </w:rPr>
        <w:t xml:space="preserve"> as a controversial attempt to regulate the investigation of crime and in particular the detention and questioning of suspects (Cape and Young, 2008)</w:t>
      </w:r>
      <w:r w:rsidR="00D934EF">
        <w:rPr>
          <w:sz w:val="24"/>
          <w:szCs w:val="24"/>
        </w:rPr>
        <w:t xml:space="preserve"> It brought in multiple codes of practice, showing officers how to effectively carry out arrests, stop searches, </w:t>
      </w:r>
      <w:r w:rsidR="008E402A">
        <w:rPr>
          <w:sz w:val="24"/>
          <w:szCs w:val="24"/>
        </w:rPr>
        <w:t>detentions,</w:t>
      </w:r>
      <w:r w:rsidR="00D934EF">
        <w:rPr>
          <w:sz w:val="24"/>
          <w:szCs w:val="24"/>
        </w:rPr>
        <w:t xml:space="preserve"> and interviews</w:t>
      </w:r>
      <w:r w:rsidR="00B84942">
        <w:rPr>
          <w:sz w:val="24"/>
          <w:szCs w:val="24"/>
        </w:rPr>
        <w:t xml:space="preserve"> which have been favourable in increasing public confidence</w:t>
      </w:r>
      <w:r w:rsidR="00C46B70">
        <w:rPr>
          <w:sz w:val="24"/>
          <w:szCs w:val="24"/>
        </w:rPr>
        <w:t>.</w:t>
      </w:r>
      <w:r w:rsidR="00B84942">
        <w:rPr>
          <w:sz w:val="24"/>
          <w:szCs w:val="24"/>
        </w:rPr>
        <w:t xml:space="preserve"> Firstly, </w:t>
      </w:r>
      <w:r w:rsidR="00A12961">
        <w:rPr>
          <w:sz w:val="24"/>
          <w:szCs w:val="24"/>
        </w:rPr>
        <w:t>Code A of PACE, the search of a person or vehicle prior to making an arrest</w:t>
      </w:r>
      <w:r w:rsidR="001A49EC">
        <w:rPr>
          <w:sz w:val="24"/>
          <w:szCs w:val="24"/>
        </w:rPr>
        <w:t xml:space="preserve"> </w:t>
      </w:r>
      <w:r w:rsidR="00F111C4">
        <w:rPr>
          <w:sz w:val="24"/>
          <w:szCs w:val="24"/>
        </w:rPr>
        <w:t>can prevent individuals from committing acts of crime ou</w:t>
      </w:r>
      <w:r w:rsidR="009A2EC4">
        <w:rPr>
          <w:sz w:val="24"/>
          <w:szCs w:val="24"/>
        </w:rPr>
        <w:t>t</w:t>
      </w:r>
      <w:r w:rsidR="00F111C4">
        <w:rPr>
          <w:sz w:val="24"/>
          <w:szCs w:val="24"/>
        </w:rPr>
        <w:t xml:space="preserve"> of fear of arrest and apprehension (Nagin et al, 2015)</w:t>
      </w:r>
      <w:r w:rsidR="00FE5640">
        <w:rPr>
          <w:sz w:val="24"/>
          <w:szCs w:val="24"/>
        </w:rPr>
        <w:t>.</w:t>
      </w:r>
      <w:r w:rsidR="00014241">
        <w:rPr>
          <w:sz w:val="24"/>
          <w:szCs w:val="24"/>
        </w:rPr>
        <w:t xml:space="preserve"> Research conducted in 201</w:t>
      </w:r>
      <w:r w:rsidR="00AB79FB">
        <w:rPr>
          <w:sz w:val="24"/>
          <w:szCs w:val="24"/>
        </w:rPr>
        <w:t xml:space="preserve">4 </w:t>
      </w:r>
      <w:r w:rsidR="00014241">
        <w:rPr>
          <w:sz w:val="24"/>
          <w:szCs w:val="24"/>
        </w:rPr>
        <w:t>highlighted that out of 2129 Great British adults, 76% stated that they support the power of police to stop search</w:t>
      </w:r>
      <w:r w:rsidR="00835D4C">
        <w:rPr>
          <w:sz w:val="24"/>
          <w:szCs w:val="24"/>
        </w:rPr>
        <w:t xml:space="preserve"> (</w:t>
      </w:r>
      <w:proofErr w:type="spellStart"/>
      <w:r w:rsidR="00835D4C">
        <w:rPr>
          <w:sz w:val="24"/>
          <w:szCs w:val="24"/>
        </w:rPr>
        <w:t>Dahlgreen</w:t>
      </w:r>
      <w:proofErr w:type="spellEnd"/>
      <w:r w:rsidR="00835D4C">
        <w:rPr>
          <w:sz w:val="24"/>
          <w:szCs w:val="24"/>
        </w:rPr>
        <w:t>, 2014)</w:t>
      </w:r>
      <w:r w:rsidR="00FE5640">
        <w:rPr>
          <w:sz w:val="24"/>
          <w:szCs w:val="24"/>
        </w:rPr>
        <w:t>.</w:t>
      </w:r>
      <w:r w:rsidR="00835D4C">
        <w:rPr>
          <w:sz w:val="24"/>
          <w:szCs w:val="24"/>
        </w:rPr>
        <w:t xml:space="preserve"> This high figure supports the argument that PACE increase</w:t>
      </w:r>
      <w:r w:rsidR="0048630E">
        <w:rPr>
          <w:sz w:val="24"/>
          <w:szCs w:val="24"/>
        </w:rPr>
        <w:t>s</w:t>
      </w:r>
      <w:r w:rsidR="00835D4C">
        <w:rPr>
          <w:sz w:val="24"/>
          <w:szCs w:val="24"/>
        </w:rPr>
        <w:t xml:space="preserve"> the public confidence in the police because they have trust that officers</w:t>
      </w:r>
      <w:r w:rsidR="0048630E">
        <w:rPr>
          <w:sz w:val="24"/>
          <w:szCs w:val="24"/>
        </w:rPr>
        <w:t xml:space="preserve"> will affectively use their power</w:t>
      </w:r>
      <w:r w:rsidR="00947ADA">
        <w:rPr>
          <w:sz w:val="24"/>
          <w:szCs w:val="24"/>
        </w:rPr>
        <w:t xml:space="preserve">. </w:t>
      </w:r>
      <w:r w:rsidR="00835D4C">
        <w:rPr>
          <w:sz w:val="24"/>
          <w:szCs w:val="24"/>
        </w:rPr>
        <w:t xml:space="preserve">It's indicated that more people are satisfied with police initiated stops than they are with </w:t>
      </w:r>
      <w:r w:rsidR="00835D4C">
        <w:rPr>
          <w:sz w:val="24"/>
          <w:szCs w:val="24"/>
        </w:rPr>
        <w:lastRenderedPageBreak/>
        <w:t>contacts they initiate themselves, these usually being calls for assistance (</w:t>
      </w:r>
      <w:r w:rsidR="00D915F6">
        <w:rPr>
          <w:sz w:val="24"/>
          <w:szCs w:val="24"/>
        </w:rPr>
        <w:t>Bradford et al, 2009)</w:t>
      </w:r>
      <w:r w:rsidR="00FE5640">
        <w:rPr>
          <w:sz w:val="24"/>
          <w:szCs w:val="24"/>
        </w:rPr>
        <w:t>.</w:t>
      </w:r>
    </w:p>
    <w:p w14:paraId="517C14E3" w14:textId="28F103D5" w:rsidR="00771A34" w:rsidRPr="00297311" w:rsidRDefault="00A00F93" w:rsidP="007725A9">
      <w:pPr>
        <w:spacing w:line="360" w:lineRule="auto"/>
      </w:pPr>
      <w:r>
        <w:rPr>
          <w:sz w:val="24"/>
          <w:szCs w:val="24"/>
        </w:rPr>
        <w:t xml:space="preserve">However, </w:t>
      </w:r>
      <w:r w:rsidR="00364FC6">
        <w:rPr>
          <w:sz w:val="24"/>
          <w:szCs w:val="24"/>
        </w:rPr>
        <w:t xml:space="preserve">there have been many debates in the UK around the idea that police stop searches can be racially bias, </w:t>
      </w:r>
      <w:r w:rsidR="003477F6">
        <w:rPr>
          <w:sz w:val="24"/>
          <w:szCs w:val="24"/>
        </w:rPr>
        <w:t>with the views of scholars like Bradford (201</w:t>
      </w:r>
      <w:r w:rsidR="00AB79FB">
        <w:rPr>
          <w:sz w:val="24"/>
          <w:szCs w:val="24"/>
        </w:rPr>
        <w:t>9</w:t>
      </w:r>
      <w:r w:rsidR="003477F6">
        <w:rPr>
          <w:sz w:val="24"/>
          <w:szCs w:val="24"/>
        </w:rPr>
        <w:t>) who states he expects people from ethnic minorities will be more likely to be stopped by the police due to the nature of police discrimination and stereotyping.</w:t>
      </w:r>
      <w:r w:rsidR="003477F6">
        <w:t xml:space="preserve"> </w:t>
      </w:r>
      <w:r w:rsidR="004D06BC">
        <w:rPr>
          <w:sz w:val="24"/>
          <w:szCs w:val="24"/>
        </w:rPr>
        <w:t>Having said that, Miller and Quinton (2020) demonstrated that there is no indication of any officer bias against black suspects, when they assessed search probabilities with white and black suspects. It was found that search probabilities were slightly higher for white suspects meaning they are more probabl</w:t>
      </w:r>
      <w:r w:rsidR="001702EE">
        <w:rPr>
          <w:sz w:val="24"/>
          <w:szCs w:val="24"/>
        </w:rPr>
        <w:t>e</w:t>
      </w:r>
      <w:r w:rsidR="004D06BC">
        <w:rPr>
          <w:sz w:val="24"/>
          <w:szCs w:val="24"/>
        </w:rPr>
        <w:t xml:space="preserve"> to be stop searched than black</w:t>
      </w:r>
      <w:r w:rsidR="00364FC6">
        <w:rPr>
          <w:sz w:val="24"/>
          <w:szCs w:val="24"/>
        </w:rPr>
        <w:t xml:space="preserve"> suspects, </w:t>
      </w:r>
      <w:r w:rsidR="007E37D1">
        <w:rPr>
          <w:sz w:val="24"/>
          <w:szCs w:val="24"/>
        </w:rPr>
        <w:t xml:space="preserve">dissuading the idea that stop searches can be racially bias and restoring the public confidence back into policing. </w:t>
      </w:r>
    </w:p>
    <w:p w14:paraId="5B1A88A9" w14:textId="3C9BE3E6" w:rsidR="000B198B" w:rsidRDefault="00771A34" w:rsidP="007725A9">
      <w:pPr>
        <w:spacing w:line="360" w:lineRule="auto"/>
        <w:rPr>
          <w:sz w:val="24"/>
          <w:szCs w:val="24"/>
        </w:rPr>
      </w:pPr>
      <w:r>
        <w:rPr>
          <w:sz w:val="24"/>
          <w:szCs w:val="24"/>
        </w:rPr>
        <w:t xml:space="preserve">The use of body worn video </w:t>
      </w:r>
      <w:r w:rsidR="00042591">
        <w:rPr>
          <w:sz w:val="24"/>
          <w:szCs w:val="24"/>
        </w:rPr>
        <w:t xml:space="preserve">(BWV) </w:t>
      </w:r>
      <w:r w:rsidR="007B5559">
        <w:rPr>
          <w:sz w:val="24"/>
          <w:szCs w:val="24"/>
        </w:rPr>
        <w:t>might also be seen as a good strategy to reduce misconduct and increase public confidence in the police.</w:t>
      </w:r>
      <w:r w:rsidR="002C164D">
        <w:rPr>
          <w:sz w:val="24"/>
          <w:szCs w:val="24"/>
        </w:rPr>
        <w:t xml:space="preserve"> When </w:t>
      </w:r>
      <w:r w:rsidR="00042591">
        <w:rPr>
          <w:sz w:val="24"/>
          <w:szCs w:val="24"/>
        </w:rPr>
        <w:t>considering the reduction of malpractice and misconduct within the police, officers have indicated that they think BWV footage could protect them against unfair complaints (Ellis et al, 2015)</w:t>
      </w:r>
      <w:r w:rsidR="00FE5640">
        <w:rPr>
          <w:sz w:val="24"/>
          <w:szCs w:val="24"/>
        </w:rPr>
        <w:t>.</w:t>
      </w:r>
      <w:r w:rsidR="00042591">
        <w:rPr>
          <w:sz w:val="24"/>
          <w:szCs w:val="24"/>
        </w:rPr>
        <w:t xml:space="preserve"> </w:t>
      </w:r>
      <w:r w:rsidR="000F6282">
        <w:rPr>
          <w:sz w:val="24"/>
          <w:szCs w:val="24"/>
        </w:rPr>
        <w:t xml:space="preserve">Further research demonstrates that an overriding majority of officers were positive about the introduction of BWV (Harrison et al, 2021) suggesting that it is favoured </w:t>
      </w:r>
      <w:r w:rsidR="00A603FB">
        <w:rPr>
          <w:sz w:val="24"/>
          <w:szCs w:val="24"/>
        </w:rPr>
        <w:t>by officers.</w:t>
      </w:r>
      <w:r w:rsidR="003B06E8">
        <w:rPr>
          <w:sz w:val="24"/>
          <w:szCs w:val="24"/>
        </w:rPr>
        <w:t xml:space="preserve"> BWV is expected to improve court evidence and prosecution (White, 2014) which argues that the</w:t>
      </w:r>
      <w:r w:rsidR="00030D95">
        <w:rPr>
          <w:sz w:val="24"/>
          <w:szCs w:val="24"/>
        </w:rPr>
        <w:t xml:space="preserve"> public</w:t>
      </w:r>
      <w:r w:rsidR="003B06E8">
        <w:rPr>
          <w:sz w:val="24"/>
          <w:szCs w:val="24"/>
        </w:rPr>
        <w:t xml:space="preserve"> have increased confidence within the police because they work in the public favour. </w:t>
      </w:r>
      <w:r w:rsidR="00E22D57">
        <w:rPr>
          <w:sz w:val="24"/>
          <w:szCs w:val="24"/>
        </w:rPr>
        <w:t>Moreover</w:t>
      </w:r>
      <w:r w:rsidR="003B06E8">
        <w:rPr>
          <w:sz w:val="24"/>
          <w:szCs w:val="24"/>
        </w:rPr>
        <w:t xml:space="preserve">, the use of BWV has been shown to </w:t>
      </w:r>
      <w:r w:rsidR="00030D95">
        <w:rPr>
          <w:sz w:val="24"/>
          <w:szCs w:val="24"/>
        </w:rPr>
        <w:t>improve</w:t>
      </w:r>
      <w:r w:rsidR="003B06E8">
        <w:rPr>
          <w:sz w:val="24"/>
          <w:szCs w:val="24"/>
        </w:rPr>
        <w:t xml:space="preserve"> officer and citizen behaviour (Ariel et al, 2015)</w:t>
      </w:r>
      <w:r w:rsidR="006B0E99">
        <w:rPr>
          <w:sz w:val="24"/>
          <w:szCs w:val="24"/>
        </w:rPr>
        <w:t xml:space="preserve">. Despite </w:t>
      </w:r>
      <w:r w:rsidR="00030D95">
        <w:rPr>
          <w:sz w:val="24"/>
          <w:szCs w:val="24"/>
        </w:rPr>
        <w:t xml:space="preserve">the argument for BWV increasing public confidence in the police being more favourable, White (2014) explained that despite BWV improving citizen behaviour, there is ‘very little evidence to support this assertion outside of anecdotal reports’ (p22) This suggests that although BWV has been </w:t>
      </w:r>
      <w:r w:rsidR="00E22D57">
        <w:rPr>
          <w:sz w:val="24"/>
          <w:szCs w:val="24"/>
        </w:rPr>
        <w:t xml:space="preserve">seen </w:t>
      </w:r>
      <w:r w:rsidR="00030D95">
        <w:rPr>
          <w:sz w:val="24"/>
          <w:szCs w:val="24"/>
        </w:rPr>
        <w:t>as being favourable by the public, this isn’t evidentially proved.</w:t>
      </w:r>
      <w:r w:rsidR="009B0FC5">
        <w:rPr>
          <w:sz w:val="24"/>
          <w:szCs w:val="24"/>
        </w:rPr>
        <w:t xml:space="preserve"> Furthermore, it’s been suggested that </w:t>
      </w:r>
      <w:r w:rsidR="0073591F">
        <w:rPr>
          <w:sz w:val="24"/>
          <w:szCs w:val="24"/>
        </w:rPr>
        <w:t>BWV</w:t>
      </w:r>
      <w:r w:rsidR="009B0FC5">
        <w:rPr>
          <w:sz w:val="24"/>
          <w:szCs w:val="24"/>
        </w:rPr>
        <w:t xml:space="preserve"> can be used unfairly to retrospectively scrutinize officers decision-making (Owens et al, 2014)</w:t>
      </w:r>
      <w:r w:rsidR="006B0E99">
        <w:rPr>
          <w:sz w:val="24"/>
          <w:szCs w:val="24"/>
        </w:rPr>
        <w:t>.</w:t>
      </w:r>
      <w:r w:rsidR="0073591F">
        <w:rPr>
          <w:sz w:val="24"/>
          <w:szCs w:val="24"/>
        </w:rPr>
        <w:t xml:space="preserve"> </w:t>
      </w:r>
      <w:r w:rsidR="00030D95">
        <w:rPr>
          <w:sz w:val="24"/>
          <w:szCs w:val="24"/>
        </w:rPr>
        <w:t>Nevertheless, Owens and Finn (2018) have found that officers are more aware of their interactions with the public when captured on BWV, narrating their interactions which they have stated ‘may lead into greater compliance and fewer complaints</w:t>
      </w:r>
      <w:r w:rsidR="00D20736">
        <w:rPr>
          <w:sz w:val="24"/>
          <w:szCs w:val="24"/>
        </w:rPr>
        <w:t xml:space="preserve">’ (p80) This again, argues that the introduction of BWV has increased public confidence within the police because when they are aware that all </w:t>
      </w:r>
      <w:r w:rsidR="00D20736">
        <w:rPr>
          <w:sz w:val="24"/>
          <w:szCs w:val="24"/>
        </w:rPr>
        <w:lastRenderedPageBreak/>
        <w:t xml:space="preserve">actions are being recorded, they may want to engage more with officers and understand that they are being taken seriously. </w:t>
      </w:r>
    </w:p>
    <w:p w14:paraId="105FA2C3" w14:textId="747411B1" w:rsidR="008B2143" w:rsidRDefault="00C04622" w:rsidP="007725A9">
      <w:pPr>
        <w:spacing w:before="240" w:line="360" w:lineRule="auto"/>
        <w:rPr>
          <w:sz w:val="24"/>
          <w:szCs w:val="24"/>
        </w:rPr>
      </w:pPr>
      <w:r>
        <w:rPr>
          <w:sz w:val="24"/>
          <w:szCs w:val="24"/>
        </w:rPr>
        <w:t>One study showed the Code of Ethics to be effective in restoring public confidence in the police, with a large majority of the respondents holding positive attitudes to</w:t>
      </w:r>
      <w:r w:rsidR="00BC0E12">
        <w:rPr>
          <w:sz w:val="24"/>
          <w:szCs w:val="24"/>
        </w:rPr>
        <w:t>wards</w:t>
      </w:r>
      <w:r w:rsidR="00297311">
        <w:rPr>
          <w:sz w:val="24"/>
          <w:szCs w:val="24"/>
        </w:rPr>
        <w:t xml:space="preserve"> officers, </w:t>
      </w:r>
      <w:r w:rsidR="00BC0E12">
        <w:rPr>
          <w:sz w:val="24"/>
          <w:szCs w:val="24"/>
        </w:rPr>
        <w:t xml:space="preserve">stating that they were fair, </w:t>
      </w:r>
      <w:r w:rsidR="00E152C1">
        <w:rPr>
          <w:sz w:val="24"/>
          <w:szCs w:val="24"/>
        </w:rPr>
        <w:t>honest,</w:t>
      </w:r>
      <w:r w:rsidR="00BC0E12">
        <w:rPr>
          <w:sz w:val="24"/>
          <w:szCs w:val="24"/>
        </w:rPr>
        <w:t xml:space="preserve"> and concerned. Furthermore, more than one-third said that police officers worked together and treated all citizens fairly. (Ren, 2005)</w:t>
      </w:r>
      <w:r w:rsidR="006B0E99">
        <w:rPr>
          <w:sz w:val="24"/>
          <w:szCs w:val="24"/>
        </w:rPr>
        <w:t>.</w:t>
      </w:r>
      <w:r w:rsidR="00383386">
        <w:rPr>
          <w:sz w:val="24"/>
          <w:szCs w:val="24"/>
        </w:rPr>
        <w:t xml:space="preserve"> T</w:t>
      </w:r>
      <w:r w:rsidR="009B0FC5">
        <w:rPr>
          <w:sz w:val="24"/>
          <w:szCs w:val="24"/>
        </w:rPr>
        <w:t>hese are all fundamental rights of t</w:t>
      </w:r>
      <w:r w:rsidR="00383386">
        <w:rPr>
          <w:sz w:val="24"/>
          <w:szCs w:val="24"/>
        </w:rPr>
        <w:t xml:space="preserve">he Code of Ethics </w:t>
      </w:r>
      <w:r w:rsidR="00AF3F98">
        <w:rPr>
          <w:sz w:val="24"/>
          <w:szCs w:val="24"/>
        </w:rPr>
        <w:t xml:space="preserve">which </w:t>
      </w:r>
      <w:r w:rsidR="00383386">
        <w:rPr>
          <w:sz w:val="24"/>
          <w:szCs w:val="24"/>
        </w:rPr>
        <w:t>w</w:t>
      </w:r>
      <w:r w:rsidR="00AF3F98">
        <w:rPr>
          <w:sz w:val="24"/>
          <w:szCs w:val="24"/>
        </w:rPr>
        <w:t>ere</w:t>
      </w:r>
      <w:r w:rsidR="00383386">
        <w:rPr>
          <w:sz w:val="24"/>
          <w:szCs w:val="24"/>
        </w:rPr>
        <w:t xml:space="preserve"> introduced to </w:t>
      </w:r>
      <w:r w:rsidR="00BC6753">
        <w:rPr>
          <w:sz w:val="24"/>
          <w:szCs w:val="24"/>
        </w:rPr>
        <w:t>UK policing in 2014</w:t>
      </w:r>
      <w:r w:rsidR="00247344">
        <w:rPr>
          <w:sz w:val="24"/>
          <w:szCs w:val="24"/>
        </w:rPr>
        <w:t xml:space="preserve">, guiding officers in how to best treat their colleagues and members of the public. </w:t>
      </w:r>
      <w:r w:rsidR="002275D5">
        <w:rPr>
          <w:sz w:val="24"/>
          <w:szCs w:val="24"/>
        </w:rPr>
        <w:t xml:space="preserve">It states that it requires everyone </w:t>
      </w:r>
      <w:r w:rsidR="008B2143">
        <w:rPr>
          <w:sz w:val="24"/>
          <w:szCs w:val="24"/>
        </w:rPr>
        <w:t>i</w:t>
      </w:r>
      <w:r w:rsidR="002275D5">
        <w:rPr>
          <w:sz w:val="24"/>
          <w:szCs w:val="24"/>
        </w:rPr>
        <w:t xml:space="preserve">n policing to prevent unprofessional conduct by questioning behaviour which </w:t>
      </w:r>
      <w:r w:rsidR="00751FB1">
        <w:rPr>
          <w:sz w:val="24"/>
          <w:szCs w:val="24"/>
        </w:rPr>
        <w:t>f</w:t>
      </w:r>
      <w:r w:rsidR="002275D5">
        <w:rPr>
          <w:sz w:val="24"/>
          <w:szCs w:val="24"/>
        </w:rPr>
        <w:t>alls below expected standards (Coll</w:t>
      </w:r>
      <w:r w:rsidR="00B47398">
        <w:rPr>
          <w:sz w:val="24"/>
          <w:szCs w:val="24"/>
        </w:rPr>
        <w:t>e</w:t>
      </w:r>
      <w:r w:rsidR="002275D5">
        <w:rPr>
          <w:sz w:val="24"/>
          <w:szCs w:val="24"/>
        </w:rPr>
        <w:t>ge of Policing, 2014</w:t>
      </w:r>
      <w:r w:rsidR="007A4D14">
        <w:rPr>
          <w:sz w:val="24"/>
          <w:szCs w:val="24"/>
        </w:rPr>
        <w:t>)</w:t>
      </w:r>
      <w:r w:rsidR="006B0E99">
        <w:rPr>
          <w:sz w:val="24"/>
          <w:szCs w:val="24"/>
        </w:rPr>
        <w:t>.</w:t>
      </w:r>
      <w:r w:rsidR="008B2143">
        <w:rPr>
          <w:sz w:val="24"/>
          <w:szCs w:val="24"/>
        </w:rPr>
        <w:t xml:space="preserve"> Surveys analysed by </w:t>
      </w:r>
      <w:proofErr w:type="spellStart"/>
      <w:r w:rsidR="008B2143">
        <w:rPr>
          <w:sz w:val="24"/>
          <w:szCs w:val="24"/>
        </w:rPr>
        <w:t>Westmarland</w:t>
      </w:r>
      <w:proofErr w:type="spellEnd"/>
      <w:r w:rsidR="008B2143">
        <w:rPr>
          <w:sz w:val="24"/>
          <w:szCs w:val="24"/>
        </w:rPr>
        <w:t xml:space="preserve"> and Row (2018) indicate that officers are 90% likely to report crimes </w:t>
      </w:r>
      <w:r w:rsidR="00F41D57">
        <w:rPr>
          <w:sz w:val="24"/>
          <w:szCs w:val="24"/>
        </w:rPr>
        <w:t xml:space="preserve">arguing that if the police are willing to uphold the Code of Ethics even within their colleagues, they are more than likely going to deal with it efficiently when it happens to members of the public. Despite findings claiming </w:t>
      </w:r>
      <w:r w:rsidR="000A14A6">
        <w:rPr>
          <w:sz w:val="24"/>
          <w:szCs w:val="24"/>
        </w:rPr>
        <w:t xml:space="preserve">that </w:t>
      </w:r>
      <w:proofErr w:type="gramStart"/>
      <w:r w:rsidR="00F41D57">
        <w:rPr>
          <w:sz w:val="24"/>
          <w:szCs w:val="24"/>
        </w:rPr>
        <w:t>officers</w:t>
      </w:r>
      <w:proofErr w:type="gramEnd"/>
      <w:r w:rsidR="00F41D57">
        <w:rPr>
          <w:sz w:val="24"/>
          <w:szCs w:val="24"/>
        </w:rPr>
        <w:t xml:space="preserve"> attitude</w:t>
      </w:r>
      <w:r w:rsidR="000A14A6">
        <w:rPr>
          <w:sz w:val="24"/>
          <w:szCs w:val="24"/>
        </w:rPr>
        <w:t>s</w:t>
      </w:r>
      <w:r w:rsidR="00F41D57">
        <w:rPr>
          <w:sz w:val="24"/>
          <w:szCs w:val="24"/>
        </w:rPr>
        <w:t xml:space="preserve"> can have an influence on w</w:t>
      </w:r>
      <w:r w:rsidR="00751FB1">
        <w:rPr>
          <w:sz w:val="24"/>
          <w:szCs w:val="24"/>
        </w:rPr>
        <w:t>hether</w:t>
      </w:r>
      <w:r w:rsidR="00F41D57">
        <w:rPr>
          <w:sz w:val="24"/>
          <w:szCs w:val="24"/>
        </w:rPr>
        <w:t xml:space="preserve"> to charge someone (Loftus 2009), Charman (2017) argues that new officers fear doing the wrong thing due to the organisation becoming more risk adverse and accountable to the public, restoring the public’s confidence </w:t>
      </w:r>
      <w:r w:rsidR="003D4E56">
        <w:rPr>
          <w:sz w:val="24"/>
          <w:szCs w:val="24"/>
        </w:rPr>
        <w:t xml:space="preserve">as they know </w:t>
      </w:r>
      <w:r w:rsidR="00F41D57">
        <w:rPr>
          <w:sz w:val="24"/>
          <w:szCs w:val="24"/>
        </w:rPr>
        <w:t xml:space="preserve">the police will act </w:t>
      </w:r>
      <w:r w:rsidR="00F9447B">
        <w:rPr>
          <w:sz w:val="24"/>
          <w:szCs w:val="24"/>
        </w:rPr>
        <w:t>on</w:t>
      </w:r>
      <w:r w:rsidR="00F41D57">
        <w:rPr>
          <w:sz w:val="24"/>
          <w:szCs w:val="24"/>
        </w:rPr>
        <w:t xml:space="preserve"> their best behaviour. </w:t>
      </w:r>
    </w:p>
    <w:p w14:paraId="15B1832A" w14:textId="37874335" w:rsidR="00384B39" w:rsidRPr="00384B39" w:rsidRDefault="0073591F" w:rsidP="007725A9">
      <w:pPr>
        <w:spacing w:line="360" w:lineRule="auto"/>
        <w:rPr>
          <w:sz w:val="24"/>
          <w:szCs w:val="24"/>
        </w:rPr>
      </w:pPr>
      <w:r>
        <w:rPr>
          <w:sz w:val="24"/>
          <w:szCs w:val="24"/>
        </w:rPr>
        <w:t xml:space="preserve">In conclusion, there have been multiple policing policies and procedures introduced over the years to help reduce misconduct and malpractice by officers, which have evidently helped increase public confidence in </w:t>
      </w:r>
      <w:r w:rsidR="00BB48F3">
        <w:rPr>
          <w:sz w:val="24"/>
          <w:szCs w:val="24"/>
        </w:rPr>
        <w:t xml:space="preserve">the </w:t>
      </w:r>
      <w:r>
        <w:rPr>
          <w:sz w:val="24"/>
          <w:szCs w:val="24"/>
        </w:rPr>
        <w:t>police. The introduction of PACE, stop and search scheme, BWV and the Code of Ethics were efforts to reduce this misconduct and are argumentatively favourable in doing so</w:t>
      </w:r>
      <w:r w:rsidR="00384B39">
        <w:rPr>
          <w:sz w:val="24"/>
          <w:szCs w:val="24"/>
        </w:rPr>
        <w:t xml:space="preserve">. Ultimately, </w:t>
      </w:r>
      <w:proofErr w:type="gramStart"/>
      <w:r w:rsidR="00384B39">
        <w:rPr>
          <w:sz w:val="24"/>
          <w:szCs w:val="24"/>
        </w:rPr>
        <w:t>peoples</w:t>
      </w:r>
      <w:proofErr w:type="gramEnd"/>
      <w:r w:rsidR="00384B39">
        <w:rPr>
          <w:sz w:val="24"/>
          <w:szCs w:val="24"/>
        </w:rPr>
        <w:t xml:space="preserve"> direct experiences of the police </w:t>
      </w:r>
      <w:r w:rsidR="00BB48F3">
        <w:rPr>
          <w:sz w:val="24"/>
          <w:szCs w:val="24"/>
        </w:rPr>
        <w:t>a</w:t>
      </w:r>
      <w:r w:rsidR="00384B39">
        <w:rPr>
          <w:sz w:val="24"/>
          <w:szCs w:val="24"/>
        </w:rPr>
        <w:t xml:space="preserve">ffect how individuals construct both negative and positive attitudes towards them (Rusinko et al, 1978) so it’s always essential that officers abide by the policies and procedures in place to provide the public with the best level of service we can, ensuring their confidence in police. </w:t>
      </w:r>
    </w:p>
    <w:p w14:paraId="73370581" w14:textId="14F9E496" w:rsidR="00771A34" w:rsidRDefault="00E76989" w:rsidP="007725A9">
      <w:pPr>
        <w:spacing w:line="360" w:lineRule="auto"/>
        <w:rPr>
          <w:sz w:val="24"/>
          <w:szCs w:val="24"/>
        </w:rPr>
      </w:pPr>
      <w:r w:rsidRPr="00E76989">
        <w:rPr>
          <w:b/>
          <w:bCs/>
          <w:sz w:val="24"/>
          <w:szCs w:val="24"/>
        </w:rPr>
        <w:t>Word Count</w:t>
      </w:r>
      <w:r>
        <w:rPr>
          <w:sz w:val="24"/>
          <w:szCs w:val="24"/>
        </w:rPr>
        <w:t xml:space="preserve"> - 10</w:t>
      </w:r>
      <w:r w:rsidR="004E7162">
        <w:rPr>
          <w:sz w:val="24"/>
          <w:szCs w:val="24"/>
        </w:rPr>
        <w:t>38</w:t>
      </w:r>
    </w:p>
    <w:p w14:paraId="183D0DEE" w14:textId="77777777" w:rsidR="0098543B" w:rsidRDefault="0098543B" w:rsidP="007725A9">
      <w:pPr>
        <w:spacing w:line="360" w:lineRule="auto"/>
        <w:rPr>
          <w:sz w:val="24"/>
          <w:szCs w:val="24"/>
        </w:rPr>
      </w:pPr>
    </w:p>
    <w:p w14:paraId="2E53E81B" w14:textId="77777777" w:rsidR="007725A9" w:rsidRDefault="007725A9" w:rsidP="007725A9">
      <w:pPr>
        <w:spacing w:line="360" w:lineRule="auto"/>
        <w:rPr>
          <w:b/>
          <w:bCs/>
          <w:sz w:val="24"/>
          <w:szCs w:val="24"/>
          <w:u w:val="single"/>
        </w:rPr>
      </w:pPr>
    </w:p>
    <w:p w14:paraId="1032C3AF" w14:textId="2DD67B18" w:rsidR="00EB354F" w:rsidRPr="00EB354F" w:rsidRDefault="00EB354F" w:rsidP="007725A9">
      <w:pPr>
        <w:spacing w:line="360" w:lineRule="auto"/>
        <w:rPr>
          <w:b/>
          <w:bCs/>
          <w:sz w:val="24"/>
          <w:szCs w:val="24"/>
        </w:rPr>
      </w:pPr>
      <w:r w:rsidRPr="00EB354F">
        <w:rPr>
          <w:b/>
          <w:bCs/>
          <w:sz w:val="24"/>
          <w:szCs w:val="24"/>
        </w:rPr>
        <w:lastRenderedPageBreak/>
        <w:t xml:space="preserve">Essay 2 – Public Protection </w:t>
      </w:r>
    </w:p>
    <w:p w14:paraId="58B0DC3B" w14:textId="77777777" w:rsidR="00EB354F" w:rsidRPr="00BA6AE6" w:rsidRDefault="00EB354F" w:rsidP="007725A9">
      <w:pPr>
        <w:pStyle w:val="Default"/>
        <w:spacing w:line="360" w:lineRule="auto"/>
        <w:rPr>
          <w:rFonts w:asciiTheme="minorHAnsi" w:hAnsiTheme="minorHAnsi" w:cstheme="minorHAnsi"/>
        </w:rPr>
      </w:pPr>
      <w:r w:rsidRPr="00BA6AE6">
        <w:rPr>
          <w:rFonts w:asciiTheme="minorHAnsi" w:hAnsiTheme="minorHAnsi" w:cstheme="minorHAnsi"/>
        </w:rPr>
        <w:t xml:space="preserve">What characteristics (socio-economic, psychological etc.) can make a person vulnerable to exploitation to criminal gangs? </w:t>
      </w:r>
    </w:p>
    <w:p w14:paraId="13FD9DBA" w14:textId="77777777" w:rsidR="00EB354F" w:rsidRPr="00BA6AE6" w:rsidRDefault="00EB354F" w:rsidP="007725A9">
      <w:pPr>
        <w:pStyle w:val="Default"/>
        <w:spacing w:line="360" w:lineRule="auto"/>
        <w:rPr>
          <w:rFonts w:asciiTheme="minorHAnsi" w:hAnsiTheme="minorHAnsi" w:cstheme="minorHAnsi"/>
        </w:rPr>
      </w:pPr>
      <w:r w:rsidRPr="00BA6AE6">
        <w:rPr>
          <w:rFonts w:asciiTheme="minorHAnsi" w:hAnsiTheme="minorHAnsi" w:cstheme="minorHAnsi"/>
        </w:rPr>
        <w:t xml:space="preserve">Your answer must be based on academic research. </w:t>
      </w:r>
    </w:p>
    <w:p w14:paraId="17A2DF88" w14:textId="3DF93E00" w:rsidR="00EB354F" w:rsidRPr="007D722F" w:rsidRDefault="00EB354F" w:rsidP="007725A9">
      <w:pPr>
        <w:pStyle w:val="Default"/>
        <w:spacing w:line="360" w:lineRule="auto"/>
        <w:rPr>
          <w:rFonts w:asciiTheme="minorHAnsi" w:hAnsiTheme="minorHAnsi" w:cstheme="minorHAnsi"/>
        </w:rPr>
      </w:pPr>
      <w:r w:rsidRPr="00BA6AE6">
        <w:rPr>
          <w:rFonts w:asciiTheme="minorHAnsi" w:hAnsiTheme="minorHAnsi" w:cstheme="minorHAnsi"/>
          <w:b/>
          <w:bCs/>
        </w:rPr>
        <w:t xml:space="preserve">Word limit: </w:t>
      </w:r>
      <w:r w:rsidRPr="00BA6AE6">
        <w:rPr>
          <w:rFonts w:asciiTheme="minorHAnsi" w:hAnsiTheme="minorHAnsi" w:cstheme="minorHAnsi"/>
        </w:rPr>
        <w:t xml:space="preserve">1000 words. </w:t>
      </w:r>
    </w:p>
    <w:p w14:paraId="7913A5FF" w14:textId="08FF34CE" w:rsidR="00EB354F" w:rsidRDefault="00EB354F" w:rsidP="007725A9">
      <w:pPr>
        <w:spacing w:line="360" w:lineRule="auto"/>
        <w:rPr>
          <w:sz w:val="24"/>
          <w:szCs w:val="24"/>
        </w:rPr>
      </w:pPr>
      <w:r w:rsidRPr="00EB354F">
        <w:rPr>
          <w:sz w:val="24"/>
          <w:szCs w:val="24"/>
        </w:rPr>
        <w:t xml:space="preserve">Criminal gangs </w:t>
      </w:r>
      <w:r w:rsidR="00EC6702">
        <w:rPr>
          <w:sz w:val="24"/>
          <w:szCs w:val="24"/>
        </w:rPr>
        <w:t xml:space="preserve">are a group of people, usually youths who share a common </w:t>
      </w:r>
      <w:r w:rsidR="00822A70">
        <w:rPr>
          <w:sz w:val="24"/>
          <w:szCs w:val="24"/>
        </w:rPr>
        <w:t>identity</w:t>
      </w:r>
      <w:r w:rsidR="00EC6702">
        <w:rPr>
          <w:sz w:val="24"/>
          <w:szCs w:val="24"/>
        </w:rPr>
        <w:t xml:space="preserve"> and generally engage in criminal behaviour (Curry and Decker, 2024)</w:t>
      </w:r>
      <w:r w:rsidR="006B0E99">
        <w:rPr>
          <w:sz w:val="24"/>
          <w:szCs w:val="24"/>
        </w:rPr>
        <w:t>.</w:t>
      </w:r>
      <w:r w:rsidR="00822A70">
        <w:rPr>
          <w:sz w:val="24"/>
          <w:szCs w:val="24"/>
        </w:rPr>
        <w:t xml:space="preserve"> </w:t>
      </w:r>
      <w:r w:rsidR="005815D7">
        <w:rPr>
          <w:sz w:val="24"/>
          <w:szCs w:val="24"/>
        </w:rPr>
        <w:t>Individuals of both the younger and older generation are increasingly becoming exploited by these criminal gangs due to the characteristics that can make a person vulnerable such as their age, gender, their socio-economic status, substance misuse and their mental health</w:t>
      </w:r>
      <w:r w:rsidR="00E54CE1">
        <w:rPr>
          <w:sz w:val="24"/>
          <w:szCs w:val="24"/>
        </w:rPr>
        <w:t xml:space="preserve">. They are pressured into committing acts of a criminal nature in order to receive gifts or money. </w:t>
      </w:r>
      <w:r w:rsidR="00510595">
        <w:rPr>
          <w:sz w:val="24"/>
          <w:szCs w:val="24"/>
        </w:rPr>
        <w:t xml:space="preserve">Gangs are deliberately targeting vulnerable children, those who are homeless, living in care homes or are trapped in property </w:t>
      </w:r>
      <w:r w:rsidR="005815D7">
        <w:rPr>
          <w:sz w:val="24"/>
          <w:szCs w:val="24"/>
        </w:rPr>
        <w:t>(Stone, 2018)</w:t>
      </w:r>
      <w:r w:rsidR="006B0E99">
        <w:rPr>
          <w:sz w:val="24"/>
          <w:szCs w:val="24"/>
        </w:rPr>
        <w:t>.</w:t>
      </w:r>
      <w:r w:rsidR="005815D7">
        <w:rPr>
          <w:sz w:val="24"/>
          <w:szCs w:val="24"/>
        </w:rPr>
        <w:t xml:space="preserve"> They are more likely to be targeted by the ring leaders of the criminal groups which ultimately leads to their exploitation.</w:t>
      </w:r>
    </w:p>
    <w:p w14:paraId="4400A6C1" w14:textId="77D1F2C9" w:rsidR="00381FA2" w:rsidRDefault="00EE2B9D" w:rsidP="007725A9">
      <w:pPr>
        <w:spacing w:line="360" w:lineRule="auto"/>
        <w:rPr>
          <w:sz w:val="24"/>
          <w:szCs w:val="24"/>
        </w:rPr>
      </w:pPr>
      <w:r>
        <w:rPr>
          <w:sz w:val="24"/>
          <w:szCs w:val="24"/>
        </w:rPr>
        <w:t>Firstly, age is one of the main characteristics that can make someone vulnerable to criminal exploitation</w:t>
      </w:r>
      <w:r w:rsidR="0025068D">
        <w:rPr>
          <w:sz w:val="24"/>
          <w:szCs w:val="24"/>
        </w:rPr>
        <w:t xml:space="preserve"> </w:t>
      </w:r>
      <w:r w:rsidR="00B260B3">
        <w:rPr>
          <w:sz w:val="24"/>
          <w:szCs w:val="24"/>
        </w:rPr>
        <w:t>as many children in poverty, in care or who have experienced abuse and neglect are encouraged</w:t>
      </w:r>
      <w:r w:rsidR="00BE3FC7">
        <w:rPr>
          <w:sz w:val="24"/>
          <w:szCs w:val="24"/>
        </w:rPr>
        <w:t>,</w:t>
      </w:r>
      <w:r w:rsidR="0025068D">
        <w:rPr>
          <w:sz w:val="24"/>
          <w:szCs w:val="24"/>
        </w:rPr>
        <w:t xml:space="preserve"> </w:t>
      </w:r>
      <w:r w:rsidR="00B260B3">
        <w:rPr>
          <w:sz w:val="24"/>
          <w:szCs w:val="24"/>
        </w:rPr>
        <w:t>expected or required to take part in criminal activity (Norman, 2024)</w:t>
      </w:r>
      <w:r w:rsidR="006B0E99">
        <w:rPr>
          <w:sz w:val="24"/>
          <w:szCs w:val="24"/>
        </w:rPr>
        <w:t>.</w:t>
      </w:r>
      <w:r w:rsidR="00B260B3">
        <w:rPr>
          <w:sz w:val="24"/>
          <w:szCs w:val="24"/>
        </w:rPr>
        <w:t xml:space="preserve"> </w:t>
      </w:r>
      <w:r w:rsidR="004D27EB">
        <w:rPr>
          <w:sz w:val="24"/>
          <w:szCs w:val="24"/>
        </w:rPr>
        <w:t xml:space="preserve">Maxwell </w:t>
      </w:r>
      <w:r w:rsidR="00D16FAF">
        <w:rPr>
          <w:sz w:val="24"/>
          <w:szCs w:val="24"/>
        </w:rPr>
        <w:t xml:space="preserve">et al (2019) </w:t>
      </w:r>
      <w:r w:rsidR="004D366F">
        <w:rPr>
          <w:sz w:val="24"/>
          <w:szCs w:val="24"/>
        </w:rPr>
        <w:t>showed</w:t>
      </w:r>
      <w:r w:rsidR="00D16FAF">
        <w:rPr>
          <w:sz w:val="24"/>
          <w:szCs w:val="24"/>
        </w:rPr>
        <w:t xml:space="preserve"> that of the 43 police forces in England and Wales, 65% have reported the exploitation or children linked to county lines, highlighting that a person’s age is a vulnerability that </w:t>
      </w:r>
      <w:r w:rsidR="004D366F">
        <w:rPr>
          <w:sz w:val="24"/>
          <w:szCs w:val="24"/>
        </w:rPr>
        <w:t xml:space="preserve">can lead </w:t>
      </w:r>
      <w:r w:rsidR="00D16FAF">
        <w:rPr>
          <w:sz w:val="24"/>
          <w:szCs w:val="24"/>
        </w:rPr>
        <w:t xml:space="preserve">to exploitation </w:t>
      </w:r>
      <w:r w:rsidR="004D366F">
        <w:rPr>
          <w:sz w:val="24"/>
          <w:szCs w:val="24"/>
        </w:rPr>
        <w:t>by</w:t>
      </w:r>
      <w:r w:rsidR="00D16FAF">
        <w:rPr>
          <w:sz w:val="24"/>
          <w:szCs w:val="24"/>
        </w:rPr>
        <w:t xml:space="preserve"> criminal gangs. </w:t>
      </w:r>
      <w:r w:rsidR="004D366F">
        <w:rPr>
          <w:sz w:val="24"/>
          <w:szCs w:val="24"/>
        </w:rPr>
        <w:t>County lines encompasses the initiatives of suppliers based in larger cities usually operating as part of organised crime gangs to expand their trade into smaller locations, increasing their profits and aiming to reduce or avoid police attention in their own area (Stone, 2018)</w:t>
      </w:r>
      <w:r w:rsidR="006B0E99">
        <w:rPr>
          <w:sz w:val="24"/>
          <w:szCs w:val="24"/>
        </w:rPr>
        <w:t>.</w:t>
      </w:r>
      <w:r w:rsidR="0017630D">
        <w:rPr>
          <w:sz w:val="24"/>
          <w:szCs w:val="24"/>
        </w:rPr>
        <w:t xml:space="preserve"> </w:t>
      </w:r>
      <w:r w:rsidR="0025068D">
        <w:rPr>
          <w:sz w:val="24"/>
          <w:szCs w:val="24"/>
        </w:rPr>
        <w:t>This can lead to ‘cuckooing,’ whereby the criminal gangs take over the homes of vulnerable people to obtain retail space and minimise police attention (</w:t>
      </w:r>
      <w:proofErr w:type="spellStart"/>
      <w:r w:rsidR="0025068D">
        <w:rPr>
          <w:sz w:val="24"/>
          <w:szCs w:val="24"/>
        </w:rPr>
        <w:t>Buerger</w:t>
      </w:r>
      <w:proofErr w:type="spellEnd"/>
      <w:r w:rsidR="0025068D">
        <w:rPr>
          <w:sz w:val="24"/>
          <w:szCs w:val="24"/>
        </w:rPr>
        <w:t xml:space="preserve"> 2012)</w:t>
      </w:r>
      <w:r w:rsidR="006B0E99">
        <w:rPr>
          <w:sz w:val="24"/>
          <w:szCs w:val="24"/>
        </w:rPr>
        <w:t>.</w:t>
      </w:r>
      <w:r w:rsidR="0025068D">
        <w:rPr>
          <w:sz w:val="24"/>
          <w:szCs w:val="24"/>
        </w:rPr>
        <w:t xml:space="preserve"> This therefore demonstrates that being in care is a socio-economic factor that can make someone vulnerable to criminal exploitation because young people are given the freedom to live in their own flat at a young age with many of them being brought up with uncertain lifestyles, not understanding the risk criminal activity can bring. They are easily encouraged to engage in these acts because they feel a sense of belonging and security that they have not experienced as a child</w:t>
      </w:r>
      <w:r w:rsidR="008A7A9E">
        <w:rPr>
          <w:sz w:val="24"/>
          <w:szCs w:val="24"/>
        </w:rPr>
        <w:t>.</w:t>
      </w:r>
    </w:p>
    <w:p w14:paraId="41BFC962" w14:textId="7502A703" w:rsidR="00EB354F" w:rsidRDefault="008A7A9E" w:rsidP="007725A9">
      <w:pPr>
        <w:spacing w:line="360" w:lineRule="auto"/>
        <w:rPr>
          <w:sz w:val="24"/>
          <w:szCs w:val="24"/>
        </w:rPr>
      </w:pPr>
      <w:r>
        <w:rPr>
          <w:sz w:val="24"/>
          <w:szCs w:val="24"/>
        </w:rPr>
        <w:lastRenderedPageBreak/>
        <w:t>This leads on to a further socio-economic factor in which young people can be vulnerable to exploitation to criminal gangs, that</w:t>
      </w:r>
      <w:r w:rsidR="00BE3FC7">
        <w:rPr>
          <w:sz w:val="24"/>
          <w:szCs w:val="24"/>
        </w:rPr>
        <w:t xml:space="preserve"> </w:t>
      </w:r>
      <w:r>
        <w:rPr>
          <w:sz w:val="24"/>
          <w:szCs w:val="24"/>
        </w:rPr>
        <w:t>being the environment that they have been brought up in.</w:t>
      </w:r>
      <w:r w:rsidR="005A18FC">
        <w:rPr>
          <w:sz w:val="24"/>
          <w:szCs w:val="24"/>
        </w:rPr>
        <w:t xml:space="preserve"> </w:t>
      </w:r>
      <w:r w:rsidR="006B1033">
        <w:rPr>
          <w:sz w:val="24"/>
          <w:szCs w:val="24"/>
        </w:rPr>
        <w:t>Individuals whose parents have been involved in criminal behaviour are considered to be at greater risk of offending themselves (Rowe and Farrington, 1997)</w:t>
      </w:r>
      <w:r w:rsidR="006B0E99">
        <w:rPr>
          <w:sz w:val="24"/>
          <w:szCs w:val="24"/>
        </w:rPr>
        <w:t>.</w:t>
      </w:r>
      <w:r w:rsidR="006B1033">
        <w:rPr>
          <w:sz w:val="24"/>
          <w:szCs w:val="24"/>
        </w:rPr>
        <w:t xml:space="preserve"> Young people who are brought up in environments where criminal behaviour is welcomed and is seen as being normal are more likely to follow in their parents footsteps and be easily influenced to commit criminal acts themselves. Therefore, if they are approached by gangs and coerced into dealing drugs or committing thefts, they will not necessarily see it as a bad thing and may be proud to behave in the same way as their parents.</w:t>
      </w:r>
      <w:r w:rsidR="00C604AE">
        <w:rPr>
          <w:sz w:val="24"/>
          <w:szCs w:val="24"/>
        </w:rPr>
        <w:t xml:space="preserve"> Whilst many children can be criminally exploited, the Childrens Commissioner for England, (2019) estimated that 2.3 million children are at risk due to their family circumstances which include parental mental illness, substance misuse and domestic violence. Furthermore, findings have shown that children may be enticed into drug dealing activities as a way of financially supporting their families (</w:t>
      </w:r>
      <w:proofErr w:type="spellStart"/>
      <w:r w:rsidR="00C604AE">
        <w:rPr>
          <w:sz w:val="24"/>
          <w:szCs w:val="24"/>
        </w:rPr>
        <w:t>Apland</w:t>
      </w:r>
      <w:proofErr w:type="spellEnd"/>
      <w:r w:rsidR="00C604AE">
        <w:rPr>
          <w:sz w:val="24"/>
          <w:szCs w:val="24"/>
        </w:rPr>
        <w:t xml:space="preserve"> et al, 2017)</w:t>
      </w:r>
      <w:r w:rsidR="008655AF">
        <w:rPr>
          <w:sz w:val="24"/>
          <w:szCs w:val="24"/>
        </w:rPr>
        <w:t xml:space="preserve"> suggesting that poverty is a further factor that can make someone vulnerable to criminal activity. </w:t>
      </w:r>
    </w:p>
    <w:p w14:paraId="70BBA7D1" w14:textId="52D54717" w:rsidR="001257C8" w:rsidRDefault="00317E27" w:rsidP="007725A9">
      <w:pPr>
        <w:spacing w:line="360" w:lineRule="auto"/>
        <w:rPr>
          <w:sz w:val="24"/>
          <w:szCs w:val="24"/>
        </w:rPr>
      </w:pPr>
      <w:r>
        <w:rPr>
          <w:sz w:val="24"/>
          <w:szCs w:val="24"/>
        </w:rPr>
        <w:t>In 1993, two-thirds of the 1.35 million convicted males had not graduated from high school (Lochner, 1999) demonstrating that a persons age is a vulnerability that can make them vulnerable to criminal exploitation, along with a lack of education.</w:t>
      </w:r>
      <w:r w:rsidR="0016443E">
        <w:rPr>
          <w:sz w:val="24"/>
          <w:szCs w:val="24"/>
        </w:rPr>
        <w:t xml:space="preserve"> </w:t>
      </w:r>
      <w:r w:rsidR="00AF0B44">
        <w:rPr>
          <w:sz w:val="24"/>
          <w:szCs w:val="24"/>
        </w:rPr>
        <w:t>For example, in 2014, three times as many men were arrested than women (Britton et al, 201</w:t>
      </w:r>
      <w:r w:rsidR="00AB79FB">
        <w:rPr>
          <w:sz w:val="24"/>
          <w:szCs w:val="24"/>
        </w:rPr>
        <w:t>8</w:t>
      </w:r>
      <w:r w:rsidR="00AF0B44">
        <w:rPr>
          <w:sz w:val="24"/>
          <w:szCs w:val="24"/>
        </w:rPr>
        <w:t xml:space="preserve">) suggesting that men are committing more crimes than women. </w:t>
      </w:r>
      <w:r w:rsidR="006F5A9B">
        <w:rPr>
          <w:sz w:val="24"/>
          <w:szCs w:val="24"/>
        </w:rPr>
        <w:t>Men disproportionately exhibit more anti-social behaviour than women (</w:t>
      </w:r>
      <w:proofErr w:type="spellStart"/>
      <w:r w:rsidR="00AB79FB">
        <w:rPr>
          <w:sz w:val="24"/>
          <w:szCs w:val="24"/>
        </w:rPr>
        <w:t>Sarre</w:t>
      </w:r>
      <w:proofErr w:type="spellEnd"/>
      <w:r w:rsidR="00AB79FB">
        <w:rPr>
          <w:sz w:val="24"/>
          <w:szCs w:val="24"/>
        </w:rPr>
        <w:t xml:space="preserve"> et al,</w:t>
      </w:r>
      <w:r w:rsidR="006F5A9B">
        <w:rPr>
          <w:sz w:val="24"/>
          <w:szCs w:val="24"/>
        </w:rPr>
        <w:t xml:space="preserve"> 2021) and so are more likely to be influenced and coerced into engaging with criminal behaviour. </w:t>
      </w:r>
    </w:p>
    <w:p w14:paraId="11D3E59E" w14:textId="064B963C" w:rsidR="0016443E" w:rsidRPr="0016443E" w:rsidRDefault="0016443E" w:rsidP="007725A9">
      <w:pPr>
        <w:spacing w:line="360" w:lineRule="auto"/>
        <w:rPr>
          <w:sz w:val="24"/>
          <w:szCs w:val="24"/>
        </w:rPr>
      </w:pPr>
      <w:proofErr w:type="spellStart"/>
      <w:r>
        <w:rPr>
          <w:sz w:val="24"/>
          <w:szCs w:val="24"/>
        </w:rPr>
        <w:t>Tauchen</w:t>
      </w:r>
      <w:proofErr w:type="spellEnd"/>
      <w:r>
        <w:rPr>
          <w:sz w:val="24"/>
          <w:szCs w:val="24"/>
        </w:rPr>
        <w:t xml:space="preserve"> and Witte (1994) have found that young people who are in paid employment or go to school are less likely to engage in criminal behaviour. </w:t>
      </w:r>
      <w:r w:rsidR="00715BAE">
        <w:rPr>
          <w:sz w:val="24"/>
          <w:szCs w:val="24"/>
        </w:rPr>
        <w:t>Research shows that 52% of young adults who received custodial sentences have been persistently absent during their school years (</w:t>
      </w:r>
      <w:proofErr w:type="spellStart"/>
      <w:r w:rsidR="00715BAE">
        <w:rPr>
          <w:sz w:val="24"/>
          <w:szCs w:val="24"/>
        </w:rPr>
        <w:t>Crossweller</w:t>
      </w:r>
      <w:proofErr w:type="spellEnd"/>
      <w:r w:rsidR="00715BAE">
        <w:rPr>
          <w:sz w:val="24"/>
          <w:szCs w:val="24"/>
        </w:rPr>
        <w:t>, 2022)</w:t>
      </w:r>
      <w:r w:rsidR="006B0E99">
        <w:rPr>
          <w:sz w:val="24"/>
          <w:szCs w:val="24"/>
        </w:rPr>
        <w:t>.</w:t>
      </w:r>
      <w:r w:rsidR="00715BAE">
        <w:rPr>
          <w:sz w:val="24"/>
          <w:szCs w:val="24"/>
        </w:rPr>
        <w:t xml:space="preserve"> Young people who do not attend school due to factors like being expelled, suspended or not being brought up in an environment where school is viewed as being important, are less likely to be aware of the risks imposed by associating with criminal gangs and activity and sometimes may not even be aware they are involved in a gang. They are therefore more at risk to being easily influence</w:t>
      </w:r>
      <w:r w:rsidR="00BE3FC7">
        <w:rPr>
          <w:sz w:val="24"/>
          <w:szCs w:val="24"/>
        </w:rPr>
        <w:t>d</w:t>
      </w:r>
      <w:r w:rsidR="00715BAE">
        <w:rPr>
          <w:sz w:val="24"/>
          <w:szCs w:val="24"/>
        </w:rPr>
        <w:t xml:space="preserve"> as they don’t necessarily know right from wrong</w:t>
      </w:r>
      <w:r w:rsidR="00BE3FC7">
        <w:rPr>
          <w:sz w:val="24"/>
          <w:szCs w:val="24"/>
        </w:rPr>
        <w:t>.</w:t>
      </w:r>
      <w:r w:rsidR="00715BAE">
        <w:rPr>
          <w:sz w:val="24"/>
          <w:szCs w:val="24"/>
        </w:rPr>
        <w:t xml:space="preserve"> </w:t>
      </w:r>
      <w:r w:rsidR="00BE3FC7">
        <w:rPr>
          <w:sz w:val="24"/>
          <w:szCs w:val="24"/>
        </w:rPr>
        <w:t>F</w:t>
      </w:r>
      <w:r w:rsidR="00715BAE">
        <w:rPr>
          <w:sz w:val="24"/>
          <w:szCs w:val="24"/>
        </w:rPr>
        <w:t xml:space="preserve">or example, if someone was to offer them money in exchange for delivering </w:t>
      </w:r>
      <w:r w:rsidR="00715BAE">
        <w:rPr>
          <w:sz w:val="24"/>
          <w:szCs w:val="24"/>
        </w:rPr>
        <w:lastRenderedPageBreak/>
        <w:t xml:space="preserve">drugs, they may just see it as an opportunity to earn money and not see the criminal side to it, or the consequences of their actions. Education is </w:t>
      </w:r>
      <w:r>
        <w:rPr>
          <w:sz w:val="24"/>
          <w:szCs w:val="24"/>
        </w:rPr>
        <w:t xml:space="preserve">an important element to prevent individuals from engaging in criminal behaviour </w:t>
      </w:r>
      <w:r w:rsidR="00715BAE">
        <w:rPr>
          <w:sz w:val="24"/>
          <w:szCs w:val="24"/>
        </w:rPr>
        <w:t>(Groot, 2007) and so without it they are less likely to make the better life choices due to lack of understanding, which makes them vulnerable to exploitation to criminal gangs.</w:t>
      </w:r>
    </w:p>
    <w:p w14:paraId="3BECA5D3" w14:textId="1271869D" w:rsidR="00715BAE" w:rsidRDefault="00715BAE" w:rsidP="007725A9">
      <w:pPr>
        <w:spacing w:line="360" w:lineRule="auto"/>
        <w:rPr>
          <w:sz w:val="24"/>
          <w:szCs w:val="24"/>
        </w:rPr>
      </w:pPr>
      <w:r>
        <w:rPr>
          <w:sz w:val="24"/>
          <w:szCs w:val="24"/>
        </w:rPr>
        <w:t>In conclusion, there are various socio-economic and psychological characteristics that can make a person vulnerable to exploitation to criminal gangs</w:t>
      </w:r>
      <w:r w:rsidR="00CA7E00">
        <w:rPr>
          <w:sz w:val="24"/>
          <w:szCs w:val="24"/>
        </w:rPr>
        <w:t>, many of which tie into a</w:t>
      </w:r>
      <w:r w:rsidR="00BE3FC7">
        <w:rPr>
          <w:sz w:val="24"/>
          <w:szCs w:val="24"/>
        </w:rPr>
        <w:t>n individual’s</w:t>
      </w:r>
      <w:r w:rsidR="00CA7E00">
        <w:rPr>
          <w:sz w:val="24"/>
          <w:szCs w:val="24"/>
        </w:rPr>
        <w:t xml:space="preserve"> upbringing. Essentially, being brought up in an environment where criminal activity is welcomed and receiving little education on the matter puts them at an unfair advantage to being exploited by criminal gangs at a young age. Gangs often look to exploit the most vulnerable in society</w:t>
      </w:r>
      <w:r w:rsidR="00BE3FC7">
        <w:rPr>
          <w:sz w:val="24"/>
          <w:szCs w:val="24"/>
        </w:rPr>
        <w:t>. T</w:t>
      </w:r>
      <w:r w:rsidR="00CA7E00">
        <w:rPr>
          <w:sz w:val="24"/>
          <w:szCs w:val="24"/>
        </w:rPr>
        <w:t xml:space="preserve">hose who don’t understand the consequences to their actions or </w:t>
      </w:r>
      <w:r w:rsidR="00BE3FC7">
        <w:rPr>
          <w:sz w:val="24"/>
          <w:szCs w:val="24"/>
        </w:rPr>
        <w:t xml:space="preserve">those who </w:t>
      </w:r>
      <w:r w:rsidR="00CA7E00">
        <w:rPr>
          <w:sz w:val="24"/>
          <w:szCs w:val="24"/>
        </w:rPr>
        <w:t xml:space="preserve">see crime as an easy way of earning money are more likely to be influenced into allowing gangs into their lives and controlling every aspect of it. Many people who find themselves being exploited at a </w:t>
      </w:r>
      <w:r w:rsidR="001257C8">
        <w:rPr>
          <w:sz w:val="24"/>
          <w:szCs w:val="24"/>
        </w:rPr>
        <w:t>young age often go on to commit bigger crimes in the future, turning to exploiting young people themselves.</w:t>
      </w:r>
    </w:p>
    <w:p w14:paraId="04210018" w14:textId="0318FDF2" w:rsidR="001257C8" w:rsidRPr="001257C8" w:rsidRDefault="001257C8" w:rsidP="007725A9">
      <w:pPr>
        <w:spacing w:line="360" w:lineRule="auto"/>
        <w:rPr>
          <w:b/>
          <w:bCs/>
          <w:sz w:val="24"/>
          <w:szCs w:val="24"/>
        </w:rPr>
      </w:pPr>
      <w:r w:rsidRPr="001257C8">
        <w:rPr>
          <w:b/>
          <w:bCs/>
          <w:sz w:val="24"/>
          <w:szCs w:val="24"/>
        </w:rPr>
        <w:t>Word Count - 9</w:t>
      </w:r>
      <w:r w:rsidR="006F5A9B">
        <w:rPr>
          <w:b/>
          <w:bCs/>
          <w:sz w:val="24"/>
          <w:szCs w:val="24"/>
        </w:rPr>
        <w:t>9</w:t>
      </w:r>
      <w:r w:rsidR="00B27816">
        <w:rPr>
          <w:b/>
          <w:bCs/>
          <w:sz w:val="24"/>
          <w:szCs w:val="24"/>
        </w:rPr>
        <w:t>9</w:t>
      </w:r>
    </w:p>
    <w:p w14:paraId="471A2696" w14:textId="77777777" w:rsidR="00EB354F" w:rsidRPr="000C3982" w:rsidRDefault="00EB354F" w:rsidP="007725A9">
      <w:pPr>
        <w:spacing w:line="360" w:lineRule="auto"/>
        <w:rPr>
          <w:b/>
          <w:bCs/>
          <w:sz w:val="24"/>
          <w:szCs w:val="24"/>
          <w:u w:val="single"/>
        </w:rPr>
      </w:pPr>
    </w:p>
    <w:p w14:paraId="510F1C09" w14:textId="77777777" w:rsidR="006F5A9B" w:rsidRDefault="006F5A9B" w:rsidP="007725A9">
      <w:pPr>
        <w:spacing w:line="360" w:lineRule="auto"/>
        <w:rPr>
          <w:b/>
          <w:bCs/>
          <w:sz w:val="24"/>
          <w:szCs w:val="24"/>
          <w:u w:val="single"/>
        </w:rPr>
      </w:pPr>
    </w:p>
    <w:p w14:paraId="3A8B4FE6" w14:textId="77777777" w:rsidR="006F5A9B" w:rsidRDefault="006F5A9B" w:rsidP="007725A9">
      <w:pPr>
        <w:spacing w:line="360" w:lineRule="auto"/>
        <w:rPr>
          <w:b/>
          <w:bCs/>
          <w:sz w:val="24"/>
          <w:szCs w:val="24"/>
          <w:u w:val="single"/>
        </w:rPr>
      </w:pPr>
    </w:p>
    <w:p w14:paraId="7C91E996" w14:textId="77777777" w:rsidR="0039568E" w:rsidRDefault="0039568E" w:rsidP="007725A9">
      <w:pPr>
        <w:pStyle w:val="Default"/>
        <w:spacing w:line="360" w:lineRule="auto"/>
        <w:rPr>
          <w:rFonts w:asciiTheme="minorHAnsi" w:hAnsiTheme="minorHAnsi" w:cstheme="minorHAnsi"/>
          <w:b/>
          <w:bCs/>
        </w:rPr>
      </w:pPr>
    </w:p>
    <w:p w14:paraId="5B6796E0" w14:textId="77777777" w:rsidR="007725A9" w:rsidRDefault="007725A9" w:rsidP="007725A9">
      <w:pPr>
        <w:pStyle w:val="Default"/>
        <w:spacing w:line="360" w:lineRule="auto"/>
        <w:rPr>
          <w:rFonts w:asciiTheme="minorHAnsi" w:hAnsiTheme="minorHAnsi" w:cstheme="minorHAnsi"/>
          <w:b/>
          <w:bCs/>
        </w:rPr>
      </w:pPr>
    </w:p>
    <w:p w14:paraId="0628FD31" w14:textId="77777777" w:rsidR="007725A9" w:rsidRDefault="007725A9" w:rsidP="007725A9">
      <w:pPr>
        <w:pStyle w:val="Default"/>
        <w:spacing w:line="360" w:lineRule="auto"/>
        <w:rPr>
          <w:rFonts w:asciiTheme="minorHAnsi" w:hAnsiTheme="minorHAnsi" w:cstheme="minorHAnsi"/>
          <w:b/>
          <w:bCs/>
        </w:rPr>
      </w:pPr>
    </w:p>
    <w:p w14:paraId="476C144B" w14:textId="77777777" w:rsidR="007725A9" w:rsidRDefault="007725A9" w:rsidP="007725A9">
      <w:pPr>
        <w:pStyle w:val="Default"/>
        <w:spacing w:line="360" w:lineRule="auto"/>
        <w:rPr>
          <w:rFonts w:asciiTheme="minorHAnsi" w:hAnsiTheme="minorHAnsi" w:cstheme="minorHAnsi"/>
          <w:b/>
          <w:bCs/>
        </w:rPr>
      </w:pPr>
    </w:p>
    <w:p w14:paraId="4F19C0D7" w14:textId="77777777" w:rsidR="007725A9" w:rsidRDefault="007725A9" w:rsidP="007725A9">
      <w:pPr>
        <w:pStyle w:val="Default"/>
        <w:spacing w:line="360" w:lineRule="auto"/>
        <w:rPr>
          <w:rFonts w:asciiTheme="minorHAnsi" w:hAnsiTheme="minorHAnsi" w:cstheme="minorHAnsi"/>
          <w:b/>
          <w:bCs/>
        </w:rPr>
      </w:pPr>
    </w:p>
    <w:p w14:paraId="07985367" w14:textId="77777777" w:rsidR="007725A9" w:rsidRDefault="007725A9" w:rsidP="007725A9">
      <w:pPr>
        <w:pStyle w:val="Default"/>
        <w:spacing w:line="360" w:lineRule="auto"/>
        <w:rPr>
          <w:rFonts w:asciiTheme="minorHAnsi" w:hAnsiTheme="minorHAnsi" w:cstheme="minorHAnsi"/>
          <w:b/>
          <w:bCs/>
        </w:rPr>
      </w:pPr>
    </w:p>
    <w:p w14:paraId="7A0EAAF7" w14:textId="77777777" w:rsidR="007725A9" w:rsidRDefault="007725A9" w:rsidP="007725A9">
      <w:pPr>
        <w:pStyle w:val="Default"/>
        <w:spacing w:line="360" w:lineRule="auto"/>
        <w:rPr>
          <w:rFonts w:asciiTheme="minorHAnsi" w:hAnsiTheme="minorHAnsi" w:cstheme="minorHAnsi"/>
          <w:b/>
          <w:bCs/>
        </w:rPr>
      </w:pPr>
    </w:p>
    <w:p w14:paraId="655AD005" w14:textId="77777777" w:rsidR="007725A9" w:rsidRDefault="007725A9" w:rsidP="007725A9">
      <w:pPr>
        <w:pStyle w:val="Default"/>
        <w:spacing w:line="360" w:lineRule="auto"/>
        <w:rPr>
          <w:rFonts w:asciiTheme="minorHAnsi" w:hAnsiTheme="minorHAnsi" w:cstheme="minorHAnsi"/>
          <w:b/>
          <w:bCs/>
        </w:rPr>
      </w:pPr>
    </w:p>
    <w:p w14:paraId="48474E8D" w14:textId="77777777" w:rsidR="007725A9" w:rsidRDefault="007725A9" w:rsidP="007725A9">
      <w:pPr>
        <w:pStyle w:val="Default"/>
        <w:spacing w:line="360" w:lineRule="auto"/>
        <w:rPr>
          <w:rFonts w:asciiTheme="minorHAnsi" w:hAnsiTheme="minorHAnsi" w:cstheme="minorHAnsi"/>
          <w:b/>
          <w:bCs/>
        </w:rPr>
      </w:pPr>
    </w:p>
    <w:p w14:paraId="174D0F39" w14:textId="77777777" w:rsidR="007725A9" w:rsidRDefault="007725A9" w:rsidP="007725A9">
      <w:pPr>
        <w:pStyle w:val="Default"/>
        <w:spacing w:line="360" w:lineRule="auto"/>
        <w:rPr>
          <w:rFonts w:asciiTheme="minorHAnsi" w:hAnsiTheme="minorHAnsi" w:cstheme="minorHAnsi"/>
          <w:b/>
          <w:bCs/>
        </w:rPr>
      </w:pPr>
    </w:p>
    <w:p w14:paraId="725E5074" w14:textId="729D4AD7" w:rsidR="002F1C32" w:rsidRPr="00BA6AE6" w:rsidRDefault="002F1C32" w:rsidP="007725A9">
      <w:pPr>
        <w:pStyle w:val="Default"/>
        <w:spacing w:line="360" w:lineRule="auto"/>
        <w:rPr>
          <w:rFonts w:asciiTheme="minorHAnsi" w:hAnsiTheme="minorHAnsi" w:cstheme="minorHAnsi"/>
          <w:b/>
          <w:bCs/>
        </w:rPr>
      </w:pPr>
      <w:r w:rsidRPr="00BA6AE6">
        <w:rPr>
          <w:rFonts w:asciiTheme="minorHAnsi" w:hAnsiTheme="minorHAnsi" w:cstheme="minorHAnsi"/>
          <w:b/>
          <w:bCs/>
        </w:rPr>
        <w:lastRenderedPageBreak/>
        <w:t xml:space="preserve">Essay three – Vulnerability &amp; Risk </w:t>
      </w:r>
    </w:p>
    <w:p w14:paraId="2741690E" w14:textId="77777777" w:rsidR="002F1C32" w:rsidRPr="00BA6AE6" w:rsidRDefault="002F1C32" w:rsidP="007725A9">
      <w:pPr>
        <w:pStyle w:val="Default"/>
        <w:spacing w:line="360" w:lineRule="auto"/>
        <w:rPr>
          <w:rFonts w:asciiTheme="minorHAnsi" w:hAnsiTheme="minorHAnsi" w:cstheme="minorHAnsi"/>
        </w:rPr>
      </w:pPr>
      <w:r w:rsidRPr="00BA6AE6">
        <w:rPr>
          <w:rFonts w:asciiTheme="minorHAnsi" w:hAnsiTheme="minorHAnsi" w:cstheme="minorHAnsi"/>
        </w:rPr>
        <w:t xml:space="preserve">Is early intervention an effective means of preventing young people from offending? What increases or detracts from its effectiveness? </w:t>
      </w:r>
    </w:p>
    <w:p w14:paraId="1367FBC1" w14:textId="77777777" w:rsidR="002F1C32" w:rsidRPr="00BA6AE6" w:rsidRDefault="002F1C32" w:rsidP="007725A9">
      <w:pPr>
        <w:pStyle w:val="Default"/>
        <w:spacing w:line="360" w:lineRule="auto"/>
        <w:rPr>
          <w:rFonts w:asciiTheme="minorHAnsi" w:hAnsiTheme="minorHAnsi" w:cstheme="minorHAnsi"/>
        </w:rPr>
      </w:pPr>
      <w:r w:rsidRPr="00BA6AE6">
        <w:rPr>
          <w:rFonts w:asciiTheme="minorHAnsi" w:hAnsiTheme="minorHAnsi" w:cstheme="minorHAnsi"/>
        </w:rPr>
        <w:t xml:space="preserve">Your answer must be based on academic research. </w:t>
      </w:r>
    </w:p>
    <w:p w14:paraId="6FA0C810" w14:textId="06F8B3B0" w:rsidR="002F1C32" w:rsidRDefault="002F1C32" w:rsidP="007725A9">
      <w:pPr>
        <w:pStyle w:val="Default"/>
        <w:spacing w:line="360" w:lineRule="auto"/>
        <w:rPr>
          <w:rFonts w:asciiTheme="minorHAnsi" w:hAnsiTheme="minorHAnsi" w:cstheme="minorHAnsi"/>
        </w:rPr>
      </w:pPr>
      <w:r w:rsidRPr="00BA6AE6">
        <w:rPr>
          <w:rFonts w:asciiTheme="minorHAnsi" w:hAnsiTheme="minorHAnsi" w:cstheme="minorHAnsi"/>
          <w:b/>
          <w:bCs/>
        </w:rPr>
        <w:t xml:space="preserve">Word limit: </w:t>
      </w:r>
      <w:r w:rsidRPr="00BA6AE6">
        <w:rPr>
          <w:rFonts w:asciiTheme="minorHAnsi" w:hAnsiTheme="minorHAnsi" w:cstheme="minorHAnsi"/>
        </w:rPr>
        <w:t xml:space="preserve">1000 words. </w:t>
      </w:r>
    </w:p>
    <w:p w14:paraId="05361A1E" w14:textId="1FD34132" w:rsidR="00320CB9" w:rsidRDefault="002F1C32" w:rsidP="007725A9">
      <w:pPr>
        <w:pStyle w:val="Default"/>
        <w:spacing w:line="360" w:lineRule="auto"/>
        <w:rPr>
          <w:rFonts w:asciiTheme="minorHAnsi" w:hAnsiTheme="minorHAnsi" w:cstheme="minorHAnsi"/>
        </w:rPr>
      </w:pPr>
      <w:r>
        <w:rPr>
          <w:rFonts w:asciiTheme="minorHAnsi" w:hAnsiTheme="minorHAnsi" w:cstheme="minorHAnsi"/>
        </w:rPr>
        <w:t>In this generation, it</w:t>
      </w:r>
      <w:r w:rsidR="008E304B">
        <w:rPr>
          <w:rFonts w:asciiTheme="minorHAnsi" w:hAnsiTheme="minorHAnsi" w:cstheme="minorHAnsi"/>
        </w:rPr>
        <w:t>’</w:t>
      </w:r>
      <w:r>
        <w:rPr>
          <w:rFonts w:asciiTheme="minorHAnsi" w:hAnsiTheme="minorHAnsi" w:cstheme="minorHAnsi"/>
        </w:rPr>
        <w:t xml:space="preserve">s </w:t>
      </w:r>
      <w:r w:rsidR="009F7CC6">
        <w:rPr>
          <w:rFonts w:asciiTheme="minorHAnsi" w:hAnsiTheme="minorHAnsi" w:cstheme="minorHAnsi"/>
        </w:rPr>
        <w:t xml:space="preserve">becoming increasingly common for young people to engage in criminal </w:t>
      </w:r>
      <w:r w:rsidR="00BD1831">
        <w:rPr>
          <w:rFonts w:asciiTheme="minorHAnsi" w:hAnsiTheme="minorHAnsi" w:cstheme="minorHAnsi"/>
        </w:rPr>
        <w:t>activity</w:t>
      </w:r>
      <w:r w:rsidR="004B001C">
        <w:rPr>
          <w:rFonts w:asciiTheme="minorHAnsi" w:hAnsiTheme="minorHAnsi" w:cstheme="minorHAnsi"/>
        </w:rPr>
        <w:t xml:space="preserve"> </w:t>
      </w:r>
      <w:r w:rsidR="009F7CC6">
        <w:rPr>
          <w:rFonts w:asciiTheme="minorHAnsi" w:hAnsiTheme="minorHAnsi" w:cstheme="minorHAnsi"/>
        </w:rPr>
        <w:t xml:space="preserve">and they can be easily influenced into committing criminal acts. </w:t>
      </w:r>
      <w:r w:rsidR="006E2A7D">
        <w:rPr>
          <w:rFonts w:asciiTheme="minorHAnsi" w:hAnsiTheme="minorHAnsi" w:cstheme="minorHAnsi"/>
        </w:rPr>
        <w:t>Early prevention is defined as the organised provision or resources to individuals, families, schools or communities to forestall the later development of crime or other problems (</w:t>
      </w:r>
      <w:proofErr w:type="spellStart"/>
      <w:r w:rsidR="006E2A7D">
        <w:rPr>
          <w:rFonts w:asciiTheme="minorHAnsi" w:hAnsiTheme="minorHAnsi" w:cstheme="minorHAnsi"/>
        </w:rPr>
        <w:t>Homel</w:t>
      </w:r>
      <w:proofErr w:type="spellEnd"/>
      <w:r w:rsidR="00AB79FB">
        <w:rPr>
          <w:rFonts w:asciiTheme="minorHAnsi" w:hAnsiTheme="minorHAnsi" w:cstheme="minorHAnsi"/>
        </w:rPr>
        <w:t xml:space="preserve"> and Thompson </w:t>
      </w:r>
      <w:r w:rsidR="006E2A7D">
        <w:rPr>
          <w:rFonts w:asciiTheme="minorHAnsi" w:hAnsiTheme="minorHAnsi" w:cstheme="minorHAnsi"/>
        </w:rPr>
        <w:t>2005)</w:t>
      </w:r>
      <w:r w:rsidR="008E304B">
        <w:rPr>
          <w:rFonts w:asciiTheme="minorHAnsi" w:hAnsiTheme="minorHAnsi" w:cstheme="minorHAnsi"/>
        </w:rPr>
        <w:t xml:space="preserve"> and is necessary to prevent young people from offending. </w:t>
      </w:r>
      <w:r w:rsidR="000127AE">
        <w:rPr>
          <w:rFonts w:asciiTheme="minorHAnsi" w:hAnsiTheme="minorHAnsi" w:cstheme="minorHAnsi"/>
        </w:rPr>
        <w:t>The key idea is that of getting in early, either early in life or at a later age but before problems emerge or become entrenched (</w:t>
      </w:r>
      <w:proofErr w:type="spellStart"/>
      <w:r w:rsidR="000127AE">
        <w:rPr>
          <w:rFonts w:asciiTheme="minorHAnsi" w:hAnsiTheme="minorHAnsi" w:cstheme="minorHAnsi"/>
        </w:rPr>
        <w:t>Homel</w:t>
      </w:r>
      <w:proofErr w:type="spellEnd"/>
      <w:r w:rsidR="000127AE">
        <w:rPr>
          <w:rFonts w:asciiTheme="minorHAnsi" w:hAnsiTheme="minorHAnsi" w:cstheme="minorHAnsi"/>
        </w:rPr>
        <w:t xml:space="preserve"> et al, 1999). People who experience upbringings without support from their family or being in full-time education are more likely to be influenced into making negative decisions, </w:t>
      </w:r>
      <w:r w:rsidR="00320CB9">
        <w:rPr>
          <w:rFonts w:asciiTheme="minorHAnsi" w:hAnsiTheme="minorHAnsi" w:cstheme="minorHAnsi"/>
        </w:rPr>
        <w:t xml:space="preserve">due to less parental supervision and greater poverty (Graham and Bowling, 1995) </w:t>
      </w:r>
      <w:r w:rsidR="004B001C">
        <w:rPr>
          <w:rFonts w:asciiTheme="minorHAnsi" w:hAnsiTheme="minorHAnsi" w:cstheme="minorHAnsi"/>
        </w:rPr>
        <w:t>which can lead to criminal activity. Early intervention is effective in preventing young people from offending as it can help change their mindset on criminality and</w:t>
      </w:r>
      <w:r w:rsidR="00087E71">
        <w:rPr>
          <w:rFonts w:asciiTheme="minorHAnsi" w:hAnsiTheme="minorHAnsi" w:cstheme="minorHAnsi"/>
        </w:rPr>
        <w:t xml:space="preserve"> allow them to realise</w:t>
      </w:r>
      <w:r w:rsidR="004B001C">
        <w:rPr>
          <w:rFonts w:asciiTheme="minorHAnsi" w:hAnsiTheme="minorHAnsi" w:cstheme="minorHAnsi"/>
        </w:rPr>
        <w:t xml:space="preserve"> the consequences of their actions. </w:t>
      </w:r>
    </w:p>
    <w:p w14:paraId="70AEA410" w14:textId="7CE53E3B" w:rsidR="003960B5" w:rsidRDefault="003960B5" w:rsidP="007725A9">
      <w:pPr>
        <w:pStyle w:val="Default"/>
        <w:spacing w:line="360" w:lineRule="auto"/>
        <w:rPr>
          <w:rFonts w:asciiTheme="minorHAnsi" w:hAnsiTheme="minorHAnsi" w:cstheme="minorHAnsi"/>
        </w:rPr>
      </w:pPr>
    </w:p>
    <w:p w14:paraId="40F005E5" w14:textId="0E67777F" w:rsidR="003960B5" w:rsidRDefault="003960B5" w:rsidP="007725A9">
      <w:pPr>
        <w:pStyle w:val="Default"/>
        <w:spacing w:line="360" w:lineRule="auto"/>
        <w:rPr>
          <w:rFonts w:asciiTheme="minorHAnsi" w:hAnsiTheme="minorHAnsi" w:cstheme="minorHAnsi"/>
        </w:rPr>
      </w:pPr>
      <w:r>
        <w:rPr>
          <w:rFonts w:asciiTheme="minorHAnsi" w:hAnsiTheme="minorHAnsi" w:cstheme="minorHAnsi"/>
        </w:rPr>
        <w:t xml:space="preserve">In looking at if early intervention has been effective in preventing offending, it needs to be established what is causing young people to commit crimes. </w:t>
      </w:r>
      <w:proofErr w:type="spellStart"/>
      <w:r>
        <w:rPr>
          <w:rFonts w:asciiTheme="minorHAnsi" w:hAnsiTheme="minorHAnsi" w:cstheme="minorHAnsi"/>
        </w:rPr>
        <w:t>Broidy</w:t>
      </w:r>
      <w:proofErr w:type="spellEnd"/>
      <w:r>
        <w:rPr>
          <w:rFonts w:asciiTheme="minorHAnsi" w:hAnsiTheme="minorHAnsi" w:cstheme="minorHAnsi"/>
        </w:rPr>
        <w:t xml:space="preserve"> et al, (200</w:t>
      </w:r>
      <w:r w:rsidR="00B27816">
        <w:rPr>
          <w:rFonts w:asciiTheme="minorHAnsi" w:hAnsiTheme="minorHAnsi" w:cstheme="minorHAnsi"/>
        </w:rPr>
        <w:t>3)</w:t>
      </w:r>
      <w:r>
        <w:rPr>
          <w:rFonts w:asciiTheme="minorHAnsi" w:hAnsiTheme="minorHAnsi" w:cstheme="minorHAnsi"/>
        </w:rPr>
        <w:t xml:space="preserve"> states that </w:t>
      </w:r>
    </w:p>
    <w:p w14:paraId="6FF25F70" w14:textId="4839B97D" w:rsidR="00C71C51" w:rsidRDefault="003960B5" w:rsidP="007725A9">
      <w:pPr>
        <w:pStyle w:val="Default"/>
        <w:spacing w:line="360" w:lineRule="auto"/>
        <w:rPr>
          <w:rFonts w:asciiTheme="minorHAnsi" w:hAnsiTheme="minorHAnsi" w:cstheme="minorHAnsi"/>
        </w:rPr>
      </w:pPr>
      <w:r>
        <w:rPr>
          <w:rFonts w:asciiTheme="minorHAnsi" w:hAnsiTheme="minorHAnsi" w:cstheme="minorHAnsi"/>
        </w:rPr>
        <w:t>f</w:t>
      </w:r>
      <w:r w:rsidR="00087314">
        <w:rPr>
          <w:rFonts w:asciiTheme="minorHAnsi" w:hAnsiTheme="minorHAnsi" w:cstheme="minorHAnsi"/>
        </w:rPr>
        <w:t>amily factors such as socio-economic disadvantage, low parental education, family stress and inadequate parenting skills place children at particularly high risk for the development and maintenance of problem behaviour</w:t>
      </w:r>
      <w:r>
        <w:rPr>
          <w:rFonts w:asciiTheme="minorHAnsi" w:hAnsiTheme="minorHAnsi" w:cstheme="minorHAnsi"/>
        </w:rPr>
        <w:t xml:space="preserve">. </w:t>
      </w:r>
      <w:r w:rsidR="00A308E3">
        <w:rPr>
          <w:rFonts w:asciiTheme="minorHAnsi" w:hAnsiTheme="minorHAnsi" w:cstheme="minorHAnsi"/>
        </w:rPr>
        <w:t xml:space="preserve">Waller and </w:t>
      </w:r>
      <w:proofErr w:type="spellStart"/>
      <w:r w:rsidR="00A308E3">
        <w:rPr>
          <w:rFonts w:asciiTheme="minorHAnsi" w:hAnsiTheme="minorHAnsi" w:cstheme="minorHAnsi"/>
        </w:rPr>
        <w:t>Weiler</w:t>
      </w:r>
      <w:proofErr w:type="spellEnd"/>
      <w:r w:rsidR="00A308E3">
        <w:rPr>
          <w:rFonts w:asciiTheme="minorHAnsi" w:hAnsiTheme="minorHAnsi" w:cstheme="minorHAnsi"/>
        </w:rPr>
        <w:t xml:space="preserve"> (1984) also argue that persistent and serious criminals often come from socially disadvantaged backgrounds</w:t>
      </w:r>
      <w:r w:rsidR="004A6F02">
        <w:rPr>
          <w:rFonts w:asciiTheme="minorHAnsi" w:hAnsiTheme="minorHAnsi" w:cstheme="minorHAnsi"/>
        </w:rPr>
        <w:t xml:space="preserve">. The Youth Inclusion and Support Panels (YISPs) </w:t>
      </w:r>
      <w:r w:rsidR="006A0F9B">
        <w:rPr>
          <w:rFonts w:asciiTheme="minorHAnsi" w:hAnsiTheme="minorHAnsi" w:cstheme="minorHAnsi"/>
        </w:rPr>
        <w:t>were developed to identify and support young people aged 8-13 who are at high risk of offending (Walker et al, 2007</w:t>
      </w:r>
      <w:r w:rsidR="004B5D31">
        <w:rPr>
          <w:rFonts w:asciiTheme="minorHAnsi" w:hAnsiTheme="minorHAnsi" w:cstheme="minorHAnsi"/>
        </w:rPr>
        <w:t>, p6)</w:t>
      </w:r>
      <w:r w:rsidR="00023CFA">
        <w:rPr>
          <w:rFonts w:asciiTheme="minorHAnsi" w:hAnsiTheme="minorHAnsi" w:cstheme="minorHAnsi"/>
        </w:rPr>
        <w:t xml:space="preserve"> This intervention has been effective as at the point of referral, most parents had a major worry for problems at school and almost two-thirds reported some improvement during the period of YISP intervention (Walker et al, 2007, p13)</w:t>
      </w:r>
      <w:r w:rsidR="008601CF">
        <w:rPr>
          <w:rFonts w:asciiTheme="minorHAnsi" w:hAnsiTheme="minorHAnsi" w:cstheme="minorHAnsi"/>
        </w:rPr>
        <w:t xml:space="preserve"> It’s important that parents are assisted</w:t>
      </w:r>
      <w:r w:rsidR="00287C1E">
        <w:rPr>
          <w:rFonts w:asciiTheme="minorHAnsi" w:hAnsiTheme="minorHAnsi" w:cstheme="minorHAnsi"/>
        </w:rPr>
        <w:t xml:space="preserve"> in helping manage their children as this can essentially have a large impact on their future. </w:t>
      </w:r>
      <w:r w:rsidR="00573EDE">
        <w:rPr>
          <w:rFonts w:asciiTheme="minorHAnsi" w:hAnsiTheme="minorHAnsi" w:cstheme="minorHAnsi"/>
        </w:rPr>
        <w:t xml:space="preserve">Piquero et al (2008) </w:t>
      </w:r>
      <w:r w:rsidR="00287C1E">
        <w:rPr>
          <w:rFonts w:asciiTheme="minorHAnsi" w:hAnsiTheme="minorHAnsi" w:cstheme="minorHAnsi"/>
        </w:rPr>
        <w:t>analysed t</w:t>
      </w:r>
      <w:r w:rsidR="00467B62">
        <w:rPr>
          <w:rFonts w:asciiTheme="minorHAnsi" w:hAnsiTheme="minorHAnsi" w:cstheme="minorHAnsi"/>
        </w:rPr>
        <w:t xml:space="preserve">he </w:t>
      </w:r>
      <w:r w:rsidR="00287C1E">
        <w:rPr>
          <w:rFonts w:asciiTheme="minorHAnsi" w:hAnsiTheme="minorHAnsi" w:cstheme="minorHAnsi"/>
        </w:rPr>
        <w:t xml:space="preserve">effects of early family training programmes, implemented with families who have a child </w:t>
      </w:r>
      <w:r w:rsidR="00B41C87">
        <w:rPr>
          <w:rFonts w:asciiTheme="minorHAnsi" w:hAnsiTheme="minorHAnsi" w:cstheme="minorHAnsi"/>
        </w:rPr>
        <w:t xml:space="preserve">aged </w:t>
      </w:r>
      <w:r w:rsidR="00287C1E">
        <w:rPr>
          <w:rFonts w:asciiTheme="minorHAnsi" w:hAnsiTheme="minorHAnsi" w:cstheme="minorHAnsi"/>
        </w:rPr>
        <w:t>five or younger</w:t>
      </w:r>
      <w:r w:rsidR="00573EDE">
        <w:rPr>
          <w:rFonts w:asciiTheme="minorHAnsi" w:hAnsiTheme="minorHAnsi" w:cstheme="minorHAnsi"/>
        </w:rPr>
        <w:t xml:space="preserve">. </w:t>
      </w:r>
      <w:r w:rsidR="00287C1E">
        <w:rPr>
          <w:rFonts w:asciiTheme="minorHAnsi" w:hAnsiTheme="minorHAnsi" w:cstheme="minorHAnsi"/>
        </w:rPr>
        <w:t xml:space="preserve">Overall, they had a significant effect and </w:t>
      </w:r>
      <w:r w:rsidR="00287C1E">
        <w:rPr>
          <w:rFonts w:asciiTheme="minorHAnsi" w:hAnsiTheme="minorHAnsi" w:cstheme="minorHAnsi"/>
        </w:rPr>
        <w:lastRenderedPageBreak/>
        <w:t>despite it only being small, they helped to reduce child behaviour problems (O’Connor and Waddell, 2015, p18)</w:t>
      </w:r>
      <w:r w:rsidR="00573EDE">
        <w:rPr>
          <w:rFonts w:asciiTheme="minorHAnsi" w:hAnsiTheme="minorHAnsi" w:cstheme="minorHAnsi"/>
        </w:rPr>
        <w:t xml:space="preserve"> This intervention is therefore arguably effective in helping to reduce young people from offending because it’s helped parents reduce their </w:t>
      </w:r>
      <w:r w:rsidR="005F2A0F">
        <w:rPr>
          <w:rFonts w:asciiTheme="minorHAnsi" w:hAnsiTheme="minorHAnsi" w:cstheme="minorHAnsi"/>
        </w:rPr>
        <w:t>children’s</w:t>
      </w:r>
      <w:r w:rsidR="00573EDE">
        <w:rPr>
          <w:rFonts w:asciiTheme="minorHAnsi" w:hAnsiTheme="minorHAnsi" w:cstheme="minorHAnsi"/>
        </w:rPr>
        <w:t xml:space="preserve"> behaviour and as stated by </w:t>
      </w:r>
      <w:proofErr w:type="spellStart"/>
      <w:r w:rsidR="00573EDE">
        <w:rPr>
          <w:rFonts w:asciiTheme="minorHAnsi" w:hAnsiTheme="minorHAnsi" w:cstheme="minorHAnsi"/>
        </w:rPr>
        <w:t>Briody</w:t>
      </w:r>
      <w:proofErr w:type="spellEnd"/>
      <w:r w:rsidR="00573EDE">
        <w:rPr>
          <w:rFonts w:asciiTheme="minorHAnsi" w:hAnsiTheme="minorHAnsi" w:cstheme="minorHAnsi"/>
        </w:rPr>
        <w:t xml:space="preserve"> et at, (2008) inadequate parenting was contributing to a higher risk of criminal activity. </w:t>
      </w:r>
      <w:r w:rsidR="00EF31D2">
        <w:rPr>
          <w:rFonts w:asciiTheme="minorHAnsi" w:hAnsiTheme="minorHAnsi" w:cstheme="minorHAnsi"/>
        </w:rPr>
        <w:t xml:space="preserve">Furthermore, Parent-Infant Psychotherapy (PIP) focuses on helping parents with mental health issues develop a bond with their children which can help reduce neglect and therefore reduce crime later in life (Thompson, 2021). However, there is limited evidence suggesting the effect this has had on preventing crime, which does </w:t>
      </w:r>
      <w:r w:rsidR="002177C7">
        <w:rPr>
          <w:rFonts w:asciiTheme="minorHAnsi" w:hAnsiTheme="minorHAnsi" w:cstheme="minorHAnsi"/>
        </w:rPr>
        <w:t>detract</w:t>
      </w:r>
      <w:r w:rsidR="00EF31D2">
        <w:rPr>
          <w:rFonts w:asciiTheme="minorHAnsi" w:hAnsiTheme="minorHAnsi" w:cstheme="minorHAnsi"/>
        </w:rPr>
        <w:t xml:space="preserve"> from its effectiveness</w:t>
      </w:r>
      <w:r w:rsidR="002177C7">
        <w:rPr>
          <w:rFonts w:asciiTheme="minorHAnsi" w:hAnsiTheme="minorHAnsi" w:cstheme="minorHAnsi"/>
        </w:rPr>
        <w:t>. N</w:t>
      </w:r>
      <w:r w:rsidR="00EF31D2">
        <w:rPr>
          <w:rFonts w:asciiTheme="minorHAnsi" w:hAnsiTheme="minorHAnsi" w:cstheme="minorHAnsi"/>
        </w:rPr>
        <w:t xml:space="preserve">evertheless, </w:t>
      </w:r>
      <w:r w:rsidR="002177C7">
        <w:rPr>
          <w:rFonts w:asciiTheme="minorHAnsi" w:hAnsiTheme="minorHAnsi" w:cstheme="minorHAnsi"/>
        </w:rPr>
        <w:t>building the bond between parents and their children is essential as experiencing neglect and negative parental relationships can cause children to become more susceptible to deviant peer group influences, disengagement from society and involvement in criminal activity in later adolescence and adulthood (Odgers et al, 2008)</w:t>
      </w:r>
      <w:r w:rsidR="00C71C51">
        <w:rPr>
          <w:rFonts w:asciiTheme="minorHAnsi" w:hAnsiTheme="minorHAnsi" w:cstheme="minorHAnsi"/>
        </w:rPr>
        <w:t>.</w:t>
      </w:r>
    </w:p>
    <w:p w14:paraId="2F484288" w14:textId="77777777" w:rsidR="00C71C51" w:rsidRDefault="00C71C51" w:rsidP="007725A9">
      <w:pPr>
        <w:pStyle w:val="Default"/>
        <w:spacing w:line="360" w:lineRule="auto"/>
        <w:rPr>
          <w:rFonts w:asciiTheme="minorHAnsi" w:hAnsiTheme="minorHAnsi" w:cstheme="minorHAnsi"/>
        </w:rPr>
      </w:pPr>
    </w:p>
    <w:p w14:paraId="517E6862" w14:textId="7F3BAEED" w:rsidR="00C71C51" w:rsidRDefault="007E4C79" w:rsidP="007725A9">
      <w:pPr>
        <w:pStyle w:val="Default"/>
        <w:spacing w:line="360" w:lineRule="auto"/>
        <w:rPr>
          <w:rFonts w:asciiTheme="minorHAnsi" w:hAnsiTheme="minorHAnsi" w:cstheme="minorHAnsi"/>
        </w:rPr>
      </w:pPr>
      <w:r>
        <w:rPr>
          <w:rFonts w:asciiTheme="minorHAnsi" w:hAnsiTheme="minorHAnsi" w:cstheme="minorHAnsi"/>
        </w:rPr>
        <w:t xml:space="preserve">Following on from this, when considering the effectiveness education has on preventing offending </w:t>
      </w:r>
      <w:proofErr w:type="spellStart"/>
      <w:r>
        <w:rPr>
          <w:rFonts w:asciiTheme="minorHAnsi" w:hAnsiTheme="minorHAnsi" w:cstheme="minorHAnsi"/>
        </w:rPr>
        <w:t>Hjalmarsson</w:t>
      </w:r>
      <w:proofErr w:type="spellEnd"/>
      <w:r>
        <w:rPr>
          <w:rFonts w:asciiTheme="minorHAnsi" w:hAnsiTheme="minorHAnsi" w:cstheme="minorHAnsi"/>
        </w:rPr>
        <w:t xml:space="preserve"> et al (2014) reported that for each additional year of schooling, the likelihood of conviction was reduced by 6.7%, arguing that education is essential to prevent young people from offending. </w:t>
      </w:r>
      <w:r w:rsidR="00C71C51">
        <w:rPr>
          <w:rFonts w:asciiTheme="minorHAnsi" w:hAnsiTheme="minorHAnsi" w:cstheme="minorHAnsi"/>
        </w:rPr>
        <w:t xml:space="preserve">However, a study in 2014 showed that 90% of </w:t>
      </w:r>
      <w:r w:rsidR="005F2A0F">
        <w:rPr>
          <w:rFonts w:asciiTheme="minorHAnsi" w:hAnsiTheme="minorHAnsi" w:cstheme="minorHAnsi"/>
        </w:rPr>
        <w:t>16–17-year-olds</w:t>
      </w:r>
      <w:r w:rsidR="00C71C51">
        <w:rPr>
          <w:rFonts w:asciiTheme="minorHAnsi" w:hAnsiTheme="minorHAnsi" w:cstheme="minorHAnsi"/>
        </w:rPr>
        <w:t xml:space="preserve"> who were sentenced had a previous record of being persistently absent from school, missing 10% of school sessions within a school year. These pupils therefore often miss the sessions which help prevent offending, which detracts from its effectiveness. The majority of these pupils are probably the ones who need to be aware of the risk and repercussions of committing criminal offences and so by missing school, they are not only missing out on the intervention programmes, but they are more likely to be out committing offences. </w:t>
      </w:r>
    </w:p>
    <w:p w14:paraId="018A75A4" w14:textId="77777777" w:rsidR="008601CF" w:rsidRDefault="008601CF" w:rsidP="007725A9">
      <w:pPr>
        <w:pStyle w:val="Default"/>
        <w:spacing w:line="360" w:lineRule="auto"/>
        <w:rPr>
          <w:rFonts w:asciiTheme="minorHAnsi" w:hAnsiTheme="minorHAnsi" w:cstheme="minorHAnsi"/>
        </w:rPr>
      </w:pPr>
    </w:p>
    <w:p w14:paraId="2887A0C8" w14:textId="4796B3D1" w:rsidR="00626E85" w:rsidRDefault="00FC2E31" w:rsidP="007725A9">
      <w:pPr>
        <w:pStyle w:val="Default"/>
        <w:spacing w:line="360" w:lineRule="auto"/>
        <w:rPr>
          <w:rFonts w:asciiTheme="minorHAnsi" w:hAnsiTheme="minorHAnsi" w:cstheme="minorHAnsi"/>
        </w:rPr>
      </w:pPr>
      <w:r>
        <w:rPr>
          <w:rFonts w:asciiTheme="minorHAnsi" w:hAnsiTheme="minorHAnsi" w:cstheme="minorHAnsi"/>
        </w:rPr>
        <w:t xml:space="preserve">Interventions aimed to prevent young people from re-offending are also viewed as being effective due to the positive outcomes they receive. For example, diversion programmes have been found to be effective in preventing offending. </w:t>
      </w:r>
      <w:r w:rsidR="00147668">
        <w:rPr>
          <w:rFonts w:asciiTheme="minorHAnsi" w:hAnsiTheme="minorHAnsi" w:cstheme="minorHAnsi"/>
        </w:rPr>
        <w:t>They aim to avoid and minimize the criminal justice system processes by diverting young people to sources of support or treatment to reduce re-offending (Adler et al, 2016)</w:t>
      </w:r>
      <w:r w:rsidR="00E33709">
        <w:rPr>
          <w:rFonts w:asciiTheme="minorHAnsi" w:hAnsiTheme="minorHAnsi" w:cstheme="minorHAnsi"/>
        </w:rPr>
        <w:t xml:space="preserve"> The Lambeth D</w:t>
      </w:r>
      <w:r w:rsidR="00777A1A">
        <w:rPr>
          <w:rFonts w:asciiTheme="minorHAnsi" w:hAnsiTheme="minorHAnsi" w:cstheme="minorHAnsi"/>
        </w:rPr>
        <w:t>ivert</w:t>
      </w:r>
      <w:r w:rsidR="00E33709">
        <w:rPr>
          <w:rFonts w:asciiTheme="minorHAnsi" w:hAnsiTheme="minorHAnsi" w:cstheme="minorHAnsi"/>
        </w:rPr>
        <w:t xml:space="preserve"> programme works with people aged 10-14, providing them with on-going support to empower them, helping to make better and safer life choices (Wong, 2021)</w:t>
      </w:r>
      <w:r w:rsidR="00777A1A">
        <w:rPr>
          <w:rFonts w:asciiTheme="minorHAnsi" w:hAnsiTheme="minorHAnsi" w:cstheme="minorHAnsi"/>
        </w:rPr>
        <w:t xml:space="preserve">. </w:t>
      </w:r>
      <w:r w:rsidR="00885820">
        <w:rPr>
          <w:rFonts w:asciiTheme="minorHAnsi" w:hAnsiTheme="minorHAnsi" w:cstheme="minorHAnsi"/>
        </w:rPr>
        <w:t>A systematic review conducted by Wong et al, (2016) showed a 71% positive outcome in the diversion programmes, arguing that i</w:t>
      </w:r>
      <w:r w:rsidR="00544833">
        <w:rPr>
          <w:rFonts w:asciiTheme="minorHAnsi" w:hAnsiTheme="minorHAnsi" w:cstheme="minorHAnsi"/>
        </w:rPr>
        <w:t xml:space="preserve">t is </w:t>
      </w:r>
      <w:r w:rsidR="00544833">
        <w:rPr>
          <w:rFonts w:asciiTheme="minorHAnsi" w:hAnsiTheme="minorHAnsi" w:cstheme="minorHAnsi"/>
        </w:rPr>
        <w:lastRenderedPageBreak/>
        <w:t xml:space="preserve">an </w:t>
      </w:r>
      <w:r w:rsidR="00885820">
        <w:rPr>
          <w:rFonts w:asciiTheme="minorHAnsi" w:hAnsiTheme="minorHAnsi" w:cstheme="minorHAnsi"/>
        </w:rPr>
        <w:t xml:space="preserve">effective intervention in preventing offending. In addition to this, </w:t>
      </w:r>
      <w:r w:rsidR="00544833">
        <w:rPr>
          <w:rFonts w:asciiTheme="minorHAnsi" w:hAnsiTheme="minorHAnsi" w:cstheme="minorHAnsi"/>
        </w:rPr>
        <w:t xml:space="preserve">the Youth Offending </w:t>
      </w:r>
      <w:r w:rsidR="00C71C51">
        <w:rPr>
          <w:rFonts w:asciiTheme="minorHAnsi" w:hAnsiTheme="minorHAnsi" w:cstheme="minorHAnsi"/>
        </w:rPr>
        <w:t xml:space="preserve">Services </w:t>
      </w:r>
      <w:r w:rsidR="00544833">
        <w:rPr>
          <w:rFonts w:asciiTheme="minorHAnsi" w:hAnsiTheme="minorHAnsi" w:cstheme="minorHAnsi"/>
        </w:rPr>
        <w:t xml:space="preserve">(YOS) </w:t>
      </w:r>
      <w:r w:rsidR="00C71C51">
        <w:rPr>
          <w:rFonts w:asciiTheme="minorHAnsi" w:hAnsiTheme="minorHAnsi" w:cstheme="minorHAnsi"/>
        </w:rPr>
        <w:t>are</w:t>
      </w:r>
      <w:r w:rsidR="00544833">
        <w:rPr>
          <w:rFonts w:asciiTheme="minorHAnsi" w:hAnsiTheme="minorHAnsi" w:cstheme="minorHAnsi"/>
        </w:rPr>
        <w:t xml:space="preserve"> also effective in preventing re-offending. </w:t>
      </w:r>
      <w:r w:rsidR="00C71C51">
        <w:rPr>
          <w:rFonts w:asciiTheme="minorHAnsi" w:hAnsiTheme="minorHAnsi" w:cstheme="minorHAnsi"/>
        </w:rPr>
        <w:t xml:space="preserve">YOS aim to support children who are involved in the criminal justice system and prevent them from committing further offences. </w:t>
      </w:r>
      <w:r w:rsidR="00544833">
        <w:rPr>
          <w:rFonts w:asciiTheme="minorHAnsi" w:hAnsiTheme="minorHAnsi" w:cstheme="minorHAnsi"/>
        </w:rPr>
        <w:t xml:space="preserve">Research shows that whilst engaging with young offending services, only 6% went on to reoffend (Youth Justice Board, 2015) Although this does show that some did go on to commit further offences, the low figure highlights that it did have a detrimental impact on </w:t>
      </w:r>
      <w:r w:rsidR="005F2A0F">
        <w:rPr>
          <w:rFonts w:asciiTheme="minorHAnsi" w:hAnsiTheme="minorHAnsi" w:cstheme="minorHAnsi"/>
        </w:rPr>
        <w:t>many of</w:t>
      </w:r>
      <w:r w:rsidR="00544833">
        <w:rPr>
          <w:rFonts w:asciiTheme="minorHAnsi" w:hAnsiTheme="minorHAnsi" w:cstheme="minorHAnsi"/>
        </w:rPr>
        <w:t xml:space="preserve"> the young people as most of them did not reoffend. Unfortunately, despite these interventions being effective, they are only offered to people who have already offended and so ideally these interventions need to be implemented before young people go on to commit their first offence, preventing their involvement with the criminal justice system altogether. </w:t>
      </w:r>
    </w:p>
    <w:p w14:paraId="1C851F89" w14:textId="77777777" w:rsidR="00911B37" w:rsidRPr="00911B37" w:rsidRDefault="00911B37" w:rsidP="007725A9">
      <w:pPr>
        <w:pStyle w:val="Default"/>
        <w:spacing w:line="360" w:lineRule="auto"/>
        <w:rPr>
          <w:rFonts w:asciiTheme="minorHAnsi" w:hAnsiTheme="minorHAnsi" w:cstheme="minorHAnsi"/>
        </w:rPr>
      </w:pPr>
    </w:p>
    <w:p w14:paraId="34720D49" w14:textId="24A1CC70" w:rsidR="009C5419" w:rsidRDefault="007935E0" w:rsidP="007725A9">
      <w:pPr>
        <w:spacing w:line="360" w:lineRule="auto"/>
        <w:rPr>
          <w:sz w:val="24"/>
          <w:szCs w:val="24"/>
        </w:rPr>
      </w:pPr>
      <w:r>
        <w:rPr>
          <w:sz w:val="24"/>
          <w:szCs w:val="24"/>
        </w:rPr>
        <w:t>In conclusion</w:t>
      </w:r>
      <w:r w:rsidR="007945FF">
        <w:rPr>
          <w:sz w:val="24"/>
          <w:szCs w:val="24"/>
        </w:rPr>
        <w:t xml:space="preserve">, early intervention is an effective means or preventing young people from offending as it can help build relationships between parents and children, reducing the feeling of neglect and preventing them wanting to disassociate themselves from their families and commit criminal acts. It can also teach young people that criminal behaviour can have a detrimental impact on their future, helping them make the correct decision not to offend. </w:t>
      </w:r>
      <w:r>
        <w:rPr>
          <w:sz w:val="24"/>
          <w:szCs w:val="24"/>
        </w:rPr>
        <w:t>Although youth crime in the UK has fallen in recent times, it</w:t>
      </w:r>
      <w:r w:rsidR="005F2A0F">
        <w:rPr>
          <w:sz w:val="24"/>
          <w:szCs w:val="24"/>
        </w:rPr>
        <w:t xml:space="preserve"> is</w:t>
      </w:r>
      <w:r>
        <w:rPr>
          <w:sz w:val="24"/>
          <w:szCs w:val="24"/>
        </w:rPr>
        <w:t xml:space="preserve"> still recognised that young people are more likely to commit offences than adults (</w:t>
      </w:r>
      <w:proofErr w:type="spellStart"/>
      <w:r>
        <w:rPr>
          <w:sz w:val="24"/>
          <w:szCs w:val="24"/>
        </w:rPr>
        <w:t>Loeber</w:t>
      </w:r>
      <w:proofErr w:type="spellEnd"/>
      <w:r>
        <w:rPr>
          <w:sz w:val="24"/>
          <w:szCs w:val="24"/>
        </w:rPr>
        <w:t xml:space="preserve"> and Stallings, 201</w:t>
      </w:r>
      <w:r w:rsidR="00B27816">
        <w:rPr>
          <w:sz w:val="24"/>
          <w:szCs w:val="24"/>
        </w:rPr>
        <w:t>1</w:t>
      </w:r>
      <w:r>
        <w:rPr>
          <w:sz w:val="24"/>
          <w:szCs w:val="24"/>
        </w:rPr>
        <w:t xml:space="preserve">) which is why it’s essential for interventions to be put in place for children at a young age in an attempt to prevent the offending altogether. </w:t>
      </w:r>
    </w:p>
    <w:p w14:paraId="0EEE9CF4" w14:textId="400A129A" w:rsidR="009C5419" w:rsidRPr="009C5419" w:rsidRDefault="009C5419" w:rsidP="007725A9">
      <w:pPr>
        <w:spacing w:line="360" w:lineRule="auto"/>
        <w:rPr>
          <w:b/>
          <w:bCs/>
          <w:sz w:val="24"/>
          <w:szCs w:val="24"/>
        </w:rPr>
      </w:pPr>
      <w:r w:rsidRPr="009C5419">
        <w:rPr>
          <w:b/>
          <w:bCs/>
          <w:sz w:val="24"/>
          <w:szCs w:val="24"/>
        </w:rPr>
        <w:t>Word Count - 103</w:t>
      </w:r>
      <w:r w:rsidR="00B27816">
        <w:rPr>
          <w:b/>
          <w:bCs/>
          <w:sz w:val="24"/>
          <w:szCs w:val="24"/>
        </w:rPr>
        <w:t>5</w:t>
      </w:r>
    </w:p>
    <w:p w14:paraId="1238F6D3" w14:textId="77777777" w:rsidR="00023CFA" w:rsidRDefault="00023CFA" w:rsidP="007725A9">
      <w:pPr>
        <w:spacing w:line="360" w:lineRule="auto"/>
        <w:rPr>
          <w:b/>
          <w:bCs/>
          <w:sz w:val="24"/>
          <w:szCs w:val="24"/>
          <w:u w:val="single"/>
        </w:rPr>
      </w:pPr>
    </w:p>
    <w:p w14:paraId="3E7699D9" w14:textId="77777777" w:rsidR="009C5419" w:rsidRDefault="009C5419" w:rsidP="007725A9">
      <w:pPr>
        <w:spacing w:line="360" w:lineRule="auto"/>
        <w:rPr>
          <w:b/>
          <w:bCs/>
          <w:sz w:val="24"/>
          <w:szCs w:val="24"/>
          <w:u w:val="single"/>
        </w:rPr>
      </w:pPr>
    </w:p>
    <w:p w14:paraId="74280781" w14:textId="77777777" w:rsidR="009C5419" w:rsidRDefault="009C5419" w:rsidP="007725A9">
      <w:pPr>
        <w:spacing w:line="360" w:lineRule="auto"/>
        <w:rPr>
          <w:b/>
          <w:bCs/>
          <w:sz w:val="24"/>
          <w:szCs w:val="24"/>
          <w:u w:val="single"/>
        </w:rPr>
      </w:pPr>
    </w:p>
    <w:p w14:paraId="392A9EC6" w14:textId="77777777" w:rsidR="009C5419" w:rsidRDefault="009C5419" w:rsidP="007725A9">
      <w:pPr>
        <w:spacing w:line="360" w:lineRule="auto"/>
        <w:rPr>
          <w:b/>
          <w:bCs/>
          <w:sz w:val="24"/>
          <w:szCs w:val="24"/>
          <w:u w:val="single"/>
        </w:rPr>
      </w:pPr>
    </w:p>
    <w:p w14:paraId="0154BA53" w14:textId="77777777" w:rsidR="009C5419" w:rsidRDefault="009C5419" w:rsidP="007725A9">
      <w:pPr>
        <w:spacing w:line="360" w:lineRule="auto"/>
        <w:rPr>
          <w:b/>
          <w:bCs/>
          <w:sz w:val="24"/>
          <w:szCs w:val="24"/>
          <w:u w:val="single"/>
        </w:rPr>
      </w:pPr>
    </w:p>
    <w:p w14:paraId="79092FF3" w14:textId="77777777" w:rsidR="007725A9" w:rsidRDefault="007725A9" w:rsidP="007725A9">
      <w:pPr>
        <w:spacing w:line="360" w:lineRule="auto"/>
        <w:rPr>
          <w:b/>
          <w:bCs/>
          <w:sz w:val="24"/>
          <w:szCs w:val="24"/>
          <w:u w:val="single"/>
        </w:rPr>
      </w:pPr>
    </w:p>
    <w:p w14:paraId="338C76CA" w14:textId="77777777" w:rsidR="007725A9" w:rsidRDefault="007725A9" w:rsidP="007725A9">
      <w:pPr>
        <w:spacing w:line="360" w:lineRule="auto"/>
        <w:rPr>
          <w:b/>
          <w:bCs/>
          <w:sz w:val="24"/>
          <w:szCs w:val="24"/>
          <w:u w:val="single"/>
        </w:rPr>
      </w:pPr>
    </w:p>
    <w:p w14:paraId="41383270" w14:textId="77777777" w:rsidR="009C5419" w:rsidRPr="00BA6AE6" w:rsidRDefault="009C5419" w:rsidP="007725A9">
      <w:pPr>
        <w:pStyle w:val="Default"/>
        <w:spacing w:line="360" w:lineRule="auto"/>
        <w:rPr>
          <w:rFonts w:asciiTheme="minorHAnsi" w:hAnsiTheme="minorHAnsi" w:cstheme="minorHAnsi"/>
        </w:rPr>
      </w:pPr>
      <w:r w:rsidRPr="00BA6AE6">
        <w:rPr>
          <w:rFonts w:asciiTheme="minorHAnsi" w:hAnsiTheme="minorHAnsi" w:cstheme="minorHAnsi"/>
          <w:b/>
          <w:bCs/>
        </w:rPr>
        <w:lastRenderedPageBreak/>
        <w:t xml:space="preserve">Essay four – Valuing Difference &amp; Inclusion </w:t>
      </w:r>
    </w:p>
    <w:p w14:paraId="23F3D884" w14:textId="77777777" w:rsidR="009C5419" w:rsidRPr="00BA6AE6" w:rsidRDefault="009C5419" w:rsidP="007725A9">
      <w:pPr>
        <w:pStyle w:val="Default"/>
        <w:spacing w:line="360" w:lineRule="auto"/>
        <w:rPr>
          <w:rFonts w:asciiTheme="minorHAnsi" w:hAnsiTheme="minorHAnsi" w:cstheme="minorHAnsi"/>
        </w:rPr>
      </w:pPr>
      <w:r w:rsidRPr="00BA6AE6">
        <w:rPr>
          <w:rFonts w:asciiTheme="minorHAnsi" w:hAnsiTheme="minorHAnsi" w:cstheme="minorHAnsi"/>
        </w:rPr>
        <w:t xml:space="preserve">How effectively has policing adapted to accommodate diversity within the UK? </w:t>
      </w:r>
    </w:p>
    <w:p w14:paraId="5CC61405" w14:textId="77777777" w:rsidR="009C5419" w:rsidRPr="00BA6AE6" w:rsidRDefault="009C5419" w:rsidP="007725A9">
      <w:pPr>
        <w:pStyle w:val="Default"/>
        <w:spacing w:line="360" w:lineRule="auto"/>
        <w:rPr>
          <w:rFonts w:asciiTheme="minorHAnsi" w:hAnsiTheme="minorHAnsi" w:cstheme="minorHAnsi"/>
        </w:rPr>
      </w:pPr>
      <w:r w:rsidRPr="00BA6AE6">
        <w:rPr>
          <w:rFonts w:asciiTheme="minorHAnsi" w:hAnsiTheme="minorHAnsi" w:cstheme="minorHAnsi"/>
        </w:rPr>
        <w:t xml:space="preserve">Consider the police force itself and/or the way police engage with diverse communities. </w:t>
      </w:r>
    </w:p>
    <w:p w14:paraId="35FAFC61" w14:textId="77777777" w:rsidR="009C5419" w:rsidRPr="00BA6AE6" w:rsidRDefault="009C5419" w:rsidP="007725A9">
      <w:pPr>
        <w:pStyle w:val="Default"/>
        <w:spacing w:line="360" w:lineRule="auto"/>
        <w:rPr>
          <w:rFonts w:asciiTheme="minorHAnsi" w:hAnsiTheme="minorHAnsi" w:cstheme="minorHAnsi"/>
        </w:rPr>
      </w:pPr>
      <w:r w:rsidRPr="00BA6AE6">
        <w:rPr>
          <w:rFonts w:asciiTheme="minorHAnsi" w:hAnsiTheme="minorHAnsi" w:cstheme="minorHAnsi"/>
        </w:rPr>
        <w:t xml:space="preserve">Support your answer with relevant evidence drawn from academic sources. </w:t>
      </w:r>
    </w:p>
    <w:p w14:paraId="78B0D2AD" w14:textId="77777777" w:rsidR="009C5419" w:rsidRPr="00BA6AE6" w:rsidRDefault="009C5419" w:rsidP="007725A9">
      <w:pPr>
        <w:spacing w:line="360" w:lineRule="auto"/>
        <w:rPr>
          <w:rFonts w:cstheme="minorHAnsi"/>
          <w:sz w:val="24"/>
          <w:szCs w:val="24"/>
        </w:rPr>
      </w:pPr>
      <w:r w:rsidRPr="00BA6AE6">
        <w:rPr>
          <w:rFonts w:cstheme="minorHAnsi"/>
          <w:b/>
          <w:bCs/>
          <w:sz w:val="24"/>
          <w:szCs w:val="24"/>
        </w:rPr>
        <w:t xml:space="preserve">Word limit: </w:t>
      </w:r>
      <w:r w:rsidRPr="00BA6AE6">
        <w:rPr>
          <w:rFonts w:cstheme="minorHAnsi"/>
          <w:sz w:val="24"/>
          <w:szCs w:val="24"/>
        </w:rPr>
        <w:t>1000 words</w:t>
      </w:r>
    </w:p>
    <w:p w14:paraId="27058462" w14:textId="7DBEAE4C" w:rsidR="009C5419" w:rsidRDefault="00B300EA" w:rsidP="007725A9">
      <w:pPr>
        <w:spacing w:line="360" w:lineRule="auto"/>
        <w:rPr>
          <w:sz w:val="24"/>
          <w:szCs w:val="24"/>
        </w:rPr>
      </w:pPr>
      <w:r>
        <w:rPr>
          <w:sz w:val="24"/>
          <w:szCs w:val="24"/>
        </w:rPr>
        <w:t>The UK is a very diverse country</w:t>
      </w:r>
      <w:r w:rsidR="00C45B1C">
        <w:rPr>
          <w:sz w:val="24"/>
          <w:szCs w:val="24"/>
        </w:rPr>
        <w:t xml:space="preserve">, being the home to people with different genders, ages, sexual orientations, races and with different cultural backgrounds. Due to this, </w:t>
      </w:r>
      <w:r w:rsidR="00F64EB0">
        <w:rPr>
          <w:sz w:val="24"/>
          <w:szCs w:val="24"/>
        </w:rPr>
        <w:t>the police have faced one of the greatest challenges in terms of integrating diversity as a key component of their work (</w:t>
      </w:r>
      <w:proofErr w:type="spellStart"/>
      <w:r w:rsidR="00F64EB0">
        <w:rPr>
          <w:sz w:val="24"/>
          <w:szCs w:val="24"/>
        </w:rPr>
        <w:t>Stergioulis</w:t>
      </w:r>
      <w:proofErr w:type="spellEnd"/>
      <w:r w:rsidR="00F64EB0">
        <w:rPr>
          <w:sz w:val="24"/>
          <w:szCs w:val="24"/>
        </w:rPr>
        <w:t>, 2017). Policing used to be based upon reducing crime however in this generation it’s essential to take into consideration the needs of communities and</w:t>
      </w:r>
      <w:r w:rsidR="000E20B1">
        <w:rPr>
          <w:sz w:val="24"/>
          <w:szCs w:val="24"/>
        </w:rPr>
        <w:t xml:space="preserve"> helping to protect their fundamental rights</w:t>
      </w:r>
      <w:r w:rsidR="00F64EB0">
        <w:rPr>
          <w:sz w:val="24"/>
          <w:szCs w:val="24"/>
        </w:rPr>
        <w:t xml:space="preserve">. Police forces have therefore had to </w:t>
      </w:r>
      <w:r w:rsidR="00075321">
        <w:rPr>
          <w:sz w:val="24"/>
          <w:szCs w:val="24"/>
        </w:rPr>
        <w:t xml:space="preserve">adapt to accommodate the diversity and the ways in which they engage with diverse communities which has arguably </w:t>
      </w:r>
      <w:r w:rsidR="00B35D8C">
        <w:rPr>
          <w:sz w:val="24"/>
          <w:szCs w:val="24"/>
        </w:rPr>
        <w:t xml:space="preserve">been </w:t>
      </w:r>
      <w:r w:rsidR="00EF7E88">
        <w:rPr>
          <w:sz w:val="24"/>
          <w:szCs w:val="24"/>
        </w:rPr>
        <w:t>not as effective as it should be.</w:t>
      </w:r>
    </w:p>
    <w:p w14:paraId="45BB4D28" w14:textId="77777777" w:rsidR="00435D70" w:rsidRDefault="001E101F" w:rsidP="007725A9">
      <w:pPr>
        <w:spacing w:line="360" w:lineRule="auto"/>
        <w:rPr>
          <w:sz w:val="24"/>
          <w:szCs w:val="24"/>
        </w:rPr>
      </w:pPr>
      <w:r>
        <w:rPr>
          <w:sz w:val="24"/>
          <w:szCs w:val="24"/>
        </w:rPr>
        <w:t>Diversity strategies have been introduced within the Police in an effort to effectively accommodate diversit</w:t>
      </w:r>
      <w:r w:rsidR="00F7687D">
        <w:rPr>
          <w:sz w:val="24"/>
          <w:szCs w:val="24"/>
        </w:rPr>
        <w:t xml:space="preserve">y, one of which being introduced in </w:t>
      </w:r>
      <w:r w:rsidR="00614C38">
        <w:rPr>
          <w:sz w:val="24"/>
          <w:szCs w:val="24"/>
        </w:rPr>
        <w:t xml:space="preserve">the Metropolitan Police, in </w:t>
      </w:r>
      <w:r w:rsidR="00F7687D">
        <w:rPr>
          <w:sz w:val="24"/>
          <w:szCs w:val="24"/>
        </w:rPr>
        <w:t xml:space="preserve">response to the public uproar after the murder of Stephen Lawrence. </w:t>
      </w:r>
      <w:r w:rsidR="00614C38">
        <w:rPr>
          <w:sz w:val="24"/>
          <w:szCs w:val="24"/>
        </w:rPr>
        <w:t>Measures were adopted to effectively address hate crime cases, safer neighbourhood teams have been created and they have reformed their recruitment system to enable members of different ethnic groups and social minorities to join the force (</w:t>
      </w:r>
      <w:proofErr w:type="spellStart"/>
      <w:r w:rsidR="00614C38">
        <w:rPr>
          <w:sz w:val="24"/>
          <w:szCs w:val="24"/>
        </w:rPr>
        <w:t>Stergioulis</w:t>
      </w:r>
      <w:proofErr w:type="spellEnd"/>
      <w:r w:rsidR="00614C38">
        <w:rPr>
          <w:sz w:val="24"/>
          <w:szCs w:val="24"/>
        </w:rPr>
        <w:t xml:space="preserve">, 2017). This shows an effective way in which forces have adapted to accommodate diversity within the UK because after experiencing a lot of criticism, the Met acted upon it and have welcomed diverse communities both inside and out of the force. </w:t>
      </w:r>
    </w:p>
    <w:p w14:paraId="75B82B68" w14:textId="762BEF3F" w:rsidR="00230F37" w:rsidRDefault="00F7687D" w:rsidP="007725A9">
      <w:pPr>
        <w:spacing w:line="360" w:lineRule="auto"/>
        <w:rPr>
          <w:sz w:val="24"/>
          <w:szCs w:val="24"/>
        </w:rPr>
      </w:pPr>
      <w:r>
        <w:rPr>
          <w:sz w:val="24"/>
          <w:szCs w:val="24"/>
        </w:rPr>
        <w:t>The Macpherson Report</w:t>
      </w:r>
      <w:r w:rsidR="001E101F">
        <w:rPr>
          <w:sz w:val="24"/>
          <w:szCs w:val="24"/>
        </w:rPr>
        <w:t xml:space="preserve"> </w:t>
      </w:r>
      <w:r w:rsidR="002F0911">
        <w:rPr>
          <w:sz w:val="24"/>
          <w:szCs w:val="24"/>
        </w:rPr>
        <w:t xml:space="preserve">which arose from the enquiry into </w:t>
      </w:r>
      <w:r w:rsidR="00102155">
        <w:rPr>
          <w:sz w:val="24"/>
          <w:szCs w:val="24"/>
        </w:rPr>
        <w:t xml:space="preserve">Lawrences’ </w:t>
      </w:r>
      <w:r w:rsidR="002F0911">
        <w:rPr>
          <w:sz w:val="24"/>
          <w:szCs w:val="24"/>
        </w:rPr>
        <w:t>murder labelled the police as ‘institutionally racist’ (Macpherson 1999)</w:t>
      </w:r>
      <w:r w:rsidR="00DE48B8">
        <w:rPr>
          <w:sz w:val="24"/>
          <w:szCs w:val="24"/>
        </w:rPr>
        <w:t xml:space="preserve"> and made 70 recommendations on how to improve forces and restore confiden</w:t>
      </w:r>
      <w:r w:rsidR="008F678C">
        <w:rPr>
          <w:sz w:val="24"/>
          <w:szCs w:val="24"/>
        </w:rPr>
        <w:t xml:space="preserve">ce </w:t>
      </w:r>
      <w:r w:rsidR="00DE48B8">
        <w:rPr>
          <w:sz w:val="24"/>
          <w:szCs w:val="24"/>
        </w:rPr>
        <w:t>in policing, whilst accommodating diversity</w:t>
      </w:r>
      <w:r w:rsidR="00EA15D9">
        <w:rPr>
          <w:sz w:val="24"/>
          <w:szCs w:val="24"/>
        </w:rPr>
        <w:t xml:space="preserve">, one of which </w:t>
      </w:r>
      <w:r w:rsidR="00C407D5">
        <w:rPr>
          <w:sz w:val="24"/>
          <w:szCs w:val="24"/>
        </w:rPr>
        <w:t xml:space="preserve">was to record all stop and search operations as it was viewed that officers were targeting black people. </w:t>
      </w:r>
      <w:r w:rsidR="00B35D8C">
        <w:rPr>
          <w:sz w:val="24"/>
          <w:szCs w:val="24"/>
        </w:rPr>
        <w:t xml:space="preserve">Unfortunately, </w:t>
      </w:r>
      <w:r w:rsidR="001831AB">
        <w:rPr>
          <w:sz w:val="24"/>
          <w:szCs w:val="24"/>
        </w:rPr>
        <w:t>despite a genuine attempt to make stop search more effective and increase professionalism (Reid, 2009)</w:t>
      </w:r>
      <w:r w:rsidR="00BC5012">
        <w:rPr>
          <w:sz w:val="24"/>
          <w:szCs w:val="24"/>
        </w:rPr>
        <w:t xml:space="preserve"> </w:t>
      </w:r>
      <w:r w:rsidR="000978F3">
        <w:rPr>
          <w:sz w:val="24"/>
          <w:szCs w:val="24"/>
        </w:rPr>
        <w:t>research in 2008 sho</w:t>
      </w:r>
      <w:r w:rsidR="009872BE">
        <w:rPr>
          <w:sz w:val="24"/>
          <w:szCs w:val="24"/>
        </w:rPr>
        <w:t>w</w:t>
      </w:r>
      <w:r w:rsidR="000978F3">
        <w:rPr>
          <w:sz w:val="24"/>
          <w:szCs w:val="24"/>
        </w:rPr>
        <w:t>ed that black people were more than six times more likely to be stop searched tha</w:t>
      </w:r>
      <w:r w:rsidR="000C6920">
        <w:rPr>
          <w:sz w:val="24"/>
          <w:szCs w:val="24"/>
        </w:rPr>
        <w:t>n</w:t>
      </w:r>
      <w:r w:rsidR="000978F3">
        <w:rPr>
          <w:sz w:val="24"/>
          <w:szCs w:val="24"/>
        </w:rPr>
        <w:t xml:space="preserve"> white people (Equality and Human Rights Commission, 2010)</w:t>
      </w:r>
      <w:r w:rsidR="007526A5">
        <w:rPr>
          <w:sz w:val="24"/>
          <w:szCs w:val="24"/>
        </w:rPr>
        <w:t xml:space="preserve">. This shows the ineffective way policing has adapted to accommodate diversity because despite being smaller in population, black people are still </w:t>
      </w:r>
      <w:r w:rsidR="007526A5">
        <w:rPr>
          <w:sz w:val="24"/>
          <w:szCs w:val="24"/>
        </w:rPr>
        <w:lastRenderedPageBreak/>
        <w:t xml:space="preserve">significantly more likely to be stop searched. </w:t>
      </w:r>
      <w:proofErr w:type="spellStart"/>
      <w:r w:rsidR="007526A5">
        <w:rPr>
          <w:sz w:val="24"/>
          <w:szCs w:val="24"/>
        </w:rPr>
        <w:t>Yesufu</w:t>
      </w:r>
      <w:proofErr w:type="spellEnd"/>
      <w:r w:rsidR="007526A5">
        <w:rPr>
          <w:sz w:val="24"/>
          <w:szCs w:val="24"/>
        </w:rPr>
        <w:t xml:space="preserve"> (2013) argues that stop and search powers are being used in a discriminatory way, damaging relations within and between communities, proving to be not effective at accommodating diversity but having the opposite effect. </w:t>
      </w:r>
      <w:r w:rsidR="001154DE">
        <w:rPr>
          <w:sz w:val="24"/>
          <w:szCs w:val="24"/>
        </w:rPr>
        <w:t xml:space="preserve">Another recommendation made by the Macpherson Report was to encourage the public to report racist incidents to the police. This has arguably been an effective way in which the police have adapted to accommodate diversity because in 2018, 10% more hate crimes were reported to the police than in 2017, which has more than doubled since 2012 (Home Office, 2019) This is effective before it encourages the public that we will investigate the hate crimes reported to us and aim to always reach a positive outcome. It shows that hate crimes will not be tolerated and makes diverse communities feel like they are being supported. </w:t>
      </w:r>
    </w:p>
    <w:p w14:paraId="41E9BAEA" w14:textId="55C1FF2D" w:rsidR="004A40B0" w:rsidRDefault="002E2526" w:rsidP="007725A9">
      <w:pPr>
        <w:spacing w:line="360" w:lineRule="auto"/>
        <w:rPr>
          <w:sz w:val="24"/>
          <w:szCs w:val="24"/>
        </w:rPr>
      </w:pPr>
      <w:r>
        <w:rPr>
          <w:sz w:val="24"/>
          <w:szCs w:val="24"/>
        </w:rPr>
        <w:t>The Equality Act which was passed in 2010 argues the opinion that the police have been effective in accommodating diversity</w:t>
      </w:r>
      <w:r w:rsidR="00E219ED">
        <w:rPr>
          <w:sz w:val="24"/>
          <w:szCs w:val="24"/>
        </w:rPr>
        <w:t xml:space="preserve"> as it strengthened previous laws around the protection of people against discrimination from the nine protected characteristics such as disability, pregnancy, sexual </w:t>
      </w:r>
      <w:r w:rsidR="00A034D0">
        <w:rPr>
          <w:sz w:val="24"/>
          <w:szCs w:val="24"/>
        </w:rPr>
        <w:t>orientation,</w:t>
      </w:r>
      <w:r w:rsidR="00E219ED">
        <w:rPr>
          <w:sz w:val="24"/>
          <w:szCs w:val="24"/>
        </w:rPr>
        <w:t xml:space="preserve"> and race. </w:t>
      </w:r>
      <w:r w:rsidR="00EF7E88">
        <w:rPr>
          <w:sz w:val="24"/>
          <w:szCs w:val="24"/>
        </w:rPr>
        <w:t xml:space="preserve">However, whilst this should be seen as a positive with more diverse communities becoming protected in the workplace, a report by Graham et al, (2019) suggests that the police have </w:t>
      </w:r>
      <w:r w:rsidR="00A034D0">
        <w:rPr>
          <w:sz w:val="24"/>
          <w:szCs w:val="24"/>
        </w:rPr>
        <w:t>been</w:t>
      </w:r>
      <w:r w:rsidR="00EF7E88">
        <w:rPr>
          <w:sz w:val="24"/>
          <w:szCs w:val="24"/>
        </w:rPr>
        <w:t xml:space="preserve"> ineffective at accommodating diversity within the force. 27% of black, Asian and mixed ethnicity respondents reported that they had experienced derogatory comments about their race or ethnicity from someone in their force in the past 12 months. This highlights that although forces may look good to the outside eye by employing people from different diverse backgrounds, on the inside they are experiencing racist comments and feel they cannot speak up about it due to it being from their colleagues. It demonstrates that they are not feeling included or respected which argues that the police have not effectively accommodate</w:t>
      </w:r>
      <w:r w:rsidR="005D7D57">
        <w:rPr>
          <w:sz w:val="24"/>
          <w:szCs w:val="24"/>
        </w:rPr>
        <w:t>d</w:t>
      </w:r>
      <w:r w:rsidR="00EF7E88">
        <w:rPr>
          <w:sz w:val="24"/>
          <w:szCs w:val="24"/>
        </w:rPr>
        <w:t xml:space="preserve"> diversity and if this cannot be impl</w:t>
      </w:r>
      <w:r w:rsidR="005D7D57">
        <w:rPr>
          <w:sz w:val="24"/>
          <w:szCs w:val="24"/>
        </w:rPr>
        <w:t xml:space="preserve">emented </w:t>
      </w:r>
      <w:r w:rsidR="00EF7E88">
        <w:rPr>
          <w:sz w:val="24"/>
          <w:szCs w:val="24"/>
        </w:rPr>
        <w:t>within the force, how will it be impl</w:t>
      </w:r>
      <w:r w:rsidR="005D7D57">
        <w:rPr>
          <w:sz w:val="24"/>
          <w:szCs w:val="24"/>
        </w:rPr>
        <w:t>emented</w:t>
      </w:r>
      <w:r w:rsidR="00EF7E88">
        <w:rPr>
          <w:sz w:val="24"/>
          <w:szCs w:val="24"/>
        </w:rPr>
        <w:t xml:space="preserve"> with members of the public who reach out to these officers in a time of need.</w:t>
      </w:r>
      <w:r w:rsidR="006A4FA1">
        <w:rPr>
          <w:sz w:val="24"/>
          <w:szCs w:val="24"/>
        </w:rPr>
        <w:t xml:space="preserve"> </w:t>
      </w:r>
    </w:p>
    <w:p w14:paraId="5577EBA2" w14:textId="73323B28" w:rsidR="00435D70" w:rsidRDefault="004A40B0" w:rsidP="007725A9">
      <w:pPr>
        <w:spacing w:line="360" w:lineRule="auto"/>
        <w:rPr>
          <w:sz w:val="24"/>
          <w:szCs w:val="24"/>
        </w:rPr>
      </w:pPr>
      <w:r>
        <w:rPr>
          <w:sz w:val="24"/>
          <w:szCs w:val="24"/>
        </w:rPr>
        <w:t xml:space="preserve">When considering </w:t>
      </w:r>
      <w:r w:rsidR="003D409D">
        <w:rPr>
          <w:sz w:val="24"/>
          <w:szCs w:val="24"/>
        </w:rPr>
        <w:t>individuals</w:t>
      </w:r>
      <w:r>
        <w:rPr>
          <w:sz w:val="24"/>
          <w:szCs w:val="24"/>
        </w:rPr>
        <w:t xml:space="preserve"> sexual orientation within the police force, research has shown that a majority of gay male officers and over half of lesbian </w:t>
      </w:r>
      <w:proofErr w:type="gramStart"/>
      <w:r w:rsidR="00A66CD8">
        <w:rPr>
          <w:sz w:val="24"/>
          <w:szCs w:val="24"/>
        </w:rPr>
        <w:t>officers</w:t>
      </w:r>
      <w:proofErr w:type="gramEnd"/>
      <w:r w:rsidR="00A66CD8">
        <w:rPr>
          <w:sz w:val="24"/>
          <w:szCs w:val="24"/>
        </w:rPr>
        <w:t xml:space="preserve"> </w:t>
      </w:r>
      <w:r>
        <w:rPr>
          <w:sz w:val="24"/>
          <w:szCs w:val="24"/>
        </w:rPr>
        <w:t xml:space="preserve">report hearing homophobic talk in the workplace. </w:t>
      </w:r>
      <w:r w:rsidR="00C95C5E">
        <w:rPr>
          <w:sz w:val="24"/>
          <w:szCs w:val="24"/>
        </w:rPr>
        <w:t>(</w:t>
      </w:r>
      <w:proofErr w:type="spellStart"/>
      <w:r w:rsidR="00C95C5E">
        <w:rPr>
          <w:sz w:val="24"/>
          <w:szCs w:val="24"/>
        </w:rPr>
        <w:t>Roddrick</w:t>
      </w:r>
      <w:proofErr w:type="spellEnd"/>
      <w:r w:rsidR="00C95C5E">
        <w:rPr>
          <w:sz w:val="24"/>
          <w:szCs w:val="24"/>
        </w:rPr>
        <w:t>, 2015)</w:t>
      </w:r>
      <w:r w:rsidR="0053471D">
        <w:rPr>
          <w:sz w:val="24"/>
          <w:szCs w:val="24"/>
        </w:rPr>
        <w:t xml:space="preserve"> </w:t>
      </w:r>
      <w:proofErr w:type="spellStart"/>
      <w:r w:rsidR="0053471D">
        <w:rPr>
          <w:sz w:val="24"/>
          <w:szCs w:val="24"/>
        </w:rPr>
        <w:t>Roddrick</w:t>
      </w:r>
      <w:proofErr w:type="spellEnd"/>
      <w:r w:rsidR="0053471D">
        <w:rPr>
          <w:sz w:val="24"/>
          <w:szCs w:val="24"/>
        </w:rPr>
        <w:t xml:space="preserve"> also stated that the general consensus is that lesbians and gay men in law enforcement are under tremendous pressure to conform to prevailing gender stereotypes. This is a further point suggesting that the </w:t>
      </w:r>
      <w:r w:rsidR="0053471D">
        <w:rPr>
          <w:sz w:val="24"/>
          <w:szCs w:val="24"/>
        </w:rPr>
        <w:lastRenderedPageBreak/>
        <w:t xml:space="preserve">police force has not been effective at accommodating diversity within the UK </w:t>
      </w:r>
      <w:r w:rsidR="000E1F60">
        <w:rPr>
          <w:sz w:val="24"/>
          <w:szCs w:val="24"/>
        </w:rPr>
        <w:t xml:space="preserve">because gay and lesbian people experience negative comments about their sexual orientation </w:t>
      </w:r>
      <w:r w:rsidR="00435D70">
        <w:rPr>
          <w:sz w:val="24"/>
          <w:szCs w:val="24"/>
        </w:rPr>
        <w:t>within the force. However, the research carried out by Graham et al (2019) showed that 80% of police officers disagreed with the fact that they were being treated unfairly due to their sexual orientation, demonstrating that in some areas, the police have been effective in accommodating diversity.</w:t>
      </w:r>
    </w:p>
    <w:p w14:paraId="7FC939E7" w14:textId="5CC3061F" w:rsidR="001154DE" w:rsidRDefault="00A034D0" w:rsidP="007725A9">
      <w:pPr>
        <w:spacing w:line="360" w:lineRule="auto"/>
        <w:rPr>
          <w:sz w:val="24"/>
          <w:szCs w:val="24"/>
        </w:rPr>
      </w:pPr>
      <w:r>
        <w:rPr>
          <w:sz w:val="24"/>
          <w:szCs w:val="24"/>
        </w:rPr>
        <w:t xml:space="preserve">In conclusion, the police have adapted to accommodate diversity, but this can only be seen as effective in certain areas. It can be argued that when it comes to </w:t>
      </w:r>
      <w:r w:rsidR="001477FF">
        <w:rPr>
          <w:sz w:val="24"/>
          <w:szCs w:val="24"/>
        </w:rPr>
        <w:t xml:space="preserve">race there are still many issues with equality and many black people are still facing negative treatment both inside police forces and as general members of the public and so it is unlikely for them to feel welcomed and accommodated. </w:t>
      </w:r>
      <w:r w:rsidR="001154DE">
        <w:rPr>
          <w:sz w:val="24"/>
          <w:szCs w:val="24"/>
        </w:rPr>
        <w:t xml:space="preserve">However, </w:t>
      </w:r>
      <w:r w:rsidR="001477FF">
        <w:rPr>
          <w:sz w:val="24"/>
          <w:szCs w:val="24"/>
        </w:rPr>
        <w:t xml:space="preserve">there has been a positive effective of accommodating diversity </w:t>
      </w:r>
      <w:r w:rsidR="001154DE">
        <w:rPr>
          <w:sz w:val="24"/>
          <w:szCs w:val="24"/>
        </w:rPr>
        <w:t xml:space="preserve">in some areas including a positive increase of hate crimes being reported and lesbians and gay men feeling that they weren’t being treated unfairly due to their sexual orientation. Nevertheless, the majority of adaptations made by the police to accommodate diversity within the UK have been ineffective and so there is still a significant amount of change that needs to occur before </w:t>
      </w:r>
      <w:r w:rsidR="001477FF">
        <w:rPr>
          <w:sz w:val="24"/>
          <w:szCs w:val="24"/>
        </w:rPr>
        <w:t xml:space="preserve">individuals from diverse groups feel </w:t>
      </w:r>
      <w:r w:rsidR="001154DE">
        <w:rPr>
          <w:sz w:val="24"/>
          <w:szCs w:val="24"/>
        </w:rPr>
        <w:t xml:space="preserve">fully welcomed and understood by the police. </w:t>
      </w:r>
    </w:p>
    <w:p w14:paraId="2AEDF80B" w14:textId="4597354A" w:rsidR="009C5419" w:rsidRPr="006B0E99" w:rsidRDefault="006B0E99" w:rsidP="007725A9">
      <w:pPr>
        <w:spacing w:line="360" w:lineRule="auto"/>
        <w:rPr>
          <w:b/>
          <w:bCs/>
          <w:sz w:val="24"/>
          <w:szCs w:val="24"/>
        </w:rPr>
      </w:pPr>
      <w:r w:rsidRPr="006B0E99">
        <w:rPr>
          <w:b/>
          <w:bCs/>
          <w:sz w:val="24"/>
          <w:szCs w:val="24"/>
        </w:rPr>
        <w:t>Word Count - 9</w:t>
      </w:r>
      <w:r w:rsidR="005F3891">
        <w:rPr>
          <w:b/>
          <w:bCs/>
          <w:sz w:val="24"/>
          <w:szCs w:val="24"/>
        </w:rPr>
        <w:t>89</w:t>
      </w:r>
    </w:p>
    <w:p w14:paraId="1C3EC74D" w14:textId="77777777" w:rsidR="002A264F" w:rsidRDefault="002A264F" w:rsidP="007725A9">
      <w:pPr>
        <w:spacing w:line="360" w:lineRule="auto"/>
        <w:rPr>
          <w:b/>
          <w:bCs/>
          <w:sz w:val="24"/>
          <w:szCs w:val="24"/>
          <w:u w:val="single"/>
        </w:rPr>
      </w:pPr>
    </w:p>
    <w:p w14:paraId="15A0D250" w14:textId="77777777" w:rsidR="007725A9" w:rsidRDefault="007725A9" w:rsidP="007725A9">
      <w:pPr>
        <w:spacing w:line="360" w:lineRule="auto"/>
        <w:rPr>
          <w:b/>
          <w:bCs/>
          <w:sz w:val="24"/>
          <w:szCs w:val="24"/>
          <w:u w:val="single"/>
        </w:rPr>
      </w:pPr>
    </w:p>
    <w:p w14:paraId="05BB6171" w14:textId="77777777" w:rsidR="007725A9" w:rsidRDefault="007725A9" w:rsidP="007725A9">
      <w:pPr>
        <w:spacing w:line="360" w:lineRule="auto"/>
        <w:rPr>
          <w:b/>
          <w:bCs/>
          <w:sz w:val="24"/>
          <w:szCs w:val="24"/>
          <w:u w:val="single"/>
        </w:rPr>
      </w:pPr>
    </w:p>
    <w:p w14:paraId="0F991C22" w14:textId="77777777" w:rsidR="007725A9" w:rsidRDefault="007725A9" w:rsidP="007725A9">
      <w:pPr>
        <w:spacing w:line="360" w:lineRule="auto"/>
        <w:rPr>
          <w:b/>
          <w:bCs/>
          <w:sz w:val="24"/>
          <w:szCs w:val="24"/>
          <w:u w:val="single"/>
        </w:rPr>
      </w:pPr>
    </w:p>
    <w:p w14:paraId="43630946" w14:textId="77777777" w:rsidR="007725A9" w:rsidRDefault="007725A9" w:rsidP="007725A9">
      <w:pPr>
        <w:spacing w:line="360" w:lineRule="auto"/>
        <w:rPr>
          <w:b/>
          <w:bCs/>
          <w:sz w:val="24"/>
          <w:szCs w:val="24"/>
          <w:u w:val="single"/>
        </w:rPr>
      </w:pPr>
    </w:p>
    <w:p w14:paraId="25E5E01F" w14:textId="77777777" w:rsidR="007725A9" w:rsidRDefault="007725A9" w:rsidP="007725A9">
      <w:pPr>
        <w:spacing w:line="360" w:lineRule="auto"/>
        <w:rPr>
          <w:b/>
          <w:bCs/>
          <w:sz w:val="24"/>
          <w:szCs w:val="24"/>
          <w:u w:val="single"/>
        </w:rPr>
      </w:pPr>
    </w:p>
    <w:p w14:paraId="1DEC9F1B" w14:textId="77777777" w:rsidR="007725A9" w:rsidRDefault="007725A9" w:rsidP="007725A9">
      <w:pPr>
        <w:spacing w:line="360" w:lineRule="auto"/>
        <w:rPr>
          <w:b/>
          <w:bCs/>
          <w:sz w:val="24"/>
          <w:szCs w:val="24"/>
          <w:u w:val="single"/>
        </w:rPr>
      </w:pPr>
    </w:p>
    <w:p w14:paraId="41C94D1E" w14:textId="77777777" w:rsidR="007725A9" w:rsidRDefault="007725A9" w:rsidP="007725A9">
      <w:pPr>
        <w:spacing w:line="360" w:lineRule="auto"/>
        <w:rPr>
          <w:b/>
          <w:bCs/>
          <w:sz w:val="24"/>
          <w:szCs w:val="24"/>
          <w:u w:val="single"/>
        </w:rPr>
      </w:pPr>
    </w:p>
    <w:p w14:paraId="7EA75087" w14:textId="77777777" w:rsidR="007725A9" w:rsidRDefault="007725A9" w:rsidP="007725A9">
      <w:pPr>
        <w:spacing w:line="360" w:lineRule="auto"/>
        <w:rPr>
          <w:b/>
          <w:bCs/>
          <w:sz w:val="24"/>
          <w:szCs w:val="24"/>
          <w:u w:val="single"/>
        </w:rPr>
      </w:pPr>
    </w:p>
    <w:p w14:paraId="043655B7" w14:textId="531C459C" w:rsidR="00683339" w:rsidRPr="000C3982" w:rsidRDefault="00683339" w:rsidP="007725A9">
      <w:pPr>
        <w:spacing w:line="360" w:lineRule="auto"/>
        <w:rPr>
          <w:b/>
          <w:bCs/>
          <w:sz w:val="24"/>
          <w:szCs w:val="24"/>
          <w:u w:val="single"/>
        </w:rPr>
      </w:pPr>
      <w:r w:rsidRPr="000C3982">
        <w:rPr>
          <w:b/>
          <w:bCs/>
          <w:sz w:val="24"/>
          <w:szCs w:val="24"/>
          <w:u w:val="single"/>
        </w:rPr>
        <w:lastRenderedPageBreak/>
        <w:t xml:space="preserve">Bibliography </w:t>
      </w:r>
    </w:p>
    <w:p w14:paraId="0A838B48" w14:textId="77777777" w:rsidR="007725A9" w:rsidRPr="001154DE" w:rsidRDefault="007725A9" w:rsidP="007725A9">
      <w:pPr>
        <w:spacing w:line="360" w:lineRule="auto"/>
        <w:rPr>
          <w:rFonts w:ascii="Noto Sans" w:hAnsi="Noto Sans" w:cs="Noto Sans"/>
          <w:color w:val="000000"/>
          <w:sz w:val="24"/>
          <w:szCs w:val="24"/>
          <w:shd w:val="clear" w:color="auto" w:fill="FFFFFF"/>
        </w:rPr>
      </w:pPr>
    </w:p>
    <w:p w14:paraId="738308FE" w14:textId="77777777" w:rsidR="007725A9" w:rsidRPr="00132D07" w:rsidRDefault="007725A9" w:rsidP="007725A9">
      <w:pPr>
        <w:shd w:val="clear" w:color="auto" w:fill="FFFFFF"/>
        <w:spacing w:after="0" w:line="360" w:lineRule="auto"/>
        <w:rPr>
          <w:rFonts w:cstheme="minorHAnsi"/>
          <w:sz w:val="24"/>
          <w:szCs w:val="24"/>
        </w:rPr>
      </w:pPr>
      <w:r w:rsidRPr="00132D07">
        <w:rPr>
          <w:rFonts w:eastAsia="Times New Roman" w:cstheme="minorHAnsi"/>
          <w:color w:val="1F1F1F"/>
          <w:kern w:val="0"/>
          <w:sz w:val="24"/>
          <w:szCs w:val="24"/>
          <w:lang w:eastAsia="en-GB"/>
          <w14:ligatures w14:val="none"/>
        </w:rPr>
        <w:t xml:space="preserve">Adler et al. (2016) </w:t>
      </w:r>
      <w:r w:rsidRPr="00132D07">
        <w:rPr>
          <w:rFonts w:cstheme="minorHAnsi"/>
          <w:i/>
          <w:iCs/>
          <w:sz w:val="24"/>
          <w:szCs w:val="24"/>
        </w:rPr>
        <w:t>What Works in Managing Young People Who Offend? A Summary of the International Evidence.</w:t>
      </w:r>
      <w:r w:rsidRPr="00132D07">
        <w:rPr>
          <w:rFonts w:cstheme="minorHAnsi"/>
          <w:sz w:val="24"/>
          <w:szCs w:val="24"/>
        </w:rPr>
        <w:t xml:space="preserve"> London: Ministry of Justice </w:t>
      </w:r>
    </w:p>
    <w:p w14:paraId="04FCEF30" w14:textId="77777777" w:rsidR="007725A9" w:rsidRPr="007411A9" w:rsidRDefault="007725A9" w:rsidP="007725A9">
      <w:pPr>
        <w:spacing w:line="360" w:lineRule="auto"/>
        <w:rPr>
          <w:rFonts w:cstheme="minorHAnsi"/>
          <w:color w:val="333333"/>
          <w:sz w:val="24"/>
          <w:szCs w:val="24"/>
          <w:shd w:val="clear" w:color="auto" w:fill="FFFFFF"/>
        </w:rPr>
      </w:pPr>
      <w:proofErr w:type="spellStart"/>
      <w:r w:rsidRPr="007411A9">
        <w:rPr>
          <w:rFonts w:cstheme="minorHAnsi"/>
          <w:color w:val="333333"/>
          <w:sz w:val="24"/>
          <w:szCs w:val="24"/>
          <w:shd w:val="clear" w:color="auto" w:fill="FFFFFF"/>
        </w:rPr>
        <w:t>Apland</w:t>
      </w:r>
      <w:proofErr w:type="spellEnd"/>
      <w:r w:rsidRPr="007411A9">
        <w:rPr>
          <w:rFonts w:cstheme="minorHAnsi"/>
          <w:color w:val="333333"/>
          <w:sz w:val="24"/>
          <w:szCs w:val="24"/>
          <w:shd w:val="clear" w:color="auto" w:fill="FFFFFF"/>
        </w:rPr>
        <w:t xml:space="preserve"> et al, (2017) </w:t>
      </w:r>
      <w:r w:rsidRPr="007411A9">
        <w:rPr>
          <w:rStyle w:val="Emphasis"/>
          <w:rFonts w:cstheme="minorHAnsi"/>
          <w:color w:val="333333"/>
          <w:sz w:val="24"/>
          <w:szCs w:val="24"/>
          <w:shd w:val="clear" w:color="auto" w:fill="FFFFFF"/>
        </w:rPr>
        <w:t>Children’s Voices; a Review of the Evidence on the Subjective Wellbeing of Children Involved in Gangs in England</w:t>
      </w:r>
      <w:r w:rsidRPr="007411A9">
        <w:rPr>
          <w:rFonts w:cstheme="minorHAnsi"/>
          <w:color w:val="333333"/>
          <w:sz w:val="24"/>
          <w:szCs w:val="24"/>
          <w:shd w:val="clear" w:color="auto" w:fill="FFFFFF"/>
        </w:rPr>
        <w:t>. London: Children’s Commissioner for England</w:t>
      </w:r>
    </w:p>
    <w:p w14:paraId="7670C21A" w14:textId="77777777" w:rsidR="007725A9" w:rsidRPr="003A3BA6" w:rsidRDefault="007725A9" w:rsidP="007725A9">
      <w:pPr>
        <w:spacing w:line="360" w:lineRule="auto"/>
        <w:rPr>
          <w:rFonts w:cstheme="minorHAnsi"/>
          <w:sz w:val="24"/>
          <w:szCs w:val="24"/>
        </w:rPr>
      </w:pPr>
      <w:r w:rsidRPr="003A3BA6">
        <w:rPr>
          <w:rFonts w:cstheme="minorHAnsi"/>
          <w:sz w:val="24"/>
          <w:szCs w:val="24"/>
        </w:rPr>
        <w:t xml:space="preserve">Ariel, B, Farrar, W.A, and Sutherland, A. (2015). </w:t>
      </w:r>
      <w:r w:rsidRPr="003A3BA6">
        <w:rPr>
          <w:rFonts w:cstheme="minorHAnsi"/>
          <w:i/>
          <w:iCs/>
          <w:sz w:val="24"/>
          <w:szCs w:val="24"/>
        </w:rPr>
        <w:t>The effect of police body-worn cameras on use of force and citizens’ complaints against the police: A randomized controlled trial. Journal of Quantitative Criminology</w:t>
      </w:r>
      <w:r w:rsidRPr="003A3BA6">
        <w:rPr>
          <w:rFonts w:cstheme="minorHAnsi"/>
          <w:sz w:val="24"/>
          <w:szCs w:val="24"/>
        </w:rPr>
        <w:t>, 31(3), 509–535. United States:</w:t>
      </w:r>
      <w:r w:rsidRPr="003A3BA6">
        <w:rPr>
          <w:rFonts w:cstheme="minorHAnsi"/>
          <w:color w:val="000000" w:themeColor="text1"/>
          <w:sz w:val="24"/>
          <w:szCs w:val="24"/>
        </w:rPr>
        <w:t xml:space="preserve"> </w:t>
      </w:r>
      <w:hyperlink r:id="rId6" w:tgtFrame="_blank" w:history="1">
        <w:r w:rsidRPr="003A3BA6">
          <w:rPr>
            <w:rStyle w:val="Hyperlink"/>
            <w:rFonts w:cstheme="minorHAnsi"/>
            <w:color w:val="000000" w:themeColor="text1"/>
            <w:sz w:val="24"/>
            <w:szCs w:val="24"/>
            <w:u w:val="none"/>
            <w:shd w:val="clear" w:color="auto" w:fill="FFFFFF"/>
          </w:rPr>
          <w:t>American Psychological Association</w:t>
        </w:r>
      </w:hyperlink>
    </w:p>
    <w:p w14:paraId="5ED34C17" w14:textId="77777777" w:rsidR="007725A9" w:rsidRPr="003A3BA6" w:rsidRDefault="007725A9" w:rsidP="007725A9">
      <w:pPr>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 xml:space="preserve">Bradford B, Stanko, E.A and Jackson, J. (2009) Using Research to Inform Policy: The Role of Public Attitude Surveys in Understanding Public Confidence and Police Contact, </w:t>
      </w:r>
      <w:r w:rsidRPr="003A3BA6">
        <w:rPr>
          <w:rFonts w:cstheme="minorHAnsi"/>
          <w:i/>
          <w:iCs/>
          <w:color w:val="000000"/>
          <w:sz w:val="24"/>
          <w:szCs w:val="24"/>
          <w:shd w:val="clear" w:color="auto" w:fill="FFFFFF"/>
        </w:rPr>
        <w:t>Policing: A Journal of Policy and Practice</w:t>
      </w:r>
      <w:r w:rsidRPr="003A3BA6">
        <w:rPr>
          <w:rFonts w:cstheme="minorHAnsi"/>
          <w:color w:val="000000"/>
          <w:sz w:val="24"/>
          <w:szCs w:val="24"/>
          <w:shd w:val="clear" w:color="auto" w:fill="FFFFFF"/>
        </w:rPr>
        <w:t xml:space="preserve">, 3(2) pp 139-148. London: Oxford University </w:t>
      </w:r>
    </w:p>
    <w:p w14:paraId="6B1AF6E1" w14:textId="77777777" w:rsidR="007725A9" w:rsidRPr="003A3BA6" w:rsidRDefault="007725A9" w:rsidP="007725A9">
      <w:pPr>
        <w:tabs>
          <w:tab w:val="center" w:pos="4513"/>
        </w:tabs>
        <w:spacing w:line="360" w:lineRule="auto"/>
        <w:rPr>
          <w:rStyle w:val="Hyperlink"/>
          <w:rFonts w:cstheme="minorHAnsi"/>
          <w:color w:val="000000"/>
          <w:sz w:val="24"/>
          <w:szCs w:val="24"/>
          <w:u w:val="none"/>
          <w:shd w:val="clear" w:color="auto" w:fill="FFFFFF"/>
        </w:rPr>
      </w:pPr>
      <w:r w:rsidRPr="003A3BA6">
        <w:rPr>
          <w:rStyle w:val="Hyperlink"/>
          <w:rFonts w:cstheme="minorHAnsi"/>
          <w:color w:val="000000"/>
          <w:sz w:val="24"/>
          <w:szCs w:val="24"/>
          <w:u w:val="none"/>
          <w:shd w:val="clear" w:color="auto" w:fill="FFFFFF"/>
        </w:rPr>
        <w:t xml:space="preserve">Bradford, B. (2016) The social and geographic distribution of police stops (in practice) in Bradford, B </w:t>
      </w:r>
      <w:r w:rsidRPr="003A3BA6">
        <w:rPr>
          <w:rStyle w:val="Hyperlink"/>
          <w:rFonts w:cstheme="minorHAnsi"/>
          <w:i/>
          <w:iCs/>
          <w:color w:val="000000"/>
          <w:sz w:val="24"/>
          <w:szCs w:val="24"/>
          <w:u w:val="none"/>
          <w:shd w:val="clear" w:color="auto" w:fill="FFFFFF"/>
        </w:rPr>
        <w:t xml:space="preserve">Stop and Search and Police Legitimacy. </w:t>
      </w:r>
      <w:r w:rsidRPr="003A3BA6">
        <w:rPr>
          <w:rStyle w:val="Hyperlink"/>
          <w:rFonts w:cstheme="minorHAnsi"/>
          <w:color w:val="000000"/>
          <w:sz w:val="24"/>
          <w:szCs w:val="24"/>
          <w:u w:val="none"/>
          <w:shd w:val="clear" w:color="auto" w:fill="FFFFFF"/>
        </w:rPr>
        <w:t>London: Routledge</w:t>
      </w:r>
    </w:p>
    <w:p w14:paraId="047DFE7E" w14:textId="77777777" w:rsidR="007725A9" w:rsidRPr="007411A9" w:rsidRDefault="007725A9" w:rsidP="007725A9">
      <w:pPr>
        <w:tabs>
          <w:tab w:val="left" w:pos="960"/>
        </w:tabs>
        <w:spacing w:line="360" w:lineRule="auto"/>
        <w:rPr>
          <w:rFonts w:cstheme="minorHAnsi"/>
          <w:sz w:val="24"/>
          <w:szCs w:val="24"/>
        </w:rPr>
      </w:pPr>
      <w:r w:rsidRPr="007411A9">
        <w:rPr>
          <w:rFonts w:cstheme="minorHAnsi"/>
          <w:sz w:val="24"/>
          <w:szCs w:val="24"/>
        </w:rPr>
        <w:t xml:space="preserve">Britton, D.M and Jacobsen, S.K and Howard, G (2018) </w:t>
      </w:r>
      <w:r w:rsidRPr="007411A9">
        <w:rPr>
          <w:rFonts w:cstheme="minorHAnsi"/>
          <w:i/>
          <w:iCs/>
          <w:sz w:val="24"/>
          <w:szCs w:val="24"/>
        </w:rPr>
        <w:t>The Gender of Crime.</w:t>
      </w:r>
      <w:r w:rsidRPr="007411A9">
        <w:rPr>
          <w:rFonts w:cstheme="minorHAnsi"/>
          <w:sz w:val="24"/>
          <w:szCs w:val="24"/>
        </w:rPr>
        <w:t xml:space="preserve"> 2</w:t>
      </w:r>
      <w:r w:rsidRPr="007411A9">
        <w:rPr>
          <w:rFonts w:cstheme="minorHAnsi"/>
          <w:sz w:val="24"/>
          <w:szCs w:val="24"/>
          <w:vertAlign w:val="superscript"/>
        </w:rPr>
        <w:t>nd</w:t>
      </w:r>
      <w:r w:rsidRPr="007411A9">
        <w:rPr>
          <w:rFonts w:cstheme="minorHAnsi"/>
          <w:sz w:val="24"/>
          <w:szCs w:val="24"/>
        </w:rPr>
        <w:t xml:space="preserve"> Ed. United States: Rowman and Littlefield </w:t>
      </w:r>
    </w:p>
    <w:p w14:paraId="7098D8D9"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proofErr w:type="spellStart"/>
      <w:r w:rsidRPr="00132D07">
        <w:rPr>
          <w:rFonts w:cstheme="minorHAnsi"/>
          <w:color w:val="000000"/>
          <w:sz w:val="24"/>
          <w:szCs w:val="24"/>
          <w:shd w:val="clear" w:color="auto" w:fill="FFFFFF"/>
        </w:rPr>
        <w:t>Broidy</w:t>
      </w:r>
      <w:proofErr w:type="spellEnd"/>
      <w:r w:rsidRPr="00132D07">
        <w:rPr>
          <w:rFonts w:cstheme="minorHAnsi"/>
          <w:color w:val="000000"/>
          <w:sz w:val="24"/>
          <w:szCs w:val="24"/>
          <w:shd w:val="clear" w:color="auto" w:fill="FFFFFF"/>
        </w:rPr>
        <w:t xml:space="preserve"> et al. (2003) ‘Developmental trajectories of childhood disruptive </w:t>
      </w:r>
      <w:proofErr w:type="spellStart"/>
      <w:r w:rsidRPr="00132D07">
        <w:rPr>
          <w:rFonts w:cstheme="minorHAnsi"/>
          <w:color w:val="000000"/>
          <w:sz w:val="24"/>
          <w:szCs w:val="24"/>
          <w:shd w:val="clear" w:color="auto" w:fill="FFFFFF"/>
        </w:rPr>
        <w:t>behaviors</w:t>
      </w:r>
      <w:proofErr w:type="spellEnd"/>
      <w:r w:rsidRPr="00132D07">
        <w:rPr>
          <w:rFonts w:cstheme="minorHAnsi"/>
          <w:color w:val="000000"/>
          <w:sz w:val="24"/>
          <w:szCs w:val="24"/>
          <w:shd w:val="clear" w:color="auto" w:fill="FFFFFF"/>
        </w:rPr>
        <w:t xml:space="preserve"> and adolescent delinquency: A six-site, cross-national study’, </w:t>
      </w:r>
      <w:r w:rsidRPr="00132D07">
        <w:rPr>
          <w:rFonts w:cstheme="minorHAnsi"/>
          <w:i/>
          <w:iCs/>
          <w:color w:val="000000"/>
          <w:sz w:val="24"/>
          <w:szCs w:val="24"/>
          <w:shd w:val="clear" w:color="auto" w:fill="FFFFFF"/>
        </w:rPr>
        <w:t>Developmental Psychology</w:t>
      </w:r>
      <w:r w:rsidRPr="00132D07">
        <w:rPr>
          <w:rFonts w:cstheme="minorHAnsi"/>
          <w:color w:val="000000"/>
          <w:sz w:val="24"/>
          <w:szCs w:val="24"/>
          <w:shd w:val="clear" w:color="auto" w:fill="FFFFFF"/>
        </w:rPr>
        <w:t xml:space="preserve"> 39(2) pp 222-245</w:t>
      </w:r>
    </w:p>
    <w:p w14:paraId="32C3FC10" w14:textId="77777777" w:rsidR="007725A9" w:rsidRPr="007411A9" w:rsidRDefault="007725A9" w:rsidP="007725A9">
      <w:pPr>
        <w:tabs>
          <w:tab w:val="left" w:pos="3750"/>
        </w:tabs>
        <w:spacing w:line="360" w:lineRule="auto"/>
        <w:rPr>
          <w:rFonts w:cstheme="minorHAnsi"/>
          <w:sz w:val="24"/>
          <w:szCs w:val="24"/>
        </w:rPr>
      </w:pPr>
      <w:proofErr w:type="spellStart"/>
      <w:r w:rsidRPr="007411A9">
        <w:rPr>
          <w:rFonts w:cstheme="minorHAnsi"/>
          <w:sz w:val="24"/>
          <w:szCs w:val="24"/>
        </w:rPr>
        <w:t>Buerger</w:t>
      </w:r>
      <w:proofErr w:type="spellEnd"/>
      <w:r w:rsidRPr="007411A9">
        <w:rPr>
          <w:rFonts w:cstheme="minorHAnsi"/>
          <w:sz w:val="24"/>
          <w:szCs w:val="24"/>
        </w:rPr>
        <w:t xml:space="preserve">, M.E. (2012) ‘Defensive Strategies of the Street-level Drug Trade’, </w:t>
      </w:r>
      <w:r w:rsidRPr="007411A9">
        <w:rPr>
          <w:rFonts w:cstheme="minorHAnsi"/>
          <w:i/>
          <w:iCs/>
          <w:sz w:val="24"/>
          <w:szCs w:val="24"/>
        </w:rPr>
        <w:t xml:space="preserve">Journal of Crime and Justice, </w:t>
      </w:r>
      <w:r w:rsidRPr="007411A9">
        <w:rPr>
          <w:rFonts w:cstheme="minorHAnsi"/>
          <w:sz w:val="24"/>
          <w:szCs w:val="24"/>
        </w:rPr>
        <w:t>15(2), 31–51.</w:t>
      </w:r>
    </w:p>
    <w:p w14:paraId="23A9B5C6" w14:textId="77777777" w:rsidR="007725A9" w:rsidRPr="003A3BA6" w:rsidRDefault="007725A9" w:rsidP="007725A9">
      <w:pPr>
        <w:pStyle w:val="Heading1"/>
        <w:shd w:val="clear" w:color="auto" w:fill="FFFFFF"/>
        <w:spacing w:before="0" w:after="315" w:line="360" w:lineRule="auto"/>
        <w:rPr>
          <w:rFonts w:asciiTheme="minorHAnsi" w:hAnsiTheme="minorHAnsi" w:cstheme="minorHAnsi"/>
          <w:b/>
          <w:bCs/>
          <w:color w:val="333333"/>
          <w:sz w:val="24"/>
          <w:szCs w:val="24"/>
        </w:rPr>
      </w:pPr>
      <w:r w:rsidRPr="003A3BA6">
        <w:rPr>
          <w:rFonts w:asciiTheme="minorHAnsi" w:hAnsiTheme="minorHAnsi" w:cstheme="minorHAnsi"/>
          <w:color w:val="333333"/>
          <w:sz w:val="24"/>
          <w:szCs w:val="24"/>
        </w:rPr>
        <w:t xml:space="preserve">Cape, E and Young, R. (2008) Regulating Policing: </w:t>
      </w:r>
      <w:r w:rsidRPr="003A3BA6">
        <w:rPr>
          <w:rFonts w:asciiTheme="minorHAnsi" w:hAnsiTheme="minorHAnsi" w:cstheme="minorHAnsi"/>
          <w:i/>
          <w:iCs/>
          <w:color w:val="333333"/>
          <w:sz w:val="24"/>
          <w:szCs w:val="24"/>
        </w:rPr>
        <w:t>T</w:t>
      </w:r>
      <w:r w:rsidRPr="003A3BA6">
        <w:rPr>
          <w:rStyle w:val="Subtitle1"/>
          <w:rFonts w:asciiTheme="minorHAnsi" w:hAnsiTheme="minorHAnsi" w:cstheme="minorHAnsi"/>
          <w:b/>
          <w:bCs/>
          <w:i/>
          <w:iCs/>
          <w:color w:val="333333"/>
          <w:sz w:val="24"/>
          <w:szCs w:val="24"/>
        </w:rPr>
        <w:t>he Police and Criminal Evidence Act 1984 Past, Present and Future</w:t>
      </w:r>
      <w:r w:rsidRPr="003A3BA6">
        <w:rPr>
          <w:rStyle w:val="Subtitle1"/>
          <w:rFonts w:asciiTheme="minorHAnsi" w:hAnsiTheme="minorHAnsi" w:cstheme="minorHAnsi"/>
          <w:b/>
          <w:bCs/>
          <w:color w:val="333333"/>
          <w:sz w:val="24"/>
          <w:szCs w:val="24"/>
        </w:rPr>
        <w:t>. London: Bloomsbury Publishing</w:t>
      </w:r>
    </w:p>
    <w:p w14:paraId="40AF3D1A" w14:textId="77777777" w:rsidR="007725A9" w:rsidRPr="003A3BA6" w:rsidRDefault="007725A9" w:rsidP="007725A9">
      <w:pPr>
        <w:tabs>
          <w:tab w:val="left" w:pos="3090"/>
        </w:tabs>
        <w:spacing w:line="360" w:lineRule="auto"/>
        <w:rPr>
          <w:rFonts w:cstheme="minorHAnsi"/>
          <w:i/>
          <w:iCs/>
          <w:color w:val="000000"/>
          <w:sz w:val="24"/>
          <w:szCs w:val="24"/>
          <w:shd w:val="clear" w:color="auto" w:fill="FFFFFF"/>
        </w:rPr>
      </w:pPr>
      <w:r w:rsidRPr="003A3BA6">
        <w:rPr>
          <w:rStyle w:val="Hyperlink"/>
          <w:rFonts w:cstheme="minorHAnsi"/>
          <w:color w:val="000000"/>
          <w:sz w:val="24"/>
          <w:szCs w:val="24"/>
          <w:u w:val="none"/>
          <w:shd w:val="clear" w:color="auto" w:fill="FFFFFF"/>
        </w:rPr>
        <w:t xml:space="preserve">Charman, S (2017) Police Socialisation, Identity and Culture. </w:t>
      </w:r>
      <w:r w:rsidRPr="003A3BA6">
        <w:rPr>
          <w:rStyle w:val="Emphasis"/>
          <w:rFonts w:cstheme="minorHAnsi"/>
          <w:color w:val="2A2A2A"/>
          <w:sz w:val="24"/>
          <w:szCs w:val="24"/>
          <w:bdr w:val="none" w:sz="0" w:space="0" w:color="auto" w:frame="1"/>
          <w:shd w:val="clear" w:color="auto" w:fill="FFFFFF"/>
        </w:rPr>
        <w:t>Policing: A Journal of Policy and Practice.  14(1) pp 292-294</w:t>
      </w:r>
    </w:p>
    <w:p w14:paraId="1DC7F5EC" w14:textId="77777777" w:rsidR="007725A9" w:rsidRPr="007411A9" w:rsidRDefault="007725A9" w:rsidP="007725A9">
      <w:pPr>
        <w:spacing w:line="360" w:lineRule="auto"/>
        <w:rPr>
          <w:rFonts w:cstheme="minorHAnsi"/>
          <w:sz w:val="24"/>
          <w:szCs w:val="24"/>
        </w:rPr>
      </w:pPr>
      <w:r w:rsidRPr="007411A9">
        <w:rPr>
          <w:rFonts w:cstheme="minorHAnsi"/>
          <w:color w:val="000000"/>
          <w:sz w:val="24"/>
          <w:szCs w:val="24"/>
          <w:shd w:val="clear" w:color="auto" w:fill="FFFFFF"/>
        </w:rPr>
        <w:lastRenderedPageBreak/>
        <w:t>Children's Commissioner. (2019). </w:t>
      </w:r>
      <w:r w:rsidRPr="007411A9">
        <w:rPr>
          <w:rFonts w:cstheme="minorHAnsi"/>
          <w:i/>
          <w:iCs/>
          <w:color w:val="000000"/>
          <w:sz w:val="24"/>
          <w:szCs w:val="24"/>
        </w:rPr>
        <w:t>Keeping kids safe - Improving safeguarding responses to gang violence and criminal exploitation</w:t>
      </w:r>
      <w:r w:rsidRPr="007411A9">
        <w:rPr>
          <w:rFonts w:cstheme="minorHAnsi"/>
          <w:color w:val="000000"/>
          <w:sz w:val="24"/>
          <w:szCs w:val="24"/>
          <w:shd w:val="clear" w:color="auto" w:fill="FFFFFF"/>
        </w:rPr>
        <w:t>. [Online]. Assets Children's Commissioner. Last Updated: February 2019. Available at: https://assets.childrenscommissioner.gov.uk/wpuploads/2019/02/CCO-Gangs.pdf [Accessed 4 June 2024].</w:t>
      </w:r>
    </w:p>
    <w:p w14:paraId="1B3232A8" w14:textId="77777777" w:rsidR="007725A9" w:rsidRPr="003A3BA6" w:rsidRDefault="007725A9" w:rsidP="007725A9">
      <w:pPr>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Collage of Policing. (2014). </w:t>
      </w:r>
      <w:r w:rsidRPr="003A3BA6">
        <w:rPr>
          <w:rFonts w:cstheme="minorHAnsi"/>
          <w:i/>
          <w:iCs/>
          <w:color w:val="000000"/>
          <w:sz w:val="24"/>
          <w:szCs w:val="24"/>
        </w:rPr>
        <w:t>A Code of Practice for the Principles and Standards of Professional Behaviour for the Policing Profession of England a</w:t>
      </w:r>
      <w:r w:rsidRPr="003A3BA6">
        <w:rPr>
          <w:rFonts w:cstheme="minorHAnsi"/>
          <w:color w:val="000000"/>
          <w:sz w:val="24"/>
          <w:szCs w:val="24"/>
          <w:shd w:val="clear" w:color="auto" w:fill="FFFFFF"/>
        </w:rPr>
        <w:t>. [Online]. Collage Of Policing. Last Updated: 2014. Available at: https://assets.publishing.service.gov.uk/government/uploads/system/uploads/attachment_data/file/3416 [Accessed 2 June 2024]</w:t>
      </w:r>
    </w:p>
    <w:p w14:paraId="6FCE1B4A" w14:textId="77777777" w:rsidR="007725A9" w:rsidRPr="007411A9" w:rsidRDefault="007725A9" w:rsidP="007725A9">
      <w:pPr>
        <w:spacing w:line="360" w:lineRule="auto"/>
        <w:rPr>
          <w:rFonts w:cstheme="minorHAnsi"/>
          <w:sz w:val="24"/>
          <w:szCs w:val="24"/>
        </w:rPr>
      </w:pPr>
      <w:proofErr w:type="spellStart"/>
      <w:r w:rsidRPr="007411A9">
        <w:rPr>
          <w:rFonts w:cstheme="minorHAnsi"/>
          <w:sz w:val="24"/>
          <w:szCs w:val="24"/>
        </w:rPr>
        <w:t>Crosweller</w:t>
      </w:r>
      <w:proofErr w:type="spellEnd"/>
      <w:r w:rsidRPr="007411A9">
        <w:rPr>
          <w:rFonts w:cstheme="minorHAnsi"/>
          <w:sz w:val="24"/>
          <w:szCs w:val="24"/>
        </w:rPr>
        <w:t>, S. (2022). The education and social care background of young people who interact with the criminal justice system: May 2022. [online] Office for National Statistics, Office for National Statistics, pp.1–21. Available at: https://www.ons.gov.uk./peoplepopulationandcommunity/educationandchildcare/articles/theeducationandsocialcarebackgroundofyoungpeoplewhointeractwiththecriminaljusticesystem/may2022 [Accessed4 June 19 March 2024].</w:t>
      </w:r>
    </w:p>
    <w:p w14:paraId="50F9D1EE" w14:textId="77777777" w:rsidR="007725A9" w:rsidRPr="007411A9" w:rsidRDefault="007725A9" w:rsidP="007725A9">
      <w:pPr>
        <w:spacing w:line="360" w:lineRule="auto"/>
        <w:rPr>
          <w:rFonts w:cstheme="minorHAnsi"/>
          <w:sz w:val="24"/>
          <w:szCs w:val="24"/>
        </w:rPr>
      </w:pPr>
      <w:r w:rsidRPr="007411A9">
        <w:rPr>
          <w:rFonts w:cstheme="minorHAnsi"/>
          <w:color w:val="000000"/>
          <w:sz w:val="24"/>
          <w:szCs w:val="24"/>
          <w:shd w:val="clear" w:color="auto" w:fill="FFFFFF"/>
        </w:rPr>
        <w:t>Curry, G.D and Decker, S.H. (2024). </w:t>
      </w:r>
      <w:r w:rsidRPr="007411A9">
        <w:rPr>
          <w:rFonts w:cstheme="minorHAnsi"/>
          <w:i/>
          <w:iCs/>
          <w:color w:val="000000"/>
          <w:sz w:val="24"/>
          <w:szCs w:val="24"/>
        </w:rPr>
        <w:t>Gang</w:t>
      </w:r>
      <w:r w:rsidRPr="007411A9">
        <w:rPr>
          <w:rFonts w:cstheme="minorHAnsi"/>
          <w:color w:val="000000"/>
          <w:sz w:val="24"/>
          <w:szCs w:val="24"/>
          <w:shd w:val="clear" w:color="auto" w:fill="FFFFFF"/>
        </w:rPr>
        <w:t>. [Online]. Britannica. Last Updated: 2024. Available at: https://www.britannica.com/topic/gang-crime [Accessed 3 June 2024].</w:t>
      </w:r>
    </w:p>
    <w:p w14:paraId="1AF76E9B" w14:textId="77777777" w:rsidR="007725A9" w:rsidRPr="003A3BA6" w:rsidRDefault="007725A9" w:rsidP="007725A9">
      <w:pPr>
        <w:spacing w:line="360" w:lineRule="auto"/>
        <w:rPr>
          <w:rFonts w:cstheme="minorHAnsi"/>
          <w:color w:val="000000"/>
          <w:sz w:val="24"/>
          <w:szCs w:val="24"/>
          <w:shd w:val="clear" w:color="auto" w:fill="FFFFFF"/>
        </w:rPr>
      </w:pPr>
      <w:proofErr w:type="spellStart"/>
      <w:r w:rsidRPr="003A3BA6">
        <w:rPr>
          <w:rFonts w:cstheme="minorHAnsi"/>
          <w:color w:val="000000"/>
          <w:sz w:val="24"/>
          <w:szCs w:val="24"/>
          <w:shd w:val="clear" w:color="auto" w:fill="FFFFFF"/>
        </w:rPr>
        <w:t>Dahlgreen</w:t>
      </w:r>
      <w:proofErr w:type="spellEnd"/>
      <w:r w:rsidRPr="003A3BA6">
        <w:rPr>
          <w:rFonts w:cstheme="minorHAnsi"/>
          <w:color w:val="000000"/>
          <w:sz w:val="24"/>
          <w:szCs w:val="24"/>
          <w:shd w:val="clear" w:color="auto" w:fill="FFFFFF"/>
        </w:rPr>
        <w:t>, W. (2014). </w:t>
      </w:r>
      <w:r w:rsidRPr="003A3BA6">
        <w:rPr>
          <w:rFonts w:cstheme="minorHAnsi"/>
          <w:i/>
          <w:iCs/>
          <w:color w:val="000000"/>
          <w:sz w:val="24"/>
          <w:szCs w:val="24"/>
        </w:rPr>
        <w:t>Public see no problem with 'stop and search'</w:t>
      </w:r>
      <w:r w:rsidRPr="003A3BA6">
        <w:rPr>
          <w:rFonts w:cstheme="minorHAnsi"/>
          <w:color w:val="000000"/>
          <w:sz w:val="24"/>
          <w:szCs w:val="24"/>
          <w:shd w:val="clear" w:color="auto" w:fill="FFFFFF"/>
        </w:rPr>
        <w:t>. [Online]. YouGov UK. Last Updated: 2014. Available at: https://yougov.co.uk/politics/articles/10229-overwhelming-support-stop-and-search?redirect_from=%2Ft [Accessed 2 June 2024]</w:t>
      </w:r>
    </w:p>
    <w:p w14:paraId="215AED4D" w14:textId="77777777" w:rsidR="007725A9" w:rsidRPr="003A3BA6" w:rsidRDefault="007725A9" w:rsidP="007725A9">
      <w:pPr>
        <w:tabs>
          <w:tab w:val="left" w:pos="2040"/>
        </w:tabs>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Ellis, T and Jenkins, C and Smith, P. (2015)</w:t>
      </w:r>
      <w:r w:rsidRPr="003A3BA6">
        <w:rPr>
          <w:rFonts w:cstheme="minorHAnsi"/>
          <w:i/>
          <w:iCs/>
          <w:color w:val="000000"/>
          <w:sz w:val="24"/>
          <w:szCs w:val="24"/>
          <w:shd w:val="clear" w:color="auto" w:fill="FFFFFF"/>
        </w:rPr>
        <w:t xml:space="preserve"> Evaluation of the Introduction of Personal Issue Body Worn Video Cameras (Operation Hyperion) on the Isle of Wight: Final Report to Hampshire Police (2015) </w:t>
      </w:r>
      <w:r w:rsidRPr="003A3BA6">
        <w:rPr>
          <w:rFonts w:cstheme="minorHAnsi"/>
          <w:color w:val="000000"/>
          <w:sz w:val="24"/>
          <w:szCs w:val="24"/>
          <w:shd w:val="clear" w:color="auto" w:fill="FFFFFF"/>
        </w:rPr>
        <w:t xml:space="preserve">Portsmouth: University of Plymouth </w:t>
      </w:r>
    </w:p>
    <w:p w14:paraId="384E7745" w14:textId="77777777" w:rsidR="007725A9" w:rsidRPr="008C21E3" w:rsidRDefault="007725A9" w:rsidP="007725A9">
      <w:pPr>
        <w:tabs>
          <w:tab w:val="left" w:pos="1340"/>
        </w:tabs>
        <w:spacing w:line="360" w:lineRule="auto"/>
        <w:rPr>
          <w:rFonts w:cstheme="minorHAnsi"/>
          <w:color w:val="000000"/>
          <w:sz w:val="24"/>
          <w:szCs w:val="24"/>
          <w:shd w:val="clear" w:color="auto" w:fill="FFFFFF"/>
        </w:rPr>
      </w:pPr>
      <w:r w:rsidRPr="008C21E3">
        <w:rPr>
          <w:rFonts w:cstheme="minorHAnsi"/>
          <w:color w:val="000000"/>
          <w:sz w:val="24"/>
          <w:szCs w:val="24"/>
          <w:shd w:val="clear" w:color="auto" w:fill="FFFFFF"/>
        </w:rPr>
        <w:t>Equality and Human Rights Commission. (2010). </w:t>
      </w:r>
      <w:r w:rsidRPr="008C21E3">
        <w:rPr>
          <w:rFonts w:cstheme="minorHAnsi"/>
          <w:i/>
          <w:iCs/>
          <w:color w:val="000000"/>
          <w:sz w:val="24"/>
          <w:szCs w:val="24"/>
        </w:rPr>
        <w:t>Stop and think. A critical review of the use of stop and search powers in England and Wales</w:t>
      </w:r>
      <w:r w:rsidRPr="008C21E3">
        <w:rPr>
          <w:rFonts w:cstheme="minorHAnsi"/>
          <w:color w:val="000000"/>
          <w:sz w:val="24"/>
          <w:szCs w:val="24"/>
          <w:shd w:val="clear" w:color="auto" w:fill="FFFFFF"/>
        </w:rPr>
        <w:t>. [Online]. Equality and Human Rights Commission. Last Updated: 2010. Available at: https://www.equalityhumanrights.com/sites/default/files/ehrc_stop_and_search_report.pdf [Accessed 7 June 2024]</w:t>
      </w:r>
    </w:p>
    <w:p w14:paraId="354252CE" w14:textId="77777777" w:rsidR="007725A9" w:rsidRPr="008C21E3" w:rsidRDefault="007725A9" w:rsidP="007725A9">
      <w:pPr>
        <w:spacing w:line="360" w:lineRule="auto"/>
        <w:rPr>
          <w:rFonts w:cstheme="minorHAnsi"/>
          <w:color w:val="000000"/>
          <w:sz w:val="24"/>
          <w:szCs w:val="24"/>
          <w:shd w:val="clear" w:color="auto" w:fill="FFFFFF"/>
        </w:rPr>
      </w:pPr>
      <w:r w:rsidRPr="008C21E3">
        <w:rPr>
          <w:rFonts w:cstheme="minorHAnsi"/>
          <w:color w:val="000000"/>
          <w:sz w:val="24"/>
          <w:szCs w:val="24"/>
          <w:shd w:val="clear" w:color="auto" w:fill="FFFFFF"/>
        </w:rPr>
        <w:lastRenderedPageBreak/>
        <w:t>Graham et al (2019). Summary of Research Findings. </w:t>
      </w:r>
      <w:r w:rsidRPr="008C21E3">
        <w:rPr>
          <w:rFonts w:cstheme="minorHAnsi"/>
          <w:i/>
          <w:iCs/>
          <w:color w:val="000000"/>
          <w:sz w:val="24"/>
          <w:szCs w:val="24"/>
        </w:rPr>
        <w:t>Diversity, Equality and Inclusion in Policing 2019</w:t>
      </w:r>
      <w:r w:rsidRPr="008C21E3">
        <w:rPr>
          <w:rFonts w:cstheme="minorHAnsi"/>
          <w:color w:val="000000"/>
          <w:sz w:val="24"/>
          <w:szCs w:val="24"/>
          <w:shd w:val="clear" w:color="auto" w:fill="FFFFFF"/>
        </w:rPr>
        <w:t>. pp.1-85. [Online]. Available at: https://www.apccs.police.uk/media/5817/diversity-equality-and-inclusion-in-policing-2019-report.pdf [Accessed 4 June 2024].</w:t>
      </w:r>
    </w:p>
    <w:p w14:paraId="4C6F8047"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 xml:space="preserve">Graham, J and Bowling, B (1995) </w:t>
      </w:r>
      <w:r w:rsidRPr="00132D07">
        <w:rPr>
          <w:rFonts w:cstheme="minorHAnsi"/>
          <w:i/>
          <w:iCs/>
          <w:color w:val="000000"/>
          <w:sz w:val="24"/>
          <w:szCs w:val="24"/>
          <w:shd w:val="clear" w:color="auto" w:fill="FFFFFF"/>
        </w:rPr>
        <w:t>Young People and Crime</w:t>
      </w:r>
      <w:r w:rsidRPr="00132D07">
        <w:rPr>
          <w:rFonts w:cstheme="minorHAnsi"/>
          <w:color w:val="000000"/>
          <w:sz w:val="24"/>
          <w:szCs w:val="24"/>
          <w:shd w:val="clear" w:color="auto" w:fill="FFFFFF"/>
        </w:rPr>
        <w:t>. London: Home Office</w:t>
      </w:r>
    </w:p>
    <w:p w14:paraId="6C98FCA8" w14:textId="523D43BF" w:rsidR="007725A9" w:rsidRPr="007411A9" w:rsidRDefault="007725A9" w:rsidP="007725A9">
      <w:pPr>
        <w:spacing w:line="360" w:lineRule="auto"/>
        <w:rPr>
          <w:rFonts w:cstheme="minorHAnsi"/>
          <w:color w:val="333333"/>
          <w:sz w:val="24"/>
          <w:szCs w:val="24"/>
          <w:shd w:val="clear" w:color="auto" w:fill="FFFFFF"/>
        </w:rPr>
      </w:pPr>
      <w:r w:rsidRPr="007411A9">
        <w:rPr>
          <w:rFonts w:cstheme="minorHAnsi"/>
          <w:color w:val="333333"/>
          <w:sz w:val="24"/>
          <w:szCs w:val="24"/>
          <w:shd w:val="clear" w:color="auto" w:fill="FFFFFF"/>
        </w:rPr>
        <w:t>Groot, W. (2007) ‘The Effects of Education on Crime’, Applied Economics 42 (3) pp 279-289</w:t>
      </w:r>
    </w:p>
    <w:p w14:paraId="4421A334" w14:textId="77777777" w:rsidR="007725A9" w:rsidRPr="003A3BA6" w:rsidRDefault="007725A9" w:rsidP="007725A9">
      <w:pPr>
        <w:spacing w:line="360" w:lineRule="auto"/>
        <w:rPr>
          <w:rStyle w:val="Hyperlink"/>
          <w:rFonts w:cstheme="minorHAnsi"/>
          <w:color w:val="000000" w:themeColor="text1"/>
          <w:sz w:val="24"/>
          <w:szCs w:val="24"/>
          <w:u w:val="none"/>
          <w:shd w:val="clear" w:color="auto" w:fill="FFFFFF"/>
        </w:rPr>
      </w:pPr>
      <w:r w:rsidRPr="003A3BA6">
        <w:rPr>
          <w:rFonts w:cstheme="minorHAnsi"/>
          <w:color w:val="000000" w:themeColor="text1"/>
          <w:sz w:val="24"/>
          <w:szCs w:val="24"/>
        </w:rPr>
        <w:t xml:space="preserve">Harrison, K, </w:t>
      </w:r>
      <w:proofErr w:type="spellStart"/>
      <w:r w:rsidRPr="003A3BA6">
        <w:rPr>
          <w:rFonts w:cstheme="minorHAnsi"/>
          <w:color w:val="000000" w:themeColor="text1"/>
          <w:sz w:val="24"/>
          <w:szCs w:val="24"/>
        </w:rPr>
        <w:t>L’Hoiry</w:t>
      </w:r>
      <w:proofErr w:type="spellEnd"/>
      <w:r w:rsidRPr="003A3BA6">
        <w:rPr>
          <w:rFonts w:cstheme="minorHAnsi"/>
          <w:color w:val="000000" w:themeColor="text1"/>
          <w:sz w:val="24"/>
          <w:szCs w:val="24"/>
        </w:rPr>
        <w:t xml:space="preserve">, X and </w:t>
      </w:r>
      <w:proofErr w:type="spellStart"/>
      <w:r w:rsidRPr="003A3BA6">
        <w:rPr>
          <w:rFonts w:cstheme="minorHAnsi"/>
          <w:color w:val="000000" w:themeColor="text1"/>
          <w:sz w:val="24"/>
          <w:szCs w:val="24"/>
        </w:rPr>
        <w:t>Santorso</w:t>
      </w:r>
      <w:proofErr w:type="spellEnd"/>
      <w:r w:rsidRPr="003A3BA6">
        <w:rPr>
          <w:rFonts w:cstheme="minorHAnsi"/>
          <w:color w:val="000000" w:themeColor="text1"/>
          <w:sz w:val="24"/>
          <w:szCs w:val="24"/>
        </w:rPr>
        <w:t xml:space="preserve">, S. </w:t>
      </w:r>
      <w:r w:rsidRPr="003A3BA6">
        <w:rPr>
          <w:rFonts w:cstheme="minorHAnsi"/>
          <w:color w:val="000000"/>
          <w:sz w:val="24"/>
          <w:szCs w:val="24"/>
          <w:shd w:val="clear" w:color="auto" w:fill="FFFFFF"/>
        </w:rPr>
        <w:t>(2021). Exploring the impact of body-worn video on the everyday behaviours of police officers. </w:t>
      </w:r>
      <w:r w:rsidRPr="003A3BA6">
        <w:rPr>
          <w:rFonts w:cstheme="minorHAnsi"/>
          <w:i/>
          <w:iCs/>
          <w:color w:val="000000"/>
          <w:sz w:val="24"/>
          <w:szCs w:val="24"/>
        </w:rPr>
        <w:t>The Police Journal: Theory, Practice and Principles</w:t>
      </w:r>
      <w:r w:rsidRPr="003A3BA6">
        <w:rPr>
          <w:rFonts w:cstheme="minorHAnsi"/>
          <w:color w:val="000000"/>
          <w:sz w:val="24"/>
          <w:szCs w:val="24"/>
          <w:shd w:val="clear" w:color="auto" w:fill="FFFFFF"/>
        </w:rPr>
        <w:t>. 95(2). [Online]. Available at</w:t>
      </w:r>
      <w:r w:rsidRPr="003A3BA6">
        <w:rPr>
          <w:rFonts w:cstheme="minorHAnsi"/>
          <w:color w:val="000000" w:themeColor="text1"/>
          <w:sz w:val="24"/>
          <w:szCs w:val="24"/>
          <w:shd w:val="clear" w:color="auto" w:fill="FFFFFF"/>
        </w:rPr>
        <w:t xml:space="preserve">: </w:t>
      </w:r>
      <w:hyperlink r:id="rId7" w:history="1">
        <w:r w:rsidRPr="003A3BA6">
          <w:rPr>
            <w:rStyle w:val="Hyperlink"/>
            <w:rFonts w:cstheme="minorHAnsi"/>
            <w:color w:val="000000" w:themeColor="text1"/>
            <w:sz w:val="24"/>
            <w:szCs w:val="24"/>
            <w:u w:val="none"/>
            <w:shd w:val="clear" w:color="auto" w:fill="FFFFFF"/>
          </w:rPr>
          <w:t>https://doi.org/10.1177/0032258X211000834</w:t>
        </w:r>
      </w:hyperlink>
    </w:p>
    <w:p w14:paraId="597EEA90" w14:textId="77777777" w:rsidR="007725A9" w:rsidRPr="00132D07" w:rsidRDefault="007725A9" w:rsidP="007725A9">
      <w:pPr>
        <w:shd w:val="clear" w:color="auto" w:fill="FFFFFF"/>
        <w:spacing w:after="0" w:line="360" w:lineRule="auto"/>
        <w:rPr>
          <w:rFonts w:eastAsia="Times New Roman" w:cstheme="minorHAnsi"/>
          <w:color w:val="1F1F1F"/>
          <w:kern w:val="0"/>
          <w:sz w:val="24"/>
          <w:szCs w:val="24"/>
          <w:lang w:eastAsia="en-GB"/>
          <w14:ligatures w14:val="none"/>
        </w:rPr>
      </w:pPr>
      <w:proofErr w:type="spellStart"/>
      <w:r w:rsidRPr="00132D07">
        <w:rPr>
          <w:rFonts w:eastAsia="Times New Roman" w:cstheme="minorHAnsi"/>
          <w:color w:val="1F1F1F"/>
          <w:kern w:val="0"/>
          <w:sz w:val="24"/>
          <w:szCs w:val="24"/>
          <w:lang w:eastAsia="en-GB"/>
          <w14:ligatures w14:val="none"/>
        </w:rPr>
        <w:t>Hjalmarsson</w:t>
      </w:r>
      <w:proofErr w:type="spellEnd"/>
      <w:r w:rsidRPr="00132D07">
        <w:rPr>
          <w:rFonts w:eastAsia="Times New Roman" w:cstheme="minorHAnsi"/>
          <w:color w:val="1F1F1F"/>
          <w:kern w:val="0"/>
          <w:sz w:val="24"/>
          <w:szCs w:val="24"/>
          <w:lang w:eastAsia="en-GB"/>
          <w14:ligatures w14:val="none"/>
        </w:rPr>
        <w:t xml:space="preserve"> et al. (2015) ‘</w:t>
      </w:r>
      <w:r w:rsidRPr="00132D07">
        <w:rPr>
          <w:rFonts w:cstheme="minorHAnsi"/>
          <w:color w:val="000000"/>
          <w:sz w:val="24"/>
          <w:szCs w:val="24"/>
          <w:shd w:val="clear" w:color="auto" w:fill="FFFFFF"/>
        </w:rPr>
        <w:t>The Effect of Education on Criminal Convictions and Incarceration: Causal Evidence from Micro‐data’, </w:t>
      </w:r>
      <w:r w:rsidRPr="00132D07">
        <w:rPr>
          <w:rFonts w:cstheme="minorHAnsi"/>
          <w:i/>
          <w:iCs/>
          <w:color w:val="000000"/>
          <w:sz w:val="24"/>
          <w:szCs w:val="24"/>
        </w:rPr>
        <w:t>The Economic Journal</w:t>
      </w:r>
      <w:r w:rsidRPr="00132D07">
        <w:rPr>
          <w:rFonts w:cstheme="minorHAnsi"/>
          <w:color w:val="000000"/>
          <w:sz w:val="24"/>
          <w:szCs w:val="24"/>
          <w:shd w:val="clear" w:color="auto" w:fill="FFFFFF"/>
        </w:rPr>
        <w:t xml:space="preserve"> 125(587) pp 1290-1326</w:t>
      </w:r>
    </w:p>
    <w:p w14:paraId="74F98CFF" w14:textId="77777777" w:rsidR="007725A9" w:rsidRPr="008C21E3" w:rsidRDefault="007725A9" w:rsidP="007725A9">
      <w:pPr>
        <w:tabs>
          <w:tab w:val="left" w:pos="2550"/>
        </w:tabs>
        <w:spacing w:line="360" w:lineRule="auto"/>
        <w:rPr>
          <w:rFonts w:cstheme="minorHAnsi"/>
          <w:sz w:val="24"/>
          <w:szCs w:val="24"/>
        </w:rPr>
      </w:pPr>
      <w:r w:rsidRPr="008C21E3">
        <w:rPr>
          <w:rFonts w:cstheme="minorHAnsi"/>
          <w:color w:val="000000"/>
          <w:sz w:val="24"/>
          <w:szCs w:val="24"/>
          <w:shd w:val="clear" w:color="auto" w:fill="FFFFFF"/>
        </w:rPr>
        <w:t>Home Office. (2019). </w:t>
      </w:r>
      <w:r w:rsidRPr="008C21E3">
        <w:rPr>
          <w:rFonts w:cstheme="minorHAnsi"/>
          <w:i/>
          <w:iCs/>
          <w:color w:val="000000"/>
          <w:sz w:val="24"/>
          <w:szCs w:val="24"/>
        </w:rPr>
        <w:t>Hate Crime, England and Wales, 2018/19</w:t>
      </w:r>
      <w:r w:rsidRPr="008C21E3">
        <w:rPr>
          <w:rFonts w:cstheme="minorHAnsi"/>
          <w:color w:val="000000"/>
          <w:sz w:val="24"/>
          <w:szCs w:val="24"/>
          <w:shd w:val="clear" w:color="auto" w:fill="FFFFFF"/>
        </w:rPr>
        <w:t>. [Online]. Home Office. Last Updated: 15 October 2019. Available at: https://assets.publishing.service.gov.uk/media/5da47329ed915d17b9646841/hate-crime-1819-hosb2419.pdf [Accessed 5June 2024</w:t>
      </w:r>
    </w:p>
    <w:p w14:paraId="24A3080D"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proofErr w:type="spellStart"/>
      <w:r w:rsidRPr="00132D07">
        <w:rPr>
          <w:rFonts w:cstheme="minorHAnsi"/>
          <w:color w:val="000000"/>
          <w:sz w:val="24"/>
          <w:szCs w:val="24"/>
          <w:shd w:val="clear" w:color="auto" w:fill="FFFFFF"/>
        </w:rPr>
        <w:t>Homel</w:t>
      </w:r>
      <w:proofErr w:type="spellEnd"/>
      <w:r w:rsidRPr="00132D07">
        <w:rPr>
          <w:rFonts w:cstheme="minorHAnsi"/>
          <w:color w:val="000000"/>
          <w:sz w:val="24"/>
          <w:szCs w:val="24"/>
          <w:shd w:val="clear" w:color="auto" w:fill="FFFFFF"/>
        </w:rPr>
        <w:t xml:space="preserve"> et al. (1999). </w:t>
      </w:r>
      <w:r w:rsidRPr="00132D07">
        <w:rPr>
          <w:rFonts w:cstheme="minorHAnsi"/>
          <w:i/>
          <w:iCs/>
          <w:color w:val="000000"/>
          <w:sz w:val="24"/>
          <w:szCs w:val="24"/>
        </w:rPr>
        <w:t>Pathways to prevention: Developmental and early intervention approaches to crime in Australia</w:t>
      </w:r>
      <w:r w:rsidRPr="00132D07">
        <w:rPr>
          <w:rFonts w:cstheme="minorHAnsi"/>
          <w:color w:val="000000"/>
          <w:sz w:val="24"/>
          <w:szCs w:val="24"/>
          <w:shd w:val="clear" w:color="auto" w:fill="FFFFFF"/>
        </w:rPr>
        <w:t>. [Online]. National Crime Prevention. Last Updated: 1999. Available at: https://webarchive.nla.gov.au/awa/20040916074406/http://pandora.nla.gov.au/pan/21248/20010922-0000/l [Accessed 5 June 2024]</w:t>
      </w:r>
    </w:p>
    <w:p w14:paraId="1D78A67A"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proofErr w:type="spellStart"/>
      <w:r w:rsidRPr="00132D07">
        <w:rPr>
          <w:rFonts w:cstheme="minorHAnsi"/>
          <w:color w:val="000000"/>
          <w:sz w:val="24"/>
          <w:szCs w:val="24"/>
          <w:shd w:val="clear" w:color="auto" w:fill="FFFFFF"/>
        </w:rPr>
        <w:t>Homel</w:t>
      </w:r>
      <w:proofErr w:type="spellEnd"/>
      <w:r w:rsidRPr="00132D07">
        <w:rPr>
          <w:rFonts w:cstheme="minorHAnsi"/>
          <w:color w:val="000000"/>
          <w:sz w:val="24"/>
          <w:szCs w:val="24"/>
          <w:shd w:val="clear" w:color="auto" w:fill="FFFFFF"/>
        </w:rPr>
        <w:t xml:space="preserve">, R and Thomsen, L (2005) ‘Developmental Crime Prevention’, in Tilley, N and Sidebottom, </w:t>
      </w:r>
      <w:r w:rsidRPr="00132D07">
        <w:rPr>
          <w:rFonts w:cstheme="minorHAnsi"/>
          <w:i/>
          <w:iCs/>
          <w:color w:val="000000"/>
          <w:sz w:val="24"/>
          <w:szCs w:val="24"/>
          <w:shd w:val="clear" w:color="auto" w:fill="FFFFFF"/>
        </w:rPr>
        <w:t>A Handbook of Crime Prevention and Community Safety.</w:t>
      </w:r>
      <w:r w:rsidRPr="00132D07">
        <w:rPr>
          <w:rFonts w:cstheme="minorHAnsi"/>
          <w:color w:val="000000"/>
          <w:sz w:val="24"/>
          <w:szCs w:val="24"/>
          <w:shd w:val="clear" w:color="auto" w:fill="FFFFFF"/>
        </w:rPr>
        <w:t xml:space="preserve"> London: Routledge </w:t>
      </w:r>
    </w:p>
    <w:p w14:paraId="3897624C" w14:textId="77777777" w:rsidR="007725A9" w:rsidRPr="00132D07" w:rsidRDefault="007725A9" w:rsidP="007725A9">
      <w:pPr>
        <w:spacing w:line="360" w:lineRule="auto"/>
        <w:rPr>
          <w:rFonts w:cstheme="minorHAnsi"/>
          <w:color w:val="000000"/>
          <w:sz w:val="24"/>
          <w:szCs w:val="24"/>
          <w:shd w:val="clear" w:color="auto" w:fill="FFFFFF"/>
        </w:rPr>
      </w:pPr>
      <w:proofErr w:type="spellStart"/>
      <w:r w:rsidRPr="00132D07">
        <w:rPr>
          <w:rFonts w:cstheme="minorHAnsi"/>
          <w:color w:val="000000"/>
          <w:sz w:val="24"/>
          <w:szCs w:val="24"/>
          <w:shd w:val="clear" w:color="auto" w:fill="FFFFFF"/>
        </w:rPr>
        <w:t>Leober</w:t>
      </w:r>
      <w:proofErr w:type="spellEnd"/>
      <w:r w:rsidRPr="00132D07">
        <w:rPr>
          <w:rFonts w:cstheme="minorHAnsi"/>
          <w:color w:val="000000"/>
          <w:sz w:val="24"/>
          <w:szCs w:val="24"/>
          <w:shd w:val="clear" w:color="auto" w:fill="FFFFFF"/>
        </w:rPr>
        <w:t>, R and Stallings, R (2011) ‘</w:t>
      </w:r>
      <w:proofErr w:type="spellStart"/>
      <w:r w:rsidRPr="00132D07">
        <w:rPr>
          <w:rFonts w:cstheme="minorHAnsi"/>
          <w:color w:val="333333"/>
          <w:sz w:val="24"/>
          <w:szCs w:val="24"/>
          <w:shd w:val="clear" w:color="auto" w:fill="FFFFFF"/>
        </w:rPr>
        <w:t>Modeling</w:t>
      </w:r>
      <w:proofErr w:type="spellEnd"/>
      <w:r w:rsidRPr="00132D07">
        <w:rPr>
          <w:rFonts w:cstheme="minorHAnsi"/>
          <w:color w:val="333333"/>
          <w:sz w:val="24"/>
          <w:szCs w:val="24"/>
          <w:shd w:val="clear" w:color="auto" w:fill="FFFFFF"/>
        </w:rPr>
        <w:t xml:space="preserve"> the impact of interventions on local indicators of offending, victimization, and incarceration’, in </w:t>
      </w:r>
      <w:proofErr w:type="spellStart"/>
      <w:r w:rsidRPr="00132D07">
        <w:rPr>
          <w:rFonts w:cstheme="minorHAnsi"/>
          <w:color w:val="333333"/>
          <w:sz w:val="24"/>
          <w:szCs w:val="24"/>
          <w:shd w:val="clear" w:color="auto" w:fill="FFFFFF"/>
        </w:rPr>
        <w:t>Loeber</w:t>
      </w:r>
      <w:proofErr w:type="spellEnd"/>
      <w:r w:rsidRPr="00132D07">
        <w:rPr>
          <w:rFonts w:cstheme="minorHAnsi"/>
          <w:color w:val="333333"/>
          <w:sz w:val="24"/>
          <w:szCs w:val="24"/>
          <w:shd w:val="clear" w:color="auto" w:fill="FFFFFF"/>
        </w:rPr>
        <w:t xml:space="preserve"> R., Farrington D. P. (Eds.), </w:t>
      </w:r>
      <w:r w:rsidRPr="00132D07">
        <w:rPr>
          <w:rStyle w:val="Emphasis"/>
          <w:rFonts w:cstheme="minorHAnsi"/>
          <w:color w:val="333333"/>
          <w:sz w:val="24"/>
          <w:szCs w:val="24"/>
          <w:shd w:val="clear" w:color="auto" w:fill="FFFFFF"/>
        </w:rPr>
        <w:t>Young homicide offenders and victims: Risk factors, prediction, and prevention from childhood</w:t>
      </w:r>
      <w:r w:rsidRPr="00132D07">
        <w:rPr>
          <w:rFonts w:cstheme="minorHAnsi"/>
          <w:color w:val="333333"/>
          <w:sz w:val="24"/>
          <w:szCs w:val="24"/>
          <w:shd w:val="clear" w:color="auto" w:fill="FFFFFF"/>
        </w:rPr>
        <w:t> New York: Springer</w:t>
      </w:r>
    </w:p>
    <w:p w14:paraId="22A2DE7E" w14:textId="77777777" w:rsidR="007725A9" w:rsidRPr="007411A9" w:rsidRDefault="007725A9" w:rsidP="007725A9">
      <w:pPr>
        <w:spacing w:line="360" w:lineRule="auto"/>
        <w:rPr>
          <w:rFonts w:cstheme="minorHAnsi"/>
          <w:color w:val="000000"/>
          <w:sz w:val="24"/>
          <w:szCs w:val="24"/>
          <w:shd w:val="clear" w:color="auto" w:fill="FFFFFF"/>
        </w:rPr>
      </w:pPr>
      <w:r w:rsidRPr="007411A9">
        <w:rPr>
          <w:rFonts w:cstheme="minorHAnsi"/>
          <w:color w:val="000000"/>
          <w:sz w:val="24"/>
          <w:szCs w:val="24"/>
          <w:shd w:val="clear" w:color="auto" w:fill="FFFFFF"/>
        </w:rPr>
        <w:t>Lochner, L. (1999). </w:t>
      </w:r>
      <w:r w:rsidRPr="007411A9">
        <w:rPr>
          <w:rFonts w:cstheme="minorHAnsi"/>
          <w:i/>
          <w:iCs/>
          <w:color w:val="000000"/>
          <w:sz w:val="24"/>
          <w:szCs w:val="24"/>
        </w:rPr>
        <w:t>Education, Word and Crime: Theory and Evidence</w:t>
      </w:r>
      <w:r w:rsidRPr="007411A9">
        <w:rPr>
          <w:rFonts w:cstheme="minorHAnsi"/>
          <w:color w:val="000000"/>
          <w:sz w:val="24"/>
          <w:szCs w:val="24"/>
          <w:shd w:val="clear" w:color="auto" w:fill="FFFFFF"/>
        </w:rPr>
        <w:t>. [Online]. Rochester Centre for Economic Research. Last Updated: 1999. Available at: https://elsevier-ssrn-</w:t>
      </w:r>
      <w:r w:rsidRPr="007411A9">
        <w:rPr>
          <w:rFonts w:cstheme="minorHAnsi"/>
          <w:color w:val="000000"/>
          <w:sz w:val="24"/>
          <w:szCs w:val="24"/>
          <w:shd w:val="clear" w:color="auto" w:fill="FFFFFF"/>
        </w:rPr>
        <w:lastRenderedPageBreak/>
        <w:t>document-store-prod.s3.amazonaws.com/0002/000203303.pdf?response-content-dispo [Accessed 4 June 2024].</w:t>
      </w:r>
    </w:p>
    <w:p w14:paraId="5D3E5C4B" w14:textId="77777777" w:rsidR="007725A9" w:rsidRPr="003A3BA6" w:rsidRDefault="007725A9" w:rsidP="007725A9">
      <w:pPr>
        <w:tabs>
          <w:tab w:val="left" w:pos="3090"/>
        </w:tabs>
        <w:spacing w:line="360" w:lineRule="auto"/>
        <w:rPr>
          <w:rStyle w:val="Hyperlink"/>
          <w:rFonts w:cstheme="minorHAnsi"/>
          <w:color w:val="000000"/>
          <w:sz w:val="24"/>
          <w:szCs w:val="24"/>
          <w:u w:val="none"/>
          <w:shd w:val="clear" w:color="auto" w:fill="FFFFFF"/>
        </w:rPr>
      </w:pPr>
      <w:r w:rsidRPr="003A3BA6">
        <w:rPr>
          <w:rStyle w:val="Hyperlink"/>
          <w:rFonts w:cstheme="minorHAnsi"/>
          <w:color w:val="000000"/>
          <w:sz w:val="24"/>
          <w:szCs w:val="24"/>
          <w:u w:val="none"/>
          <w:shd w:val="clear" w:color="auto" w:fill="FFFFFF"/>
        </w:rPr>
        <w:t xml:space="preserve">Loftus, B. (2009) </w:t>
      </w:r>
      <w:r w:rsidRPr="003A3BA6">
        <w:rPr>
          <w:rStyle w:val="Hyperlink"/>
          <w:rFonts w:cstheme="minorHAnsi"/>
          <w:i/>
          <w:iCs/>
          <w:color w:val="000000"/>
          <w:sz w:val="24"/>
          <w:szCs w:val="24"/>
          <w:u w:val="none"/>
          <w:shd w:val="clear" w:color="auto" w:fill="FFFFFF"/>
        </w:rPr>
        <w:t>Police Culture in a Changing World</w:t>
      </w:r>
      <w:r w:rsidRPr="003A3BA6">
        <w:rPr>
          <w:rStyle w:val="Hyperlink"/>
          <w:rFonts w:cstheme="minorHAnsi"/>
          <w:color w:val="000000"/>
          <w:sz w:val="24"/>
          <w:szCs w:val="24"/>
          <w:u w:val="none"/>
          <w:shd w:val="clear" w:color="auto" w:fill="FFFFFF"/>
        </w:rPr>
        <w:t>. London: Oxford University Press</w:t>
      </w:r>
    </w:p>
    <w:p w14:paraId="3C677EE4" w14:textId="77777777" w:rsidR="007725A9" w:rsidRPr="008C21E3" w:rsidRDefault="007725A9" w:rsidP="007725A9">
      <w:pPr>
        <w:spacing w:line="360" w:lineRule="auto"/>
        <w:rPr>
          <w:rFonts w:cstheme="minorHAnsi"/>
          <w:color w:val="000000"/>
          <w:sz w:val="24"/>
          <w:szCs w:val="24"/>
          <w:shd w:val="clear" w:color="auto" w:fill="FFFFFF"/>
        </w:rPr>
      </w:pPr>
      <w:r w:rsidRPr="008C21E3">
        <w:rPr>
          <w:rFonts w:cstheme="minorHAnsi"/>
          <w:color w:val="000000"/>
          <w:sz w:val="24"/>
          <w:szCs w:val="24"/>
          <w:shd w:val="clear" w:color="auto" w:fill="FFFFFF"/>
        </w:rPr>
        <w:t>Macpherson, W. (1999). THE STEPHEN LAWRENCE INQUIRY. </w:t>
      </w:r>
      <w:r w:rsidRPr="008C21E3">
        <w:rPr>
          <w:rFonts w:cstheme="minorHAnsi"/>
          <w:i/>
          <w:iCs/>
          <w:color w:val="000000"/>
          <w:sz w:val="24"/>
          <w:szCs w:val="24"/>
        </w:rPr>
        <w:t>THE STEPHEN LAWRENCE INQUIRY</w:t>
      </w:r>
      <w:r w:rsidRPr="008C21E3">
        <w:rPr>
          <w:rFonts w:cstheme="minorHAnsi"/>
          <w:color w:val="000000"/>
          <w:sz w:val="24"/>
          <w:szCs w:val="24"/>
          <w:shd w:val="clear" w:color="auto" w:fill="FFFFFF"/>
        </w:rPr>
        <w:t>. pp.1-389. [Online]. Available at: https://assets.publishing.service.gov.uk/media/5a7c2af540f0b645ba3c7202/4262.pdf [Accessed 04 June 2024].</w:t>
      </w:r>
    </w:p>
    <w:p w14:paraId="697BBBE7" w14:textId="4907FB37" w:rsidR="007725A9" w:rsidRPr="007411A9" w:rsidRDefault="007725A9" w:rsidP="007725A9">
      <w:pPr>
        <w:spacing w:line="360" w:lineRule="auto"/>
        <w:rPr>
          <w:rFonts w:cstheme="minorHAnsi"/>
          <w:sz w:val="24"/>
          <w:szCs w:val="24"/>
        </w:rPr>
      </w:pPr>
      <w:r w:rsidRPr="007411A9">
        <w:rPr>
          <w:rFonts w:cstheme="minorHAnsi"/>
          <w:sz w:val="24"/>
          <w:szCs w:val="24"/>
        </w:rPr>
        <w:t xml:space="preserve">Maxwell et al, (2019) </w:t>
      </w:r>
      <w:r w:rsidRPr="007411A9">
        <w:rPr>
          <w:rFonts w:cstheme="minorHAnsi"/>
          <w:i/>
          <w:iCs/>
          <w:sz w:val="24"/>
          <w:szCs w:val="24"/>
        </w:rPr>
        <w:t>A Systematic Map and Synthesis Review of Child Criminal Exploitation.</w:t>
      </w:r>
      <w:r w:rsidRPr="007411A9">
        <w:rPr>
          <w:rFonts w:cstheme="minorHAnsi"/>
          <w:sz w:val="24"/>
          <w:szCs w:val="24"/>
        </w:rPr>
        <w:t xml:space="preserve"> [online] </w:t>
      </w:r>
      <w:r w:rsidRPr="007411A9">
        <w:rPr>
          <w:rFonts w:cstheme="minorHAnsi"/>
          <w:i/>
          <w:iCs/>
          <w:sz w:val="24"/>
          <w:szCs w:val="24"/>
        </w:rPr>
        <w:t>Cascade</w:t>
      </w:r>
      <w:r w:rsidRPr="007411A9">
        <w:rPr>
          <w:rFonts w:cstheme="minorHAnsi"/>
          <w:sz w:val="24"/>
          <w:szCs w:val="24"/>
        </w:rPr>
        <w:t>, Cardiff University: Cardiff University, pp 1–56. Available at: https://cascadewales.org/wp-content/uploads/sites/3/2020/11/A-systematic-map-and-synthesis-review-of-Child-Criminal-Exploitation-October-2019-1.pdf [Accessed 3 June 2024].</w:t>
      </w:r>
    </w:p>
    <w:p w14:paraId="4AE48D45" w14:textId="77777777" w:rsidR="007725A9" w:rsidRPr="003A3BA6" w:rsidRDefault="007725A9" w:rsidP="007725A9">
      <w:pPr>
        <w:tabs>
          <w:tab w:val="center" w:pos="4513"/>
        </w:tabs>
        <w:spacing w:line="360" w:lineRule="auto"/>
        <w:rPr>
          <w:rStyle w:val="Hyperlink"/>
          <w:rFonts w:cstheme="minorHAnsi"/>
          <w:color w:val="000000"/>
          <w:sz w:val="24"/>
          <w:szCs w:val="24"/>
          <w:u w:val="none"/>
          <w:shd w:val="clear" w:color="auto" w:fill="FFFFFF"/>
        </w:rPr>
      </w:pPr>
      <w:r w:rsidRPr="003A3BA6">
        <w:rPr>
          <w:rStyle w:val="Hyperlink"/>
          <w:rFonts w:cstheme="minorHAnsi"/>
          <w:color w:val="000000"/>
          <w:sz w:val="24"/>
          <w:szCs w:val="24"/>
          <w:u w:val="none"/>
          <w:shd w:val="clear" w:color="auto" w:fill="FFFFFF"/>
        </w:rPr>
        <w:t xml:space="preserve">Miller, J and Quinton, P. (2020) </w:t>
      </w:r>
      <w:r w:rsidRPr="003A3BA6">
        <w:rPr>
          <w:rStyle w:val="Hyperlink"/>
          <w:rFonts w:cstheme="minorHAnsi"/>
          <w:color w:val="000000"/>
          <w:sz w:val="24"/>
          <w:szCs w:val="24"/>
          <w:u w:val="none"/>
          <w:shd w:val="clear" w:color="auto" w:fill="FFFFFF"/>
        </w:rPr>
        <w:tab/>
        <w:t>Can police training reduce ethnic/racial disparities in stop and search? Evidence from a multisite UK trial, Criminology and Public Policy. United States: American Society of Criminology.</w:t>
      </w:r>
    </w:p>
    <w:p w14:paraId="3D0C6FAD" w14:textId="77777777" w:rsidR="007725A9" w:rsidRPr="003A3BA6" w:rsidRDefault="007725A9" w:rsidP="007725A9">
      <w:pPr>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 xml:space="preserve">Nagin et al. (2015) </w:t>
      </w:r>
      <w:r w:rsidRPr="003A3BA6">
        <w:rPr>
          <w:rFonts w:cstheme="minorHAnsi"/>
          <w:i/>
          <w:iCs/>
          <w:color w:val="000000"/>
          <w:sz w:val="24"/>
          <w:szCs w:val="24"/>
          <w:shd w:val="clear" w:color="auto" w:fill="FFFFFF"/>
        </w:rPr>
        <w:t xml:space="preserve">Deterrence, Criminal Opportunities and Police </w:t>
      </w:r>
      <w:r w:rsidRPr="003A3BA6">
        <w:rPr>
          <w:rFonts w:cstheme="minorHAnsi"/>
          <w:color w:val="000000"/>
          <w:sz w:val="24"/>
          <w:szCs w:val="24"/>
          <w:shd w:val="clear" w:color="auto" w:fill="FFFFFF"/>
        </w:rPr>
        <w:t>pp 1-27. Available at: https://onlinelibrary.wiley.com/doi/10.1111/1745-9125.12057 [Accessed 2 June 2024]</w:t>
      </w:r>
    </w:p>
    <w:p w14:paraId="212510FF" w14:textId="77777777" w:rsidR="007725A9" w:rsidRPr="007411A9" w:rsidRDefault="007725A9" w:rsidP="007725A9">
      <w:pPr>
        <w:spacing w:line="360" w:lineRule="auto"/>
        <w:rPr>
          <w:rFonts w:cstheme="minorHAnsi"/>
          <w:sz w:val="24"/>
          <w:szCs w:val="24"/>
        </w:rPr>
      </w:pPr>
      <w:proofErr w:type="spellStart"/>
      <w:r w:rsidRPr="007411A9">
        <w:rPr>
          <w:rFonts w:cstheme="minorHAnsi"/>
          <w:i/>
          <w:iCs/>
          <w:sz w:val="24"/>
          <w:szCs w:val="24"/>
        </w:rPr>
        <w:t>nology</w:t>
      </w:r>
      <w:proofErr w:type="spellEnd"/>
      <w:r w:rsidRPr="007411A9">
        <w:rPr>
          <w:rFonts w:cstheme="minorHAnsi"/>
          <w:sz w:val="24"/>
          <w:szCs w:val="24"/>
        </w:rPr>
        <w:t xml:space="preserve"> 35(1) pp 177-201</w:t>
      </w:r>
    </w:p>
    <w:p w14:paraId="2609D59D" w14:textId="77777777" w:rsidR="007725A9" w:rsidRPr="007411A9" w:rsidRDefault="007725A9" w:rsidP="007725A9">
      <w:pPr>
        <w:tabs>
          <w:tab w:val="left" w:pos="2715"/>
        </w:tabs>
        <w:spacing w:line="360" w:lineRule="auto"/>
        <w:rPr>
          <w:rFonts w:cstheme="minorHAnsi"/>
          <w:sz w:val="24"/>
          <w:szCs w:val="24"/>
        </w:rPr>
      </w:pPr>
      <w:r w:rsidRPr="007411A9">
        <w:rPr>
          <w:rFonts w:cstheme="minorHAnsi"/>
          <w:sz w:val="24"/>
          <w:szCs w:val="24"/>
        </w:rPr>
        <w:t xml:space="preserve">Norman, J. (2024) ‘Criminal Exploitation, Child Criminal Exploitation and County Lines’ in </w:t>
      </w:r>
      <w:proofErr w:type="spellStart"/>
      <w:r w:rsidRPr="007411A9">
        <w:rPr>
          <w:rFonts w:cstheme="minorHAnsi"/>
          <w:sz w:val="24"/>
          <w:szCs w:val="24"/>
        </w:rPr>
        <w:t>Fiander</w:t>
      </w:r>
      <w:proofErr w:type="spellEnd"/>
      <w:r w:rsidRPr="007411A9">
        <w:rPr>
          <w:rFonts w:cstheme="minorHAnsi"/>
          <w:sz w:val="24"/>
          <w:szCs w:val="24"/>
        </w:rPr>
        <w:t xml:space="preserve">, A and </w:t>
      </w:r>
      <w:proofErr w:type="spellStart"/>
      <w:r w:rsidRPr="007411A9">
        <w:rPr>
          <w:rFonts w:cstheme="minorHAnsi"/>
          <w:sz w:val="24"/>
          <w:szCs w:val="24"/>
        </w:rPr>
        <w:t>Lasonder</w:t>
      </w:r>
      <w:proofErr w:type="spellEnd"/>
      <w:r w:rsidRPr="007411A9">
        <w:rPr>
          <w:rFonts w:cstheme="minorHAnsi"/>
          <w:sz w:val="24"/>
          <w:szCs w:val="24"/>
        </w:rPr>
        <w:t xml:space="preserve"> J (eds) </w:t>
      </w:r>
      <w:r w:rsidRPr="007411A9">
        <w:rPr>
          <w:rFonts w:cstheme="minorHAnsi"/>
          <w:i/>
          <w:iCs/>
          <w:sz w:val="24"/>
          <w:szCs w:val="24"/>
        </w:rPr>
        <w:t>Health and Slavery.</w:t>
      </w:r>
      <w:r w:rsidRPr="007411A9">
        <w:rPr>
          <w:rFonts w:cstheme="minorHAnsi"/>
          <w:sz w:val="24"/>
          <w:szCs w:val="24"/>
        </w:rPr>
        <w:t xml:space="preserve"> Cham: Springer</w:t>
      </w:r>
    </w:p>
    <w:p w14:paraId="6254ACBE"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O'Conner, R and Waddell, S. (2015). </w:t>
      </w:r>
      <w:r w:rsidRPr="00132D07">
        <w:rPr>
          <w:rFonts w:cstheme="minorHAnsi"/>
          <w:i/>
          <w:iCs/>
          <w:color w:val="000000"/>
          <w:sz w:val="24"/>
          <w:szCs w:val="24"/>
        </w:rPr>
        <w:t>What works to prevent gang involvement, youth violence and crime: A rapid review of interventions delivered in the UK an</w:t>
      </w:r>
      <w:r w:rsidRPr="00132D07">
        <w:rPr>
          <w:rFonts w:cstheme="minorHAnsi"/>
          <w:color w:val="000000"/>
          <w:sz w:val="24"/>
          <w:szCs w:val="24"/>
          <w:shd w:val="clear" w:color="auto" w:fill="FFFFFF"/>
        </w:rPr>
        <w:t>. [Online]. Early Intervention Foundation. Last Updated: 2015. Available at: https://www.eif.org.uk/report/what-works-to-prevent-gang-involvement-youth-violence-and-crime-a-rapi [Accessed 5 June 2024]</w:t>
      </w:r>
    </w:p>
    <w:p w14:paraId="6573E484" w14:textId="77777777" w:rsidR="007725A9" w:rsidRPr="00132D07" w:rsidRDefault="007725A9" w:rsidP="007725A9">
      <w:pPr>
        <w:shd w:val="clear" w:color="auto" w:fill="FFFFFF"/>
        <w:spacing w:after="0" w:line="360" w:lineRule="auto"/>
        <w:rPr>
          <w:rFonts w:eastAsia="Times New Roman" w:cstheme="minorHAnsi"/>
          <w:color w:val="1F1F1F"/>
          <w:kern w:val="0"/>
          <w:sz w:val="24"/>
          <w:szCs w:val="24"/>
          <w:lang w:eastAsia="en-GB"/>
          <w14:ligatures w14:val="none"/>
        </w:rPr>
      </w:pPr>
      <w:r w:rsidRPr="00132D07">
        <w:rPr>
          <w:rFonts w:eastAsia="Times New Roman" w:cstheme="minorHAnsi"/>
          <w:color w:val="1F1F1F"/>
          <w:kern w:val="0"/>
          <w:sz w:val="24"/>
          <w:szCs w:val="24"/>
          <w:lang w:eastAsia="en-GB"/>
          <w14:ligatures w14:val="none"/>
        </w:rPr>
        <w:t>Odgers et al. (2008)</w:t>
      </w:r>
      <w:r w:rsidRPr="00132D07">
        <w:rPr>
          <w:rFonts w:cstheme="minorHAnsi"/>
          <w:sz w:val="24"/>
          <w:szCs w:val="24"/>
        </w:rPr>
        <w:t xml:space="preserve"> ‘</w:t>
      </w:r>
      <w:r w:rsidRPr="00132D07">
        <w:rPr>
          <w:rFonts w:eastAsia="Times New Roman" w:cstheme="minorHAnsi"/>
          <w:color w:val="1F1F1F"/>
          <w:kern w:val="0"/>
          <w:sz w:val="24"/>
          <w:szCs w:val="24"/>
          <w:lang w:eastAsia="en-GB"/>
          <w14:ligatures w14:val="none"/>
        </w:rPr>
        <w:t xml:space="preserve">Female and male antisocial trajectories: From childhood origins to adult outcomes’, </w:t>
      </w:r>
      <w:r w:rsidRPr="00132D07">
        <w:rPr>
          <w:rFonts w:eastAsia="Times New Roman" w:cstheme="minorHAnsi"/>
          <w:i/>
          <w:iCs/>
          <w:color w:val="1F1F1F"/>
          <w:kern w:val="0"/>
          <w:sz w:val="24"/>
          <w:szCs w:val="24"/>
          <w:lang w:eastAsia="en-GB"/>
          <w14:ligatures w14:val="none"/>
        </w:rPr>
        <w:t>Development and Psychopathology</w:t>
      </w:r>
      <w:r w:rsidRPr="00132D07">
        <w:rPr>
          <w:rFonts w:eastAsia="Times New Roman" w:cstheme="minorHAnsi"/>
          <w:color w:val="1F1F1F"/>
          <w:kern w:val="0"/>
          <w:sz w:val="24"/>
          <w:szCs w:val="24"/>
          <w:lang w:eastAsia="en-GB"/>
          <w14:ligatures w14:val="none"/>
        </w:rPr>
        <w:t xml:space="preserve"> 20(2) pp 673-716</w:t>
      </w:r>
    </w:p>
    <w:p w14:paraId="2A128095" w14:textId="77777777" w:rsidR="007725A9" w:rsidRPr="003A3BA6" w:rsidRDefault="007725A9" w:rsidP="007725A9">
      <w:pPr>
        <w:spacing w:line="360" w:lineRule="auto"/>
        <w:rPr>
          <w:rFonts w:cstheme="minorHAnsi"/>
          <w:sz w:val="24"/>
          <w:szCs w:val="24"/>
        </w:rPr>
      </w:pPr>
      <w:r w:rsidRPr="003A3BA6">
        <w:rPr>
          <w:rFonts w:cstheme="minorHAnsi"/>
          <w:sz w:val="24"/>
          <w:szCs w:val="24"/>
        </w:rPr>
        <w:lastRenderedPageBreak/>
        <w:t>Owens, C and Finn, W. (2018). Body-worn video through the lens of a cluster randomized controlled trial in London: Implications for future research. Policing: A Journal of Policy and Practice, 12(1), pp 77–82. Oxford: Oxford University Press</w:t>
      </w:r>
    </w:p>
    <w:p w14:paraId="22DBABCC" w14:textId="77777777" w:rsidR="007725A9" w:rsidRPr="003A3BA6" w:rsidRDefault="007725A9" w:rsidP="007725A9">
      <w:pPr>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 xml:space="preserve">Owens, C and Mann, D and Mckenna, R. (2014) </w:t>
      </w:r>
      <w:r w:rsidRPr="003A3BA6">
        <w:rPr>
          <w:rStyle w:val="Emphasis"/>
          <w:rFonts w:cstheme="minorHAnsi"/>
          <w:color w:val="333333"/>
          <w:sz w:val="24"/>
          <w:szCs w:val="24"/>
          <w:shd w:val="clear" w:color="auto" w:fill="FFFFFF"/>
        </w:rPr>
        <w:t>The Essex body worn video trial: The impact of body worn video on criminal justice outcomes of domestic abuse incidents</w:t>
      </w:r>
      <w:r w:rsidRPr="003A3BA6">
        <w:rPr>
          <w:rFonts w:cstheme="minorHAnsi"/>
          <w:color w:val="333333"/>
          <w:sz w:val="24"/>
          <w:szCs w:val="24"/>
          <w:shd w:val="clear" w:color="auto" w:fill="FFFFFF"/>
        </w:rPr>
        <w:t xml:space="preserve">, 12(1) pp 77-82. Essex: Collage of Policing </w:t>
      </w:r>
    </w:p>
    <w:p w14:paraId="605A7884" w14:textId="77777777" w:rsidR="007725A9" w:rsidRPr="00132D07" w:rsidRDefault="007725A9" w:rsidP="007725A9">
      <w:pPr>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Piquero et al. (2008)</w:t>
      </w:r>
    </w:p>
    <w:p w14:paraId="09CE3DC4"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Piquero et al. (2008) Effects of early family/parent training programs on antisocial behaviour &amp; delinquency. United States: U.S Department of Justice</w:t>
      </w:r>
    </w:p>
    <w:p w14:paraId="48244B90" w14:textId="77777777" w:rsidR="007725A9" w:rsidRPr="00132D07" w:rsidRDefault="007725A9" w:rsidP="007725A9">
      <w:pPr>
        <w:spacing w:line="360" w:lineRule="auto"/>
        <w:rPr>
          <w:rFonts w:cstheme="minorHAnsi"/>
          <w:color w:val="000000"/>
          <w:sz w:val="24"/>
          <w:szCs w:val="24"/>
          <w:shd w:val="clear" w:color="auto" w:fill="FFFFFF"/>
        </w:rPr>
      </w:pPr>
      <w:r w:rsidRPr="00132D07">
        <w:rPr>
          <w:rFonts w:cstheme="minorHAnsi"/>
          <w:sz w:val="24"/>
          <w:szCs w:val="24"/>
        </w:rPr>
        <w:t>Piquero, A. R., Farrington, D., Welsh, B. C., Tremblay, R., &amp; Jennings, W. G. (2008). Effects of early family/parent training programs on antisocial behaviour &amp; delinquency. Campbell Systematic Reviews, 2008:11. Available from: http://www.campbellcollaboration.org/lib/project/43/</w:t>
      </w:r>
    </w:p>
    <w:p w14:paraId="3373B877" w14:textId="77777777" w:rsidR="007725A9" w:rsidRPr="008C21E3" w:rsidRDefault="007725A9" w:rsidP="007725A9">
      <w:pPr>
        <w:tabs>
          <w:tab w:val="left" w:pos="1340"/>
        </w:tabs>
        <w:spacing w:line="360" w:lineRule="auto"/>
        <w:rPr>
          <w:rFonts w:cstheme="minorHAnsi"/>
          <w:color w:val="000000"/>
          <w:sz w:val="24"/>
          <w:szCs w:val="24"/>
          <w:shd w:val="clear" w:color="auto" w:fill="FFFFFF"/>
        </w:rPr>
      </w:pPr>
      <w:r w:rsidRPr="008C21E3">
        <w:rPr>
          <w:rFonts w:cstheme="minorHAnsi"/>
          <w:color w:val="000000"/>
          <w:sz w:val="24"/>
          <w:szCs w:val="24"/>
          <w:shd w:val="clear" w:color="auto" w:fill="FFFFFF"/>
        </w:rPr>
        <w:t>Reid, K. (2009). ‘Race Issues and Stop and Search: Looking behind the Statistics’, </w:t>
      </w:r>
      <w:r w:rsidRPr="008C21E3">
        <w:rPr>
          <w:rFonts w:cstheme="minorHAnsi"/>
          <w:i/>
          <w:iCs/>
          <w:color w:val="000000"/>
          <w:sz w:val="24"/>
          <w:szCs w:val="24"/>
        </w:rPr>
        <w:t>The Journal of Criminal Law</w:t>
      </w:r>
      <w:r w:rsidRPr="008C21E3">
        <w:rPr>
          <w:rFonts w:cstheme="minorHAnsi"/>
          <w:color w:val="000000"/>
          <w:sz w:val="24"/>
          <w:szCs w:val="24"/>
          <w:shd w:val="clear" w:color="auto" w:fill="FFFFFF"/>
        </w:rPr>
        <w:t>. 73(2) pp 165-138</w:t>
      </w:r>
    </w:p>
    <w:p w14:paraId="79788F4F" w14:textId="77777777" w:rsidR="007725A9" w:rsidRPr="003A3BA6" w:rsidRDefault="007725A9" w:rsidP="007725A9">
      <w:pPr>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 xml:space="preserve">Ren et al. (2014) ‘Linking confidence in the police with the performance of the police: Community policing can make a difference’ </w:t>
      </w:r>
      <w:r w:rsidRPr="003A3BA6">
        <w:rPr>
          <w:rFonts w:cstheme="minorHAnsi"/>
          <w:i/>
          <w:iCs/>
          <w:sz w:val="24"/>
          <w:szCs w:val="24"/>
        </w:rPr>
        <w:t>Journal of Criminal Justice</w:t>
      </w:r>
      <w:r w:rsidRPr="003A3BA6">
        <w:rPr>
          <w:rFonts w:cstheme="minorHAnsi"/>
          <w:color w:val="000000"/>
          <w:sz w:val="24"/>
          <w:szCs w:val="24"/>
          <w:shd w:val="clear" w:color="auto" w:fill="FFFFFF"/>
        </w:rPr>
        <w:t xml:space="preserve">, 33(1) pp 55-66. </w:t>
      </w:r>
    </w:p>
    <w:p w14:paraId="211EC0FD" w14:textId="77777777" w:rsidR="007725A9" w:rsidRPr="003A3BA6" w:rsidRDefault="007725A9" w:rsidP="007725A9">
      <w:pPr>
        <w:spacing w:line="360" w:lineRule="auto"/>
        <w:rPr>
          <w:rFonts w:cstheme="minorHAnsi"/>
          <w:color w:val="000000"/>
          <w:sz w:val="24"/>
          <w:szCs w:val="24"/>
          <w:shd w:val="clear" w:color="auto" w:fill="FFFFFF"/>
        </w:rPr>
      </w:pPr>
      <w:r w:rsidRPr="003A3BA6">
        <w:rPr>
          <w:rFonts w:cstheme="minorHAnsi"/>
          <w:color w:val="000000"/>
          <w:sz w:val="24"/>
          <w:szCs w:val="24"/>
          <w:shd w:val="clear" w:color="auto" w:fill="FFFFFF"/>
        </w:rPr>
        <w:t>Rix et al. (2009). </w:t>
      </w:r>
      <w:r w:rsidRPr="003A3BA6">
        <w:rPr>
          <w:rFonts w:cstheme="minorHAnsi"/>
          <w:i/>
          <w:iCs/>
          <w:color w:val="000000"/>
          <w:sz w:val="24"/>
          <w:szCs w:val="24"/>
        </w:rPr>
        <w:t>Improving public confidence in the police: a review of the evidence</w:t>
      </w:r>
      <w:r w:rsidRPr="003A3BA6">
        <w:rPr>
          <w:rFonts w:cstheme="minorHAnsi"/>
          <w:color w:val="000000"/>
          <w:sz w:val="24"/>
          <w:szCs w:val="24"/>
          <w:shd w:val="clear" w:color="auto" w:fill="FFFFFF"/>
        </w:rPr>
        <w:t>. [Online]. Assets Publishing Service. Last Updated: 2009. Available at: https://assets.publishing.service.gov.uk/media/5a7ad199ed915d670dd7ec87/horr50-report.pdf [Accessed 1 June 2024]</w:t>
      </w:r>
    </w:p>
    <w:p w14:paraId="33DE63FB" w14:textId="77777777" w:rsidR="007725A9" w:rsidRPr="008C21E3" w:rsidRDefault="007725A9" w:rsidP="007725A9">
      <w:pPr>
        <w:tabs>
          <w:tab w:val="left" w:pos="1340"/>
        </w:tabs>
        <w:spacing w:line="360" w:lineRule="auto"/>
        <w:rPr>
          <w:rFonts w:cstheme="minorHAnsi"/>
          <w:color w:val="000000"/>
          <w:sz w:val="24"/>
          <w:szCs w:val="24"/>
          <w:shd w:val="clear" w:color="auto" w:fill="FFFFFF"/>
        </w:rPr>
      </w:pPr>
      <w:proofErr w:type="spellStart"/>
      <w:r w:rsidRPr="008C21E3">
        <w:rPr>
          <w:rFonts w:cstheme="minorHAnsi"/>
          <w:color w:val="000000"/>
          <w:sz w:val="24"/>
          <w:szCs w:val="24"/>
          <w:shd w:val="clear" w:color="auto" w:fill="FFFFFF"/>
        </w:rPr>
        <w:t>Roddrick</w:t>
      </w:r>
      <w:proofErr w:type="spellEnd"/>
      <w:r w:rsidRPr="008C21E3">
        <w:rPr>
          <w:rFonts w:cstheme="minorHAnsi"/>
          <w:color w:val="000000"/>
          <w:sz w:val="24"/>
          <w:szCs w:val="24"/>
          <w:shd w:val="clear" w:color="auto" w:fill="FFFFFF"/>
        </w:rPr>
        <w:t>, C. (2015). Shared workplace experiences of lesbian and gay police officers in the United Kingdom. </w:t>
      </w:r>
      <w:r w:rsidRPr="008C21E3">
        <w:rPr>
          <w:rFonts w:cstheme="minorHAnsi"/>
          <w:i/>
          <w:iCs/>
          <w:color w:val="000000"/>
          <w:sz w:val="24"/>
          <w:szCs w:val="24"/>
        </w:rPr>
        <w:t>Scholarly Journal</w:t>
      </w:r>
      <w:r w:rsidRPr="008C21E3">
        <w:rPr>
          <w:rFonts w:cstheme="minorHAnsi"/>
          <w:color w:val="000000"/>
          <w:sz w:val="24"/>
          <w:szCs w:val="24"/>
          <w:shd w:val="clear" w:color="auto" w:fill="FFFFFF"/>
        </w:rPr>
        <w:t>. 38(2), pp.333-349</w:t>
      </w:r>
    </w:p>
    <w:p w14:paraId="75AE6541" w14:textId="77777777" w:rsidR="007725A9" w:rsidRPr="007411A9" w:rsidRDefault="007725A9" w:rsidP="007725A9">
      <w:pPr>
        <w:spacing w:line="360" w:lineRule="auto"/>
        <w:rPr>
          <w:rFonts w:cstheme="minorHAnsi"/>
          <w:i/>
          <w:iCs/>
          <w:sz w:val="24"/>
          <w:szCs w:val="24"/>
        </w:rPr>
      </w:pPr>
      <w:r w:rsidRPr="007411A9">
        <w:rPr>
          <w:rFonts w:cstheme="minorHAnsi"/>
          <w:sz w:val="24"/>
          <w:szCs w:val="24"/>
        </w:rPr>
        <w:t xml:space="preserve">Rowe DC, Farrington DP (1997) ‘The familial transmissions of criminal convictions.’ </w:t>
      </w:r>
      <w:proofErr w:type="spellStart"/>
      <w:r w:rsidRPr="007411A9">
        <w:rPr>
          <w:rFonts w:cstheme="minorHAnsi"/>
          <w:i/>
          <w:iCs/>
          <w:sz w:val="24"/>
          <w:szCs w:val="24"/>
        </w:rPr>
        <w:t>Crimi</w:t>
      </w:r>
      <w:proofErr w:type="spellEnd"/>
    </w:p>
    <w:p w14:paraId="3E6F5CFC" w14:textId="19AAD05B" w:rsidR="007725A9" w:rsidRPr="003A3BA6" w:rsidRDefault="007725A9" w:rsidP="007725A9">
      <w:pPr>
        <w:tabs>
          <w:tab w:val="left" w:pos="3090"/>
        </w:tabs>
        <w:spacing w:line="360" w:lineRule="auto"/>
        <w:rPr>
          <w:rStyle w:val="Hyperlink"/>
          <w:rFonts w:cstheme="minorHAnsi"/>
          <w:color w:val="000000"/>
          <w:sz w:val="24"/>
          <w:szCs w:val="24"/>
          <w:u w:val="none"/>
          <w:shd w:val="clear" w:color="auto" w:fill="FFFFFF"/>
        </w:rPr>
      </w:pPr>
      <w:r w:rsidRPr="003A3BA6">
        <w:rPr>
          <w:rStyle w:val="Hyperlink"/>
          <w:rFonts w:cstheme="minorHAnsi"/>
          <w:color w:val="000000"/>
          <w:sz w:val="24"/>
          <w:szCs w:val="24"/>
          <w:u w:val="none"/>
          <w:shd w:val="clear" w:color="auto" w:fill="FFFFFF"/>
        </w:rPr>
        <w:t>Rusinko, W and Johnson, K.W and Hornung, C.A. (1978) The importance of police contact in the formulation of youths' attitudes toward police,</w:t>
      </w:r>
      <w:r w:rsidRPr="003A3BA6">
        <w:rPr>
          <w:rStyle w:val="Hyperlink"/>
          <w:rFonts w:cstheme="minorHAnsi"/>
          <w:i/>
          <w:iCs/>
          <w:color w:val="000000"/>
          <w:sz w:val="24"/>
          <w:szCs w:val="24"/>
          <w:u w:val="none"/>
          <w:shd w:val="clear" w:color="auto" w:fill="FFFFFF"/>
        </w:rPr>
        <w:t xml:space="preserve"> Journal of Criminal Justice </w:t>
      </w:r>
      <w:r w:rsidRPr="003A3BA6">
        <w:rPr>
          <w:rStyle w:val="Hyperlink"/>
          <w:rFonts w:cstheme="minorHAnsi"/>
          <w:color w:val="000000"/>
          <w:sz w:val="24"/>
          <w:szCs w:val="24"/>
          <w:u w:val="none"/>
          <w:shd w:val="clear" w:color="auto" w:fill="FFFFFF"/>
        </w:rPr>
        <w:t>6(1) pp 53-67</w:t>
      </w:r>
    </w:p>
    <w:p w14:paraId="514EF874" w14:textId="77777777" w:rsidR="007725A9" w:rsidRDefault="007725A9" w:rsidP="007725A9">
      <w:pPr>
        <w:tabs>
          <w:tab w:val="left" w:pos="2550"/>
        </w:tabs>
        <w:spacing w:line="360" w:lineRule="auto"/>
        <w:rPr>
          <w:rFonts w:cstheme="minorHAnsi"/>
          <w:color w:val="000000"/>
          <w:sz w:val="24"/>
          <w:szCs w:val="24"/>
          <w:shd w:val="clear" w:color="auto" w:fill="FFFFFF"/>
        </w:rPr>
      </w:pPr>
      <w:proofErr w:type="spellStart"/>
      <w:r w:rsidRPr="007411A9">
        <w:rPr>
          <w:rFonts w:cstheme="minorHAnsi"/>
          <w:color w:val="000000"/>
          <w:sz w:val="24"/>
          <w:szCs w:val="24"/>
          <w:shd w:val="clear" w:color="auto" w:fill="FFFFFF"/>
        </w:rPr>
        <w:lastRenderedPageBreak/>
        <w:t>Sarre</w:t>
      </w:r>
      <w:proofErr w:type="spellEnd"/>
      <w:r w:rsidRPr="007411A9">
        <w:rPr>
          <w:rFonts w:cstheme="minorHAnsi"/>
          <w:color w:val="000000"/>
          <w:sz w:val="24"/>
          <w:szCs w:val="24"/>
          <w:shd w:val="clear" w:color="auto" w:fill="FFFFFF"/>
        </w:rPr>
        <w:t xml:space="preserve"> et al. (2021). </w:t>
      </w:r>
      <w:r w:rsidRPr="007411A9">
        <w:rPr>
          <w:rFonts w:cstheme="minorHAnsi"/>
          <w:i/>
          <w:iCs/>
          <w:color w:val="000000"/>
          <w:sz w:val="24"/>
          <w:szCs w:val="24"/>
        </w:rPr>
        <w:t xml:space="preserve">Men are more likely to commit violent crimes. Why is this so, and how do we change </w:t>
      </w:r>
      <w:proofErr w:type="gramStart"/>
      <w:r w:rsidRPr="007411A9">
        <w:rPr>
          <w:rFonts w:cstheme="minorHAnsi"/>
          <w:i/>
          <w:iCs/>
          <w:color w:val="000000"/>
          <w:sz w:val="24"/>
          <w:szCs w:val="24"/>
        </w:rPr>
        <w:t>it?</w:t>
      </w:r>
      <w:r w:rsidRPr="007411A9">
        <w:rPr>
          <w:rFonts w:cstheme="minorHAnsi"/>
          <w:color w:val="000000"/>
          <w:sz w:val="24"/>
          <w:szCs w:val="24"/>
          <w:shd w:val="clear" w:color="auto" w:fill="FFFFFF"/>
        </w:rPr>
        <w:t>.</w:t>
      </w:r>
      <w:proofErr w:type="gramEnd"/>
      <w:r w:rsidRPr="007411A9">
        <w:rPr>
          <w:rFonts w:cstheme="minorHAnsi"/>
          <w:color w:val="000000"/>
          <w:sz w:val="24"/>
          <w:szCs w:val="24"/>
          <w:shd w:val="clear" w:color="auto" w:fill="FFFFFF"/>
        </w:rPr>
        <w:t xml:space="preserve"> [Online]. Phys Ord. Last Updated: 2021. Available at: https://phys.org/news/2021-03-men-commit-violent-crimes.html [Accessed 4 June 2024].</w:t>
      </w:r>
    </w:p>
    <w:p w14:paraId="5D9E49DD" w14:textId="77777777" w:rsidR="007725A9" w:rsidRPr="008C21E3" w:rsidRDefault="007725A9" w:rsidP="007725A9">
      <w:pPr>
        <w:tabs>
          <w:tab w:val="left" w:pos="1340"/>
        </w:tabs>
        <w:spacing w:line="360" w:lineRule="auto"/>
        <w:rPr>
          <w:rFonts w:cstheme="minorHAnsi"/>
          <w:color w:val="000000"/>
          <w:sz w:val="24"/>
          <w:szCs w:val="24"/>
          <w:shd w:val="clear" w:color="auto" w:fill="FFFFFF"/>
        </w:rPr>
      </w:pPr>
      <w:proofErr w:type="spellStart"/>
      <w:r w:rsidRPr="008C21E3">
        <w:rPr>
          <w:rFonts w:cstheme="minorHAnsi"/>
          <w:color w:val="000000"/>
          <w:sz w:val="24"/>
          <w:szCs w:val="24"/>
          <w:shd w:val="clear" w:color="auto" w:fill="FFFFFF"/>
        </w:rPr>
        <w:t>Stergioulis</w:t>
      </w:r>
      <w:proofErr w:type="spellEnd"/>
      <w:r w:rsidRPr="008C21E3">
        <w:rPr>
          <w:rFonts w:cstheme="minorHAnsi"/>
          <w:color w:val="000000"/>
          <w:sz w:val="24"/>
          <w:szCs w:val="24"/>
          <w:shd w:val="clear" w:color="auto" w:fill="FFFFFF"/>
        </w:rPr>
        <w:t xml:space="preserve"> E. (2017) ‘Police and Diversity’, </w:t>
      </w:r>
      <w:r w:rsidRPr="008C21E3">
        <w:rPr>
          <w:rFonts w:cstheme="minorHAnsi"/>
          <w:i/>
          <w:iCs/>
          <w:color w:val="000000"/>
          <w:sz w:val="24"/>
          <w:szCs w:val="24"/>
        </w:rPr>
        <w:t>The Police Journal: Theory, Practice and Principles</w:t>
      </w:r>
      <w:r w:rsidRPr="008C21E3">
        <w:rPr>
          <w:rFonts w:cstheme="minorHAnsi"/>
          <w:color w:val="000000"/>
          <w:sz w:val="24"/>
          <w:szCs w:val="24"/>
          <w:shd w:val="clear" w:color="auto" w:fill="FFFFFF"/>
        </w:rPr>
        <w:t>. 91(3) pp 264-274</w:t>
      </w:r>
    </w:p>
    <w:p w14:paraId="1C848751" w14:textId="77777777" w:rsidR="007725A9" w:rsidRPr="007411A9" w:rsidRDefault="007725A9" w:rsidP="007725A9">
      <w:pPr>
        <w:spacing w:line="360" w:lineRule="auto"/>
        <w:rPr>
          <w:rFonts w:cstheme="minorHAnsi"/>
          <w:sz w:val="24"/>
          <w:szCs w:val="24"/>
        </w:rPr>
      </w:pPr>
      <w:r w:rsidRPr="007411A9">
        <w:rPr>
          <w:rFonts w:cstheme="minorHAnsi"/>
          <w:sz w:val="24"/>
          <w:szCs w:val="24"/>
        </w:rPr>
        <w:t xml:space="preserve">Stone, N (2018) ‘Child Criminal Exploitation: ‘County Lines’, Trafficking and Cuckooing’, </w:t>
      </w:r>
      <w:r w:rsidRPr="007411A9">
        <w:rPr>
          <w:rFonts w:cstheme="minorHAnsi"/>
          <w:i/>
          <w:iCs/>
          <w:sz w:val="24"/>
          <w:szCs w:val="24"/>
        </w:rPr>
        <w:t>Youth Justice</w:t>
      </w:r>
      <w:r w:rsidRPr="007411A9">
        <w:rPr>
          <w:rFonts w:cstheme="minorHAnsi"/>
          <w:sz w:val="24"/>
          <w:szCs w:val="24"/>
        </w:rPr>
        <w:t>, 18(3) pp 285-293</w:t>
      </w:r>
    </w:p>
    <w:p w14:paraId="2347F4B6" w14:textId="77777777" w:rsidR="007725A9" w:rsidRPr="007411A9" w:rsidRDefault="007725A9" w:rsidP="007725A9">
      <w:pPr>
        <w:spacing w:line="360" w:lineRule="auto"/>
        <w:rPr>
          <w:rFonts w:cstheme="minorHAnsi"/>
          <w:color w:val="333333"/>
          <w:sz w:val="24"/>
          <w:szCs w:val="24"/>
          <w:shd w:val="clear" w:color="auto" w:fill="FFFFFF"/>
        </w:rPr>
      </w:pPr>
      <w:proofErr w:type="spellStart"/>
      <w:r w:rsidRPr="007411A9">
        <w:rPr>
          <w:rFonts w:cstheme="minorHAnsi"/>
          <w:color w:val="333333"/>
          <w:sz w:val="24"/>
          <w:szCs w:val="24"/>
          <w:shd w:val="clear" w:color="auto" w:fill="FFFFFF"/>
        </w:rPr>
        <w:t>Taucher</w:t>
      </w:r>
      <w:proofErr w:type="spellEnd"/>
      <w:r w:rsidRPr="007411A9">
        <w:rPr>
          <w:rFonts w:cstheme="minorHAnsi"/>
          <w:color w:val="333333"/>
          <w:sz w:val="24"/>
          <w:szCs w:val="24"/>
          <w:shd w:val="clear" w:color="auto" w:fill="FFFFFF"/>
        </w:rPr>
        <w:t xml:space="preserve">, H and Witte, A. (1994) ‘Work and Crime: an Exploration Using Panel Data’ in Fielding et al, </w:t>
      </w:r>
      <w:r w:rsidRPr="007411A9">
        <w:rPr>
          <w:rFonts w:cstheme="minorHAnsi"/>
          <w:i/>
          <w:iCs/>
          <w:color w:val="333333"/>
          <w:sz w:val="24"/>
          <w:szCs w:val="24"/>
          <w:shd w:val="clear" w:color="auto" w:fill="FFFFFF"/>
        </w:rPr>
        <w:t>The Economic Dimensions of Crime</w:t>
      </w:r>
      <w:r w:rsidRPr="007411A9">
        <w:rPr>
          <w:rFonts w:cstheme="minorHAnsi"/>
          <w:color w:val="333333"/>
          <w:sz w:val="24"/>
          <w:szCs w:val="24"/>
          <w:shd w:val="clear" w:color="auto" w:fill="FFFFFF"/>
        </w:rPr>
        <w:t xml:space="preserve">. London: Palgrave, Macmillan </w:t>
      </w:r>
    </w:p>
    <w:p w14:paraId="1A83AC22" w14:textId="6C0868D6" w:rsidR="007725A9" w:rsidRPr="00132D07" w:rsidRDefault="007725A9" w:rsidP="007725A9">
      <w:pPr>
        <w:spacing w:line="360" w:lineRule="auto"/>
        <w:rPr>
          <w:rFonts w:cstheme="minorHAnsi"/>
          <w:sz w:val="24"/>
          <w:szCs w:val="24"/>
        </w:rPr>
      </w:pPr>
      <w:r w:rsidRPr="00132D07">
        <w:rPr>
          <w:rFonts w:cstheme="minorHAnsi"/>
          <w:color w:val="000000"/>
          <w:sz w:val="24"/>
          <w:szCs w:val="24"/>
          <w:shd w:val="clear" w:color="auto" w:fill="FFFFFF"/>
        </w:rPr>
        <w:t>Thompson, K. (2021). </w:t>
      </w:r>
      <w:r w:rsidRPr="00132D07">
        <w:rPr>
          <w:rFonts w:cstheme="minorHAnsi"/>
          <w:i/>
          <w:iCs/>
          <w:color w:val="000000"/>
          <w:sz w:val="24"/>
          <w:szCs w:val="24"/>
        </w:rPr>
        <w:t>How successful are early interventions in reducing violent crime?</w:t>
      </w:r>
      <w:r w:rsidR="00FF7941">
        <w:rPr>
          <w:rFonts w:cstheme="minorHAnsi"/>
          <w:color w:val="000000"/>
          <w:sz w:val="24"/>
          <w:szCs w:val="24"/>
          <w:shd w:val="clear" w:color="auto" w:fill="FFFFFF"/>
        </w:rPr>
        <w:t xml:space="preserve"> </w:t>
      </w:r>
      <w:proofErr w:type="gramStart"/>
      <w:r w:rsidRPr="00132D07">
        <w:rPr>
          <w:rFonts w:cstheme="minorHAnsi"/>
          <w:color w:val="000000"/>
          <w:sz w:val="24"/>
          <w:szCs w:val="24"/>
          <w:shd w:val="clear" w:color="auto" w:fill="FFFFFF"/>
        </w:rPr>
        <w:t>[</w:t>
      </w:r>
      <w:proofErr w:type="gramEnd"/>
      <w:r w:rsidRPr="00132D07">
        <w:rPr>
          <w:rFonts w:cstheme="minorHAnsi"/>
          <w:color w:val="000000"/>
          <w:sz w:val="24"/>
          <w:szCs w:val="24"/>
          <w:shd w:val="clear" w:color="auto" w:fill="FFFFFF"/>
        </w:rPr>
        <w:t>Online]. Revise Sociology. Last Updated: 2021. Available at: https://revisesociology.com/2021/05/26/how-successful-are-early-interventions-in-reducing-violent-cr [Accessed 5 June 2024]</w:t>
      </w:r>
    </w:p>
    <w:p w14:paraId="486F48CD" w14:textId="77777777" w:rsidR="007725A9" w:rsidRPr="00132D07" w:rsidRDefault="007725A9" w:rsidP="007725A9">
      <w:pPr>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Walker et al. (2007). </w:t>
      </w:r>
      <w:r w:rsidRPr="00132D07">
        <w:rPr>
          <w:rFonts w:cstheme="minorHAnsi"/>
          <w:i/>
          <w:iCs/>
          <w:color w:val="000000"/>
          <w:sz w:val="24"/>
          <w:szCs w:val="24"/>
        </w:rPr>
        <w:t>Youth Inclusion and Support Panels: Preventing Crime and Antisocial Behaviour</w:t>
      </w:r>
      <w:r w:rsidRPr="00132D07">
        <w:rPr>
          <w:rFonts w:cstheme="minorHAnsi"/>
          <w:color w:val="000000"/>
          <w:sz w:val="24"/>
          <w:szCs w:val="24"/>
          <w:shd w:val="clear" w:color="auto" w:fill="FFFFFF"/>
        </w:rPr>
        <w:t xml:space="preserve">. Newcastle: University of Newcastle </w:t>
      </w:r>
    </w:p>
    <w:p w14:paraId="7048C001" w14:textId="77777777" w:rsidR="007725A9" w:rsidRPr="00132D07" w:rsidRDefault="007725A9" w:rsidP="007725A9">
      <w:pPr>
        <w:tabs>
          <w:tab w:val="left" w:pos="2550"/>
        </w:tabs>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 xml:space="preserve">Waller I and </w:t>
      </w:r>
      <w:proofErr w:type="spellStart"/>
      <w:r w:rsidRPr="00132D07">
        <w:rPr>
          <w:rFonts w:cstheme="minorHAnsi"/>
          <w:color w:val="000000"/>
          <w:sz w:val="24"/>
          <w:szCs w:val="24"/>
          <w:shd w:val="clear" w:color="auto" w:fill="FFFFFF"/>
        </w:rPr>
        <w:t>Weiler</w:t>
      </w:r>
      <w:proofErr w:type="spellEnd"/>
      <w:r w:rsidRPr="00132D07">
        <w:rPr>
          <w:rFonts w:cstheme="minorHAnsi"/>
          <w:color w:val="000000"/>
          <w:sz w:val="24"/>
          <w:szCs w:val="24"/>
          <w:shd w:val="clear" w:color="auto" w:fill="FFFFFF"/>
        </w:rPr>
        <w:t xml:space="preserve"> R (1984) </w:t>
      </w:r>
      <w:r w:rsidRPr="00132D07">
        <w:rPr>
          <w:rFonts w:cstheme="minorHAnsi"/>
          <w:i/>
          <w:iCs/>
          <w:color w:val="000000"/>
          <w:sz w:val="24"/>
          <w:szCs w:val="24"/>
          <w:shd w:val="clear" w:color="auto" w:fill="FFFFFF"/>
        </w:rPr>
        <w:t>Crime Prevention Through Social Development.</w:t>
      </w:r>
      <w:r w:rsidRPr="00132D07">
        <w:rPr>
          <w:rFonts w:cstheme="minorHAnsi"/>
          <w:color w:val="000000"/>
          <w:sz w:val="24"/>
          <w:szCs w:val="24"/>
          <w:shd w:val="clear" w:color="auto" w:fill="FFFFFF"/>
        </w:rPr>
        <w:t xml:space="preserve"> Canada: Canadian Council on Social Development </w:t>
      </w:r>
    </w:p>
    <w:p w14:paraId="31FAD6E8" w14:textId="77777777" w:rsidR="007725A9" w:rsidRPr="003A3BA6" w:rsidRDefault="007725A9" w:rsidP="007725A9">
      <w:pPr>
        <w:spacing w:line="360" w:lineRule="auto"/>
        <w:rPr>
          <w:rFonts w:cstheme="minorHAnsi"/>
          <w:sz w:val="24"/>
          <w:szCs w:val="24"/>
        </w:rPr>
      </w:pPr>
      <w:proofErr w:type="spellStart"/>
      <w:r w:rsidRPr="003A3BA6">
        <w:rPr>
          <w:rFonts w:cstheme="minorHAnsi"/>
          <w:sz w:val="24"/>
          <w:szCs w:val="24"/>
        </w:rPr>
        <w:t>Westmarland</w:t>
      </w:r>
      <w:proofErr w:type="spellEnd"/>
      <w:r w:rsidRPr="003A3BA6">
        <w:rPr>
          <w:rFonts w:cstheme="minorHAnsi"/>
          <w:sz w:val="24"/>
          <w:szCs w:val="24"/>
        </w:rPr>
        <w:t xml:space="preserve">, L and Rowe, M (2018). Police ethics and integrity: Can a new code overturn the blue code? Policing and Society, 28(7) pp. 854–870. Newcastle: The Open University </w:t>
      </w:r>
    </w:p>
    <w:p w14:paraId="7F135586" w14:textId="77777777" w:rsidR="007725A9" w:rsidRPr="003A3BA6" w:rsidRDefault="007725A9" w:rsidP="007725A9">
      <w:pPr>
        <w:spacing w:line="360" w:lineRule="auto"/>
        <w:rPr>
          <w:rFonts w:cstheme="minorHAnsi"/>
          <w:sz w:val="24"/>
          <w:szCs w:val="24"/>
        </w:rPr>
      </w:pPr>
      <w:r w:rsidRPr="003A3BA6">
        <w:rPr>
          <w:rFonts w:cstheme="minorHAnsi"/>
          <w:color w:val="000000"/>
          <w:sz w:val="24"/>
          <w:szCs w:val="24"/>
          <w:shd w:val="clear" w:color="auto" w:fill="FFFFFF"/>
        </w:rPr>
        <w:t xml:space="preserve">White, M.D. (2014) </w:t>
      </w:r>
      <w:r w:rsidRPr="003A3BA6">
        <w:rPr>
          <w:rFonts w:cstheme="minorHAnsi"/>
          <w:sz w:val="24"/>
          <w:szCs w:val="24"/>
        </w:rPr>
        <w:t xml:space="preserve">White, M. D. (2014). </w:t>
      </w:r>
      <w:r w:rsidRPr="003A3BA6">
        <w:rPr>
          <w:rFonts w:cstheme="minorHAnsi"/>
          <w:i/>
          <w:iCs/>
          <w:sz w:val="24"/>
          <w:szCs w:val="24"/>
        </w:rPr>
        <w:t>Police officer body-worn cameras: Assessing the evidence.</w:t>
      </w:r>
      <w:r w:rsidRPr="003A3BA6">
        <w:rPr>
          <w:rFonts w:cstheme="minorHAnsi"/>
          <w:sz w:val="24"/>
          <w:szCs w:val="24"/>
        </w:rPr>
        <w:t xml:space="preserve"> Washington, DC: Office of Community Oriented Policing Services</w:t>
      </w:r>
    </w:p>
    <w:p w14:paraId="23C4EE51" w14:textId="77777777" w:rsidR="007725A9" w:rsidRPr="00132D07" w:rsidRDefault="007725A9" w:rsidP="007725A9">
      <w:pPr>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Wong, K. (2021). Lambeth Divert. </w:t>
      </w:r>
      <w:r w:rsidRPr="00132D07">
        <w:rPr>
          <w:rFonts w:cstheme="minorHAnsi"/>
          <w:i/>
          <w:iCs/>
          <w:color w:val="000000"/>
          <w:sz w:val="24"/>
          <w:szCs w:val="24"/>
        </w:rPr>
        <w:t>Manchester Metropolitan University</w:t>
      </w:r>
      <w:r w:rsidRPr="00132D07">
        <w:rPr>
          <w:rFonts w:cstheme="minorHAnsi"/>
          <w:color w:val="000000"/>
          <w:sz w:val="24"/>
          <w:szCs w:val="24"/>
          <w:shd w:val="clear" w:color="auto" w:fill="FFFFFF"/>
        </w:rPr>
        <w:t xml:space="preserve">. 2(2), pp.1-22. </w:t>
      </w:r>
    </w:p>
    <w:p w14:paraId="54F75DFC" w14:textId="77777777" w:rsidR="007725A9" w:rsidRPr="008C21E3" w:rsidRDefault="007725A9" w:rsidP="007725A9">
      <w:pPr>
        <w:spacing w:line="360" w:lineRule="auto"/>
        <w:rPr>
          <w:rFonts w:cstheme="minorHAnsi"/>
          <w:color w:val="000000"/>
          <w:sz w:val="24"/>
          <w:szCs w:val="24"/>
          <w:shd w:val="clear" w:color="auto" w:fill="FFFFFF"/>
        </w:rPr>
      </w:pPr>
      <w:proofErr w:type="spellStart"/>
      <w:r w:rsidRPr="008C21E3">
        <w:rPr>
          <w:rFonts w:cstheme="minorHAnsi"/>
          <w:color w:val="000000"/>
          <w:sz w:val="24"/>
          <w:szCs w:val="24"/>
          <w:shd w:val="clear" w:color="auto" w:fill="FFFFFF"/>
        </w:rPr>
        <w:t>Yesufu</w:t>
      </w:r>
      <w:proofErr w:type="spellEnd"/>
      <w:r w:rsidRPr="008C21E3">
        <w:rPr>
          <w:rFonts w:cstheme="minorHAnsi"/>
          <w:color w:val="000000"/>
          <w:sz w:val="24"/>
          <w:szCs w:val="24"/>
          <w:shd w:val="clear" w:color="auto" w:fill="FFFFFF"/>
        </w:rPr>
        <w:t>, S. (2013) Discriminatory Use of Police Stop-and-Search Powers in London, UK. International Journal of Police Science &amp; Management. 15(4) pp 281-293</w:t>
      </w:r>
    </w:p>
    <w:p w14:paraId="30DD6E1B" w14:textId="77777777" w:rsidR="007725A9" w:rsidRPr="00132D07" w:rsidRDefault="007725A9" w:rsidP="007725A9">
      <w:pPr>
        <w:spacing w:line="360" w:lineRule="auto"/>
        <w:rPr>
          <w:rFonts w:cstheme="minorHAnsi"/>
          <w:color w:val="000000"/>
          <w:sz w:val="24"/>
          <w:szCs w:val="24"/>
          <w:shd w:val="clear" w:color="auto" w:fill="FFFFFF"/>
        </w:rPr>
      </w:pPr>
      <w:r w:rsidRPr="00132D07">
        <w:rPr>
          <w:rFonts w:cstheme="minorHAnsi"/>
          <w:color w:val="000000"/>
          <w:sz w:val="24"/>
          <w:szCs w:val="24"/>
          <w:shd w:val="clear" w:color="auto" w:fill="FFFFFF"/>
        </w:rPr>
        <w:t>Youth Justice Board. (2015). Reducing reoffending: furthering our understanding. </w:t>
      </w:r>
      <w:r w:rsidRPr="00132D07">
        <w:rPr>
          <w:rFonts w:cstheme="minorHAnsi"/>
          <w:i/>
          <w:iCs/>
          <w:color w:val="000000"/>
          <w:sz w:val="24"/>
          <w:szCs w:val="24"/>
        </w:rPr>
        <w:t>Youth Justice Board</w:t>
      </w:r>
      <w:r w:rsidRPr="00132D07">
        <w:rPr>
          <w:rFonts w:cstheme="minorHAnsi"/>
          <w:color w:val="000000"/>
          <w:sz w:val="24"/>
          <w:szCs w:val="24"/>
          <w:shd w:val="clear" w:color="auto" w:fill="FFFFFF"/>
        </w:rPr>
        <w:t>. pp.1-31. [Online]. Available at: https://assets.publishing.service.gov.uk/media/5a7f2840ed915d74e6228bc6/Reoffending_Furthering_Our_U [Accessed 5 June 2024].</w:t>
      </w:r>
    </w:p>
    <w:sectPr w:rsidR="007725A9" w:rsidRPr="00132D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2C92D" w14:textId="77777777" w:rsidR="00765866" w:rsidRDefault="00765866" w:rsidP="00947ADA">
      <w:pPr>
        <w:spacing w:after="0" w:line="240" w:lineRule="auto"/>
      </w:pPr>
      <w:r>
        <w:separator/>
      </w:r>
    </w:p>
  </w:endnote>
  <w:endnote w:type="continuationSeparator" w:id="0">
    <w:p w14:paraId="41C773AF" w14:textId="77777777" w:rsidR="00765866" w:rsidRDefault="00765866" w:rsidP="00947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33534" w14:textId="77777777" w:rsidR="00765866" w:rsidRDefault="00765866" w:rsidP="00947ADA">
      <w:pPr>
        <w:spacing w:after="0" w:line="240" w:lineRule="auto"/>
      </w:pPr>
      <w:r>
        <w:separator/>
      </w:r>
    </w:p>
  </w:footnote>
  <w:footnote w:type="continuationSeparator" w:id="0">
    <w:p w14:paraId="256B0BA8" w14:textId="77777777" w:rsidR="00765866" w:rsidRDefault="00765866" w:rsidP="00947A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E0"/>
    <w:rsid w:val="000127AE"/>
    <w:rsid w:val="00014241"/>
    <w:rsid w:val="00023CFA"/>
    <w:rsid w:val="00030D95"/>
    <w:rsid w:val="00042591"/>
    <w:rsid w:val="000472A1"/>
    <w:rsid w:val="000532AD"/>
    <w:rsid w:val="00075321"/>
    <w:rsid w:val="00087314"/>
    <w:rsid w:val="00087E71"/>
    <w:rsid w:val="000978F3"/>
    <w:rsid w:val="000A14A6"/>
    <w:rsid w:val="000B198B"/>
    <w:rsid w:val="000C3982"/>
    <w:rsid w:val="000C6920"/>
    <w:rsid w:val="000E1F60"/>
    <w:rsid w:val="000E20B1"/>
    <w:rsid w:val="000E389F"/>
    <w:rsid w:val="000F6282"/>
    <w:rsid w:val="00102155"/>
    <w:rsid w:val="001154DE"/>
    <w:rsid w:val="00115B60"/>
    <w:rsid w:val="001257C8"/>
    <w:rsid w:val="0013115F"/>
    <w:rsid w:val="00135406"/>
    <w:rsid w:val="00147668"/>
    <w:rsid w:val="001477FF"/>
    <w:rsid w:val="00151590"/>
    <w:rsid w:val="001605E9"/>
    <w:rsid w:val="00162069"/>
    <w:rsid w:val="0016443E"/>
    <w:rsid w:val="001702EE"/>
    <w:rsid w:val="0017630D"/>
    <w:rsid w:val="001831AB"/>
    <w:rsid w:val="001A49EC"/>
    <w:rsid w:val="001E101F"/>
    <w:rsid w:val="002177C7"/>
    <w:rsid w:val="002179C8"/>
    <w:rsid w:val="00223D62"/>
    <w:rsid w:val="002275D5"/>
    <w:rsid w:val="00230F37"/>
    <w:rsid w:val="00247344"/>
    <w:rsid w:val="0025068D"/>
    <w:rsid w:val="00287C1E"/>
    <w:rsid w:val="00297311"/>
    <w:rsid w:val="002A164E"/>
    <w:rsid w:val="002A264F"/>
    <w:rsid w:val="002C164D"/>
    <w:rsid w:val="002E2526"/>
    <w:rsid w:val="002F0911"/>
    <w:rsid w:val="002F1C32"/>
    <w:rsid w:val="002F7DDB"/>
    <w:rsid w:val="00311238"/>
    <w:rsid w:val="00316488"/>
    <w:rsid w:val="00317E27"/>
    <w:rsid w:val="00320CB9"/>
    <w:rsid w:val="003271E3"/>
    <w:rsid w:val="003477F6"/>
    <w:rsid w:val="00364FC6"/>
    <w:rsid w:val="00381FA2"/>
    <w:rsid w:val="00383386"/>
    <w:rsid w:val="00384B39"/>
    <w:rsid w:val="0039568E"/>
    <w:rsid w:val="003960B5"/>
    <w:rsid w:val="003A2AC4"/>
    <w:rsid w:val="003B06E8"/>
    <w:rsid w:val="003B240B"/>
    <w:rsid w:val="003B473A"/>
    <w:rsid w:val="003C4AEC"/>
    <w:rsid w:val="003D409D"/>
    <w:rsid w:val="003D4E56"/>
    <w:rsid w:val="003D5AB5"/>
    <w:rsid w:val="00403E56"/>
    <w:rsid w:val="00415CCB"/>
    <w:rsid w:val="00435D70"/>
    <w:rsid w:val="0043684C"/>
    <w:rsid w:val="00467B62"/>
    <w:rsid w:val="00474921"/>
    <w:rsid w:val="0048630E"/>
    <w:rsid w:val="004A40B0"/>
    <w:rsid w:val="004A6A32"/>
    <w:rsid w:val="004A6F02"/>
    <w:rsid w:val="004A7152"/>
    <w:rsid w:val="004B001C"/>
    <w:rsid w:val="004B5D31"/>
    <w:rsid w:val="004B6D65"/>
    <w:rsid w:val="004D06BC"/>
    <w:rsid w:val="004D27EB"/>
    <w:rsid w:val="004D366F"/>
    <w:rsid w:val="004D4F4E"/>
    <w:rsid w:val="004D7EBD"/>
    <w:rsid w:val="004E4523"/>
    <w:rsid w:val="004E7162"/>
    <w:rsid w:val="00510595"/>
    <w:rsid w:val="0051560E"/>
    <w:rsid w:val="0053471D"/>
    <w:rsid w:val="00544833"/>
    <w:rsid w:val="00573EDE"/>
    <w:rsid w:val="005815D7"/>
    <w:rsid w:val="00592BC3"/>
    <w:rsid w:val="005A18FC"/>
    <w:rsid w:val="005A3F88"/>
    <w:rsid w:val="005C6A5C"/>
    <w:rsid w:val="005D7D57"/>
    <w:rsid w:val="005E1FFA"/>
    <w:rsid w:val="005F2A0F"/>
    <w:rsid w:val="005F3891"/>
    <w:rsid w:val="00614C38"/>
    <w:rsid w:val="00623108"/>
    <w:rsid w:val="006252F7"/>
    <w:rsid w:val="00626E85"/>
    <w:rsid w:val="00664F0D"/>
    <w:rsid w:val="00673FE5"/>
    <w:rsid w:val="00683339"/>
    <w:rsid w:val="006A0F9B"/>
    <w:rsid w:val="006A4FA1"/>
    <w:rsid w:val="006B0E99"/>
    <w:rsid w:val="006B1033"/>
    <w:rsid w:val="006E2A7D"/>
    <w:rsid w:val="006E7E45"/>
    <w:rsid w:val="006F5A9B"/>
    <w:rsid w:val="00715BAE"/>
    <w:rsid w:val="0073591F"/>
    <w:rsid w:val="00744CED"/>
    <w:rsid w:val="00751FB1"/>
    <w:rsid w:val="007526A5"/>
    <w:rsid w:val="007574C4"/>
    <w:rsid w:val="00763291"/>
    <w:rsid w:val="00765866"/>
    <w:rsid w:val="00771A34"/>
    <w:rsid w:val="007725A9"/>
    <w:rsid w:val="00772EA6"/>
    <w:rsid w:val="00777A1A"/>
    <w:rsid w:val="007935E0"/>
    <w:rsid w:val="007945FF"/>
    <w:rsid w:val="007979D3"/>
    <w:rsid w:val="007A2A3C"/>
    <w:rsid w:val="007A4D14"/>
    <w:rsid w:val="007B5559"/>
    <w:rsid w:val="007D6117"/>
    <w:rsid w:val="007D722F"/>
    <w:rsid w:val="007E37D1"/>
    <w:rsid w:val="007E474C"/>
    <w:rsid w:val="007E4C79"/>
    <w:rsid w:val="008015EE"/>
    <w:rsid w:val="00811F91"/>
    <w:rsid w:val="00822A70"/>
    <w:rsid w:val="00822F4C"/>
    <w:rsid w:val="0082576E"/>
    <w:rsid w:val="00831E7A"/>
    <w:rsid w:val="00835D4C"/>
    <w:rsid w:val="008601CF"/>
    <w:rsid w:val="008655AF"/>
    <w:rsid w:val="00872BE7"/>
    <w:rsid w:val="0087758E"/>
    <w:rsid w:val="00885820"/>
    <w:rsid w:val="00886B3F"/>
    <w:rsid w:val="008A7A9E"/>
    <w:rsid w:val="008B14F4"/>
    <w:rsid w:val="008B2143"/>
    <w:rsid w:val="008D374D"/>
    <w:rsid w:val="008D4F75"/>
    <w:rsid w:val="008E304B"/>
    <w:rsid w:val="008E402A"/>
    <w:rsid w:val="008F678C"/>
    <w:rsid w:val="00911B37"/>
    <w:rsid w:val="00923F42"/>
    <w:rsid w:val="00947ADA"/>
    <w:rsid w:val="0098543B"/>
    <w:rsid w:val="009872BE"/>
    <w:rsid w:val="009A2EC4"/>
    <w:rsid w:val="009B0FC5"/>
    <w:rsid w:val="009B58E1"/>
    <w:rsid w:val="009C2E9B"/>
    <w:rsid w:val="009C5419"/>
    <w:rsid w:val="009F7AE4"/>
    <w:rsid w:val="009F7CC6"/>
    <w:rsid w:val="00A00F93"/>
    <w:rsid w:val="00A034D0"/>
    <w:rsid w:val="00A12961"/>
    <w:rsid w:val="00A13487"/>
    <w:rsid w:val="00A2054B"/>
    <w:rsid w:val="00A308E3"/>
    <w:rsid w:val="00A36684"/>
    <w:rsid w:val="00A54B55"/>
    <w:rsid w:val="00A603FB"/>
    <w:rsid w:val="00A66CD8"/>
    <w:rsid w:val="00A9430B"/>
    <w:rsid w:val="00AB79FB"/>
    <w:rsid w:val="00AC7C07"/>
    <w:rsid w:val="00AF0B44"/>
    <w:rsid w:val="00AF3F98"/>
    <w:rsid w:val="00B260B3"/>
    <w:rsid w:val="00B27816"/>
    <w:rsid w:val="00B300EA"/>
    <w:rsid w:val="00B3410F"/>
    <w:rsid w:val="00B35D8C"/>
    <w:rsid w:val="00B36515"/>
    <w:rsid w:val="00B41C87"/>
    <w:rsid w:val="00B47398"/>
    <w:rsid w:val="00B6371B"/>
    <w:rsid w:val="00B84942"/>
    <w:rsid w:val="00BA2A72"/>
    <w:rsid w:val="00BB48F3"/>
    <w:rsid w:val="00BC0E12"/>
    <w:rsid w:val="00BC5012"/>
    <w:rsid w:val="00BC6753"/>
    <w:rsid w:val="00BD00B5"/>
    <w:rsid w:val="00BD1831"/>
    <w:rsid w:val="00BE0DC0"/>
    <w:rsid w:val="00BE3FC7"/>
    <w:rsid w:val="00C04622"/>
    <w:rsid w:val="00C21A2D"/>
    <w:rsid w:val="00C247B0"/>
    <w:rsid w:val="00C407D5"/>
    <w:rsid w:val="00C45B1C"/>
    <w:rsid w:val="00C46B70"/>
    <w:rsid w:val="00C478BE"/>
    <w:rsid w:val="00C50367"/>
    <w:rsid w:val="00C604AE"/>
    <w:rsid w:val="00C71C51"/>
    <w:rsid w:val="00C75215"/>
    <w:rsid w:val="00C95C5E"/>
    <w:rsid w:val="00CA7E00"/>
    <w:rsid w:val="00CE58B4"/>
    <w:rsid w:val="00D03640"/>
    <w:rsid w:val="00D16FAF"/>
    <w:rsid w:val="00D20736"/>
    <w:rsid w:val="00D276BE"/>
    <w:rsid w:val="00D43170"/>
    <w:rsid w:val="00D67478"/>
    <w:rsid w:val="00D915F6"/>
    <w:rsid w:val="00D934EF"/>
    <w:rsid w:val="00DC265F"/>
    <w:rsid w:val="00DC76DB"/>
    <w:rsid w:val="00DE48B8"/>
    <w:rsid w:val="00DE76F6"/>
    <w:rsid w:val="00E03A89"/>
    <w:rsid w:val="00E152C1"/>
    <w:rsid w:val="00E219ED"/>
    <w:rsid w:val="00E22D57"/>
    <w:rsid w:val="00E33709"/>
    <w:rsid w:val="00E54CE1"/>
    <w:rsid w:val="00E76989"/>
    <w:rsid w:val="00EA15D9"/>
    <w:rsid w:val="00EB1304"/>
    <w:rsid w:val="00EB2018"/>
    <w:rsid w:val="00EB354F"/>
    <w:rsid w:val="00EC6702"/>
    <w:rsid w:val="00EE04E0"/>
    <w:rsid w:val="00EE2B9D"/>
    <w:rsid w:val="00EF31D2"/>
    <w:rsid w:val="00EF7E88"/>
    <w:rsid w:val="00F111C4"/>
    <w:rsid w:val="00F21049"/>
    <w:rsid w:val="00F41B2A"/>
    <w:rsid w:val="00F41D57"/>
    <w:rsid w:val="00F61EC2"/>
    <w:rsid w:val="00F64EB0"/>
    <w:rsid w:val="00F7371E"/>
    <w:rsid w:val="00F7572D"/>
    <w:rsid w:val="00F757BD"/>
    <w:rsid w:val="00F7687D"/>
    <w:rsid w:val="00F86EAA"/>
    <w:rsid w:val="00F9447B"/>
    <w:rsid w:val="00FB685C"/>
    <w:rsid w:val="00FC2E31"/>
    <w:rsid w:val="00FE5640"/>
    <w:rsid w:val="00FF7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011C8"/>
  <w15:chartTrackingRefBased/>
  <w15:docId w15:val="{8A84E212-F946-47B6-B201-BD9244BC1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76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35D4C"/>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E04E0"/>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683339"/>
    <w:rPr>
      <w:color w:val="0000FF"/>
      <w:u w:val="single"/>
    </w:rPr>
  </w:style>
  <w:style w:type="character" w:customStyle="1" w:styleId="ref-lnk">
    <w:name w:val="ref-lnk"/>
    <w:basedOn w:val="DefaultParagraphFont"/>
    <w:rsid w:val="00DC76DB"/>
  </w:style>
  <w:style w:type="character" w:customStyle="1" w:styleId="off-screen">
    <w:name w:val="off-screen"/>
    <w:basedOn w:val="DefaultParagraphFont"/>
    <w:rsid w:val="00DC76DB"/>
  </w:style>
  <w:style w:type="character" w:styleId="Emphasis">
    <w:name w:val="Emphasis"/>
    <w:basedOn w:val="DefaultParagraphFont"/>
    <w:uiPriority w:val="20"/>
    <w:qFormat/>
    <w:rsid w:val="00042591"/>
    <w:rPr>
      <w:i/>
      <w:iCs/>
    </w:rPr>
  </w:style>
  <w:style w:type="character" w:styleId="UnresolvedMention">
    <w:name w:val="Unresolved Mention"/>
    <w:basedOn w:val="DefaultParagraphFont"/>
    <w:uiPriority w:val="99"/>
    <w:semiHidden/>
    <w:unhideWhenUsed/>
    <w:rsid w:val="00BC0E12"/>
    <w:rPr>
      <w:color w:val="605E5C"/>
      <w:shd w:val="clear" w:color="auto" w:fill="E1DFDD"/>
    </w:rPr>
  </w:style>
  <w:style w:type="character" w:customStyle="1" w:styleId="Heading2Char">
    <w:name w:val="Heading 2 Char"/>
    <w:basedOn w:val="DefaultParagraphFont"/>
    <w:link w:val="Heading2"/>
    <w:uiPriority w:val="9"/>
    <w:rsid w:val="00835D4C"/>
    <w:rPr>
      <w:rFonts w:ascii="Times New Roman" w:eastAsia="Times New Roman" w:hAnsi="Times New Roman" w:cs="Times New Roman"/>
      <w:b/>
      <w:bCs/>
      <w:kern w:val="0"/>
      <w:sz w:val="36"/>
      <w:szCs w:val="36"/>
      <w:lang w:eastAsia="en-GB"/>
      <w14:ligatures w14:val="none"/>
    </w:rPr>
  </w:style>
  <w:style w:type="paragraph" w:customStyle="1" w:styleId="chapter-para">
    <w:name w:val="chapter-para"/>
    <w:basedOn w:val="Normal"/>
    <w:rsid w:val="00835D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47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ADA"/>
  </w:style>
  <w:style w:type="paragraph" w:styleId="Footer">
    <w:name w:val="footer"/>
    <w:basedOn w:val="Normal"/>
    <w:link w:val="FooterChar"/>
    <w:uiPriority w:val="99"/>
    <w:unhideWhenUsed/>
    <w:rsid w:val="00947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ADA"/>
  </w:style>
  <w:style w:type="character" w:styleId="Strong">
    <w:name w:val="Strong"/>
    <w:basedOn w:val="DefaultParagraphFont"/>
    <w:uiPriority w:val="22"/>
    <w:qFormat/>
    <w:rsid w:val="00EC6702"/>
    <w:rPr>
      <w:b/>
      <w:bCs/>
    </w:rPr>
  </w:style>
  <w:style w:type="character" w:customStyle="1" w:styleId="citationsource-book">
    <w:name w:val="citation_source-book"/>
    <w:basedOn w:val="DefaultParagraphFont"/>
    <w:rsid w:val="0016443E"/>
  </w:style>
  <w:style w:type="character" w:customStyle="1" w:styleId="Heading1Char">
    <w:name w:val="Heading 1 Char"/>
    <w:basedOn w:val="DefaultParagraphFont"/>
    <w:link w:val="Heading1"/>
    <w:uiPriority w:val="9"/>
    <w:rsid w:val="00147668"/>
    <w:rPr>
      <w:rFonts w:asciiTheme="majorHAnsi" w:eastAsiaTheme="majorEastAsia" w:hAnsiTheme="majorHAnsi" w:cstheme="majorBidi"/>
      <w:color w:val="2F5496" w:themeColor="accent1" w:themeShade="BF"/>
      <w:sz w:val="32"/>
      <w:szCs w:val="32"/>
    </w:rPr>
  </w:style>
  <w:style w:type="character" w:customStyle="1" w:styleId="r-search-result">
    <w:name w:val="r-search-result"/>
    <w:basedOn w:val="DefaultParagraphFont"/>
    <w:rsid w:val="00885820"/>
  </w:style>
  <w:style w:type="character" w:customStyle="1" w:styleId="name">
    <w:name w:val="name"/>
    <w:basedOn w:val="DefaultParagraphFont"/>
    <w:rsid w:val="007E4C79"/>
  </w:style>
  <w:style w:type="character" w:customStyle="1" w:styleId="Subtitle1">
    <w:name w:val="Subtitle1"/>
    <w:basedOn w:val="DefaultParagraphFont"/>
    <w:rsid w:val="00772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19640">
      <w:bodyDiv w:val="1"/>
      <w:marLeft w:val="0"/>
      <w:marRight w:val="0"/>
      <w:marTop w:val="0"/>
      <w:marBottom w:val="0"/>
      <w:divBdr>
        <w:top w:val="none" w:sz="0" w:space="0" w:color="auto"/>
        <w:left w:val="none" w:sz="0" w:space="0" w:color="auto"/>
        <w:bottom w:val="none" w:sz="0" w:space="0" w:color="auto"/>
        <w:right w:val="none" w:sz="0" w:space="0" w:color="auto"/>
      </w:divBdr>
      <w:divsChild>
        <w:div w:id="1022318639">
          <w:marLeft w:val="0"/>
          <w:marRight w:val="0"/>
          <w:marTop w:val="0"/>
          <w:marBottom w:val="0"/>
          <w:divBdr>
            <w:top w:val="none" w:sz="0" w:space="0" w:color="auto"/>
            <w:left w:val="none" w:sz="0" w:space="0" w:color="auto"/>
            <w:bottom w:val="none" w:sz="0" w:space="0" w:color="auto"/>
            <w:right w:val="none" w:sz="0" w:space="0" w:color="auto"/>
          </w:divBdr>
        </w:div>
        <w:div w:id="602997634">
          <w:marLeft w:val="0"/>
          <w:marRight w:val="0"/>
          <w:marTop w:val="0"/>
          <w:marBottom w:val="0"/>
          <w:divBdr>
            <w:top w:val="none" w:sz="0" w:space="0" w:color="auto"/>
            <w:left w:val="none" w:sz="0" w:space="0" w:color="auto"/>
            <w:bottom w:val="none" w:sz="0" w:space="0" w:color="auto"/>
            <w:right w:val="none" w:sz="0" w:space="0" w:color="auto"/>
          </w:divBdr>
        </w:div>
        <w:div w:id="573129429">
          <w:marLeft w:val="0"/>
          <w:marRight w:val="0"/>
          <w:marTop w:val="0"/>
          <w:marBottom w:val="0"/>
          <w:divBdr>
            <w:top w:val="none" w:sz="0" w:space="0" w:color="auto"/>
            <w:left w:val="none" w:sz="0" w:space="0" w:color="auto"/>
            <w:bottom w:val="none" w:sz="0" w:space="0" w:color="auto"/>
            <w:right w:val="none" w:sz="0" w:space="0" w:color="auto"/>
          </w:divBdr>
        </w:div>
        <w:div w:id="1965426557">
          <w:marLeft w:val="0"/>
          <w:marRight w:val="0"/>
          <w:marTop w:val="0"/>
          <w:marBottom w:val="0"/>
          <w:divBdr>
            <w:top w:val="none" w:sz="0" w:space="0" w:color="auto"/>
            <w:left w:val="none" w:sz="0" w:space="0" w:color="auto"/>
            <w:bottom w:val="none" w:sz="0" w:space="0" w:color="auto"/>
            <w:right w:val="none" w:sz="0" w:space="0" w:color="auto"/>
          </w:divBdr>
        </w:div>
        <w:div w:id="1116676468">
          <w:marLeft w:val="0"/>
          <w:marRight w:val="0"/>
          <w:marTop w:val="0"/>
          <w:marBottom w:val="0"/>
          <w:divBdr>
            <w:top w:val="none" w:sz="0" w:space="0" w:color="auto"/>
            <w:left w:val="none" w:sz="0" w:space="0" w:color="auto"/>
            <w:bottom w:val="none" w:sz="0" w:space="0" w:color="auto"/>
            <w:right w:val="none" w:sz="0" w:space="0" w:color="auto"/>
          </w:divBdr>
        </w:div>
        <w:div w:id="1787232676">
          <w:marLeft w:val="0"/>
          <w:marRight w:val="0"/>
          <w:marTop w:val="0"/>
          <w:marBottom w:val="0"/>
          <w:divBdr>
            <w:top w:val="none" w:sz="0" w:space="0" w:color="auto"/>
            <w:left w:val="none" w:sz="0" w:space="0" w:color="auto"/>
            <w:bottom w:val="none" w:sz="0" w:space="0" w:color="auto"/>
            <w:right w:val="none" w:sz="0" w:space="0" w:color="auto"/>
          </w:divBdr>
        </w:div>
        <w:div w:id="24452527">
          <w:marLeft w:val="0"/>
          <w:marRight w:val="0"/>
          <w:marTop w:val="0"/>
          <w:marBottom w:val="0"/>
          <w:divBdr>
            <w:top w:val="none" w:sz="0" w:space="0" w:color="auto"/>
            <w:left w:val="none" w:sz="0" w:space="0" w:color="auto"/>
            <w:bottom w:val="none" w:sz="0" w:space="0" w:color="auto"/>
            <w:right w:val="none" w:sz="0" w:space="0" w:color="auto"/>
          </w:divBdr>
        </w:div>
        <w:div w:id="1116487683">
          <w:marLeft w:val="0"/>
          <w:marRight w:val="0"/>
          <w:marTop w:val="0"/>
          <w:marBottom w:val="0"/>
          <w:divBdr>
            <w:top w:val="none" w:sz="0" w:space="0" w:color="auto"/>
            <w:left w:val="none" w:sz="0" w:space="0" w:color="auto"/>
            <w:bottom w:val="none" w:sz="0" w:space="0" w:color="auto"/>
            <w:right w:val="none" w:sz="0" w:space="0" w:color="auto"/>
          </w:divBdr>
        </w:div>
        <w:div w:id="1002660696">
          <w:marLeft w:val="0"/>
          <w:marRight w:val="0"/>
          <w:marTop w:val="0"/>
          <w:marBottom w:val="0"/>
          <w:divBdr>
            <w:top w:val="none" w:sz="0" w:space="0" w:color="auto"/>
            <w:left w:val="none" w:sz="0" w:space="0" w:color="auto"/>
            <w:bottom w:val="none" w:sz="0" w:space="0" w:color="auto"/>
            <w:right w:val="none" w:sz="0" w:space="0" w:color="auto"/>
          </w:divBdr>
        </w:div>
        <w:div w:id="1162741848">
          <w:marLeft w:val="0"/>
          <w:marRight w:val="0"/>
          <w:marTop w:val="0"/>
          <w:marBottom w:val="0"/>
          <w:divBdr>
            <w:top w:val="none" w:sz="0" w:space="0" w:color="auto"/>
            <w:left w:val="none" w:sz="0" w:space="0" w:color="auto"/>
            <w:bottom w:val="none" w:sz="0" w:space="0" w:color="auto"/>
            <w:right w:val="none" w:sz="0" w:space="0" w:color="auto"/>
          </w:divBdr>
        </w:div>
        <w:div w:id="822549994">
          <w:marLeft w:val="0"/>
          <w:marRight w:val="0"/>
          <w:marTop w:val="0"/>
          <w:marBottom w:val="0"/>
          <w:divBdr>
            <w:top w:val="none" w:sz="0" w:space="0" w:color="auto"/>
            <w:left w:val="none" w:sz="0" w:space="0" w:color="auto"/>
            <w:bottom w:val="none" w:sz="0" w:space="0" w:color="auto"/>
            <w:right w:val="none" w:sz="0" w:space="0" w:color="auto"/>
          </w:divBdr>
        </w:div>
        <w:div w:id="656223842">
          <w:marLeft w:val="0"/>
          <w:marRight w:val="0"/>
          <w:marTop w:val="0"/>
          <w:marBottom w:val="0"/>
          <w:divBdr>
            <w:top w:val="none" w:sz="0" w:space="0" w:color="auto"/>
            <w:left w:val="none" w:sz="0" w:space="0" w:color="auto"/>
            <w:bottom w:val="none" w:sz="0" w:space="0" w:color="auto"/>
            <w:right w:val="none" w:sz="0" w:space="0" w:color="auto"/>
          </w:divBdr>
        </w:div>
      </w:divsChild>
    </w:div>
    <w:div w:id="394010183">
      <w:bodyDiv w:val="1"/>
      <w:marLeft w:val="0"/>
      <w:marRight w:val="0"/>
      <w:marTop w:val="0"/>
      <w:marBottom w:val="0"/>
      <w:divBdr>
        <w:top w:val="none" w:sz="0" w:space="0" w:color="auto"/>
        <w:left w:val="none" w:sz="0" w:space="0" w:color="auto"/>
        <w:bottom w:val="none" w:sz="0" w:space="0" w:color="auto"/>
        <w:right w:val="none" w:sz="0" w:space="0" w:color="auto"/>
      </w:divBdr>
      <w:divsChild>
        <w:div w:id="1180242779">
          <w:marLeft w:val="0"/>
          <w:marRight w:val="0"/>
          <w:marTop w:val="0"/>
          <w:marBottom w:val="0"/>
          <w:divBdr>
            <w:top w:val="none" w:sz="0" w:space="0" w:color="auto"/>
            <w:left w:val="none" w:sz="0" w:space="0" w:color="auto"/>
            <w:bottom w:val="none" w:sz="0" w:space="0" w:color="auto"/>
            <w:right w:val="none" w:sz="0" w:space="0" w:color="auto"/>
          </w:divBdr>
        </w:div>
        <w:div w:id="478427755">
          <w:marLeft w:val="0"/>
          <w:marRight w:val="0"/>
          <w:marTop w:val="0"/>
          <w:marBottom w:val="0"/>
          <w:divBdr>
            <w:top w:val="none" w:sz="0" w:space="0" w:color="auto"/>
            <w:left w:val="none" w:sz="0" w:space="0" w:color="auto"/>
            <w:bottom w:val="none" w:sz="0" w:space="0" w:color="auto"/>
            <w:right w:val="none" w:sz="0" w:space="0" w:color="auto"/>
          </w:divBdr>
        </w:div>
        <w:div w:id="888110522">
          <w:marLeft w:val="0"/>
          <w:marRight w:val="0"/>
          <w:marTop w:val="0"/>
          <w:marBottom w:val="0"/>
          <w:divBdr>
            <w:top w:val="none" w:sz="0" w:space="0" w:color="auto"/>
            <w:left w:val="none" w:sz="0" w:space="0" w:color="auto"/>
            <w:bottom w:val="none" w:sz="0" w:space="0" w:color="auto"/>
            <w:right w:val="none" w:sz="0" w:space="0" w:color="auto"/>
          </w:divBdr>
        </w:div>
        <w:div w:id="1736783295">
          <w:marLeft w:val="0"/>
          <w:marRight w:val="0"/>
          <w:marTop w:val="0"/>
          <w:marBottom w:val="0"/>
          <w:divBdr>
            <w:top w:val="none" w:sz="0" w:space="0" w:color="auto"/>
            <w:left w:val="none" w:sz="0" w:space="0" w:color="auto"/>
            <w:bottom w:val="none" w:sz="0" w:space="0" w:color="auto"/>
            <w:right w:val="none" w:sz="0" w:space="0" w:color="auto"/>
          </w:divBdr>
        </w:div>
        <w:div w:id="1912350522">
          <w:marLeft w:val="0"/>
          <w:marRight w:val="0"/>
          <w:marTop w:val="0"/>
          <w:marBottom w:val="0"/>
          <w:divBdr>
            <w:top w:val="none" w:sz="0" w:space="0" w:color="auto"/>
            <w:left w:val="none" w:sz="0" w:space="0" w:color="auto"/>
            <w:bottom w:val="none" w:sz="0" w:space="0" w:color="auto"/>
            <w:right w:val="none" w:sz="0" w:space="0" w:color="auto"/>
          </w:divBdr>
        </w:div>
        <w:div w:id="1975138631">
          <w:marLeft w:val="0"/>
          <w:marRight w:val="0"/>
          <w:marTop w:val="0"/>
          <w:marBottom w:val="0"/>
          <w:divBdr>
            <w:top w:val="none" w:sz="0" w:space="0" w:color="auto"/>
            <w:left w:val="none" w:sz="0" w:space="0" w:color="auto"/>
            <w:bottom w:val="none" w:sz="0" w:space="0" w:color="auto"/>
            <w:right w:val="none" w:sz="0" w:space="0" w:color="auto"/>
          </w:divBdr>
        </w:div>
        <w:div w:id="1794979818">
          <w:marLeft w:val="0"/>
          <w:marRight w:val="0"/>
          <w:marTop w:val="0"/>
          <w:marBottom w:val="0"/>
          <w:divBdr>
            <w:top w:val="none" w:sz="0" w:space="0" w:color="auto"/>
            <w:left w:val="none" w:sz="0" w:space="0" w:color="auto"/>
            <w:bottom w:val="none" w:sz="0" w:space="0" w:color="auto"/>
            <w:right w:val="none" w:sz="0" w:space="0" w:color="auto"/>
          </w:divBdr>
        </w:div>
        <w:div w:id="489104126">
          <w:marLeft w:val="0"/>
          <w:marRight w:val="0"/>
          <w:marTop w:val="0"/>
          <w:marBottom w:val="0"/>
          <w:divBdr>
            <w:top w:val="none" w:sz="0" w:space="0" w:color="auto"/>
            <w:left w:val="none" w:sz="0" w:space="0" w:color="auto"/>
            <w:bottom w:val="none" w:sz="0" w:space="0" w:color="auto"/>
            <w:right w:val="none" w:sz="0" w:space="0" w:color="auto"/>
          </w:divBdr>
        </w:div>
        <w:div w:id="84503679">
          <w:marLeft w:val="0"/>
          <w:marRight w:val="0"/>
          <w:marTop w:val="0"/>
          <w:marBottom w:val="0"/>
          <w:divBdr>
            <w:top w:val="none" w:sz="0" w:space="0" w:color="auto"/>
            <w:left w:val="none" w:sz="0" w:space="0" w:color="auto"/>
            <w:bottom w:val="none" w:sz="0" w:space="0" w:color="auto"/>
            <w:right w:val="none" w:sz="0" w:space="0" w:color="auto"/>
          </w:divBdr>
        </w:div>
        <w:div w:id="1805390148">
          <w:marLeft w:val="0"/>
          <w:marRight w:val="0"/>
          <w:marTop w:val="0"/>
          <w:marBottom w:val="0"/>
          <w:divBdr>
            <w:top w:val="none" w:sz="0" w:space="0" w:color="auto"/>
            <w:left w:val="none" w:sz="0" w:space="0" w:color="auto"/>
            <w:bottom w:val="none" w:sz="0" w:space="0" w:color="auto"/>
            <w:right w:val="none" w:sz="0" w:space="0" w:color="auto"/>
          </w:divBdr>
        </w:div>
        <w:div w:id="2022048569">
          <w:marLeft w:val="0"/>
          <w:marRight w:val="0"/>
          <w:marTop w:val="0"/>
          <w:marBottom w:val="0"/>
          <w:divBdr>
            <w:top w:val="none" w:sz="0" w:space="0" w:color="auto"/>
            <w:left w:val="none" w:sz="0" w:space="0" w:color="auto"/>
            <w:bottom w:val="none" w:sz="0" w:space="0" w:color="auto"/>
            <w:right w:val="none" w:sz="0" w:space="0" w:color="auto"/>
          </w:divBdr>
        </w:div>
        <w:div w:id="549540086">
          <w:marLeft w:val="0"/>
          <w:marRight w:val="0"/>
          <w:marTop w:val="0"/>
          <w:marBottom w:val="0"/>
          <w:divBdr>
            <w:top w:val="none" w:sz="0" w:space="0" w:color="auto"/>
            <w:left w:val="none" w:sz="0" w:space="0" w:color="auto"/>
            <w:bottom w:val="none" w:sz="0" w:space="0" w:color="auto"/>
            <w:right w:val="none" w:sz="0" w:space="0" w:color="auto"/>
          </w:divBdr>
        </w:div>
      </w:divsChild>
    </w:div>
    <w:div w:id="1000308483">
      <w:bodyDiv w:val="1"/>
      <w:marLeft w:val="0"/>
      <w:marRight w:val="0"/>
      <w:marTop w:val="0"/>
      <w:marBottom w:val="0"/>
      <w:divBdr>
        <w:top w:val="none" w:sz="0" w:space="0" w:color="auto"/>
        <w:left w:val="none" w:sz="0" w:space="0" w:color="auto"/>
        <w:bottom w:val="none" w:sz="0" w:space="0" w:color="auto"/>
        <w:right w:val="none" w:sz="0" w:space="0" w:color="auto"/>
      </w:divBdr>
      <w:divsChild>
        <w:div w:id="996686275">
          <w:marLeft w:val="0"/>
          <w:marRight w:val="0"/>
          <w:marTop w:val="0"/>
          <w:marBottom w:val="0"/>
          <w:divBdr>
            <w:top w:val="none" w:sz="0" w:space="0" w:color="auto"/>
            <w:left w:val="none" w:sz="0" w:space="0" w:color="auto"/>
            <w:bottom w:val="none" w:sz="0" w:space="0" w:color="auto"/>
            <w:right w:val="none" w:sz="0" w:space="0" w:color="auto"/>
          </w:divBdr>
        </w:div>
        <w:div w:id="2109038737">
          <w:marLeft w:val="0"/>
          <w:marRight w:val="0"/>
          <w:marTop w:val="0"/>
          <w:marBottom w:val="0"/>
          <w:divBdr>
            <w:top w:val="none" w:sz="0" w:space="0" w:color="auto"/>
            <w:left w:val="none" w:sz="0" w:space="0" w:color="auto"/>
            <w:bottom w:val="none" w:sz="0" w:space="0" w:color="auto"/>
            <w:right w:val="none" w:sz="0" w:space="0" w:color="auto"/>
          </w:divBdr>
        </w:div>
      </w:divsChild>
    </w:div>
    <w:div w:id="1359576918">
      <w:bodyDiv w:val="1"/>
      <w:marLeft w:val="0"/>
      <w:marRight w:val="0"/>
      <w:marTop w:val="0"/>
      <w:marBottom w:val="0"/>
      <w:divBdr>
        <w:top w:val="none" w:sz="0" w:space="0" w:color="auto"/>
        <w:left w:val="none" w:sz="0" w:space="0" w:color="auto"/>
        <w:bottom w:val="none" w:sz="0" w:space="0" w:color="auto"/>
        <w:right w:val="none" w:sz="0" w:space="0" w:color="auto"/>
      </w:divBdr>
    </w:div>
    <w:div w:id="1692218559">
      <w:bodyDiv w:val="1"/>
      <w:marLeft w:val="0"/>
      <w:marRight w:val="0"/>
      <w:marTop w:val="0"/>
      <w:marBottom w:val="0"/>
      <w:divBdr>
        <w:top w:val="none" w:sz="0" w:space="0" w:color="auto"/>
        <w:left w:val="none" w:sz="0" w:space="0" w:color="auto"/>
        <w:bottom w:val="none" w:sz="0" w:space="0" w:color="auto"/>
        <w:right w:val="none" w:sz="0" w:space="0" w:color="auto"/>
      </w:divBdr>
    </w:div>
    <w:div w:id="1831408035">
      <w:bodyDiv w:val="1"/>
      <w:marLeft w:val="0"/>
      <w:marRight w:val="0"/>
      <w:marTop w:val="0"/>
      <w:marBottom w:val="0"/>
      <w:divBdr>
        <w:top w:val="none" w:sz="0" w:space="0" w:color="auto"/>
        <w:left w:val="none" w:sz="0" w:space="0" w:color="auto"/>
        <w:bottom w:val="none" w:sz="0" w:space="0" w:color="auto"/>
        <w:right w:val="none" w:sz="0" w:space="0" w:color="auto"/>
      </w:divBdr>
      <w:divsChild>
        <w:div w:id="654605810">
          <w:marLeft w:val="0"/>
          <w:marRight w:val="0"/>
          <w:marTop w:val="0"/>
          <w:marBottom w:val="0"/>
          <w:divBdr>
            <w:top w:val="none" w:sz="0" w:space="0" w:color="auto"/>
            <w:left w:val="none" w:sz="0" w:space="0" w:color="auto"/>
            <w:bottom w:val="none" w:sz="0" w:space="0" w:color="auto"/>
            <w:right w:val="none" w:sz="0" w:space="0" w:color="auto"/>
          </w:divBdr>
        </w:div>
        <w:div w:id="16210616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77/0032258X21100083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ng.com/ck/a?!&amp;&amp;p=f2d5e58bc194856fJmltdHM9MTcxNzg5MTIwMCZpZ3VpZD0zNjU3MWM1Mi1kOGZhLTYyNDgtMzk4ZS0wODA5ZDk0MTYzYzMmaW5zaWQ9NTcyNg&amp;ptn=3&amp;ver=2&amp;hsh=3&amp;fclid=36571c52-d8fa-6248-398e-0809d94163c3&amp;u=a1L3NlYXJjaD9GT1JNPVNOQVBTVCZxPUFtZXJpY2FuK1BzeWNob2xvZ2ljYWwrQXNzb2NpYXRpb24mZmlsdGVycz1zaWQ6IjIxNGVjMDMwLTlmODktMzUwNi03YmUzLTU0Y2RiZDZjYTRkYiI&amp;ntb=1"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5858</Words>
  <Characters>33394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 Hannah</dc:creator>
  <cp:keywords/>
  <dc:description/>
  <cp:lastModifiedBy>Joshua Mitson (2222742)</cp:lastModifiedBy>
  <cp:revision>3</cp:revision>
  <dcterms:created xsi:type="dcterms:W3CDTF">2024-06-10T07:26:00Z</dcterms:created>
  <dcterms:modified xsi:type="dcterms:W3CDTF">2024-06-10T07:27:00Z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2024-05-28T17:31:00Z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74d50e8b-e3b7-4132-af63-cb819b49ba8e</vt:lpwstr>
  </property>
  <property fmtid="{D5CDD505-2E9C-101B-9397-08002B2CF9AE}" pid="8" name="MSIP_Label_f2acd28b-79a3-4a0f-b0ff-4b75658b1549_ContentBits">
    <vt:lpwstr>0</vt:lpwstr>
  </property>
</Properties>
</file>