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BA593B" w14:textId="77777777" w:rsidR="007C13EF" w:rsidRPr="002C1A81" w:rsidRDefault="007C13EF" w:rsidP="007C13EF">
      <w:pPr>
        <w:jc w:val="center"/>
        <w:rPr>
          <w:b/>
        </w:rPr>
      </w:pPr>
    </w:p>
    <w:p w14:paraId="48BA593C" w14:textId="77777777" w:rsidR="007C13EF" w:rsidRPr="002C1A81" w:rsidRDefault="007C13EF" w:rsidP="007C13EF">
      <w:pPr>
        <w:jc w:val="center"/>
        <w:rPr>
          <w:b/>
        </w:rPr>
      </w:pPr>
    </w:p>
    <w:p w14:paraId="48BA593D" w14:textId="77777777" w:rsidR="007C13EF" w:rsidRPr="002C1A81" w:rsidRDefault="007C13EF" w:rsidP="007C13EF">
      <w:pPr>
        <w:jc w:val="center"/>
        <w:rPr>
          <w:b/>
        </w:rPr>
      </w:pPr>
    </w:p>
    <w:p w14:paraId="48BA593E" w14:textId="77777777" w:rsidR="007C13EF" w:rsidRPr="002C1A81" w:rsidRDefault="007C13EF" w:rsidP="007C13EF">
      <w:pPr>
        <w:jc w:val="center"/>
        <w:rPr>
          <w:b/>
        </w:rPr>
      </w:pPr>
    </w:p>
    <w:p w14:paraId="48BA593F" w14:textId="77777777" w:rsidR="007C13EF" w:rsidRPr="002C1A81" w:rsidRDefault="007C13EF" w:rsidP="007C13EF">
      <w:pPr>
        <w:jc w:val="center"/>
        <w:rPr>
          <w:b/>
        </w:rPr>
      </w:pPr>
      <w:r w:rsidRPr="002C1A81">
        <w:rPr>
          <w:b/>
        </w:rPr>
        <w:t>Program: BA International Hotel Managemen</w:t>
      </w:r>
      <w:r w:rsidR="00912054" w:rsidRPr="002C1A81">
        <w:rPr>
          <w:b/>
        </w:rPr>
        <w:t>t</w:t>
      </w:r>
    </w:p>
    <w:p w14:paraId="48BA5940" w14:textId="77777777" w:rsidR="007C13EF" w:rsidRPr="002C1A81" w:rsidRDefault="007C13EF" w:rsidP="007C13EF">
      <w:pPr>
        <w:jc w:val="center"/>
        <w:rPr>
          <w:b/>
        </w:rPr>
      </w:pPr>
      <w:r w:rsidRPr="002C1A81">
        <w:rPr>
          <w:b/>
        </w:rPr>
        <w:t>Module Title: Financial Management for the Hotel Industry Level 5</w:t>
      </w:r>
    </w:p>
    <w:p w14:paraId="48BA5941" w14:textId="77777777" w:rsidR="007C13EF" w:rsidRPr="002C1A81" w:rsidRDefault="007C13EF" w:rsidP="007C13EF">
      <w:pPr>
        <w:jc w:val="center"/>
        <w:rPr>
          <w:b/>
        </w:rPr>
      </w:pPr>
      <w:r w:rsidRPr="002C1A81">
        <w:rPr>
          <w:b/>
        </w:rPr>
        <w:t>Module code: BMIH5007</w:t>
      </w:r>
    </w:p>
    <w:p w14:paraId="48BA5942" w14:textId="77777777" w:rsidR="007C13EF" w:rsidRPr="002C1A81" w:rsidRDefault="007C13EF" w:rsidP="007C13EF">
      <w:pPr>
        <w:jc w:val="center"/>
        <w:rPr>
          <w:b/>
        </w:rPr>
      </w:pPr>
      <w:r w:rsidRPr="002C1A81">
        <w:rPr>
          <w:b/>
        </w:rPr>
        <w:t>Module Leader: Tristan Hawkins</w:t>
      </w:r>
    </w:p>
    <w:p w14:paraId="48BA5943" w14:textId="77777777" w:rsidR="00DE26B3" w:rsidRDefault="00C074DA" w:rsidP="007C13EF">
      <w:pPr>
        <w:jc w:val="center"/>
        <w:rPr>
          <w:b/>
        </w:rPr>
      </w:pPr>
      <w:r w:rsidRPr="002C1A81">
        <w:rPr>
          <w:b/>
        </w:rPr>
        <w:t>Assessment 2: Case Study- The City Hotel</w:t>
      </w:r>
    </w:p>
    <w:p w14:paraId="48BA5944" w14:textId="77777777" w:rsidR="00E54BFB" w:rsidRDefault="00E54BFB" w:rsidP="007C13EF">
      <w:pPr>
        <w:jc w:val="center"/>
        <w:rPr>
          <w:b/>
        </w:rPr>
      </w:pPr>
    </w:p>
    <w:p w14:paraId="48BA5945" w14:textId="77777777" w:rsidR="00E54BFB" w:rsidRDefault="00E54BFB" w:rsidP="007C13EF">
      <w:pPr>
        <w:jc w:val="center"/>
        <w:rPr>
          <w:b/>
        </w:rPr>
      </w:pPr>
    </w:p>
    <w:p w14:paraId="48BA5946" w14:textId="77777777" w:rsidR="00E54BFB" w:rsidRPr="00E54BFB" w:rsidRDefault="00E54BFB" w:rsidP="007C13EF">
      <w:pPr>
        <w:jc w:val="center"/>
        <w:rPr>
          <w:b/>
          <w:i/>
        </w:rPr>
      </w:pPr>
      <w:r w:rsidRPr="00E54BFB">
        <w:rPr>
          <w:b/>
          <w:i/>
        </w:rPr>
        <w:t>Declaration</w:t>
      </w:r>
    </w:p>
    <w:p w14:paraId="48BA5947" w14:textId="77777777" w:rsidR="00E54BFB" w:rsidRPr="00E54BFB" w:rsidRDefault="00E54BFB" w:rsidP="00E54BFB">
      <w:pPr>
        <w:jc w:val="center"/>
        <w:rPr>
          <w:i/>
        </w:rPr>
      </w:pPr>
      <w:r w:rsidRPr="00E54BFB">
        <w:rPr>
          <w:i/>
        </w:rPr>
        <w:t>I ensure that I have applied Grammarly (https://www.grammarly.com/) on 22</w:t>
      </w:r>
      <w:r w:rsidRPr="00E54BFB">
        <w:rPr>
          <w:i/>
          <w:vertAlign w:val="superscript"/>
        </w:rPr>
        <w:t>nd</w:t>
      </w:r>
      <w:r w:rsidRPr="00E54BFB">
        <w:rPr>
          <w:i/>
        </w:rPr>
        <w:t xml:space="preserve"> October 2024 to check the errors based on spelling in my work. Grammarly offered efficiency to the document by reducing grammatical and spelling mistakes in the work. I also made necessary changes that are needed to make according to the highlighted errors. I also certify that I have not applied any AI tools in my work and the assignment is my own. I also confirm that I have saved all the drafts, notes, and resources that are used to collect data and also cited with appropriate references in the work. </w:t>
      </w:r>
    </w:p>
    <w:p w14:paraId="48BA5948" w14:textId="77777777" w:rsidR="00C074DA" w:rsidRDefault="00C074DA">
      <w:pPr>
        <w:spacing w:after="160" w:line="259" w:lineRule="auto"/>
        <w:jc w:val="left"/>
        <w:rPr>
          <w:b/>
        </w:rPr>
      </w:pPr>
      <w:r w:rsidRPr="002C1A81">
        <w:rPr>
          <w:b/>
        </w:rPr>
        <w:br w:type="page"/>
      </w:r>
    </w:p>
    <w:p w14:paraId="48BA5949" w14:textId="77777777" w:rsidR="00E54BFB" w:rsidRDefault="00E54BFB">
      <w:pPr>
        <w:spacing w:after="160" w:line="259" w:lineRule="auto"/>
        <w:jc w:val="left"/>
        <w:rPr>
          <w:b/>
        </w:rPr>
      </w:pPr>
    </w:p>
    <w:p w14:paraId="48BA594A" w14:textId="77777777" w:rsidR="00E54BFB" w:rsidRPr="002C1A81" w:rsidRDefault="00E54BFB">
      <w:pPr>
        <w:spacing w:after="160" w:line="259" w:lineRule="auto"/>
        <w:jc w:val="left"/>
        <w:rPr>
          <w:b/>
        </w:rPr>
      </w:pPr>
    </w:p>
    <w:sdt>
      <w:sdtPr>
        <w:rPr>
          <w:rFonts w:ascii="Times New Roman" w:eastAsia="Calibri" w:hAnsi="Times New Roman" w:cs="Calibri"/>
          <w:color w:val="auto"/>
          <w:sz w:val="24"/>
          <w:szCs w:val="22"/>
          <w:lang w:val="en-GB"/>
        </w:rPr>
        <w:id w:val="1042877363"/>
        <w:docPartObj>
          <w:docPartGallery w:val="Table of Contents"/>
          <w:docPartUnique/>
        </w:docPartObj>
      </w:sdtPr>
      <w:sdtEndPr>
        <w:rPr>
          <w:b/>
          <w:bCs/>
          <w:noProof/>
        </w:rPr>
      </w:sdtEndPr>
      <w:sdtContent>
        <w:p w14:paraId="48BA594B" w14:textId="77777777" w:rsidR="00A60A08" w:rsidRPr="002C1A81" w:rsidRDefault="00A60A08" w:rsidP="00A60A08">
          <w:pPr>
            <w:pStyle w:val="TOCHeading"/>
            <w:jc w:val="center"/>
            <w:rPr>
              <w:rFonts w:ascii="Times New Roman" w:hAnsi="Times New Roman" w:cs="Times New Roman"/>
              <w:b/>
              <w:color w:val="auto"/>
              <w:lang w:val="en-GB"/>
            </w:rPr>
          </w:pPr>
          <w:r w:rsidRPr="002C1A81">
            <w:rPr>
              <w:rFonts w:ascii="Times New Roman" w:hAnsi="Times New Roman" w:cs="Times New Roman"/>
              <w:b/>
              <w:color w:val="auto"/>
              <w:lang w:val="en-GB"/>
            </w:rPr>
            <w:t>Table of Contents</w:t>
          </w:r>
        </w:p>
        <w:p w14:paraId="48BA594C" w14:textId="77777777" w:rsidR="00B76860" w:rsidRDefault="00A60A08">
          <w:pPr>
            <w:pStyle w:val="TOC1"/>
            <w:tabs>
              <w:tab w:val="left" w:pos="440"/>
              <w:tab w:val="right" w:leader="dot" w:pos="9350"/>
            </w:tabs>
            <w:rPr>
              <w:rFonts w:asciiTheme="minorHAnsi" w:eastAsiaTheme="minorEastAsia" w:hAnsiTheme="minorHAnsi" w:cstheme="minorBidi"/>
              <w:noProof/>
              <w:sz w:val="22"/>
              <w:lang w:val="en-US"/>
            </w:rPr>
          </w:pPr>
          <w:r w:rsidRPr="002C1A81">
            <w:fldChar w:fldCharType="begin"/>
          </w:r>
          <w:r w:rsidRPr="002C1A81">
            <w:instrText xml:space="preserve"> TOC \o "1-3" \h \z \u </w:instrText>
          </w:r>
          <w:r w:rsidRPr="002C1A81">
            <w:fldChar w:fldCharType="separate"/>
          </w:r>
          <w:hyperlink w:anchor="_Toc180843440" w:history="1">
            <w:r w:rsidR="00B76860" w:rsidRPr="00865AD9">
              <w:rPr>
                <w:rStyle w:val="Hyperlink"/>
                <w:noProof/>
              </w:rPr>
              <w:t>1</w:t>
            </w:r>
            <w:r w:rsidR="00B76860">
              <w:rPr>
                <w:rFonts w:asciiTheme="minorHAnsi" w:eastAsiaTheme="minorEastAsia" w:hAnsiTheme="minorHAnsi" w:cstheme="minorBidi"/>
                <w:noProof/>
                <w:sz w:val="22"/>
                <w:lang w:val="en-US"/>
              </w:rPr>
              <w:tab/>
            </w:r>
            <w:r w:rsidR="00B76860" w:rsidRPr="00865AD9">
              <w:rPr>
                <w:rStyle w:val="Hyperlink"/>
                <w:noProof/>
              </w:rPr>
              <w:t>Introduction</w:t>
            </w:r>
            <w:r w:rsidR="00B76860">
              <w:rPr>
                <w:noProof/>
                <w:webHidden/>
              </w:rPr>
              <w:tab/>
            </w:r>
            <w:r w:rsidR="00B76860">
              <w:rPr>
                <w:noProof/>
                <w:webHidden/>
              </w:rPr>
              <w:fldChar w:fldCharType="begin"/>
            </w:r>
            <w:r w:rsidR="00B76860">
              <w:rPr>
                <w:noProof/>
                <w:webHidden/>
              </w:rPr>
              <w:instrText xml:space="preserve"> PAGEREF _Toc180843440 \h </w:instrText>
            </w:r>
            <w:r w:rsidR="00B76860">
              <w:rPr>
                <w:noProof/>
                <w:webHidden/>
              </w:rPr>
            </w:r>
            <w:r w:rsidR="00B76860">
              <w:rPr>
                <w:noProof/>
                <w:webHidden/>
              </w:rPr>
              <w:fldChar w:fldCharType="separate"/>
            </w:r>
            <w:r w:rsidR="00B76860">
              <w:rPr>
                <w:noProof/>
                <w:webHidden/>
              </w:rPr>
              <w:t>3</w:t>
            </w:r>
            <w:r w:rsidR="00B76860">
              <w:rPr>
                <w:noProof/>
                <w:webHidden/>
              </w:rPr>
              <w:fldChar w:fldCharType="end"/>
            </w:r>
          </w:hyperlink>
        </w:p>
        <w:p w14:paraId="48BA594D" w14:textId="77777777" w:rsidR="00B76860" w:rsidRDefault="00B76860">
          <w:pPr>
            <w:pStyle w:val="TOC1"/>
            <w:tabs>
              <w:tab w:val="left" w:pos="440"/>
              <w:tab w:val="right" w:leader="dot" w:pos="9350"/>
            </w:tabs>
            <w:rPr>
              <w:rFonts w:asciiTheme="minorHAnsi" w:eastAsiaTheme="minorEastAsia" w:hAnsiTheme="minorHAnsi" w:cstheme="minorBidi"/>
              <w:noProof/>
              <w:sz w:val="22"/>
              <w:lang w:val="en-US"/>
            </w:rPr>
          </w:pPr>
          <w:hyperlink w:anchor="_Toc180843441" w:history="1">
            <w:r w:rsidRPr="00865AD9">
              <w:rPr>
                <w:rStyle w:val="Hyperlink"/>
                <w:noProof/>
              </w:rPr>
              <w:t>2</w:t>
            </w:r>
            <w:r>
              <w:rPr>
                <w:rFonts w:asciiTheme="minorHAnsi" w:eastAsiaTheme="minorEastAsia" w:hAnsiTheme="minorHAnsi" w:cstheme="minorBidi"/>
                <w:noProof/>
                <w:sz w:val="22"/>
                <w:lang w:val="en-US"/>
              </w:rPr>
              <w:tab/>
            </w:r>
            <w:r w:rsidRPr="00865AD9">
              <w:rPr>
                <w:rStyle w:val="Hyperlink"/>
                <w:noProof/>
              </w:rPr>
              <w:t>Financial Performance Analysis of the City Hotel</w:t>
            </w:r>
            <w:r>
              <w:rPr>
                <w:noProof/>
                <w:webHidden/>
              </w:rPr>
              <w:tab/>
            </w:r>
            <w:r>
              <w:rPr>
                <w:noProof/>
                <w:webHidden/>
              </w:rPr>
              <w:fldChar w:fldCharType="begin"/>
            </w:r>
            <w:r>
              <w:rPr>
                <w:noProof/>
                <w:webHidden/>
              </w:rPr>
              <w:instrText xml:space="preserve"> PAGEREF _Toc180843441 \h </w:instrText>
            </w:r>
            <w:r>
              <w:rPr>
                <w:noProof/>
                <w:webHidden/>
              </w:rPr>
            </w:r>
            <w:r>
              <w:rPr>
                <w:noProof/>
                <w:webHidden/>
              </w:rPr>
              <w:fldChar w:fldCharType="separate"/>
            </w:r>
            <w:r>
              <w:rPr>
                <w:noProof/>
                <w:webHidden/>
              </w:rPr>
              <w:t>3</w:t>
            </w:r>
            <w:r>
              <w:rPr>
                <w:noProof/>
                <w:webHidden/>
              </w:rPr>
              <w:fldChar w:fldCharType="end"/>
            </w:r>
          </w:hyperlink>
        </w:p>
        <w:p w14:paraId="48BA594E" w14:textId="77777777" w:rsidR="00B76860" w:rsidRDefault="00B76860">
          <w:pPr>
            <w:pStyle w:val="TOC1"/>
            <w:tabs>
              <w:tab w:val="left" w:pos="440"/>
              <w:tab w:val="right" w:leader="dot" w:pos="9350"/>
            </w:tabs>
            <w:rPr>
              <w:rFonts w:asciiTheme="minorHAnsi" w:eastAsiaTheme="minorEastAsia" w:hAnsiTheme="minorHAnsi" w:cstheme="minorBidi"/>
              <w:noProof/>
              <w:sz w:val="22"/>
              <w:lang w:val="en-US"/>
            </w:rPr>
          </w:pPr>
          <w:hyperlink w:anchor="_Toc180843442" w:history="1">
            <w:r w:rsidRPr="00865AD9">
              <w:rPr>
                <w:rStyle w:val="Hyperlink"/>
                <w:noProof/>
              </w:rPr>
              <w:t>3</w:t>
            </w:r>
            <w:r>
              <w:rPr>
                <w:rFonts w:asciiTheme="minorHAnsi" w:eastAsiaTheme="minorEastAsia" w:hAnsiTheme="minorHAnsi" w:cstheme="minorBidi"/>
                <w:noProof/>
                <w:sz w:val="22"/>
                <w:lang w:val="en-US"/>
              </w:rPr>
              <w:tab/>
            </w:r>
            <w:r w:rsidRPr="00865AD9">
              <w:rPr>
                <w:rStyle w:val="Hyperlink"/>
                <w:noProof/>
              </w:rPr>
              <w:t>Declining Factors with Reasons</w:t>
            </w:r>
            <w:r>
              <w:rPr>
                <w:noProof/>
                <w:webHidden/>
              </w:rPr>
              <w:tab/>
            </w:r>
            <w:r>
              <w:rPr>
                <w:noProof/>
                <w:webHidden/>
              </w:rPr>
              <w:fldChar w:fldCharType="begin"/>
            </w:r>
            <w:r>
              <w:rPr>
                <w:noProof/>
                <w:webHidden/>
              </w:rPr>
              <w:instrText xml:space="preserve"> PAGEREF _Toc180843442 \h </w:instrText>
            </w:r>
            <w:r>
              <w:rPr>
                <w:noProof/>
                <w:webHidden/>
              </w:rPr>
            </w:r>
            <w:r>
              <w:rPr>
                <w:noProof/>
                <w:webHidden/>
              </w:rPr>
              <w:fldChar w:fldCharType="separate"/>
            </w:r>
            <w:r>
              <w:rPr>
                <w:noProof/>
                <w:webHidden/>
              </w:rPr>
              <w:t>7</w:t>
            </w:r>
            <w:r>
              <w:rPr>
                <w:noProof/>
                <w:webHidden/>
              </w:rPr>
              <w:fldChar w:fldCharType="end"/>
            </w:r>
          </w:hyperlink>
        </w:p>
        <w:p w14:paraId="48BA594F" w14:textId="77777777" w:rsidR="00B76860" w:rsidRDefault="00B76860">
          <w:pPr>
            <w:pStyle w:val="TOC1"/>
            <w:tabs>
              <w:tab w:val="left" w:pos="440"/>
              <w:tab w:val="right" w:leader="dot" w:pos="9350"/>
            </w:tabs>
            <w:rPr>
              <w:rFonts w:asciiTheme="minorHAnsi" w:eastAsiaTheme="minorEastAsia" w:hAnsiTheme="minorHAnsi" w:cstheme="minorBidi"/>
              <w:noProof/>
              <w:sz w:val="22"/>
              <w:lang w:val="en-US"/>
            </w:rPr>
          </w:pPr>
          <w:hyperlink w:anchor="_Toc180843443" w:history="1">
            <w:r w:rsidRPr="00865AD9">
              <w:rPr>
                <w:rStyle w:val="Hyperlink"/>
                <w:noProof/>
              </w:rPr>
              <w:t>4</w:t>
            </w:r>
            <w:r>
              <w:rPr>
                <w:rFonts w:asciiTheme="minorHAnsi" w:eastAsiaTheme="minorEastAsia" w:hAnsiTheme="minorHAnsi" w:cstheme="minorBidi"/>
                <w:noProof/>
                <w:sz w:val="22"/>
                <w:lang w:val="en-US"/>
              </w:rPr>
              <w:tab/>
            </w:r>
            <w:r w:rsidRPr="00865AD9">
              <w:rPr>
                <w:rStyle w:val="Hyperlink"/>
                <w:noProof/>
              </w:rPr>
              <w:t>Implementation of Turnaround Strategies</w:t>
            </w:r>
            <w:r>
              <w:rPr>
                <w:noProof/>
                <w:webHidden/>
              </w:rPr>
              <w:tab/>
            </w:r>
            <w:r>
              <w:rPr>
                <w:noProof/>
                <w:webHidden/>
              </w:rPr>
              <w:fldChar w:fldCharType="begin"/>
            </w:r>
            <w:r>
              <w:rPr>
                <w:noProof/>
                <w:webHidden/>
              </w:rPr>
              <w:instrText xml:space="preserve"> PAGEREF _Toc180843443 \h </w:instrText>
            </w:r>
            <w:r>
              <w:rPr>
                <w:noProof/>
                <w:webHidden/>
              </w:rPr>
            </w:r>
            <w:r>
              <w:rPr>
                <w:noProof/>
                <w:webHidden/>
              </w:rPr>
              <w:fldChar w:fldCharType="separate"/>
            </w:r>
            <w:r>
              <w:rPr>
                <w:noProof/>
                <w:webHidden/>
              </w:rPr>
              <w:t>9</w:t>
            </w:r>
            <w:r>
              <w:rPr>
                <w:noProof/>
                <w:webHidden/>
              </w:rPr>
              <w:fldChar w:fldCharType="end"/>
            </w:r>
          </w:hyperlink>
        </w:p>
        <w:p w14:paraId="48BA5950" w14:textId="77777777" w:rsidR="00B76860" w:rsidRDefault="00B76860">
          <w:pPr>
            <w:pStyle w:val="TOC1"/>
            <w:tabs>
              <w:tab w:val="left" w:pos="440"/>
              <w:tab w:val="right" w:leader="dot" w:pos="9350"/>
            </w:tabs>
            <w:rPr>
              <w:rFonts w:asciiTheme="minorHAnsi" w:eastAsiaTheme="minorEastAsia" w:hAnsiTheme="minorHAnsi" w:cstheme="minorBidi"/>
              <w:noProof/>
              <w:sz w:val="22"/>
              <w:lang w:val="en-US"/>
            </w:rPr>
          </w:pPr>
          <w:hyperlink w:anchor="_Toc180843444" w:history="1">
            <w:r w:rsidRPr="00865AD9">
              <w:rPr>
                <w:rStyle w:val="Hyperlink"/>
                <w:noProof/>
              </w:rPr>
              <w:t>5</w:t>
            </w:r>
            <w:r>
              <w:rPr>
                <w:rFonts w:asciiTheme="minorHAnsi" w:eastAsiaTheme="minorEastAsia" w:hAnsiTheme="minorHAnsi" w:cstheme="minorBidi"/>
                <w:noProof/>
                <w:sz w:val="22"/>
                <w:lang w:val="en-US"/>
              </w:rPr>
              <w:tab/>
            </w:r>
            <w:r w:rsidRPr="00865AD9">
              <w:rPr>
                <w:rStyle w:val="Hyperlink"/>
                <w:noProof/>
              </w:rPr>
              <w:t>Conclusion</w:t>
            </w:r>
            <w:r>
              <w:rPr>
                <w:noProof/>
                <w:webHidden/>
              </w:rPr>
              <w:tab/>
            </w:r>
            <w:r>
              <w:rPr>
                <w:noProof/>
                <w:webHidden/>
              </w:rPr>
              <w:fldChar w:fldCharType="begin"/>
            </w:r>
            <w:r>
              <w:rPr>
                <w:noProof/>
                <w:webHidden/>
              </w:rPr>
              <w:instrText xml:space="preserve"> PAGEREF _Toc180843444 \h </w:instrText>
            </w:r>
            <w:r>
              <w:rPr>
                <w:noProof/>
                <w:webHidden/>
              </w:rPr>
            </w:r>
            <w:r>
              <w:rPr>
                <w:noProof/>
                <w:webHidden/>
              </w:rPr>
              <w:fldChar w:fldCharType="separate"/>
            </w:r>
            <w:r>
              <w:rPr>
                <w:noProof/>
                <w:webHidden/>
              </w:rPr>
              <w:t>10</w:t>
            </w:r>
            <w:r>
              <w:rPr>
                <w:noProof/>
                <w:webHidden/>
              </w:rPr>
              <w:fldChar w:fldCharType="end"/>
            </w:r>
          </w:hyperlink>
        </w:p>
        <w:p w14:paraId="48BA5951" w14:textId="77777777" w:rsidR="00B76860" w:rsidRDefault="00B76860">
          <w:pPr>
            <w:pStyle w:val="TOC1"/>
            <w:tabs>
              <w:tab w:val="left" w:pos="440"/>
              <w:tab w:val="right" w:leader="dot" w:pos="9350"/>
            </w:tabs>
            <w:rPr>
              <w:rFonts w:asciiTheme="minorHAnsi" w:eastAsiaTheme="minorEastAsia" w:hAnsiTheme="minorHAnsi" w:cstheme="minorBidi"/>
              <w:noProof/>
              <w:sz w:val="22"/>
              <w:lang w:val="en-US"/>
            </w:rPr>
          </w:pPr>
          <w:hyperlink w:anchor="_Toc180843445" w:history="1">
            <w:r w:rsidRPr="00865AD9">
              <w:rPr>
                <w:rStyle w:val="Hyperlink"/>
                <w:noProof/>
              </w:rPr>
              <w:t>6</w:t>
            </w:r>
            <w:r>
              <w:rPr>
                <w:rFonts w:asciiTheme="minorHAnsi" w:eastAsiaTheme="minorEastAsia" w:hAnsiTheme="minorHAnsi" w:cstheme="minorBidi"/>
                <w:noProof/>
                <w:sz w:val="22"/>
                <w:lang w:val="en-US"/>
              </w:rPr>
              <w:tab/>
            </w:r>
            <w:r w:rsidRPr="00865AD9">
              <w:rPr>
                <w:rStyle w:val="Hyperlink"/>
                <w:noProof/>
              </w:rPr>
              <w:t>References</w:t>
            </w:r>
            <w:r>
              <w:rPr>
                <w:noProof/>
                <w:webHidden/>
              </w:rPr>
              <w:tab/>
            </w:r>
            <w:r>
              <w:rPr>
                <w:noProof/>
                <w:webHidden/>
              </w:rPr>
              <w:fldChar w:fldCharType="begin"/>
            </w:r>
            <w:r>
              <w:rPr>
                <w:noProof/>
                <w:webHidden/>
              </w:rPr>
              <w:instrText xml:space="preserve"> PAGEREF _Toc180843445 \h </w:instrText>
            </w:r>
            <w:r>
              <w:rPr>
                <w:noProof/>
                <w:webHidden/>
              </w:rPr>
            </w:r>
            <w:r>
              <w:rPr>
                <w:noProof/>
                <w:webHidden/>
              </w:rPr>
              <w:fldChar w:fldCharType="separate"/>
            </w:r>
            <w:r>
              <w:rPr>
                <w:noProof/>
                <w:webHidden/>
              </w:rPr>
              <w:t>11</w:t>
            </w:r>
            <w:r>
              <w:rPr>
                <w:noProof/>
                <w:webHidden/>
              </w:rPr>
              <w:fldChar w:fldCharType="end"/>
            </w:r>
          </w:hyperlink>
        </w:p>
        <w:p w14:paraId="48BA5952" w14:textId="77777777" w:rsidR="00A60A08" w:rsidRPr="002C1A81" w:rsidRDefault="00A60A08">
          <w:r w:rsidRPr="002C1A81">
            <w:rPr>
              <w:b/>
              <w:bCs/>
              <w:noProof/>
            </w:rPr>
            <w:fldChar w:fldCharType="end"/>
          </w:r>
        </w:p>
      </w:sdtContent>
    </w:sdt>
    <w:p w14:paraId="48BA5953" w14:textId="77777777" w:rsidR="00A60A08" w:rsidRPr="002C1A81" w:rsidRDefault="00A60A08" w:rsidP="00A60A08"/>
    <w:p w14:paraId="48BA5954" w14:textId="77777777" w:rsidR="00A60A08" w:rsidRPr="002C1A81" w:rsidRDefault="00A60A08">
      <w:pPr>
        <w:spacing w:after="160" w:line="259" w:lineRule="auto"/>
        <w:jc w:val="left"/>
        <w:rPr>
          <w:rFonts w:eastAsiaTheme="majorEastAsia" w:cstheme="majorBidi"/>
          <w:b/>
          <w:sz w:val="28"/>
          <w:szCs w:val="32"/>
        </w:rPr>
      </w:pPr>
      <w:r w:rsidRPr="002C1A81">
        <w:br w:type="page"/>
      </w:r>
    </w:p>
    <w:p w14:paraId="48BA5955" w14:textId="77777777" w:rsidR="00C074DA" w:rsidRPr="002C1A81" w:rsidRDefault="00A60A08" w:rsidP="00A60A08">
      <w:pPr>
        <w:pStyle w:val="Heading1"/>
        <w:rPr>
          <w:lang w:val="en-GB"/>
        </w:rPr>
      </w:pPr>
      <w:bookmarkStart w:id="0" w:name="_Toc180843440"/>
      <w:r w:rsidRPr="002C1A81">
        <w:rPr>
          <w:lang w:val="en-GB"/>
        </w:rPr>
        <w:t>Introduction</w:t>
      </w:r>
      <w:bookmarkEnd w:id="0"/>
      <w:r w:rsidRPr="002C1A81">
        <w:rPr>
          <w:lang w:val="en-GB"/>
        </w:rPr>
        <w:t xml:space="preserve"> </w:t>
      </w:r>
    </w:p>
    <w:p w14:paraId="48BA5956" w14:textId="2E093F01" w:rsidR="00341F25" w:rsidRPr="002C1A81" w:rsidRDefault="00BF777A" w:rsidP="00BF777A">
      <w:r w:rsidRPr="002C1A81">
        <w:t>The report reflects on the case of The City Hotel which is located in the urban landscape and offers a greater cornerstone of hospitality. It offers services like restaurant, bar and facilities to manage diverse clients. The hotel also faced some significant challenges that ha</w:t>
      </w:r>
      <w:r w:rsidR="00B3562D">
        <w:t>ve</w:t>
      </w:r>
      <w:r w:rsidRPr="002C1A81">
        <w:t xml:space="preserve"> developed a declin</w:t>
      </w:r>
      <w:r w:rsidR="00084715">
        <w:t>e</w:t>
      </w:r>
      <w:r w:rsidRPr="002C1A81">
        <w:t xml:space="preserve"> in revenue, </w:t>
      </w:r>
      <w:r w:rsidR="00F96183">
        <w:t xml:space="preserve">a </w:t>
      </w:r>
      <w:r w:rsidRPr="002C1A81">
        <w:t xml:space="preserve">reduction in the occupancy rates, and damage to customer satisfaction. It impacts on the management of the future viability </w:t>
      </w:r>
      <w:r w:rsidR="00562DBE">
        <w:t xml:space="preserve">of </w:t>
      </w:r>
      <w:r w:rsidRPr="002C1A81">
        <w:t xml:space="preserve">the </w:t>
      </w:r>
      <w:r w:rsidR="00311EE4">
        <w:t>industry (Zhong et al., 2021)</w:t>
      </w:r>
      <w:r w:rsidRPr="002C1A81">
        <w:t xml:space="preserve">. From the competitive landscape, the external economic factors impact on the hospitality industry and </w:t>
      </w:r>
      <w:r w:rsidR="00A53971">
        <w:t xml:space="preserve">are </w:t>
      </w:r>
      <w:r w:rsidRPr="002C1A81">
        <w:t xml:space="preserve">considered imperative to </w:t>
      </w:r>
      <w:r w:rsidR="00341F25" w:rsidRPr="002C1A81">
        <w:t>manage the emerging challenges</w:t>
      </w:r>
      <w:r w:rsidRPr="002C1A81">
        <w:t xml:space="preserve"> </w:t>
      </w:r>
      <w:r w:rsidR="00341F25" w:rsidRPr="002C1A81">
        <w:t>in the operations</w:t>
      </w:r>
      <w:r w:rsidRPr="002C1A81">
        <w:t>.</w:t>
      </w:r>
      <w:r w:rsidR="00341F25" w:rsidRPr="002C1A81">
        <w:t xml:space="preserve"> To address the challenges, a comprehensive evaluation is presented using</w:t>
      </w:r>
      <w:r w:rsidRPr="002C1A81">
        <w:t xml:space="preserve"> </w:t>
      </w:r>
      <w:r w:rsidR="005D696A">
        <w:t xml:space="preserve">a </w:t>
      </w:r>
      <w:r w:rsidRPr="002C1A81">
        <w:t xml:space="preserve">financial performance </w:t>
      </w:r>
      <w:r w:rsidR="00341F25" w:rsidRPr="002C1A81">
        <w:t xml:space="preserve">analysis of </w:t>
      </w:r>
      <w:r w:rsidRPr="002C1A81">
        <w:t xml:space="preserve">three years. </w:t>
      </w:r>
      <w:r w:rsidR="00341F25" w:rsidRPr="002C1A81">
        <w:t>Therefore, the report focuses on the</w:t>
      </w:r>
      <w:r w:rsidRPr="002C1A81">
        <w:t xml:space="preserve"> metrics </w:t>
      </w:r>
      <w:r w:rsidR="00341F25" w:rsidRPr="002C1A81">
        <w:t>to learn about the</w:t>
      </w:r>
      <w:r w:rsidRPr="002C1A81">
        <w:t xml:space="preserve"> revenue generation</w:t>
      </w:r>
      <w:r w:rsidR="00341F25" w:rsidRPr="002C1A81">
        <w:t xml:space="preserve"> system</w:t>
      </w:r>
      <w:r w:rsidRPr="002C1A81">
        <w:t>, expense management</w:t>
      </w:r>
      <w:r w:rsidR="00341F25" w:rsidRPr="002C1A81">
        <w:t xml:space="preserve"> process</w:t>
      </w:r>
      <w:r w:rsidRPr="002C1A81">
        <w:t>, profitability</w:t>
      </w:r>
      <w:r w:rsidR="00341F25" w:rsidRPr="002C1A81">
        <w:t xml:space="preserve"> ratio</w:t>
      </w:r>
      <w:r w:rsidRPr="002C1A81">
        <w:t>, liquidity</w:t>
      </w:r>
      <w:r w:rsidR="00341F25" w:rsidRPr="002C1A81">
        <w:t xml:space="preserve"> measures</w:t>
      </w:r>
      <w:r w:rsidRPr="002C1A81">
        <w:t>, and solvency</w:t>
      </w:r>
      <w:r w:rsidR="00341F25" w:rsidRPr="002C1A81">
        <w:t xml:space="preserve"> measures</w:t>
      </w:r>
      <w:r w:rsidRPr="002C1A81">
        <w:t xml:space="preserve">. </w:t>
      </w:r>
      <w:r w:rsidR="00311EE4">
        <w:t>Vogel (2021) stated that t</w:t>
      </w:r>
      <w:r w:rsidR="00341F25" w:rsidRPr="002C1A81">
        <w:t>he decline in the services is considered using</w:t>
      </w:r>
      <w:r w:rsidRPr="002C1A81">
        <w:t xml:space="preserve"> internal and external</w:t>
      </w:r>
      <w:r w:rsidR="00341F25" w:rsidRPr="002C1A81">
        <w:t xml:space="preserve"> factors that is followed by providing definite turnaround strategies</w:t>
      </w:r>
      <w:r w:rsidRPr="002C1A81">
        <w:t xml:space="preserve"> </w:t>
      </w:r>
      <w:r w:rsidR="00341F25" w:rsidRPr="002C1A81">
        <w:t>to manage</w:t>
      </w:r>
      <w:r w:rsidRPr="002C1A81">
        <w:t xml:space="preserve"> financial health </w:t>
      </w:r>
      <w:r w:rsidR="00341F25" w:rsidRPr="002C1A81">
        <w:t xml:space="preserve">of the hotel. </w:t>
      </w:r>
    </w:p>
    <w:p w14:paraId="48BA5957" w14:textId="77777777" w:rsidR="00A60A08" w:rsidRDefault="00A60A08" w:rsidP="00341F25">
      <w:pPr>
        <w:pStyle w:val="Heading1"/>
        <w:tabs>
          <w:tab w:val="left" w:pos="6030"/>
        </w:tabs>
        <w:rPr>
          <w:lang w:val="en-GB"/>
        </w:rPr>
      </w:pPr>
      <w:bookmarkStart w:id="1" w:name="_Toc180843441"/>
      <w:r w:rsidRPr="002C1A81">
        <w:rPr>
          <w:lang w:val="en-GB"/>
        </w:rPr>
        <w:t>Financial Performance Analysis of the City Hotel</w:t>
      </w:r>
      <w:bookmarkEnd w:id="1"/>
      <w:r w:rsidRPr="002C1A81">
        <w:rPr>
          <w:lang w:val="en-GB"/>
        </w:rPr>
        <w:t xml:space="preserve"> </w:t>
      </w:r>
    </w:p>
    <w:p w14:paraId="48BA5958" w14:textId="77777777" w:rsidR="00573ECC" w:rsidRPr="00573ECC" w:rsidRDefault="00573ECC" w:rsidP="00573ECC">
      <w:pPr>
        <w:rPr>
          <w:b/>
        </w:rPr>
      </w:pPr>
      <w:r>
        <w:rPr>
          <w:b/>
        </w:rPr>
        <w:t xml:space="preserve">Income Statement (In GBP) </w:t>
      </w:r>
    </w:p>
    <w:tbl>
      <w:tblPr>
        <w:tblW w:w="6800" w:type="dxa"/>
        <w:jc w:val="center"/>
        <w:tblLook w:val="04A0" w:firstRow="1" w:lastRow="0" w:firstColumn="1" w:lastColumn="0" w:noHBand="0" w:noVBand="1"/>
      </w:tblPr>
      <w:tblGrid>
        <w:gridCol w:w="2543"/>
        <w:gridCol w:w="1419"/>
        <w:gridCol w:w="1419"/>
        <w:gridCol w:w="1419"/>
      </w:tblGrid>
      <w:tr w:rsidR="00F42439" w:rsidRPr="00F42439" w14:paraId="48BA595D" w14:textId="77777777" w:rsidTr="008470CD">
        <w:trPr>
          <w:trHeight w:val="345"/>
          <w:jc w:val="center"/>
        </w:trPr>
        <w:tc>
          <w:tcPr>
            <w:tcW w:w="3380" w:type="dxa"/>
            <w:tcBorders>
              <w:top w:val="double" w:sz="6" w:space="0" w:color="D9D9E2"/>
              <w:left w:val="double" w:sz="6" w:space="0" w:color="D9D9E2"/>
              <w:bottom w:val="double" w:sz="6" w:space="0" w:color="D9D9E2"/>
              <w:right w:val="double" w:sz="6" w:space="0" w:color="D9D9E2"/>
            </w:tcBorders>
            <w:shd w:val="clear" w:color="auto" w:fill="FFD966" w:themeFill="accent4" w:themeFillTint="99"/>
            <w:vAlign w:val="center"/>
            <w:hideMark/>
          </w:tcPr>
          <w:p w14:paraId="48BA5959" w14:textId="77777777" w:rsidR="00F42439" w:rsidRPr="00F42439" w:rsidRDefault="00F42439" w:rsidP="00F42439">
            <w:pPr>
              <w:spacing w:after="0" w:line="240" w:lineRule="auto"/>
              <w:jc w:val="left"/>
              <w:rPr>
                <w:rFonts w:eastAsia="Times New Roman" w:cs="Times New Roman"/>
                <w:b/>
                <w:bCs/>
                <w:color w:val="000000"/>
                <w:szCs w:val="24"/>
                <w:lang w:val="en-US"/>
              </w:rPr>
            </w:pPr>
            <w:r w:rsidRPr="00F42439">
              <w:rPr>
                <w:rFonts w:eastAsia="Times New Roman" w:cs="Times New Roman"/>
                <w:b/>
                <w:bCs/>
                <w:color w:val="000000"/>
                <w:szCs w:val="24"/>
                <w:lang w:val="en-US"/>
              </w:rPr>
              <w:t>Item</w:t>
            </w:r>
          </w:p>
        </w:tc>
        <w:tc>
          <w:tcPr>
            <w:tcW w:w="1140" w:type="dxa"/>
            <w:tcBorders>
              <w:top w:val="double" w:sz="6" w:space="0" w:color="D9D9E2"/>
              <w:left w:val="nil"/>
              <w:bottom w:val="double" w:sz="6" w:space="0" w:color="D9D9E2"/>
              <w:right w:val="double" w:sz="6" w:space="0" w:color="D9D9E2"/>
            </w:tcBorders>
            <w:shd w:val="clear" w:color="auto" w:fill="FFD966" w:themeFill="accent4" w:themeFillTint="99"/>
            <w:vAlign w:val="center"/>
            <w:hideMark/>
          </w:tcPr>
          <w:p w14:paraId="48BA595A" w14:textId="77777777" w:rsidR="00F42439" w:rsidRPr="00F42439" w:rsidRDefault="00F42439" w:rsidP="00F42439">
            <w:pPr>
              <w:spacing w:after="0" w:line="240" w:lineRule="auto"/>
              <w:ind w:firstLineChars="300" w:firstLine="723"/>
              <w:jc w:val="left"/>
              <w:rPr>
                <w:rFonts w:eastAsia="Times New Roman" w:cs="Times New Roman"/>
                <w:b/>
                <w:bCs/>
                <w:color w:val="000000"/>
                <w:szCs w:val="24"/>
                <w:lang w:val="en-US"/>
              </w:rPr>
            </w:pPr>
            <w:r w:rsidRPr="00F42439">
              <w:rPr>
                <w:rFonts w:eastAsia="Times New Roman" w:cs="Times New Roman"/>
                <w:b/>
                <w:bCs/>
                <w:color w:val="000000"/>
                <w:szCs w:val="24"/>
                <w:lang w:val="en-US"/>
              </w:rPr>
              <w:t>2021</w:t>
            </w:r>
          </w:p>
        </w:tc>
        <w:tc>
          <w:tcPr>
            <w:tcW w:w="1140" w:type="dxa"/>
            <w:tcBorders>
              <w:top w:val="double" w:sz="6" w:space="0" w:color="D9D9E2"/>
              <w:left w:val="nil"/>
              <w:bottom w:val="double" w:sz="6" w:space="0" w:color="D9D9E2"/>
              <w:right w:val="double" w:sz="6" w:space="0" w:color="D9D9E2"/>
            </w:tcBorders>
            <w:shd w:val="clear" w:color="auto" w:fill="FFD966" w:themeFill="accent4" w:themeFillTint="99"/>
            <w:vAlign w:val="center"/>
            <w:hideMark/>
          </w:tcPr>
          <w:p w14:paraId="48BA595B" w14:textId="77777777" w:rsidR="00F42439" w:rsidRPr="00F42439" w:rsidRDefault="00F42439" w:rsidP="00F42439">
            <w:pPr>
              <w:spacing w:after="0" w:line="240" w:lineRule="auto"/>
              <w:ind w:firstLineChars="300" w:firstLine="723"/>
              <w:jc w:val="left"/>
              <w:rPr>
                <w:rFonts w:eastAsia="Times New Roman" w:cs="Times New Roman"/>
                <w:b/>
                <w:bCs/>
                <w:color w:val="000000"/>
                <w:szCs w:val="24"/>
                <w:lang w:val="en-US"/>
              </w:rPr>
            </w:pPr>
            <w:r w:rsidRPr="00F42439">
              <w:rPr>
                <w:rFonts w:eastAsia="Times New Roman" w:cs="Times New Roman"/>
                <w:b/>
                <w:bCs/>
                <w:color w:val="000000"/>
                <w:szCs w:val="24"/>
                <w:lang w:val="en-US"/>
              </w:rPr>
              <w:t>2022</w:t>
            </w:r>
          </w:p>
        </w:tc>
        <w:tc>
          <w:tcPr>
            <w:tcW w:w="1140" w:type="dxa"/>
            <w:tcBorders>
              <w:top w:val="double" w:sz="6" w:space="0" w:color="D9D9E2"/>
              <w:left w:val="nil"/>
              <w:bottom w:val="double" w:sz="6" w:space="0" w:color="D9D9E2"/>
              <w:right w:val="double" w:sz="6" w:space="0" w:color="D9D9E2"/>
            </w:tcBorders>
            <w:shd w:val="clear" w:color="auto" w:fill="FFD966" w:themeFill="accent4" w:themeFillTint="99"/>
            <w:vAlign w:val="center"/>
            <w:hideMark/>
          </w:tcPr>
          <w:p w14:paraId="48BA595C" w14:textId="77777777" w:rsidR="00F42439" w:rsidRPr="00F42439" w:rsidRDefault="00F42439" w:rsidP="00F42439">
            <w:pPr>
              <w:spacing w:after="0" w:line="240" w:lineRule="auto"/>
              <w:ind w:firstLineChars="300" w:firstLine="723"/>
              <w:jc w:val="left"/>
              <w:rPr>
                <w:rFonts w:eastAsia="Times New Roman" w:cs="Times New Roman"/>
                <w:b/>
                <w:bCs/>
                <w:color w:val="000000"/>
                <w:szCs w:val="24"/>
                <w:lang w:val="en-US"/>
              </w:rPr>
            </w:pPr>
            <w:r w:rsidRPr="00F42439">
              <w:rPr>
                <w:rFonts w:eastAsia="Times New Roman" w:cs="Times New Roman"/>
                <w:b/>
                <w:bCs/>
                <w:color w:val="000000"/>
                <w:szCs w:val="24"/>
                <w:lang w:val="en-US"/>
              </w:rPr>
              <w:t>2023</w:t>
            </w:r>
          </w:p>
        </w:tc>
      </w:tr>
      <w:tr w:rsidR="00F42439" w:rsidRPr="00F42439" w14:paraId="48BA5962" w14:textId="77777777" w:rsidTr="00F42439">
        <w:trPr>
          <w:trHeight w:val="60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5E" w14:textId="77777777" w:rsidR="00F42439" w:rsidRPr="00F42439" w:rsidRDefault="00F42439" w:rsidP="00F42439">
            <w:pPr>
              <w:spacing w:after="0" w:line="240" w:lineRule="auto"/>
              <w:jc w:val="left"/>
              <w:rPr>
                <w:rFonts w:eastAsia="Times New Roman" w:cs="Times New Roman"/>
                <w:color w:val="000000"/>
                <w:szCs w:val="24"/>
                <w:lang w:val="en-US"/>
              </w:rPr>
            </w:pPr>
            <w:r w:rsidRPr="00F42439">
              <w:rPr>
                <w:rFonts w:eastAsia="Times New Roman" w:cs="Times New Roman"/>
                <w:color w:val="000000"/>
                <w:szCs w:val="24"/>
                <w:lang w:val="en-US"/>
              </w:rPr>
              <w:t>Revenue</w:t>
            </w:r>
          </w:p>
        </w:tc>
        <w:tc>
          <w:tcPr>
            <w:tcW w:w="1140" w:type="dxa"/>
            <w:tcBorders>
              <w:top w:val="nil"/>
              <w:left w:val="nil"/>
              <w:bottom w:val="double" w:sz="6" w:space="0" w:color="D9D9E2"/>
              <w:right w:val="double" w:sz="6" w:space="0" w:color="D9D9E2"/>
            </w:tcBorders>
            <w:shd w:val="clear" w:color="auto" w:fill="auto"/>
            <w:vAlign w:val="center"/>
            <w:hideMark/>
          </w:tcPr>
          <w:p w14:paraId="48BA595F" w14:textId="77777777" w:rsidR="00F42439" w:rsidRPr="00F42439" w:rsidRDefault="00F42439" w:rsidP="00F42439">
            <w:pPr>
              <w:spacing w:after="0" w:line="240" w:lineRule="auto"/>
              <w:jc w:val="right"/>
              <w:rPr>
                <w:rFonts w:eastAsia="Times New Roman" w:cs="Times New Roman"/>
                <w:color w:val="000000"/>
                <w:szCs w:val="24"/>
                <w:lang w:val="en-US"/>
              </w:rPr>
            </w:pPr>
            <w:r w:rsidRPr="00F42439">
              <w:rPr>
                <w:rFonts w:eastAsia="Times New Roman" w:cs="Times New Roman"/>
                <w:color w:val="000000"/>
                <w:szCs w:val="24"/>
                <w:lang w:val="en-US"/>
              </w:rPr>
              <w:t>5,248,290</w:t>
            </w:r>
          </w:p>
        </w:tc>
        <w:tc>
          <w:tcPr>
            <w:tcW w:w="1140" w:type="dxa"/>
            <w:tcBorders>
              <w:top w:val="nil"/>
              <w:left w:val="nil"/>
              <w:bottom w:val="double" w:sz="6" w:space="0" w:color="D9D9E2"/>
              <w:right w:val="double" w:sz="6" w:space="0" w:color="D9D9E2"/>
            </w:tcBorders>
            <w:shd w:val="clear" w:color="auto" w:fill="auto"/>
            <w:vAlign w:val="center"/>
            <w:hideMark/>
          </w:tcPr>
          <w:p w14:paraId="48BA5960" w14:textId="77777777" w:rsidR="00F42439" w:rsidRPr="00F42439" w:rsidRDefault="00F42439" w:rsidP="00F42439">
            <w:pPr>
              <w:spacing w:after="0" w:line="240" w:lineRule="auto"/>
              <w:jc w:val="right"/>
              <w:rPr>
                <w:rFonts w:eastAsia="Times New Roman" w:cs="Times New Roman"/>
                <w:color w:val="000000"/>
                <w:szCs w:val="24"/>
                <w:lang w:val="en-US"/>
              </w:rPr>
            </w:pPr>
            <w:r w:rsidRPr="00F42439">
              <w:rPr>
                <w:rFonts w:eastAsia="Times New Roman" w:cs="Times New Roman"/>
                <w:color w:val="000000"/>
                <w:szCs w:val="24"/>
                <w:lang w:val="en-US"/>
              </w:rPr>
              <w:t>5,307,480</w:t>
            </w:r>
          </w:p>
        </w:tc>
        <w:tc>
          <w:tcPr>
            <w:tcW w:w="1140" w:type="dxa"/>
            <w:tcBorders>
              <w:top w:val="nil"/>
              <w:left w:val="nil"/>
              <w:bottom w:val="double" w:sz="6" w:space="0" w:color="D9D9E2"/>
              <w:right w:val="double" w:sz="6" w:space="0" w:color="D9D9E2"/>
            </w:tcBorders>
            <w:shd w:val="clear" w:color="auto" w:fill="auto"/>
            <w:vAlign w:val="center"/>
            <w:hideMark/>
          </w:tcPr>
          <w:p w14:paraId="48BA5961" w14:textId="77777777" w:rsidR="00F42439" w:rsidRPr="00F42439" w:rsidRDefault="00F42439" w:rsidP="00F42439">
            <w:pPr>
              <w:spacing w:after="0" w:line="240" w:lineRule="auto"/>
              <w:jc w:val="right"/>
              <w:rPr>
                <w:rFonts w:eastAsia="Times New Roman" w:cs="Times New Roman"/>
                <w:color w:val="000000"/>
                <w:szCs w:val="24"/>
                <w:lang w:val="en-US"/>
              </w:rPr>
            </w:pPr>
            <w:r w:rsidRPr="00F42439">
              <w:rPr>
                <w:rFonts w:eastAsia="Times New Roman" w:cs="Times New Roman"/>
                <w:color w:val="000000"/>
                <w:szCs w:val="24"/>
                <w:lang w:val="en-US"/>
              </w:rPr>
              <w:t>2,325,440</w:t>
            </w:r>
          </w:p>
        </w:tc>
      </w:tr>
      <w:tr w:rsidR="00F42439" w:rsidRPr="00F42439" w14:paraId="48BA5967" w14:textId="77777777" w:rsidTr="00F42439">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63" w14:textId="77777777" w:rsidR="00F42439" w:rsidRPr="00F42439" w:rsidRDefault="00F42439" w:rsidP="00F42439">
            <w:pPr>
              <w:spacing w:after="0" w:line="240" w:lineRule="auto"/>
              <w:jc w:val="left"/>
              <w:rPr>
                <w:rFonts w:eastAsia="Times New Roman" w:cs="Times New Roman"/>
                <w:color w:val="000000"/>
                <w:szCs w:val="24"/>
                <w:lang w:val="en-US"/>
              </w:rPr>
            </w:pPr>
            <w:r w:rsidRPr="00F42439">
              <w:rPr>
                <w:rFonts w:eastAsia="Times New Roman" w:cs="Times New Roman"/>
                <w:color w:val="000000"/>
                <w:w w:val="99"/>
                <w:szCs w:val="24"/>
                <w:lang w:val="en-US"/>
              </w:rPr>
              <w:t>-</w:t>
            </w:r>
          </w:p>
        </w:tc>
        <w:tc>
          <w:tcPr>
            <w:tcW w:w="1140" w:type="dxa"/>
            <w:tcBorders>
              <w:top w:val="nil"/>
              <w:left w:val="nil"/>
              <w:bottom w:val="double" w:sz="6" w:space="0" w:color="D9D9E2"/>
              <w:right w:val="double" w:sz="6" w:space="0" w:color="D9D9E2"/>
            </w:tcBorders>
            <w:shd w:val="clear" w:color="auto" w:fill="auto"/>
            <w:vAlign w:val="center"/>
            <w:hideMark/>
          </w:tcPr>
          <w:p w14:paraId="48BA5964" w14:textId="77777777" w:rsidR="00F42439" w:rsidRPr="00F42439" w:rsidRDefault="00F42439" w:rsidP="00F42439">
            <w:pPr>
              <w:spacing w:after="0" w:line="240" w:lineRule="auto"/>
              <w:jc w:val="left"/>
              <w:rPr>
                <w:rFonts w:eastAsia="Times New Roman" w:cs="Times New Roman"/>
                <w:color w:val="000000"/>
                <w:szCs w:val="24"/>
                <w:lang w:val="en-US"/>
              </w:rPr>
            </w:pPr>
            <w:r w:rsidRPr="00F42439">
              <w:rPr>
                <w:rFonts w:eastAsia="Times New Roman" w:cs="Times New Roman"/>
                <w:color w:val="000000"/>
                <w:szCs w:val="24"/>
                <w:lang w:val="en-US"/>
              </w:rPr>
              <w:t> </w:t>
            </w:r>
          </w:p>
        </w:tc>
        <w:tc>
          <w:tcPr>
            <w:tcW w:w="1140" w:type="dxa"/>
            <w:tcBorders>
              <w:top w:val="nil"/>
              <w:left w:val="nil"/>
              <w:bottom w:val="double" w:sz="6" w:space="0" w:color="D9D9E2"/>
              <w:right w:val="double" w:sz="6" w:space="0" w:color="D9D9E2"/>
            </w:tcBorders>
            <w:shd w:val="clear" w:color="auto" w:fill="auto"/>
            <w:vAlign w:val="center"/>
            <w:hideMark/>
          </w:tcPr>
          <w:p w14:paraId="48BA5965" w14:textId="77777777" w:rsidR="00F42439" w:rsidRPr="00F42439" w:rsidRDefault="00F42439" w:rsidP="00F42439">
            <w:pPr>
              <w:spacing w:after="0" w:line="240" w:lineRule="auto"/>
              <w:jc w:val="left"/>
              <w:rPr>
                <w:rFonts w:eastAsia="Times New Roman" w:cs="Times New Roman"/>
                <w:color w:val="000000"/>
                <w:szCs w:val="24"/>
                <w:lang w:val="en-US"/>
              </w:rPr>
            </w:pPr>
            <w:r w:rsidRPr="00F42439">
              <w:rPr>
                <w:rFonts w:eastAsia="Times New Roman" w:cs="Times New Roman"/>
                <w:color w:val="000000"/>
                <w:szCs w:val="24"/>
                <w:lang w:val="en-US"/>
              </w:rPr>
              <w:t> </w:t>
            </w:r>
          </w:p>
        </w:tc>
        <w:tc>
          <w:tcPr>
            <w:tcW w:w="1140" w:type="dxa"/>
            <w:tcBorders>
              <w:top w:val="nil"/>
              <w:left w:val="nil"/>
              <w:bottom w:val="double" w:sz="6" w:space="0" w:color="D9D9E2"/>
              <w:right w:val="double" w:sz="6" w:space="0" w:color="D9D9E2"/>
            </w:tcBorders>
            <w:shd w:val="clear" w:color="auto" w:fill="auto"/>
            <w:vAlign w:val="center"/>
            <w:hideMark/>
          </w:tcPr>
          <w:p w14:paraId="48BA5966" w14:textId="77777777" w:rsidR="00F42439" w:rsidRPr="00F42439" w:rsidRDefault="00F42439" w:rsidP="00F42439">
            <w:pPr>
              <w:spacing w:after="0" w:line="240" w:lineRule="auto"/>
              <w:jc w:val="left"/>
              <w:rPr>
                <w:rFonts w:eastAsia="Times New Roman" w:cs="Times New Roman"/>
                <w:color w:val="000000"/>
                <w:szCs w:val="24"/>
                <w:lang w:val="en-US"/>
              </w:rPr>
            </w:pPr>
            <w:r w:rsidRPr="00F42439">
              <w:rPr>
                <w:rFonts w:eastAsia="Times New Roman" w:cs="Times New Roman"/>
                <w:color w:val="000000"/>
                <w:szCs w:val="24"/>
                <w:lang w:val="en-US"/>
              </w:rPr>
              <w:t> </w:t>
            </w:r>
          </w:p>
        </w:tc>
      </w:tr>
      <w:tr w:rsidR="00F42439" w:rsidRPr="00F42439" w14:paraId="48BA596C" w14:textId="77777777" w:rsidTr="00F42439">
        <w:trPr>
          <w:trHeight w:val="648"/>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68" w14:textId="77777777" w:rsidR="00F42439" w:rsidRPr="00F42439" w:rsidRDefault="00F42439" w:rsidP="00F42439">
            <w:pPr>
              <w:spacing w:after="0" w:line="240" w:lineRule="auto"/>
              <w:jc w:val="left"/>
              <w:rPr>
                <w:rFonts w:eastAsia="Times New Roman" w:cs="Times New Roman"/>
                <w:color w:val="000000"/>
                <w:szCs w:val="24"/>
                <w:lang w:val="en-US"/>
              </w:rPr>
            </w:pPr>
            <w:r w:rsidRPr="00F42439">
              <w:rPr>
                <w:rFonts w:eastAsia="Times New Roman" w:cs="Times New Roman"/>
                <w:color w:val="000000"/>
                <w:szCs w:val="24"/>
                <w:lang w:val="en-US"/>
              </w:rPr>
              <w:t>Cost of goods sold</w:t>
            </w:r>
          </w:p>
        </w:tc>
        <w:tc>
          <w:tcPr>
            <w:tcW w:w="1140" w:type="dxa"/>
            <w:tcBorders>
              <w:top w:val="nil"/>
              <w:left w:val="nil"/>
              <w:bottom w:val="double" w:sz="6" w:space="0" w:color="D9D9E2"/>
              <w:right w:val="double" w:sz="6" w:space="0" w:color="D9D9E2"/>
            </w:tcBorders>
            <w:shd w:val="clear" w:color="auto" w:fill="auto"/>
            <w:vAlign w:val="center"/>
            <w:hideMark/>
          </w:tcPr>
          <w:p w14:paraId="48BA5969" w14:textId="77777777" w:rsidR="00F42439" w:rsidRPr="00F42439" w:rsidRDefault="00F42439" w:rsidP="00F42439">
            <w:pPr>
              <w:spacing w:after="0" w:line="240" w:lineRule="auto"/>
              <w:jc w:val="right"/>
              <w:rPr>
                <w:rFonts w:eastAsia="Times New Roman" w:cs="Times New Roman"/>
                <w:color w:val="000000"/>
                <w:szCs w:val="24"/>
                <w:lang w:val="en-US"/>
              </w:rPr>
            </w:pPr>
            <w:r w:rsidRPr="00F42439">
              <w:rPr>
                <w:rFonts w:eastAsia="Times New Roman" w:cs="Times New Roman"/>
                <w:color w:val="000000"/>
                <w:szCs w:val="24"/>
                <w:lang w:val="en-US"/>
              </w:rPr>
              <w:t>-411,600</w:t>
            </w:r>
          </w:p>
        </w:tc>
        <w:tc>
          <w:tcPr>
            <w:tcW w:w="1140" w:type="dxa"/>
            <w:tcBorders>
              <w:top w:val="nil"/>
              <w:left w:val="nil"/>
              <w:bottom w:val="double" w:sz="6" w:space="0" w:color="D9D9E2"/>
              <w:right w:val="double" w:sz="6" w:space="0" w:color="D9D9E2"/>
            </w:tcBorders>
            <w:shd w:val="clear" w:color="auto" w:fill="auto"/>
            <w:vAlign w:val="center"/>
            <w:hideMark/>
          </w:tcPr>
          <w:p w14:paraId="48BA596A" w14:textId="77777777" w:rsidR="00F42439" w:rsidRPr="00F42439" w:rsidRDefault="00F42439" w:rsidP="00F42439">
            <w:pPr>
              <w:spacing w:after="0" w:line="240" w:lineRule="auto"/>
              <w:jc w:val="right"/>
              <w:rPr>
                <w:rFonts w:eastAsia="Times New Roman" w:cs="Times New Roman"/>
                <w:color w:val="000000"/>
                <w:szCs w:val="24"/>
                <w:lang w:val="en-US"/>
              </w:rPr>
            </w:pPr>
            <w:r w:rsidRPr="00F42439">
              <w:rPr>
                <w:rFonts w:eastAsia="Times New Roman" w:cs="Times New Roman"/>
                <w:color w:val="000000"/>
                <w:szCs w:val="24"/>
                <w:lang w:val="en-US"/>
              </w:rPr>
              <w:t>-401,510</w:t>
            </w:r>
          </w:p>
        </w:tc>
        <w:tc>
          <w:tcPr>
            <w:tcW w:w="1140" w:type="dxa"/>
            <w:tcBorders>
              <w:top w:val="nil"/>
              <w:left w:val="nil"/>
              <w:bottom w:val="double" w:sz="6" w:space="0" w:color="D9D9E2"/>
              <w:right w:val="double" w:sz="6" w:space="0" w:color="D9D9E2"/>
            </w:tcBorders>
            <w:shd w:val="clear" w:color="auto" w:fill="auto"/>
            <w:vAlign w:val="center"/>
            <w:hideMark/>
          </w:tcPr>
          <w:p w14:paraId="48BA596B" w14:textId="77777777" w:rsidR="00F42439" w:rsidRPr="00F42439" w:rsidRDefault="00F42439" w:rsidP="00F42439">
            <w:pPr>
              <w:spacing w:after="0" w:line="240" w:lineRule="auto"/>
              <w:jc w:val="right"/>
              <w:rPr>
                <w:rFonts w:eastAsia="Times New Roman" w:cs="Times New Roman"/>
                <w:color w:val="000000"/>
                <w:szCs w:val="24"/>
                <w:lang w:val="en-US"/>
              </w:rPr>
            </w:pPr>
            <w:r w:rsidRPr="00F42439">
              <w:rPr>
                <w:rFonts w:eastAsia="Times New Roman" w:cs="Times New Roman"/>
                <w:color w:val="000000"/>
                <w:szCs w:val="24"/>
                <w:lang w:val="en-US"/>
              </w:rPr>
              <w:t>-176,250</w:t>
            </w:r>
          </w:p>
        </w:tc>
      </w:tr>
      <w:tr w:rsidR="00F42439" w:rsidRPr="00F42439" w14:paraId="48BA5971" w14:textId="77777777" w:rsidTr="00F42439">
        <w:trPr>
          <w:trHeight w:val="60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6D" w14:textId="77777777" w:rsidR="00F42439" w:rsidRPr="00F42439" w:rsidRDefault="00F42439" w:rsidP="00F42439">
            <w:pPr>
              <w:spacing w:after="0" w:line="240" w:lineRule="auto"/>
              <w:jc w:val="left"/>
              <w:rPr>
                <w:rFonts w:eastAsia="Times New Roman" w:cs="Times New Roman"/>
                <w:color w:val="000000"/>
                <w:szCs w:val="24"/>
                <w:lang w:val="en-US"/>
              </w:rPr>
            </w:pPr>
            <w:r w:rsidRPr="00F42439">
              <w:rPr>
                <w:rFonts w:eastAsia="Times New Roman" w:cs="Times New Roman"/>
                <w:color w:val="000000"/>
                <w:szCs w:val="24"/>
                <w:lang w:val="en-US"/>
              </w:rPr>
              <w:t>Employee costs</w:t>
            </w:r>
          </w:p>
        </w:tc>
        <w:tc>
          <w:tcPr>
            <w:tcW w:w="1140" w:type="dxa"/>
            <w:tcBorders>
              <w:top w:val="nil"/>
              <w:left w:val="nil"/>
              <w:bottom w:val="double" w:sz="6" w:space="0" w:color="D9D9E2"/>
              <w:right w:val="double" w:sz="6" w:space="0" w:color="D9D9E2"/>
            </w:tcBorders>
            <w:shd w:val="clear" w:color="auto" w:fill="auto"/>
            <w:vAlign w:val="center"/>
            <w:hideMark/>
          </w:tcPr>
          <w:p w14:paraId="48BA596E" w14:textId="77777777" w:rsidR="00F42439" w:rsidRPr="00F42439" w:rsidRDefault="00F42439" w:rsidP="00F42439">
            <w:pPr>
              <w:spacing w:after="0" w:line="240" w:lineRule="auto"/>
              <w:jc w:val="right"/>
              <w:rPr>
                <w:rFonts w:eastAsia="Times New Roman" w:cs="Times New Roman"/>
                <w:color w:val="000000"/>
                <w:szCs w:val="24"/>
                <w:lang w:val="en-US"/>
              </w:rPr>
            </w:pPr>
            <w:r w:rsidRPr="00F42439">
              <w:rPr>
                <w:rFonts w:eastAsia="Times New Roman" w:cs="Times New Roman"/>
                <w:color w:val="000000"/>
                <w:szCs w:val="24"/>
                <w:lang w:val="en-US"/>
              </w:rPr>
              <w:t>-1,724,760</w:t>
            </w:r>
          </w:p>
        </w:tc>
        <w:tc>
          <w:tcPr>
            <w:tcW w:w="1140" w:type="dxa"/>
            <w:tcBorders>
              <w:top w:val="nil"/>
              <w:left w:val="nil"/>
              <w:bottom w:val="double" w:sz="6" w:space="0" w:color="D9D9E2"/>
              <w:right w:val="double" w:sz="6" w:space="0" w:color="D9D9E2"/>
            </w:tcBorders>
            <w:shd w:val="clear" w:color="auto" w:fill="auto"/>
            <w:vAlign w:val="center"/>
            <w:hideMark/>
          </w:tcPr>
          <w:p w14:paraId="48BA596F" w14:textId="77777777" w:rsidR="00F42439" w:rsidRPr="00F42439" w:rsidRDefault="00F42439" w:rsidP="00F42439">
            <w:pPr>
              <w:spacing w:after="0" w:line="240" w:lineRule="auto"/>
              <w:jc w:val="right"/>
              <w:rPr>
                <w:rFonts w:eastAsia="Times New Roman" w:cs="Times New Roman"/>
                <w:color w:val="000000"/>
                <w:szCs w:val="24"/>
                <w:lang w:val="en-US"/>
              </w:rPr>
            </w:pPr>
            <w:r w:rsidRPr="00F42439">
              <w:rPr>
                <w:rFonts w:eastAsia="Times New Roman" w:cs="Times New Roman"/>
                <w:color w:val="000000"/>
                <w:szCs w:val="24"/>
                <w:lang w:val="en-US"/>
              </w:rPr>
              <w:t>-1,770,700</w:t>
            </w:r>
          </w:p>
        </w:tc>
        <w:tc>
          <w:tcPr>
            <w:tcW w:w="1140" w:type="dxa"/>
            <w:tcBorders>
              <w:top w:val="nil"/>
              <w:left w:val="nil"/>
              <w:bottom w:val="double" w:sz="6" w:space="0" w:color="D9D9E2"/>
              <w:right w:val="double" w:sz="6" w:space="0" w:color="D9D9E2"/>
            </w:tcBorders>
            <w:shd w:val="clear" w:color="auto" w:fill="auto"/>
            <w:vAlign w:val="center"/>
            <w:hideMark/>
          </w:tcPr>
          <w:p w14:paraId="48BA5970" w14:textId="77777777" w:rsidR="00F42439" w:rsidRPr="00F42439" w:rsidRDefault="00F42439" w:rsidP="00F42439">
            <w:pPr>
              <w:spacing w:after="0" w:line="240" w:lineRule="auto"/>
              <w:jc w:val="right"/>
              <w:rPr>
                <w:rFonts w:eastAsia="Times New Roman" w:cs="Times New Roman"/>
                <w:color w:val="000000"/>
                <w:szCs w:val="24"/>
                <w:lang w:val="en-US"/>
              </w:rPr>
            </w:pPr>
            <w:r w:rsidRPr="00F42439">
              <w:rPr>
                <w:rFonts w:eastAsia="Times New Roman" w:cs="Times New Roman"/>
                <w:color w:val="000000"/>
                <w:szCs w:val="24"/>
                <w:lang w:val="en-US"/>
              </w:rPr>
              <w:t>-1,233,160</w:t>
            </w:r>
          </w:p>
        </w:tc>
      </w:tr>
      <w:tr w:rsidR="00F42439" w:rsidRPr="00F42439" w14:paraId="48BA5976" w14:textId="77777777" w:rsidTr="00F42439">
        <w:trPr>
          <w:trHeight w:val="657"/>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72" w14:textId="77777777" w:rsidR="00F42439" w:rsidRPr="00F42439" w:rsidRDefault="00F42439" w:rsidP="00F42439">
            <w:pPr>
              <w:spacing w:after="0" w:line="240" w:lineRule="auto"/>
              <w:jc w:val="left"/>
              <w:rPr>
                <w:rFonts w:eastAsia="Times New Roman" w:cs="Times New Roman"/>
                <w:color w:val="000000"/>
                <w:szCs w:val="24"/>
                <w:lang w:val="en-US"/>
              </w:rPr>
            </w:pPr>
            <w:r w:rsidRPr="00F42439">
              <w:rPr>
                <w:rFonts w:eastAsia="Times New Roman" w:cs="Times New Roman"/>
                <w:color w:val="000000"/>
                <w:szCs w:val="24"/>
                <w:lang w:val="en-US"/>
              </w:rPr>
              <w:t>External expenses</w:t>
            </w:r>
          </w:p>
        </w:tc>
        <w:tc>
          <w:tcPr>
            <w:tcW w:w="1140" w:type="dxa"/>
            <w:tcBorders>
              <w:top w:val="nil"/>
              <w:left w:val="nil"/>
              <w:bottom w:val="double" w:sz="6" w:space="0" w:color="D9D9E2"/>
              <w:right w:val="double" w:sz="6" w:space="0" w:color="D9D9E2"/>
            </w:tcBorders>
            <w:shd w:val="clear" w:color="auto" w:fill="auto"/>
            <w:vAlign w:val="center"/>
            <w:hideMark/>
          </w:tcPr>
          <w:p w14:paraId="48BA5973" w14:textId="77777777" w:rsidR="00F42439" w:rsidRPr="00F42439" w:rsidRDefault="00F42439" w:rsidP="00F42439">
            <w:pPr>
              <w:spacing w:after="0" w:line="240" w:lineRule="auto"/>
              <w:jc w:val="right"/>
              <w:rPr>
                <w:rFonts w:eastAsia="Times New Roman" w:cs="Times New Roman"/>
                <w:color w:val="000000"/>
                <w:szCs w:val="24"/>
                <w:lang w:val="en-US"/>
              </w:rPr>
            </w:pPr>
            <w:r w:rsidRPr="00F42439">
              <w:rPr>
                <w:rFonts w:eastAsia="Times New Roman" w:cs="Times New Roman"/>
                <w:color w:val="000000"/>
                <w:szCs w:val="24"/>
                <w:lang w:val="en-US"/>
              </w:rPr>
              <w:t>-1,894,720</w:t>
            </w:r>
          </w:p>
        </w:tc>
        <w:tc>
          <w:tcPr>
            <w:tcW w:w="1140" w:type="dxa"/>
            <w:tcBorders>
              <w:top w:val="nil"/>
              <w:left w:val="nil"/>
              <w:bottom w:val="double" w:sz="6" w:space="0" w:color="D9D9E2"/>
              <w:right w:val="double" w:sz="6" w:space="0" w:color="D9D9E2"/>
            </w:tcBorders>
            <w:shd w:val="clear" w:color="auto" w:fill="auto"/>
            <w:vAlign w:val="center"/>
            <w:hideMark/>
          </w:tcPr>
          <w:p w14:paraId="48BA5974" w14:textId="77777777" w:rsidR="00F42439" w:rsidRPr="00F42439" w:rsidRDefault="00F42439" w:rsidP="00F42439">
            <w:pPr>
              <w:spacing w:after="0" w:line="240" w:lineRule="auto"/>
              <w:jc w:val="right"/>
              <w:rPr>
                <w:rFonts w:eastAsia="Times New Roman" w:cs="Times New Roman"/>
                <w:color w:val="000000"/>
                <w:szCs w:val="24"/>
                <w:lang w:val="en-US"/>
              </w:rPr>
            </w:pPr>
            <w:r w:rsidRPr="00F42439">
              <w:rPr>
                <w:rFonts w:eastAsia="Times New Roman" w:cs="Times New Roman"/>
                <w:color w:val="000000"/>
                <w:szCs w:val="24"/>
                <w:lang w:val="en-US"/>
              </w:rPr>
              <w:t>-1,675,410</w:t>
            </w:r>
          </w:p>
        </w:tc>
        <w:tc>
          <w:tcPr>
            <w:tcW w:w="1140" w:type="dxa"/>
            <w:tcBorders>
              <w:top w:val="nil"/>
              <w:left w:val="nil"/>
              <w:bottom w:val="double" w:sz="6" w:space="0" w:color="D9D9E2"/>
              <w:right w:val="double" w:sz="6" w:space="0" w:color="D9D9E2"/>
            </w:tcBorders>
            <w:shd w:val="clear" w:color="auto" w:fill="auto"/>
            <w:vAlign w:val="center"/>
            <w:hideMark/>
          </w:tcPr>
          <w:p w14:paraId="48BA5975" w14:textId="77777777" w:rsidR="00F42439" w:rsidRPr="00F42439" w:rsidRDefault="00F42439" w:rsidP="00F42439">
            <w:pPr>
              <w:spacing w:after="0" w:line="240" w:lineRule="auto"/>
              <w:jc w:val="right"/>
              <w:rPr>
                <w:rFonts w:eastAsia="Times New Roman" w:cs="Times New Roman"/>
                <w:color w:val="000000"/>
                <w:szCs w:val="24"/>
                <w:lang w:val="en-US"/>
              </w:rPr>
            </w:pPr>
            <w:r w:rsidRPr="00F42439">
              <w:rPr>
                <w:rFonts w:eastAsia="Times New Roman" w:cs="Times New Roman"/>
                <w:color w:val="000000"/>
                <w:szCs w:val="24"/>
                <w:lang w:val="en-US"/>
              </w:rPr>
              <w:t>-1,071,030</w:t>
            </w:r>
          </w:p>
        </w:tc>
      </w:tr>
      <w:tr w:rsidR="00F42439" w:rsidRPr="00F42439" w14:paraId="48BA597B" w14:textId="77777777" w:rsidTr="00F42439">
        <w:trPr>
          <w:trHeight w:val="855"/>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77" w14:textId="77777777" w:rsidR="00F42439" w:rsidRPr="00F42439" w:rsidRDefault="00F42439" w:rsidP="00F42439">
            <w:pPr>
              <w:spacing w:after="0" w:line="240" w:lineRule="auto"/>
              <w:jc w:val="left"/>
              <w:rPr>
                <w:rFonts w:eastAsia="Times New Roman" w:cs="Times New Roman"/>
                <w:color w:val="000000"/>
                <w:szCs w:val="24"/>
                <w:lang w:val="en-US"/>
              </w:rPr>
            </w:pPr>
            <w:r w:rsidRPr="00F42439">
              <w:rPr>
                <w:rFonts w:eastAsia="Times New Roman" w:cs="Times New Roman"/>
                <w:color w:val="000000"/>
                <w:szCs w:val="24"/>
                <w:lang w:val="en-US"/>
              </w:rPr>
              <w:t>Taxes and duties (excluding income tax)</w:t>
            </w:r>
          </w:p>
        </w:tc>
        <w:tc>
          <w:tcPr>
            <w:tcW w:w="1140" w:type="dxa"/>
            <w:tcBorders>
              <w:top w:val="nil"/>
              <w:left w:val="nil"/>
              <w:bottom w:val="double" w:sz="6" w:space="0" w:color="D9D9E2"/>
              <w:right w:val="double" w:sz="6" w:space="0" w:color="D9D9E2"/>
            </w:tcBorders>
            <w:shd w:val="clear" w:color="auto" w:fill="auto"/>
            <w:vAlign w:val="center"/>
            <w:hideMark/>
          </w:tcPr>
          <w:p w14:paraId="48BA5978" w14:textId="77777777" w:rsidR="00F42439" w:rsidRPr="00F42439" w:rsidRDefault="00F42439" w:rsidP="00F42439">
            <w:pPr>
              <w:spacing w:after="0" w:line="240" w:lineRule="auto"/>
              <w:jc w:val="right"/>
              <w:rPr>
                <w:rFonts w:eastAsia="Times New Roman" w:cs="Times New Roman"/>
                <w:color w:val="000000"/>
                <w:szCs w:val="24"/>
                <w:lang w:val="en-US"/>
              </w:rPr>
            </w:pPr>
            <w:r w:rsidRPr="00F42439">
              <w:rPr>
                <w:rFonts w:eastAsia="Times New Roman" w:cs="Times New Roman"/>
                <w:color w:val="000000"/>
                <w:szCs w:val="24"/>
                <w:lang w:val="en-US"/>
              </w:rPr>
              <w:t>((144,070)</w:t>
            </w:r>
          </w:p>
        </w:tc>
        <w:tc>
          <w:tcPr>
            <w:tcW w:w="1140" w:type="dxa"/>
            <w:tcBorders>
              <w:top w:val="nil"/>
              <w:left w:val="nil"/>
              <w:bottom w:val="double" w:sz="6" w:space="0" w:color="D9D9E2"/>
              <w:right w:val="double" w:sz="6" w:space="0" w:color="D9D9E2"/>
            </w:tcBorders>
            <w:shd w:val="clear" w:color="auto" w:fill="auto"/>
            <w:vAlign w:val="center"/>
            <w:hideMark/>
          </w:tcPr>
          <w:p w14:paraId="48BA5979" w14:textId="77777777" w:rsidR="00F42439" w:rsidRPr="00F42439" w:rsidRDefault="00F42439" w:rsidP="00F42439">
            <w:pPr>
              <w:spacing w:after="0" w:line="240" w:lineRule="auto"/>
              <w:jc w:val="right"/>
              <w:rPr>
                <w:rFonts w:eastAsia="Times New Roman" w:cs="Times New Roman"/>
                <w:color w:val="000000"/>
                <w:szCs w:val="24"/>
                <w:lang w:val="en-US"/>
              </w:rPr>
            </w:pPr>
            <w:r w:rsidRPr="00F42439">
              <w:rPr>
                <w:rFonts w:eastAsia="Times New Roman" w:cs="Times New Roman"/>
                <w:color w:val="000000"/>
                <w:szCs w:val="24"/>
                <w:lang w:val="en-US"/>
              </w:rPr>
              <w:t>-133,020</w:t>
            </w:r>
          </w:p>
        </w:tc>
        <w:tc>
          <w:tcPr>
            <w:tcW w:w="1140" w:type="dxa"/>
            <w:tcBorders>
              <w:top w:val="nil"/>
              <w:left w:val="nil"/>
              <w:bottom w:val="double" w:sz="6" w:space="0" w:color="D9D9E2"/>
              <w:right w:val="double" w:sz="6" w:space="0" w:color="D9D9E2"/>
            </w:tcBorders>
            <w:shd w:val="clear" w:color="auto" w:fill="auto"/>
            <w:vAlign w:val="center"/>
            <w:hideMark/>
          </w:tcPr>
          <w:p w14:paraId="48BA597A" w14:textId="77777777" w:rsidR="00F42439" w:rsidRPr="00F42439" w:rsidRDefault="00F42439" w:rsidP="00F42439">
            <w:pPr>
              <w:spacing w:after="0" w:line="240" w:lineRule="auto"/>
              <w:jc w:val="right"/>
              <w:rPr>
                <w:rFonts w:eastAsia="Times New Roman" w:cs="Times New Roman"/>
                <w:color w:val="000000"/>
                <w:szCs w:val="24"/>
                <w:lang w:val="en-US"/>
              </w:rPr>
            </w:pPr>
            <w:r w:rsidRPr="00F42439">
              <w:rPr>
                <w:rFonts w:eastAsia="Times New Roman" w:cs="Times New Roman"/>
                <w:color w:val="000000"/>
                <w:szCs w:val="24"/>
                <w:lang w:val="en-US"/>
              </w:rPr>
              <w:t>-88,950</w:t>
            </w:r>
          </w:p>
        </w:tc>
      </w:tr>
      <w:tr w:rsidR="00F42439" w:rsidRPr="00F42439" w14:paraId="48BA5980" w14:textId="77777777" w:rsidTr="00F42439">
        <w:trPr>
          <w:trHeight w:val="117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7C" w14:textId="77777777" w:rsidR="00F42439" w:rsidRPr="00F42439" w:rsidRDefault="00F42439" w:rsidP="00F42439">
            <w:pPr>
              <w:spacing w:after="0" w:line="240" w:lineRule="auto"/>
              <w:jc w:val="left"/>
              <w:rPr>
                <w:rFonts w:eastAsia="Times New Roman" w:cs="Times New Roman"/>
                <w:color w:val="000000"/>
                <w:szCs w:val="24"/>
                <w:lang w:val="en-US"/>
              </w:rPr>
            </w:pPr>
            <w:r w:rsidRPr="00F42439">
              <w:rPr>
                <w:rFonts w:eastAsia="Times New Roman" w:cs="Times New Roman"/>
                <w:color w:val="000000"/>
                <w:szCs w:val="24"/>
                <w:lang w:val="en-US"/>
              </w:rPr>
              <w:t xml:space="preserve">Depreciation &amp; </w:t>
            </w:r>
            <w:proofErr w:type="spellStart"/>
            <w:r w:rsidRPr="00F42439">
              <w:rPr>
                <w:rFonts w:eastAsia="Times New Roman" w:cs="Times New Roman"/>
                <w:color w:val="000000"/>
                <w:szCs w:val="24"/>
                <w:lang w:val="en-US"/>
              </w:rPr>
              <w:t>amortisation</w:t>
            </w:r>
            <w:proofErr w:type="spellEnd"/>
          </w:p>
        </w:tc>
        <w:tc>
          <w:tcPr>
            <w:tcW w:w="1140" w:type="dxa"/>
            <w:tcBorders>
              <w:top w:val="nil"/>
              <w:left w:val="nil"/>
              <w:bottom w:val="double" w:sz="6" w:space="0" w:color="D9D9E2"/>
              <w:right w:val="double" w:sz="6" w:space="0" w:color="D9D9E2"/>
            </w:tcBorders>
            <w:shd w:val="clear" w:color="auto" w:fill="auto"/>
            <w:vAlign w:val="center"/>
            <w:hideMark/>
          </w:tcPr>
          <w:p w14:paraId="48BA597D" w14:textId="77777777" w:rsidR="00F42439" w:rsidRPr="00F42439" w:rsidRDefault="00F42439" w:rsidP="00F42439">
            <w:pPr>
              <w:spacing w:after="0" w:line="240" w:lineRule="auto"/>
              <w:jc w:val="right"/>
              <w:rPr>
                <w:rFonts w:eastAsia="Times New Roman" w:cs="Times New Roman"/>
                <w:color w:val="000000"/>
                <w:szCs w:val="24"/>
                <w:lang w:val="en-US"/>
              </w:rPr>
            </w:pPr>
            <w:r w:rsidRPr="00F42439">
              <w:rPr>
                <w:rFonts w:eastAsia="Times New Roman" w:cs="Times New Roman"/>
                <w:color w:val="000000"/>
                <w:szCs w:val="24"/>
                <w:lang w:val="en-US"/>
              </w:rPr>
              <w:t>-409,190</w:t>
            </w:r>
          </w:p>
        </w:tc>
        <w:tc>
          <w:tcPr>
            <w:tcW w:w="1140" w:type="dxa"/>
            <w:tcBorders>
              <w:top w:val="nil"/>
              <w:left w:val="nil"/>
              <w:bottom w:val="double" w:sz="6" w:space="0" w:color="D9D9E2"/>
              <w:right w:val="double" w:sz="6" w:space="0" w:color="D9D9E2"/>
            </w:tcBorders>
            <w:shd w:val="clear" w:color="auto" w:fill="auto"/>
            <w:vAlign w:val="center"/>
            <w:hideMark/>
          </w:tcPr>
          <w:p w14:paraId="48BA597E" w14:textId="77777777" w:rsidR="00F42439" w:rsidRPr="00F42439" w:rsidRDefault="00F42439" w:rsidP="00F42439">
            <w:pPr>
              <w:spacing w:after="0" w:line="240" w:lineRule="auto"/>
              <w:jc w:val="right"/>
              <w:rPr>
                <w:rFonts w:eastAsia="Times New Roman" w:cs="Times New Roman"/>
                <w:color w:val="000000"/>
                <w:szCs w:val="24"/>
                <w:lang w:val="en-US"/>
              </w:rPr>
            </w:pPr>
            <w:r w:rsidRPr="00F42439">
              <w:rPr>
                <w:rFonts w:eastAsia="Times New Roman" w:cs="Times New Roman"/>
                <w:color w:val="000000"/>
                <w:szCs w:val="24"/>
                <w:lang w:val="en-US"/>
              </w:rPr>
              <w:t>-634,030</w:t>
            </w:r>
          </w:p>
        </w:tc>
        <w:tc>
          <w:tcPr>
            <w:tcW w:w="1140" w:type="dxa"/>
            <w:tcBorders>
              <w:top w:val="nil"/>
              <w:left w:val="nil"/>
              <w:bottom w:val="double" w:sz="6" w:space="0" w:color="D9D9E2"/>
              <w:right w:val="double" w:sz="6" w:space="0" w:color="D9D9E2"/>
            </w:tcBorders>
            <w:shd w:val="clear" w:color="auto" w:fill="auto"/>
            <w:vAlign w:val="center"/>
            <w:hideMark/>
          </w:tcPr>
          <w:p w14:paraId="48BA597F" w14:textId="77777777" w:rsidR="00F42439" w:rsidRPr="00F42439" w:rsidRDefault="00F42439" w:rsidP="00F42439">
            <w:pPr>
              <w:spacing w:after="0" w:line="240" w:lineRule="auto"/>
              <w:jc w:val="right"/>
              <w:rPr>
                <w:rFonts w:eastAsia="Times New Roman" w:cs="Times New Roman"/>
                <w:color w:val="000000"/>
                <w:szCs w:val="24"/>
                <w:lang w:val="en-US"/>
              </w:rPr>
            </w:pPr>
            <w:r w:rsidRPr="00F42439">
              <w:rPr>
                <w:rFonts w:eastAsia="Times New Roman" w:cs="Times New Roman"/>
                <w:color w:val="000000"/>
                <w:szCs w:val="24"/>
                <w:lang w:val="en-US"/>
              </w:rPr>
              <w:t>-661,590</w:t>
            </w:r>
          </w:p>
        </w:tc>
      </w:tr>
      <w:tr w:rsidR="00F42439" w:rsidRPr="00F42439" w14:paraId="48BA5985" w14:textId="77777777" w:rsidTr="00F42439">
        <w:trPr>
          <w:trHeight w:val="117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81" w14:textId="77777777" w:rsidR="00F42439" w:rsidRPr="00F42439" w:rsidRDefault="00F42439" w:rsidP="00F42439">
            <w:pPr>
              <w:spacing w:after="0" w:line="240" w:lineRule="auto"/>
              <w:jc w:val="left"/>
              <w:rPr>
                <w:rFonts w:eastAsia="Times New Roman" w:cs="Times New Roman"/>
                <w:color w:val="000000"/>
                <w:szCs w:val="24"/>
                <w:lang w:val="en-US"/>
              </w:rPr>
            </w:pPr>
            <w:r w:rsidRPr="00F42439">
              <w:rPr>
                <w:rFonts w:eastAsia="Times New Roman" w:cs="Times New Roman"/>
                <w:color w:val="000000"/>
                <w:szCs w:val="24"/>
                <w:lang w:val="en-US"/>
              </w:rPr>
              <w:t>Charges to provisions</w:t>
            </w:r>
          </w:p>
        </w:tc>
        <w:tc>
          <w:tcPr>
            <w:tcW w:w="1140" w:type="dxa"/>
            <w:tcBorders>
              <w:top w:val="nil"/>
              <w:left w:val="nil"/>
              <w:bottom w:val="double" w:sz="6" w:space="0" w:color="D9D9E2"/>
              <w:right w:val="double" w:sz="6" w:space="0" w:color="D9D9E2"/>
            </w:tcBorders>
            <w:shd w:val="clear" w:color="auto" w:fill="auto"/>
            <w:vAlign w:val="center"/>
            <w:hideMark/>
          </w:tcPr>
          <w:p w14:paraId="48BA5982" w14:textId="77777777" w:rsidR="00F42439" w:rsidRPr="00F42439" w:rsidRDefault="00F42439" w:rsidP="00F42439">
            <w:pPr>
              <w:spacing w:after="0" w:line="240" w:lineRule="auto"/>
              <w:jc w:val="right"/>
              <w:rPr>
                <w:rFonts w:eastAsia="Times New Roman" w:cs="Times New Roman"/>
                <w:color w:val="000000"/>
                <w:szCs w:val="24"/>
                <w:lang w:val="en-US"/>
              </w:rPr>
            </w:pPr>
            <w:r w:rsidRPr="00F42439">
              <w:rPr>
                <w:rFonts w:eastAsia="Times New Roman" w:cs="Times New Roman"/>
                <w:color w:val="000000"/>
                <w:szCs w:val="24"/>
                <w:lang w:val="en-US"/>
              </w:rPr>
              <w:t>5960</w:t>
            </w:r>
          </w:p>
        </w:tc>
        <w:tc>
          <w:tcPr>
            <w:tcW w:w="1140" w:type="dxa"/>
            <w:tcBorders>
              <w:top w:val="nil"/>
              <w:left w:val="nil"/>
              <w:bottom w:val="double" w:sz="6" w:space="0" w:color="D9D9E2"/>
              <w:right w:val="double" w:sz="6" w:space="0" w:color="D9D9E2"/>
            </w:tcBorders>
            <w:shd w:val="clear" w:color="auto" w:fill="auto"/>
            <w:vAlign w:val="center"/>
            <w:hideMark/>
          </w:tcPr>
          <w:p w14:paraId="48BA5983" w14:textId="77777777" w:rsidR="00F42439" w:rsidRPr="00F42439" w:rsidRDefault="00F42439" w:rsidP="00F42439">
            <w:pPr>
              <w:spacing w:after="0" w:line="240" w:lineRule="auto"/>
              <w:jc w:val="right"/>
              <w:rPr>
                <w:rFonts w:eastAsia="Times New Roman" w:cs="Times New Roman"/>
                <w:color w:val="000000"/>
                <w:szCs w:val="24"/>
                <w:lang w:val="en-US"/>
              </w:rPr>
            </w:pPr>
            <w:r w:rsidRPr="00F42439">
              <w:rPr>
                <w:rFonts w:eastAsia="Times New Roman" w:cs="Times New Roman"/>
                <w:color w:val="000000"/>
                <w:szCs w:val="24"/>
                <w:lang w:val="en-US"/>
              </w:rPr>
              <w:t>17,950</w:t>
            </w:r>
          </w:p>
        </w:tc>
        <w:tc>
          <w:tcPr>
            <w:tcW w:w="1140" w:type="dxa"/>
            <w:tcBorders>
              <w:top w:val="nil"/>
              <w:left w:val="nil"/>
              <w:bottom w:val="double" w:sz="6" w:space="0" w:color="D9D9E2"/>
              <w:right w:val="double" w:sz="6" w:space="0" w:color="D9D9E2"/>
            </w:tcBorders>
            <w:shd w:val="clear" w:color="auto" w:fill="auto"/>
            <w:vAlign w:val="center"/>
            <w:hideMark/>
          </w:tcPr>
          <w:p w14:paraId="48BA5984" w14:textId="77777777" w:rsidR="00F42439" w:rsidRPr="00F42439" w:rsidRDefault="00F42439" w:rsidP="00F42439">
            <w:pPr>
              <w:spacing w:after="0" w:line="240" w:lineRule="auto"/>
              <w:jc w:val="right"/>
              <w:rPr>
                <w:rFonts w:eastAsia="Times New Roman" w:cs="Times New Roman"/>
                <w:color w:val="000000"/>
                <w:szCs w:val="24"/>
                <w:lang w:val="en-US"/>
              </w:rPr>
            </w:pPr>
            <w:r w:rsidRPr="00F42439">
              <w:rPr>
                <w:rFonts w:eastAsia="Times New Roman" w:cs="Times New Roman"/>
                <w:color w:val="000000"/>
                <w:szCs w:val="24"/>
                <w:lang w:val="en-US"/>
              </w:rPr>
              <w:t>-55,550</w:t>
            </w:r>
          </w:p>
        </w:tc>
      </w:tr>
      <w:tr w:rsidR="00F42439" w:rsidRPr="00F42439" w14:paraId="48BA598A" w14:textId="77777777" w:rsidTr="00F42439">
        <w:trPr>
          <w:trHeight w:val="126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86" w14:textId="77777777" w:rsidR="00F42439" w:rsidRPr="00F42439" w:rsidRDefault="00F42439" w:rsidP="00F42439">
            <w:pPr>
              <w:spacing w:after="0" w:line="240" w:lineRule="auto"/>
              <w:jc w:val="left"/>
              <w:rPr>
                <w:rFonts w:eastAsia="Times New Roman" w:cs="Times New Roman"/>
                <w:color w:val="000000"/>
                <w:szCs w:val="24"/>
                <w:lang w:val="en-US"/>
              </w:rPr>
            </w:pPr>
            <w:r w:rsidRPr="00F42439">
              <w:rPr>
                <w:rFonts w:eastAsia="Times New Roman" w:cs="Times New Roman"/>
                <w:color w:val="000000"/>
                <w:szCs w:val="24"/>
                <w:lang w:val="en-US"/>
              </w:rPr>
              <w:t>Other current operating income and expenses</w:t>
            </w:r>
          </w:p>
        </w:tc>
        <w:tc>
          <w:tcPr>
            <w:tcW w:w="1140" w:type="dxa"/>
            <w:tcBorders>
              <w:top w:val="nil"/>
              <w:left w:val="nil"/>
              <w:bottom w:val="double" w:sz="6" w:space="0" w:color="D9D9E2"/>
              <w:right w:val="double" w:sz="6" w:space="0" w:color="D9D9E2"/>
            </w:tcBorders>
            <w:shd w:val="clear" w:color="auto" w:fill="auto"/>
            <w:vAlign w:val="center"/>
            <w:hideMark/>
          </w:tcPr>
          <w:p w14:paraId="48BA5987" w14:textId="77777777" w:rsidR="00F42439" w:rsidRPr="00F42439" w:rsidRDefault="00F42439" w:rsidP="00F42439">
            <w:pPr>
              <w:spacing w:after="0" w:line="240" w:lineRule="auto"/>
              <w:jc w:val="right"/>
              <w:rPr>
                <w:rFonts w:eastAsia="Times New Roman" w:cs="Times New Roman"/>
                <w:color w:val="000000"/>
                <w:szCs w:val="24"/>
                <w:lang w:val="en-US"/>
              </w:rPr>
            </w:pPr>
            <w:r w:rsidRPr="00F42439">
              <w:rPr>
                <w:rFonts w:eastAsia="Times New Roman" w:cs="Times New Roman"/>
                <w:color w:val="000000"/>
                <w:szCs w:val="24"/>
                <w:lang w:val="en-US"/>
              </w:rPr>
              <w:t>-40,520</w:t>
            </w:r>
          </w:p>
        </w:tc>
        <w:tc>
          <w:tcPr>
            <w:tcW w:w="1140" w:type="dxa"/>
            <w:tcBorders>
              <w:top w:val="nil"/>
              <w:left w:val="nil"/>
              <w:bottom w:val="double" w:sz="6" w:space="0" w:color="D9D9E2"/>
              <w:right w:val="double" w:sz="6" w:space="0" w:color="D9D9E2"/>
            </w:tcBorders>
            <w:shd w:val="clear" w:color="auto" w:fill="auto"/>
            <w:vAlign w:val="center"/>
            <w:hideMark/>
          </w:tcPr>
          <w:p w14:paraId="48BA5988" w14:textId="77777777" w:rsidR="00F42439" w:rsidRPr="00F42439" w:rsidRDefault="00F42439" w:rsidP="00F42439">
            <w:pPr>
              <w:spacing w:after="0" w:line="240" w:lineRule="auto"/>
              <w:jc w:val="right"/>
              <w:rPr>
                <w:rFonts w:eastAsia="Times New Roman" w:cs="Times New Roman"/>
                <w:color w:val="000000"/>
                <w:szCs w:val="24"/>
                <w:lang w:val="en-US"/>
              </w:rPr>
            </w:pPr>
            <w:r w:rsidRPr="00F42439">
              <w:rPr>
                <w:rFonts w:eastAsia="Times New Roman" w:cs="Times New Roman"/>
                <w:color w:val="000000"/>
                <w:szCs w:val="24"/>
                <w:lang w:val="en-US"/>
              </w:rPr>
              <w:t>-25,030</w:t>
            </w:r>
          </w:p>
        </w:tc>
        <w:tc>
          <w:tcPr>
            <w:tcW w:w="1140" w:type="dxa"/>
            <w:tcBorders>
              <w:top w:val="nil"/>
              <w:left w:val="nil"/>
              <w:bottom w:val="double" w:sz="6" w:space="0" w:color="D9D9E2"/>
              <w:right w:val="double" w:sz="6" w:space="0" w:color="D9D9E2"/>
            </w:tcBorders>
            <w:shd w:val="clear" w:color="auto" w:fill="auto"/>
            <w:vAlign w:val="center"/>
            <w:hideMark/>
          </w:tcPr>
          <w:p w14:paraId="48BA5989" w14:textId="77777777" w:rsidR="00F42439" w:rsidRPr="00F42439" w:rsidRDefault="00F42439" w:rsidP="00F42439">
            <w:pPr>
              <w:spacing w:after="0" w:line="240" w:lineRule="auto"/>
              <w:jc w:val="right"/>
              <w:rPr>
                <w:rFonts w:eastAsia="Times New Roman" w:cs="Times New Roman"/>
                <w:color w:val="000000"/>
                <w:szCs w:val="24"/>
                <w:lang w:val="en-US"/>
              </w:rPr>
            </w:pPr>
            <w:r w:rsidRPr="00F42439">
              <w:rPr>
                <w:rFonts w:eastAsia="Times New Roman" w:cs="Times New Roman"/>
                <w:color w:val="000000"/>
                <w:szCs w:val="24"/>
                <w:lang w:val="en-US"/>
              </w:rPr>
              <w:t>-41,100</w:t>
            </w:r>
          </w:p>
        </w:tc>
      </w:tr>
      <w:tr w:rsidR="00F42439" w:rsidRPr="00F42439" w14:paraId="48BA598F" w14:textId="77777777" w:rsidTr="00F42439">
        <w:trPr>
          <w:trHeight w:val="1035"/>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8B" w14:textId="77777777" w:rsidR="00F42439" w:rsidRPr="00F42439" w:rsidRDefault="00F42439" w:rsidP="00F42439">
            <w:pPr>
              <w:spacing w:after="0" w:line="240" w:lineRule="auto"/>
              <w:jc w:val="left"/>
              <w:rPr>
                <w:rFonts w:eastAsia="Times New Roman" w:cs="Times New Roman"/>
                <w:color w:val="000000"/>
                <w:szCs w:val="24"/>
                <w:lang w:val="en-US"/>
              </w:rPr>
            </w:pPr>
            <w:r w:rsidRPr="00F42439">
              <w:rPr>
                <w:rFonts w:eastAsia="Times New Roman" w:cs="Times New Roman"/>
                <w:color w:val="000000"/>
                <w:szCs w:val="24"/>
                <w:lang w:val="en-US"/>
              </w:rPr>
              <w:t>Other operating income and expenses</w:t>
            </w:r>
          </w:p>
        </w:tc>
        <w:tc>
          <w:tcPr>
            <w:tcW w:w="1140" w:type="dxa"/>
            <w:tcBorders>
              <w:top w:val="nil"/>
              <w:left w:val="nil"/>
              <w:bottom w:val="double" w:sz="6" w:space="0" w:color="D9D9E2"/>
              <w:right w:val="double" w:sz="6" w:space="0" w:color="D9D9E2"/>
            </w:tcBorders>
            <w:shd w:val="clear" w:color="auto" w:fill="auto"/>
            <w:vAlign w:val="center"/>
            <w:hideMark/>
          </w:tcPr>
          <w:p w14:paraId="48BA598C" w14:textId="77777777" w:rsidR="00F42439" w:rsidRPr="00F42439" w:rsidRDefault="00F42439" w:rsidP="00F42439">
            <w:pPr>
              <w:spacing w:after="0" w:line="240" w:lineRule="auto"/>
              <w:jc w:val="right"/>
              <w:rPr>
                <w:rFonts w:eastAsia="Times New Roman" w:cs="Times New Roman"/>
                <w:color w:val="000000"/>
                <w:szCs w:val="24"/>
                <w:lang w:val="en-US"/>
              </w:rPr>
            </w:pPr>
            <w:r w:rsidRPr="00F42439">
              <w:rPr>
                <w:rFonts w:eastAsia="Times New Roman" w:cs="Times New Roman"/>
                <w:color w:val="000000"/>
                <w:szCs w:val="24"/>
                <w:lang w:val="en-US"/>
              </w:rPr>
              <w:t>34,780</w:t>
            </w:r>
          </w:p>
        </w:tc>
        <w:tc>
          <w:tcPr>
            <w:tcW w:w="1140" w:type="dxa"/>
            <w:tcBorders>
              <w:top w:val="nil"/>
              <w:left w:val="nil"/>
              <w:bottom w:val="double" w:sz="6" w:space="0" w:color="D9D9E2"/>
              <w:right w:val="double" w:sz="6" w:space="0" w:color="D9D9E2"/>
            </w:tcBorders>
            <w:shd w:val="clear" w:color="auto" w:fill="auto"/>
            <w:vAlign w:val="center"/>
            <w:hideMark/>
          </w:tcPr>
          <w:p w14:paraId="48BA598D" w14:textId="77777777" w:rsidR="00F42439" w:rsidRPr="00F42439" w:rsidRDefault="00F42439" w:rsidP="00F42439">
            <w:pPr>
              <w:spacing w:after="0" w:line="240" w:lineRule="auto"/>
              <w:jc w:val="right"/>
              <w:rPr>
                <w:rFonts w:eastAsia="Times New Roman" w:cs="Times New Roman"/>
                <w:color w:val="000000"/>
                <w:szCs w:val="24"/>
                <w:lang w:val="en-US"/>
              </w:rPr>
            </w:pPr>
            <w:r w:rsidRPr="00F42439">
              <w:rPr>
                <w:rFonts w:eastAsia="Times New Roman" w:cs="Times New Roman"/>
                <w:color w:val="000000"/>
                <w:szCs w:val="24"/>
                <w:lang w:val="en-US"/>
              </w:rPr>
              <w:t>-11,000</w:t>
            </w:r>
          </w:p>
        </w:tc>
        <w:tc>
          <w:tcPr>
            <w:tcW w:w="1140" w:type="dxa"/>
            <w:tcBorders>
              <w:top w:val="nil"/>
              <w:left w:val="nil"/>
              <w:bottom w:val="double" w:sz="6" w:space="0" w:color="D9D9E2"/>
              <w:right w:val="double" w:sz="6" w:space="0" w:color="D9D9E2"/>
            </w:tcBorders>
            <w:shd w:val="clear" w:color="auto" w:fill="auto"/>
            <w:vAlign w:val="center"/>
            <w:hideMark/>
          </w:tcPr>
          <w:p w14:paraId="48BA598E" w14:textId="77777777" w:rsidR="00F42439" w:rsidRPr="00F42439" w:rsidRDefault="00F42439" w:rsidP="00F42439">
            <w:pPr>
              <w:spacing w:after="0" w:line="240" w:lineRule="auto"/>
              <w:jc w:val="right"/>
              <w:rPr>
                <w:rFonts w:eastAsia="Times New Roman" w:cs="Times New Roman"/>
                <w:color w:val="000000"/>
                <w:szCs w:val="24"/>
                <w:lang w:val="en-US"/>
              </w:rPr>
            </w:pPr>
            <w:r w:rsidRPr="00F42439">
              <w:rPr>
                <w:rFonts w:eastAsia="Times New Roman" w:cs="Times New Roman"/>
                <w:color w:val="000000"/>
                <w:szCs w:val="24"/>
                <w:lang w:val="en-US"/>
              </w:rPr>
              <w:t>-216,650</w:t>
            </w:r>
          </w:p>
        </w:tc>
      </w:tr>
      <w:tr w:rsidR="00F42439" w:rsidRPr="00F42439" w14:paraId="48BA5994" w14:textId="77777777" w:rsidTr="00F42439">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90" w14:textId="77777777" w:rsidR="00F42439" w:rsidRPr="00F42439" w:rsidRDefault="00F42439" w:rsidP="00F42439">
            <w:pPr>
              <w:spacing w:after="0" w:line="240" w:lineRule="auto"/>
              <w:jc w:val="left"/>
              <w:rPr>
                <w:rFonts w:eastAsia="Times New Roman" w:cs="Times New Roman"/>
                <w:color w:val="000000"/>
                <w:szCs w:val="24"/>
                <w:lang w:val="en-US"/>
              </w:rPr>
            </w:pPr>
            <w:r w:rsidRPr="00F42439">
              <w:rPr>
                <w:rFonts w:eastAsia="Times New Roman" w:cs="Times New Roman"/>
                <w:color w:val="000000"/>
                <w:w w:val="99"/>
                <w:szCs w:val="24"/>
                <w:lang w:val="en-US"/>
              </w:rPr>
              <w:t>-</w:t>
            </w:r>
          </w:p>
        </w:tc>
        <w:tc>
          <w:tcPr>
            <w:tcW w:w="1140" w:type="dxa"/>
            <w:tcBorders>
              <w:top w:val="nil"/>
              <w:left w:val="nil"/>
              <w:bottom w:val="double" w:sz="6" w:space="0" w:color="D9D9E2"/>
              <w:right w:val="double" w:sz="6" w:space="0" w:color="D9D9E2"/>
            </w:tcBorders>
            <w:shd w:val="clear" w:color="auto" w:fill="auto"/>
            <w:vAlign w:val="center"/>
            <w:hideMark/>
          </w:tcPr>
          <w:p w14:paraId="48BA5991" w14:textId="77777777" w:rsidR="00F42439" w:rsidRPr="00F42439" w:rsidRDefault="00F42439" w:rsidP="00F42439">
            <w:pPr>
              <w:spacing w:after="0" w:line="240" w:lineRule="auto"/>
              <w:jc w:val="left"/>
              <w:rPr>
                <w:rFonts w:eastAsia="Times New Roman" w:cs="Times New Roman"/>
                <w:color w:val="000000"/>
                <w:szCs w:val="24"/>
                <w:lang w:val="en-US"/>
              </w:rPr>
            </w:pPr>
            <w:r w:rsidRPr="00F42439">
              <w:rPr>
                <w:rFonts w:eastAsia="Times New Roman" w:cs="Times New Roman"/>
                <w:color w:val="000000"/>
                <w:szCs w:val="24"/>
                <w:lang w:val="en-US"/>
              </w:rPr>
              <w:t> </w:t>
            </w:r>
          </w:p>
        </w:tc>
        <w:tc>
          <w:tcPr>
            <w:tcW w:w="1140" w:type="dxa"/>
            <w:tcBorders>
              <w:top w:val="nil"/>
              <w:left w:val="nil"/>
              <w:bottom w:val="double" w:sz="6" w:space="0" w:color="D9D9E2"/>
              <w:right w:val="double" w:sz="6" w:space="0" w:color="D9D9E2"/>
            </w:tcBorders>
            <w:shd w:val="clear" w:color="auto" w:fill="auto"/>
            <w:vAlign w:val="center"/>
            <w:hideMark/>
          </w:tcPr>
          <w:p w14:paraId="48BA5992" w14:textId="77777777" w:rsidR="00F42439" w:rsidRPr="00F42439" w:rsidRDefault="00F42439" w:rsidP="00F42439">
            <w:pPr>
              <w:spacing w:after="0" w:line="240" w:lineRule="auto"/>
              <w:jc w:val="left"/>
              <w:rPr>
                <w:rFonts w:eastAsia="Times New Roman" w:cs="Times New Roman"/>
                <w:color w:val="000000"/>
                <w:szCs w:val="24"/>
                <w:lang w:val="en-US"/>
              </w:rPr>
            </w:pPr>
            <w:r w:rsidRPr="00F42439">
              <w:rPr>
                <w:rFonts w:eastAsia="Times New Roman" w:cs="Times New Roman"/>
                <w:color w:val="000000"/>
                <w:szCs w:val="24"/>
                <w:lang w:val="en-US"/>
              </w:rPr>
              <w:t> </w:t>
            </w:r>
          </w:p>
        </w:tc>
        <w:tc>
          <w:tcPr>
            <w:tcW w:w="1140" w:type="dxa"/>
            <w:tcBorders>
              <w:top w:val="nil"/>
              <w:left w:val="nil"/>
              <w:bottom w:val="double" w:sz="6" w:space="0" w:color="D9D9E2"/>
              <w:right w:val="double" w:sz="6" w:space="0" w:color="D9D9E2"/>
            </w:tcBorders>
            <w:shd w:val="clear" w:color="auto" w:fill="auto"/>
            <w:vAlign w:val="center"/>
            <w:hideMark/>
          </w:tcPr>
          <w:p w14:paraId="48BA5993" w14:textId="77777777" w:rsidR="00F42439" w:rsidRPr="00F42439" w:rsidRDefault="00F42439" w:rsidP="00F42439">
            <w:pPr>
              <w:spacing w:after="0" w:line="240" w:lineRule="auto"/>
              <w:jc w:val="left"/>
              <w:rPr>
                <w:rFonts w:eastAsia="Times New Roman" w:cs="Times New Roman"/>
                <w:color w:val="000000"/>
                <w:szCs w:val="24"/>
                <w:lang w:val="en-US"/>
              </w:rPr>
            </w:pPr>
            <w:r w:rsidRPr="00F42439">
              <w:rPr>
                <w:rFonts w:eastAsia="Times New Roman" w:cs="Times New Roman"/>
                <w:color w:val="000000"/>
                <w:szCs w:val="24"/>
                <w:lang w:val="en-US"/>
              </w:rPr>
              <w:t> </w:t>
            </w:r>
          </w:p>
        </w:tc>
      </w:tr>
      <w:tr w:rsidR="00F42439" w:rsidRPr="00F42439" w14:paraId="48BA5999" w14:textId="77777777" w:rsidTr="00F42439">
        <w:trPr>
          <w:trHeight w:val="9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95" w14:textId="77777777" w:rsidR="00F42439" w:rsidRPr="00F42439" w:rsidRDefault="00F42439" w:rsidP="00F42439">
            <w:pPr>
              <w:spacing w:after="0" w:line="240" w:lineRule="auto"/>
              <w:jc w:val="left"/>
              <w:rPr>
                <w:rFonts w:eastAsia="Times New Roman" w:cs="Times New Roman"/>
                <w:b/>
                <w:bCs/>
                <w:color w:val="000000"/>
                <w:szCs w:val="24"/>
                <w:lang w:val="en-US"/>
              </w:rPr>
            </w:pPr>
            <w:r w:rsidRPr="00F42439">
              <w:rPr>
                <w:rFonts w:eastAsia="Times New Roman" w:cs="Times New Roman"/>
                <w:b/>
                <w:bCs/>
                <w:color w:val="000000"/>
                <w:szCs w:val="24"/>
                <w:lang w:val="en-US"/>
              </w:rPr>
              <w:t>Operating Income</w:t>
            </w:r>
          </w:p>
        </w:tc>
        <w:tc>
          <w:tcPr>
            <w:tcW w:w="1140" w:type="dxa"/>
            <w:tcBorders>
              <w:top w:val="nil"/>
              <w:left w:val="nil"/>
              <w:bottom w:val="double" w:sz="6" w:space="0" w:color="D9D9E2"/>
              <w:right w:val="double" w:sz="6" w:space="0" w:color="D9D9E2"/>
            </w:tcBorders>
            <w:shd w:val="clear" w:color="auto" w:fill="auto"/>
            <w:vAlign w:val="center"/>
            <w:hideMark/>
          </w:tcPr>
          <w:p w14:paraId="48BA5996" w14:textId="77777777" w:rsidR="00F42439" w:rsidRPr="00F42439" w:rsidRDefault="00F42439" w:rsidP="00F42439">
            <w:pPr>
              <w:spacing w:after="0" w:line="240" w:lineRule="auto"/>
              <w:jc w:val="right"/>
              <w:rPr>
                <w:rFonts w:eastAsia="Times New Roman" w:cs="Times New Roman"/>
                <w:b/>
                <w:bCs/>
                <w:color w:val="000000"/>
                <w:szCs w:val="24"/>
                <w:lang w:val="en-US"/>
              </w:rPr>
            </w:pPr>
            <w:r w:rsidRPr="00F42439">
              <w:rPr>
                <w:rFonts w:eastAsia="Times New Roman" w:cs="Times New Roman"/>
                <w:b/>
                <w:bCs/>
                <w:color w:val="000000"/>
                <w:szCs w:val="24"/>
                <w:lang w:val="en-US"/>
              </w:rPr>
              <w:t>664,160</w:t>
            </w:r>
          </w:p>
        </w:tc>
        <w:tc>
          <w:tcPr>
            <w:tcW w:w="1140" w:type="dxa"/>
            <w:tcBorders>
              <w:top w:val="nil"/>
              <w:left w:val="nil"/>
              <w:bottom w:val="double" w:sz="6" w:space="0" w:color="D9D9E2"/>
              <w:right w:val="double" w:sz="6" w:space="0" w:color="D9D9E2"/>
            </w:tcBorders>
            <w:shd w:val="clear" w:color="auto" w:fill="auto"/>
            <w:vAlign w:val="center"/>
            <w:hideMark/>
          </w:tcPr>
          <w:p w14:paraId="48BA5997" w14:textId="77777777" w:rsidR="00F42439" w:rsidRPr="00F42439" w:rsidRDefault="00F42439" w:rsidP="00F42439">
            <w:pPr>
              <w:spacing w:after="0" w:line="240" w:lineRule="auto"/>
              <w:jc w:val="right"/>
              <w:rPr>
                <w:rFonts w:eastAsia="Times New Roman" w:cs="Times New Roman"/>
                <w:b/>
                <w:bCs/>
                <w:color w:val="000000"/>
                <w:szCs w:val="24"/>
                <w:lang w:val="en-US"/>
              </w:rPr>
            </w:pPr>
            <w:r w:rsidRPr="00F42439">
              <w:rPr>
                <w:rFonts w:eastAsia="Times New Roman" w:cs="Times New Roman"/>
                <w:b/>
                <w:bCs/>
                <w:color w:val="000000"/>
                <w:szCs w:val="24"/>
                <w:lang w:val="en-US"/>
              </w:rPr>
              <w:t>674,730</w:t>
            </w:r>
          </w:p>
        </w:tc>
        <w:tc>
          <w:tcPr>
            <w:tcW w:w="1140" w:type="dxa"/>
            <w:tcBorders>
              <w:top w:val="nil"/>
              <w:left w:val="nil"/>
              <w:bottom w:val="double" w:sz="6" w:space="0" w:color="D9D9E2"/>
              <w:right w:val="double" w:sz="6" w:space="0" w:color="D9D9E2"/>
            </w:tcBorders>
            <w:shd w:val="clear" w:color="auto" w:fill="auto"/>
            <w:vAlign w:val="center"/>
            <w:hideMark/>
          </w:tcPr>
          <w:p w14:paraId="48BA5998" w14:textId="77777777" w:rsidR="00F42439" w:rsidRPr="00F42439" w:rsidRDefault="00F42439" w:rsidP="00F42439">
            <w:pPr>
              <w:spacing w:after="0" w:line="240" w:lineRule="auto"/>
              <w:jc w:val="right"/>
              <w:rPr>
                <w:rFonts w:eastAsia="Times New Roman" w:cs="Times New Roman"/>
                <w:b/>
                <w:bCs/>
                <w:color w:val="000000"/>
                <w:szCs w:val="24"/>
                <w:lang w:val="en-US"/>
              </w:rPr>
            </w:pPr>
            <w:r w:rsidRPr="00F42439">
              <w:rPr>
                <w:rFonts w:eastAsia="Times New Roman" w:cs="Times New Roman"/>
                <w:b/>
                <w:bCs/>
                <w:color w:val="000000"/>
                <w:szCs w:val="24"/>
                <w:lang w:val="en-US"/>
              </w:rPr>
              <w:t>-1,218,850</w:t>
            </w:r>
          </w:p>
        </w:tc>
      </w:tr>
    </w:tbl>
    <w:p w14:paraId="48BA599A" w14:textId="77777777" w:rsidR="00F42439" w:rsidRDefault="00F42439" w:rsidP="00F42439"/>
    <w:p w14:paraId="48BA599B" w14:textId="77777777" w:rsidR="008470CD" w:rsidRPr="00573ECC" w:rsidRDefault="00573ECC" w:rsidP="00F42439">
      <w:pPr>
        <w:rPr>
          <w:b/>
        </w:rPr>
      </w:pPr>
      <w:r>
        <w:rPr>
          <w:b/>
        </w:rPr>
        <w:t>Balance Sheet (In GBP)</w:t>
      </w:r>
    </w:p>
    <w:tbl>
      <w:tblPr>
        <w:tblW w:w="6920" w:type="dxa"/>
        <w:jc w:val="center"/>
        <w:tblLook w:val="04A0" w:firstRow="1" w:lastRow="0" w:firstColumn="1" w:lastColumn="0" w:noHBand="0" w:noVBand="1"/>
      </w:tblPr>
      <w:tblGrid>
        <w:gridCol w:w="2663"/>
        <w:gridCol w:w="1419"/>
        <w:gridCol w:w="1419"/>
        <w:gridCol w:w="1419"/>
      </w:tblGrid>
      <w:tr w:rsidR="008470CD" w:rsidRPr="008470CD" w14:paraId="48BA59A0" w14:textId="77777777" w:rsidTr="008470CD">
        <w:trPr>
          <w:trHeight w:val="345"/>
          <w:jc w:val="center"/>
        </w:trPr>
        <w:tc>
          <w:tcPr>
            <w:tcW w:w="3380" w:type="dxa"/>
            <w:tcBorders>
              <w:top w:val="double" w:sz="6" w:space="0" w:color="D9D9E2"/>
              <w:left w:val="double" w:sz="6" w:space="0" w:color="D9D9E2"/>
              <w:bottom w:val="double" w:sz="6" w:space="0" w:color="D9D9E2"/>
              <w:right w:val="double" w:sz="6" w:space="0" w:color="D9D9E2"/>
            </w:tcBorders>
            <w:shd w:val="clear" w:color="auto" w:fill="auto"/>
            <w:vAlign w:val="center"/>
            <w:hideMark/>
          </w:tcPr>
          <w:p w14:paraId="48BA599C"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 </w:t>
            </w:r>
          </w:p>
        </w:tc>
        <w:tc>
          <w:tcPr>
            <w:tcW w:w="1180" w:type="dxa"/>
            <w:tcBorders>
              <w:top w:val="double" w:sz="6" w:space="0" w:color="D9D9E2"/>
              <w:left w:val="nil"/>
              <w:bottom w:val="double" w:sz="6" w:space="0" w:color="D9D9E2"/>
              <w:right w:val="double" w:sz="6" w:space="0" w:color="D9D9E2"/>
            </w:tcBorders>
            <w:shd w:val="clear" w:color="auto" w:fill="70AD47" w:themeFill="accent6"/>
            <w:vAlign w:val="center"/>
            <w:hideMark/>
          </w:tcPr>
          <w:p w14:paraId="48BA599D" w14:textId="77777777" w:rsidR="008470CD" w:rsidRPr="008470CD" w:rsidRDefault="008470CD" w:rsidP="008470CD">
            <w:pPr>
              <w:spacing w:after="0" w:line="240" w:lineRule="auto"/>
              <w:ind w:firstLineChars="300" w:firstLine="723"/>
              <w:jc w:val="left"/>
              <w:rPr>
                <w:rFonts w:eastAsia="Times New Roman" w:cs="Times New Roman"/>
                <w:b/>
                <w:bCs/>
                <w:color w:val="000000"/>
                <w:szCs w:val="24"/>
                <w:lang w:val="en-US"/>
              </w:rPr>
            </w:pPr>
            <w:r w:rsidRPr="008470CD">
              <w:rPr>
                <w:rFonts w:eastAsia="Times New Roman" w:cs="Times New Roman"/>
                <w:b/>
                <w:bCs/>
                <w:color w:val="000000"/>
                <w:szCs w:val="24"/>
                <w:lang w:val="en-US"/>
              </w:rPr>
              <w:t>2021</w:t>
            </w:r>
          </w:p>
        </w:tc>
        <w:tc>
          <w:tcPr>
            <w:tcW w:w="1180" w:type="dxa"/>
            <w:tcBorders>
              <w:top w:val="double" w:sz="6" w:space="0" w:color="D9D9E2"/>
              <w:left w:val="nil"/>
              <w:bottom w:val="double" w:sz="6" w:space="0" w:color="D9D9E2"/>
              <w:right w:val="double" w:sz="6" w:space="0" w:color="D9D9E2"/>
            </w:tcBorders>
            <w:shd w:val="clear" w:color="auto" w:fill="70AD47" w:themeFill="accent6"/>
            <w:vAlign w:val="center"/>
            <w:hideMark/>
          </w:tcPr>
          <w:p w14:paraId="48BA599E" w14:textId="77777777" w:rsidR="008470CD" w:rsidRPr="008470CD" w:rsidRDefault="008470CD" w:rsidP="008470CD">
            <w:pPr>
              <w:spacing w:after="0" w:line="240" w:lineRule="auto"/>
              <w:ind w:firstLineChars="300" w:firstLine="723"/>
              <w:jc w:val="left"/>
              <w:rPr>
                <w:rFonts w:eastAsia="Times New Roman" w:cs="Times New Roman"/>
                <w:b/>
                <w:bCs/>
                <w:color w:val="000000"/>
                <w:szCs w:val="24"/>
                <w:lang w:val="en-US"/>
              </w:rPr>
            </w:pPr>
            <w:r w:rsidRPr="008470CD">
              <w:rPr>
                <w:rFonts w:eastAsia="Times New Roman" w:cs="Times New Roman"/>
                <w:b/>
                <w:bCs/>
                <w:color w:val="000000"/>
                <w:szCs w:val="24"/>
                <w:lang w:val="en-US"/>
              </w:rPr>
              <w:t>2022</w:t>
            </w:r>
          </w:p>
        </w:tc>
        <w:tc>
          <w:tcPr>
            <w:tcW w:w="1180" w:type="dxa"/>
            <w:tcBorders>
              <w:top w:val="double" w:sz="6" w:space="0" w:color="D9D9E2"/>
              <w:left w:val="nil"/>
              <w:bottom w:val="double" w:sz="6" w:space="0" w:color="D9D9E2"/>
              <w:right w:val="double" w:sz="6" w:space="0" w:color="D9D9E2"/>
            </w:tcBorders>
            <w:shd w:val="clear" w:color="auto" w:fill="70AD47" w:themeFill="accent6"/>
            <w:vAlign w:val="center"/>
            <w:hideMark/>
          </w:tcPr>
          <w:p w14:paraId="48BA599F" w14:textId="77777777" w:rsidR="008470CD" w:rsidRPr="008470CD" w:rsidRDefault="008470CD" w:rsidP="008470CD">
            <w:pPr>
              <w:spacing w:after="0" w:line="240" w:lineRule="auto"/>
              <w:ind w:firstLineChars="300" w:firstLine="723"/>
              <w:jc w:val="left"/>
              <w:rPr>
                <w:rFonts w:eastAsia="Times New Roman" w:cs="Times New Roman"/>
                <w:b/>
                <w:bCs/>
                <w:color w:val="000000"/>
                <w:szCs w:val="24"/>
                <w:lang w:val="en-US"/>
              </w:rPr>
            </w:pPr>
            <w:r w:rsidRPr="008470CD">
              <w:rPr>
                <w:rFonts w:eastAsia="Times New Roman" w:cs="Times New Roman"/>
                <w:b/>
                <w:bCs/>
                <w:color w:val="000000"/>
                <w:szCs w:val="24"/>
                <w:lang w:val="en-US"/>
              </w:rPr>
              <w:t>2023</w:t>
            </w:r>
          </w:p>
        </w:tc>
      </w:tr>
      <w:tr w:rsidR="008470CD" w:rsidRPr="008470CD" w14:paraId="48BA59A5"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A1"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Goodwill</w:t>
            </w:r>
          </w:p>
        </w:tc>
        <w:tc>
          <w:tcPr>
            <w:tcW w:w="1180" w:type="dxa"/>
            <w:tcBorders>
              <w:top w:val="nil"/>
              <w:left w:val="nil"/>
              <w:bottom w:val="double" w:sz="6" w:space="0" w:color="D9D9E2"/>
              <w:right w:val="double" w:sz="6" w:space="0" w:color="D9D9E2"/>
            </w:tcBorders>
            <w:shd w:val="clear" w:color="auto" w:fill="auto"/>
            <w:vAlign w:val="center"/>
            <w:hideMark/>
          </w:tcPr>
          <w:p w14:paraId="48BA59A2"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4,644,940</w:t>
            </w:r>
          </w:p>
        </w:tc>
        <w:tc>
          <w:tcPr>
            <w:tcW w:w="1180" w:type="dxa"/>
            <w:tcBorders>
              <w:top w:val="nil"/>
              <w:left w:val="nil"/>
              <w:bottom w:val="double" w:sz="6" w:space="0" w:color="D9D9E2"/>
              <w:right w:val="double" w:sz="6" w:space="0" w:color="D9D9E2"/>
            </w:tcBorders>
            <w:shd w:val="clear" w:color="auto" w:fill="auto"/>
            <w:vAlign w:val="center"/>
            <w:hideMark/>
          </w:tcPr>
          <w:p w14:paraId="48BA59A3"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4,611,270</w:t>
            </w:r>
          </w:p>
        </w:tc>
        <w:tc>
          <w:tcPr>
            <w:tcW w:w="1180" w:type="dxa"/>
            <w:tcBorders>
              <w:top w:val="nil"/>
              <w:left w:val="nil"/>
              <w:bottom w:val="double" w:sz="6" w:space="0" w:color="D9D9E2"/>
              <w:right w:val="double" w:sz="6" w:space="0" w:color="D9D9E2"/>
            </w:tcBorders>
            <w:shd w:val="clear" w:color="auto" w:fill="auto"/>
            <w:vAlign w:val="center"/>
            <w:hideMark/>
          </w:tcPr>
          <w:p w14:paraId="48BA59A4"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4,558,200</w:t>
            </w:r>
          </w:p>
        </w:tc>
      </w:tr>
      <w:tr w:rsidR="008470CD" w:rsidRPr="008470CD" w14:paraId="48BA59AA"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A6"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Other intangible assets</w:t>
            </w:r>
          </w:p>
        </w:tc>
        <w:tc>
          <w:tcPr>
            <w:tcW w:w="1180" w:type="dxa"/>
            <w:tcBorders>
              <w:top w:val="nil"/>
              <w:left w:val="nil"/>
              <w:bottom w:val="double" w:sz="6" w:space="0" w:color="D9D9E2"/>
              <w:right w:val="double" w:sz="6" w:space="0" w:color="D9D9E2"/>
            </w:tcBorders>
            <w:shd w:val="clear" w:color="auto" w:fill="auto"/>
            <w:vAlign w:val="center"/>
            <w:hideMark/>
          </w:tcPr>
          <w:p w14:paraId="48BA59A7"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1,774,590</w:t>
            </w:r>
          </w:p>
        </w:tc>
        <w:tc>
          <w:tcPr>
            <w:tcW w:w="1180" w:type="dxa"/>
            <w:tcBorders>
              <w:top w:val="nil"/>
              <w:left w:val="nil"/>
              <w:bottom w:val="double" w:sz="6" w:space="0" w:color="D9D9E2"/>
              <w:right w:val="double" w:sz="6" w:space="0" w:color="D9D9E2"/>
            </w:tcBorders>
            <w:shd w:val="clear" w:color="auto" w:fill="auto"/>
            <w:vAlign w:val="center"/>
            <w:hideMark/>
          </w:tcPr>
          <w:p w14:paraId="48BA59A8"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1,865,250</w:t>
            </w:r>
          </w:p>
        </w:tc>
        <w:tc>
          <w:tcPr>
            <w:tcW w:w="1180" w:type="dxa"/>
            <w:tcBorders>
              <w:top w:val="nil"/>
              <w:left w:val="nil"/>
              <w:bottom w:val="double" w:sz="6" w:space="0" w:color="D9D9E2"/>
              <w:right w:val="double" w:sz="6" w:space="0" w:color="D9D9E2"/>
            </w:tcBorders>
            <w:shd w:val="clear" w:color="auto" w:fill="auto"/>
            <w:vAlign w:val="center"/>
            <w:hideMark/>
          </w:tcPr>
          <w:p w14:paraId="48BA59A9"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1,874,250</w:t>
            </w:r>
          </w:p>
        </w:tc>
      </w:tr>
      <w:tr w:rsidR="008470CD" w:rsidRPr="008470CD" w14:paraId="48BA59AF"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AB"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Property, plant and equipment</w:t>
            </w:r>
          </w:p>
        </w:tc>
        <w:tc>
          <w:tcPr>
            <w:tcW w:w="1180" w:type="dxa"/>
            <w:tcBorders>
              <w:top w:val="nil"/>
              <w:left w:val="nil"/>
              <w:bottom w:val="double" w:sz="6" w:space="0" w:color="D9D9E2"/>
              <w:right w:val="double" w:sz="6" w:space="0" w:color="D9D9E2"/>
            </w:tcBorders>
            <w:shd w:val="clear" w:color="auto" w:fill="auto"/>
            <w:vAlign w:val="center"/>
            <w:hideMark/>
          </w:tcPr>
          <w:p w14:paraId="48BA59AC"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4,053,590</w:t>
            </w:r>
          </w:p>
        </w:tc>
        <w:tc>
          <w:tcPr>
            <w:tcW w:w="1180" w:type="dxa"/>
            <w:tcBorders>
              <w:top w:val="nil"/>
              <w:left w:val="nil"/>
              <w:bottom w:val="double" w:sz="6" w:space="0" w:color="D9D9E2"/>
              <w:right w:val="double" w:sz="6" w:space="0" w:color="D9D9E2"/>
            </w:tcBorders>
            <w:shd w:val="clear" w:color="auto" w:fill="auto"/>
            <w:vAlign w:val="center"/>
            <w:hideMark/>
          </w:tcPr>
          <w:p w14:paraId="48BA59AD"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3,803,530</w:t>
            </w:r>
          </w:p>
        </w:tc>
        <w:tc>
          <w:tcPr>
            <w:tcW w:w="1180" w:type="dxa"/>
            <w:tcBorders>
              <w:top w:val="nil"/>
              <w:left w:val="nil"/>
              <w:bottom w:val="double" w:sz="6" w:space="0" w:color="D9D9E2"/>
              <w:right w:val="double" w:sz="6" w:space="0" w:color="D9D9E2"/>
            </w:tcBorders>
            <w:shd w:val="clear" w:color="auto" w:fill="auto"/>
            <w:vAlign w:val="center"/>
            <w:hideMark/>
          </w:tcPr>
          <w:p w14:paraId="48BA59AE"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3,574,710</w:t>
            </w:r>
          </w:p>
        </w:tc>
      </w:tr>
      <w:tr w:rsidR="008470CD" w:rsidRPr="008470CD" w14:paraId="48BA59B4"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B0"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Right of use</w:t>
            </w:r>
          </w:p>
        </w:tc>
        <w:tc>
          <w:tcPr>
            <w:tcW w:w="1180" w:type="dxa"/>
            <w:tcBorders>
              <w:top w:val="nil"/>
              <w:left w:val="nil"/>
              <w:bottom w:val="double" w:sz="6" w:space="0" w:color="D9D9E2"/>
              <w:right w:val="double" w:sz="6" w:space="0" w:color="D9D9E2"/>
            </w:tcBorders>
            <w:shd w:val="clear" w:color="auto" w:fill="auto"/>
            <w:vAlign w:val="center"/>
            <w:hideMark/>
          </w:tcPr>
          <w:p w14:paraId="48BA59B1"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w w:val="99"/>
                <w:szCs w:val="24"/>
                <w:lang w:val="en-US"/>
              </w:rPr>
              <w:t>-</w:t>
            </w:r>
          </w:p>
        </w:tc>
        <w:tc>
          <w:tcPr>
            <w:tcW w:w="1180" w:type="dxa"/>
            <w:tcBorders>
              <w:top w:val="nil"/>
              <w:left w:val="nil"/>
              <w:bottom w:val="double" w:sz="6" w:space="0" w:color="D9D9E2"/>
              <w:right w:val="double" w:sz="6" w:space="0" w:color="D9D9E2"/>
            </w:tcBorders>
            <w:shd w:val="clear" w:color="auto" w:fill="auto"/>
            <w:vAlign w:val="center"/>
            <w:hideMark/>
          </w:tcPr>
          <w:p w14:paraId="48BA59B2"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3,100,830</w:t>
            </w:r>
          </w:p>
        </w:tc>
        <w:tc>
          <w:tcPr>
            <w:tcW w:w="1180" w:type="dxa"/>
            <w:tcBorders>
              <w:top w:val="nil"/>
              <w:left w:val="nil"/>
              <w:bottom w:val="double" w:sz="6" w:space="0" w:color="D9D9E2"/>
              <w:right w:val="double" w:sz="6" w:space="0" w:color="D9D9E2"/>
            </w:tcBorders>
            <w:shd w:val="clear" w:color="auto" w:fill="auto"/>
            <w:vAlign w:val="center"/>
            <w:hideMark/>
          </w:tcPr>
          <w:p w14:paraId="48BA59B3"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3,621,810</w:t>
            </w:r>
          </w:p>
        </w:tc>
      </w:tr>
      <w:tr w:rsidR="008470CD" w:rsidRPr="008470CD" w14:paraId="48BA59B9"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B5"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Investments in associates</w:t>
            </w:r>
          </w:p>
        </w:tc>
        <w:tc>
          <w:tcPr>
            <w:tcW w:w="1180" w:type="dxa"/>
            <w:tcBorders>
              <w:top w:val="nil"/>
              <w:left w:val="nil"/>
              <w:bottom w:val="double" w:sz="6" w:space="0" w:color="D9D9E2"/>
              <w:right w:val="double" w:sz="6" w:space="0" w:color="D9D9E2"/>
            </w:tcBorders>
            <w:shd w:val="clear" w:color="auto" w:fill="auto"/>
            <w:vAlign w:val="center"/>
            <w:hideMark/>
          </w:tcPr>
          <w:p w14:paraId="48BA59B6"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77,440</w:t>
            </w:r>
          </w:p>
        </w:tc>
        <w:tc>
          <w:tcPr>
            <w:tcW w:w="1180" w:type="dxa"/>
            <w:tcBorders>
              <w:top w:val="nil"/>
              <w:left w:val="nil"/>
              <w:bottom w:val="double" w:sz="6" w:space="0" w:color="D9D9E2"/>
              <w:right w:val="double" w:sz="6" w:space="0" w:color="D9D9E2"/>
            </w:tcBorders>
            <w:shd w:val="clear" w:color="auto" w:fill="auto"/>
            <w:vAlign w:val="center"/>
            <w:hideMark/>
          </w:tcPr>
          <w:p w14:paraId="48BA59B7"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83,440</w:t>
            </w:r>
          </w:p>
        </w:tc>
        <w:tc>
          <w:tcPr>
            <w:tcW w:w="1180" w:type="dxa"/>
            <w:tcBorders>
              <w:top w:val="nil"/>
              <w:left w:val="nil"/>
              <w:bottom w:val="double" w:sz="6" w:space="0" w:color="D9D9E2"/>
              <w:right w:val="double" w:sz="6" w:space="0" w:color="D9D9E2"/>
            </w:tcBorders>
            <w:shd w:val="clear" w:color="auto" w:fill="auto"/>
            <w:vAlign w:val="center"/>
            <w:hideMark/>
          </w:tcPr>
          <w:p w14:paraId="48BA59B8"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59,850</w:t>
            </w:r>
          </w:p>
        </w:tc>
      </w:tr>
      <w:tr w:rsidR="008470CD" w:rsidRPr="008470CD" w14:paraId="48BA59BE"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BA"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Non-current financial assets</w:t>
            </w:r>
          </w:p>
        </w:tc>
        <w:tc>
          <w:tcPr>
            <w:tcW w:w="1180" w:type="dxa"/>
            <w:tcBorders>
              <w:top w:val="nil"/>
              <w:left w:val="nil"/>
              <w:bottom w:val="double" w:sz="6" w:space="0" w:color="D9D9E2"/>
              <w:right w:val="double" w:sz="6" w:space="0" w:color="D9D9E2"/>
            </w:tcBorders>
            <w:shd w:val="clear" w:color="auto" w:fill="auto"/>
            <w:vAlign w:val="center"/>
            <w:hideMark/>
          </w:tcPr>
          <w:p w14:paraId="48BA59BB"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88,470</w:t>
            </w:r>
          </w:p>
        </w:tc>
        <w:tc>
          <w:tcPr>
            <w:tcW w:w="1180" w:type="dxa"/>
            <w:tcBorders>
              <w:top w:val="nil"/>
              <w:left w:val="nil"/>
              <w:bottom w:val="double" w:sz="6" w:space="0" w:color="D9D9E2"/>
              <w:right w:val="double" w:sz="6" w:space="0" w:color="D9D9E2"/>
            </w:tcBorders>
            <w:shd w:val="clear" w:color="auto" w:fill="auto"/>
            <w:vAlign w:val="center"/>
            <w:hideMark/>
          </w:tcPr>
          <w:p w14:paraId="48BA59BC"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80,970</w:t>
            </w:r>
          </w:p>
        </w:tc>
        <w:tc>
          <w:tcPr>
            <w:tcW w:w="1180" w:type="dxa"/>
            <w:tcBorders>
              <w:top w:val="nil"/>
              <w:left w:val="nil"/>
              <w:bottom w:val="double" w:sz="6" w:space="0" w:color="D9D9E2"/>
              <w:right w:val="double" w:sz="6" w:space="0" w:color="D9D9E2"/>
            </w:tcBorders>
            <w:shd w:val="clear" w:color="auto" w:fill="auto"/>
            <w:vAlign w:val="center"/>
            <w:hideMark/>
          </w:tcPr>
          <w:p w14:paraId="48BA59BD"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77,190</w:t>
            </w:r>
          </w:p>
        </w:tc>
      </w:tr>
      <w:tr w:rsidR="008470CD" w:rsidRPr="008470CD" w14:paraId="48BA59C3"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BF"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Other non-current assets</w:t>
            </w:r>
          </w:p>
        </w:tc>
        <w:tc>
          <w:tcPr>
            <w:tcW w:w="1180" w:type="dxa"/>
            <w:tcBorders>
              <w:top w:val="nil"/>
              <w:left w:val="nil"/>
              <w:bottom w:val="double" w:sz="6" w:space="0" w:color="D9D9E2"/>
              <w:right w:val="double" w:sz="6" w:space="0" w:color="D9D9E2"/>
            </w:tcBorders>
            <w:shd w:val="clear" w:color="auto" w:fill="auto"/>
            <w:vAlign w:val="center"/>
            <w:hideMark/>
          </w:tcPr>
          <w:p w14:paraId="48BA59C0"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w w:val="99"/>
                <w:szCs w:val="24"/>
                <w:lang w:val="en-US"/>
              </w:rPr>
              <w:t>-</w:t>
            </w:r>
          </w:p>
        </w:tc>
        <w:tc>
          <w:tcPr>
            <w:tcW w:w="1180" w:type="dxa"/>
            <w:tcBorders>
              <w:top w:val="nil"/>
              <w:left w:val="nil"/>
              <w:bottom w:val="double" w:sz="6" w:space="0" w:color="D9D9E2"/>
              <w:right w:val="double" w:sz="6" w:space="0" w:color="D9D9E2"/>
            </w:tcBorders>
            <w:shd w:val="clear" w:color="auto" w:fill="auto"/>
            <w:vAlign w:val="center"/>
            <w:hideMark/>
          </w:tcPr>
          <w:p w14:paraId="48BA59C1"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w w:val="99"/>
                <w:szCs w:val="24"/>
                <w:lang w:val="en-US"/>
              </w:rPr>
              <w:t>-</w:t>
            </w:r>
          </w:p>
        </w:tc>
        <w:tc>
          <w:tcPr>
            <w:tcW w:w="1180" w:type="dxa"/>
            <w:tcBorders>
              <w:top w:val="nil"/>
              <w:left w:val="nil"/>
              <w:bottom w:val="double" w:sz="6" w:space="0" w:color="D9D9E2"/>
              <w:right w:val="double" w:sz="6" w:space="0" w:color="D9D9E2"/>
            </w:tcBorders>
            <w:shd w:val="clear" w:color="auto" w:fill="auto"/>
            <w:vAlign w:val="center"/>
            <w:hideMark/>
          </w:tcPr>
          <w:p w14:paraId="48BA59C2"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w w:val="99"/>
                <w:szCs w:val="24"/>
                <w:lang w:val="en-US"/>
              </w:rPr>
              <w:t>-</w:t>
            </w:r>
          </w:p>
        </w:tc>
      </w:tr>
      <w:tr w:rsidR="008470CD" w:rsidRPr="008470CD" w14:paraId="48BA59C8"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C4"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Deferred tax assets</w:t>
            </w:r>
          </w:p>
        </w:tc>
        <w:tc>
          <w:tcPr>
            <w:tcW w:w="1180" w:type="dxa"/>
            <w:tcBorders>
              <w:top w:val="nil"/>
              <w:left w:val="nil"/>
              <w:bottom w:val="double" w:sz="6" w:space="0" w:color="D9D9E2"/>
              <w:right w:val="double" w:sz="6" w:space="0" w:color="D9D9E2"/>
            </w:tcBorders>
            <w:shd w:val="clear" w:color="auto" w:fill="auto"/>
            <w:vAlign w:val="center"/>
            <w:hideMark/>
          </w:tcPr>
          <w:p w14:paraId="48BA59C5"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410,110</w:t>
            </w:r>
          </w:p>
        </w:tc>
        <w:tc>
          <w:tcPr>
            <w:tcW w:w="1180" w:type="dxa"/>
            <w:tcBorders>
              <w:top w:val="nil"/>
              <w:left w:val="nil"/>
              <w:bottom w:val="double" w:sz="6" w:space="0" w:color="D9D9E2"/>
              <w:right w:val="double" w:sz="6" w:space="0" w:color="D9D9E2"/>
            </w:tcBorders>
            <w:shd w:val="clear" w:color="auto" w:fill="auto"/>
            <w:vAlign w:val="center"/>
            <w:hideMark/>
          </w:tcPr>
          <w:p w14:paraId="48BA59C6"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410,450</w:t>
            </w:r>
          </w:p>
        </w:tc>
        <w:tc>
          <w:tcPr>
            <w:tcW w:w="1180" w:type="dxa"/>
            <w:tcBorders>
              <w:top w:val="nil"/>
              <w:left w:val="nil"/>
              <w:bottom w:val="double" w:sz="6" w:space="0" w:color="D9D9E2"/>
              <w:right w:val="double" w:sz="6" w:space="0" w:color="D9D9E2"/>
            </w:tcBorders>
            <w:shd w:val="clear" w:color="auto" w:fill="auto"/>
            <w:vAlign w:val="center"/>
            <w:hideMark/>
          </w:tcPr>
          <w:p w14:paraId="48BA59C7"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602,040</w:t>
            </w:r>
          </w:p>
        </w:tc>
      </w:tr>
      <w:tr w:rsidR="008470CD" w:rsidRPr="008470CD" w14:paraId="48BA59CD" w14:textId="77777777" w:rsidTr="008470CD">
        <w:trPr>
          <w:trHeight w:val="6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C9" w14:textId="77777777" w:rsidR="008470CD" w:rsidRPr="008470CD" w:rsidRDefault="008470CD" w:rsidP="008470CD">
            <w:pPr>
              <w:spacing w:after="0" w:line="240" w:lineRule="auto"/>
              <w:jc w:val="left"/>
              <w:rPr>
                <w:rFonts w:eastAsia="Times New Roman" w:cs="Times New Roman"/>
                <w:b/>
                <w:bCs/>
                <w:color w:val="000000"/>
                <w:szCs w:val="24"/>
                <w:lang w:val="en-US"/>
              </w:rPr>
            </w:pPr>
            <w:r w:rsidRPr="008470CD">
              <w:rPr>
                <w:rFonts w:eastAsia="Times New Roman" w:cs="Times New Roman"/>
                <w:b/>
                <w:bCs/>
                <w:color w:val="000000"/>
                <w:szCs w:val="24"/>
                <w:lang w:val="en-US"/>
              </w:rPr>
              <w:t>TOTAL NON-CURRENT ASSETS</w:t>
            </w:r>
          </w:p>
        </w:tc>
        <w:tc>
          <w:tcPr>
            <w:tcW w:w="1180" w:type="dxa"/>
            <w:tcBorders>
              <w:top w:val="nil"/>
              <w:left w:val="nil"/>
              <w:bottom w:val="double" w:sz="6" w:space="0" w:color="D9D9E2"/>
              <w:right w:val="double" w:sz="6" w:space="0" w:color="D9D9E2"/>
            </w:tcBorders>
            <w:shd w:val="clear" w:color="auto" w:fill="auto"/>
            <w:vAlign w:val="center"/>
            <w:hideMark/>
          </w:tcPr>
          <w:p w14:paraId="48BA59CA" w14:textId="77777777" w:rsidR="008470CD" w:rsidRPr="008470CD" w:rsidRDefault="008470CD" w:rsidP="008470CD">
            <w:pPr>
              <w:spacing w:after="0" w:line="240" w:lineRule="auto"/>
              <w:jc w:val="right"/>
              <w:rPr>
                <w:rFonts w:eastAsia="Times New Roman" w:cs="Times New Roman"/>
                <w:b/>
                <w:bCs/>
                <w:color w:val="000000"/>
                <w:szCs w:val="24"/>
                <w:lang w:val="en-US"/>
              </w:rPr>
            </w:pPr>
            <w:r w:rsidRPr="008470CD">
              <w:rPr>
                <w:rFonts w:eastAsia="Times New Roman" w:cs="Times New Roman"/>
                <w:b/>
                <w:bCs/>
                <w:color w:val="000000"/>
                <w:szCs w:val="24"/>
                <w:lang w:val="en-US"/>
              </w:rPr>
              <w:t>11,049,140</w:t>
            </w:r>
          </w:p>
        </w:tc>
        <w:tc>
          <w:tcPr>
            <w:tcW w:w="1180" w:type="dxa"/>
            <w:tcBorders>
              <w:top w:val="nil"/>
              <w:left w:val="nil"/>
              <w:bottom w:val="double" w:sz="6" w:space="0" w:color="D9D9E2"/>
              <w:right w:val="double" w:sz="6" w:space="0" w:color="D9D9E2"/>
            </w:tcBorders>
            <w:shd w:val="clear" w:color="auto" w:fill="auto"/>
            <w:vAlign w:val="center"/>
            <w:hideMark/>
          </w:tcPr>
          <w:p w14:paraId="48BA59CB" w14:textId="77777777" w:rsidR="008470CD" w:rsidRPr="008470CD" w:rsidRDefault="008470CD" w:rsidP="008470CD">
            <w:pPr>
              <w:spacing w:after="0" w:line="240" w:lineRule="auto"/>
              <w:jc w:val="right"/>
              <w:rPr>
                <w:rFonts w:eastAsia="Times New Roman" w:cs="Times New Roman"/>
                <w:b/>
                <w:bCs/>
                <w:color w:val="000000"/>
                <w:szCs w:val="24"/>
                <w:lang w:val="en-US"/>
              </w:rPr>
            </w:pPr>
            <w:r w:rsidRPr="008470CD">
              <w:rPr>
                <w:rFonts w:eastAsia="Times New Roman" w:cs="Times New Roman"/>
                <w:b/>
                <w:bCs/>
                <w:color w:val="000000"/>
                <w:szCs w:val="24"/>
                <w:lang w:val="en-US"/>
              </w:rPr>
              <w:t>13,955,740</w:t>
            </w:r>
          </w:p>
        </w:tc>
        <w:tc>
          <w:tcPr>
            <w:tcW w:w="1180" w:type="dxa"/>
            <w:tcBorders>
              <w:top w:val="nil"/>
              <w:left w:val="nil"/>
              <w:bottom w:val="double" w:sz="6" w:space="0" w:color="D9D9E2"/>
              <w:right w:val="double" w:sz="6" w:space="0" w:color="D9D9E2"/>
            </w:tcBorders>
            <w:shd w:val="clear" w:color="auto" w:fill="auto"/>
            <w:vAlign w:val="center"/>
            <w:hideMark/>
          </w:tcPr>
          <w:p w14:paraId="48BA59CC" w14:textId="77777777" w:rsidR="008470CD" w:rsidRPr="008470CD" w:rsidRDefault="008470CD" w:rsidP="008470CD">
            <w:pPr>
              <w:spacing w:after="0" w:line="240" w:lineRule="auto"/>
              <w:jc w:val="right"/>
              <w:rPr>
                <w:rFonts w:eastAsia="Times New Roman" w:cs="Times New Roman"/>
                <w:b/>
                <w:bCs/>
                <w:color w:val="000000"/>
                <w:szCs w:val="24"/>
                <w:lang w:val="en-US"/>
              </w:rPr>
            </w:pPr>
            <w:r w:rsidRPr="008470CD">
              <w:rPr>
                <w:rFonts w:eastAsia="Times New Roman" w:cs="Times New Roman"/>
                <w:b/>
                <w:bCs/>
                <w:color w:val="000000"/>
                <w:szCs w:val="24"/>
                <w:lang w:val="en-US"/>
              </w:rPr>
              <w:t>14,368,100</w:t>
            </w:r>
          </w:p>
        </w:tc>
      </w:tr>
      <w:tr w:rsidR="008470CD" w:rsidRPr="008470CD" w14:paraId="48BA59D2"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CE"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Inventories</w:t>
            </w:r>
          </w:p>
        </w:tc>
        <w:tc>
          <w:tcPr>
            <w:tcW w:w="1180" w:type="dxa"/>
            <w:tcBorders>
              <w:top w:val="nil"/>
              <w:left w:val="nil"/>
              <w:bottom w:val="double" w:sz="6" w:space="0" w:color="D9D9E2"/>
              <w:right w:val="double" w:sz="6" w:space="0" w:color="D9D9E2"/>
            </w:tcBorders>
            <w:shd w:val="clear" w:color="auto" w:fill="auto"/>
            <w:vAlign w:val="center"/>
            <w:hideMark/>
          </w:tcPr>
          <w:p w14:paraId="48BA59CF"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35,230</w:t>
            </w:r>
          </w:p>
        </w:tc>
        <w:tc>
          <w:tcPr>
            <w:tcW w:w="1180" w:type="dxa"/>
            <w:tcBorders>
              <w:top w:val="nil"/>
              <w:left w:val="nil"/>
              <w:bottom w:val="double" w:sz="6" w:space="0" w:color="D9D9E2"/>
              <w:right w:val="double" w:sz="6" w:space="0" w:color="D9D9E2"/>
            </w:tcBorders>
            <w:shd w:val="clear" w:color="auto" w:fill="auto"/>
            <w:vAlign w:val="center"/>
            <w:hideMark/>
          </w:tcPr>
          <w:p w14:paraId="48BA59D0"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36,350</w:t>
            </w:r>
          </w:p>
        </w:tc>
        <w:tc>
          <w:tcPr>
            <w:tcW w:w="1180" w:type="dxa"/>
            <w:tcBorders>
              <w:top w:val="nil"/>
              <w:left w:val="nil"/>
              <w:bottom w:val="double" w:sz="6" w:space="0" w:color="D9D9E2"/>
              <w:right w:val="double" w:sz="6" w:space="0" w:color="D9D9E2"/>
            </w:tcBorders>
            <w:shd w:val="clear" w:color="auto" w:fill="auto"/>
            <w:vAlign w:val="center"/>
            <w:hideMark/>
          </w:tcPr>
          <w:p w14:paraId="48BA59D1"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29,470</w:t>
            </w:r>
          </w:p>
        </w:tc>
      </w:tr>
      <w:tr w:rsidR="008470CD" w:rsidRPr="008470CD" w14:paraId="48BA59D7"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D3"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Trade receivables</w:t>
            </w:r>
          </w:p>
        </w:tc>
        <w:tc>
          <w:tcPr>
            <w:tcW w:w="1180" w:type="dxa"/>
            <w:tcBorders>
              <w:top w:val="nil"/>
              <w:left w:val="nil"/>
              <w:bottom w:val="double" w:sz="6" w:space="0" w:color="D9D9E2"/>
              <w:right w:val="double" w:sz="6" w:space="0" w:color="D9D9E2"/>
            </w:tcBorders>
            <w:shd w:val="clear" w:color="auto" w:fill="auto"/>
            <w:vAlign w:val="center"/>
            <w:hideMark/>
          </w:tcPr>
          <w:p w14:paraId="48BA59D4"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691,380</w:t>
            </w:r>
          </w:p>
        </w:tc>
        <w:tc>
          <w:tcPr>
            <w:tcW w:w="1180" w:type="dxa"/>
            <w:tcBorders>
              <w:top w:val="nil"/>
              <w:left w:val="nil"/>
              <w:bottom w:val="double" w:sz="6" w:space="0" w:color="D9D9E2"/>
              <w:right w:val="double" w:sz="6" w:space="0" w:color="D9D9E2"/>
            </w:tcBorders>
            <w:shd w:val="clear" w:color="auto" w:fill="auto"/>
            <w:vAlign w:val="center"/>
            <w:hideMark/>
          </w:tcPr>
          <w:p w14:paraId="48BA59D5"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792,450</w:t>
            </w:r>
          </w:p>
        </w:tc>
        <w:tc>
          <w:tcPr>
            <w:tcW w:w="1180" w:type="dxa"/>
            <w:tcBorders>
              <w:top w:val="nil"/>
              <w:left w:val="nil"/>
              <w:bottom w:val="double" w:sz="6" w:space="0" w:color="D9D9E2"/>
              <w:right w:val="double" w:sz="6" w:space="0" w:color="D9D9E2"/>
            </w:tcBorders>
            <w:shd w:val="clear" w:color="auto" w:fill="auto"/>
            <w:vAlign w:val="center"/>
            <w:hideMark/>
          </w:tcPr>
          <w:p w14:paraId="48BA59D6"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479,180</w:t>
            </w:r>
          </w:p>
        </w:tc>
      </w:tr>
      <w:tr w:rsidR="008470CD" w:rsidRPr="008470CD" w14:paraId="48BA59DC"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D8"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Current tax assets</w:t>
            </w:r>
          </w:p>
        </w:tc>
        <w:tc>
          <w:tcPr>
            <w:tcW w:w="1180" w:type="dxa"/>
            <w:tcBorders>
              <w:top w:val="nil"/>
              <w:left w:val="nil"/>
              <w:bottom w:val="double" w:sz="6" w:space="0" w:color="D9D9E2"/>
              <w:right w:val="double" w:sz="6" w:space="0" w:color="D9D9E2"/>
            </w:tcBorders>
            <w:shd w:val="clear" w:color="auto" w:fill="auto"/>
            <w:vAlign w:val="center"/>
            <w:hideMark/>
          </w:tcPr>
          <w:p w14:paraId="48BA59D9"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158,730</w:t>
            </w:r>
          </w:p>
        </w:tc>
        <w:tc>
          <w:tcPr>
            <w:tcW w:w="1180" w:type="dxa"/>
            <w:tcBorders>
              <w:top w:val="nil"/>
              <w:left w:val="nil"/>
              <w:bottom w:val="double" w:sz="6" w:space="0" w:color="D9D9E2"/>
              <w:right w:val="double" w:sz="6" w:space="0" w:color="D9D9E2"/>
            </w:tcBorders>
            <w:shd w:val="clear" w:color="auto" w:fill="auto"/>
            <w:vAlign w:val="center"/>
            <w:hideMark/>
          </w:tcPr>
          <w:p w14:paraId="48BA59DA"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141,310</w:t>
            </w:r>
          </w:p>
        </w:tc>
        <w:tc>
          <w:tcPr>
            <w:tcW w:w="1180" w:type="dxa"/>
            <w:tcBorders>
              <w:top w:val="nil"/>
              <w:left w:val="nil"/>
              <w:bottom w:val="double" w:sz="6" w:space="0" w:color="D9D9E2"/>
              <w:right w:val="double" w:sz="6" w:space="0" w:color="D9D9E2"/>
            </w:tcBorders>
            <w:shd w:val="clear" w:color="auto" w:fill="auto"/>
            <w:vAlign w:val="center"/>
            <w:hideMark/>
          </w:tcPr>
          <w:p w14:paraId="48BA59DB"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73,490</w:t>
            </w:r>
          </w:p>
        </w:tc>
      </w:tr>
      <w:tr w:rsidR="008470CD" w:rsidRPr="008470CD" w14:paraId="48BA59E1"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DD"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Other receivables</w:t>
            </w:r>
          </w:p>
        </w:tc>
        <w:tc>
          <w:tcPr>
            <w:tcW w:w="1180" w:type="dxa"/>
            <w:tcBorders>
              <w:top w:val="nil"/>
              <w:left w:val="nil"/>
              <w:bottom w:val="double" w:sz="6" w:space="0" w:color="D9D9E2"/>
              <w:right w:val="double" w:sz="6" w:space="0" w:color="D9D9E2"/>
            </w:tcBorders>
            <w:shd w:val="clear" w:color="auto" w:fill="auto"/>
            <w:vAlign w:val="center"/>
            <w:hideMark/>
          </w:tcPr>
          <w:p w14:paraId="48BA59DE"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215,050</w:t>
            </w:r>
          </w:p>
        </w:tc>
        <w:tc>
          <w:tcPr>
            <w:tcW w:w="1180" w:type="dxa"/>
            <w:tcBorders>
              <w:top w:val="nil"/>
              <w:left w:val="nil"/>
              <w:bottom w:val="double" w:sz="6" w:space="0" w:color="D9D9E2"/>
              <w:right w:val="double" w:sz="6" w:space="0" w:color="D9D9E2"/>
            </w:tcBorders>
            <w:shd w:val="clear" w:color="auto" w:fill="auto"/>
            <w:vAlign w:val="center"/>
            <w:hideMark/>
          </w:tcPr>
          <w:p w14:paraId="48BA59DF"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236,540</w:t>
            </w:r>
          </w:p>
        </w:tc>
        <w:tc>
          <w:tcPr>
            <w:tcW w:w="1180" w:type="dxa"/>
            <w:tcBorders>
              <w:top w:val="nil"/>
              <w:left w:val="nil"/>
              <w:bottom w:val="double" w:sz="6" w:space="0" w:color="D9D9E2"/>
              <w:right w:val="double" w:sz="6" w:space="0" w:color="D9D9E2"/>
            </w:tcBorders>
            <w:shd w:val="clear" w:color="auto" w:fill="auto"/>
            <w:vAlign w:val="center"/>
            <w:hideMark/>
          </w:tcPr>
          <w:p w14:paraId="48BA59E0"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291,270</w:t>
            </w:r>
          </w:p>
        </w:tc>
      </w:tr>
      <w:tr w:rsidR="008470CD" w:rsidRPr="008470CD" w14:paraId="48BA59E6"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E2"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Current financial assets</w:t>
            </w:r>
          </w:p>
        </w:tc>
        <w:tc>
          <w:tcPr>
            <w:tcW w:w="1180" w:type="dxa"/>
            <w:tcBorders>
              <w:top w:val="nil"/>
              <w:left w:val="nil"/>
              <w:bottom w:val="double" w:sz="6" w:space="0" w:color="D9D9E2"/>
              <w:right w:val="double" w:sz="6" w:space="0" w:color="D9D9E2"/>
            </w:tcBorders>
            <w:shd w:val="clear" w:color="auto" w:fill="auto"/>
            <w:vAlign w:val="center"/>
            <w:hideMark/>
          </w:tcPr>
          <w:p w14:paraId="48BA59E3"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50,980</w:t>
            </w:r>
          </w:p>
        </w:tc>
        <w:tc>
          <w:tcPr>
            <w:tcW w:w="1180" w:type="dxa"/>
            <w:tcBorders>
              <w:top w:val="nil"/>
              <w:left w:val="nil"/>
              <w:bottom w:val="double" w:sz="6" w:space="0" w:color="D9D9E2"/>
              <w:right w:val="double" w:sz="6" w:space="0" w:color="D9D9E2"/>
            </w:tcBorders>
            <w:shd w:val="clear" w:color="auto" w:fill="auto"/>
            <w:vAlign w:val="center"/>
            <w:hideMark/>
          </w:tcPr>
          <w:p w14:paraId="48BA59E4"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117,050</w:t>
            </w:r>
          </w:p>
        </w:tc>
        <w:tc>
          <w:tcPr>
            <w:tcW w:w="1180" w:type="dxa"/>
            <w:tcBorders>
              <w:top w:val="nil"/>
              <w:left w:val="nil"/>
              <w:bottom w:val="double" w:sz="6" w:space="0" w:color="D9D9E2"/>
              <w:right w:val="double" w:sz="6" w:space="0" w:color="D9D9E2"/>
            </w:tcBorders>
            <w:shd w:val="clear" w:color="auto" w:fill="auto"/>
            <w:vAlign w:val="center"/>
            <w:hideMark/>
          </w:tcPr>
          <w:p w14:paraId="48BA59E5"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116,950</w:t>
            </w:r>
          </w:p>
        </w:tc>
      </w:tr>
      <w:tr w:rsidR="008470CD" w:rsidRPr="008470CD" w14:paraId="48BA59EB"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E7"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Cash and cash equivalents</w:t>
            </w:r>
          </w:p>
        </w:tc>
        <w:tc>
          <w:tcPr>
            <w:tcW w:w="1180" w:type="dxa"/>
            <w:tcBorders>
              <w:top w:val="nil"/>
              <w:left w:val="nil"/>
              <w:bottom w:val="double" w:sz="6" w:space="0" w:color="D9D9E2"/>
              <w:right w:val="double" w:sz="6" w:space="0" w:color="D9D9E2"/>
            </w:tcBorders>
            <w:shd w:val="clear" w:color="auto" w:fill="auto"/>
            <w:vAlign w:val="center"/>
            <w:hideMark/>
          </w:tcPr>
          <w:p w14:paraId="48BA59E8"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740,590</w:t>
            </w:r>
          </w:p>
        </w:tc>
        <w:tc>
          <w:tcPr>
            <w:tcW w:w="1180" w:type="dxa"/>
            <w:tcBorders>
              <w:top w:val="nil"/>
              <w:left w:val="nil"/>
              <w:bottom w:val="double" w:sz="6" w:space="0" w:color="D9D9E2"/>
              <w:right w:val="double" w:sz="6" w:space="0" w:color="D9D9E2"/>
            </w:tcBorders>
            <w:shd w:val="clear" w:color="auto" w:fill="auto"/>
            <w:vAlign w:val="center"/>
            <w:hideMark/>
          </w:tcPr>
          <w:p w14:paraId="48BA59E9"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641,620</w:t>
            </w:r>
          </w:p>
        </w:tc>
        <w:tc>
          <w:tcPr>
            <w:tcW w:w="1180" w:type="dxa"/>
            <w:tcBorders>
              <w:top w:val="nil"/>
              <w:left w:val="nil"/>
              <w:bottom w:val="double" w:sz="6" w:space="0" w:color="D9D9E2"/>
              <w:right w:val="double" w:sz="6" w:space="0" w:color="D9D9E2"/>
            </w:tcBorders>
            <w:shd w:val="clear" w:color="auto" w:fill="auto"/>
            <w:vAlign w:val="center"/>
            <w:hideMark/>
          </w:tcPr>
          <w:p w14:paraId="48BA59EA"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295,510</w:t>
            </w:r>
          </w:p>
        </w:tc>
      </w:tr>
      <w:tr w:rsidR="008470CD" w:rsidRPr="008470CD" w14:paraId="48BA59F0"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EC" w14:textId="77777777" w:rsidR="008470CD" w:rsidRPr="008470CD" w:rsidRDefault="008470CD" w:rsidP="008470CD">
            <w:pPr>
              <w:spacing w:after="0" w:line="240" w:lineRule="auto"/>
              <w:jc w:val="left"/>
              <w:rPr>
                <w:rFonts w:eastAsia="Times New Roman" w:cs="Times New Roman"/>
                <w:b/>
                <w:bCs/>
                <w:color w:val="000000"/>
                <w:szCs w:val="24"/>
                <w:lang w:val="en-US"/>
              </w:rPr>
            </w:pPr>
            <w:r w:rsidRPr="008470CD">
              <w:rPr>
                <w:rFonts w:eastAsia="Times New Roman" w:cs="Times New Roman"/>
                <w:b/>
                <w:bCs/>
                <w:color w:val="000000"/>
                <w:szCs w:val="24"/>
                <w:lang w:val="en-US"/>
              </w:rPr>
              <w:t>TOTAL CURRENT ASSETS</w:t>
            </w:r>
          </w:p>
        </w:tc>
        <w:tc>
          <w:tcPr>
            <w:tcW w:w="1180" w:type="dxa"/>
            <w:tcBorders>
              <w:top w:val="nil"/>
              <w:left w:val="nil"/>
              <w:bottom w:val="double" w:sz="6" w:space="0" w:color="D9D9E2"/>
              <w:right w:val="double" w:sz="6" w:space="0" w:color="D9D9E2"/>
            </w:tcBorders>
            <w:shd w:val="clear" w:color="auto" w:fill="auto"/>
            <w:vAlign w:val="center"/>
            <w:hideMark/>
          </w:tcPr>
          <w:p w14:paraId="48BA59ED" w14:textId="77777777" w:rsidR="008470CD" w:rsidRPr="008470CD" w:rsidRDefault="008470CD" w:rsidP="008470CD">
            <w:pPr>
              <w:spacing w:after="0" w:line="240" w:lineRule="auto"/>
              <w:jc w:val="right"/>
              <w:rPr>
                <w:rFonts w:eastAsia="Times New Roman" w:cs="Times New Roman"/>
                <w:b/>
                <w:bCs/>
                <w:color w:val="000000"/>
                <w:szCs w:val="24"/>
                <w:lang w:val="en-US"/>
              </w:rPr>
            </w:pPr>
            <w:r w:rsidRPr="008470CD">
              <w:rPr>
                <w:rFonts w:eastAsia="Times New Roman" w:cs="Times New Roman"/>
                <w:b/>
                <w:bCs/>
                <w:color w:val="000000"/>
                <w:szCs w:val="24"/>
                <w:lang w:val="en-US"/>
              </w:rPr>
              <w:t>1,891,970</w:t>
            </w:r>
          </w:p>
        </w:tc>
        <w:tc>
          <w:tcPr>
            <w:tcW w:w="1180" w:type="dxa"/>
            <w:tcBorders>
              <w:top w:val="nil"/>
              <w:left w:val="nil"/>
              <w:bottom w:val="double" w:sz="6" w:space="0" w:color="D9D9E2"/>
              <w:right w:val="double" w:sz="6" w:space="0" w:color="D9D9E2"/>
            </w:tcBorders>
            <w:shd w:val="clear" w:color="auto" w:fill="auto"/>
            <w:vAlign w:val="center"/>
            <w:hideMark/>
          </w:tcPr>
          <w:p w14:paraId="48BA59EE" w14:textId="77777777" w:rsidR="008470CD" w:rsidRPr="008470CD" w:rsidRDefault="008470CD" w:rsidP="008470CD">
            <w:pPr>
              <w:spacing w:after="0" w:line="240" w:lineRule="auto"/>
              <w:jc w:val="right"/>
              <w:rPr>
                <w:rFonts w:eastAsia="Times New Roman" w:cs="Times New Roman"/>
                <w:b/>
                <w:bCs/>
                <w:color w:val="000000"/>
                <w:szCs w:val="24"/>
                <w:lang w:val="en-US"/>
              </w:rPr>
            </w:pPr>
            <w:r w:rsidRPr="008470CD">
              <w:rPr>
                <w:rFonts w:eastAsia="Times New Roman" w:cs="Times New Roman"/>
                <w:b/>
                <w:bCs/>
                <w:color w:val="000000"/>
                <w:szCs w:val="24"/>
                <w:lang w:val="en-US"/>
              </w:rPr>
              <w:t>1,965,340</w:t>
            </w:r>
          </w:p>
        </w:tc>
        <w:tc>
          <w:tcPr>
            <w:tcW w:w="1180" w:type="dxa"/>
            <w:tcBorders>
              <w:top w:val="nil"/>
              <w:left w:val="nil"/>
              <w:bottom w:val="double" w:sz="6" w:space="0" w:color="D9D9E2"/>
              <w:right w:val="double" w:sz="6" w:space="0" w:color="D9D9E2"/>
            </w:tcBorders>
            <w:shd w:val="clear" w:color="auto" w:fill="auto"/>
            <w:vAlign w:val="center"/>
            <w:hideMark/>
          </w:tcPr>
          <w:p w14:paraId="48BA59EF" w14:textId="77777777" w:rsidR="008470CD" w:rsidRPr="008470CD" w:rsidRDefault="008470CD" w:rsidP="008470CD">
            <w:pPr>
              <w:spacing w:after="0" w:line="240" w:lineRule="auto"/>
              <w:jc w:val="right"/>
              <w:rPr>
                <w:rFonts w:eastAsia="Times New Roman" w:cs="Times New Roman"/>
                <w:b/>
                <w:bCs/>
                <w:color w:val="000000"/>
                <w:szCs w:val="24"/>
                <w:lang w:val="en-US"/>
              </w:rPr>
            </w:pPr>
            <w:r w:rsidRPr="008470CD">
              <w:rPr>
                <w:rFonts w:eastAsia="Times New Roman" w:cs="Times New Roman"/>
                <w:b/>
                <w:bCs/>
                <w:color w:val="000000"/>
                <w:szCs w:val="24"/>
                <w:lang w:val="en-US"/>
              </w:rPr>
              <w:t>1,285,880</w:t>
            </w:r>
          </w:p>
        </w:tc>
      </w:tr>
      <w:tr w:rsidR="008470CD" w:rsidRPr="008470CD" w14:paraId="48BA59F5"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F1" w14:textId="77777777" w:rsidR="008470CD" w:rsidRPr="008470CD" w:rsidRDefault="008470CD" w:rsidP="008470CD">
            <w:pPr>
              <w:spacing w:after="0" w:line="240" w:lineRule="auto"/>
              <w:jc w:val="left"/>
              <w:rPr>
                <w:rFonts w:eastAsia="Times New Roman" w:cs="Times New Roman"/>
                <w:b/>
                <w:bCs/>
                <w:color w:val="000000"/>
                <w:szCs w:val="24"/>
                <w:lang w:val="en-US"/>
              </w:rPr>
            </w:pPr>
            <w:r w:rsidRPr="008470CD">
              <w:rPr>
                <w:rFonts w:eastAsia="Times New Roman" w:cs="Times New Roman"/>
                <w:b/>
                <w:bCs/>
                <w:color w:val="000000"/>
                <w:szCs w:val="24"/>
                <w:lang w:val="en-US"/>
              </w:rPr>
              <w:t>TOTAL ASSETS</w:t>
            </w:r>
          </w:p>
        </w:tc>
        <w:tc>
          <w:tcPr>
            <w:tcW w:w="1180" w:type="dxa"/>
            <w:tcBorders>
              <w:top w:val="nil"/>
              <w:left w:val="nil"/>
              <w:bottom w:val="double" w:sz="6" w:space="0" w:color="D9D9E2"/>
              <w:right w:val="double" w:sz="6" w:space="0" w:color="D9D9E2"/>
            </w:tcBorders>
            <w:shd w:val="clear" w:color="auto" w:fill="auto"/>
            <w:vAlign w:val="center"/>
            <w:hideMark/>
          </w:tcPr>
          <w:p w14:paraId="48BA59F2" w14:textId="77777777" w:rsidR="008470CD" w:rsidRPr="008470CD" w:rsidRDefault="008470CD" w:rsidP="008470CD">
            <w:pPr>
              <w:spacing w:after="0" w:line="240" w:lineRule="auto"/>
              <w:jc w:val="right"/>
              <w:rPr>
                <w:rFonts w:eastAsia="Times New Roman" w:cs="Times New Roman"/>
                <w:b/>
                <w:bCs/>
                <w:color w:val="000000"/>
                <w:szCs w:val="24"/>
                <w:lang w:val="en-US"/>
              </w:rPr>
            </w:pPr>
            <w:r w:rsidRPr="008470CD">
              <w:rPr>
                <w:rFonts w:eastAsia="Times New Roman" w:cs="Times New Roman"/>
                <w:b/>
                <w:bCs/>
                <w:color w:val="000000"/>
                <w:szCs w:val="24"/>
                <w:lang w:val="en-US"/>
              </w:rPr>
              <w:t>12,941,110</w:t>
            </w:r>
          </w:p>
        </w:tc>
        <w:tc>
          <w:tcPr>
            <w:tcW w:w="1180" w:type="dxa"/>
            <w:tcBorders>
              <w:top w:val="nil"/>
              <w:left w:val="nil"/>
              <w:bottom w:val="double" w:sz="6" w:space="0" w:color="D9D9E2"/>
              <w:right w:val="double" w:sz="6" w:space="0" w:color="D9D9E2"/>
            </w:tcBorders>
            <w:shd w:val="clear" w:color="auto" w:fill="auto"/>
            <w:vAlign w:val="center"/>
            <w:hideMark/>
          </w:tcPr>
          <w:p w14:paraId="48BA59F3" w14:textId="77777777" w:rsidR="008470CD" w:rsidRPr="008470CD" w:rsidRDefault="008470CD" w:rsidP="008470CD">
            <w:pPr>
              <w:spacing w:after="0" w:line="240" w:lineRule="auto"/>
              <w:jc w:val="right"/>
              <w:rPr>
                <w:rFonts w:eastAsia="Times New Roman" w:cs="Times New Roman"/>
                <w:b/>
                <w:bCs/>
                <w:color w:val="000000"/>
                <w:szCs w:val="24"/>
                <w:lang w:val="en-US"/>
              </w:rPr>
            </w:pPr>
            <w:r w:rsidRPr="008470CD">
              <w:rPr>
                <w:rFonts w:eastAsia="Times New Roman" w:cs="Times New Roman"/>
                <w:b/>
                <w:bCs/>
                <w:color w:val="000000"/>
                <w:szCs w:val="24"/>
                <w:lang w:val="en-US"/>
              </w:rPr>
              <w:t>15,921,080</w:t>
            </w:r>
          </w:p>
        </w:tc>
        <w:tc>
          <w:tcPr>
            <w:tcW w:w="1180" w:type="dxa"/>
            <w:tcBorders>
              <w:top w:val="nil"/>
              <w:left w:val="nil"/>
              <w:bottom w:val="double" w:sz="6" w:space="0" w:color="D9D9E2"/>
              <w:right w:val="double" w:sz="6" w:space="0" w:color="D9D9E2"/>
            </w:tcBorders>
            <w:shd w:val="clear" w:color="auto" w:fill="auto"/>
            <w:vAlign w:val="center"/>
            <w:hideMark/>
          </w:tcPr>
          <w:p w14:paraId="48BA59F4" w14:textId="77777777" w:rsidR="008470CD" w:rsidRPr="008470CD" w:rsidRDefault="008470CD" w:rsidP="008470CD">
            <w:pPr>
              <w:spacing w:after="0" w:line="240" w:lineRule="auto"/>
              <w:jc w:val="right"/>
              <w:rPr>
                <w:rFonts w:eastAsia="Times New Roman" w:cs="Times New Roman"/>
                <w:b/>
                <w:bCs/>
                <w:color w:val="000000"/>
                <w:szCs w:val="24"/>
                <w:lang w:val="en-US"/>
              </w:rPr>
            </w:pPr>
            <w:r w:rsidRPr="008470CD">
              <w:rPr>
                <w:rFonts w:eastAsia="Times New Roman" w:cs="Times New Roman"/>
                <w:b/>
                <w:bCs/>
                <w:color w:val="000000"/>
                <w:szCs w:val="24"/>
                <w:lang w:val="en-US"/>
              </w:rPr>
              <w:t>15,653,970</w:t>
            </w:r>
          </w:p>
        </w:tc>
      </w:tr>
      <w:tr w:rsidR="008470CD" w:rsidRPr="008470CD" w14:paraId="48BA59FA"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F6"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Share capital</w:t>
            </w:r>
          </w:p>
        </w:tc>
        <w:tc>
          <w:tcPr>
            <w:tcW w:w="1180" w:type="dxa"/>
            <w:tcBorders>
              <w:top w:val="nil"/>
              <w:left w:val="nil"/>
              <w:bottom w:val="double" w:sz="6" w:space="0" w:color="D9D9E2"/>
              <w:right w:val="double" w:sz="6" w:space="0" w:color="D9D9E2"/>
            </w:tcBorders>
            <w:shd w:val="clear" w:color="auto" w:fill="auto"/>
            <w:vAlign w:val="center"/>
            <w:hideMark/>
          </w:tcPr>
          <w:p w14:paraId="48BA59F7"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2,620,370</w:t>
            </w:r>
          </w:p>
        </w:tc>
        <w:tc>
          <w:tcPr>
            <w:tcW w:w="1180" w:type="dxa"/>
            <w:tcBorders>
              <w:top w:val="nil"/>
              <w:left w:val="nil"/>
              <w:bottom w:val="double" w:sz="6" w:space="0" w:color="D9D9E2"/>
              <w:right w:val="double" w:sz="6" w:space="0" w:color="D9D9E2"/>
            </w:tcBorders>
            <w:shd w:val="clear" w:color="auto" w:fill="auto"/>
            <w:vAlign w:val="center"/>
            <w:hideMark/>
          </w:tcPr>
          <w:p w14:paraId="48BA59F8"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2,620,370</w:t>
            </w:r>
          </w:p>
        </w:tc>
        <w:tc>
          <w:tcPr>
            <w:tcW w:w="1180" w:type="dxa"/>
            <w:tcBorders>
              <w:top w:val="nil"/>
              <w:left w:val="nil"/>
              <w:bottom w:val="double" w:sz="6" w:space="0" w:color="D9D9E2"/>
              <w:right w:val="double" w:sz="6" w:space="0" w:color="D9D9E2"/>
            </w:tcBorders>
            <w:shd w:val="clear" w:color="auto" w:fill="auto"/>
            <w:vAlign w:val="center"/>
            <w:hideMark/>
          </w:tcPr>
          <w:p w14:paraId="48BA59F9"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2,620,370</w:t>
            </w:r>
          </w:p>
        </w:tc>
      </w:tr>
      <w:tr w:rsidR="008470CD" w:rsidRPr="008470CD" w14:paraId="48BA59FF" w14:textId="77777777" w:rsidTr="008470CD">
        <w:trPr>
          <w:trHeight w:val="60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9FB"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Retained earnings and other reserves</w:t>
            </w:r>
          </w:p>
        </w:tc>
        <w:tc>
          <w:tcPr>
            <w:tcW w:w="1180" w:type="dxa"/>
            <w:tcBorders>
              <w:top w:val="nil"/>
              <w:left w:val="nil"/>
              <w:bottom w:val="double" w:sz="6" w:space="0" w:color="D9D9E2"/>
              <w:right w:val="double" w:sz="6" w:space="0" w:color="D9D9E2"/>
            </w:tcBorders>
            <w:shd w:val="clear" w:color="auto" w:fill="auto"/>
            <w:vAlign w:val="center"/>
            <w:hideMark/>
          </w:tcPr>
          <w:p w14:paraId="48BA59FC"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-801,550</w:t>
            </w:r>
          </w:p>
        </w:tc>
        <w:tc>
          <w:tcPr>
            <w:tcW w:w="1180" w:type="dxa"/>
            <w:tcBorders>
              <w:top w:val="nil"/>
              <w:left w:val="nil"/>
              <w:bottom w:val="double" w:sz="6" w:space="0" w:color="D9D9E2"/>
              <w:right w:val="double" w:sz="6" w:space="0" w:color="D9D9E2"/>
            </w:tcBorders>
            <w:shd w:val="clear" w:color="auto" w:fill="auto"/>
            <w:vAlign w:val="center"/>
            <w:hideMark/>
          </w:tcPr>
          <w:p w14:paraId="48BA59FD"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-452,820</w:t>
            </w:r>
          </w:p>
        </w:tc>
        <w:tc>
          <w:tcPr>
            <w:tcW w:w="1180" w:type="dxa"/>
            <w:tcBorders>
              <w:top w:val="nil"/>
              <w:left w:val="nil"/>
              <w:bottom w:val="double" w:sz="6" w:space="0" w:color="D9D9E2"/>
              <w:right w:val="double" w:sz="6" w:space="0" w:color="D9D9E2"/>
            </w:tcBorders>
            <w:shd w:val="clear" w:color="auto" w:fill="auto"/>
            <w:vAlign w:val="center"/>
            <w:hideMark/>
          </w:tcPr>
          <w:p w14:paraId="48BA59FE"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-151,050</w:t>
            </w:r>
          </w:p>
        </w:tc>
      </w:tr>
      <w:tr w:rsidR="008470CD" w:rsidRPr="008470CD" w14:paraId="48BA5A04"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A00"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Net income for the year</w:t>
            </w:r>
          </w:p>
        </w:tc>
        <w:tc>
          <w:tcPr>
            <w:tcW w:w="1180" w:type="dxa"/>
            <w:tcBorders>
              <w:top w:val="nil"/>
              <w:left w:val="nil"/>
              <w:bottom w:val="double" w:sz="6" w:space="0" w:color="D9D9E2"/>
              <w:right w:val="double" w:sz="6" w:space="0" w:color="D9D9E2"/>
            </w:tcBorders>
            <w:shd w:val="clear" w:color="auto" w:fill="auto"/>
            <w:vAlign w:val="center"/>
            <w:hideMark/>
          </w:tcPr>
          <w:p w14:paraId="48BA5A01"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333,930</w:t>
            </w:r>
          </w:p>
        </w:tc>
        <w:tc>
          <w:tcPr>
            <w:tcW w:w="1180" w:type="dxa"/>
            <w:tcBorders>
              <w:top w:val="nil"/>
              <w:left w:val="nil"/>
              <w:bottom w:val="double" w:sz="6" w:space="0" w:color="D9D9E2"/>
              <w:right w:val="double" w:sz="6" w:space="0" w:color="D9D9E2"/>
            </w:tcBorders>
            <w:shd w:val="clear" w:color="auto" w:fill="auto"/>
            <w:vAlign w:val="center"/>
            <w:hideMark/>
          </w:tcPr>
          <w:p w14:paraId="48BA5A02"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304,650</w:t>
            </w:r>
          </w:p>
        </w:tc>
        <w:tc>
          <w:tcPr>
            <w:tcW w:w="1180" w:type="dxa"/>
            <w:tcBorders>
              <w:top w:val="nil"/>
              <w:left w:val="nil"/>
              <w:bottom w:val="double" w:sz="6" w:space="0" w:color="D9D9E2"/>
              <w:right w:val="double" w:sz="6" w:space="0" w:color="D9D9E2"/>
            </w:tcBorders>
            <w:shd w:val="clear" w:color="auto" w:fill="auto"/>
            <w:vAlign w:val="center"/>
            <w:hideMark/>
          </w:tcPr>
          <w:p w14:paraId="48BA5A03"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-1,134,950</w:t>
            </w:r>
          </w:p>
        </w:tc>
      </w:tr>
      <w:tr w:rsidR="008470CD" w:rsidRPr="008470CD" w14:paraId="48BA5A09"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A05" w14:textId="77777777" w:rsidR="008470CD" w:rsidRPr="008470CD" w:rsidRDefault="008470CD" w:rsidP="008470CD">
            <w:pPr>
              <w:spacing w:after="0" w:line="240" w:lineRule="auto"/>
              <w:jc w:val="left"/>
              <w:rPr>
                <w:rFonts w:eastAsia="Times New Roman" w:cs="Times New Roman"/>
                <w:b/>
                <w:bCs/>
                <w:color w:val="000000"/>
                <w:szCs w:val="24"/>
                <w:lang w:val="en-US"/>
              </w:rPr>
            </w:pPr>
            <w:r w:rsidRPr="008470CD">
              <w:rPr>
                <w:rFonts w:eastAsia="Times New Roman" w:cs="Times New Roman"/>
                <w:b/>
                <w:bCs/>
                <w:color w:val="000000"/>
                <w:szCs w:val="24"/>
                <w:lang w:val="en-US"/>
              </w:rPr>
              <w:t>OWNERS EQUITY</w:t>
            </w:r>
          </w:p>
        </w:tc>
        <w:tc>
          <w:tcPr>
            <w:tcW w:w="1180" w:type="dxa"/>
            <w:tcBorders>
              <w:top w:val="nil"/>
              <w:left w:val="nil"/>
              <w:bottom w:val="double" w:sz="6" w:space="0" w:color="D9D9E2"/>
              <w:right w:val="double" w:sz="6" w:space="0" w:color="D9D9E2"/>
            </w:tcBorders>
            <w:shd w:val="clear" w:color="auto" w:fill="auto"/>
            <w:vAlign w:val="center"/>
            <w:hideMark/>
          </w:tcPr>
          <w:p w14:paraId="48BA5A06" w14:textId="77777777" w:rsidR="008470CD" w:rsidRPr="008470CD" w:rsidRDefault="008470CD" w:rsidP="008470CD">
            <w:pPr>
              <w:spacing w:after="0" w:line="240" w:lineRule="auto"/>
              <w:jc w:val="right"/>
              <w:rPr>
                <w:rFonts w:eastAsia="Times New Roman" w:cs="Times New Roman"/>
                <w:b/>
                <w:bCs/>
                <w:color w:val="000000"/>
                <w:szCs w:val="24"/>
                <w:lang w:val="en-US"/>
              </w:rPr>
            </w:pPr>
            <w:r w:rsidRPr="008470CD">
              <w:rPr>
                <w:rFonts w:eastAsia="Times New Roman" w:cs="Times New Roman"/>
                <w:b/>
                <w:bCs/>
                <w:color w:val="000000"/>
                <w:szCs w:val="24"/>
                <w:lang w:val="en-US"/>
              </w:rPr>
              <w:t>2,152,750</w:t>
            </w:r>
          </w:p>
        </w:tc>
        <w:tc>
          <w:tcPr>
            <w:tcW w:w="1180" w:type="dxa"/>
            <w:tcBorders>
              <w:top w:val="nil"/>
              <w:left w:val="nil"/>
              <w:bottom w:val="double" w:sz="6" w:space="0" w:color="D9D9E2"/>
              <w:right w:val="double" w:sz="6" w:space="0" w:color="D9D9E2"/>
            </w:tcBorders>
            <w:shd w:val="clear" w:color="auto" w:fill="auto"/>
            <w:vAlign w:val="center"/>
            <w:hideMark/>
          </w:tcPr>
          <w:p w14:paraId="48BA5A07" w14:textId="77777777" w:rsidR="008470CD" w:rsidRPr="008470CD" w:rsidRDefault="008470CD" w:rsidP="008470CD">
            <w:pPr>
              <w:spacing w:after="0" w:line="240" w:lineRule="auto"/>
              <w:jc w:val="right"/>
              <w:rPr>
                <w:rFonts w:eastAsia="Times New Roman" w:cs="Times New Roman"/>
                <w:b/>
                <w:bCs/>
                <w:color w:val="000000"/>
                <w:szCs w:val="24"/>
                <w:lang w:val="en-US"/>
              </w:rPr>
            </w:pPr>
            <w:r w:rsidRPr="008470CD">
              <w:rPr>
                <w:rFonts w:eastAsia="Times New Roman" w:cs="Times New Roman"/>
                <w:b/>
                <w:bCs/>
                <w:color w:val="000000"/>
                <w:szCs w:val="24"/>
                <w:lang w:val="en-US"/>
              </w:rPr>
              <w:t>2,472,200</w:t>
            </w:r>
          </w:p>
        </w:tc>
        <w:tc>
          <w:tcPr>
            <w:tcW w:w="1180" w:type="dxa"/>
            <w:tcBorders>
              <w:top w:val="nil"/>
              <w:left w:val="nil"/>
              <w:bottom w:val="double" w:sz="6" w:space="0" w:color="D9D9E2"/>
              <w:right w:val="double" w:sz="6" w:space="0" w:color="D9D9E2"/>
            </w:tcBorders>
            <w:shd w:val="clear" w:color="auto" w:fill="auto"/>
            <w:vAlign w:val="center"/>
            <w:hideMark/>
          </w:tcPr>
          <w:p w14:paraId="48BA5A08" w14:textId="77777777" w:rsidR="008470CD" w:rsidRPr="008470CD" w:rsidRDefault="008470CD" w:rsidP="008470CD">
            <w:pPr>
              <w:spacing w:after="0" w:line="240" w:lineRule="auto"/>
              <w:jc w:val="right"/>
              <w:rPr>
                <w:rFonts w:eastAsia="Times New Roman" w:cs="Times New Roman"/>
                <w:b/>
                <w:bCs/>
                <w:color w:val="000000"/>
                <w:szCs w:val="24"/>
                <w:lang w:val="en-US"/>
              </w:rPr>
            </w:pPr>
            <w:r w:rsidRPr="008470CD">
              <w:rPr>
                <w:rFonts w:eastAsia="Times New Roman" w:cs="Times New Roman"/>
                <w:b/>
                <w:bCs/>
                <w:color w:val="000000"/>
                <w:szCs w:val="24"/>
                <w:lang w:val="en-US"/>
              </w:rPr>
              <w:t>1,334,370</w:t>
            </w:r>
          </w:p>
        </w:tc>
      </w:tr>
      <w:tr w:rsidR="008470CD" w:rsidRPr="008470CD" w14:paraId="48BA5A0E"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A0A"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Non-controlling interests</w:t>
            </w:r>
          </w:p>
        </w:tc>
        <w:tc>
          <w:tcPr>
            <w:tcW w:w="1180" w:type="dxa"/>
            <w:tcBorders>
              <w:top w:val="nil"/>
              <w:left w:val="nil"/>
              <w:bottom w:val="double" w:sz="6" w:space="0" w:color="D9D9E2"/>
              <w:right w:val="double" w:sz="6" w:space="0" w:color="D9D9E2"/>
            </w:tcBorders>
            <w:shd w:val="clear" w:color="auto" w:fill="auto"/>
            <w:vAlign w:val="center"/>
            <w:hideMark/>
          </w:tcPr>
          <w:p w14:paraId="48BA5A0B"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103,430</w:t>
            </w:r>
          </w:p>
        </w:tc>
        <w:tc>
          <w:tcPr>
            <w:tcW w:w="1180" w:type="dxa"/>
            <w:tcBorders>
              <w:top w:val="nil"/>
              <w:left w:val="nil"/>
              <w:bottom w:val="double" w:sz="6" w:space="0" w:color="D9D9E2"/>
              <w:right w:val="double" w:sz="6" w:space="0" w:color="D9D9E2"/>
            </w:tcBorders>
            <w:shd w:val="clear" w:color="auto" w:fill="auto"/>
            <w:vAlign w:val="center"/>
            <w:hideMark/>
          </w:tcPr>
          <w:p w14:paraId="48BA5A0C"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110,830</w:t>
            </w:r>
          </w:p>
        </w:tc>
        <w:tc>
          <w:tcPr>
            <w:tcW w:w="1180" w:type="dxa"/>
            <w:tcBorders>
              <w:top w:val="nil"/>
              <w:left w:val="nil"/>
              <w:bottom w:val="double" w:sz="6" w:space="0" w:color="D9D9E2"/>
              <w:right w:val="double" w:sz="6" w:space="0" w:color="D9D9E2"/>
            </w:tcBorders>
            <w:shd w:val="clear" w:color="auto" w:fill="auto"/>
            <w:vAlign w:val="center"/>
            <w:hideMark/>
          </w:tcPr>
          <w:p w14:paraId="48BA5A0D"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76,210</w:t>
            </w:r>
          </w:p>
        </w:tc>
      </w:tr>
      <w:tr w:rsidR="008470CD" w:rsidRPr="008470CD" w14:paraId="48BA5A13"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A0F" w14:textId="77777777" w:rsidR="008470CD" w:rsidRPr="008470CD" w:rsidRDefault="008470CD" w:rsidP="008470CD">
            <w:pPr>
              <w:spacing w:after="0" w:line="240" w:lineRule="auto"/>
              <w:jc w:val="left"/>
              <w:rPr>
                <w:rFonts w:eastAsia="Times New Roman" w:cs="Times New Roman"/>
                <w:b/>
                <w:bCs/>
                <w:color w:val="000000"/>
                <w:szCs w:val="24"/>
                <w:lang w:val="en-US"/>
              </w:rPr>
            </w:pPr>
            <w:r w:rsidRPr="008470CD">
              <w:rPr>
                <w:rFonts w:eastAsia="Times New Roman" w:cs="Times New Roman"/>
                <w:b/>
                <w:bCs/>
                <w:color w:val="000000"/>
                <w:szCs w:val="24"/>
                <w:lang w:val="en-US"/>
              </w:rPr>
              <w:t>TOTAL EQUITY</w:t>
            </w:r>
          </w:p>
        </w:tc>
        <w:tc>
          <w:tcPr>
            <w:tcW w:w="1180" w:type="dxa"/>
            <w:tcBorders>
              <w:top w:val="nil"/>
              <w:left w:val="nil"/>
              <w:bottom w:val="double" w:sz="6" w:space="0" w:color="D9D9E2"/>
              <w:right w:val="double" w:sz="6" w:space="0" w:color="D9D9E2"/>
            </w:tcBorders>
            <w:shd w:val="clear" w:color="auto" w:fill="auto"/>
            <w:vAlign w:val="center"/>
            <w:hideMark/>
          </w:tcPr>
          <w:p w14:paraId="48BA5A10" w14:textId="77777777" w:rsidR="008470CD" w:rsidRPr="008470CD" w:rsidRDefault="008470CD" w:rsidP="008470CD">
            <w:pPr>
              <w:spacing w:after="0" w:line="240" w:lineRule="auto"/>
              <w:jc w:val="right"/>
              <w:rPr>
                <w:rFonts w:eastAsia="Times New Roman" w:cs="Times New Roman"/>
                <w:b/>
                <w:bCs/>
                <w:color w:val="000000"/>
                <w:szCs w:val="24"/>
                <w:lang w:val="en-US"/>
              </w:rPr>
            </w:pPr>
            <w:r w:rsidRPr="008470CD">
              <w:rPr>
                <w:rFonts w:eastAsia="Times New Roman" w:cs="Times New Roman"/>
                <w:b/>
                <w:bCs/>
                <w:color w:val="000000"/>
                <w:szCs w:val="24"/>
                <w:lang w:val="en-US"/>
              </w:rPr>
              <w:t>2,256,180</w:t>
            </w:r>
          </w:p>
        </w:tc>
        <w:tc>
          <w:tcPr>
            <w:tcW w:w="1180" w:type="dxa"/>
            <w:tcBorders>
              <w:top w:val="nil"/>
              <w:left w:val="nil"/>
              <w:bottom w:val="double" w:sz="6" w:space="0" w:color="D9D9E2"/>
              <w:right w:val="double" w:sz="6" w:space="0" w:color="D9D9E2"/>
            </w:tcBorders>
            <w:shd w:val="clear" w:color="auto" w:fill="auto"/>
            <w:vAlign w:val="center"/>
            <w:hideMark/>
          </w:tcPr>
          <w:p w14:paraId="48BA5A11" w14:textId="77777777" w:rsidR="008470CD" w:rsidRPr="008470CD" w:rsidRDefault="008470CD" w:rsidP="008470CD">
            <w:pPr>
              <w:spacing w:after="0" w:line="240" w:lineRule="auto"/>
              <w:jc w:val="right"/>
              <w:rPr>
                <w:rFonts w:eastAsia="Times New Roman" w:cs="Times New Roman"/>
                <w:b/>
                <w:bCs/>
                <w:color w:val="000000"/>
                <w:szCs w:val="24"/>
                <w:lang w:val="en-US"/>
              </w:rPr>
            </w:pPr>
            <w:r w:rsidRPr="008470CD">
              <w:rPr>
                <w:rFonts w:eastAsia="Times New Roman" w:cs="Times New Roman"/>
                <w:b/>
                <w:bCs/>
                <w:color w:val="000000"/>
                <w:szCs w:val="24"/>
                <w:lang w:val="en-US"/>
              </w:rPr>
              <w:t>2,583,030</w:t>
            </w:r>
          </w:p>
        </w:tc>
        <w:tc>
          <w:tcPr>
            <w:tcW w:w="1180" w:type="dxa"/>
            <w:tcBorders>
              <w:top w:val="nil"/>
              <w:left w:val="nil"/>
              <w:bottom w:val="double" w:sz="6" w:space="0" w:color="D9D9E2"/>
              <w:right w:val="double" w:sz="6" w:space="0" w:color="D9D9E2"/>
            </w:tcBorders>
            <w:shd w:val="clear" w:color="auto" w:fill="auto"/>
            <w:vAlign w:val="center"/>
            <w:hideMark/>
          </w:tcPr>
          <w:p w14:paraId="48BA5A12" w14:textId="77777777" w:rsidR="008470CD" w:rsidRPr="008470CD" w:rsidRDefault="008470CD" w:rsidP="008470CD">
            <w:pPr>
              <w:spacing w:after="0" w:line="240" w:lineRule="auto"/>
              <w:jc w:val="right"/>
              <w:rPr>
                <w:rFonts w:eastAsia="Times New Roman" w:cs="Times New Roman"/>
                <w:b/>
                <w:bCs/>
                <w:color w:val="000000"/>
                <w:szCs w:val="24"/>
                <w:lang w:val="en-US"/>
              </w:rPr>
            </w:pPr>
            <w:r w:rsidRPr="008470CD">
              <w:rPr>
                <w:rFonts w:eastAsia="Times New Roman" w:cs="Times New Roman"/>
                <w:b/>
                <w:bCs/>
                <w:color w:val="000000"/>
                <w:szCs w:val="24"/>
                <w:lang w:val="en-US"/>
              </w:rPr>
              <w:t>1,410,580</w:t>
            </w:r>
          </w:p>
        </w:tc>
      </w:tr>
      <w:tr w:rsidR="008470CD" w:rsidRPr="008470CD" w14:paraId="48BA5A18"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A14"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Long-term borrowings</w:t>
            </w:r>
          </w:p>
        </w:tc>
        <w:tc>
          <w:tcPr>
            <w:tcW w:w="1180" w:type="dxa"/>
            <w:tcBorders>
              <w:top w:val="nil"/>
              <w:left w:val="nil"/>
              <w:bottom w:val="double" w:sz="6" w:space="0" w:color="D9D9E2"/>
              <w:right w:val="double" w:sz="6" w:space="0" w:color="D9D9E2"/>
            </w:tcBorders>
            <w:shd w:val="clear" w:color="auto" w:fill="auto"/>
            <w:vAlign w:val="center"/>
            <w:hideMark/>
          </w:tcPr>
          <w:p w14:paraId="48BA5A15"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8,113,710</w:t>
            </w:r>
          </w:p>
        </w:tc>
        <w:tc>
          <w:tcPr>
            <w:tcW w:w="1180" w:type="dxa"/>
            <w:tcBorders>
              <w:top w:val="nil"/>
              <w:left w:val="nil"/>
              <w:bottom w:val="double" w:sz="6" w:space="0" w:color="D9D9E2"/>
              <w:right w:val="double" w:sz="6" w:space="0" w:color="D9D9E2"/>
            </w:tcBorders>
            <w:shd w:val="clear" w:color="auto" w:fill="auto"/>
            <w:vAlign w:val="center"/>
            <w:hideMark/>
          </w:tcPr>
          <w:p w14:paraId="48BA5A16"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7,755,840</w:t>
            </w:r>
          </w:p>
        </w:tc>
        <w:tc>
          <w:tcPr>
            <w:tcW w:w="1180" w:type="dxa"/>
            <w:tcBorders>
              <w:top w:val="nil"/>
              <w:left w:val="nil"/>
              <w:bottom w:val="double" w:sz="6" w:space="0" w:color="D9D9E2"/>
              <w:right w:val="double" w:sz="6" w:space="0" w:color="D9D9E2"/>
            </w:tcBorders>
            <w:shd w:val="clear" w:color="auto" w:fill="auto"/>
            <w:vAlign w:val="center"/>
            <w:hideMark/>
          </w:tcPr>
          <w:p w14:paraId="48BA5A17"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8,290,570</w:t>
            </w:r>
          </w:p>
        </w:tc>
      </w:tr>
      <w:tr w:rsidR="008470CD" w:rsidRPr="008470CD" w14:paraId="48BA5A1D"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A19"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Long-term lease debt</w:t>
            </w:r>
          </w:p>
        </w:tc>
        <w:tc>
          <w:tcPr>
            <w:tcW w:w="1180" w:type="dxa"/>
            <w:tcBorders>
              <w:top w:val="nil"/>
              <w:left w:val="nil"/>
              <w:bottom w:val="double" w:sz="6" w:space="0" w:color="D9D9E2"/>
              <w:right w:val="double" w:sz="6" w:space="0" w:color="D9D9E2"/>
            </w:tcBorders>
            <w:shd w:val="clear" w:color="auto" w:fill="auto"/>
            <w:vAlign w:val="center"/>
            <w:hideMark/>
          </w:tcPr>
          <w:p w14:paraId="48BA5A1A"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w w:val="99"/>
                <w:szCs w:val="24"/>
                <w:lang w:val="en-US"/>
              </w:rPr>
              <w:t>-</w:t>
            </w:r>
          </w:p>
        </w:tc>
        <w:tc>
          <w:tcPr>
            <w:tcW w:w="1180" w:type="dxa"/>
            <w:tcBorders>
              <w:top w:val="nil"/>
              <w:left w:val="nil"/>
              <w:bottom w:val="double" w:sz="6" w:space="0" w:color="D9D9E2"/>
              <w:right w:val="double" w:sz="6" w:space="0" w:color="D9D9E2"/>
            </w:tcBorders>
            <w:shd w:val="clear" w:color="auto" w:fill="auto"/>
            <w:vAlign w:val="center"/>
            <w:hideMark/>
          </w:tcPr>
          <w:p w14:paraId="48BA5A1B"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2,844,970</w:t>
            </w:r>
          </w:p>
        </w:tc>
        <w:tc>
          <w:tcPr>
            <w:tcW w:w="1180" w:type="dxa"/>
            <w:tcBorders>
              <w:top w:val="nil"/>
              <w:left w:val="nil"/>
              <w:bottom w:val="double" w:sz="6" w:space="0" w:color="D9D9E2"/>
              <w:right w:val="double" w:sz="6" w:space="0" w:color="D9D9E2"/>
            </w:tcBorders>
            <w:shd w:val="clear" w:color="auto" w:fill="auto"/>
            <w:vAlign w:val="center"/>
            <w:hideMark/>
          </w:tcPr>
          <w:p w14:paraId="48BA5A1C"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3,353,260</w:t>
            </w:r>
          </w:p>
        </w:tc>
      </w:tr>
      <w:tr w:rsidR="008470CD" w:rsidRPr="008470CD" w14:paraId="48BA5A22"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A1E"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Retirement benefit provisions</w:t>
            </w:r>
          </w:p>
        </w:tc>
        <w:tc>
          <w:tcPr>
            <w:tcW w:w="1180" w:type="dxa"/>
            <w:tcBorders>
              <w:top w:val="nil"/>
              <w:left w:val="nil"/>
              <w:bottom w:val="double" w:sz="6" w:space="0" w:color="D9D9E2"/>
              <w:right w:val="double" w:sz="6" w:space="0" w:color="D9D9E2"/>
            </w:tcBorders>
            <w:shd w:val="clear" w:color="auto" w:fill="auto"/>
            <w:vAlign w:val="center"/>
            <w:hideMark/>
          </w:tcPr>
          <w:p w14:paraId="48BA5A1F"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93,690</w:t>
            </w:r>
          </w:p>
        </w:tc>
        <w:tc>
          <w:tcPr>
            <w:tcW w:w="1180" w:type="dxa"/>
            <w:tcBorders>
              <w:top w:val="nil"/>
              <w:left w:val="nil"/>
              <w:bottom w:val="double" w:sz="6" w:space="0" w:color="D9D9E2"/>
              <w:right w:val="double" w:sz="6" w:space="0" w:color="D9D9E2"/>
            </w:tcBorders>
            <w:shd w:val="clear" w:color="auto" w:fill="auto"/>
            <w:vAlign w:val="center"/>
            <w:hideMark/>
          </w:tcPr>
          <w:p w14:paraId="48BA5A20"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114,630</w:t>
            </w:r>
          </w:p>
        </w:tc>
        <w:tc>
          <w:tcPr>
            <w:tcW w:w="1180" w:type="dxa"/>
            <w:tcBorders>
              <w:top w:val="nil"/>
              <w:left w:val="nil"/>
              <w:bottom w:val="double" w:sz="6" w:space="0" w:color="D9D9E2"/>
              <w:right w:val="double" w:sz="6" w:space="0" w:color="D9D9E2"/>
            </w:tcBorders>
            <w:shd w:val="clear" w:color="auto" w:fill="auto"/>
            <w:vAlign w:val="center"/>
            <w:hideMark/>
          </w:tcPr>
          <w:p w14:paraId="48BA5A21"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124,160</w:t>
            </w:r>
          </w:p>
        </w:tc>
      </w:tr>
      <w:tr w:rsidR="008470CD" w:rsidRPr="008470CD" w14:paraId="48BA5A27"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A23"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Other non-current provisions</w:t>
            </w:r>
          </w:p>
        </w:tc>
        <w:tc>
          <w:tcPr>
            <w:tcW w:w="1180" w:type="dxa"/>
            <w:tcBorders>
              <w:top w:val="nil"/>
              <w:left w:val="nil"/>
              <w:bottom w:val="double" w:sz="6" w:space="0" w:color="D9D9E2"/>
              <w:right w:val="double" w:sz="6" w:space="0" w:color="D9D9E2"/>
            </w:tcBorders>
            <w:shd w:val="clear" w:color="auto" w:fill="auto"/>
            <w:vAlign w:val="center"/>
            <w:hideMark/>
          </w:tcPr>
          <w:p w14:paraId="48BA5A24"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33,670</w:t>
            </w:r>
          </w:p>
        </w:tc>
        <w:tc>
          <w:tcPr>
            <w:tcW w:w="1180" w:type="dxa"/>
            <w:tcBorders>
              <w:top w:val="nil"/>
              <w:left w:val="nil"/>
              <w:bottom w:val="double" w:sz="6" w:space="0" w:color="D9D9E2"/>
              <w:right w:val="double" w:sz="6" w:space="0" w:color="D9D9E2"/>
            </w:tcBorders>
            <w:shd w:val="clear" w:color="auto" w:fill="auto"/>
            <w:vAlign w:val="center"/>
            <w:hideMark/>
          </w:tcPr>
          <w:p w14:paraId="48BA5A25"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40,650</w:t>
            </w:r>
          </w:p>
        </w:tc>
        <w:tc>
          <w:tcPr>
            <w:tcW w:w="1180" w:type="dxa"/>
            <w:tcBorders>
              <w:top w:val="nil"/>
              <w:left w:val="nil"/>
              <w:bottom w:val="double" w:sz="6" w:space="0" w:color="D9D9E2"/>
              <w:right w:val="double" w:sz="6" w:space="0" w:color="D9D9E2"/>
            </w:tcBorders>
            <w:shd w:val="clear" w:color="auto" w:fill="auto"/>
            <w:vAlign w:val="center"/>
            <w:hideMark/>
          </w:tcPr>
          <w:p w14:paraId="48BA5A26"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35,930</w:t>
            </w:r>
          </w:p>
        </w:tc>
      </w:tr>
      <w:tr w:rsidR="008470CD" w:rsidRPr="008470CD" w14:paraId="48BA5A2C"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A28"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Deferred tax liabilities</w:t>
            </w:r>
          </w:p>
        </w:tc>
        <w:tc>
          <w:tcPr>
            <w:tcW w:w="1180" w:type="dxa"/>
            <w:tcBorders>
              <w:top w:val="nil"/>
              <w:left w:val="nil"/>
              <w:bottom w:val="double" w:sz="6" w:space="0" w:color="D9D9E2"/>
              <w:right w:val="double" w:sz="6" w:space="0" w:color="D9D9E2"/>
            </w:tcBorders>
            <w:shd w:val="clear" w:color="auto" w:fill="auto"/>
            <w:vAlign w:val="center"/>
            <w:hideMark/>
          </w:tcPr>
          <w:p w14:paraId="48BA5A29"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451,420</w:t>
            </w:r>
          </w:p>
        </w:tc>
        <w:tc>
          <w:tcPr>
            <w:tcW w:w="1180" w:type="dxa"/>
            <w:tcBorders>
              <w:top w:val="nil"/>
              <w:left w:val="nil"/>
              <w:bottom w:val="double" w:sz="6" w:space="0" w:color="D9D9E2"/>
              <w:right w:val="double" w:sz="6" w:space="0" w:color="D9D9E2"/>
            </w:tcBorders>
            <w:shd w:val="clear" w:color="auto" w:fill="auto"/>
            <w:vAlign w:val="center"/>
            <w:hideMark/>
          </w:tcPr>
          <w:p w14:paraId="48BA5A2A"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447,010</w:t>
            </w:r>
          </w:p>
        </w:tc>
        <w:tc>
          <w:tcPr>
            <w:tcW w:w="1180" w:type="dxa"/>
            <w:tcBorders>
              <w:top w:val="nil"/>
              <w:left w:val="nil"/>
              <w:bottom w:val="double" w:sz="6" w:space="0" w:color="D9D9E2"/>
              <w:right w:val="double" w:sz="6" w:space="0" w:color="D9D9E2"/>
            </w:tcBorders>
            <w:shd w:val="clear" w:color="auto" w:fill="auto"/>
            <w:vAlign w:val="center"/>
            <w:hideMark/>
          </w:tcPr>
          <w:p w14:paraId="48BA5A2B"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345,760</w:t>
            </w:r>
          </w:p>
        </w:tc>
      </w:tr>
      <w:tr w:rsidR="008470CD" w:rsidRPr="008470CD" w14:paraId="48BA5A31"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A2D"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Other non-current liabilities</w:t>
            </w:r>
          </w:p>
        </w:tc>
        <w:tc>
          <w:tcPr>
            <w:tcW w:w="1180" w:type="dxa"/>
            <w:tcBorders>
              <w:top w:val="nil"/>
              <w:left w:val="nil"/>
              <w:bottom w:val="double" w:sz="6" w:space="0" w:color="D9D9E2"/>
              <w:right w:val="double" w:sz="6" w:space="0" w:color="D9D9E2"/>
            </w:tcBorders>
            <w:shd w:val="clear" w:color="auto" w:fill="auto"/>
            <w:vAlign w:val="center"/>
            <w:hideMark/>
          </w:tcPr>
          <w:p w14:paraId="48BA5A2E"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35,090</w:t>
            </w:r>
          </w:p>
        </w:tc>
        <w:tc>
          <w:tcPr>
            <w:tcW w:w="1180" w:type="dxa"/>
            <w:tcBorders>
              <w:top w:val="nil"/>
              <w:left w:val="nil"/>
              <w:bottom w:val="double" w:sz="6" w:space="0" w:color="D9D9E2"/>
              <w:right w:val="double" w:sz="6" w:space="0" w:color="D9D9E2"/>
            </w:tcBorders>
            <w:shd w:val="clear" w:color="auto" w:fill="auto"/>
            <w:vAlign w:val="center"/>
            <w:hideMark/>
          </w:tcPr>
          <w:p w14:paraId="48BA5A2F"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27,190</w:t>
            </w:r>
          </w:p>
        </w:tc>
        <w:tc>
          <w:tcPr>
            <w:tcW w:w="1180" w:type="dxa"/>
            <w:tcBorders>
              <w:top w:val="nil"/>
              <w:left w:val="nil"/>
              <w:bottom w:val="double" w:sz="6" w:space="0" w:color="D9D9E2"/>
              <w:right w:val="double" w:sz="6" w:space="0" w:color="D9D9E2"/>
            </w:tcBorders>
            <w:shd w:val="clear" w:color="auto" w:fill="auto"/>
            <w:vAlign w:val="center"/>
            <w:hideMark/>
          </w:tcPr>
          <w:p w14:paraId="48BA5A30"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79,110</w:t>
            </w:r>
          </w:p>
        </w:tc>
      </w:tr>
      <w:tr w:rsidR="008470CD" w:rsidRPr="008470CD" w14:paraId="48BA5A36" w14:textId="77777777" w:rsidTr="008470CD">
        <w:trPr>
          <w:trHeight w:val="6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A32" w14:textId="77777777" w:rsidR="008470CD" w:rsidRPr="008470CD" w:rsidRDefault="008470CD" w:rsidP="008470CD">
            <w:pPr>
              <w:spacing w:after="0" w:line="240" w:lineRule="auto"/>
              <w:jc w:val="left"/>
              <w:rPr>
                <w:rFonts w:eastAsia="Times New Roman" w:cs="Times New Roman"/>
                <w:b/>
                <w:bCs/>
                <w:color w:val="000000"/>
                <w:szCs w:val="24"/>
                <w:lang w:val="en-US"/>
              </w:rPr>
            </w:pPr>
            <w:r w:rsidRPr="008470CD">
              <w:rPr>
                <w:rFonts w:eastAsia="Times New Roman" w:cs="Times New Roman"/>
                <w:b/>
                <w:bCs/>
                <w:color w:val="000000"/>
                <w:szCs w:val="24"/>
                <w:lang w:val="en-US"/>
              </w:rPr>
              <w:t>TOTAL NON-CURRENT LIABILITIES</w:t>
            </w:r>
          </w:p>
        </w:tc>
        <w:tc>
          <w:tcPr>
            <w:tcW w:w="1180" w:type="dxa"/>
            <w:tcBorders>
              <w:top w:val="nil"/>
              <w:left w:val="nil"/>
              <w:bottom w:val="double" w:sz="6" w:space="0" w:color="D9D9E2"/>
              <w:right w:val="double" w:sz="6" w:space="0" w:color="D9D9E2"/>
            </w:tcBorders>
            <w:shd w:val="clear" w:color="auto" w:fill="auto"/>
            <w:vAlign w:val="center"/>
            <w:hideMark/>
          </w:tcPr>
          <w:p w14:paraId="48BA5A33" w14:textId="77777777" w:rsidR="008470CD" w:rsidRPr="008470CD" w:rsidRDefault="008470CD" w:rsidP="008470CD">
            <w:pPr>
              <w:spacing w:after="0" w:line="240" w:lineRule="auto"/>
              <w:jc w:val="right"/>
              <w:rPr>
                <w:rFonts w:eastAsia="Times New Roman" w:cs="Times New Roman"/>
                <w:b/>
                <w:bCs/>
                <w:color w:val="000000"/>
                <w:szCs w:val="24"/>
                <w:lang w:val="en-US"/>
              </w:rPr>
            </w:pPr>
            <w:r w:rsidRPr="008470CD">
              <w:rPr>
                <w:rFonts w:eastAsia="Times New Roman" w:cs="Times New Roman"/>
                <w:b/>
                <w:bCs/>
                <w:color w:val="000000"/>
                <w:szCs w:val="24"/>
                <w:lang w:val="en-US"/>
              </w:rPr>
              <w:t>8,727,580</w:t>
            </w:r>
          </w:p>
        </w:tc>
        <w:tc>
          <w:tcPr>
            <w:tcW w:w="1180" w:type="dxa"/>
            <w:tcBorders>
              <w:top w:val="nil"/>
              <w:left w:val="nil"/>
              <w:bottom w:val="double" w:sz="6" w:space="0" w:color="D9D9E2"/>
              <w:right w:val="double" w:sz="6" w:space="0" w:color="D9D9E2"/>
            </w:tcBorders>
            <w:shd w:val="clear" w:color="auto" w:fill="auto"/>
            <w:vAlign w:val="center"/>
            <w:hideMark/>
          </w:tcPr>
          <w:p w14:paraId="48BA5A34" w14:textId="77777777" w:rsidR="008470CD" w:rsidRPr="008470CD" w:rsidRDefault="008470CD" w:rsidP="008470CD">
            <w:pPr>
              <w:spacing w:after="0" w:line="240" w:lineRule="auto"/>
              <w:jc w:val="right"/>
              <w:rPr>
                <w:rFonts w:eastAsia="Times New Roman" w:cs="Times New Roman"/>
                <w:b/>
                <w:bCs/>
                <w:color w:val="000000"/>
                <w:szCs w:val="24"/>
                <w:lang w:val="en-US"/>
              </w:rPr>
            </w:pPr>
            <w:r w:rsidRPr="008470CD">
              <w:rPr>
                <w:rFonts w:eastAsia="Times New Roman" w:cs="Times New Roman"/>
                <w:b/>
                <w:bCs/>
                <w:color w:val="000000"/>
                <w:szCs w:val="24"/>
                <w:lang w:val="en-US"/>
              </w:rPr>
              <w:t>11,230,300</w:t>
            </w:r>
          </w:p>
        </w:tc>
        <w:tc>
          <w:tcPr>
            <w:tcW w:w="1180" w:type="dxa"/>
            <w:tcBorders>
              <w:top w:val="nil"/>
              <w:left w:val="nil"/>
              <w:bottom w:val="double" w:sz="6" w:space="0" w:color="D9D9E2"/>
              <w:right w:val="double" w:sz="6" w:space="0" w:color="D9D9E2"/>
            </w:tcBorders>
            <w:shd w:val="clear" w:color="auto" w:fill="auto"/>
            <w:vAlign w:val="center"/>
            <w:hideMark/>
          </w:tcPr>
          <w:p w14:paraId="48BA5A35" w14:textId="77777777" w:rsidR="008470CD" w:rsidRPr="008470CD" w:rsidRDefault="008470CD" w:rsidP="008470CD">
            <w:pPr>
              <w:spacing w:after="0" w:line="240" w:lineRule="auto"/>
              <w:jc w:val="right"/>
              <w:rPr>
                <w:rFonts w:eastAsia="Times New Roman" w:cs="Times New Roman"/>
                <w:b/>
                <w:bCs/>
                <w:color w:val="000000"/>
                <w:szCs w:val="24"/>
                <w:lang w:val="en-US"/>
              </w:rPr>
            </w:pPr>
            <w:r w:rsidRPr="008470CD">
              <w:rPr>
                <w:rFonts w:eastAsia="Times New Roman" w:cs="Times New Roman"/>
                <w:b/>
                <w:bCs/>
                <w:color w:val="000000"/>
                <w:szCs w:val="24"/>
                <w:lang w:val="en-US"/>
              </w:rPr>
              <w:t>12,228,780</w:t>
            </w:r>
          </w:p>
        </w:tc>
      </w:tr>
      <w:tr w:rsidR="008470CD" w:rsidRPr="008470CD" w14:paraId="48BA5A3B"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A37"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Short-term borrowings</w:t>
            </w:r>
          </w:p>
        </w:tc>
        <w:tc>
          <w:tcPr>
            <w:tcW w:w="1180" w:type="dxa"/>
            <w:tcBorders>
              <w:top w:val="nil"/>
              <w:left w:val="nil"/>
              <w:bottom w:val="double" w:sz="6" w:space="0" w:color="D9D9E2"/>
              <w:right w:val="double" w:sz="6" w:space="0" w:color="D9D9E2"/>
            </w:tcBorders>
            <w:shd w:val="clear" w:color="auto" w:fill="auto"/>
            <w:vAlign w:val="center"/>
            <w:hideMark/>
          </w:tcPr>
          <w:p w14:paraId="48BA5A38"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399,760</w:t>
            </w:r>
          </w:p>
        </w:tc>
        <w:tc>
          <w:tcPr>
            <w:tcW w:w="1180" w:type="dxa"/>
            <w:tcBorders>
              <w:top w:val="nil"/>
              <w:left w:val="nil"/>
              <w:bottom w:val="double" w:sz="6" w:space="0" w:color="D9D9E2"/>
              <w:right w:val="double" w:sz="6" w:space="0" w:color="D9D9E2"/>
            </w:tcBorders>
            <w:shd w:val="clear" w:color="auto" w:fill="auto"/>
            <w:vAlign w:val="center"/>
            <w:hideMark/>
          </w:tcPr>
          <w:p w14:paraId="48BA5A39"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319,910</w:t>
            </w:r>
          </w:p>
        </w:tc>
        <w:tc>
          <w:tcPr>
            <w:tcW w:w="1180" w:type="dxa"/>
            <w:tcBorders>
              <w:top w:val="nil"/>
              <w:left w:val="nil"/>
              <w:bottom w:val="double" w:sz="6" w:space="0" w:color="D9D9E2"/>
              <w:right w:val="double" w:sz="6" w:space="0" w:color="D9D9E2"/>
            </w:tcBorders>
            <w:shd w:val="clear" w:color="auto" w:fill="auto"/>
            <w:vAlign w:val="center"/>
            <w:hideMark/>
          </w:tcPr>
          <w:p w14:paraId="48BA5A3A"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475,050</w:t>
            </w:r>
          </w:p>
        </w:tc>
      </w:tr>
      <w:tr w:rsidR="008470CD" w:rsidRPr="008470CD" w14:paraId="48BA5A40"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A3C"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Short-term lease debt</w:t>
            </w:r>
          </w:p>
        </w:tc>
        <w:tc>
          <w:tcPr>
            <w:tcW w:w="1180" w:type="dxa"/>
            <w:tcBorders>
              <w:top w:val="nil"/>
              <w:left w:val="nil"/>
              <w:bottom w:val="double" w:sz="6" w:space="0" w:color="D9D9E2"/>
              <w:right w:val="double" w:sz="6" w:space="0" w:color="D9D9E2"/>
            </w:tcBorders>
            <w:shd w:val="clear" w:color="auto" w:fill="auto"/>
            <w:vAlign w:val="center"/>
            <w:hideMark/>
          </w:tcPr>
          <w:p w14:paraId="48BA5A3D"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w w:val="99"/>
                <w:szCs w:val="24"/>
                <w:lang w:val="en-US"/>
              </w:rPr>
              <w:t>-</w:t>
            </w:r>
          </w:p>
        </w:tc>
        <w:tc>
          <w:tcPr>
            <w:tcW w:w="1180" w:type="dxa"/>
            <w:tcBorders>
              <w:top w:val="nil"/>
              <w:left w:val="nil"/>
              <w:bottom w:val="double" w:sz="6" w:space="0" w:color="D9D9E2"/>
              <w:right w:val="double" w:sz="6" w:space="0" w:color="D9D9E2"/>
            </w:tcBorders>
            <w:shd w:val="clear" w:color="auto" w:fill="auto"/>
            <w:vAlign w:val="center"/>
            <w:hideMark/>
          </w:tcPr>
          <w:p w14:paraId="48BA5A3E"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221,810</w:t>
            </w:r>
          </w:p>
        </w:tc>
        <w:tc>
          <w:tcPr>
            <w:tcW w:w="1180" w:type="dxa"/>
            <w:tcBorders>
              <w:top w:val="nil"/>
              <w:left w:val="nil"/>
              <w:bottom w:val="double" w:sz="6" w:space="0" w:color="D9D9E2"/>
              <w:right w:val="double" w:sz="6" w:space="0" w:color="D9D9E2"/>
            </w:tcBorders>
            <w:shd w:val="clear" w:color="auto" w:fill="auto"/>
            <w:vAlign w:val="center"/>
            <w:hideMark/>
          </w:tcPr>
          <w:p w14:paraId="48BA5A3F"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301,220</w:t>
            </w:r>
          </w:p>
        </w:tc>
      </w:tr>
      <w:tr w:rsidR="008470CD" w:rsidRPr="008470CD" w14:paraId="48BA5A45"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A41"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Other current provisions</w:t>
            </w:r>
          </w:p>
        </w:tc>
        <w:tc>
          <w:tcPr>
            <w:tcW w:w="1180" w:type="dxa"/>
            <w:tcBorders>
              <w:top w:val="nil"/>
              <w:left w:val="nil"/>
              <w:bottom w:val="double" w:sz="6" w:space="0" w:color="D9D9E2"/>
              <w:right w:val="double" w:sz="6" w:space="0" w:color="D9D9E2"/>
            </w:tcBorders>
            <w:shd w:val="clear" w:color="auto" w:fill="auto"/>
            <w:vAlign w:val="center"/>
            <w:hideMark/>
          </w:tcPr>
          <w:p w14:paraId="48BA5A42"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49,560</w:t>
            </w:r>
          </w:p>
        </w:tc>
        <w:tc>
          <w:tcPr>
            <w:tcW w:w="1180" w:type="dxa"/>
            <w:tcBorders>
              <w:top w:val="nil"/>
              <w:left w:val="nil"/>
              <w:bottom w:val="double" w:sz="6" w:space="0" w:color="D9D9E2"/>
              <w:right w:val="double" w:sz="6" w:space="0" w:color="D9D9E2"/>
            </w:tcBorders>
            <w:shd w:val="clear" w:color="auto" w:fill="auto"/>
            <w:vAlign w:val="center"/>
            <w:hideMark/>
          </w:tcPr>
          <w:p w14:paraId="48BA5A43"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12,120</w:t>
            </w:r>
          </w:p>
        </w:tc>
        <w:tc>
          <w:tcPr>
            <w:tcW w:w="1180" w:type="dxa"/>
            <w:tcBorders>
              <w:top w:val="nil"/>
              <w:left w:val="nil"/>
              <w:bottom w:val="double" w:sz="6" w:space="0" w:color="D9D9E2"/>
              <w:right w:val="double" w:sz="6" w:space="0" w:color="D9D9E2"/>
            </w:tcBorders>
            <w:shd w:val="clear" w:color="auto" w:fill="auto"/>
            <w:vAlign w:val="center"/>
            <w:hideMark/>
          </w:tcPr>
          <w:p w14:paraId="48BA5A44"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12,280</w:t>
            </w:r>
          </w:p>
        </w:tc>
      </w:tr>
      <w:tr w:rsidR="008470CD" w:rsidRPr="008470CD" w14:paraId="48BA5A4A"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A46"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Trade payables</w:t>
            </w:r>
          </w:p>
        </w:tc>
        <w:tc>
          <w:tcPr>
            <w:tcW w:w="1180" w:type="dxa"/>
            <w:tcBorders>
              <w:top w:val="nil"/>
              <w:left w:val="nil"/>
              <w:bottom w:val="double" w:sz="6" w:space="0" w:color="D9D9E2"/>
              <w:right w:val="double" w:sz="6" w:space="0" w:color="D9D9E2"/>
            </w:tcBorders>
            <w:shd w:val="clear" w:color="auto" w:fill="auto"/>
            <w:vAlign w:val="center"/>
            <w:hideMark/>
          </w:tcPr>
          <w:p w14:paraId="48BA5A47"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527,180</w:t>
            </w:r>
          </w:p>
        </w:tc>
        <w:tc>
          <w:tcPr>
            <w:tcW w:w="1180" w:type="dxa"/>
            <w:tcBorders>
              <w:top w:val="nil"/>
              <w:left w:val="nil"/>
              <w:bottom w:val="double" w:sz="6" w:space="0" w:color="D9D9E2"/>
              <w:right w:val="double" w:sz="6" w:space="0" w:color="D9D9E2"/>
            </w:tcBorders>
            <w:shd w:val="clear" w:color="auto" w:fill="auto"/>
            <w:vAlign w:val="center"/>
            <w:hideMark/>
          </w:tcPr>
          <w:p w14:paraId="48BA5A48"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499,330</w:t>
            </w:r>
          </w:p>
        </w:tc>
        <w:tc>
          <w:tcPr>
            <w:tcW w:w="1180" w:type="dxa"/>
            <w:tcBorders>
              <w:top w:val="nil"/>
              <w:left w:val="nil"/>
              <w:bottom w:val="double" w:sz="6" w:space="0" w:color="D9D9E2"/>
              <w:right w:val="double" w:sz="6" w:space="0" w:color="D9D9E2"/>
            </w:tcBorders>
            <w:shd w:val="clear" w:color="auto" w:fill="auto"/>
            <w:vAlign w:val="center"/>
            <w:hideMark/>
          </w:tcPr>
          <w:p w14:paraId="48BA5A49"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401,350</w:t>
            </w:r>
          </w:p>
        </w:tc>
      </w:tr>
      <w:tr w:rsidR="008470CD" w:rsidRPr="008470CD" w14:paraId="48BA5A4F"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A4B"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Current tax liabilities</w:t>
            </w:r>
          </w:p>
        </w:tc>
        <w:tc>
          <w:tcPr>
            <w:tcW w:w="1180" w:type="dxa"/>
            <w:tcBorders>
              <w:top w:val="nil"/>
              <w:left w:val="nil"/>
              <w:bottom w:val="double" w:sz="6" w:space="0" w:color="D9D9E2"/>
              <w:right w:val="double" w:sz="6" w:space="0" w:color="D9D9E2"/>
            </w:tcBorders>
            <w:shd w:val="clear" w:color="auto" w:fill="auto"/>
            <w:vAlign w:val="center"/>
            <w:hideMark/>
          </w:tcPr>
          <w:p w14:paraId="48BA5A4C"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44,560</w:t>
            </w:r>
          </w:p>
        </w:tc>
        <w:tc>
          <w:tcPr>
            <w:tcW w:w="1180" w:type="dxa"/>
            <w:tcBorders>
              <w:top w:val="nil"/>
              <w:left w:val="nil"/>
              <w:bottom w:val="double" w:sz="6" w:space="0" w:color="D9D9E2"/>
              <w:right w:val="double" w:sz="6" w:space="0" w:color="D9D9E2"/>
            </w:tcBorders>
            <w:shd w:val="clear" w:color="auto" w:fill="auto"/>
            <w:vAlign w:val="center"/>
            <w:hideMark/>
          </w:tcPr>
          <w:p w14:paraId="48BA5A4D"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69,510</w:t>
            </w:r>
          </w:p>
        </w:tc>
        <w:tc>
          <w:tcPr>
            <w:tcW w:w="1180" w:type="dxa"/>
            <w:tcBorders>
              <w:top w:val="nil"/>
              <w:left w:val="nil"/>
              <w:bottom w:val="double" w:sz="6" w:space="0" w:color="D9D9E2"/>
              <w:right w:val="double" w:sz="6" w:space="0" w:color="D9D9E2"/>
            </w:tcBorders>
            <w:shd w:val="clear" w:color="auto" w:fill="auto"/>
            <w:vAlign w:val="center"/>
            <w:hideMark/>
          </w:tcPr>
          <w:p w14:paraId="48BA5A4E"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27,170</w:t>
            </w:r>
          </w:p>
        </w:tc>
      </w:tr>
      <w:tr w:rsidR="008470CD" w:rsidRPr="008470CD" w14:paraId="48BA5A54"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A50" w14:textId="77777777" w:rsidR="008470CD" w:rsidRPr="008470CD" w:rsidRDefault="008470CD" w:rsidP="008470CD">
            <w:pPr>
              <w:spacing w:after="0" w:line="240" w:lineRule="auto"/>
              <w:jc w:val="left"/>
              <w:rPr>
                <w:rFonts w:eastAsia="Times New Roman" w:cs="Times New Roman"/>
                <w:color w:val="000000"/>
                <w:szCs w:val="24"/>
                <w:lang w:val="en-US"/>
              </w:rPr>
            </w:pPr>
            <w:r w:rsidRPr="008470CD">
              <w:rPr>
                <w:rFonts w:eastAsia="Times New Roman" w:cs="Times New Roman"/>
                <w:color w:val="000000"/>
                <w:szCs w:val="24"/>
                <w:lang w:val="en-US"/>
              </w:rPr>
              <w:t>Other liabilities</w:t>
            </w:r>
          </w:p>
        </w:tc>
        <w:tc>
          <w:tcPr>
            <w:tcW w:w="1180" w:type="dxa"/>
            <w:tcBorders>
              <w:top w:val="nil"/>
              <w:left w:val="nil"/>
              <w:bottom w:val="double" w:sz="6" w:space="0" w:color="D9D9E2"/>
              <w:right w:val="double" w:sz="6" w:space="0" w:color="D9D9E2"/>
            </w:tcBorders>
            <w:shd w:val="clear" w:color="auto" w:fill="auto"/>
            <w:vAlign w:val="center"/>
            <w:hideMark/>
          </w:tcPr>
          <w:p w14:paraId="48BA5A51"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936,300</w:t>
            </w:r>
          </w:p>
        </w:tc>
        <w:tc>
          <w:tcPr>
            <w:tcW w:w="1180" w:type="dxa"/>
            <w:tcBorders>
              <w:top w:val="nil"/>
              <w:left w:val="nil"/>
              <w:bottom w:val="double" w:sz="6" w:space="0" w:color="D9D9E2"/>
              <w:right w:val="double" w:sz="6" w:space="0" w:color="D9D9E2"/>
            </w:tcBorders>
            <w:shd w:val="clear" w:color="auto" w:fill="auto"/>
            <w:vAlign w:val="center"/>
            <w:hideMark/>
          </w:tcPr>
          <w:p w14:paraId="48BA5A52"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985,070</w:t>
            </w:r>
          </w:p>
        </w:tc>
        <w:tc>
          <w:tcPr>
            <w:tcW w:w="1180" w:type="dxa"/>
            <w:tcBorders>
              <w:top w:val="nil"/>
              <w:left w:val="nil"/>
              <w:bottom w:val="double" w:sz="6" w:space="0" w:color="D9D9E2"/>
              <w:right w:val="double" w:sz="6" w:space="0" w:color="D9D9E2"/>
            </w:tcBorders>
            <w:shd w:val="clear" w:color="auto" w:fill="auto"/>
            <w:vAlign w:val="center"/>
            <w:hideMark/>
          </w:tcPr>
          <w:p w14:paraId="48BA5A53" w14:textId="77777777" w:rsidR="008470CD" w:rsidRPr="008470CD" w:rsidRDefault="008470CD" w:rsidP="008470CD">
            <w:pPr>
              <w:spacing w:after="0" w:line="240" w:lineRule="auto"/>
              <w:jc w:val="right"/>
              <w:rPr>
                <w:rFonts w:eastAsia="Times New Roman" w:cs="Times New Roman"/>
                <w:color w:val="000000"/>
                <w:szCs w:val="24"/>
                <w:lang w:val="en-US"/>
              </w:rPr>
            </w:pPr>
            <w:r w:rsidRPr="008470CD">
              <w:rPr>
                <w:rFonts w:eastAsia="Times New Roman" w:cs="Times New Roman"/>
                <w:color w:val="000000"/>
                <w:szCs w:val="24"/>
                <w:lang w:val="en-US"/>
              </w:rPr>
              <w:t>797,640</w:t>
            </w:r>
          </w:p>
        </w:tc>
      </w:tr>
      <w:tr w:rsidR="008470CD" w:rsidRPr="008470CD" w14:paraId="48BA5A59" w14:textId="77777777" w:rsidTr="008470CD">
        <w:trPr>
          <w:trHeight w:val="6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A55" w14:textId="77777777" w:rsidR="008470CD" w:rsidRPr="008470CD" w:rsidRDefault="008470CD" w:rsidP="008470CD">
            <w:pPr>
              <w:spacing w:after="0" w:line="240" w:lineRule="auto"/>
              <w:jc w:val="left"/>
              <w:rPr>
                <w:rFonts w:eastAsia="Times New Roman" w:cs="Times New Roman"/>
                <w:b/>
                <w:bCs/>
                <w:color w:val="000000"/>
                <w:szCs w:val="24"/>
                <w:lang w:val="en-US"/>
              </w:rPr>
            </w:pPr>
            <w:r w:rsidRPr="008470CD">
              <w:rPr>
                <w:rFonts w:eastAsia="Times New Roman" w:cs="Times New Roman"/>
                <w:b/>
                <w:bCs/>
                <w:color w:val="000000"/>
                <w:szCs w:val="24"/>
                <w:lang w:val="en-US"/>
              </w:rPr>
              <w:t>TOTAL CURRENT LIABILITIES</w:t>
            </w:r>
          </w:p>
        </w:tc>
        <w:tc>
          <w:tcPr>
            <w:tcW w:w="1180" w:type="dxa"/>
            <w:tcBorders>
              <w:top w:val="nil"/>
              <w:left w:val="nil"/>
              <w:bottom w:val="double" w:sz="6" w:space="0" w:color="D9D9E2"/>
              <w:right w:val="double" w:sz="6" w:space="0" w:color="D9D9E2"/>
            </w:tcBorders>
            <w:shd w:val="clear" w:color="auto" w:fill="auto"/>
            <w:vAlign w:val="center"/>
            <w:hideMark/>
          </w:tcPr>
          <w:p w14:paraId="48BA5A56" w14:textId="77777777" w:rsidR="008470CD" w:rsidRPr="008470CD" w:rsidRDefault="008470CD" w:rsidP="008470CD">
            <w:pPr>
              <w:spacing w:after="0" w:line="240" w:lineRule="auto"/>
              <w:jc w:val="right"/>
              <w:rPr>
                <w:rFonts w:eastAsia="Times New Roman" w:cs="Times New Roman"/>
                <w:b/>
                <w:bCs/>
                <w:color w:val="000000"/>
                <w:szCs w:val="24"/>
                <w:lang w:val="en-US"/>
              </w:rPr>
            </w:pPr>
            <w:r w:rsidRPr="008470CD">
              <w:rPr>
                <w:rFonts w:eastAsia="Times New Roman" w:cs="Times New Roman"/>
                <w:b/>
                <w:bCs/>
                <w:color w:val="000000"/>
                <w:szCs w:val="24"/>
                <w:lang w:val="en-US"/>
              </w:rPr>
              <w:t>1,957,360</w:t>
            </w:r>
          </w:p>
        </w:tc>
        <w:tc>
          <w:tcPr>
            <w:tcW w:w="1180" w:type="dxa"/>
            <w:tcBorders>
              <w:top w:val="nil"/>
              <w:left w:val="nil"/>
              <w:bottom w:val="double" w:sz="6" w:space="0" w:color="D9D9E2"/>
              <w:right w:val="double" w:sz="6" w:space="0" w:color="D9D9E2"/>
            </w:tcBorders>
            <w:shd w:val="clear" w:color="auto" w:fill="auto"/>
            <w:vAlign w:val="center"/>
            <w:hideMark/>
          </w:tcPr>
          <w:p w14:paraId="48BA5A57" w14:textId="77777777" w:rsidR="008470CD" w:rsidRPr="008470CD" w:rsidRDefault="008470CD" w:rsidP="008470CD">
            <w:pPr>
              <w:spacing w:after="0" w:line="240" w:lineRule="auto"/>
              <w:jc w:val="right"/>
              <w:rPr>
                <w:rFonts w:eastAsia="Times New Roman" w:cs="Times New Roman"/>
                <w:b/>
                <w:bCs/>
                <w:color w:val="000000"/>
                <w:szCs w:val="24"/>
                <w:lang w:val="en-US"/>
              </w:rPr>
            </w:pPr>
            <w:r w:rsidRPr="008470CD">
              <w:rPr>
                <w:rFonts w:eastAsia="Times New Roman" w:cs="Times New Roman"/>
                <w:b/>
                <w:bCs/>
                <w:color w:val="000000"/>
                <w:szCs w:val="24"/>
                <w:lang w:val="en-US"/>
              </w:rPr>
              <w:t>2,107,750</w:t>
            </w:r>
          </w:p>
        </w:tc>
        <w:tc>
          <w:tcPr>
            <w:tcW w:w="1180" w:type="dxa"/>
            <w:tcBorders>
              <w:top w:val="nil"/>
              <w:left w:val="nil"/>
              <w:bottom w:val="double" w:sz="6" w:space="0" w:color="D9D9E2"/>
              <w:right w:val="double" w:sz="6" w:space="0" w:color="D9D9E2"/>
            </w:tcBorders>
            <w:shd w:val="clear" w:color="auto" w:fill="auto"/>
            <w:vAlign w:val="center"/>
            <w:hideMark/>
          </w:tcPr>
          <w:p w14:paraId="48BA5A58" w14:textId="77777777" w:rsidR="008470CD" w:rsidRPr="008470CD" w:rsidRDefault="008470CD" w:rsidP="008470CD">
            <w:pPr>
              <w:spacing w:after="0" w:line="240" w:lineRule="auto"/>
              <w:jc w:val="right"/>
              <w:rPr>
                <w:rFonts w:eastAsia="Times New Roman" w:cs="Times New Roman"/>
                <w:b/>
                <w:bCs/>
                <w:color w:val="000000"/>
                <w:szCs w:val="24"/>
                <w:lang w:val="en-US"/>
              </w:rPr>
            </w:pPr>
            <w:r w:rsidRPr="008470CD">
              <w:rPr>
                <w:rFonts w:eastAsia="Times New Roman" w:cs="Times New Roman"/>
                <w:b/>
                <w:bCs/>
                <w:color w:val="000000"/>
                <w:szCs w:val="24"/>
                <w:lang w:val="en-US"/>
              </w:rPr>
              <w:t>2,014,600</w:t>
            </w:r>
          </w:p>
        </w:tc>
      </w:tr>
      <w:tr w:rsidR="008470CD" w:rsidRPr="008470CD" w14:paraId="48BA5A5E" w14:textId="77777777" w:rsidTr="008470CD">
        <w:trPr>
          <w:trHeight w:val="3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A5A" w14:textId="77777777" w:rsidR="008470CD" w:rsidRPr="008470CD" w:rsidRDefault="008470CD" w:rsidP="008470CD">
            <w:pPr>
              <w:spacing w:after="0" w:line="240" w:lineRule="auto"/>
              <w:jc w:val="left"/>
              <w:rPr>
                <w:rFonts w:eastAsia="Times New Roman" w:cs="Times New Roman"/>
                <w:b/>
                <w:bCs/>
                <w:color w:val="000000"/>
                <w:szCs w:val="24"/>
                <w:lang w:val="en-US"/>
              </w:rPr>
            </w:pPr>
            <w:r w:rsidRPr="008470CD">
              <w:rPr>
                <w:rFonts w:eastAsia="Times New Roman" w:cs="Times New Roman"/>
                <w:b/>
                <w:bCs/>
                <w:color w:val="000000"/>
                <w:szCs w:val="24"/>
                <w:lang w:val="en-US"/>
              </w:rPr>
              <w:t>TOTAL LIABILITIES</w:t>
            </w:r>
          </w:p>
        </w:tc>
        <w:tc>
          <w:tcPr>
            <w:tcW w:w="1180" w:type="dxa"/>
            <w:tcBorders>
              <w:top w:val="nil"/>
              <w:left w:val="nil"/>
              <w:bottom w:val="double" w:sz="6" w:space="0" w:color="D9D9E2"/>
              <w:right w:val="double" w:sz="6" w:space="0" w:color="D9D9E2"/>
            </w:tcBorders>
            <w:shd w:val="clear" w:color="auto" w:fill="auto"/>
            <w:vAlign w:val="center"/>
            <w:hideMark/>
          </w:tcPr>
          <w:p w14:paraId="48BA5A5B" w14:textId="77777777" w:rsidR="008470CD" w:rsidRPr="008470CD" w:rsidRDefault="008470CD" w:rsidP="008470CD">
            <w:pPr>
              <w:spacing w:after="0" w:line="240" w:lineRule="auto"/>
              <w:jc w:val="right"/>
              <w:rPr>
                <w:rFonts w:eastAsia="Times New Roman" w:cs="Times New Roman"/>
                <w:b/>
                <w:bCs/>
                <w:color w:val="000000"/>
                <w:szCs w:val="24"/>
                <w:lang w:val="en-US"/>
              </w:rPr>
            </w:pPr>
            <w:r w:rsidRPr="008470CD">
              <w:rPr>
                <w:rFonts w:eastAsia="Times New Roman" w:cs="Times New Roman"/>
                <w:b/>
                <w:bCs/>
                <w:color w:val="000000"/>
                <w:szCs w:val="24"/>
                <w:lang w:val="en-US"/>
              </w:rPr>
              <w:t>10,684,940</w:t>
            </w:r>
          </w:p>
        </w:tc>
        <w:tc>
          <w:tcPr>
            <w:tcW w:w="1180" w:type="dxa"/>
            <w:tcBorders>
              <w:top w:val="nil"/>
              <w:left w:val="nil"/>
              <w:bottom w:val="double" w:sz="6" w:space="0" w:color="D9D9E2"/>
              <w:right w:val="double" w:sz="6" w:space="0" w:color="D9D9E2"/>
            </w:tcBorders>
            <w:shd w:val="clear" w:color="auto" w:fill="auto"/>
            <w:vAlign w:val="center"/>
            <w:hideMark/>
          </w:tcPr>
          <w:p w14:paraId="48BA5A5C" w14:textId="77777777" w:rsidR="008470CD" w:rsidRPr="008470CD" w:rsidRDefault="008470CD" w:rsidP="008470CD">
            <w:pPr>
              <w:spacing w:after="0" w:line="240" w:lineRule="auto"/>
              <w:jc w:val="right"/>
              <w:rPr>
                <w:rFonts w:eastAsia="Times New Roman" w:cs="Times New Roman"/>
                <w:b/>
                <w:bCs/>
                <w:color w:val="000000"/>
                <w:szCs w:val="24"/>
                <w:lang w:val="en-US"/>
              </w:rPr>
            </w:pPr>
            <w:r w:rsidRPr="008470CD">
              <w:rPr>
                <w:rFonts w:eastAsia="Times New Roman" w:cs="Times New Roman"/>
                <w:b/>
                <w:bCs/>
                <w:color w:val="000000"/>
                <w:szCs w:val="24"/>
                <w:lang w:val="en-US"/>
              </w:rPr>
              <w:t>13,338,050</w:t>
            </w:r>
          </w:p>
        </w:tc>
        <w:tc>
          <w:tcPr>
            <w:tcW w:w="1180" w:type="dxa"/>
            <w:tcBorders>
              <w:top w:val="nil"/>
              <w:left w:val="nil"/>
              <w:bottom w:val="double" w:sz="6" w:space="0" w:color="D9D9E2"/>
              <w:right w:val="double" w:sz="6" w:space="0" w:color="D9D9E2"/>
            </w:tcBorders>
            <w:shd w:val="clear" w:color="auto" w:fill="auto"/>
            <w:vAlign w:val="center"/>
            <w:hideMark/>
          </w:tcPr>
          <w:p w14:paraId="48BA5A5D" w14:textId="77777777" w:rsidR="008470CD" w:rsidRPr="008470CD" w:rsidRDefault="008470CD" w:rsidP="008470CD">
            <w:pPr>
              <w:spacing w:after="0" w:line="240" w:lineRule="auto"/>
              <w:jc w:val="right"/>
              <w:rPr>
                <w:rFonts w:eastAsia="Times New Roman" w:cs="Times New Roman"/>
                <w:b/>
                <w:bCs/>
                <w:color w:val="000000"/>
                <w:szCs w:val="24"/>
                <w:lang w:val="en-US"/>
              </w:rPr>
            </w:pPr>
            <w:r w:rsidRPr="008470CD">
              <w:rPr>
                <w:rFonts w:eastAsia="Times New Roman" w:cs="Times New Roman"/>
                <w:b/>
                <w:bCs/>
                <w:color w:val="000000"/>
                <w:szCs w:val="24"/>
                <w:lang w:val="en-US"/>
              </w:rPr>
              <w:t>14,243,390</w:t>
            </w:r>
          </w:p>
        </w:tc>
      </w:tr>
      <w:tr w:rsidR="008470CD" w:rsidRPr="008470CD" w14:paraId="48BA5A63" w14:textId="77777777" w:rsidTr="008470CD">
        <w:trPr>
          <w:trHeight w:val="630"/>
          <w:jc w:val="center"/>
        </w:trPr>
        <w:tc>
          <w:tcPr>
            <w:tcW w:w="3380" w:type="dxa"/>
            <w:tcBorders>
              <w:top w:val="nil"/>
              <w:left w:val="double" w:sz="6" w:space="0" w:color="D9D9E2"/>
              <w:bottom w:val="double" w:sz="6" w:space="0" w:color="D9D9E2"/>
              <w:right w:val="double" w:sz="6" w:space="0" w:color="D9D9E2"/>
            </w:tcBorders>
            <w:shd w:val="clear" w:color="auto" w:fill="auto"/>
            <w:vAlign w:val="center"/>
            <w:hideMark/>
          </w:tcPr>
          <w:p w14:paraId="48BA5A5F" w14:textId="77777777" w:rsidR="008470CD" w:rsidRPr="008470CD" w:rsidRDefault="008470CD" w:rsidP="008470CD">
            <w:pPr>
              <w:spacing w:after="0" w:line="240" w:lineRule="auto"/>
              <w:jc w:val="left"/>
              <w:rPr>
                <w:rFonts w:eastAsia="Times New Roman" w:cs="Times New Roman"/>
                <w:b/>
                <w:bCs/>
                <w:color w:val="000000"/>
                <w:szCs w:val="24"/>
                <w:lang w:val="en-US"/>
              </w:rPr>
            </w:pPr>
            <w:r w:rsidRPr="008470CD">
              <w:rPr>
                <w:rFonts w:eastAsia="Times New Roman" w:cs="Times New Roman"/>
                <w:b/>
                <w:bCs/>
                <w:color w:val="000000"/>
                <w:szCs w:val="24"/>
                <w:lang w:val="en-US"/>
              </w:rPr>
              <w:t>TOTAL EQUITY AND LIABILITIES</w:t>
            </w:r>
          </w:p>
        </w:tc>
        <w:tc>
          <w:tcPr>
            <w:tcW w:w="1180" w:type="dxa"/>
            <w:tcBorders>
              <w:top w:val="nil"/>
              <w:left w:val="nil"/>
              <w:bottom w:val="double" w:sz="6" w:space="0" w:color="D9D9E2"/>
              <w:right w:val="double" w:sz="6" w:space="0" w:color="D9D9E2"/>
            </w:tcBorders>
            <w:shd w:val="clear" w:color="auto" w:fill="auto"/>
            <w:vAlign w:val="center"/>
            <w:hideMark/>
          </w:tcPr>
          <w:p w14:paraId="48BA5A60" w14:textId="77777777" w:rsidR="008470CD" w:rsidRPr="008470CD" w:rsidRDefault="008470CD" w:rsidP="008470CD">
            <w:pPr>
              <w:spacing w:after="0" w:line="240" w:lineRule="auto"/>
              <w:jc w:val="right"/>
              <w:rPr>
                <w:rFonts w:eastAsia="Times New Roman" w:cs="Times New Roman"/>
                <w:b/>
                <w:bCs/>
                <w:color w:val="000000"/>
                <w:szCs w:val="24"/>
                <w:lang w:val="en-US"/>
              </w:rPr>
            </w:pPr>
            <w:r w:rsidRPr="008470CD">
              <w:rPr>
                <w:rFonts w:eastAsia="Times New Roman" w:cs="Times New Roman"/>
                <w:b/>
                <w:bCs/>
                <w:color w:val="000000"/>
                <w:szCs w:val="24"/>
                <w:lang w:val="en-US"/>
              </w:rPr>
              <w:t>12,941,110</w:t>
            </w:r>
          </w:p>
        </w:tc>
        <w:tc>
          <w:tcPr>
            <w:tcW w:w="1180" w:type="dxa"/>
            <w:tcBorders>
              <w:top w:val="nil"/>
              <w:left w:val="nil"/>
              <w:bottom w:val="double" w:sz="6" w:space="0" w:color="D9D9E2"/>
              <w:right w:val="double" w:sz="6" w:space="0" w:color="D9D9E2"/>
            </w:tcBorders>
            <w:shd w:val="clear" w:color="auto" w:fill="auto"/>
            <w:vAlign w:val="center"/>
            <w:hideMark/>
          </w:tcPr>
          <w:p w14:paraId="48BA5A61" w14:textId="77777777" w:rsidR="008470CD" w:rsidRPr="008470CD" w:rsidRDefault="008470CD" w:rsidP="008470CD">
            <w:pPr>
              <w:spacing w:after="0" w:line="240" w:lineRule="auto"/>
              <w:jc w:val="right"/>
              <w:rPr>
                <w:rFonts w:eastAsia="Times New Roman" w:cs="Times New Roman"/>
                <w:b/>
                <w:bCs/>
                <w:color w:val="000000"/>
                <w:szCs w:val="24"/>
                <w:lang w:val="en-US"/>
              </w:rPr>
            </w:pPr>
            <w:r w:rsidRPr="008470CD">
              <w:rPr>
                <w:rFonts w:eastAsia="Times New Roman" w:cs="Times New Roman"/>
                <w:b/>
                <w:bCs/>
                <w:color w:val="000000"/>
                <w:szCs w:val="24"/>
                <w:lang w:val="en-US"/>
              </w:rPr>
              <w:t>15,921,080</w:t>
            </w:r>
          </w:p>
        </w:tc>
        <w:tc>
          <w:tcPr>
            <w:tcW w:w="1180" w:type="dxa"/>
            <w:tcBorders>
              <w:top w:val="nil"/>
              <w:left w:val="nil"/>
              <w:bottom w:val="double" w:sz="6" w:space="0" w:color="D9D9E2"/>
              <w:right w:val="double" w:sz="6" w:space="0" w:color="D9D9E2"/>
            </w:tcBorders>
            <w:shd w:val="clear" w:color="auto" w:fill="auto"/>
            <w:vAlign w:val="center"/>
            <w:hideMark/>
          </w:tcPr>
          <w:p w14:paraId="48BA5A62" w14:textId="77777777" w:rsidR="008470CD" w:rsidRPr="008470CD" w:rsidRDefault="008470CD" w:rsidP="008470CD">
            <w:pPr>
              <w:spacing w:after="0" w:line="240" w:lineRule="auto"/>
              <w:jc w:val="right"/>
              <w:rPr>
                <w:rFonts w:eastAsia="Times New Roman" w:cs="Times New Roman"/>
                <w:b/>
                <w:bCs/>
                <w:color w:val="000000"/>
                <w:szCs w:val="24"/>
                <w:lang w:val="en-US"/>
              </w:rPr>
            </w:pPr>
            <w:r w:rsidRPr="008470CD">
              <w:rPr>
                <w:rFonts w:eastAsia="Times New Roman" w:cs="Times New Roman"/>
                <w:b/>
                <w:bCs/>
                <w:color w:val="000000"/>
                <w:szCs w:val="24"/>
                <w:lang w:val="en-US"/>
              </w:rPr>
              <w:t>15,653,970</w:t>
            </w:r>
          </w:p>
        </w:tc>
      </w:tr>
    </w:tbl>
    <w:p w14:paraId="48BA5A64" w14:textId="77777777" w:rsidR="008470CD" w:rsidRPr="00F42439" w:rsidRDefault="008470CD" w:rsidP="00F42439"/>
    <w:p w14:paraId="48BA5A65" w14:textId="2FFDEAE4" w:rsidR="0026092C" w:rsidRDefault="003073EF" w:rsidP="00341F25">
      <w:r w:rsidRPr="002C1A81">
        <w:t>The financial performance of The City Hotel comparing the three years is indicated by the provided income statement and balance sheet. It reveals significant trends in the market based on the revenue, significant expenses, and rates of profitability, liquidity ratio, and solvency</w:t>
      </w:r>
      <w:r w:rsidR="00311EE4">
        <w:t xml:space="preserve"> (Uyar et al., 2020)</w:t>
      </w:r>
      <w:r w:rsidRPr="002C1A81">
        <w:t xml:space="preserve">. </w:t>
      </w:r>
      <w:r w:rsidR="00760CB5" w:rsidRPr="002C1A81">
        <w:t xml:space="preserve">From the given financial measures using </w:t>
      </w:r>
      <w:r w:rsidR="005749D2">
        <w:t xml:space="preserve">the </w:t>
      </w:r>
      <w:r w:rsidR="00760CB5" w:rsidRPr="002C1A81">
        <w:t xml:space="preserve">balance sheet and income statement of the City Hotel, the revenue trends are estimated as considering an appropriate decline in overall revenue from £5,248,290 in 2021 to £2,325,440 in 2023 respectively. It seems changes and dropping of approx.56% in three years. The decline is concerned and reflected with the emerging challenges of the hospitality industry that impact on the operations using external factors like changes in the services at the time of COVID-19 pandemic. It also impacted the measures taken to manage the consumer </w:t>
      </w:r>
      <w:r w:rsidR="002C1A81" w:rsidRPr="002C1A81">
        <w:t>behaviours</w:t>
      </w:r>
      <w:r w:rsidR="00760CB5" w:rsidRPr="002C1A81">
        <w:t xml:space="preserve">. </w:t>
      </w:r>
      <w:r w:rsidR="002C1A81" w:rsidRPr="002C1A81">
        <w:t>There is an</w:t>
      </w:r>
      <w:r w:rsidR="00760CB5" w:rsidRPr="002C1A81">
        <w:t xml:space="preserve"> increase in </w:t>
      </w:r>
      <w:r w:rsidR="002C1A81" w:rsidRPr="002C1A81">
        <w:t xml:space="preserve">overall </w:t>
      </w:r>
      <w:r w:rsidR="00760CB5" w:rsidRPr="002C1A81">
        <w:t xml:space="preserve">revenue from £5,248,290 in 2021 to £5,307,480 in 2022 </w:t>
      </w:r>
      <w:r w:rsidR="002C1A81" w:rsidRPr="002C1A81">
        <w:t>that allows a temporary recovery and the process of stabilis</w:t>
      </w:r>
      <w:r w:rsidR="002C1A81">
        <w:t xml:space="preserve">ation. It also faces a definite and </w:t>
      </w:r>
      <w:r w:rsidR="00760CB5" w:rsidRPr="002C1A81">
        <w:t xml:space="preserve">sharp decline in 2023 </w:t>
      </w:r>
      <w:r w:rsidR="002C1A81">
        <w:t>that allows the process of</w:t>
      </w:r>
      <w:r w:rsidR="00760CB5" w:rsidRPr="002C1A81">
        <w:t xml:space="preserve"> recovery </w:t>
      </w:r>
      <w:r w:rsidR="002C1A81">
        <w:t>as not</w:t>
      </w:r>
      <w:r w:rsidR="00760CB5" w:rsidRPr="002C1A81">
        <w:t xml:space="preserve"> sustainable</w:t>
      </w:r>
      <w:r w:rsidR="002C1A81">
        <w:t xml:space="preserve"> for the operations and services of a hotel</w:t>
      </w:r>
      <w:r w:rsidR="00760CB5" w:rsidRPr="002C1A81">
        <w:t>.</w:t>
      </w:r>
      <w:r w:rsidR="0081756F">
        <w:t xml:space="preserve"> To examine the expense analysis of The City Hotel, it develops understanding to the measures taken for the </w:t>
      </w:r>
      <w:r w:rsidR="0081756F" w:rsidRPr="0081756F">
        <w:t xml:space="preserve">cost of goods </w:t>
      </w:r>
      <w:r w:rsidR="0081756F">
        <w:t>that are implemented to the decrease</w:t>
      </w:r>
      <w:r w:rsidR="0081756F" w:rsidRPr="0081756F">
        <w:t xml:space="preserve"> from £411,6</w:t>
      </w:r>
      <w:r w:rsidR="0081756F">
        <w:t>00 in 2021 to £176,250 in 2023 respectively. The financial statement defines the</w:t>
      </w:r>
      <w:r w:rsidR="0081756F" w:rsidRPr="0081756F">
        <w:t xml:space="preserve"> costs </w:t>
      </w:r>
      <w:r w:rsidR="0081756F">
        <w:t>that has not decreased the</w:t>
      </w:r>
      <w:r w:rsidR="0081756F" w:rsidRPr="0081756F">
        <w:t xml:space="preserve"> proportionally</w:t>
      </w:r>
      <w:r w:rsidR="0081756F">
        <w:t xml:space="preserve"> of the expenses. The e</w:t>
      </w:r>
      <w:r w:rsidR="0081756F" w:rsidRPr="0081756F">
        <w:t xml:space="preserve">mployee costs </w:t>
      </w:r>
      <w:r w:rsidR="0081756F">
        <w:t xml:space="preserve">has </w:t>
      </w:r>
      <w:r w:rsidR="0081756F" w:rsidRPr="0081756F">
        <w:t xml:space="preserve">dropped from £1,724,760 to £1,233,160 </w:t>
      </w:r>
      <w:r w:rsidR="0081756F">
        <w:t xml:space="preserve">within the same period. </w:t>
      </w:r>
    </w:p>
    <w:p w14:paraId="48BA5A66" w14:textId="77777777" w:rsidR="0026092C" w:rsidRDefault="0026092C" w:rsidP="0026092C">
      <w:pPr>
        <w:keepNext/>
        <w:jc w:val="center"/>
      </w:pPr>
      <w:r>
        <w:rPr>
          <w:noProof/>
          <w:lang w:val="en-US"/>
        </w:rPr>
        <w:drawing>
          <wp:inline distT="0" distB="0" distL="0" distR="0" wp14:anchorId="48BA5A88" wp14:editId="48BA5A89">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8BA5A67" w14:textId="77777777" w:rsidR="0026092C" w:rsidRDefault="0026092C" w:rsidP="0026092C">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Decline in the Revenue</w:t>
      </w:r>
    </w:p>
    <w:p w14:paraId="48BA5A68" w14:textId="217149E6" w:rsidR="0026092C" w:rsidRDefault="0081756F" w:rsidP="00341F25">
      <w:r>
        <w:t>The decline indicates a possible layoff</w:t>
      </w:r>
      <w:r w:rsidRPr="0081756F">
        <w:t xml:space="preserve"> </w:t>
      </w:r>
      <w:r>
        <w:t>and reduction in the qualified</w:t>
      </w:r>
      <w:r w:rsidRPr="0081756F">
        <w:t xml:space="preserve"> </w:t>
      </w:r>
      <w:r>
        <w:t>staff members</w:t>
      </w:r>
      <w:r w:rsidRPr="0081756F">
        <w:t xml:space="preserve"> </w:t>
      </w:r>
      <w:r>
        <w:t>towards the</w:t>
      </w:r>
      <w:r w:rsidRPr="0081756F">
        <w:t xml:space="preserve"> response </w:t>
      </w:r>
      <w:r>
        <w:t xml:space="preserve">of the </w:t>
      </w:r>
      <w:r w:rsidR="00C17051">
        <w:t>revenue decline</w:t>
      </w:r>
      <w:r>
        <w:t>. The e</w:t>
      </w:r>
      <w:r w:rsidRPr="0081756F">
        <w:t xml:space="preserve">xternal expenses </w:t>
      </w:r>
      <w:r w:rsidR="00C17051">
        <w:t>decrease</w:t>
      </w:r>
      <w:r>
        <w:t xml:space="preserve"> from</w:t>
      </w:r>
      <w:r w:rsidRPr="0081756F">
        <w:t xml:space="preserve"> £1,894,720 to £1,071,030</w:t>
      </w:r>
      <w:r>
        <w:t xml:space="preserve"> in three years</w:t>
      </w:r>
      <w:r w:rsidRPr="0081756F">
        <w:t xml:space="preserve">. </w:t>
      </w:r>
      <w:r w:rsidR="001E2B08">
        <w:t>Apart from the</w:t>
      </w:r>
      <w:r w:rsidRPr="0081756F">
        <w:t xml:space="preserve"> reductions in </w:t>
      </w:r>
      <w:r w:rsidR="001E2B08">
        <w:t>different variable costs</w:t>
      </w:r>
      <w:r w:rsidR="00743627">
        <w:t>,</w:t>
      </w:r>
      <w:r w:rsidR="001E2B08">
        <w:t xml:space="preserve"> the </w:t>
      </w:r>
      <w:r w:rsidRPr="0081756F">
        <w:t xml:space="preserve">fixed costs </w:t>
      </w:r>
      <w:r w:rsidR="001E2B08">
        <w:t>of The City Hotel determine the value of</w:t>
      </w:r>
      <w:r w:rsidRPr="0081756F">
        <w:t xml:space="preserve"> depreciation and </w:t>
      </w:r>
      <w:r w:rsidR="001E2B08" w:rsidRPr="0081756F">
        <w:t>repayment</w:t>
      </w:r>
      <w:r w:rsidRPr="0081756F">
        <w:t xml:space="preserve"> </w:t>
      </w:r>
      <w:r w:rsidR="001E2B08">
        <w:t>with the significant increase of almost</w:t>
      </w:r>
      <w:r w:rsidRPr="0081756F">
        <w:t xml:space="preserve"> £409,190 in 2021 </w:t>
      </w:r>
      <w:r w:rsidR="001E2B08">
        <w:t>from</w:t>
      </w:r>
      <w:r w:rsidRPr="0081756F">
        <w:t xml:space="preserve"> £661,590 in 2023</w:t>
      </w:r>
      <w:r w:rsidR="001E2B08">
        <w:t xml:space="preserve"> respectively</w:t>
      </w:r>
      <w:r w:rsidRPr="0081756F">
        <w:t xml:space="preserve">. </w:t>
      </w:r>
      <w:r w:rsidR="001E2B08">
        <w:t>The consideration determines the increases in the</w:t>
      </w:r>
      <w:r w:rsidRPr="0081756F">
        <w:t xml:space="preserve"> fixed costs </w:t>
      </w:r>
      <w:r w:rsidR="001E2B08">
        <w:t>that manages a</w:t>
      </w:r>
      <w:r w:rsidRPr="0081756F">
        <w:t xml:space="preserve"> deteriorating </w:t>
      </w:r>
      <w:r w:rsidR="001E2B08">
        <w:t xml:space="preserve">system for the </w:t>
      </w:r>
      <w:r w:rsidRPr="0081756F">
        <w:t>financial situation.</w:t>
      </w:r>
    </w:p>
    <w:p w14:paraId="48BA5A69" w14:textId="122CC085" w:rsidR="00FF3C55" w:rsidRDefault="003A6F3B" w:rsidP="00341F25">
      <w:r>
        <w:t xml:space="preserve">The profitability trends in the case determine the </w:t>
      </w:r>
      <w:r w:rsidRPr="003A6F3B">
        <w:t xml:space="preserve">operating income analysis </w:t>
      </w:r>
      <w:r>
        <w:t xml:space="preserve">to manage </w:t>
      </w:r>
      <w:r w:rsidRPr="003A6F3B">
        <w:t xml:space="preserve">troubling </w:t>
      </w:r>
      <w:r>
        <w:t>effects in the operation</w:t>
      </w:r>
      <w:r w:rsidR="00311EE4">
        <w:t xml:space="preserve"> (</w:t>
      </w:r>
      <w:r w:rsidR="00311EE4">
        <w:rPr>
          <w:rFonts w:cs="Times New Roman"/>
          <w:color w:val="222222"/>
          <w:szCs w:val="24"/>
          <w:shd w:val="clear" w:color="auto" w:fill="FFFFFF"/>
        </w:rPr>
        <w:t xml:space="preserve">Tharmini </w:t>
      </w:r>
      <w:r w:rsidR="00311EE4" w:rsidRPr="00CF39FA">
        <w:rPr>
          <w:rFonts w:cs="Times New Roman"/>
          <w:color w:val="222222"/>
          <w:szCs w:val="24"/>
          <w:shd w:val="clear" w:color="auto" w:fill="FFFFFF"/>
        </w:rPr>
        <w:t>and Lakshan,</w:t>
      </w:r>
      <w:r w:rsidR="00311EE4">
        <w:rPr>
          <w:rFonts w:cs="Times New Roman"/>
          <w:color w:val="222222"/>
          <w:szCs w:val="24"/>
          <w:shd w:val="clear" w:color="auto" w:fill="FFFFFF"/>
        </w:rPr>
        <w:t xml:space="preserve"> 2021)</w:t>
      </w:r>
      <w:r>
        <w:t>. It seems that the</w:t>
      </w:r>
      <w:r w:rsidRPr="003A6F3B">
        <w:t xml:space="preserve"> operating income </w:t>
      </w:r>
      <w:r>
        <w:t xml:space="preserve">has </w:t>
      </w:r>
      <w:r w:rsidRPr="003A6F3B">
        <w:t xml:space="preserve">shifted from a </w:t>
      </w:r>
      <w:r>
        <w:t xml:space="preserve">greater </w:t>
      </w:r>
      <w:r w:rsidRPr="003A6F3B">
        <w:t xml:space="preserve">profit of £664,160 in 2021 </w:t>
      </w:r>
      <w:r>
        <w:t>towards a</w:t>
      </w:r>
      <w:r w:rsidRPr="003A6F3B">
        <w:t xml:space="preserve"> loss of £1,218,850 by </w:t>
      </w:r>
      <w:r>
        <w:t>the end of 2023. There are some</w:t>
      </w:r>
      <w:r w:rsidRPr="003A6F3B">
        <w:t xml:space="preserve"> dramatic change</w:t>
      </w:r>
      <w:r>
        <w:t>s to</w:t>
      </w:r>
      <w:r w:rsidRPr="003A6F3B">
        <w:t xml:space="preserve"> unders</w:t>
      </w:r>
      <w:r>
        <w:t>core</w:t>
      </w:r>
      <w:r w:rsidRPr="003A6F3B">
        <w:t xml:space="preserve"> the impact of declining</w:t>
      </w:r>
      <w:r>
        <w:t xml:space="preserve"> the</w:t>
      </w:r>
      <w:r w:rsidRPr="003A6F3B">
        <w:t xml:space="preserve"> revenues and </w:t>
      </w:r>
      <w:r>
        <w:t>make increases in the fixed costs over the</w:t>
      </w:r>
      <w:r w:rsidRPr="003A6F3B">
        <w:t xml:space="preserve"> profitability. </w:t>
      </w:r>
      <w:r>
        <w:t>There is an</w:t>
      </w:r>
      <w:r w:rsidRPr="003A6F3B">
        <w:t xml:space="preserve"> ability </w:t>
      </w:r>
      <w:r>
        <w:t xml:space="preserve">for the hotel management </w:t>
      </w:r>
      <w:r w:rsidRPr="003A6F3B">
        <w:t>to</w:t>
      </w:r>
      <w:r>
        <w:t xml:space="preserve"> make effective generation of the</w:t>
      </w:r>
      <w:r w:rsidRPr="003A6F3B">
        <w:t xml:space="preserve"> profit </w:t>
      </w:r>
      <w:r>
        <w:t>and make severe</w:t>
      </w:r>
      <w:r w:rsidRPr="003A6F3B">
        <w:t xml:space="preserve"> </w:t>
      </w:r>
      <w:r>
        <w:t>management to the</w:t>
      </w:r>
      <w:r w:rsidRPr="003A6F3B">
        <w:t xml:space="preserve"> inability </w:t>
      </w:r>
      <w:r>
        <w:t>for the management of the</w:t>
      </w:r>
      <w:r w:rsidRPr="003A6F3B">
        <w:t xml:space="preserve"> operational costs with </w:t>
      </w:r>
      <w:r>
        <w:t>different levels in the</w:t>
      </w:r>
      <w:r w:rsidRPr="003A6F3B">
        <w:t xml:space="preserve"> revenue</w:t>
      </w:r>
      <w:r>
        <w:t>s</w:t>
      </w:r>
      <w:r w:rsidRPr="003A6F3B">
        <w:t>.</w:t>
      </w:r>
      <w:r w:rsidR="00CF48C3">
        <w:t xml:space="preserve"> </w:t>
      </w:r>
      <w:r w:rsidR="00CF48C3" w:rsidRPr="00CF48C3">
        <w:t xml:space="preserve">Liquidity ratios </w:t>
      </w:r>
      <w:r w:rsidR="00CF48C3">
        <w:t>define the</w:t>
      </w:r>
      <w:r w:rsidR="00CF48C3" w:rsidRPr="00CF48C3">
        <w:t xml:space="preserve"> ability </w:t>
      </w:r>
      <w:r w:rsidR="00CF48C3">
        <w:t>of a hotel for meeting definite</w:t>
      </w:r>
      <w:r w:rsidR="00CF48C3" w:rsidRPr="00CF48C3">
        <w:t xml:space="preserve"> obligations</w:t>
      </w:r>
      <w:r w:rsidR="00BE02DA">
        <w:t xml:space="preserve"> (Sakshi et al., 2020)</w:t>
      </w:r>
      <w:r w:rsidR="00CF48C3" w:rsidRPr="00CF48C3">
        <w:t xml:space="preserve">. </w:t>
      </w:r>
      <w:r w:rsidR="00CF48C3">
        <w:t>There is a specific liquidity ratio</w:t>
      </w:r>
      <w:r w:rsidR="00CF48C3" w:rsidRPr="00CF48C3">
        <w:t xml:space="preserve"> </w:t>
      </w:r>
      <w:r w:rsidR="00CF48C3">
        <w:t xml:space="preserve">like measuring the current ratio and considering the </w:t>
      </w:r>
      <w:r w:rsidR="00CF48C3" w:rsidRPr="00CF48C3">
        <w:t xml:space="preserve">lack of detailed balance sheet </w:t>
      </w:r>
      <w:r w:rsidR="00CF48C3">
        <w:t>for the learning of the</w:t>
      </w:r>
      <w:r w:rsidR="00CF48C3" w:rsidRPr="00CF48C3">
        <w:t xml:space="preserve"> current liabilities </w:t>
      </w:r>
      <w:r w:rsidR="00CF48C3">
        <w:t>from time. The decline in the c</w:t>
      </w:r>
      <w:r w:rsidR="00CF48C3" w:rsidRPr="00CF48C3">
        <w:t xml:space="preserve">ash and cash equivalents </w:t>
      </w:r>
      <w:r w:rsidR="00CF48C3">
        <w:t>seen from £740,590 in 2021 towards £295,510 in 2023. The</w:t>
      </w:r>
      <w:r w:rsidR="00CF48C3" w:rsidRPr="00CF48C3">
        <w:t xml:space="preserve"> reduction </w:t>
      </w:r>
      <w:r w:rsidR="00CF48C3">
        <w:t>increased the</w:t>
      </w:r>
      <w:r w:rsidR="00CF48C3" w:rsidRPr="00CF48C3">
        <w:t xml:space="preserve"> capacity </w:t>
      </w:r>
      <w:r w:rsidR="00CF48C3">
        <w:t>of hotel for meeting the</w:t>
      </w:r>
      <w:r w:rsidR="00CF48C3" w:rsidRPr="00CF48C3">
        <w:t xml:space="preserve"> immediate </w:t>
      </w:r>
      <w:r w:rsidR="00CF48C3">
        <w:t xml:space="preserve">system of the </w:t>
      </w:r>
      <w:r w:rsidR="00CF48C3" w:rsidRPr="00CF48C3">
        <w:t xml:space="preserve">financial obligations without </w:t>
      </w:r>
      <w:r w:rsidR="00CF48C3">
        <w:t>making possibilities in</w:t>
      </w:r>
      <w:r w:rsidR="00CF48C3" w:rsidRPr="00CF48C3">
        <w:t xml:space="preserve"> borrowing </w:t>
      </w:r>
      <w:r w:rsidR="00CF48C3">
        <w:t>the</w:t>
      </w:r>
      <w:r w:rsidR="00CF48C3" w:rsidRPr="00CF48C3">
        <w:t xml:space="preserve"> liquidation</w:t>
      </w:r>
      <w:r w:rsidR="00BE02DA">
        <w:t xml:space="preserve"> (</w:t>
      </w:r>
      <w:proofErr w:type="spellStart"/>
      <w:r w:rsidR="00BE02DA" w:rsidRPr="00CF39FA">
        <w:rPr>
          <w:rFonts w:cs="Times New Roman"/>
          <w:color w:val="222222"/>
          <w:szCs w:val="24"/>
          <w:shd w:val="clear" w:color="auto" w:fill="FFFFFF"/>
        </w:rPr>
        <w:t>Ntounis</w:t>
      </w:r>
      <w:proofErr w:type="spellEnd"/>
      <w:r w:rsidR="00BE02DA">
        <w:rPr>
          <w:rFonts w:cs="Times New Roman"/>
          <w:color w:val="222222"/>
          <w:szCs w:val="24"/>
          <w:shd w:val="clear" w:color="auto" w:fill="FFFFFF"/>
        </w:rPr>
        <w:t xml:space="preserve"> et al., 2022)</w:t>
      </w:r>
      <w:r w:rsidR="00CF48C3" w:rsidRPr="00CF48C3">
        <w:t>.</w:t>
      </w:r>
      <w:r w:rsidR="00FF3C55">
        <w:t xml:space="preserve"> According to the given income statement and balance sheet, the solvency consideration of the financial performance determines the overall</w:t>
      </w:r>
      <w:r w:rsidR="00FF3C55" w:rsidRPr="00FF3C55">
        <w:t xml:space="preserve"> liabilities </w:t>
      </w:r>
      <w:r w:rsidR="00FF3C55">
        <w:t>to make increases</w:t>
      </w:r>
      <w:r w:rsidR="00FF3C55" w:rsidRPr="00FF3C55">
        <w:t xml:space="preserve"> from £10,684,940 in 2021 to £14,243,390 in 2023. </w:t>
      </w:r>
      <w:r w:rsidR="00FF3C55">
        <w:t>The increase</w:t>
      </w:r>
      <w:r w:rsidR="00FF3C55" w:rsidRPr="00FF3C55">
        <w:t xml:space="preserve"> </w:t>
      </w:r>
      <w:r w:rsidR="00FF3C55">
        <w:t>allows services to become leverage</w:t>
      </w:r>
      <w:r w:rsidR="00FF3C55" w:rsidRPr="00FF3C55">
        <w:t xml:space="preserve"> </w:t>
      </w:r>
      <w:r w:rsidR="00FF3C55">
        <w:t>and face definite</w:t>
      </w:r>
      <w:r w:rsidR="00FF3C55" w:rsidRPr="00FF3C55">
        <w:t xml:space="preserve"> challenges </w:t>
      </w:r>
      <w:r w:rsidR="00FF3C55">
        <w:t>to fulfil the</w:t>
      </w:r>
      <w:r w:rsidR="00FF3C55" w:rsidRPr="00FF3C55">
        <w:t xml:space="preserve"> long-term obligations </w:t>
      </w:r>
      <w:r w:rsidR="00FF3C55">
        <w:t>while considering the</w:t>
      </w:r>
      <w:r w:rsidR="00FF3C55" w:rsidRPr="00FF3C55">
        <w:t xml:space="preserve"> losses</w:t>
      </w:r>
      <w:r w:rsidR="00FF3C55">
        <w:t xml:space="preserve"> in the industry. The estimation of the</w:t>
      </w:r>
      <w:r w:rsidR="00FF3C55" w:rsidRPr="00FF3C55">
        <w:t xml:space="preserve"> total equity </w:t>
      </w:r>
      <w:r w:rsidR="00FF3C55">
        <w:t>has</w:t>
      </w:r>
      <w:r w:rsidR="00FF3C55" w:rsidRPr="00FF3C55">
        <w:t xml:space="preserve"> decreased </w:t>
      </w:r>
      <w:r w:rsidR="00FF3C55">
        <w:t>from</w:t>
      </w:r>
      <w:r w:rsidR="00FF3C55" w:rsidRPr="00FF3C55">
        <w:t xml:space="preserve"> £2,256,180 in 2021 to £1,410,580 in 2023 </w:t>
      </w:r>
      <w:r w:rsidR="00FF3C55">
        <w:t>as facing some</w:t>
      </w:r>
      <w:r w:rsidR="00FF3C55" w:rsidRPr="00FF3C55">
        <w:t xml:space="preserve"> </w:t>
      </w:r>
      <w:r w:rsidR="00FF3C55">
        <w:t>definite</w:t>
      </w:r>
      <w:r w:rsidR="00FF3C55" w:rsidRPr="00FF3C55">
        <w:t xml:space="preserve"> losses.</w:t>
      </w:r>
      <w:r w:rsidR="00FF3C55">
        <w:t xml:space="preserve"> It impacts on the </w:t>
      </w:r>
      <w:r w:rsidR="002E544F">
        <w:t xml:space="preserve">financial stability of </w:t>
      </w:r>
      <w:r w:rsidR="00BB4662">
        <w:t>the hotel</w:t>
      </w:r>
      <w:r w:rsidR="002E544F">
        <w:t xml:space="preserve"> in the hospitality industry</w:t>
      </w:r>
      <w:r w:rsidR="00BB4662">
        <w:t xml:space="preserve"> (Adams, 2024)</w:t>
      </w:r>
      <w:r w:rsidR="002E544F">
        <w:t xml:space="preserve">. </w:t>
      </w:r>
      <w:r w:rsidR="00FF3C55" w:rsidRPr="00FF3C55">
        <w:t xml:space="preserve"> </w:t>
      </w:r>
    </w:p>
    <w:p w14:paraId="48BA5A6A" w14:textId="77777777" w:rsidR="00A60A08" w:rsidRDefault="00A60A08" w:rsidP="00A60A08">
      <w:pPr>
        <w:pStyle w:val="Heading1"/>
        <w:rPr>
          <w:lang w:val="en-GB"/>
        </w:rPr>
      </w:pPr>
      <w:bookmarkStart w:id="2" w:name="_Toc180843442"/>
      <w:r w:rsidRPr="002C1A81">
        <w:rPr>
          <w:lang w:val="en-GB"/>
        </w:rPr>
        <w:t>Declining Factors with Reasons</w:t>
      </w:r>
      <w:bookmarkEnd w:id="2"/>
      <w:r w:rsidR="00102FCE" w:rsidRPr="002C1A81">
        <w:rPr>
          <w:lang w:val="en-GB"/>
        </w:rPr>
        <w:t xml:space="preserve"> </w:t>
      </w:r>
    </w:p>
    <w:p w14:paraId="48BA5A6B" w14:textId="475E2112" w:rsidR="004C4493" w:rsidRDefault="004C4493" w:rsidP="004C4493">
      <w:r w:rsidRPr="004C4493">
        <w:t>The</w:t>
      </w:r>
      <w:r>
        <w:t xml:space="preserve">re are a lot of reasons to face </w:t>
      </w:r>
      <w:r w:rsidR="00783C92">
        <w:t>declining factors in the financial performance at The City Hotel that develop</w:t>
      </w:r>
      <w:r>
        <w:t xml:space="preserve"> the contribution to the</w:t>
      </w:r>
      <w:r w:rsidRPr="004C4493">
        <w:t xml:space="preserve"> internal and external </w:t>
      </w:r>
      <w:r>
        <w:t>elements</w:t>
      </w:r>
      <w:r w:rsidRPr="004C4493">
        <w:t>.</w:t>
      </w:r>
      <w:r>
        <w:t xml:space="preserve"> </w:t>
      </w:r>
      <w:r w:rsidR="00BE02DA">
        <w:t>Lin et al. (2020) elaborated that f</w:t>
      </w:r>
      <w:r>
        <w:t xml:space="preserve">or the internal factors, the service quality is considered effective due to the changes in customer satisfaction in the hospitality sector. The City Hotel faces a decline in service quality due to different reasons such as lack of skilled staff, inadequate provision of training, and higher rates of employee turnover. The inconsistency in </w:t>
      </w:r>
      <w:r w:rsidR="00D540A9">
        <w:t>service delivery is leading towards negative visitor’ experiences that directly affect</w:t>
      </w:r>
      <w:r>
        <w:t xml:space="preserve"> the level of customer satisfaction and profitability</w:t>
      </w:r>
      <w:r w:rsidR="00BE02DA">
        <w:t xml:space="preserve"> (</w:t>
      </w:r>
      <w:r w:rsidR="00BE02DA" w:rsidRPr="00CF39FA">
        <w:rPr>
          <w:rFonts w:cs="Times New Roman"/>
          <w:color w:val="222222"/>
          <w:szCs w:val="24"/>
          <w:shd w:val="clear" w:color="auto" w:fill="FFFFFF"/>
        </w:rPr>
        <w:t>Legrand</w:t>
      </w:r>
      <w:r w:rsidR="00BE02DA">
        <w:rPr>
          <w:rFonts w:cs="Times New Roman"/>
          <w:color w:val="222222"/>
          <w:szCs w:val="24"/>
          <w:shd w:val="clear" w:color="auto" w:fill="FFFFFF"/>
        </w:rPr>
        <w:t xml:space="preserve"> et al., 2022)</w:t>
      </w:r>
      <w:r>
        <w:t>. The challenges in the operational efficiency directly impacts on the profitability of the hotel. Higher staff turnover has resulted in the increase of training costs. It follows the disruption in service delivery and possess a desired system of the operational efficiency. The hotel management needs retaining of the qualified and skilled staff while maintaining the consistent standards in the service delivery processes</w:t>
      </w:r>
      <w:r w:rsidR="00935007">
        <w:t xml:space="preserve"> (</w:t>
      </w:r>
      <w:r w:rsidR="00935007">
        <w:rPr>
          <w:rFonts w:cs="Times New Roman"/>
          <w:color w:val="222222"/>
          <w:szCs w:val="24"/>
          <w:shd w:val="clear" w:color="auto" w:fill="FFFFFF"/>
        </w:rPr>
        <w:t xml:space="preserve">Heald </w:t>
      </w:r>
      <w:r w:rsidR="00935007" w:rsidRPr="00CF39FA">
        <w:rPr>
          <w:rFonts w:cs="Times New Roman"/>
          <w:color w:val="222222"/>
          <w:szCs w:val="24"/>
          <w:shd w:val="clear" w:color="auto" w:fill="FFFFFF"/>
        </w:rPr>
        <w:t>and Hodges,</w:t>
      </w:r>
      <w:r w:rsidR="00935007">
        <w:rPr>
          <w:rFonts w:cs="Times New Roman"/>
          <w:color w:val="222222"/>
          <w:szCs w:val="24"/>
          <w:shd w:val="clear" w:color="auto" w:fill="FFFFFF"/>
        </w:rPr>
        <w:t xml:space="preserve"> 2020)</w:t>
      </w:r>
      <w:r>
        <w:t>. The effective marketing strategies are necessary for the attraction of the guests and maintenance of the competitive positioning within the market. The City Hotel seems not adopting effective and adequate marketing strategies according to the consumer preferences that failed to maintain leverage in the digital marketing channels. It seems in missing such opportunities for reaching to the potential customers. Furthermore, the online reputation management is also essential to make improvements in the guest decisions</w:t>
      </w:r>
      <w:r w:rsidR="00935007">
        <w:t xml:space="preserve"> (</w:t>
      </w:r>
      <w:r w:rsidR="00935007" w:rsidRPr="00CF39FA">
        <w:rPr>
          <w:rFonts w:cs="Times New Roman"/>
          <w:color w:val="222222"/>
          <w:szCs w:val="24"/>
          <w:shd w:val="clear" w:color="auto" w:fill="FFFFFF"/>
        </w:rPr>
        <w:t>González-Torres</w:t>
      </w:r>
      <w:r w:rsidR="00935007">
        <w:rPr>
          <w:rFonts w:cs="Times New Roman"/>
          <w:color w:val="222222"/>
          <w:szCs w:val="24"/>
          <w:shd w:val="clear" w:color="auto" w:fill="FFFFFF"/>
        </w:rPr>
        <w:t xml:space="preserve"> et al., 2021)</w:t>
      </w:r>
      <w:r>
        <w:t>. Negative reviews on the online platforms like Trip</w:t>
      </w:r>
      <w:r w:rsidR="008D6154">
        <w:t>-</w:t>
      </w:r>
      <w:r>
        <w:t xml:space="preserve">Advisor or Google impact on the future guests’ services. </w:t>
      </w:r>
    </w:p>
    <w:p w14:paraId="48BA5A6C" w14:textId="77777777" w:rsidR="00B4258C" w:rsidRDefault="008D6332" w:rsidP="004C4493">
      <w:r>
        <w:t xml:space="preserve">The external factors </w:t>
      </w:r>
      <w:r w:rsidR="00CE1ECD">
        <w:t>identifies changes in the e</w:t>
      </w:r>
      <w:r w:rsidRPr="008D6332">
        <w:t xml:space="preserve">conomic conditions </w:t>
      </w:r>
      <w:r w:rsidR="00CE1ECD">
        <w:t>that</w:t>
      </w:r>
      <w:r w:rsidRPr="008D6332">
        <w:t xml:space="preserve"> influence</w:t>
      </w:r>
      <w:r w:rsidR="00CE1ECD">
        <w:t>s the</w:t>
      </w:r>
      <w:r w:rsidRPr="008D6332">
        <w:t xml:space="preserve"> hotel performance. </w:t>
      </w:r>
      <w:r w:rsidR="00CE1ECD">
        <w:t>There are different challenges such as</w:t>
      </w:r>
      <w:r w:rsidRPr="008D6332">
        <w:t xml:space="preserve"> inflation, </w:t>
      </w:r>
      <w:r w:rsidR="00CE1ECD">
        <w:t>increasing in the</w:t>
      </w:r>
      <w:r w:rsidRPr="008D6332">
        <w:t xml:space="preserve"> unemployment rates, and </w:t>
      </w:r>
      <w:r w:rsidR="00CE1ECD">
        <w:t xml:space="preserve">downturns in the </w:t>
      </w:r>
      <w:r w:rsidRPr="008D6332">
        <w:t xml:space="preserve">economic </w:t>
      </w:r>
      <w:r w:rsidR="00CE1ECD">
        <w:t>condition to make reduction in the</w:t>
      </w:r>
      <w:r w:rsidRPr="008D6332">
        <w:t xml:space="preserve"> disposable income for leisure travel</w:t>
      </w:r>
      <w:r w:rsidR="00CE1ECD">
        <w:t xml:space="preserve"> services. </w:t>
      </w:r>
      <w:proofErr w:type="spellStart"/>
      <w:r w:rsidR="00935007" w:rsidRPr="00CF39FA">
        <w:rPr>
          <w:rFonts w:cs="Times New Roman"/>
          <w:color w:val="222222"/>
          <w:szCs w:val="24"/>
          <w:shd w:val="clear" w:color="auto" w:fill="FFFFFF"/>
        </w:rPr>
        <w:t>Filimonau</w:t>
      </w:r>
      <w:proofErr w:type="spellEnd"/>
      <w:r w:rsidR="00935007">
        <w:t xml:space="preserve"> (2021) illustrated that i</w:t>
      </w:r>
      <w:r w:rsidR="00CE1ECD">
        <w:t>t is leading towards the decrease in overall</w:t>
      </w:r>
      <w:r w:rsidRPr="008D6332">
        <w:t xml:space="preserve"> occupancy rates. The City Hotel </w:t>
      </w:r>
      <w:r w:rsidR="00CE1ECD">
        <w:t>experiences a</w:t>
      </w:r>
      <w:r w:rsidRPr="008D6332">
        <w:t xml:space="preserve"> lower demand </w:t>
      </w:r>
      <w:r w:rsidR="00CE1ECD">
        <w:t>for providing</w:t>
      </w:r>
      <w:r w:rsidRPr="008D6332">
        <w:t xml:space="preserve"> broader economic challenges </w:t>
      </w:r>
      <w:r w:rsidR="00CE1ECD">
        <w:t>and make definite system of</w:t>
      </w:r>
      <w:r w:rsidRPr="008D6332">
        <w:t xml:space="preserve"> consumer confidence and travel</w:t>
      </w:r>
      <w:r w:rsidR="00CE1ECD">
        <w:t>ing of the</w:t>
      </w:r>
      <w:r w:rsidRPr="008D6332">
        <w:t xml:space="preserve"> spending. Additionally, </w:t>
      </w:r>
      <w:r w:rsidR="00F347A6">
        <w:t xml:space="preserve">there are some </w:t>
      </w:r>
      <w:r w:rsidRPr="008D6332">
        <w:t>fluc</w:t>
      </w:r>
      <w:r w:rsidR="00F347A6">
        <w:t xml:space="preserve">tuations in travel trends like </w:t>
      </w:r>
      <w:r w:rsidRPr="008D6332">
        <w:t>increase in</w:t>
      </w:r>
      <w:r w:rsidR="00F347A6">
        <w:t xml:space="preserve"> the remote work that is l</w:t>
      </w:r>
      <w:r w:rsidRPr="008D6332">
        <w:t>eading to</w:t>
      </w:r>
      <w:r w:rsidR="00F347A6">
        <w:t xml:space="preserve">wards the reduction in the business travel and make impact on the level of </w:t>
      </w:r>
      <w:r w:rsidRPr="008D6332">
        <w:t>occupancy</w:t>
      </w:r>
      <w:r w:rsidR="00935007">
        <w:t xml:space="preserve"> (</w:t>
      </w:r>
      <w:r w:rsidR="00935007">
        <w:rPr>
          <w:rFonts w:cs="Times New Roman"/>
          <w:color w:val="222222"/>
          <w:szCs w:val="24"/>
          <w:shd w:val="clear" w:color="auto" w:fill="FFFFFF"/>
        </w:rPr>
        <w:t xml:space="preserve">Fatima </w:t>
      </w:r>
      <w:r w:rsidR="00935007" w:rsidRPr="00CF39FA">
        <w:rPr>
          <w:rFonts w:cs="Times New Roman"/>
          <w:color w:val="222222"/>
          <w:szCs w:val="24"/>
          <w:shd w:val="clear" w:color="auto" w:fill="FFFFFF"/>
        </w:rPr>
        <w:t>and Elbanna</w:t>
      </w:r>
      <w:r w:rsidR="00935007">
        <w:rPr>
          <w:rFonts w:cs="Times New Roman"/>
          <w:color w:val="222222"/>
          <w:szCs w:val="24"/>
          <w:shd w:val="clear" w:color="auto" w:fill="FFFFFF"/>
        </w:rPr>
        <w:t>, 2020)</w:t>
      </w:r>
      <w:r w:rsidRPr="008D6332">
        <w:t>.</w:t>
      </w:r>
      <w:r w:rsidR="000639E5">
        <w:t xml:space="preserve"> </w:t>
      </w:r>
      <w:r w:rsidR="009C4508" w:rsidRPr="009C4508">
        <w:t>The</w:t>
      </w:r>
      <w:r w:rsidR="000639E5">
        <w:t>re is also a greater</w:t>
      </w:r>
      <w:r w:rsidR="009C4508" w:rsidRPr="009C4508">
        <w:t xml:space="preserve"> competitive landscape </w:t>
      </w:r>
      <w:r w:rsidR="000639E5">
        <w:t>in the</w:t>
      </w:r>
      <w:r w:rsidR="009C4508" w:rsidRPr="009C4508">
        <w:t xml:space="preserve"> hospitality sector </w:t>
      </w:r>
      <w:r w:rsidR="000639E5">
        <w:t>that is</w:t>
      </w:r>
      <w:r w:rsidR="009C4508" w:rsidRPr="009C4508">
        <w:t xml:space="preserve"> evolving. </w:t>
      </w:r>
      <w:r w:rsidR="000639E5">
        <w:t>It seems that The</w:t>
      </w:r>
      <w:r w:rsidR="009C4508" w:rsidRPr="009C4508">
        <w:t xml:space="preserve"> City Hotel </w:t>
      </w:r>
      <w:r w:rsidR="000639E5">
        <w:t>allows a differentiation</w:t>
      </w:r>
      <w:r w:rsidR="009C4508" w:rsidRPr="009C4508">
        <w:t xml:space="preserve"> </w:t>
      </w:r>
      <w:r w:rsidR="000639E5">
        <w:t>strategy for the performances with the</w:t>
      </w:r>
      <w:r w:rsidR="009C4508" w:rsidRPr="009C4508">
        <w:t xml:space="preserve"> competitors</w:t>
      </w:r>
      <w:r w:rsidR="000639E5">
        <w:t>.</w:t>
      </w:r>
      <w:r w:rsidR="009C4508" w:rsidRPr="009C4508">
        <w:t xml:space="preserve"> </w:t>
      </w:r>
      <w:r w:rsidR="000639E5">
        <w:t>It seems</w:t>
      </w:r>
      <w:r w:rsidR="009C4508" w:rsidRPr="009C4508">
        <w:t xml:space="preserve"> </w:t>
      </w:r>
      <w:r w:rsidR="000639E5">
        <w:t>fulfilling the</w:t>
      </w:r>
      <w:r w:rsidR="009C4508" w:rsidRPr="009C4508">
        <w:t xml:space="preserve"> changing </w:t>
      </w:r>
      <w:r w:rsidR="000639E5">
        <w:t>in the market demands and loss in the overall market share. The i</w:t>
      </w:r>
      <w:r w:rsidR="009C4508" w:rsidRPr="009C4508">
        <w:t>ncreased</w:t>
      </w:r>
      <w:r w:rsidR="000639E5">
        <w:t xml:space="preserve"> in the</w:t>
      </w:r>
      <w:r w:rsidR="009C4508" w:rsidRPr="009C4508">
        <w:t xml:space="preserve"> competition </w:t>
      </w:r>
      <w:r w:rsidR="000639E5">
        <w:t>from the</w:t>
      </w:r>
      <w:r w:rsidR="009C4508" w:rsidRPr="009C4508">
        <w:t xml:space="preserve"> alternative accommodations </w:t>
      </w:r>
      <w:r w:rsidR="000639E5">
        <w:t>like consideration of</w:t>
      </w:r>
      <w:r w:rsidR="009C4508" w:rsidRPr="009C4508">
        <w:t xml:space="preserve"> Airbnb or boutique hotels </w:t>
      </w:r>
      <w:r w:rsidR="000639E5">
        <w:t>determines</w:t>
      </w:r>
      <w:r w:rsidR="009C4508" w:rsidRPr="009C4508">
        <w:t xml:space="preserve"> pressure </w:t>
      </w:r>
      <w:r w:rsidR="000639E5">
        <w:t xml:space="preserve">in the </w:t>
      </w:r>
      <w:r w:rsidR="009C4508" w:rsidRPr="009C4508">
        <w:t xml:space="preserve">traditional hotels </w:t>
      </w:r>
      <w:r w:rsidR="000639E5">
        <w:t>such as</w:t>
      </w:r>
      <w:r w:rsidR="009C4508" w:rsidRPr="009C4508">
        <w:t xml:space="preserve"> The City Hotel to lower</w:t>
      </w:r>
      <w:r w:rsidR="000639E5">
        <w:t>ing the</w:t>
      </w:r>
      <w:r w:rsidR="009C4508" w:rsidRPr="009C4508">
        <w:t xml:space="preserve"> prices</w:t>
      </w:r>
      <w:r w:rsidR="000639E5">
        <w:t xml:space="preserve">. It seems </w:t>
      </w:r>
      <w:r w:rsidR="009C4508" w:rsidRPr="009C4508">
        <w:t>enhance</w:t>
      </w:r>
      <w:r w:rsidR="000639E5">
        <w:t>ment in the services without providing the</w:t>
      </w:r>
      <w:r w:rsidR="009C4508" w:rsidRPr="009C4508">
        <w:t xml:space="preserve"> corresponding increase in </w:t>
      </w:r>
      <w:r w:rsidR="000639E5">
        <w:t xml:space="preserve">the overall </w:t>
      </w:r>
      <w:r w:rsidR="009C4508" w:rsidRPr="009C4508">
        <w:t>revenue.</w:t>
      </w:r>
    </w:p>
    <w:p w14:paraId="48BA5A6D" w14:textId="77777777" w:rsidR="00A60A08" w:rsidRDefault="00A60A08" w:rsidP="00A60A08">
      <w:pPr>
        <w:pStyle w:val="Heading1"/>
        <w:rPr>
          <w:lang w:val="en-GB"/>
        </w:rPr>
      </w:pPr>
      <w:bookmarkStart w:id="3" w:name="_Toc180843443"/>
      <w:r w:rsidRPr="002C1A81">
        <w:rPr>
          <w:lang w:val="en-GB"/>
        </w:rPr>
        <w:t>Implementation of Turnaround Strategies</w:t>
      </w:r>
      <w:bookmarkEnd w:id="3"/>
      <w:r w:rsidRPr="002C1A81">
        <w:rPr>
          <w:lang w:val="en-GB"/>
        </w:rPr>
        <w:t xml:space="preserve"> </w:t>
      </w:r>
    </w:p>
    <w:p w14:paraId="48BA5A6E" w14:textId="2660DCF4" w:rsidR="008131C3" w:rsidRDefault="008131C3" w:rsidP="008131C3">
      <w:r>
        <w:t xml:space="preserve">To apply the turnaround strategies in The City Hotel, it is essential to manage efficiency to the </w:t>
      </w:r>
      <w:r w:rsidRPr="008131C3">
        <w:t xml:space="preserve">financial and operational goals for </w:t>
      </w:r>
      <w:r>
        <w:t>making revitalis</w:t>
      </w:r>
      <w:r w:rsidRPr="008131C3">
        <w:t xml:space="preserve">ation. Financially, the hotel </w:t>
      </w:r>
      <w:r w:rsidR="005D796A">
        <w:t xml:space="preserve">needs </w:t>
      </w:r>
      <w:r w:rsidR="006F5636">
        <w:t>to manage</w:t>
      </w:r>
      <w:r w:rsidR="005D796A">
        <w:t xml:space="preserve"> the</w:t>
      </w:r>
      <w:r w:rsidRPr="008131C3">
        <w:t xml:space="preserve"> revenue growth </w:t>
      </w:r>
      <w:r w:rsidR="005D796A">
        <w:t>to more than 25</w:t>
      </w:r>
      <w:r w:rsidRPr="008131C3">
        <w:t xml:space="preserve">% </w:t>
      </w:r>
      <w:r w:rsidR="005D796A">
        <w:t>in the</w:t>
      </w:r>
      <w:r w:rsidRPr="008131C3">
        <w:t xml:space="preserve"> next fiscal year. </w:t>
      </w:r>
      <w:r w:rsidR="005D796A">
        <w:t xml:space="preserve">It will help </w:t>
      </w:r>
      <w:r w:rsidR="002E241E">
        <w:t>enhance</w:t>
      </w:r>
      <w:r w:rsidR="005D796A">
        <w:t xml:space="preserve"> the </w:t>
      </w:r>
      <w:r w:rsidRPr="008131C3">
        <w:t xml:space="preserve">occupancy rates and </w:t>
      </w:r>
      <w:r w:rsidR="005D796A">
        <w:t>make</w:t>
      </w:r>
      <w:r w:rsidR="006F5636">
        <w:t xml:space="preserve"> an</w:t>
      </w:r>
      <w:r w:rsidR="005D796A">
        <w:t xml:space="preserve"> increase in the</w:t>
      </w:r>
      <w:r w:rsidRPr="008131C3">
        <w:t xml:space="preserve"> average daily rates (ADR)</w:t>
      </w:r>
      <w:r w:rsidR="00935007">
        <w:t xml:space="preserve"> (</w:t>
      </w:r>
      <w:r w:rsidR="00935007" w:rsidRPr="00CF39FA">
        <w:rPr>
          <w:rFonts w:cs="Times New Roman"/>
          <w:color w:val="222222"/>
          <w:szCs w:val="24"/>
          <w:shd w:val="clear" w:color="auto" w:fill="FFFFFF"/>
        </w:rPr>
        <w:t>Dube</w:t>
      </w:r>
      <w:r w:rsidR="00935007">
        <w:rPr>
          <w:rFonts w:cs="Times New Roman"/>
          <w:color w:val="222222"/>
          <w:szCs w:val="24"/>
          <w:shd w:val="clear" w:color="auto" w:fill="FFFFFF"/>
        </w:rPr>
        <w:t xml:space="preserve"> et al., 2021)</w:t>
      </w:r>
      <w:r w:rsidRPr="008131C3">
        <w:t xml:space="preserve">. </w:t>
      </w:r>
      <w:r w:rsidR="005D796A">
        <w:t>To manage the</w:t>
      </w:r>
      <w:r w:rsidRPr="008131C3">
        <w:t xml:space="preserve"> operating loss to</w:t>
      </w:r>
      <w:r w:rsidR="005D796A">
        <w:t xml:space="preserve">wards </w:t>
      </w:r>
      <w:r w:rsidR="00BB7797">
        <w:t>a</w:t>
      </w:r>
      <w:r w:rsidRPr="008131C3">
        <w:t xml:space="preserve"> positive operating </w:t>
      </w:r>
      <w:r w:rsidR="005D796A">
        <w:t>system, the hotel must focus on the</w:t>
      </w:r>
      <w:r w:rsidRPr="008131C3">
        <w:t xml:space="preserve"> effort </w:t>
      </w:r>
      <w:r w:rsidR="005D796A">
        <w:t xml:space="preserve">to </w:t>
      </w:r>
      <w:r w:rsidR="0074758D">
        <w:t xml:space="preserve">take </w:t>
      </w:r>
      <w:r w:rsidR="005D796A">
        <w:t>control in the</w:t>
      </w:r>
      <w:r w:rsidRPr="008131C3">
        <w:t xml:space="preserve"> costs </w:t>
      </w:r>
      <w:r w:rsidR="005D796A">
        <w:t>and improvements in the overall</w:t>
      </w:r>
      <w:r w:rsidRPr="008131C3">
        <w:t xml:space="preserve"> revenue streams.</w:t>
      </w:r>
      <w:r w:rsidR="005D796A">
        <w:t xml:space="preserve"> </w:t>
      </w:r>
      <w:r w:rsidRPr="008131C3">
        <w:t xml:space="preserve">Additionally, </w:t>
      </w:r>
      <w:r w:rsidR="005D796A">
        <w:t>there must be some achievements to the</w:t>
      </w:r>
      <w:r w:rsidRPr="008131C3">
        <w:t xml:space="preserve"> positive cash flow </w:t>
      </w:r>
      <w:r w:rsidR="0074758D">
        <w:t xml:space="preserve">in the </w:t>
      </w:r>
      <w:r w:rsidR="005D796A">
        <w:t>coming</w:t>
      </w:r>
      <w:r w:rsidRPr="008131C3">
        <w:t xml:space="preserve"> six months </w:t>
      </w:r>
      <w:r w:rsidR="005D796A">
        <w:t>to develop</w:t>
      </w:r>
      <w:r w:rsidRPr="008131C3">
        <w:t xml:space="preserve"> liquidity and </w:t>
      </w:r>
      <w:r w:rsidR="005D796A">
        <w:t xml:space="preserve">effective </w:t>
      </w:r>
      <w:r w:rsidRPr="008131C3">
        <w:t>operational sustainability.</w:t>
      </w:r>
      <w:r w:rsidR="00415797">
        <w:t xml:space="preserve"> </w:t>
      </w:r>
      <w:proofErr w:type="spellStart"/>
      <w:r w:rsidR="00935007">
        <w:t>Dashper</w:t>
      </w:r>
      <w:proofErr w:type="spellEnd"/>
      <w:r w:rsidR="00935007">
        <w:t xml:space="preserve"> (2020) presented that f</w:t>
      </w:r>
      <w:r w:rsidR="00415797">
        <w:t>rom th</w:t>
      </w:r>
      <w:r w:rsidRPr="008131C3">
        <w:t xml:space="preserve">e operational </w:t>
      </w:r>
      <w:r w:rsidR="00415797">
        <w:t>system</w:t>
      </w:r>
      <w:r w:rsidRPr="008131C3">
        <w:t>,</w:t>
      </w:r>
      <w:r w:rsidR="00415797">
        <w:t xml:space="preserve"> the improvement in c</w:t>
      </w:r>
      <w:r w:rsidRPr="008131C3">
        <w:t xml:space="preserve">ustomer satisfaction is </w:t>
      </w:r>
      <w:r w:rsidR="00415797">
        <w:t>essential</w:t>
      </w:r>
      <w:r w:rsidRPr="008131C3">
        <w:t xml:space="preserve">. The hotel </w:t>
      </w:r>
      <w:r w:rsidR="00415797">
        <w:t>needs achievement of</w:t>
      </w:r>
      <w:r w:rsidRPr="008131C3">
        <w:t xml:space="preserve"> customer satisfaction </w:t>
      </w:r>
      <w:r w:rsidR="00415797">
        <w:t>more than</w:t>
      </w:r>
      <w:r w:rsidRPr="008131C3">
        <w:t xml:space="preserve"> 85% </w:t>
      </w:r>
      <w:r w:rsidR="00415797">
        <w:t>by providing</w:t>
      </w:r>
      <w:r w:rsidRPr="008131C3">
        <w:t xml:space="preserve"> </w:t>
      </w:r>
      <w:r w:rsidR="00415797">
        <w:t>efficiency in the</w:t>
      </w:r>
      <w:r w:rsidRPr="008131C3">
        <w:t xml:space="preserve"> service quality and guest </w:t>
      </w:r>
      <w:r w:rsidR="00415797">
        <w:t xml:space="preserve">management processes. </w:t>
      </w:r>
      <w:r w:rsidRPr="008131C3">
        <w:t xml:space="preserve">Furthermore, </w:t>
      </w:r>
      <w:r w:rsidR="00415797">
        <w:t>the optimisation of the</w:t>
      </w:r>
      <w:r w:rsidRPr="008131C3">
        <w:t xml:space="preserve"> operational efficiency </w:t>
      </w:r>
      <w:r w:rsidR="00415797">
        <w:t>helps the hotel to make reduction in the operational costs by 10%-15</w:t>
      </w:r>
      <w:r w:rsidRPr="008131C3">
        <w:t xml:space="preserve">% </w:t>
      </w:r>
      <w:r w:rsidR="00415797">
        <w:t>using the streamlining</w:t>
      </w:r>
      <w:r w:rsidRPr="008131C3">
        <w:t xml:space="preserve"> processes and </w:t>
      </w:r>
      <w:r w:rsidR="00415797">
        <w:t>implementation of appropriate technological</w:t>
      </w:r>
      <w:r w:rsidRPr="008131C3">
        <w:t xml:space="preserve"> integration </w:t>
      </w:r>
      <w:r w:rsidR="00415797">
        <w:t>in the coming year. The management needs</w:t>
      </w:r>
      <w:r w:rsidRPr="008131C3">
        <w:t xml:space="preserve"> addressing</w:t>
      </w:r>
      <w:r w:rsidR="00415797">
        <w:t xml:space="preserve"> of the</w:t>
      </w:r>
      <w:r w:rsidRPr="008131C3">
        <w:t xml:space="preserve"> staff retention </w:t>
      </w:r>
      <w:r w:rsidR="00415797">
        <w:t>by</w:t>
      </w:r>
      <w:r w:rsidRPr="008131C3">
        <w:t xml:space="preserve"> decreasing </w:t>
      </w:r>
      <w:r w:rsidR="00415797">
        <w:t xml:space="preserve">the rate of </w:t>
      </w:r>
      <w:r w:rsidRPr="008131C3">
        <w:t xml:space="preserve">employee turnover </w:t>
      </w:r>
      <w:r w:rsidR="00415797">
        <w:t xml:space="preserve">by </w:t>
      </w:r>
      <w:r w:rsidRPr="008131C3">
        <w:t xml:space="preserve">25% </w:t>
      </w:r>
      <w:r w:rsidR="00415797">
        <w:t>using</w:t>
      </w:r>
      <w:r w:rsidRPr="008131C3">
        <w:t xml:space="preserve"> improved </w:t>
      </w:r>
      <w:r w:rsidR="00415797">
        <w:t xml:space="preserve">system of </w:t>
      </w:r>
      <w:r w:rsidRPr="008131C3">
        <w:t xml:space="preserve">training and employee engagement </w:t>
      </w:r>
      <w:r w:rsidR="00415797">
        <w:t>processes that</w:t>
      </w:r>
      <w:r w:rsidRPr="008131C3">
        <w:t xml:space="preserve"> </w:t>
      </w:r>
      <w:r w:rsidR="00415797">
        <w:t xml:space="preserve">will </w:t>
      </w:r>
      <w:r w:rsidRPr="008131C3">
        <w:t xml:space="preserve">contribute </w:t>
      </w:r>
      <w:r w:rsidR="00415797">
        <w:t>to gain efficiency in the overall</w:t>
      </w:r>
      <w:r w:rsidRPr="008131C3">
        <w:t xml:space="preserve"> service quality.</w:t>
      </w:r>
    </w:p>
    <w:p w14:paraId="48BA5A6F" w14:textId="77777777" w:rsidR="0040343B" w:rsidRDefault="00415797" w:rsidP="00415797">
      <w:r w:rsidRPr="00B342FE">
        <w:rPr>
          <w:highlight w:val="yellow"/>
        </w:rPr>
        <w:t xml:space="preserve">Therefore, it is recommended to the City Hotel make improvements in </w:t>
      </w:r>
      <w:r w:rsidR="00B342FE" w:rsidRPr="00B342FE">
        <w:rPr>
          <w:highlight w:val="yellow"/>
        </w:rPr>
        <w:t>financial and operational services as the</w:t>
      </w:r>
      <w:r w:rsidRPr="00B342FE">
        <w:rPr>
          <w:highlight w:val="yellow"/>
        </w:rPr>
        <w:t xml:space="preserve"> definite turnaround strategy. It is essential to work on the </w:t>
      </w:r>
      <w:r w:rsidR="00B342FE" w:rsidRPr="00B342FE">
        <w:rPr>
          <w:highlight w:val="yellow"/>
        </w:rPr>
        <w:t>financial</w:t>
      </w:r>
      <w:r w:rsidRPr="00B342FE">
        <w:rPr>
          <w:highlight w:val="yellow"/>
        </w:rPr>
        <w:t xml:space="preserve"> quality improvements by collecting </w:t>
      </w:r>
      <w:r w:rsidR="00B342FE" w:rsidRPr="00B342FE">
        <w:rPr>
          <w:highlight w:val="yellow"/>
        </w:rPr>
        <w:t>relevant</w:t>
      </w:r>
      <w:r w:rsidRPr="00B342FE">
        <w:rPr>
          <w:highlight w:val="yellow"/>
        </w:rPr>
        <w:t xml:space="preserve"> feedback</w:t>
      </w:r>
      <w:r w:rsidR="002F52C7" w:rsidRPr="00B342FE">
        <w:rPr>
          <w:highlight w:val="yellow"/>
        </w:rPr>
        <w:t xml:space="preserve"> (</w:t>
      </w:r>
      <w:r w:rsidR="002F52C7" w:rsidRPr="00B342FE">
        <w:rPr>
          <w:rFonts w:cs="Times New Roman"/>
          <w:color w:val="222222"/>
          <w:szCs w:val="24"/>
          <w:highlight w:val="yellow"/>
          <w:shd w:val="clear" w:color="auto" w:fill="FFFFFF"/>
        </w:rPr>
        <w:t>Carlisle et al., 2023)</w:t>
      </w:r>
      <w:r w:rsidRPr="00B342FE">
        <w:rPr>
          <w:highlight w:val="yellow"/>
        </w:rPr>
        <w:t xml:space="preserve">. The regular collection and analysis of the guest feedback using surveys and online reviews will be helpful for the identification of the specific system and make improvements in the </w:t>
      </w:r>
      <w:r w:rsidR="00B342FE" w:rsidRPr="00B342FE">
        <w:rPr>
          <w:highlight w:val="yellow"/>
        </w:rPr>
        <w:t>finance and operations</w:t>
      </w:r>
      <w:r w:rsidRPr="00B342FE">
        <w:rPr>
          <w:highlight w:val="yellow"/>
        </w:rPr>
        <w:t xml:space="preserve">. The strategy will be based on the development of the task to gain implementing changes and ensure the guest concerns to be addressed appropriately by the management and representatives. </w:t>
      </w:r>
      <w:r w:rsidR="004F1BD3" w:rsidRPr="00B342FE">
        <w:rPr>
          <w:highlight w:val="yellow"/>
        </w:rPr>
        <w:t xml:space="preserve"> It is essential to start</w:t>
      </w:r>
      <w:r w:rsidRPr="00B342FE">
        <w:rPr>
          <w:highlight w:val="yellow"/>
        </w:rPr>
        <w:t xml:space="preserve"> comprehensive training programs </w:t>
      </w:r>
      <w:r w:rsidR="004F1BD3" w:rsidRPr="00B342FE">
        <w:rPr>
          <w:highlight w:val="yellow"/>
        </w:rPr>
        <w:t>for the existing and new employees to make enhancement in the</w:t>
      </w:r>
      <w:r w:rsidRPr="00B342FE">
        <w:rPr>
          <w:highlight w:val="yellow"/>
        </w:rPr>
        <w:t xml:space="preserve"> customer service </w:t>
      </w:r>
      <w:r w:rsidR="004F1BD3" w:rsidRPr="00B342FE">
        <w:rPr>
          <w:highlight w:val="yellow"/>
        </w:rPr>
        <w:t>management</w:t>
      </w:r>
      <w:r w:rsidRPr="00B342FE">
        <w:rPr>
          <w:highlight w:val="yellow"/>
        </w:rPr>
        <w:t xml:space="preserve">, operational </w:t>
      </w:r>
      <w:r w:rsidR="004F1BD3" w:rsidRPr="00B342FE">
        <w:rPr>
          <w:highlight w:val="yellow"/>
        </w:rPr>
        <w:t>facilities</w:t>
      </w:r>
      <w:r w:rsidRPr="00B342FE">
        <w:rPr>
          <w:highlight w:val="yellow"/>
        </w:rPr>
        <w:t xml:space="preserve">, and product knowledge </w:t>
      </w:r>
      <w:r w:rsidR="004F1BD3" w:rsidRPr="00B342FE">
        <w:rPr>
          <w:highlight w:val="yellow"/>
        </w:rPr>
        <w:t>in the industry</w:t>
      </w:r>
      <w:r w:rsidR="002F52C7" w:rsidRPr="00B342FE">
        <w:rPr>
          <w:highlight w:val="yellow"/>
        </w:rPr>
        <w:t xml:space="preserve"> (</w:t>
      </w:r>
      <w:r w:rsidR="002F52C7" w:rsidRPr="00B342FE">
        <w:rPr>
          <w:rFonts w:cs="Times New Roman"/>
          <w:color w:val="222222"/>
          <w:szCs w:val="24"/>
          <w:highlight w:val="yellow"/>
          <w:shd w:val="clear" w:color="auto" w:fill="FFFFFF"/>
        </w:rPr>
        <w:t>Anguera-Torrell et al., 2021)</w:t>
      </w:r>
      <w:r w:rsidR="004F1BD3" w:rsidRPr="00B342FE">
        <w:rPr>
          <w:highlight w:val="yellow"/>
        </w:rPr>
        <w:t>. The consideration of the o</w:t>
      </w:r>
      <w:r w:rsidRPr="00B342FE">
        <w:rPr>
          <w:highlight w:val="yellow"/>
        </w:rPr>
        <w:t xml:space="preserve">ngoing training sessions </w:t>
      </w:r>
      <w:r w:rsidR="004F1BD3" w:rsidRPr="00B342FE">
        <w:rPr>
          <w:highlight w:val="yellow"/>
        </w:rPr>
        <w:t>will be helpful for implementing</w:t>
      </w:r>
      <w:r w:rsidRPr="00B342FE">
        <w:rPr>
          <w:highlight w:val="yellow"/>
        </w:rPr>
        <w:t xml:space="preserve"> </w:t>
      </w:r>
      <w:r w:rsidR="004F1BD3" w:rsidRPr="00B342FE">
        <w:rPr>
          <w:highlight w:val="yellow"/>
        </w:rPr>
        <w:t>and keeping the</w:t>
      </w:r>
      <w:r w:rsidRPr="00B342FE">
        <w:rPr>
          <w:highlight w:val="yellow"/>
        </w:rPr>
        <w:t xml:space="preserve"> staff updated </w:t>
      </w:r>
      <w:r w:rsidR="004F1BD3" w:rsidRPr="00B342FE">
        <w:rPr>
          <w:highlight w:val="yellow"/>
        </w:rPr>
        <w:t>with the</w:t>
      </w:r>
      <w:r w:rsidRPr="00B342FE">
        <w:rPr>
          <w:highlight w:val="yellow"/>
        </w:rPr>
        <w:t xml:space="preserve"> best practices </w:t>
      </w:r>
      <w:r w:rsidR="004F1BD3" w:rsidRPr="00B342FE">
        <w:rPr>
          <w:highlight w:val="yellow"/>
        </w:rPr>
        <w:t>and definite standards. It helps</w:t>
      </w:r>
      <w:r w:rsidRPr="00B342FE">
        <w:rPr>
          <w:highlight w:val="yellow"/>
        </w:rPr>
        <w:t xml:space="preserve"> fostering a </w:t>
      </w:r>
      <w:r w:rsidR="004F1BD3" w:rsidRPr="00B342FE">
        <w:rPr>
          <w:highlight w:val="yellow"/>
        </w:rPr>
        <w:t xml:space="preserve">definite </w:t>
      </w:r>
      <w:r w:rsidRPr="00B342FE">
        <w:rPr>
          <w:highlight w:val="yellow"/>
        </w:rPr>
        <w:t xml:space="preserve">culture of continuous </w:t>
      </w:r>
      <w:r w:rsidR="004F1BD3" w:rsidRPr="00B342FE">
        <w:rPr>
          <w:highlight w:val="yellow"/>
        </w:rPr>
        <w:t xml:space="preserve">enhancement in the financial procedures. </w:t>
      </w:r>
      <w:r w:rsidR="00B342FE" w:rsidRPr="00B342FE">
        <w:rPr>
          <w:highlight w:val="yellow"/>
        </w:rPr>
        <w:t>Financial and operational</w:t>
      </w:r>
      <w:r w:rsidRPr="00B342FE">
        <w:rPr>
          <w:highlight w:val="yellow"/>
        </w:rPr>
        <w:t xml:space="preserve"> strategies </w:t>
      </w:r>
      <w:r w:rsidR="004F1BD3" w:rsidRPr="00B342FE">
        <w:rPr>
          <w:highlight w:val="yellow"/>
        </w:rPr>
        <w:t>will also be analysed using definite</w:t>
      </w:r>
      <w:r w:rsidRPr="00B342FE">
        <w:rPr>
          <w:highlight w:val="yellow"/>
        </w:rPr>
        <w:t xml:space="preserve"> customer segments </w:t>
      </w:r>
      <w:r w:rsidR="004F1BD3" w:rsidRPr="00B342FE">
        <w:rPr>
          <w:highlight w:val="yellow"/>
        </w:rPr>
        <w:t>like attraction of the</w:t>
      </w:r>
      <w:r w:rsidRPr="00B342FE">
        <w:rPr>
          <w:highlight w:val="yellow"/>
        </w:rPr>
        <w:t xml:space="preserve"> business </w:t>
      </w:r>
      <w:r w:rsidR="004F1BD3" w:rsidRPr="00B342FE">
        <w:rPr>
          <w:highlight w:val="yellow"/>
        </w:rPr>
        <w:t>travellers</w:t>
      </w:r>
      <w:r w:rsidRPr="00B342FE">
        <w:rPr>
          <w:highlight w:val="yellow"/>
        </w:rPr>
        <w:t xml:space="preserve"> and tourists</w:t>
      </w:r>
      <w:r w:rsidR="002F52C7" w:rsidRPr="00B342FE">
        <w:rPr>
          <w:highlight w:val="yellow"/>
        </w:rPr>
        <w:t xml:space="preserve"> (</w:t>
      </w:r>
      <w:proofErr w:type="spellStart"/>
      <w:r w:rsidR="002F52C7" w:rsidRPr="00B342FE">
        <w:rPr>
          <w:rFonts w:cs="Times New Roman"/>
          <w:color w:val="222222"/>
          <w:szCs w:val="24"/>
          <w:highlight w:val="yellow"/>
          <w:shd w:val="clear" w:color="auto" w:fill="FFFFFF"/>
        </w:rPr>
        <w:t>Alrawadieh</w:t>
      </w:r>
      <w:proofErr w:type="spellEnd"/>
      <w:r w:rsidR="002F52C7" w:rsidRPr="00B342FE">
        <w:rPr>
          <w:rFonts w:cs="Times New Roman"/>
          <w:color w:val="222222"/>
          <w:szCs w:val="24"/>
          <w:highlight w:val="yellow"/>
          <w:shd w:val="clear" w:color="auto" w:fill="FFFFFF"/>
        </w:rPr>
        <w:t xml:space="preserve"> et al., 2021)</w:t>
      </w:r>
      <w:r w:rsidRPr="00B342FE">
        <w:rPr>
          <w:highlight w:val="yellow"/>
        </w:rPr>
        <w:t xml:space="preserve">. </w:t>
      </w:r>
      <w:r w:rsidR="004F1BD3" w:rsidRPr="00B342FE">
        <w:rPr>
          <w:highlight w:val="yellow"/>
        </w:rPr>
        <w:t>It is essential for the management to</w:t>
      </w:r>
      <w:r w:rsidRPr="00B342FE">
        <w:rPr>
          <w:highlight w:val="yellow"/>
        </w:rPr>
        <w:t xml:space="preserve"> identify </w:t>
      </w:r>
      <w:r w:rsidR="004F1BD3" w:rsidRPr="00B342FE">
        <w:rPr>
          <w:highlight w:val="yellow"/>
        </w:rPr>
        <w:t>the</w:t>
      </w:r>
      <w:r w:rsidRPr="00B342FE">
        <w:rPr>
          <w:highlight w:val="yellow"/>
        </w:rPr>
        <w:t xml:space="preserve"> </w:t>
      </w:r>
      <w:r w:rsidR="004F1BD3" w:rsidRPr="00B342FE">
        <w:rPr>
          <w:highlight w:val="yellow"/>
        </w:rPr>
        <w:t>customers by tailoring the</w:t>
      </w:r>
      <w:r w:rsidRPr="00B342FE">
        <w:rPr>
          <w:highlight w:val="yellow"/>
        </w:rPr>
        <w:t xml:space="preserve"> </w:t>
      </w:r>
      <w:r w:rsidR="00B342FE" w:rsidRPr="00B342FE">
        <w:rPr>
          <w:highlight w:val="yellow"/>
        </w:rPr>
        <w:t xml:space="preserve">financial </w:t>
      </w:r>
      <w:proofErr w:type="spellStart"/>
      <w:r w:rsidR="00B342FE" w:rsidRPr="00B342FE">
        <w:rPr>
          <w:highlight w:val="yellow"/>
        </w:rPr>
        <w:t>reosurces</w:t>
      </w:r>
      <w:proofErr w:type="spellEnd"/>
      <w:r w:rsidRPr="00B342FE">
        <w:rPr>
          <w:highlight w:val="yellow"/>
        </w:rPr>
        <w:t xml:space="preserve"> </w:t>
      </w:r>
      <w:r w:rsidR="004F1BD3" w:rsidRPr="00B342FE">
        <w:rPr>
          <w:highlight w:val="yellow"/>
        </w:rPr>
        <w:t xml:space="preserve">and make attractions effectively. </w:t>
      </w:r>
      <w:r w:rsidR="00ED450C" w:rsidRPr="00B342FE">
        <w:rPr>
          <w:highlight w:val="yellow"/>
        </w:rPr>
        <w:t xml:space="preserve">The management needs development of the </w:t>
      </w:r>
      <w:r w:rsidRPr="00B342FE">
        <w:rPr>
          <w:highlight w:val="yellow"/>
        </w:rPr>
        <w:t xml:space="preserve">promotional packages </w:t>
      </w:r>
      <w:r w:rsidR="00ED450C" w:rsidRPr="00B342FE">
        <w:rPr>
          <w:highlight w:val="yellow"/>
        </w:rPr>
        <w:t xml:space="preserve">that are helpful for the identification of related segments like management of </w:t>
      </w:r>
      <w:r w:rsidRPr="00B342FE">
        <w:rPr>
          <w:highlight w:val="yellow"/>
        </w:rPr>
        <w:t xml:space="preserve">meeting packages </w:t>
      </w:r>
      <w:r w:rsidR="00ED450C" w:rsidRPr="00B342FE">
        <w:rPr>
          <w:highlight w:val="yellow"/>
        </w:rPr>
        <w:t>and arrangement of the family events</w:t>
      </w:r>
      <w:r w:rsidRPr="00B342FE">
        <w:rPr>
          <w:highlight w:val="yellow"/>
        </w:rPr>
        <w:t xml:space="preserve"> </w:t>
      </w:r>
      <w:r w:rsidR="00ED450C" w:rsidRPr="00B342FE">
        <w:rPr>
          <w:highlight w:val="yellow"/>
        </w:rPr>
        <w:t>with profound deals and packages</w:t>
      </w:r>
      <w:r w:rsidR="0040343B" w:rsidRPr="00B342FE">
        <w:rPr>
          <w:highlight w:val="yellow"/>
        </w:rPr>
        <w:t xml:space="preserve">. </w:t>
      </w:r>
      <w:r w:rsidR="002F52C7" w:rsidRPr="00B342FE">
        <w:rPr>
          <w:highlight w:val="yellow"/>
        </w:rPr>
        <w:t>Akbari et al. (2021) reported that t</w:t>
      </w:r>
      <w:r w:rsidR="0040343B" w:rsidRPr="00B342FE">
        <w:rPr>
          <w:highlight w:val="yellow"/>
        </w:rPr>
        <w:t>he use of</w:t>
      </w:r>
      <w:r w:rsidRPr="00B342FE">
        <w:rPr>
          <w:highlight w:val="yellow"/>
        </w:rPr>
        <w:t xml:space="preserve"> social media and </w:t>
      </w:r>
      <w:r w:rsidR="0040343B" w:rsidRPr="00B342FE">
        <w:rPr>
          <w:highlight w:val="yellow"/>
        </w:rPr>
        <w:t xml:space="preserve">different </w:t>
      </w:r>
      <w:r w:rsidRPr="00B342FE">
        <w:rPr>
          <w:highlight w:val="yellow"/>
        </w:rPr>
        <w:t xml:space="preserve">online platforms </w:t>
      </w:r>
      <w:r w:rsidR="0040343B" w:rsidRPr="00B342FE">
        <w:rPr>
          <w:highlight w:val="yellow"/>
        </w:rPr>
        <w:t>will also help in gaining a</w:t>
      </w:r>
      <w:r w:rsidRPr="00B342FE">
        <w:rPr>
          <w:highlight w:val="yellow"/>
        </w:rPr>
        <w:t xml:space="preserve"> reputation management </w:t>
      </w:r>
      <w:r w:rsidR="0040343B" w:rsidRPr="00B342FE">
        <w:rPr>
          <w:highlight w:val="yellow"/>
        </w:rPr>
        <w:t>of the hotel in the hospitality industry</w:t>
      </w:r>
      <w:r w:rsidRPr="00B342FE">
        <w:rPr>
          <w:highlight w:val="yellow"/>
        </w:rPr>
        <w:t xml:space="preserve">. </w:t>
      </w:r>
      <w:r w:rsidR="00B342FE" w:rsidRPr="00B342FE">
        <w:rPr>
          <w:highlight w:val="yellow"/>
        </w:rPr>
        <w:t>Appropriate finances are needed for</w:t>
      </w:r>
      <w:r w:rsidR="0040343B" w:rsidRPr="00B342FE">
        <w:rPr>
          <w:highlight w:val="yellow"/>
        </w:rPr>
        <w:t xml:space="preserve"> improvements in the</w:t>
      </w:r>
      <w:r w:rsidRPr="00B342FE">
        <w:rPr>
          <w:highlight w:val="yellow"/>
        </w:rPr>
        <w:t xml:space="preserve"> online presence </w:t>
      </w:r>
      <w:r w:rsidR="0040343B" w:rsidRPr="00B342FE">
        <w:rPr>
          <w:highlight w:val="yellow"/>
        </w:rPr>
        <w:t>using</w:t>
      </w:r>
      <w:r w:rsidRPr="00B342FE">
        <w:rPr>
          <w:highlight w:val="yellow"/>
        </w:rPr>
        <w:t xml:space="preserve"> active engagement </w:t>
      </w:r>
      <w:r w:rsidR="0040343B" w:rsidRPr="00B342FE">
        <w:rPr>
          <w:highlight w:val="yellow"/>
        </w:rPr>
        <w:t>based on</w:t>
      </w:r>
      <w:r w:rsidRPr="00B342FE">
        <w:rPr>
          <w:highlight w:val="yellow"/>
        </w:rPr>
        <w:t xml:space="preserve"> social media platforms </w:t>
      </w:r>
      <w:r w:rsidR="0040343B" w:rsidRPr="00B342FE">
        <w:rPr>
          <w:highlight w:val="yellow"/>
        </w:rPr>
        <w:t xml:space="preserve">and building efficiency to the </w:t>
      </w:r>
      <w:r w:rsidRPr="00B342FE">
        <w:rPr>
          <w:highlight w:val="yellow"/>
        </w:rPr>
        <w:t xml:space="preserve">brand loyalty </w:t>
      </w:r>
      <w:r w:rsidR="0040343B" w:rsidRPr="00B342FE">
        <w:rPr>
          <w:highlight w:val="yellow"/>
        </w:rPr>
        <w:t>for the attraction of</w:t>
      </w:r>
      <w:r w:rsidRPr="00B342FE">
        <w:rPr>
          <w:highlight w:val="yellow"/>
        </w:rPr>
        <w:t xml:space="preserve"> new guests.</w:t>
      </w:r>
      <w:r>
        <w:t xml:space="preserve"> </w:t>
      </w:r>
    </w:p>
    <w:p w14:paraId="48BA5A70" w14:textId="77777777" w:rsidR="00A60A08" w:rsidRPr="002C1A81" w:rsidRDefault="00A60A08" w:rsidP="00A60A08">
      <w:pPr>
        <w:pStyle w:val="Heading1"/>
        <w:rPr>
          <w:lang w:val="en-GB"/>
        </w:rPr>
      </w:pPr>
      <w:bookmarkStart w:id="4" w:name="_Toc180843444"/>
      <w:r w:rsidRPr="002C1A81">
        <w:rPr>
          <w:lang w:val="en-GB"/>
        </w:rPr>
        <w:t>Conclusion</w:t>
      </w:r>
      <w:bookmarkEnd w:id="4"/>
      <w:r w:rsidRPr="002C1A81">
        <w:rPr>
          <w:lang w:val="en-GB"/>
        </w:rPr>
        <w:t xml:space="preserve"> </w:t>
      </w:r>
    </w:p>
    <w:p w14:paraId="48BA5A71" w14:textId="6A65D40C" w:rsidR="00B558BA" w:rsidRDefault="00D5430A" w:rsidP="00A60A08">
      <w:r>
        <w:t xml:space="preserve">It has been concluded that the report has presented the case of The City Hotel with a detailed financial analysis. The analysis has been performed using </w:t>
      </w:r>
      <w:r w:rsidR="00F81AE7">
        <w:t xml:space="preserve">the </w:t>
      </w:r>
      <w:r>
        <w:t xml:space="preserve">income statement and balance sheet of the hotel. </w:t>
      </w:r>
      <w:r w:rsidR="00B558BA" w:rsidRPr="00B558BA">
        <w:t xml:space="preserve">The City Hotel faces </w:t>
      </w:r>
      <w:r w:rsidR="00B558BA">
        <w:t>greater</w:t>
      </w:r>
      <w:r w:rsidR="00B558BA" w:rsidRPr="00B558BA">
        <w:t xml:space="preserve"> challenges </w:t>
      </w:r>
      <w:r w:rsidR="00B558BA">
        <w:t>for the</w:t>
      </w:r>
      <w:r w:rsidR="00B558BA" w:rsidRPr="00B558BA">
        <w:t xml:space="preserve"> combination of internal inefficiencies and </w:t>
      </w:r>
      <w:r w:rsidR="00B558BA">
        <w:t xml:space="preserve">also some significant </w:t>
      </w:r>
      <w:r w:rsidR="00B558BA" w:rsidRPr="00B558BA">
        <w:t xml:space="preserve">external pressures </w:t>
      </w:r>
      <w:r w:rsidR="00B558BA">
        <w:t>leading towards the decline in the</w:t>
      </w:r>
      <w:r w:rsidR="00B558BA" w:rsidRPr="00B558BA">
        <w:t xml:space="preserve"> revenues and </w:t>
      </w:r>
      <w:r w:rsidR="00B558BA">
        <w:t>overall profitability. Therefore, it has allocated with the</w:t>
      </w:r>
      <w:r w:rsidR="00B558BA" w:rsidRPr="00B558BA">
        <w:t xml:space="preserve"> comprehensive </w:t>
      </w:r>
      <w:r w:rsidR="00B558BA">
        <w:t>management of the</w:t>
      </w:r>
      <w:r w:rsidR="00B558BA" w:rsidRPr="00B558BA">
        <w:t xml:space="preserve"> financial performance </w:t>
      </w:r>
      <w:r w:rsidR="00B558BA">
        <w:t xml:space="preserve">with suggesting areas of improvement such as </w:t>
      </w:r>
      <w:r w:rsidR="00B558BA" w:rsidRPr="00B558BA">
        <w:t xml:space="preserve">service quality, </w:t>
      </w:r>
      <w:r w:rsidR="00B558BA">
        <w:t>efficiency in the operations</w:t>
      </w:r>
      <w:r w:rsidR="00B558BA" w:rsidRPr="00B558BA">
        <w:t xml:space="preserve">, and </w:t>
      </w:r>
      <w:r w:rsidR="00B558BA">
        <w:t xml:space="preserve">implementation of </w:t>
      </w:r>
      <w:r w:rsidR="00B558BA" w:rsidRPr="00B558BA">
        <w:t xml:space="preserve">effective marketing strategies. </w:t>
      </w:r>
      <w:r w:rsidR="00B558BA">
        <w:t xml:space="preserve">The implementation of </w:t>
      </w:r>
      <w:r w:rsidR="00B558BA" w:rsidRPr="00B558BA">
        <w:t xml:space="preserve">clear strategic goals </w:t>
      </w:r>
      <w:r w:rsidR="00B558BA">
        <w:t>and the</w:t>
      </w:r>
      <w:r w:rsidR="00B558BA" w:rsidRPr="00B558BA">
        <w:t xml:space="preserve"> targeted actions</w:t>
      </w:r>
      <w:r w:rsidR="00B558BA">
        <w:t xml:space="preserve"> like enhancement of the</w:t>
      </w:r>
      <w:r w:rsidR="00B558BA" w:rsidRPr="00B558BA">
        <w:t xml:space="preserve"> customer </w:t>
      </w:r>
      <w:r w:rsidR="00B558BA">
        <w:t>experience, optimisation in the</w:t>
      </w:r>
      <w:r w:rsidR="00B558BA" w:rsidRPr="00B558BA">
        <w:t xml:space="preserve"> operations, and restructuring </w:t>
      </w:r>
      <w:r w:rsidR="00B558BA">
        <w:t xml:space="preserve">of the finances are helpful for the </w:t>
      </w:r>
      <w:r w:rsidR="00B558BA" w:rsidRPr="00B558BA">
        <w:t xml:space="preserve">hotel </w:t>
      </w:r>
      <w:r w:rsidR="00B558BA">
        <w:t>to manage a path toward success in the hospitality industry</w:t>
      </w:r>
      <w:r w:rsidR="00B558BA" w:rsidRPr="00B558BA">
        <w:t xml:space="preserve">. </w:t>
      </w:r>
      <w:r w:rsidR="00B558BA">
        <w:t>The report also</w:t>
      </w:r>
      <w:r w:rsidR="00B558BA" w:rsidRPr="00B558BA">
        <w:t xml:space="preserve"> focused </w:t>
      </w:r>
      <w:r w:rsidR="00B558BA">
        <w:t>on presenting the turnaround strategy for</w:t>
      </w:r>
      <w:r w:rsidR="00B558BA" w:rsidRPr="00B558BA">
        <w:t xml:space="preserve"> The City Hotel </w:t>
      </w:r>
      <w:r w:rsidR="00B558BA">
        <w:t>with restoring the</w:t>
      </w:r>
      <w:r w:rsidR="00B558BA" w:rsidRPr="00B558BA">
        <w:t xml:space="preserve"> financial health, improve</w:t>
      </w:r>
      <w:r w:rsidR="00B558BA">
        <w:t>ments in the</w:t>
      </w:r>
      <w:r w:rsidR="00B558BA" w:rsidRPr="00B558BA">
        <w:t xml:space="preserve"> customer satisfaction, and sec</w:t>
      </w:r>
      <w:r w:rsidR="00B558BA">
        <w:t>uring the</w:t>
      </w:r>
      <w:r w:rsidR="00B558BA" w:rsidRPr="00B558BA">
        <w:t xml:space="preserve"> position </w:t>
      </w:r>
      <w:r w:rsidR="00B558BA">
        <w:t>within the competitive market.</w:t>
      </w:r>
    </w:p>
    <w:p w14:paraId="48BA5A72" w14:textId="77777777" w:rsidR="005651B3" w:rsidRDefault="005651B3">
      <w:pPr>
        <w:spacing w:after="160" w:line="259" w:lineRule="auto"/>
        <w:jc w:val="left"/>
      </w:pPr>
      <w:r>
        <w:br w:type="page"/>
      </w:r>
    </w:p>
    <w:p w14:paraId="48BA5A73" w14:textId="77777777" w:rsidR="005651B3" w:rsidRDefault="005651B3" w:rsidP="005651B3">
      <w:pPr>
        <w:pStyle w:val="Heading1"/>
      </w:pPr>
      <w:bookmarkStart w:id="5" w:name="_Toc180843445"/>
      <w:r>
        <w:t>References</w:t>
      </w:r>
      <w:bookmarkEnd w:id="5"/>
    </w:p>
    <w:p w14:paraId="48BA5A74" w14:textId="77777777" w:rsidR="00CF39FA" w:rsidRPr="00CF39FA" w:rsidRDefault="00CF39FA" w:rsidP="00CF39FA">
      <w:pPr>
        <w:ind w:left="720" w:hanging="720"/>
        <w:rPr>
          <w:rFonts w:cs="Times New Roman"/>
          <w:color w:val="222222"/>
          <w:szCs w:val="24"/>
          <w:shd w:val="clear" w:color="auto" w:fill="FFFFFF"/>
        </w:rPr>
      </w:pPr>
      <w:r w:rsidRPr="00CF39FA">
        <w:rPr>
          <w:rFonts w:cs="Times New Roman"/>
          <w:color w:val="222222"/>
          <w:szCs w:val="24"/>
          <w:shd w:val="clear" w:color="auto" w:fill="FFFFFF"/>
        </w:rPr>
        <w:t>Adams, D., 2024. Management accounting for the hospitality, tourism and leisure industries: A strategic approach.</w:t>
      </w:r>
    </w:p>
    <w:p w14:paraId="48BA5A75" w14:textId="77777777" w:rsidR="00CF39FA" w:rsidRPr="00CF39FA" w:rsidRDefault="00CF39FA" w:rsidP="00CF39FA">
      <w:pPr>
        <w:ind w:left="720" w:hanging="720"/>
        <w:rPr>
          <w:rFonts w:cs="Times New Roman"/>
          <w:color w:val="222222"/>
          <w:szCs w:val="24"/>
          <w:shd w:val="clear" w:color="auto" w:fill="FFFFFF"/>
        </w:rPr>
      </w:pPr>
      <w:r w:rsidRPr="00CF39FA">
        <w:rPr>
          <w:rFonts w:cs="Times New Roman"/>
          <w:color w:val="222222"/>
          <w:szCs w:val="24"/>
          <w:shd w:val="clear" w:color="auto" w:fill="FFFFFF"/>
        </w:rPr>
        <w:t xml:space="preserve">Akbari, M., Nazarian, A., </w:t>
      </w:r>
      <w:proofErr w:type="spellStart"/>
      <w:r w:rsidRPr="00CF39FA">
        <w:rPr>
          <w:rFonts w:cs="Times New Roman"/>
          <w:color w:val="222222"/>
          <w:szCs w:val="24"/>
          <w:shd w:val="clear" w:color="auto" w:fill="FFFFFF"/>
        </w:rPr>
        <w:t>Foroudi</w:t>
      </w:r>
      <w:proofErr w:type="spellEnd"/>
      <w:r w:rsidRPr="00CF39FA">
        <w:rPr>
          <w:rFonts w:cs="Times New Roman"/>
          <w:color w:val="222222"/>
          <w:szCs w:val="24"/>
          <w:shd w:val="clear" w:color="auto" w:fill="FFFFFF"/>
        </w:rPr>
        <w:t xml:space="preserve">, P., Seyyed Amiri, N. and </w:t>
      </w:r>
      <w:proofErr w:type="spellStart"/>
      <w:r w:rsidRPr="00CF39FA">
        <w:rPr>
          <w:rFonts w:cs="Times New Roman"/>
          <w:color w:val="222222"/>
          <w:szCs w:val="24"/>
          <w:shd w:val="clear" w:color="auto" w:fill="FFFFFF"/>
        </w:rPr>
        <w:t>Ezatabadipoor</w:t>
      </w:r>
      <w:proofErr w:type="spellEnd"/>
      <w:r w:rsidRPr="00CF39FA">
        <w:rPr>
          <w:rFonts w:cs="Times New Roman"/>
          <w:color w:val="222222"/>
          <w:szCs w:val="24"/>
          <w:shd w:val="clear" w:color="auto" w:fill="FFFFFF"/>
        </w:rPr>
        <w:t xml:space="preserve">, E., 2021. How corporate social responsibility contributes to strengthening brand loyalty, hotel positioning and intention to </w:t>
      </w:r>
      <w:proofErr w:type="gramStart"/>
      <w:r w:rsidRPr="00CF39FA">
        <w:rPr>
          <w:rFonts w:cs="Times New Roman"/>
          <w:color w:val="222222"/>
          <w:szCs w:val="24"/>
          <w:shd w:val="clear" w:color="auto" w:fill="FFFFFF"/>
        </w:rPr>
        <w:t>revisit?.</w:t>
      </w:r>
      <w:proofErr w:type="gramEnd"/>
      <w:r w:rsidRPr="00CF39FA">
        <w:rPr>
          <w:rFonts w:cs="Times New Roman"/>
          <w:color w:val="222222"/>
          <w:szCs w:val="24"/>
          <w:shd w:val="clear" w:color="auto" w:fill="FFFFFF"/>
        </w:rPr>
        <w:t> </w:t>
      </w:r>
      <w:r w:rsidRPr="00CF39FA">
        <w:rPr>
          <w:rFonts w:cs="Times New Roman"/>
          <w:i/>
          <w:iCs/>
          <w:color w:val="222222"/>
          <w:szCs w:val="24"/>
          <w:shd w:val="clear" w:color="auto" w:fill="FFFFFF"/>
        </w:rPr>
        <w:t>Current Issues in Tourism</w:t>
      </w:r>
      <w:r w:rsidRPr="00CF39FA">
        <w:rPr>
          <w:rFonts w:cs="Times New Roman"/>
          <w:color w:val="222222"/>
          <w:szCs w:val="24"/>
          <w:shd w:val="clear" w:color="auto" w:fill="FFFFFF"/>
        </w:rPr>
        <w:t>, </w:t>
      </w:r>
      <w:r w:rsidRPr="00CF39FA">
        <w:rPr>
          <w:rFonts w:cs="Times New Roman"/>
          <w:i/>
          <w:iCs/>
          <w:color w:val="222222"/>
          <w:szCs w:val="24"/>
          <w:shd w:val="clear" w:color="auto" w:fill="FFFFFF"/>
        </w:rPr>
        <w:t>24</w:t>
      </w:r>
      <w:r w:rsidRPr="00CF39FA">
        <w:rPr>
          <w:rFonts w:cs="Times New Roman"/>
          <w:color w:val="222222"/>
          <w:szCs w:val="24"/>
          <w:shd w:val="clear" w:color="auto" w:fill="FFFFFF"/>
        </w:rPr>
        <w:t>(13), pp.1897-1917.</w:t>
      </w:r>
    </w:p>
    <w:p w14:paraId="48BA5A76" w14:textId="77777777" w:rsidR="00CF39FA" w:rsidRPr="00CF39FA" w:rsidRDefault="00CF39FA" w:rsidP="00CF39FA">
      <w:pPr>
        <w:ind w:left="720" w:hanging="720"/>
        <w:rPr>
          <w:rFonts w:cs="Times New Roman"/>
          <w:color w:val="222222"/>
          <w:szCs w:val="24"/>
          <w:shd w:val="clear" w:color="auto" w:fill="FFFFFF"/>
        </w:rPr>
      </w:pPr>
      <w:proofErr w:type="spellStart"/>
      <w:r w:rsidRPr="00CF39FA">
        <w:rPr>
          <w:rFonts w:cs="Times New Roman"/>
          <w:color w:val="222222"/>
          <w:szCs w:val="24"/>
          <w:shd w:val="clear" w:color="auto" w:fill="FFFFFF"/>
        </w:rPr>
        <w:t>Alrawadieh</w:t>
      </w:r>
      <w:proofErr w:type="spellEnd"/>
      <w:r w:rsidRPr="00CF39FA">
        <w:rPr>
          <w:rFonts w:cs="Times New Roman"/>
          <w:color w:val="222222"/>
          <w:szCs w:val="24"/>
          <w:shd w:val="clear" w:color="auto" w:fill="FFFFFF"/>
        </w:rPr>
        <w:t xml:space="preserve">, Z., </w:t>
      </w:r>
      <w:proofErr w:type="spellStart"/>
      <w:r w:rsidRPr="00CF39FA">
        <w:rPr>
          <w:rFonts w:cs="Times New Roman"/>
          <w:color w:val="222222"/>
          <w:szCs w:val="24"/>
          <w:shd w:val="clear" w:color="auto" w:fill="FFFFFF"/>
        </w:rPr>
        <w:t>Alrawadieh</w:t>
      </w:r>
      <w:proofErr w:type="spellEnd"/>
      <w:r w:rsidRPr="00CF39FA">
        <w:rPr>
          <w:rFonts w:cs="Times New Roman"/>
          <w:color w:val="222222"/>
          <w:szCs w:val="24"/>
          <w:shd w:val="clear" w:color="auto" w:fill="FFFFFF"/>
        </w:rPr>
        <w:t>, Z. and Cetin, G., 2021. Digital transformation and revenue management: Evidence from the hotel industry. </w:t>
      </w:r>
      <w:r w:rsidRPr="00CF39FA">
        <w:rPr>
          <w:rFonts w:cs="Times New Roman"/>
          <w:i/>
          <w:iCs/>
          <w:color w:val="222222"/>
          <w:szCs w:val="24"/>
          <w:shd w:val="clear" w:color="auto" w:fill="FFFFFF"/>
        </w:rPr>
        <w:t>Tourism Economics</w:t>
      </w:r>
      <w:r w:rsidRPr="00CF39FA">
        <w:rPr>
          <w:rFonts w:cs="Times New Roman"/>
          <w:color w:val="222222"/>
          <w:szCs w:val="24"/>
          <w:shd w:val="clear" w:color="auto" w:fill="FFFFFF"/>
        </w:rPr>
        <w:t>, </w:t>
      </w:r>
      <w:r w:rsidRPr="00CF39FA">
        <w:rPr>
          <w:rFonts w:cs="Times New Roman"/>
          <w:i/>
          <w:iCs/>
          <w:color w:val="222222"/>
          <w:szCs w:val="24"/>
          <w:shd w:val="clear" w:color="auto" w:fill="FFFFFF"/>
        </w:rPr>
        <w:t>27</w:t>
      </w:r>
      <w:r w:rsidRPr="00CF39FA">
        <w:rPr>
          <w:rFonts w:cs="Times New Roman"/>
          <w:color w:val="222222"/>
          <w:szCs w:val="24"/>
          <w:shd w:val="clear" w:color="auto" w:fill="FFFFFF"/>
        </w:rPr>
        <w:t>(2), pp.328-345.</w:t>
      </w:r>
    </w:p>
    <w:p w14:paraId="48BA5A77" w14:textId="77777777" w:rsidR="00CF39FA" w:rsidRPr="00CF39FA" w:rsidRDefault="00CF39FA" w:rsidP="00CF39FA">
      <w:pPr>
        <w:ind w:left="720" w:hanging="720"/>
        <w:rPr>
          <w:rFonts w:cs="Times New Roman"/>
          <w:color w:val="222222"/>
          <w:szCs w:val="24"/>
          <w:shd w:val="clear" w:color="auto" w:fill="FFFFFF"/>
        </w:rPr>
      </w:pPr>
      <w:r w:rsidRPr="00CF39FA">
        <w:rPr>
          <w:rFonts w:cs="Times New Roman"/>
          <w:color w:val="222222"/>
          <w:szCs w:val="24"/>
          <w:shd w:val="clear" w:color="auto" w:fill="FFFFFF"/>
        </w:rPr>
        <w:t>Anguera-Torrell, O., Aznar-Alarcón, J.P. and Vives-Perez, J., 2021. COVID-19: hotel industry response to the pandemic evolution and to the public sector economic measures. </w:t>
      </w:r>
      <w:r w:rsidRPr="00CF39FA">
        <w:rPr>
          <w:rFonts w:cs="Times New Roman"/>
          <w:i/>
          <w:iCs/>
          <w:color w:val="222222"/>
          <w:szCs w:val="24"/>
          <w:shd w:val="clear" w:color="auto" w:fill="FFFFFF"/>
        </w:rPr>
        <w:t>Tourism Recreation Research</w:t>
      </w:r>
      <w:r w:rsidRPr="00CF39FA">
        <w:rPr>
          <w:rFonts w:cs="Times New Roman"/>
          <w:color w:val="222222"/>
          <w:szCs w:val="24"/>
          <w:shd w:val="clear" w:color="auto" w:fill="FFFFFF"/>
        </w:rPr>
        <w:t>, </w:t>
      </w:r>
      <w:r w:rsidRPr="00CF39FA">
        <w:rPr>
          <w:rFonts w:cs="Times New Roman"/>
          <w:i/>
          <w:iCs/>
          <w:color w:val="222222"/>
          <w:szCs w:val="24"/>
          <w:shd w:val="clear" w:color="auto" w:fill="FFFFFF"/>
        </w:rPr>
        <w:t>46</w:t>
      </w:r>
      <w:r w:rsidRPr="00CF39FA">
        <w:rPr>
          <w:rFonts w:cs="Times New Roman"/>
          <w:color w:val="222222"/>
          <w:szCs w:val="24"/>
          <w:shd w:val="clear" w:color="auto" w:fill="FFFFFF"/>
        </w:rPr>
        <w:t>(2), pp.148-157.</w:t>
      </w:r>
    </w:p>
    <w:p w14:paraId="48BA5A78" w14:textId="77777777" w:rsidR="00CF39FA" w:rsidRPr="00CF39FA" w:rsidRDefault="00CF39FA" w:rsidP="00CF39FA">
      <w:pPr>
        <w:ind w:left="720" w:hanging="720"/>
        <w:rPr>
          <w:rFonts w:cs="Times New Roman"/>
          <w:color w:val="222222"/>
          <w:szCs w:val="24"/>
          <w:shd w:val="clear" w:color="auto" w:fill="FFFFFF"/>
        </w:rPr>
      </w:pPr>
      <w:r w:rsidRPr="00CF39FA">
        <w:rPr>
          <w:rFonts w:cs="Times New Roman"/>
          <w:color w:val="222222"/>
          <w:szCs w:val="24"/>
          <w:shd w:val="clear" w:color="auto" w:fill="FFFFFF"/>
        </w:rPr>
        <w:t xml:space="preserve">Carlisle, S., Ivanov, S. and </w:t>
      </w:r>
      <w:proofErr w:type="spellStart"/>
      <w:r w:rsidRPr="00CF39FA">
        <w:rPr>
          <w:rFonts w:cs="Times New Roman"/>
          <w:color w:val="222222"/>
          <w:szCs w:val="24"/>
          <w:shd w:val="clear" w:color="auto" w:fill="FFFFFF"/>
        </w:rPr>
        <w:t>Dijkmans</w:t>
      </w:r>
      <w:proofErr w:type="spellEnd"/>
      <w:r w:rsidRPr="00CF39FA">
        <w:rPr>
          <w:rFonts w:cs="Times New Roman"/>
          <w:color w:val="222222"/>
          <w:szCs w:val="24"/>
          <w:shd w:val="clear" w:color="auto" w:fill="FFFFFF"/>
        </w:rPr>
        <w:t>, C., 2023. The digital skills divide: evidence from the European tourism industry. </w:t>
      </w:r>
      <w:r w:rsidRPr="00CF39FA">
        <w:rPr>
          <w:rFonts w:cs="Times New Roman"/>
          <w:i/>
          <w:iCs/>
          <w:color w:val="222222"/>
          <w:szCs w:val="24"/>
          <w:shd w:val="clear" w:color="auto" w:fill="FFFFFF"/>
        </w:rPr>
        <w:t>Journal of tourism futures</w:t>
      </w:r>
      <w:r w:rsidRPr="00CF39FA">
        <w:rPr>
          <w:rFonts w:cs="Times New Roman"/>
          <w:color w:val="222222"/>
          <w:szCs w:val="24"/>
          <w:shd w:val="clear" w:color="auto" w:fill="FFFFFF"/>
        </w:rPr>
        <w:t>, </w:t>
      </w:r>
      <w:r w:rsidRPr="00CF39FA">
        <w:rPr>
          <w:rFonts w:cs="Times New Roman"/>
          <w:i/>
          <w:iCs/>
          <w:color w:val="222222"/>
          <w:szCs w:val="24"/>
          <w:shd w:val="clear" w:color="auto" w:fill="FFFFFF"/>
        </w:rPr>
        <w:t>9</w:t>
      </w:r>
      <w:r w:rsidRPr="00CF39FA">
        <w:rPr>
          <w:rFonts w:cs="Times New Roman"/>
          <w:color w:val="222222"/>
          <w:szCs w:val="24"/>
          <w:shd w:val="clear" w:color="auto" w:fill="FFFFFF"/>
        </w:rPr>
        <w:t>(2), pp.240-266.</w:t>
      </w:r>
    </w:p>
    <w:p w14:paraId="48BA5A79" w14:textId="77777777" w:rsidR="00CF39FA" w:rsidRPr="00CF39FA" w:rsidRDefault="00CF39FA" w:rsidP="00CF39FA">
      <w:pPr>
        <w:ind w:left="720" w:hanging="720"/>
        <w:rPr>
          <w:rFonts w:cs="Times New Roman"/>
          <w:color w:val="222222"/>
          <w:szCs w:val="24"/>
          <w:shd w:val="clear" w:color="auto" w:fill="FFFFFF"/>
        </w:rPr>
      </w:pPr>
      <w:proofErr w:type="spellStart"/>
      <w:r w:rsidRPr="00CF39FA">
        <w:rPr>
          <w:rFonts w:cs="Times New Roman"/>
          <w:color w:val="222222"/>
          <w:szCs w:val="24"/>
          <w:shd w:val="clear" w:color="auto" w:fill="FFFFFF"/>
        </w:rPr>
        <w:t>Dashper</w:t>
      </w:r>
      <w:proofErr w:type="spellEnd"/>
      <w:r w:rsidRPr="00CF39FA">
        <w:rPr>
          <w:rFonts w:cs="Times New Roman"/>
          <w:color w:val="222222"/>
          <w:szCs w:val="24"/>
          <w:shd w:val="clear" w:color="auto" w:fill="FFFFFF"/>
        </w:rPr>
        <w:t>, K., 2020. Mentoring for gender equality: Supporting female leaders in the hospitality industry. </w:t>
      </w:r>
      <w:r w:rsidRPr="00CF39FA">
        <w:rPr>
          <w:rFonts w:cs="Times New Roman"/>
          <w:i/>
          <w:iCs/>
          <w:color w:val="222222"/>
          <w:szCs w:val="24"/>
          <w:shd w:val="clear" w:color="auto" w:fill="FFFFFF"/>
        </w:rPr>
        <w:t>International Journal of Hospitality Management</w:t>
      </w:r>
      <w:r w:rsidRPr="00CF39FA">
        <w:rPr>
          <w:rFonts w:cs="Times New Roman"/>
          <w:color w:val="222222"/>
          <w:szCs w:val="24"/>
          <w:shd w:val="clear" w:color="auto" w:fill="FFFFFF"/>
        </w:rPr>
        <w:t>, </w:t>
      </w:r>
      <w:r w:rsidRPr="00CF39FA">
        <w:rPr>
          <w:rFonts w:cs="Times New Roman"/>
          <w:i/>
          <w:iCs/>
          <w:color w:val="222222"/>
          <w:szCs w:val="24"/>
          <w:shd w:val="clear" w:color="auto" w:fill="FFFFFF"/>
        </w:rPr>
        <w:t>88</w:t>
      </w:r>
      <w:r w:rsidRPr="00CF39FA">
        <w:rPr>
          <w:rFonts w:cs="Times New Roman"/>
          <w:color w:val="222222"/>
          <w:szCs w:val="24"/>
          <w:shd w:val="clear" w:color="auto" w:fill="FFFFFF"/>
        </w:rPr>
        <w:t>, p.102397.</w:t>
      </w:r>
    </w:p>
    <w:p w14:paraId="48BA5A7A" w14:textId="77777777" w:rsidR="00CF39FA" w:rsidRPr="00CF39FA" w:rsidRDefault="00CF39FA" w:rsidP="00CF39FA">
      <w:pPr>
        <w:ind w:left="720" w:hanging="720"/>
        <w:rPr>
          <w:rFonts w:cs="Times New Roman"/>
          <w:color w:val="222222"/>
          <w:szCs w:val="24"/>
          <w:shd w:val="clear" w:color="auto" w:fill="FFFFFF"/>
        </w:rPr>
      </w:pPr>
      <w:r w:rsidRPr="00CF39FA">
        <w:rPr>
          <w:rFonts w:cs="Times New Roman"/>
          <w:color w:val="222222"/>
          <w:szCs w:val="24"/>
          <w:shd w:val="clear" w:color="auto" w:fill="FFFFFF"/>
        </w:rPr>
        <w:t xml:space="preserve">Dube, K., Nhamo, G. and </w:t>
      </w:r>
      <w:proofErr w:type="spellStart"/>
      <w:r w:rsidRPr="00CF39FA">
        <w:rPr>
          <w:rFonts w:cs="Times New Roman"/>
          <w:color w:val="222222"/>
          <w:szCs w:val="24"/>
          <w:shd w:val="clear" w:color="auto" w:fill="FFFFFF"/>
        </w:rPr>
        <w:t>Chikodzi</w:t>
      </w:r>
      <w:proofErr w:type="spellEnd"/>
      <w:r w:rsidRPr="00CF39FA">
        <w:rPr>
          <w:rFonts w:cs="Times New Roman"/>
          <w:color w:val="222222"/>
          <w:szCs w:val="24"/>
          <w:shd w:val="clear" w:color="auto" w:fill="FFFFFF"/>
        </w:rPr>
        <w:t>, D., 2021. COVID-19 cripples global restaurant and hospitality industry. </w:t>
      </w:r>
      <w:r w:rsidRPr="00CF39FA">
        <w:rPr>
          <w:rFonts w:cs="Times New Roman"/>
          <w:i/>
          <w:iCs/>
          <w:color w:val="222222"/>
          <w:szCs w:val="24"/>
          <w:shd w:val="clear" w:color="auto" w:fill="FFFFFF"/>
        </w:rPr>
        <w:t>Current Issues in Tourism</w:t>
      </w:r>
      <w:r w:rsidRPr="00CF39FA">
        <w:rPr>
          <w:rFonts w:cs="Times New Roman"/>
          <w:color w:val="222222"/>
          <w:szCs w:val="24"/>
          <w:shd w:val="clear" w:color="auto" w:fill="FFFFFF"/>
        </w:rPr>
        <w:t>, </w:t>
      </w:r>
      <w:r w:rsidRPr="00CF39FA">
        <w:rPr>
          <w:rFonts w:cs="Times New Roman"/>
          <w:i/>
          <w:iCs/>
          <w:color w:val="222222"/>
          <w:szCs w:val="24"/>
          <w:shd w:val="clear" w:color="auto" w:fill="FFFFFF"/>
        </w:rPr>
        <w:t>24</w:t>
      </w:r>
      <w:r w:rsidRPr="00CF39FA">
        <w:rPr>
          <w:rFonts w:cs="Times New Roman"/>
          <w:color w:val="222222"/>
          <w:szCs w:val="24"/>
          <w:shd w:val="clear" w:color="auto" w:fill="FFFFFF"/>
        </w:rPr>
        <w:t>(11), pp.1487-1490.</w:t>
      </w:r>
    </w:p>
    <w:p w14:paraId="48BA5A7B" w14:textId="77777777" w:rsidR="00CF39FA" w:rsidRPr="00CF39FA" w:rsidRDefault="00CF39FA" w:rsidP="00CF39FA">
      <w:pPr>
        <w:ind w:left="720" w:hanging="720"/>
        <w:rPr>
          <w:rFonts w:cs="Times New Roman"/>
          <w:color w:val="222222"/>
          <w:szCs w:val="24"/>
          <w:shd w:val="clear" w:color="auto" w:fill="FFFFFF"/>
        </w:rPr>
      </w:pPr>
      <w:r w:rsidRPr="00CF39FA">
        <w:rPr>
          <w:rFonts w:cs="Times New Roman"/>
          <w:color w:val="222222"/>
          <w:szCs w:val="24"/>
          <w:shd w:val="clear" w:color="auto" w:fill="FFFFFF"/>
        </w:rPr>
        <w:t>Fatima, T. and Elbanna, S., 2020. Balanced scorecard in the hospitality and tourism industry: Past, present and future. </w:t>
      </w:r>
      <w:r w:rsidRPr="00CF39FA">
        <w:rPr>
          <w:rFonts w:cs="Times New Roman"/>
          <w:i/>
          <w:iCs/>
          <w:color w:val="222222"/>
          <w:szCs w:val="24"/>
          <w:shd w:val="clear" w:color="auto" w:fill="FFFFFF"/>
        </w:rPr>
        <w:t>International Journal of hospitality management</w:t>
      </w:r>
      <w:r w:rsidRPr="00CF39FA">
        <w:rPr>
          <w:rFonts w:cs="Times New Roman"/>
          <w:color w:val="222222"/>
          <w:szCs w:val="24"/>
          <w:shd w:val="clear" w:color="auto" w:fill="FFFFFF"/>
        </w:rPr>
        <w:t>, </w:t>
      </w:r>
      <w:r w:rsidRPr="00CF39FA">
        <w:rPr>
          <w:rFonts w:cs="Times New Roman"/>
          <w:i/>
          <w:iCs/>
          <w:color w:val="222222"/>
          <w:szCs w:val="24"/>
          <w:shd w:val="clear" w:color="auto" w:fill="FFFFFF"/>
        </w:rPr>
        <w:t>91</w:t>
      </w:r>
      <w:r w:rsidRPr="00CF39FA">
        <w:rPr>
          <w:rFonts w:cs="Times New Roman"/>
          <w:color w:val="222222"/>
          <w:szCs w:val="24"/>
          <w:shd w:val="clear" w:color="auto" w:fill="FFFFFF"/>
        </w:rPr>
        <w:t>, p.102656.</w:t>
      </w:r>
    </w:p>
    <w:p w14:paraId="48BA5A7C" w14:textId="77777777" w:rsidR="00CF39FA" w:rsidRPr="00CF39FA" w:rsidRDefault="00CF39FA" w:rsidP="00CF39FA">
      <w:pPr>
        <w:ind w:left="720" w:hanging="720"/>
        <w:rPr>
          <w:rFonts w:cs="Times New Roman"/>
          <w:color w:val="222222"/>
          <w:szCs w:val="24"/>
          <w:shd w:val="clear" w:color="auto" w:fill="FFFFFF"/>
        </w:rPr>
      </w:pPr>
      <w:proofErr w:type="spellStart"/>
      <w:r w:rsidRPr="00CF39FA">
        <w:rPr>
          <w:rFonts w:cs="Times New Roman"/>
          <w:color w:val="222222"/>
          <w:szCs w:val="24"/>
          <w:shd w:val="clear" w:color="auto" w:fill="FFFFFF"/>
        </w:rPr>
        <w:t>Filimonau</w:t>
      </w:r>
      <w:proofErr w:type="spellEnd"/>
      <w:r w:rsidRPr="00CF39FA">
        <w:rPr>
          <w:rFonts w:cs="Times New Roman"/>
          <w:color w:val="222222"/>
          <w:szCs w:val="24"/>
          <w:shd w:val="clear" w:color="auto" w:fill="FFFFFF"/>
        </w:rPr>
        <w:t>, V., 2021. The prospects of waste management in the hospitality sector post COVID-19. </w:t>
      </w:r>
      <w:r w:rsidRPr="00CF39FA">
        <w:rPr>
          <w:rFonts w:cs="Times New Roman"/>
          <w:i/>
          <w:iCs/>
          <w:color w:val="222222"/>
          <w:szCs w:val="24"/>
          <w:shd w:val="clear" w:color="auto" w:fill="FFFFFF"/>
        </w:rPr>
        <w:t>Resources, Conservation and Recycling</w:t>
      </w:r>
      <w:r w:rsidRPr="00CF39FA">
        <w:rPr>
          <w:rFonts w:cs="Times New Roman"/>
          <w:color w:val="222222"/>
          <w:szCs w:val="24"/>
          <w:shd w:val="clear" w:color="auto" w:fill="FFFFFF"/>
        </w:rPr>
        <w:t>, </w:t>
      </w:r>
      <w:r w:rsidRPr="00CF39FA">
        <w:rPr>
          <w:rFonts w:cs="Times New Roman"/>
          <w:i/>
          <w:iCs/>
          <w:color w:val="222222"/>
          <w:szCs w:val="24"/>
          <w:shd w:val="clear" w:color="auto" w:fill="FFFFFF"/>
        </w:rPr>
        <w:t>168</w:t>
      </w:r>
      <w:r w:rsidRPr="00CF39FA">
        <w:rPr>
          <w:rFonts w:cs="Times New Roman"/>
          <w:color w:val="222222"/>
          <w:szCs w:val="24"/>
          <w:shd w:val="clear" w:color="auto" w:fill="FFFFFF"/>
        </w:rPr>
        <w:t>, p.105272.</w:t>
      </w:r>
    </w:p>
    <w:p w14:paraId="48BA5A7D" w14:textId="77777777" w:rsidR="00CF39FA" w:rsidRPr="00CF39FA" w:rsidRDefault="00CF39FA" w:rsidP="00CF39FA">
      <w:pPr>
        <w:ind w:left="720" w:hanging="720"/>
        <w:rPr>
          <w:rFonts w:cs="Times New Roman"/>
          <w:color w:val="222222"/>
          <w:szCs w:val="24"/>
          <w:shd w:val="clear" w:color="auto" w:fill="FFFFFF"/>
        </w:rPr>
      </w:pPr>
      <w:proofErr w:type="spellStart"/>
      <w:r w:rsidRPr="00CF39FA">
        <w:rPr>
          <w:rFonts w:cs="Times New Roman"/>
          <w:color w:val="222222"/>
          <w:szCs w:val="24"/>
          <w:shd w:val="clear" w:color="auto" w:fill="FFFFFF"/>
        </w:rPr>
        <w:t>Filimonau</w:t>
      </w:r>
      <w:proofErr w:type="spellEnd"/>
      <w:r w:rsidRPr="00CF39FA">
        <w:rPr>
          <w:rFonts w:cs="Times New Roman"/>
          <w:color w:val="222222"/>
          <w:szCs w:val="24"/>
          <w:shd w:val="clear" w:color="auto" w:fill="FFFFFF"/>
        </w:rPr>
        <w:t xml:space="preserve">, V., Todorova, E., Mzembe, A., Sauer, L. and </w:t>
      </w:r>
      <w:proofErr w:type="spellStart"/>
      <w:r w:rsidRPr="00CF39FA">
        <w:rPr>
          <w:rFonts w:cs="Times New Roman"/>
          <w:color w:val="222222"/>
          <w:szCs w:val="24"/>
          <w:shd w:val="clear" w:color="auto" w:fill="FFFFFF"/>
        </w:rPr>
        <w:t>Yankholmes</w:t>
      </w:r>
      <w:proofErr w:type="spellEnd"/>
      <w:r w:rsidRPr="00CF39FA">
        <w:rPr>
          <w:rFonts w:cs="Times New Roman"/>
          <w:color w:val="222222"/>
          <w:szCs w:val="24"/>
          <w:shd w:val="clear" w:color="auto" w:fill="FFFFFF"/>
        </w:rPr>
        <w:t>, A., 2020. A comparative study of food waste management in full service restaurants of the United Kingdom and the Netherlands. </w:t>
      </w:r>
      <w:r w:rsidRPr="00CF39FA">
        <w:rPr>
          <w:rFonts w:cs="Times New Roman"/>
          <w:i/>
          <w:iCs/>
          <w:color w:val="222222"/>
          <w:szCs w:val="24"/>
          <w:shd w:val="clear" w:color="auto" w:fill="FFFFFF"/>
        </w:rPr>
        <w:t>Journal of Cleaner Production</w:t>
      </w:r>
      <w:r w:rsidRPr="00CF39FA">
        <w:rPr>
          <w:rFonts w:cs="Times New Roman"/>
          <w:color w:val="222222"/>
          <w:szCs w:val="24"/>
          <w:shd w:val="clear" w:color="auto" w:fill="FFFFFF"/>
        </w:rPr>
        <w:t>, </w:t>
      </w:r>
      <w:r w:rsidRPr="00CF39FA">
        <w:rPr>
          <w:rFonts w:cs="Times New Roman"/>
          <w:i/>
          <w:iCs/>
          <w:color w:val="222222"/>
          <w:szCs w:val="24"/>
          <w:shd w:val="clear" w:color="auto" w:fill="FFFFFF"/>
        </w:rPr>
        <w:t>258</w:t>
      </w:r>
      <w:r w:rsidRPr="00CF39FA">
        <w:rPr>
          <w:rFonts w:cs="Times New Roman"/>
          <w:color w:val="222222"/>
          <w:szCs w:val="24"/>
          <w:shd w:val="clear" w:color="auto" w:fill="FFFFFF"/>
        </w:rPr>
        <w:t>, p.120775.</w:t>
      </w:r>
    </w:p>
    <w:p w14:paraId="48BA5A7E" w14:textId="77777777" w:rsidR="00CF39FA" w:rsidRPr="00CF39FA" w:rsidRDefault="00CF39FA" w:rsidP="00CF39FA">
      <w:pPr>
        <w:ind w:left="720" w:hanging="720"/>
        <w:rPr>
          <w:rFonts w:cs="Times New Roman"/>
          <w:color w:val="222222"/>
          <w:szCs w:val="24"/>
          <w:shd w:val="clear" w:color="auto" w:fill="FFFFFF"/>
        </w:rPr>
      </w:pPr>
      <w:r w:rsidRPr="00CF39FA">
        <w:rPr>
          <w:rFonts w:cs="Times New Roman"/>
          <w:color w:val="222222"/>
          <w:szCs w:val="24"/>
          <w:shd w:val="clear" w:color="auto" w:fill="FFFFFF"/>
        </w:rPr>
        <w:t xml:space="preserve">González-Torres, T., Rodríguez-Sánchez, J.L. and </w:t>
      </w:r>
      <w:proofErr w:type="spellStart"/>
      <w:r w:rsidRPr="00CF39FA">
        <w:rPr>
          <w:rFonts w:cs="Times New Roman"/>
          <w:color w:val="222222"/>
          <w:szCs w:val="24"/>
          <w:shd w:val="clear" w:color="auto" w:fill="FFFFFF"/>
        </w:rPr>
        <w:t>Pelechano</w:t>
      </w:r>
      <w:proofErr w:type="spellEnd"/>
      <w:r w:rsidRPr="00CF39FA">
        <w:rPr>
          <w:rFonts w:cs="Times New Roman"/>
          <w:color w:val="222222"/>
          <w:szCs w:val="24"/>
          <w:shd w:val="clear" w:color="auto" w:fill="FFFFFF"/>
        </w:rPr>
        <w:t>-Barahona, E., 2021. Managing relationships in the Tourism Supply Chain to overcome epidemic outbreaks: The case of COVID-19 and the hospitality industry in Spain. </w:t>
      </w:r>
      <w:r w:rsidRPr="00CF39FA">
        <w:rPr>
          <w:rFonts w:cs="Times New Roman"/>
          <w:i/>
          <w:iCs/>
          <w:color w:val="222222"/>
          <w:szCs w:val="24"/>
          <w:shd w:val="clear" w:color="auto" w:fill="FFFFFF"/>
        </w:rPr>
        <w:t>International journal of hospitality management</w:t>
      </w:r>
      <w:r w:rsidRPr="00CF39FA">
        <w:rPr>
          <w:rFonts w:cs="Times New Roman"/>
          <w:color w:val="222222"/>
          <w:szCs w:val="24"/>
          <w:shd w:val="clear" w:color="auto" w:fill="FFFFFF"/>
        </w:rPr>
        <w:t>, </w:t>
      </w:r>
      <w:r w:rsidRPr="00CF39FA">
        <w:rPr>
          <w:rFonts w:cs="Times New Roman"/>
          <w:i/>
          <w:iCs/>
          <w:color w:val="222222"/>
          <w:szCs w:val="24"/>
          <w:shd w:val="clear" w:color="auto" w:fill="FFFFFF"/>
        </w:rPr>
        <w:t>92</w:t>
      </w:r>
      <w:r w:rsidRPr="00CF39FA">
        <w:rPr>
          <w:rFonts w:cs="Times New Roman"/>
          <w:color w:val="222222"/>
          <w:szCs w:val="24"/>
          <w:shd w:val="clear" w:color="auto" w:fill="FFFFFF"/>
        </w:rPr>
        <w:t>, p.102733.</w:t>
      </w:r>
    </w:p>
    <w:p w14:paraId="48BA5A7F" w14:textId="77777777" w:rsidR="00CF39FA" w:rsidRPr="00CF39FA" w:rsidRDefault="00CF39FA" w:rsidP="00CF39FA">
      <w:pPr>
        <w:ind w:left="720" w:hanging="720"/>
        <w:rPr>
          <w:rFonts w:cs="Times New Roman"/>
          <w:color w:val="222222"/>
          <w:szCs w:val="24"/>
          <w:shd w:val="clear" w:color="auto" w:fill="FFFFFF"/>
        </w:rPr>
      </w:pPr>
      <w:r w:rsidRPr="00CF39FA">
        <w:rPr>
          <w:rFonts w:cs="Times New Roman"/>
          <w:color w:val="222222"/>
          <w:szCs w:val="24"/>
          <w:shd w:val="clear" w:color="auto" w:fill="FFFFFF"/>
        </w:rPr>
        <w:t>Heald, D. and Hodges, R., 2020. The accounting, budgeting and fiscal impact of COVID-19 on the United Kingdom. </w:t>
      </w:r>
      <w:r w:rsidRPr="00CF39FA">
        <w:rPr>
          <w:rFonts w:cs="Times New Roman"/>
          <w:i/>
          <w:iCs/>
          <w:color w:val="222222"/>
          <w:szCs w:val="24"/>
          <w:shd w:val="clear" w:color="auto" w:fill="FFFFFF"/>
        </w:rPr>
        <w:t>Journal of Public Budgeting, Accounting &amp; Financial Management</w:t>
      </w:r>
      <w:r w:rsidRPr="00CF39FA">
        <w:rPr>
          <w:rFonts w:cs="Times New Roman"/>
          <w:color w:val="222222"/>
          <w:szCs w:val="24"/>
          <w:shd w:val="clear" w:color="auto" w:fill="FFFFFF"/>
        </w:rPr>
        <w:t>, </w:t>
      </w:r>
      <w:r w:rsidRPr="00CF39FA">
        <w:rPr>
          <w:rFonts w:cs="Times New Roman"/>
          <w:i/>
          <w:iCs/>
          <w:color w:val="222222"/>
          <w:szCs w:val="24"/>
          <w:shd w:val="clear" w:color="auto" w:fill="FFFFFF"/>
        </w:rPr>
        <w:t>32</w:t>
      </w:r>
      <w:r w:rsidRPr="00CF39FA">
        <w:rPr>
          <w:rFonts w:cs="Times New Roman"/>
          <w:color w:val="222222"/>
          <w:szCs w:val="24"/>
          <w:shd w:val="clear" w:color="auto" w:fill="FFFFFF"/>
        </w:rPr>
        <w:t>(5), pp.785-795.</w:t>
      </w:r>
    </w:p>
    <w:p w14:paraId="48BA5A80" w14:textId="77777777" w:rsidR="00CF39FA" w:rsidRPr="00CF39FA" w:rsidRDefault="00CF39FA" w:rsidP="00CF39FA">
      <w:pPr>
        <w:ind w:left="720" w:hanging="720"/>
        <w:rPr>
          <w:rFonts w:cs="Times New Roman"/>
          <w:color w:val="222222"/>
          <w:szCs w:val="24"/>
          <w:shd w:val="clear" w:color="auto" w:fill="FFFFFF"/>
        </w:rPr>
      </w:pPr>
      <w:r w:rsidRPr="00CF39FA">
        <w:rPr>
          <w:rFonts w:cs="Times New Roman"/>
          <w:color w:val="222222"/>
          <w:szCs w:val="24"/>
          <w:shd w:val="clear" w:color="auto" w:fill="FFFFFF"/>
        </w:rPr>
        <w:t xml:space="preserve">Legrand, W., Chen, J.S. and </w:t>
      </w:r>
      <w:proofErr w:type="spellStart"/>
      <w:r w:rsidRPr="00CF39FA">
        <w:rPr>
          <w:rFonts w:cs="Times New Roman"/>
          <w:color w:val="222222"/>
          <w:szCs w:val="24"/>
          <w:shd w:val="clear" w:color="auto" w:fill="FFFFFF"/>
        </w:rPr>
        <w:t>Laeis</w:t>
      </w:r>
      <w:proofErr w:type="spellEnd"/>
      <w:r w:rsidRPr="00CF39FA">
        <w:rPr>
          <w:rFonts w:cs="Times New Roman"/>
          <w:color w:val="222222"/>
          <w:szCs w:val="24"/>
          <w:shd w:val="clear" w:color="auto" w:fill="FFFFFF"/>
        </w:rPr>
        <w:t>, G.C., 2022. </w:t>
      </w:r>
      <w:r w:rsidRPr="00CF39FA">
        <w:rPr>
          <w:rFonts w:cs="Times New Roman"/>
          <w:i/>
          <w:iCs/>
          <w:color w:val="222222"/>
          <w:szCs w:val="24"/>
          <w:shd w:val="clear" w:color="auto" w:fill="FFFFFF"/>
        </w:rPr>
        <w:t>Sustainability in the hospitality industry: Principles of sustainable operations</w:t>
      </w:r>
      <w:r w:rsidRPr="00CF39FA">
        <w:rPr>
          <w:rFonts w:cs="Times New Roman"/>
          <w:color w:val="222222"/>
          <w:szCs w:val="24"/>
          <w:shd w:val="clear" w:color="auto" w:fill="FFFFFF"/>
        </w:rPr>
        <w:t>. Routledge.</w:t>
      </w:r>
    </w:p>
    <w:p w14:paraId="48BA5A81" w14:textId="77777777" w:rsidR="00CF39FA" w:rsidRPr="00CF39FA" w:rsidRDefault="00CF39FA" w:rsidP="00CF39FA">
      <w:pPr>
        <w:ind w:left="720" w:hanging="720"/>
        <w:rPr>
          <w:rFonts w:cs="Times New Roman"/>
          <w:color w:val="222222"/>
          <w:szCs w:val="24"/>
          <w:shd w:val="clear" w:color="auto" w:fill="FFFFFF"/>
        </w:rPr>
      </w:pPr>
      <w:r w:rsidRPr="00CF39FA">
        <w:rPr>
          <w:rFonts w:cs="Times New Roman"/>
          <w:color w:val="222222"/>
          <w:szCs w:val="24"/>
          <w:shd w:val="clear" w:color="auto" w:fill="FFFFFF"/>
        </w:rPr>
        <w:t>Lin, M.S., Song, H.J., Sharma, A. and Lee, S., 2020. Formal and informal SME financing in the restaurant industry: The impact of macroenvironment. </w:t>
      </w:r>
      <w:r w:rsidRPr="00CF39FA">
        <w:rPr>
          <w:rFonts w:cs="Times New Roman"/>
          <w:i/>
          <w:iCs/>
          <w:color w:val="222222"/>
          <w:szCs w:val="24"/>
          <w:shd w:val="clear" w:color="auto" w:fill="FFFFFF"/>
        </w:rPr>
        <w:t>Journal of Hospitality and Tourism Management</w:t>
      </w:r>
      <w:r w:rsidRPr="00CF39FA">
        <w:rPr>
          <w:rFonts w:cs="Times New Roman"/>
          <w:color w:val="222222"/>
          <w:szCs w:val="24"/>
          <w:shd w:val="clear" w:color="auto" w:fill="FFFFFF"/>
        </w:rPr>
        <w:t>, </w:t>
      </w:r>
      <w:r w:rsidRPr="00CF39FA">
        <w:rPr>
          <w:rFonts w:cs="Times New Roman"/>
          <w:i/>
          <w:iCs/>
          <w:color w:val="222222"/>
          <w:szCs w:val="24"/>
          <w:shd w:val="clear" w:color="auto" w:fill="FFFFFF"/>
        </w:rPr>
        <w:t>45</w:t>
      </w:r>
      <w:r w:rsidRPr="00CF39FA">
        <w:rPr>
          <w:rFonts w:cs="Times New Roman"/>
          <w:color w:val="222222"/>
          <w:szCs w:val="24"/>
          <w:shd w:val="clear" w:color="auto" w:fill="FFFFFF"/>
        </w:rPr>
        <w:t>, pp.276-284.</w:t>
      </w:r>
    </w:p>
    <w:p w14:paraId="48BA5A82" w14:textId="77777777" w:rsidR="00CF39FA" w:rsidRPr="00CF39FA" w:rsidRDefault="00CF39FA" w:rsidP="00CF39FA">
      <w:pPr>
        <w:ind w:left="720" w:hanging="720"/>
        <w:rPr>
          <w:rFonts w:cs="Times New Roman"/>
          <w:color w:val="222222"/>
          <w:szCs w:val="24"/>
          <w:shd w:val="clear" w:color="auto" w:fill="FFFFFF"/>
        </w:rPr>
      </w:pPr>
      <w:proofErr w:type="spellStart"/>
      <w:r w:rsidRPr="00CF39FA">
        <w:rPr>
          <w:rFonts w:cs="Times New Roman"/>
          <w:color w:val="222222"/>
          <w:szCs w:val="24"/>
          <w:shd w:val="clear" w:color="auto" w:fill="FFFFFF"/>
        </w:rPr>
        <w:t>Ntounis</w:t>
      </w:r>
      <w:proofErr w:type="spellEnd"/>
      <w:r w:rsidRPr="00CF39FA">
        <w:rPr>
          <w:rFonts w:cs="Times New Roman"/>
          <w:color w:val="222222"/>
          <w:szCs w:val="24"/>
          <w:shd w:val="clear" w:color="auto" w:fill="FFFFFF"/>
        </w:rPr>
        <w:t xml:space="preserve">, N., Parker, C., Skinner, H., Steadman, C. and </w:t>
      </w:r>
      <w:proofErr w:type="spellStart"/>
      <w:r w:rsidRPr="00CF39FA">
        <w:rPr>
          <w:rFonts w:cs="Times New Roman"/>
          <w:color w:val="222222"/>
          <w:szCs w:val="24"/>
          <w:shd w:val="clear" w:color="auto" w:fill="FFFFFF"/>
        </w:rPr>
        <w:t>Warnaby</w:t>
      </w:r>
      <w:proofErr w:type="spellEnd"/>
      <w:r w:rsidRPr="00CF39FA">
        <w:rPr>
          <w:rFonts w:cs="Times New Roman"/>
          <w:color w:val="222222"/>
          <w:szCs w:val="24"/>
          <w:shd w:val="clear" w:color="auto" w:fill="FFFFFF"/>
        </w:rPr>
        <w:t>, G., 2022. Tourism and Hospitality industry resilience during the Covid-19 pandemic: Evidence from England. </w:t>
      </w:r>
      <w:r w:rsidRPr="00CF39FA">
        <w:rPr>
          <w:rFonts w:cs="Times New Roman"/>
          <w:i/>
          <w:iCs/>
          <w:color w:val="222222"/>
          <w:szCs w:val="24"/>
          <w:shd w:val="clear" w:color="auto" w:fill="FFFFFF"/>
        </w:rPr>
        <w:t>Current Issues in Tourism</w:t>
      </w:r>
      <w:r w:rsidRPr="00CF39FA">
        <w:rPr>
          <w:rFonts w:cs="Times New Roman"/>
          <w:color w:val="222222"/>
          <w:szCs w:val="24"/>
          <w:shd w:val="clear" w:color="auto" w:fill="FFFFFF"/>
        </w:rPr>
        <w:t>, </w:t>
      </w:r>
      <w:r w:rsidRPr="00CF39FA">
        <w:rPr>
          <w:rFonts w:cs="Times New Roman"/>
          <w:i/>
          <w:iCs/>
          <w:color w:val="222222"/>
          <w:szCs w:val="24"/>
          <w:shd w:val="clear" w:color="auto" w:fill="FFFFFF"/>
        </w:rPr>
        <w:t>25</w:t>
      </w:r>
      <w:r w:rsidRPr="00CF39FA">
        <w:rPr>
          <w:rFonts w:cs="Times New Roman"/>
          <w:color w:val="222222"/>
          <w:szCs w:val="24"/>
          <w:shd w:val="clear" w:color="auto" w:fill="FFFFFF"/>
        </w:rPr>
        <w:t>(1), pp.46-59.</w:t>
      </w:r>
    </w:p>
    <w:p w14:paraId="48BA5A83" w14:textId="77777777" w:rsidR="00CF39FA" w:rsidRPr="00CF39FA" w:rsidRDefault="00CF39FA" w:rsidP="00CF39FA">
      <w:pPr>
        <w:ind w:left="720" w:hanging="720"/>
        <w:rPr>
          <w:rFonts w:cs="Times New Roman"/>
          <w:color w:val="222222"/>
          <w:szCs w:val="24"/>
          <w:shd w:val="clear" w:color="auto" w:fill="FFFFFF"/>
        </w:rPr>
      </w:pPr>
      <w:r w:rsidRPr="00CF39FA">
        <w:rPr>
          <w:rFonts w:cs="Times New Roman"/>
          <w:color w:val="222222"/>
          <w:szCs w:val="24"/>
          <w:shd w:val="clear" w:color="auto" w:fill="FFFFFF"/>
        </w:rPr>
        <w:t xml:space="preserve">Sakshi, Shashi, </w:t>
      </w:r>
      <w:proofErr w:type="spellStart"/>
      <w:r w:rsidRPr="00CF39FA">
        <w:rPr>
          <w:rFonts w:cs="Times New Roman"/>
          <w:color w:val="222222"/>
          <w:szCs w:val="24"/>
          <w:shd w:val="clear" w:color="auto" w:fill="FFFFFF"/>
        </w:rPr>
        <w:t>Cerchione</w:t>
      </w:r>
      <w:proofErr w:type="spellEnd"/>
      <w:r w:rsidRPr="00CF39FA">
        <w:rPr>
          <w:rFonts w:cs="Times New Roman"/>
          <w:color w:val="222222"/>
          <w:szCs w:val="24"/>
          <w:shd w:val="clear" w:color="auto" w:fill="FFFFFF"/>
        </w:rPr>
        <w:t>, R. and Bansal, H., 2020. Measuring the impact of sustainability policy and practices in tourism and hospitality industry. </w:t>
      </w:r>
      <w:r w:rsidRPr="00CF39FA">
        <w:rPr>
          <w:rFonts w:cs="Times New Roman"/>
          <w:i/>
          <w:iCs/>
          <w:color w:val="222222"/>
          <w:szCs w:val="24"/>
          <w:shd w:val="clear" w:color="auto" w:fill="FFFFFF"/>
        </w:rPr>
        <w:t>Business Strategy and the Environment</w:t>
      </w:r>
      <w:r w:rsidRPr="00CF39FA">
        <w:rPr>
          <w:rFonts w:cs="Times New Roman"/>
          <w:color w:val="222222"/>
          <w:szCs w:val="24"/>
          <w:shd w:val="clear" w:color="auto" w:fill="FFFFFF"/>
        </w:rPr>
        <w:t>, </w:t>
      </w:r>
      <w:r w:rsidRPr="00CF39FA">
        <w:rPr>
          <w:rFonts w:cs="Times New Roman"/>
          <w:i/>
          <w:iCs/>
          <w:color w:val="222222"/>
          <w:szCs w:val="24"/>
          <w:shd w:val="clear" w:color="auto" w:fill="FFFFFF"/>
        </w:rPr>
        <w:t>29</w:t>
      </w:r>
      <w:r w:rsidRPr="00CF39FA">
        <w:rPr>
          <w:rFonts w:cs="Times New Roman"/>
          <w:color w:val="222222"/>
          <w:szCs w:val="24"/>
          <w:shd w:val="clear" w:color="auto" w:fill="FFFFFF"/>
        </w:rPr>
        <w:t>(3), pp.1109-1126.</w:t>
      </w:r>
    </w:p>
    <w:p w14:paraId="48BA5A84" w14:textId="77777777" w:rsidR="00CF39FA" w:rsidRPr="00CF39FA" w:rsidRDefault="00CF39FA" w:rsidP="00CF39FA">
      <w:pPr>
        <w:ind w:left="720" w:hanging="720"/>
        <w:rPr>
          <w:rFonts w:cs="Times New Roman"/>
          <w:color w:val="222222"/>
          <w:szCs w:val="24"/>
          <w:shd w:val="clear" w:color="auto" w:fill="FFFFFF"/>
        </w:rPr>
      </w:pPr>
      <w:r w:rsidRPr="00CF39FA">
        <w:rPr>
          <w:rFonts w:cs="Times New Roman"/>
          <w:color w:val="222222"/>
          <w:szCs w:val="24"/>
          <w:shd w:val="clear" w:color="auto" w:fill="FFFFFF"/>
        </w:rPr>
        <w:t>Tharmini, T. and Lakshan, A.M.I., 2021. Impact of financial management practices on performance of small and medium enterprises–Legitimacy theory perspectives. </w:t>
      </w:r>
      <w:r w:rsidRPr="00CF39FA">
        <w:rPr>
          <w:rFonts w:cs="Times New Roman"/>
          <w:i/>
          <w:iCs/>
          <w:color w:val="222222"/>
          <w:szCs w:val="24"/>
          <w:shd w:val="clear" w:color="auto" w:fill="FFFFFF"/>
        </w:rPr>
        <w:t>Kelaniya Journal of Management</w:t>
      </w:r>
      <w:r w:rsidRPr="00CF39FA">
        <w:rPr>
          <w:rFonts w:cs="Times New Roman"/>
          <w:color w:val="222222"/>
          <w:szCs w:val="24"/>
          <w:shd w:val="clear" w:color="auto" w:fill="FFFFFF"/>
        </w:rPr>
        <w:t>, </w:t>
      </w:r>
      <w:r w:rsidRPr="00CF39FA">
        <w:rPr>
          <w:rFonts w:cs="Times New Roman"/>
          <w:i/>
          <w:iCs/>
          <w:color w:val="222222"/>
          <w:szCs w:val="24"/>
          <w:shd w:val="clear" w:color="auto" w:fill="FFFFFF"/>
        </w:rPr>
        <w:t>10</w:t>
      </w:r>
      <w:r w:rsidRPr="00CF39FA">
        <w:rPr>
          <w:rFonts w:cs="Times New Roman"/>
          <w:color w:val="222222"/>
          <w:szCs w:val="24"/>
          <w:shd w:val="clear" w:color="auto" w:fill="FFFFFF"/>
        </w:rPr>
        <w:t>(1).</w:t>
      </w:r>
    </w:p>
    <w:p w14:paraId="48BA5A85" w14:textId="77777777" w:rsidR="00CF39FA" w:rsidRPr="00CF39FA" w:rsidRDefault="00CF39FA" w:rsidP="00CF39FA">
      <w:pPr>
        <w:ind w:left="720" w:hanging="720"/>
        <w:rPr>
          <w:rFonts w:cs="Times New Roman"/>
          <w:color w:val="222222"/>
          <w:szCs w:val="24"/>
          <w:shd w:val="clear" w:color="auto" w:fill="FFFFFF"/>
        </w:rPr>
      </w:pPr>
      <w:r w:rsidRPr="00CF39FA">
        <w:rPr>
          <w:rFonts w:cs="Times New Roman"/>
          <w:color w:val="222222"/>
          <w:szCs w:val="24"/>
          <w:shd w:val="clear" w:color="auto" w:fill="FFFFFF"/>
        </w:rPr>
        <w:t xml:space="preserve">Uyar, A., Kilic, M., </w:t>
      </w:r>
      <w:proofErr w:type="spellStart"/>
      <w:r w:rsidRPr="00CF39FA">
        <w:rPr>
          <w:rFonts w:cs="Times New Roman"/>
          <w:color w:val="222222"/>
          <w:szCs w:val="24"/>
          <w:shd w:val="clear" w:color="auto" w:fill="FFFFFF"/>
        </w:rPr>
        <w:t>Koseoglu</w:t>
      </w:r>
      <w:proofErr w:type="spellEnd"/>
      <w:r w:rsidRPr="00CF39FA">
        <w:rPr>
          <w:rFonts w:cs="Times New Roman"/>
          <w:color w:val="222222"/>
          <w:szCs w:val="24"/>
          <w:shd w:val="clear" w:color="auto" w:fill="FFFFFF"/>
        </w:rPr>
        <w:t>, M.A., Kuzey, C. and Karaman, A.S., 2020. The link among board characteristics, corporate social responsibility performance, and financial performance: Evidence from the hospitality and tourism industry. </w:t>
      </w:r>
      <w:r w:rsidRPr="00CF39FA">
        <w:rPr>
          <w:rFonts w:cs="Times New Roman"/>
          <w:i/>
          <w:iCs/>
          <w:color w:val="222222"/>
          <w:szCs w:val="24"/>
          <w:shd w:val="clear" w:color="auto" w:fill="FFFFFF"/>
        </w:rPr>
        <w:t>Tourism Management Perspectives</w:t>
      </w:r>
      <w:r w:rsidRPr="00CF39FA">
        <w:rPr>
          <w:rFonts w:cs="Times New Roman"/>
          <w:color w:val="222222"/>
          <w:szCs w:val="24"/>
          <w:shd w:val="clear" w:color="auto" w:fill="FFFFFF"/>
        </w:rPr>
        <w:t>, </w:t>
      </w:r>
      <w:r w:rsidRPr="00CF39FA">
        <w:rPr>
          <w:rFonts w:cs="Times New Roman"/>
          <w:i/>
          <w:iCs/>
          <w:color w:val="222222"/>
          <w:szCs w:val="24"/>
          <w:shd w:val="clear" w:color="auto" w:fill="FFFFFF"/>
        </w:rPr>
        <w:t>35</w:t>
      </w:r>
      <w:r w:rsidRPr="00CF39FA">
        <w:rPr>
          <w:rFonts w:cs="Times New Roman"/>
          <w:color w:val="222222"/>
          <w:szCs w:val="24"/>
          <w:shd w:val="clear" w:color="auto" w:fill="FFFFFF"/>
        </w:rPr>
        <w:t>, p.100714.</w:t>
      </w:r>
    </w:p>
    <w:p w14:paraId="48BA5A86" w14:textId="77777777" w:rsidR="00CF39FA" w:rsidRPr="00CF39FA" w:rsidRDefault="00CF39FA" w:rsidP="00CF39FA">
      <w:pPr>
        <w:ind w:left="720" w:hanging="720"/>
        <w:rPr>
          <w:rFonts w:cs="Times New Roman"/>
          <w:color w:val="222222"/>
          <w:szCs w:val="24"/>
          <w:shd w:val="clear" w:color="auto" w:fill="FFFFFF"/>
        </w:rPr>
      </w:pPr>
      <w:r w:rsidRPr="00CF39FA">
        <w:rPr>
          <w:rFonts w:cs="Times New Roman"/>
          <w:color w:val="222222"/>
          <w:szCs w:val="24"/>
          <w:shd w:val="clear" w:color="auto" w:fill="FFFFFF"/>
        </w:rPr>
        <w:t>Vogel, H.L., 2021. </w:t>
      </w:r>
      <w:r w:rsidRPr="00CF39FA">
        <w:rPr>
          <w:rFonts w:cs="Times New Roman"/>
          <w:i/>
          <w:iCs/>
          <w:color w:val="222222"/>
          <w:szCs w:val="24"/>
          <w:shd w:val="clear" w:color="auto" w:fill="FFFFFF"/>
        </w:rPr>
        <w:t>Travel industry economics: A guide for financial analysis</w:t>
      </w:r>
      <w:r w:rsidRPr="00CF39FA">
        <w:rPr>
          <w:rFonts w:cs="Times New Roman"/>
          <w:color w:val="222222"/>
          <w:szCs w:val="24"/>
          <w:shd w:val="clear" w:color="auto" w:fill="FFFFFF"/>
        </w:rPr>
        <w:t>. Springer nature.</w:t>
      </w:r>
    </w:p>
    <w:p w14:paraId="48BA5A87" w14:textId="77777777" w:rsidR="00A60A08" w:rsidRPr="009D44F0" w:rsidRDefault="00CF39FA" w:rsidP="009D44F0">
      <w:pPr>
        <w:ind w:left="720" w:hanging="720"/>
        <w:rPr>
          <w:rFonts w:cs="Times New Roman"/>
          <w:b/>
          <w:color w:val="222222"/>
          <w:szCs w:val="24"/>
          <w:shd w:val="clear" w:color="auto" w:fill="FFFFFF"/>
        </w:rPr>
      </w:pPr>
      <w:r w:rsidRPr="00CF39FA">
        <w:rPr>
          <w:rFonts w:cs="Times New Roman"/>
          <w:color w:val="222222"/>
          <w:szCs w:val="24"/>
          <w:shd w:val="clear" w:color="auto" w:fill="FFFFFF"/>
        </w:rPr>
        <w:t>Zhong, Y., Li, Y., Ding, J. and Liao, Y., 2021. Risk management: Exploring emerging human resource issues during the COVID-19 pandemic. </w:t>
      </w:r>
      <w:r w:rsidRPr="00CF39FA">
        <w:rPr>
          <w:rFonts w:cs="Times New Roman"/>
          <w:i/>
          <w:iCs/>
          <w:color w:val="222222"/>
          <w:szCs w:val="24"/>
          <w:shd w:val="clear" w:color="auto" w:fill="FFFFFF"/>
        </w:rPr>
        <w:t>Journal of Risk and Financial Management</w:t>
      </w:r>
      <w:r w:rsidRPr="00CF39FA">
        <w:rPr>
          <w:rFonts w:cs="Times New Roman"/>
          <w:color w:val="222222"/>
          <w:szCs w:val="24"/>
          <w:shd w:val="clear" w:color="auto" w:fill="FFFFFF"/>
        </w:rPr>
        <w:t>, </w:t>
      </w:r>
      <w:r w:rsidRPr="00CF39FA">
        <w:rPr>
          <w:rFonts w:cs="Times New Roman"/>
          <w:i/>
          <w:iCs/>
          <w:color w:val="222222"/>
          <w:szCs w:val="24"/>
          <w:shd w:val="clear" w:color="auto" w:fill="FFFFFF"/>
        </w:rPr>
        <w:t>14</w:t>
      </w:r>
      <w:r w:rsidRPr="00CF39FA">
        <w:rPr>
          <w:rFonts w:cs="Times New Roman"/>
          <w:color w:val="222222"/>
          <w:szCs w:val="24"/>
          <w:shd w:val="clear" w:color="auto" w:fill="FFFFFF"/>
        </w:rPr>
        <w:t>(5), p.228.</w:t>
      </w:r>
    </w:p>
    <w:sectPr w:rsidR="00A60A08" w:rsidRPr="009D44F0">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A3E939" w14:textId="77777777" w:rsidR="009061DD" w:rsidRDefault="009061DD" w:rsidP="007C13EF">
      <w:pPr>
        <w:spacing w:after="0" w:line="240" w:lineRule="auto"/>
      </w:pPr>
      <w:r>
        <w:separator/>
      </w:r>
    </w:p>
  </w:endnote>
  <w:endnote w:type="continuationSeparator" w:id="0">
    <w:p w14:paraId="13C35706" w14:textId="77777777" w:rsidR="009061DD" w:rsidRDefault="009061DD" w:rsidP="007C13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Noto Sans">
    <w:altName w:val="Nirmala UI"/>
    <w:charset w:val="00"/>
    <w:family w:val="swiss"/>
    <w:pitch w:val="variable"/>
    <w:sig w:usb0="E00082FF" w:usb1="400078FF" w:usb2="00000021" w:usb3="00000000" w:csb0="0000019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4012060"/>
      <w:docPartObj>
        <w:docPartGallery w:val="Page Numbers (Bottom of Page)"/>
        <w:docPartUnique/>
      </w:docPartObj>
    </w:sdtPr>
    <w:sdtEndPr>
      <w:rPr>
        <w:noProof/>
      </w:rPr>
    </w:sdtEndPr>
    <w:sdtContent>
      <w:p w14:paraId="48BA5A8E" w14:textId="77777777" w:rsidR="007C13EF" w:rsidRDefault="007C13EF">
        <w:pPr>
          <w:pStyle w:val="Footer"/>
          <w:jc w:val="right"/>
        </w:pPr>
        <w:r>
          <w:fldChar w:fldCharType="begin"/>
        </w:r>
        <w:r>
          <w:instrText xml:space="preserve"> PAGE   \* MERGEFORMAT </w:instrText>
        </w:r>
        <w:r>
          <w:fldChar w:fldCharType="separate"/>
        </w:r>
        <w:r w:rsidR="00B76860">
          <w:rPr>
            <w:noProof/>
          </w:rPr>
          <w:t>2</w:t>
        </w:r>
        <w:r>
          <w:rPr>
            <w:noProof/>
          </w:rPr>
          <w:fldChar w:fldCharType="end"/>
        </w:r>
      </w:p>
    </w:sdtContent>
  </w:sdt>
  <w:p w14:paraId="48BA5A8F" w14:textId="77777777" w:rsidR="007C13EF" w:rsidRDefault="007C13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78807F" w14:textId="77777777" w:rsidR="009061DD" w:rsidRDefault="009061DD" w:rsidP="007C13EF">
      <w:pPr>
        <w:spacing w:after="0" w:line="240" w:lineRule="auto"/>
      </w:pPr>
      <w:r>
        <w:separator/>
      </w:r>
    </w:p>
  </w:footnote>
  <w:footnote w:type="continuationSeparator" w:id="0">
    <w:p w14:paraId="592DA056" w14:textId="77777777" w:rsidR="009061DD" w:rsidRDefault="009061DD" w:rsidP="007C13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4757B2"/>
    <w:multiLevelType w:val="multilevel"/>
    <w:tmpl w:val="EFECB80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BFB5A9E"/>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411514249">
    <w:abstractNumId w:val="0"/>
  </w:num>
  <w:num w:numId="2" w16cid:durableId="854539150">
    <w:abstractNumId w:val="0"/>
  </w:num>
  <w:num w:numId="3" w16cid:durableId="1772629054">
    <w:abstractNumId w:val="0"/>
  </w:num>
  <w:num w:numId="4" w16cid:durableId="18092745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13EF"/>
    <w:rsid w:val="0000003F"/>
    <w:rsid w:val="0000055C"/>
    <w:rsid w:val="000056AC"/>
    <w:rsid w:val="0001440C"/>
    <w:rsid w:val="00014D58"/>
    <w:rsid w:val="000227FA"/>
    <w:rsid w:val="0003707E"/>
    <w:rsid w:val="00054ADC"/>
    <w:rsid w:val="0005770D"/>
    <w:rsid w:val="000639E5"/>
    <w:rsid w:val="00064292"/>
    <w:rsid w:val="00084715"/>
    <w:rsid w:val="000A0B5C"/>
    <w:rsid w:val="000A1A40"/>
    <w:rsid w:val="000B2A78"/>
    <w:rsid w:val="000B5D61"/>
    <w:rsid w:val="000C2692"/>
    <w:rsid w:val="000C3E15"/>
    <w:rsid w:val="000C4ED3"/>
    <w:rsid w:val="000C5854"/>
    <w:rsid w:val="000D51C9"/>
    <w:rsid w:val="000E7039"/>
    <w:rsid w:val="000F4746"/>
    <w:rsid w:val="00100C16"/>
    <w:rsid w:val="00100F68"/>
    <w:rsid w:val="00102FCE"/>
    <w:rsid w:val="00104B52"/>
    <w:rsid w:val="00124F3F"/>
    <w:rsid w:val="00127EBB"/>
    <w:rsid w:val="00136755"/>
    <w:rsid w:val="00146AD9"/>
    <w:rsid w:val="00151990"/>
    <w:rsid w:val="001571E6"/>
    <w:rsid w:val="00157258"/>
    <w:rsid w:val="00166207"/>
    <w:rsid w:val="00166C87"/>
    <w:rsid w:val="001916EB"/>
    <w:rsid w:val="001B2CA8"/>
    <w:rsid w:val="001C0CDA"/>
    <w:rsid w:val="001C3CB7"/>
    <w:rsid w:val="001C4834"/>
    <w:rsid w:val="001C550A"/>
    <w:rsid w:val="001D0C05"/>
    <w:rsid w:val="001D73D4"/>
    <w:rsid w:val="001E1577"/>
    <w:rsid w:val="001E2B08"/>
    <w:rsid w:val="001E5D4B"/>
    <w:rsid w:val="001F501E"/>
    <w:rsid w:val="0022104A"/>
    <w:rsid w:val="00222CAF"/>
    <w:rsid w:val="0023545B"/>
    <w:rsid w:val="0025204C"/>
    <w:rsid w:val="00256C94"/>
    <w:rsid w:val="0026092C"/>
    <w:rsid w:val="00261D4D"/>
    <w:rsid w:val="00270F93"/>
    <w:rsid w:val="002735ED"/>
    <w:rsid w:val="00273840"/>
    <w:rsid w:val="00273870"/>
    <w:rsid w:val="00276470"/>
    <w:rsid w:val="002778BD"/>
    <w:rsid w:val="0028191A"/>
    <w:rsid w:val="00283619"/>
    <w:rsid w:val="00285D65"/>
    <w:rsid w:val="0028753D"/>
    <w:rsid w:val="00292FC5"/>
    <w:rsid w:val="002A63AB"/>
    <w:rsid w:val="002A6883"/>
    <w:rsid w:val="002B5E3E"/>
    <w:rsid w:val="002B6338"/>
    <w:rsid w:val="002C1A81"/>
    <w:rsid w:val="002D0773"/>
    <w:rsid w:val="002E241E"/>
    <w:rsid w:val="002E544F"/>
    <w:rsid w:val="002F52C7"/>
    <w:rsid w:val="00300995"/>
    <w:rsid w:val="003073EF"/>
    <w:rsid w:val="00311EE4"/>
    <w:rsid w:val="0031652C"/>
    <w:rsid w:val="00316704"/>
    <w:rsid w:val="0032191F"/>
    <w:rsid w:val="00323D97"/>
    <w:rsid w:val="00326CD0"/>
    <w:rsid w:val="003318AA"/>
    <w:rsid w:val="00341F25"/>
    <w:rsid w:val="00346642"/>
    <w:rsid w:val="003470BC"/>
    <w:rsid w:val="0036374A"/>
    <w:rsid w:val="00382D30"/>
    <w:rsid w:val="003876ED"/>
    <w:rsid w:val="00395BB0"/>
    <w:rsid w:val="00397B26"/>
    <w:rsid w:val="003A6F3B"/>
    <w:rsid w:val="003A7309"/>
    <w:rsid w:val="003B60BF"/>
    <w:rsid w:val="003C30E6"/>
    <w:rsid w:val="003C3226"/>
    <w:rsid w:val="003C6649"/>
    <w:rsid w:val="003C69F5"/>
    <w:rsid w:val="003D0361"/>
    <w:rsid w:val="004008B9"/>
    <w:rsid w:val="0040343B"/>
    <w:rsid w:val="00404647"/>
    <w:rsid w:val="00411F77"/>
    <w:rsid w:val="00415797"/>
    <w:rsid w:val="0043643C"/>
    <w:rsid w:val="0045216F"/>
    <w:rsid w:val="004575EF"/>
    <w:rsid w:val="004617A6"/>
    <w:rsid w:val="004869DF"/>
    <w:rsid w:val="00487B22"/>
    <w:rsid w:val="004A06CC"/>
    <w:rsid w:val="004B694D"/>
    <w:rsid w:val="004C4493"/>
    <w:rsid w:val="004D6CE1"/>
    <w:rsid w:val="004E74D9"/>
    <w:rsid w:val="004F1BD3"/>
    <w:rsid w:val="00500CAD"/>
    <w:rsid w:val="00500F20"/>
    <w:rsid w:val="00503985"/>
    <w:rsid w:val="0050672C"/>
    <w:rsid w:val="00512E5C"/>
    <w:rsid w:val="005168C4"/>
    <w:rsid w:val="00517DC9"/>
    <w:rsid w:val="005234A8"/>
    <w:rsid w:val="00545F1E"/>
    <w:rsid w:val="00546AFD"/>
    <w:rsid w:val="00555658"/>
    <w:rsid w:val="00562089"/>
    <w:rsid w:val="00562482"/>
    <w:rsid w:val="00562DBE"/>
    <w:rsid w:val="005630C5"/>
    <w:rsid w:val="00563725"/>
    <w:rsid w:val="00564C83"/>
    <w:rsid w:val="005651B3"/>
    <w:rsid w:val="00573ECC"/>
    <w:rsid w:val="005749D2"/>
    <w:rsid w:val="00577969"/>
    <w:rsid w:val="00577D15"/>
    <w:rsid w:val="00583BE6"/>
    <w:rsid w:val="00592225"/>
    <w:rsid w:val="005A3841"/>
    <w:rsid w:val="005A63BA"/>
    <w:rsid w:val="005C692E"/>
    <w:rsid w:val="005D186A"/>
    <w:rsid w:val="005D21B6"/>
    <w:rsid w:val="005D3243"/>
    <w:rsid w:val="005D5F4A"/>
    <w:rsid w:val="005D696A"/>
    <w:rsid w:val="005D796A"/>
    <w:rsid w:val="005E759D"/>
    <w:rsid w:val="005F7006"/>
    <w:rsid w:val="00601F42"/>
    <w:rsid w:val="00602353"/>
    <w:rsid w:val="006047A3"/>
    <w:rsid w:val="006156AB"/>
    <w:rsid w:val="00617ACE"/>
    <w:rsid w:val="00626DD8"/>
    <w:rsid w:val="0062780D"/>
    <w:rsid w:val="006304D4"/>
    <w:rsid w:val="00630785"/>
    <w:rsid w:val="0063423E"/>
    <w:rsid w:val="00650243"/>
    <w:rsid w:val="0065466C"/>
    <w:rsid w:val="00656AB3"/>
    <w:rsid w:val="00661DAD"/>
    <w:rsid w:val="00662E28"/>
    <w:rsid w:val="00671373"/>
    <w:rsid w:val="006861EE"/>
    <w:rsid w:val="006956A3"/>
    <w:rsid w:val="00695CB9"/>
    <w:rsid w:val="006A0758"/>
    <w:rsid w:val="006A1738"/>
    <w:rsid w:val="006A2774"/>
    <w:rsid w:val="006A6022"/>
    <w:rsid w:val="006B0FEE"/>
    <w:rsid w:val="006B5174"/>
    <w:rsid w:val="006C2706"/>
    <w:rsid w:val="006C2B9E"/>
    <w:rsid w:val="006C47D2"/>
    <w:rsid w:val="006D7FDE"/>
    <w:rsid w:val="006F31FD"/>
    <w:rsid w:val="006F5636"/>
    <w:rsid w:val="00704620"/>
    <w:rsid w:val="00711580"/>
    <w:rsid w:val="00716B7C"/>
    <w:rsid w:val="007310E9"/>
    <w:rsid w:val="007323DF"/>
    <w:rsid w:val="00732F80"/>
    <w:rsid w:val="007430DF"/>
    <w:rsid w:val="00743627"/>
    <w:rsid w:val="0074758D"/>
    <w:rsid w:val="00747643"/>
    <w:rsid w:val="00760CB5"/>
    <w:rsid w:val="007732FC"/>
    <w:rsid w:val="00774766"/>
    <w:rsid w:val="00783C92"/>
    <w:rsid w:val="00784EE1"/>
    <w:rsid w:val="00786AEC"/>
    <w:rsid w:val="007923D0"/>
    <w:rsid w:val="007924EE"/>
    <w:rsid w:val="007934A5"/>
    <w:rsid w:val="00793C7D"/>
    <w:rsid w:val="007A4026"/>
    <w:rsid w:val="007C13EF"/>
    <w:rsid w:val="007E73C1"/>
    <w:rsid w:val="007E7A76"/>
    <w:rsid w:val="007F16AF"/>
    <w:rsid w:val="00801A12"/>
    <w:rsid w:val="008131C3"/>
    <w:rsid w:val="0081756F"/>
    <w:rsid w:val="008207DF"/>
    <w:rsid w:val="008276C1"/>
    <w:rsid w:val="008326A6"/>
    <w:rsid w:val="00833C59"/>
    <w:rsid w:val="0084209E"/>
    <w:rsid w:val="00842C0F"/>
    <w:rsid w:val="008470CD"/>
    <w:rsid w:val="00865081"/>
    <w:rsid w:val="008674A7"/>
    <w:rsid w:val="00870574"/>
    <w:rsid w:val="00881E95"/>
    <w:rsid w:val="00891D2E"/>
    <w:rsid w:val="00892FEB"/>
    <w:rsid w:val="00895D42"/>
    <w:rsid w:val="00897DFF"/>
    <w:rsid w:val="008A2539"/>
    <w:rsid w:val="008A3A4F"/>
    <w:rsid w:val="008C6F28"/>
    <w:rsid w:val="008C716E"/>
    <w:rsid w:val="008D2489"/>
    <w:rsid w:val="008D2F27"/>
    <w:rsid w:val="008D6154"/>
    <w:rsid w:val="008D6332"/>
    <w:rsid w:val="008E028C"/>
    <w:rsid w:val="008E2837"/>
    <w:rsid w:val="008F1C26"/>
    <w:rsid w:val="008F7429"/>
    <w:rsid w:val="008F7D13"/>
    <w:rsid w:val="00905EA0"/>
    <w:rsid w:val="009061DD"/>
    <w:rsid w:val="009068B4"/>
    <w:rsid w:val="00912054"/>
    <w:rsid w:val="009128B5"/>
    <w:rsid w:val="0092115F"/>
    <w:rsid w:val="00923B18"/>
    <w:rsid w:val="00926005"/>
    <w:rsid w:val="0092694B"/>
    <w:rsid w:val="009328A8"/>
    <w:rsid w:val="00932CF9"/>
    <w:rsid w:val="0093340F"/>
    <w:rsid w:val="009348F6"/>
    <w:rsid w:val="00934DC3"/>
    <w:rsid w:val="00935007"/>
    <w:rsid w:val="00935209"/>
    <w:rsid w:val="0094769C"/>
    <w:rsid w:val="0095454E"/>
    <w:rsid w:val="00960A87"/>
    <w:rsid w:val="009729BB"/>
    <w:rsid w:val="00977B90"/>
    <w:rsid w:val="00981092"/>
    <w:rsid w:val="009842A9"/>
    <w:rsid w:val="0099707B"/>
    <w:rsid w:val="009B1D24"/>
    <w:rsid w:val="009B311B"/>
    <w:rsid w:val="009B53B6"/>
    <w:rsid w:val="009C23C3"/>
    <w:rsid w:val="009C3639"/>
    <w:rsid w:val="009C4508"/>
    <w:rsid w:val="009D44F0"/>
    <w:rsid w:val="009E1E53"/>
    <w:rsid w:val="009E68A8"/>
    <w:rsid w:val="009F3F92"/>
    <w:rsid w:val="009F5598"/>
    <w:rsid w:val="00A02B11"/>
    <w:rsid w:val="00A036A6"/>
    <w:rsid w:val="00A148AC"/>
    <w:rsid w:val="00A17A17"/>
    <w:rsid w:val="00A223FB"/>
    <w:rsid w:val="00A27105"/>
    <w:rsid w:val="00A30E45"/>
    <w:rsid w:val="00A31460"/>
    <w:rsid w:val="00A3579D"/>
    <w:rsid w:val="00A36637"/>
    <w:rsid w:val="00A426FA"/>
    <w:rsid w:val="00A47500"/>
    <w:rsid w:val="00A53055"/>
    <w:rsid w:val="00A53971"/>
    <w:rsid w:val="00A53EDC"/>
    <w:rsid w:val="00A57CA9"/>
    <w:rsid w:val="00A60A08"/>
    <w:rsid w:val="00A63D83"/>
    <w:rsid w:val="00A85D32"/>
    <w:rsid w:val="00A96CFF"/>
    <w:rsid w:val="00AA0703"/>
    <w:rsid w:val="00AA1D5E"/>
    <w:rsid w:val="00AB2FC8"/>
    <w:rsid w:val="00AC0E9C"/>
    <w:rsid w:val="00AD1210"/>
    <w:rsid w:val="00AD38DC"/>
    <w:rsid w:val="00AE3AD6"/>
    <w:rsid w:val="00AE3B40"/>
    <w:rsid w:val="00B01D3A"/>
    <w:rsid w:val="00B06C64"/>
    <w:rsid w:val="00B100BE"/>
    <w:rsid w:val="00B118F5"/>
    <w:rsid w:val="00B13F44"/>
    <w:rsid w:val="00B14200"/>
    <w:rsid w:val="00B2370B"/>
    <w:rsid w:val="00B31285"/>
    <w:rsid w:val="00B33F36"/>
    <w:rsid w:val="00B342FE"/>
    <w:rsid w:val="00B3562D"/>
    <w:rsid w:val="00B367F9"/>
    <w:rsid w:val="00B37123"/>
    <w:rsid w:val="00B4258C"/>
    <w:rsid w:val="00B42CFF"/>
    <w:rsid w:val="00B558BA"/>
    <w:rsid w:val="00B65857"/>
    <w:rsid w:val="00B76860"/>
    <w:rsid w:val="00B935AA"/>
    <w:rsid w:val="00B977EE"/>
    <w:rsid w:val="00BA0A1E"/>
    <w:rsid w:val="00BA2DF5"/>
    <w:rsid w:val="00BB087D"/>
    <w:rsid w:val="00BB1FDE"/>
    <w:rsid w:val="00BB4662"/>
    <w:rsid w:val="00BB5F20"/>
    <w:rsid w:val="00BB7797"/>
    <w:rsid w:val="00BC5F9C"/>
    <w:rsid w:val="00BD3601"/>
    <w:rsid w:val="00BE02DA"/>
    <w:rsid w:val="00BF777A"/>
    <w:rsid w:val="00C074DA"/>
    <w:rsid w:val="00C15BB5"/>
    <w:rsid w:val="00C17051"/>
    <w:rsid w:val="00C26C99"/>
    <w:rsid w:val="00C64245"/>
    <w:rsid w:val="00C65378"/>
    <w:rsid w:val="00C66F7C"/>
    <w:rsid w:val="00C807D2"/>
    <w:rsid w:val="00C8577D"/>
    <w:rsid w:val="00C91E15"/>
    <w:rsid w:val="00C962C8"/>
    <w:rsid w:val="00CA4D57"/>
    <w:rsid w:val="00CA581F"/>
    <w:rsid w:val="00CD41D1"/>
    <w:rsid w:val="00CD5F4B"/>
    <w:rsid w:val="00CE0AAE"/>
    <w:rsid w:val="00CE15BD"/>
    <w:rsid w:val="00CE1ECD"/>
    <w:rsid w:val="00CE210D"/>
    <w:rsid w:val="00CE230E"/>
    <w:rsid w:val="00CF39FA"/>
    <w:rsid w:val="00CF48C3"/>
    <w:rsid w:val="00D06C0C"/>
    <w:rsid w:val="00D14061"/>
    <w:rsid w:val="00D15E05"/>
    <w:rsid w:val="00D2646F"/>
    <w:rsid w:val="00D334F0"/>
    <w:rsid w:val="00D451A6"/>
    <w:rsid w:val="00D540A9"/>
    <w:rsid w:val="00D5430A"/>
    <w:rsid w:val="00D659D3"/>
    <w:rsid w:val="00D739EE"/>
    <w:rsid w:val="00D76D61"/>
    <w:rsid w:val="00D8490C"/>
    <w:rsid w:val="00D96EBA"/>
    <w:rsid w:val="00DA59B5"/>
    <w:rsid w:val="00DA677A"/>
    <w:rsid w:val="00DC0A05"/>
    <w:rsid w:val="00DC628A"/>
    <w:rsid w:val="00DC7F5B"/>
    <w:rsid w:val="00DD31FE"/>
    <w:rsid w:val="00DE14DA"/>
    <w:rsid w:val="00DE26B3"/>
    <w:rsid w:val="00DE2758"/>
    <w:rsid w:val="00DE5770"/>
    <w:rsid w:val="00DE6D64"/>
    <w:rsid w:val="00DF4424"/>
    <w:rsid w:val="00E004B0"/>
    <w:rsid w:val="00E045E7"/>
    <w:rsid w:val="00E11270"/>
    <w:rsid w:val="00E16F80"/>
    <w:rsid w:val="00E2164B"/>
    <w:rsid w:val="00E25263"/>
    <w:rsid w:val="00E2699D"/>
    <w:rsid w:val="00E30BC1"/>
    <w:rsid w:val="00E41F3C"/>
    <w:rsid w:val="00E44D22"/>
    <w:rsid w:val="00E44E66"/>
    <w:rsid w:val="00E506C3"/>
    <w:rsid w:val="00E54934"/>
    <w:rsid w:val="00E54BFB"/>
    <w:rsid w:val="00E554C6"/>
    <w:rsid w:val="00E56047"/>
    <w:rsid w:val="00E5611F"/>
    <w:rsid w:val="00E63CBE"/>
    <w:rsid w:val="00E70BEF"/>
    <w:rsid w:val="00E756FA"/>
    <w:rsid w:val="00EA06A1"/>
    <w:rsid w:val="00EB10BD"/>
    <w:rsid w:val="00EB2125"/>
    <w:rsid w:val="00EB7967"/>
    <w:rsid w:val="00EC1162"/>
    <w:rsid w:val="00EC2308"/>
    <w:rsid w:val="00EC2381"/>
    <w:rsid w:val="00EC52C6"/>
    <w:rsid w:val="00ED450C"/>
    <w:rsid w:val="00EE3C99"/>
    <w:rsid w:val="00EE4CCF"/>
    <w:rsid w:val="00EF0819"/>
    <w:rsid w:val="00EF3D6D"/>
    <w:rsid w:val="00F05E84"/>
    <w:rsid w:val="00F14087"/>
    <w:rsid w:val="00F1671B"/>
    <w:rsid w:val="00F268BE"/>
    <w:rsid w:val="00F318E8"/>
    <w:rsid w:val="00F31DAD"/>
    <w:rsid w:val="00F347A6"/>
    <w:rsid w:val="00F36D67"/>
    <w:rsid w:val="00F41F01"/>
    <w:rsid w:val="00F42439"/>
    <w:rsid w:val="00F50B1C"/>
    <w:rsid w:val="00F60B64"/>
    <w:rsid w:val="00F63A86"/>
    <w:rsid w:val="00F6790C"/>
    <w:rsid w:val="00F710AF"/>
    <w:rsid w:val="00F716CD"/>
    <w:rsid w:val="00F73934"/>
    <w:rsid w:val="00F81AE7"/>
    <w:rsid w:val="00F83450"/>
    <w:rsid w:val="00F96183"/>
    <w:rsid w:val="00F97098"/>
    <w:rsid w:val="00FA288C"/>
    <w:rsid w:val="00FA65D7"/>
    <w:rsid w:val="00FA6B0B"/>
    <w:rsid w:val="00FC26DF"/>
    <w:rsid w:val="00FC32E1"/>
    <w:rsid w:val="00FC39EC"/>
    <w:rsid w:val="00FE32AF"/>
    <w:rsid w:val="00FE50EB"/>
    <w:rsid w:val="00FE5B01"/>
    <w:rsid w:val="00FE7708"/>
    <w:rsid w:val="00FF0AAC"/>
    <w:rsid w:val="00FF3C55"/>
    <w:rsid w:val="00FF63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BA593B"/>
  <w15:chartTrackingRefBased/>
  <w15:docId w15:val="{1330F889-A136-4C32-9A65-1008448DD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186A"/>
    <w:pPr>
      <w:spacing w:after="200" w:line="360" w:lineRule="auto"/>
      <w:jc w:val="both"/>
    </w:pPr>
    <w:rPr>
      <w:rFonts w:ascii="Times New Roman" w:hAnsi="Times New Roman" w:cs="Calibri"/>
      <w:sz w:val="24"/>
      <w:lang w:val="en-GB"/>
    </w:rPr>
  </w:style>
  <w:style w:type="paragraph" w:styleId="Heading1">
    <w:name w:val="heading 1"/>
    <w:basedOn w:val="Normal"/>
    <w:next w:val="Normal"/>
    <w:link w:val="Heading1Char"/>
    <w:qFormat/>
    <w:rsid w:val="005D186A"/>
    <w:pPr>
      <w:keepNext/>
      <w:keepLines/>
      <w:numPr>
        <w:numId w:val="4"/>
      </w:numPr>
      <w:spacing w:before="240" w:after="0"/>
      <w:jc w:val="center"/>
      <w:outlineLvl w:val="0"/>
    </w:pPr>
    <w:rPr>
      <w:rFonts w:eastAsiaTheme="majorEastAsia" w:cstheme="majorBidi"/>
      <w:b/>
      <w:sz w:val="28"/>
      <w:szCs w:val="32"/>
      <w:lang w:val="en-US"/>
    </w:rPr>
  </w:style>
  <w:style w:type="paragraph" w:styleId="Heading2">
    <w:name w:val="heading 2"/>
    <w:basedOn w:val="Normal"/>
    <w:next w:val="Normal"/>
    <w:link w:val="Heading2Char"/>
    <w:uiPriority w:val="9"/>
    <w:unhideWhenUsed/>
    <w:qFormat/>
    <w:rsid w:val="00F83450"/>
    <w:pPr>
      <w:keepNext/>
      <w:keepLines/>
      <w:numPr>
        <w:ilvl w:val="1"/>
        <w:numId w:val="4"/>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F83450"/>
    <w:pPr>
      <w:keepNext/>
      <w:keepLines/>
      <w:numPr>
        <w:ilvl w:val="2"/>
        <w:numId w:val="4"/>
      </w:numPr>
      <w:spacing w:before="40"/>
      <w:outlineLvl w:val="2"/>
    </w:pPr>
    <w:rPr>
      <w:rFonts w:eastAsiaTheme="majorEastAsia" w:cstheme="majorBidi"/>
      <w:b/>
      <w:i/>
      <w:szCs w:val="24"/>
    </w:rPr>
  </w:style>
  <w:style w:type="paragraph" w:styleId="Heading4">
    <w:name w:val="heading 4"/>
    <w:basedOn w:val="Normal"/>
    <w:next w:val="Normal"/>
    <w:link w:val="Heading4Char"/>
    <w:uiPriority w:val="9"/>
    <w:semiHidden/>
    <w:unhideWhenUsed/>
    <w:qFormat/>
    <w:rsid w:val="00A60A08"/>
    <w:pPr>
      <w:keepNext/>
      <w:keepLines/>
      <w:numPr>
        <w:ilvl w:val="3"/>
        <w:numId w:val="4"/>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A60A08"/>
    <w:pPr>
      <w:keepNext/>
      <w:keepLines/>
      <w:numPr>
        <w:ilvl w:val="4"/>
        <w:numId w:val="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A60A08"/>
    <w:pPr>
      <w:keepNext/>
      <w:keepLines/>
      <w:numPr>
        <w:ilvl w:val="5"/>
        <w:numId w:val="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A60A08"/>
    <w:pPr>
      <w:keepNext/>
      <w:keepLines/>
      <w:numPr>
        <w:ilvl w:val="6"/>
        <w:numId w:val="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A60A08"/>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60A08"/>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D186A"/>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F83450"/>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F83450"/>
    <w:rPr>
      <w:rFonts w:ascii="Times New Roman" w:eastAsiaTheme="majorEastAsia" w:hAnsi="Times New Roman" w:cstheme="majorBidi"/>
      <w:b/>
      <w:i/>
      <w:sz w:val="24"/>
      <w:szCs w:val="24"/>
    </w:rPr>
  </w:style>
  <w:style w:type="character" w:styleId="Emphasis">
    <w:name w:val="Emphasis"/>
    <w:basedOn w:val="DefaultParagraphFont"/>
    <w:qFormat/>
    <w:rsid w:val="009E1E53"/>
    <w:rPr>
      <w:rFonts w:ascii="Times New Roman" w:hAnsi="Times New Roman"/>
      <w:b w:val="0"/>
      <w:i w:val="0"/>
      <w:iCs/>
      <w:sz w:val="24"/>
    </w:rPr>
  </w:style>
  <w:style w:type="paragraph" w:styleId="NoSpacing">
    <w:name w:val="No Spacing"/>
    <w:uiPriority w:val="1"/>
    <w:qFormat/>
    <w:rsid w:val="008E2837"/>
    <w:pPr>
      <w:widowControl w:val="0"/>
      <w:autoSpaceDE w:val="0"/>
      <w:autoSpaceDN w:val="0"/>
      <w:spacing w:after="0" w:line="360" w:lineRule="auto"/>
      <w:jc w:val="both"/>
    </w:pPr>
    <w:rPr>
      <w:rFonts w:ascii="Times New Roman" w:hAnsi="Times New Roman" w:cs="Noto Sans"/>
      <w:sz w:val="24"/>
    </w:rPr>
  </w:style>
  <w:style w:type="paragraph" w:styleId="BodyText">
    <w:name w:val="Body Text"/>
    <w:basedOn w:val="Normal"/>
    <w:link w:val="BodyTextChar"/>
    <w:uiPriority w:val="1"/>
    <w:qFormat/>
    <w:rsid w:val="00CD5F4B"/>
    <w:pPr>
      <w:ind w:left="115"/>
    </w:pPr>
    <w:rPr>
      <w:rFonts w:ascii="Arial MT" w:eastAsia="Arial MT" w:hAnsi="Arial MT" w:cs="Arial MT"/>
    </w:rPr>
  </w:style>
  <w:style w:type="character" w:customStyle="1" w:styleId="BodyTextChar">
    <w:name w:val="Body Text Char"/>
    <w:basedOn w:val="DefaultParagraphFont"/>
    <w:link w:val="BodyText"/>
    <w:uiPriority w:val="1"/>
    <w:rsid w:val="00CD5F4B"/>
    <w:rPr>
      <w:rFonts w:ascii="Arial MT" w:eastAsia="Arial MT" w:hAnsi="Arial MT" w:cs="Arial MT"/>
      <w:lang w:val="en-GB"/>
    </w:rPr>
  </w:style>
  <w:style w:type="paragraph" w:styleId="Header">
    <w:name w:val="header"/>
    <w:basedOn w:val="Normal"/>
    <w:link w:val="HeaderChar"/>
    <w:uiPriority w:val="99"/>
    <w:unhideWhenUsed/>
    <w:rsid w:val="007C13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13EF"/>
    <w:rPr>
      <w:rFonts w:ascii="Times New Roman" w:hAnsi="Times New Roman" w:cs="Calibri"/>
      <w:sz w:val="24"/>
      <w:lang w:val="en-GB"/>
    </w:rPr>
  </w:style>
  <w:style w:type="paragraph" w:styleId="Footer">
    <w:name w:val="footer"/>
    <w:basedOn w:val="Normal"/>
    <w:link w:val="FooterChar"/>
    <w:uiPriority w:val="99"/>
    <w:unhideWhenUsed/>
    <w:rsid w:val="007C13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13EF"/>
    <w:rPr>
      <w:rFonts w:ascii="Times New Roman" w:hAnsi="Times New Roman" w:cs="Calibri"/>
      <w:sz w:val="24"/>
      <w:lang w:val="en-GB"/>
    </w:rPr>
  </w:style>
  <w:style w:type="character" w:customStyle="1" w:styleId="Heading4Char">
    <w:name w:val="Heading 4 Char"/>
    <w:basedOn w:val="DefaultParagraphFont"/>
    <w:link w:val="Heading4"/>
    <w:uiPriority w:val="9"/>
    <w:semiHidden/>
    <w:rsid w:val="00A60A08"/>
    <w:rPr>
      <w:rFonts w:asciiTheme="majorHAnsi" w:eastAsiaTheme="majorEastAsia" w:hAnsiTheme="majorHAnsi"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A60A08"/>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A60A08"/>
    <w:rPr>
      <w:rFonts w:asciiTheme="majorHAnsi" w:eastAsiaTheme="majorEastAsia" w:hAnsiTheme="majorHAnsi" w:cstheme="majorBidi"/>
      <w:color w:val="1F4D78" w:themeColor="accent1" w:themeShade="7F"/>
      <w:sz w:val="24"/>
      <w:lang w:val="en-GB"/>
    </w:rPr>
  </w:style>
  <w:style w:type="character" w:customStyle="1" w:styleId="Heading7Char">
    <w:name w:val="Heading 7 Char"/>
    <w:basedOn w:val="DefaultParagraphFont"/>
    <w:link w:val="Heading7"/>
    <w:uiPriority w:val="9"/>
    <w:semiHidden/>
    <w:rsid w:val="00A60A08"/>
    <w:rPr>
      <w:rFonts w:asciiTheme="majorHAnsi" w:eastAsiaTheme="majorEastAsia" w:hAnsiTheme="majorHAnsi" w:cstheme="majorBidi"/>
      <w:i/>
      <w:iCs/>
      <w:color w:val="1F4D78" w:themeColor="accent1" w:themeShade="7F"/>
      <w:sz w:val="24"/>
      <w:lang w:val="en-GB"/>
    </w:rPr>
  </w:style>
  <w:style w:type="character" w:customStyle="1" w:styleId="Heading8Char">
    <w:name w:val="Heading 8 Char"/>
    <w:basedOn w:val="DefaultParagraphFont"/>
    <w:link w:val="Heading8"/>
    <w:uiPriority w:val="9"/>
    <w:semiHidden/>
    <w:rsid w:val="00A60A08"/>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A60A08"/>
    <w:rPr>
      <w:rFonts w:asciiTheme="majorHAnsi" w:eastAsiaTheme="majorEastAsia" w:hAnsiTheme="majorHAnsi" w:cstheme="majorBidi"/>
      <w:i/>
      <w:iCs/>
      <w:color w:val="272727" w:themeColor="text1" w:themeTint="D8"/>
      <w:sz w:val="21"/>
      <w:szCs w:val="21"/>
      <w:lang w:val="en-GB"/>
    </w:rPr>
  </w:style>
  <w:style w:type="paragraph" w:styleId="TOCHeading">
    <w:name w:val="TOC Heading"/>
    <w:basedOn w:val="Heading1"/>
    <w:next w:val="Normal"/>
    <w:uiPriority w:val="39"/>
    <w:unhideWhenUsed/>
    <w:qFormat/>
    <w:rsid w:val="00A60A08"/>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A60A08"/>
    <w:pPr>
      <w:spacing w:after="100"/>
    </w:pPr>
  </w:style>
  <w:style w:type="character" w:styleId="Hyperlink">
    <w:name w:val="Hyperlink"/>
    <w:basedOn w:val="DefaultParagraphFont"/>
    <w:uiPriority w:val="99"/>
    <w:unhideWhenUsed/>
    <w:rsid w:val="00A60A08"/>
    <w:rPr>
      <w:color w:val="0563C1" w:themeColor="hyperlink"/>
      <w:u w:val="single"/>
    </w:rPr>
  </w:style>
  <w:style w:type="paragraph" w:styleId="Caption">
    <w:name w:val="caption"/>
    <w:basedOn w:val="Normal"/>
    <w:next w:val="Normal"/>
    <w:uiPriority w:val="35"/>
    <w:unhideWhenUsed/>
    <w:qFormat/>
    <w:rsid w:val="0026092C"/>
    <w:pPr>
      <w:spacing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6306897">
      <w:bodyDiv w:val="1"/>
      <w:marLeft w:val="0"/>
      <w:marRight w:val="0"/>
      <w:marTop w:val="0"/>
      <w:marBottom w:val="0"/>
      <w:divBdr>
        <w:top w:val="none" w:sz="0" w:space="0" w:color="auto"/>
        <w:left w:val="none" w:sz="0" w:space="0" w:color="auto"/>
        <w:bottom w:val="none" w:sz="0" w:space="0" w:color="auto"/>
        <w:right w:val="none" w:sz="0" w:space="0" w:color="auto"/>
      </w:divBdr>
    </w:div>
    <w:div w:id="762603026">
      <w:bodyDiv w:val="1"/>
      <w:marLeft w:val="0"/>
      <w:marRight w:val="0"/>
      <w:marTop w:val="0"/>
      <w:marBottom w:val="0"/>
      <w:divBdr>
        <w:top w:val="none" w:sz="0" w:space="0" w:color="auto"/>
        <w:left w:val="none" w:sz="0" w:space="0" w:color="auto"/>
        <w:bottom w:val="none" w:sz="0" w:space="0" w:color="auto"/>
        <w:right w:val="none" w:sz="0" w:space="0" w:color="auto"/>
      </w:divBdr>
    </w:div>
    <w:div w:id="856188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Sheet3!$A$1</c:f>
              <c:strCache>
                <c:ptCount val="1"/>
                <c:pt idx="0">
                  <c:v>Item</c:v>
                </c:pt>
              </c:strCache>
            </c:strRef>
          </c:tx>
          <c:spPr>
            <a:ln w="28575" cap="rnd">
              <a:solidFill>
                <a:schemeClr val="accent1"/>
              </a:solidFill>
              <a:round/>
            </a:ln>
            <a:effectLst/>
          </c:spPr>
          <c:marker>
            <c:symbol val="none"/>
          </c:marker>
          <c:val>
            <c:numRef>
              <c:f>Sheet3!$B$1:$D$1</c:f>
              <c:numCache>
                <c:formatCode>General</c:formatCode>
                <c:ptCount val="3"/>
                <c:pt idx="0">
                  <c:v>2021</c:v>
                </c:pt>
                <c:pt idx="1">
                  <c:v>2022</c:v>
                </c:pt>
                <c:pt idx="2">
                  <c:v>2023</c:v>
                </c:pt>
              </c:numCache>
            </c:numRef>
          </c:val>
          <c:smooth val="0"/>
          <c:extLst>
            <c:ext xmlns:c16="http://schemas.microsoft.com/office/drawing/2014/chart" uri="{C3380CC4-5D6E-409C-BE32-E72D297353CC}">
              <c16:uniqueId val="{00000000-9FB6-4A6D-9AAB-A4F4C8B01A4A}"/>
            </c:ext>
          </c:extLst>
        </c:ser>
        <c:ser>
          <c:idx val="1"/>
          <c:order val="1"/>
          <c:tx>
            <c:strRef>
              <c:f>Sheet3!$A$2</c:f>
              <c:strCache>
                <c:ptCount val="1"/>
                <c:pt idx="0">
                  <c:v>Revenue</c:v>
                </c:pt>
              </c:strCache>
            </c:strRef>
          </c:tx>
          <c:spPr>
            <a:ln w="28575" cap="rnd">
              <a:solidFill>
                <a:schemeClr val="accent2"/>
              </a:solidFill>
              <a:round/>
            </a:ln>
            <a:effectLst/>
          </c:spPr>
          <c:marker>
            <c:symbol val="none"/>
          </c:marker>
          <c:val>
            <c:numRef>
              <c:f>Sheet3!$B$2:$D$2</c:f>
              <c:numCache>
                <c:formatCode>#,##0</c:formatCode>
                <c:ptCount val="3"/>
                <c:pt idx="0">
                  <c:v>5248290</c:v>
                </c:pt>
                <c:pt idx="1">
                  <c:v>5307480</c:v>
                </c:pt>
                <c:pt idx="2">
                  <c:v>2325440</c:v>
                </c:pt>
              </c:numCache>
            </c:numRef>
          </c:val>
          <c:smooth val="0"/>
          <c:extLst>
            <c:ext xmlns:c16="http://schemas.microsoft.com/office/drawing/2014/chart" uri="{C3380CC4-5D6E-409C-BE32-E72D297353CC}">
              <c16:uniqueId val="{00000001-9FB6-4A6D-9AAB-A4F4C8B01A4A}"/>
            </c:ext>
          </c:extLst>
        </c:ser>
        <c:dLbls>
          <c:showLegendKey val="0"/>
          <c:showVal val="0"/>
          <c:showCatName val="0"/>
          <c:showSerName val="0"/>
          <c:showPercent val="0"/>
          <c:showBubbleSize val="0"/>
        </c:dLbls>
        <c:smooth val="0"/>
        <c:axId val="446631016"/>
        <c:axId val="446631408"/>
      </c:lineChart>
      <c:catAx>
        <c:axId val="44663101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631408"/>
        <c:crosses val="autoZero"/>
        <c:auto val="1"/>
        <c:lblAlgn val="ctr"/>
        <c:lblOffset val="100"/>
        <c:noMultiLvlLbl val="0"/>
      </c:catAx>
      <c:valAx>
        <c:axId val="4466314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631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9FBBD65-57E2-4DC1-B88B-D49A6A9312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1</Pages>
  <Words>3066</Words>
  <Characters>17967</Characters>
  <Application>Microsoft Office Word</Application>
  <DocSecurity>0</DocSecurity>
  <Lines>485</Lines>
  <Paragraphs>304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 Piron</dc:creator>
  <cp:keywords/>
  <dc:description/>
  <cp:lastModifiedBy>Piron Petru</cp:lastModifiedBy>
  <cp:revision>94</cp:revision>
  <dcterms:created xsi:type="dcterms:W3CDTF">2024-10-22T06:31:00Z</dcterms:created>
  <dcterms:modified xsi:type="dcterms:W3CDTF">2024-11-13T12:51:00Z</dcterms:modified>
</cp:coreProperties>
</file>