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3D162D" w14:textId="7F7EC6D7" w:rsidR="00B61511" w:rsidRPr="00A43E0C" w:rsidRDefault="00B61511" w:rsidP="0010738B">
      <w:pPr>
        <w:spacing w:line="360" w:lineRule="auto"/>
        <w:rPr>
          <w:rFonts w:cstheme="minorHAnsi"/>
        </w:rPr>
      </w:pPr>
      <w:r w:rsidRPr="0010738B">
        <w:rPr>
          <w:rFonts w:cstheme="minorHAnsi"/>
        </w:rPr>
        <w:t>Our early years are an unmatched time of dev</w:t>
      </w:r>
      <w:r w:rsidRPr="0010738B">
        <w:rPr>
          <w:rFonts w:cstheme="minorHAnsi"/>
        </w:rPr>
        <w:t>el</w:t>
      </w:r>
      <w:r w:rsidRPr="0010738B">
        <w:rPr>
          <w:rFonts w:cstheme="minorHAnsi"/>
        </w:rPr>
        <w:t xml:space="preserve">opment and learning, when brain growth picks up speed. Every engagement, encounter, and enjoyable event during early childhood leads to lifelong learning. </w:t>
      </w:r>
      <w:r w:rsidRPr="00A43E0C">
        <w:rPr>
          <w:rFonts w:cstheme="minorHAnsi"/>
        </w:rPr>
        <w:t>Play enables children and infants to make sense of their environment, explore new possibilities, and engage in self- and peer-challenge. It establishes the foundation for their social, emotional, cognitive, and physical development (Partridge, 2024). The United Nations Convention on the Rights of the Child (UNCRC) outlines the universally recognised right to play. "Every child has the right to rest and leisure, to engage in play and recreational activities appropriate to the child's age, and to participate freely in cultural life and the arts," according to Article 31 of the treaty (Chwarae Cymru, no date). Welsh Government (2025) says children’s freely selected, self-directed, and intrinsically motivated activity is included in play. It is a vital and essential component of healthy development for both individual children and the society in which they live, and it is carried out for no outside purpose or reward. The Welsh Assembly Government collaborated with stakeholder organisations to develop the "Play Policy" in 2002 to attain the benefits that play offers children. The United Nations Convention on the Rights of the Child (UNCRC) was formally adopted by the Welsh Assembly Government in 2004 as the foundation for its child-related policies, and it pledged to make the UNCRC's tenets a reality for all children and young people.</w:t>
      </w:r>
    </w:p>
    <w:p w14:paraId="408884E1" w14:textId="77777777" w:rsidR="00B61511" w:rsidRPr="00A43E0C" w:rsidRDefault="00B61511" w:rsidP="0010738B">
      <w:pPr>
        <w:spacing w:line="360" w:lineRule="auto"/>
        <w:rPr>
          <w:rFonts w:cstheme="minorHAnsi"/>
        </w:rPr>
      </w:pPr>
      <w:r w:rsidRPr="00A43E0C">
        <w:rPr>
          <w:rFonts w:cstheme="minorHAnsi"/>
        </w:rPr>
        <w:t xml:space="preserve">According to Frederick Froebel (1887), play is the highest expression of human development in early childhood and is the most effective way for young children to learn. This is the foundation of his educational philosophy. Rather than seeing children as passive consumers of knowledge, Froebel saw them as active, inquisitive learners who build understanding by engagement with their surroundings (Tovey, 2020; Bruce, 2020). His thesis is based on the concept of holistic development, which holds that meaningful experiences foster intellectual, physical, social, and emotional growth (Bruce, 2020). For use in his kindergartens, Froebel created several straightforward but thoughtful resources he dubbed "gifts" and "occupations." </w:t>
      </w:r>
      <w:r w:rsidRPr="0010738B">
        <w:rPr>
          <w:rFonts w:cstheme="minorHAnsi"/>
        </w:rPr>
        <w:t xml:space="preserve">Gifts included a series of increasingly complex cube-shaped blocks divided into different geometric patterns and tiny crocheted balls on strings for babies. Among the occupations were sewing, weaving, parquetry, woodworking, construction with clay, sticks, and peas, paper folding, and paper pricking. In essence, they were seen as interconnected parts of an all-encompassing approach (Tovey, 2020). </w:t>
      </w:r>
      <w:r w:rsidRPr="00A43E0C">
        <w:rPr>
          <w:rFonts w:cstheme="minorHAnsi"/>
        </w:rPr>
        <w:t xml:space="preserve">To determine how </w:t>
      </w:r>
      <w:r w:rsidRPr="00A43E0C">
        <w:rPr>
          <w:rFonts w:cstheme="minorHAnsi"/>
        </w:rPr>
        <w:lastRenderedPageBreak/>
        <w:t>Froebel's theory fits with the New Curriculum for Wales, this essay will explore it. Although Froebel's method firmly advocates play-based, all-encompassing learning aligned with the Curriculum for Wales, its application in modern educational settings is fraught with ideological and practical difficulties.</w:t>
      </w:r>
    </w:p>
    <w:p w14:paraId="505E7EFC" w14:textId="77777777" w:rsidR="00B61511" w:rsidRPr="00A43E0C" w:rsidRDefault="00B61511" w:rsidP="0010738B">
      <w:pPr>
        <w:spacing w:line="360" w:lineRule="auto"/>
        <w:rPr>
          <w:rFonts w:cstheme="minorHAnsi"/>
        </w:rPr>
      </w:pPr>
      <w:r w:rsidRPr="00A43E0C">
        <w:rPr>
          <w:rFonts w:cstheme="minorHAnsi"/>
        </w:rPr>
        <w:t xml:space="preserve">Constructivist learning is based on the notion that students actively construct knowledge rather than passively receiving information. Piaget believed that children learn via direct, hands-on experience and engagement with their surroundings. Vygotsky maintained that cultural context impacts cognition and that learning is fundamentally social (Chand, 2024). Like constructivists, Froebel prioritised play as the organic means of learning and discovery and saw children as active learners. However, Froebel's method was primarily based on a spiritual, all-encompassing perspective of harmony and kinship with the natural world. Friedrich Froebel distinctively positioned play within a spiritual and symbolic context (Bruce, 2020; Tovey, 2020), whereas Lev Vygotsky prioritised social interaction and Jean Piaget focused on individual cognitive development. This implies that while Froebel's method is more comprehensive, it may not align as closely with modern evidence-based frameworks. </w:t>
      </w:r>
      <w:r w:rsidRPr="0010738B">
        <w:rPr>
          <w:rFonts w:cstheme="minorHAnsi"/>
        </w:rPr>
        <w:t>Play and creativity, when "child-initiated and child-directed," are the finest strategies to enhance children's development, learning, and well-being, according to Froebel's principles (Bruce, 2020). Children should be supported by adults who understand that education is a comprehensive process. Every child's uniqueness is respected and acknowledged. Participation in outdoor play, the natural world, and the greater community are all emphasised in Froebel's theoretical perspective. According to Froebel, children's self-directed play is an expression of their imagination, creativity, and understanding. Symbolic activities like art, language, music, and dance enrich a child's inner life and give them a means of expressing and expanding their understanding (Bruce, 2020).</w:t>
      </w:r>
    </w:p>
    <w:p w14:paraId="543A5BD1" w14:textId="77777777" w:rsidR="00B61511" w:rsidRPr="00A43E0C" w:rsidRDefault="00B61511" w:rsidP="0010738B">
      <w:pPr>
        <w:spacing w:line="360" w:lineRule="auto"/>
        <w:rPr>
          <w:rFonts w:cstheme="minorHAnsi"/>
        </w:rPr>
      </w:pPr>
      <w:r w:rsidRPr="00A43E0C">
        <w:rPr>
          <w:rFonts w:cstheme="minorHAnsi"/>
        </w:rPr>
        <w:t xml:space="preserve">Accordingly, Froebel made gifts, the most famous of which are wooden blocks. Children were inspired to use their imaginations to express themselves and their thoughts via construction because of their aesthetic appeal and simplicity (Smedley and Hoskins, 2018). “Gifts" was developed by Froebel to assist young children in making connections in their schooling. The Gifts gave children the opportunity to broaden their knowledge and explore new things (Froebel Trust, no date). The Gifts allowed young children to explore several aspects of science, arithmetic, engineering, and architecture while playing imaginatively. </w:t>
      </w:r>
      <w:r w:rsidRPr="00A43E0C">
        <w:rPr>
          <w:rFonts w:cstheme="minorHAnsi"/>
        </w:rPr>
        <w:lastRenderedPageBreak/>
        <w:t xml:space="preserve">However, although the Gifts are meant to encourage discovery, concerns arise about how well they adhere to constructivist principles in practice because of their organised sequencing, which may limit how much learning is truly child-led. By allowing young children to practice and develop their skills using something they already know, such as a simple wooden block, the Gifts were designed to assist young children in making connections in their learning. For example, using bricks, children may replicate aspects of their environment. Froebel understood that young toddlers are drawn to disassembling, investigating, and re-forming objects. Froebel also understood how children find order and patterns appealing, as well as the connections between the parts and the whole. The children were encouraged to investigate connection and resistance as the gifts progressed from simple to complex in order. Owing of the design's genius, learning was effortless (Whinnett, 2020). </w:t>
      </w:r>
      <w:r w:rsidRPr="0010738B">
        <w:rPr>
          <w:rFonts w:cstheme="minorHAnsi"/>
        </w:rPr>
        <w:t xml:space="preserve">Froebel recognised that the adult's involvement was just as significant. Through the Gifts, a supportive adult, such as a parent, carer, or teacher, introduces the language of shape and form, likeness and difference, fractions, division and symmetry, mathematical 3D shapes, architecture and engineering, narrative, and the arts (Froebel Trust, no date). He then began to think about professions, which are activities and experiences that help kids develop their creativity, curiosity, and problem-solving skills. Among the jobs were sewing, weaving, parquetry, woodworking, construction with clay, sticks, and peas, paper folding, and paper pricking. Crucially, they were seen as interconnected parts of an all-encompassing approach (Tovey, 2020). </w:t>
      </w:r>
      <w:r w:rsidRPr="00A43E0C">
        <w:rPr>
          <w:rFonts w:cstheme="minorHAnsi"/>
        </w:rPr>
        <w:t xml:space="preserve">Friedrich Froebel's goal with "Occupations" was to provide young children with practical, hands-on tasks that would allow them to explore the physical world, express their inner creativity, and learn certain abilities through a methodical yet imaginative approach (Froebel Trust, no date). The Occupations were intended for creation and transformation, whereas his "Gifts" concentrated on learning mathematical and spatial concepts. Occupations are primarily used to support children's fine motor skills, creativity, and understanding of the world, according to Rose (2022) and Jarvis, Swiniarski, and Holland (2016). Children's dexterity and hand-eye coordination were developed through activities like cutting, pricking, folding paper, and sewing. Children could explore and illustrate various aspects of their lives through artistic methods such as role-playing, storytelling, painting, and more. Jobs like cooking, woodworking, and gardening may allow children to work on practical, real-world </w:t>
      </w:r>
      <w:r w:rsidRPr="00A43E0C">
        <w:rPr>
          <w:rFonts w:cstheme="minorHAnsi"/>
        </w:rPr>
        <w:lastRenderedPageBreak/>
        <w:t>chores, giving them a sense of agency and a "can-do" mentality. The use of natural materials, such as wood, clay, sand, and seeds, in many activities promoted a direct, sensory connection to the natural world. With an adult's help, children playfully interact with open-ended materials in both gifts and occupations, solidifying their learning through creativity and exploration as they relate the blocks to their surroundings (Froebel Trust, no date). According to Jarvis, Swiniarski, and Holland (2016), Froebel frequently used the terms gifts and occupations interchangeably, making them more challenging to comprehend and differentiate.</w:t>
      </w:r>
    </w:p>
    <w:p w14:paraId="5DE14BB2" w14:textId="77777777" w:rsidR="00B61511" w:rsidRPr="00A43E0C" w:rsidRDefault="00B61511" w:rsidP="0010738B">
      <w:pPr>
        <w:spacing w:line="360" w:lineRule="auto"/>
        <w:rPr>
          <w:rFonts w:cstheme="minorHAnsi"/>
        </w:rPr>
      </w:pPr>
      <w:r w:rsidRPr="00A43E0C">
        <w:rPr>
          <w:rFonts w:cstheme="minorHAnsi"/>
        </w:rPr>
        <w:t xml:space="preserve">Friedrich Froebel's "Gifts" continue to influence early childhood education, though recent studies highlight several significant flaws and limitations that make their use in contemporary settings problematic. One major criticism is that the Gifts can become unduly regimented when utilised rigidly, even though they are meant to encourage inquiry. If rigidly followed, Froebel's intended progression from simple to complex forms would restrict genuinely unrestricted, child-led play and creative (Froebel Trust, no date). This is supported by Hill (1908), who said that Froebel's gifts lose their instructional usefulness and restrict rather than increase a child's creative activity when they are viewed as rigid systems to be followed mechanically. The philosophical and religious underpinnings of Froebel's writings are another drawback. His focus on spirituality, unity, and the child's divine essence represents a 19th-century vision that might seem antiquated or less applicable in today's diverse, liberal educational institutions. Since 2016, research has re-examined the spiritual aspects of Froebel's teaching, pointing out that these aspects are frequently overlooked or incompatible with contemporary policy-driven curriculum that prioritise outcomes that can be measured (Best, 2016). Froebel's Gifts was created in a European setting and represents Eurocentric beliefs about play, development, and children. If this is not carefully adjusted, it may restrict the inclusion of increasingly diverse classes (Tembo and Bateson, 2024). Although Froebel's original materials and concepts do not specifically address diversity or multicultural perspectives, contemporary early childhood frameworks promote culturally responsive pedagogy. Because of this lack, the Gifts might not adequately represent or involve children from different cultural origins without modification. Froebel's materials' simplicity fosters creativity, but it may also limit participation in contemporary learning methods, especially digital and multimodal ones (McNair, 2021). Froebel's Gifts exhibits </w:t>
      </w:r>
      <w:r w:rsidRPr="00A43E0C">
        <w:rPr>
          <w:rFonts w:cstheme="minorHAnsi"/>
        </w:rPr>
        <w:lastRenderedPageBreak/>
        <w:t>shortcomings in meeting modern educational concerns, including inclusivity, digital learning, and technology literacy. They do not directly interact with the digital worlds that influence children's lives today, yet they encourage tactile, hands-on learning. According to a recent study, modern education must strike a balance between the growing use of digital tools and traditional play-based methods rather than relying solely on historical models (Lyu and McNair, 2026).</w:t>
      </w:r>
    </w:p>
    <w:p w14:paraId="2721E5A6" w14:textId="77777777" w:rsidR="00B61511" w:rsidRPr="00A43E0C" w:rsidRDefault="00B61511" w:rsidP="0010738B">
      <w:pPr>
        <w:spacing w:line="360" w:lineRule="auto"/>
        <w:rPr>
          <w:rFonts w:cstheme="minorHAnsi"/>
        </w:rPr>
      </w:pPr>
      <w:r w:rsidRPr="00A43E0C">
        <w:rPr>
          <w:rFonts w:cstheme="minorHAnsi"/>
        </w:rPr>
        <w:t>The Curriculum for Wales is a statutory framework for ages 3–16 and has been implemented between 2022 and 2026. It emphasises flexible, learner-centred education. By focusing on six Areas of Learning and Experience (AoLE) and required abilities like digital competence, it shifts away from strict key stages. With schools creating their own curricula, the aim is to produce morally upright, knowledgeable, aspirational, enterprising, creative, and health-conscious learners (Archwilio Cymru, 2022). To modernise the antiquated Welsh educational system, Professor Graham Donaldson wrote the Successful Futures study (2015) to shift from rigorous, knowledge-driven learning to a skills-focused approach. The new curriculum, often referred to as a "curriculum for life", was judged essential to raise standards, increase teacher autonomy, and promote "four purposes" intended to produce more knowledgeable and flexible children. The new Curriculum for Wales (3–16) expands play-based learning into 'foundation learning' with a strong, required emphasis, building on the previous Foundation Phase for children ages 3-8. It places a strong emphasis on child-led inquiry and sees play as the primary way to develop social, reading, and numeracy skills. Instead of only following a set curriculum, learning is focused on children's interests and curiosity, empowering them to take control of their own education. The curriculum emphasises carefully designed areas, an enabling environment, and motivated, involved adults who enhance learning via play rather than simply teaching. Children gain resilience, creativity, and confidence through experimentation, material manipulation, and risk-taking (Welsh Government, 2023).</w:t>
      </w:r>
    </w:p>
    <w:p w14:paraId="5A73E00E" w14:textId="77777777" w:rsidR="00B61511" w:rsidRPr="00A43E0C" w:rsidRDefault="00B61511" w:rsidP="0010738B">
      <w:pPr>
        <w:spacing w:line="360" w:lineRule="auto"/>
        <w:rPr>
          <w:rFonts w:cstheme="minorHAnsi"/>
        </w:rPr>
      </w:pPr>
      <w:r w:rsidRPr="00A43E0C">
        <w:rPr>
          <w:rFonts w:cstheme="minorHAnsi"/>
        </w:rPr>
        <w:t xml:space="preserve">While the Curriculum for Wales is grounded in the four purposes, the extent to which these aims are realised can be better understood by analysing their alignment with Froebel’s Gifts and Occupations. The first of the four purposes Froebel can be linked to is that ambitious, capable learners can be connected to Froebel's view that children are capable, inquisitive, and active, and that self-activity and reflection are the best ways for them to learn (Tovey, </w:t>
      </w:r>
      <w:r w:rsidRPr="00A43E0C">
        <w:rPr>
          <w:rFonts w:cstheme="minorHAnsi"/>
        </w:rPr>
        <w:lastRenderedPageBreak/>
        <w:t xml:space="preserve">2017). These children are lifelong learners who set high expectations, seek challenges, and apply their knowledge across a variety of contexts. They are communicative, curious, and skilled at solving problems. They use digital tools to analyse data and prepare for their future careers and personal lives (Welsh Government, 2022). Froebel believed children are engaged, inquisitive, and self-driven learners. During a project by Clement (2023) at a Ty Froebel setting, practitioners noted that children's participation in this environment frequently served as evidence of these qualities. Children's involvement was described as "really high" and was thought to help them be "ready to learn": When they are enjoying what they are doing, children who are engaged exhibit fairness and self-managing learning methods. Children's involvement was evident in many of the gifts and occupations, they were always intrigued and engaged. Children "seek and enjoy challenge," "question and solve problems," and "build up a body of knowledge" through play with these objects, as they are curious, test them, and observe how they respond in various situations. Children's ability to "undertake research and evaluate critically what they find" through these encounters is demonstrated by their experimentation, mixing, and investigation of the materials (Clement, 2023). It was also believed that children's interactions with adults, rather than only places and objects, served as a catalyst for knowledge development. Children were given the chance to "build up a body of knowledge and have the skills to connect and apply that knowledge in different contexts" through connections with informed, caring educators. Children were able to develop "a body of knowledge and have the skills to connect and apply that knowledge in different contexts" thanks to careful observation and guidance (Welsh Government, 2022). However, this study was conducted in a Ty Froebel setting, devoted to the Froebel experience, with well-trained staff who facilitate children's learning and environments specifically designed for this purpose. This restricts the findings' potential for generalisation and raises the possibility that successful alignment between Froebelian practice and the four objectives may rely heavily on ideal circumstances absent from most mainstream settings (Hoskins and Smedley, 2019). Researchers worldwide have also questioned whether mainstream curricular frameworks can fully support Froebelian instruction. Bruce (2020) contends that while play, creativity, and child-centered learning are encouraged in many modern curricula, these values are often limited by accountability requirements and evaluation demands. According to Wood </w:t>
      </w:r>
      <w:r w:rsidRPr="00A43E0C">
        <w:rPr>
          <w:rFonts w:cstheme="minorHAnsi"/>
        </w:rPr>
        <w:lastRenderedPageBreak/>
        <w:t>(2014), there are conflicts between outcome-driven educational practices and child-led pedagogy, which frequently lead to play being more teacher-directed and regimented rather than exploratory and self-directed. Similar issues have been noted abroad, in nations such as the United States, Finland, and New Zealand, where the "schoolification" of early childhood education has been exacerbated by a growing focus on school readiness and quantifiable achievement (Cameron and Boyles, 2022). Play is free-flowing, unstructured and frequently has no end product, according to Froebel. It involves "wallowing" in thoughts, emotions, and connections to comprehend the world. Play must frequently be supported by concrete, quantifiable "evidence" in modern education. This can stifle the "wonder and creativity" Froebel sought to promote by transforming impromptu, creative play into "artificial" activities (Bruce, 2020). Playtime becomes limited due to phonics, numeracy, and assessments. Children learn to "sit nicely," and instead of being a source of curiosity and a tool to explore their surroundings, their wriggly, unexpected bodies become an annoyance and a hindrance to "good listening." If children are required to continually follow an adult teaching and learning agenda, it might be challenging to discern how autonomy, creativity, and even childhood itself are valued in a classroom (Froebel Trust, 2023).</w:t>
      </w:r>
    </w:p>
    <w:p w14:paraId="2A674F41" w14:textId="77777777" w:rsidR="00B61511" w:rsidRPr="00A43E0C" w:rsidRDefault="00B61511" w:rsidP="0010738B">
      <w:pPr>
        <w:spacing w:line="360" w:lineRule="auto"/>
        <w:rPr>
          <w:rFonts w:cstheme="minorHAnsi"/>
        </w:rPr>
      </w:pPr>
      <w:r w:rsidRPr="00A43E0C">
        <w:rPr>
          <w:rFonts w:cstheme="minorHAnsi"/>
        </w:rPr>
        <w:t xml:space="preserve">Children who connect and apply their knowledge and skills to generate ideas and things are known as enterprising creative learners. They use their imaginations to reframe and resolve issues. They can recognise, seize, and take calculated risks. They are capable of effectively and responsibly leading a team, playing a variety of roles, and communicating their thoughts and feelings through various media. They may offer their time and expertise to help others (Welsh Government, 2022). In her study Clement (2023) found that evidence related to this purpose began when children made choices about the locations and resources they would use, demonstrating a "the desire to go and explore different areas without asking adults for advice or guidance. Children were able to exhibit their ability and willingness to "identify and grasp opportunities" because of the open-ended nature of Froebel's Gifts and Occupations and the freedom they were given to roam around and pursue their own interests. None of the Gifts and Occupations showed evidence of children applying their knowledge, using materials to convey their views, thinking creatively to solve issues, or leading and assuming various positions within groups. Children were able to access and </w:t>
      </w:r>
      <w:r w:rsidRPr="00A43E0C">
        <w:rPr>
          <w:rFonts w:cstheme="minorHAnsi"/>
        </w:rPr>
        <w:lastRenderedPageBreak/>
        <w:t xml:space="preserve">investigate the materials in their own way thanks to their open-ended nature, which showed a connection between what they were doing and what they knew and experienced about the world (Clement, 2023). Children's autonomy and the development of their capacity to become enterprising, creative participants ready to fully engage in life and work depended on two of Froebelian's principles: the importance of play and the value of childhood (Froebel Trust, no date). Due to the open-ended nature of Froebel's Gifts and Occupations, these two concepts, when combined, produced a culture and environment that generated interest and involvement. However, according to Hunter (2024), implementing Froebelian Gifts and Occupations (traditional, fine wooden, and exact craft materials) in modern early development settings presents several challenges. These challenges are mostly caused by financial and spatial constraints, as well as the requirement to adapt conventional techniques to satisfy modern safety and educational standards. It is difficult for settings with limited funds to purchase original Froebel gifts due to their high initial cost, even though they are specialist and of excellent quality (Hunter 2024). This implies that although Froebelian concepts are theoretically aligned with the Curriculum for Wales, their practical application may be impractical in classrooms with limited resources, hence restricting their broad use. Some academics contend that these obstacles reflect a broader conflict between contemporary educational systems and Froebelian thought. Froebel placed a strong focus on self-activity, creativity, and slow experiential learning, while modern curricula are increasingly influenced by performativity, standardisation, and quantifiable results (Bruce, 2020). As a result, Froebelian education might endure more easily in theory than in actual classroom instruction. In a similar vein, Moss (2014) argues that contemporary educational systems are often driven by political and economic goals that are at odds with experiential and holistic learning methods.  Modern settings sometimes lack the space for special "gift storage" or the peaceful, organised environment needed for focused, silent play with the materials. Due to a lack </w:t>
      </w:r>
      <w:r w:rsidRPr="0010738B">
        <w:rPr>
          <w:rFonts w:cstheme="minorHAnsi"/>
        </w:rPr>
        <w:t>of</w:t>
      </w:r>
      <w:r w:rsidRPr="00A43E0C">
        <w:rPr>
          <w:rFonts w:cstheme="minorHAnsi"/>
        </w:rPr>
        <w:t xml:space="preserve"> interest in training, many practitioners lack a thorough pedagogical grasp of how to use gifts precisely, which frequently results in them being viewed as basic building blocks rather than a progressive learning system (Adams and Short, 2025).</w:t>
      </w:r>
    </w:p>
    <w:p w14:paraId="5858461B" w14:textId="77777777" w:rsidR="00B61511" w:rsidRPr="00A43E0C" w:rsidRDefault="00B61511" w:rsidP="0010738B">
      <w:pPr>
        <w:spacing w:line="360" w:lineRule="auto"/>
        <w:rPr>
          <w:rFonts w:cstheme="minorHAnsi"/>
        </w:rPr>
      </w:pPr>
      <w:r w:rsidRPr="00A43E0C">
        <w:rPr>
          <w:rFonts w:cstheme="minorHAnsi"/>
        </w:rPr>
        <w:t xml:space="preserve">The new Curriculum for Wales does not specifically address Froebel principles, as the curriculum framework places more emphasis on pedagogical, child-centric concepts, </w:t>
      </w:r>
      <w:r w:rsidRPr="00A43E0C">
        <w:rPr>
          <w:rFonts w:cstheme="minorHAnsi"/>
        </w:rPr>
        <w:lastRenderedPageBreak/>
        <w:t xml:space="preserve">effective adults, and environments, than </w:t>
      </w:r>
      <w:r w:rsidRPr="0010738B">
        <w:rPr>
          <w:rFonts w:cstheme="minorHAnsi"/>
        </w:rPr>
        <w:t>on, conventional</w:t>
      </w:r>
      <w:r w:rsidRPr="00A43E0C">
        <w:rPr>
          <w:rFonts w:cstheme="minorHAnsi"/>
        </w:rPr>
        <w:t xml:space="preserve"> educational philosophies (Clement, 2023). Even though the four goals and Froebelian principles are relatively similar, there isn't much explicit mention of Froebel in the Curriculum for Wales documentation, which may make it more difficult for practitioners to use this strategy with confidence. There is a significant mismatch between theory and policy, making it difficult to incorporate Froebelian ideals into early childhood education. This disparity is exacerbated by the fact that many practitioners are either inadequately trained or unaware of Froebelian approaches and the benefits they provide. Additionally, some postcolonial and sociocultural researchers contend that Froebelian philosophy reflects mostly European conceptions of childhood and development. This implies that although Froebelian concepts might have an impact on foreign curricula, they might not be universally applicable and instead need to be modified to fit culturally varied educational situations. Moss and Pence (2013) contend that educational philosophies should continue to be sensitive to local values, cultures, and cultural conceptions of children, challenging universal models of quality in early childhood education. As a result, these approaches are not regularly or efficiently used in contexts. This issue is amplified by research indicating that practitioners frequently lack explicit awareness of Froebelian theory, implying that while parts of play-based learning exist, they may not be used in a meaningful or informed manner (Hoskins and Smedley, 2018). Furthermore, competing curriculum demands and planned instructional settings may limit opportunities for child-led, independent learning, which is central to Froebel's philosophy. Classroom environments are frequently structured around planned activities and results, which might limit children's autonomy and contradict Froebel's emphasis on self-directed learning. (Clement, 2018; Clement, 2023).</w:t>
      </w:r>
    </w:p>
    <w:p w14:paraId="4D865D50" w14:textId="77777777" w:rsidR="00B61511" w:rsidRPr="00A43E0C" w:rsidRDefault="00B61511" w:rsidP="0010738B">
      <w:pPr>
        <w:spacing w:line="360" w:lineRule="auto"/>
        <w:rPr>
          <w:rFonts w:cstheme="minorHAnsi"/>
        </w:rPr>
      </w:pPr>
      <w:r w:rsidRPr="00A43E0C">
        <w:rPr>
          <w:rFonts w:cstheme="minorHAnsi"/>
        </w:rPr>
        <w:t xml:space="preserve">Froebel's groundbreaking ideas disrupted the traditional and teacher-led educational practices of his time, ushering in a more child-centered, play-based approach that is still prevalent today (Froebel Trust, no date). Since Froebel's time, there has been a vibrant debate over the role of the teacher. Essentially, the advice for teachers has shifted from a teacher-centered to a child-centered approach. While a child-centered approach has been widely discussed, classrooms in many parts of the world still prioritise teacher-centered practices. Froebel was a pioneer in defining a child-centered strategy that guides teachers' interactions with students in the classroom (Bowlby, 2016). Piaget, Dewey, and Froebel </w:t>
      </w:r>
      <w:r w:rsidRPr="00A43E0C">
        <w:rPr>
          <w:rFonts w:cstheme="minorHAnsi"/>
        </w:rPr>
        <w:lastRenderedPageBreak/>
        <w:t>urged for teachers to use experience, reflect, engage in meaningful discussion, and prioritise purpose. This technique emphasises partnership between teacher and learner. Co-construction in daily activities transforms content into more than just information and clarifies and integrates shared experiences. According to Bowlby (2016) co-construction fosters a democratic environment that encourages learners to express their own thoughts, rather than what the teacher expects to hear. A democratic environment in the classroom is difficult to establish. Teachers often feel limited by time. Teachers have a responsibility to ensure students spend their time productively and engage in meaningful activities that promote academic advancement. Speciality planning is necessary to balance time constraints with administrative obligations, class size, and diversity. Teachers in the public school system report little time for creative and experimental teaching approaches, as well as strong pressure to teach specific subjects (Bruner, 1996). Many teachers struggle to include student-planned activities due to the time and supervision required to generate ideas and implement them, which may not yield instant benefits. Teachers often face challenges in being creative and innovative due to class size, organization, curriculum limits, and managing parental expectations (Bowlby, 2016).</w:t>
      </w:r>
    </w:p>
    <w:p w14:paraId="36B6A84B" w14:textId="77777777" w:rsidR="00B61511" w:rsidRPr="00A43E0C" w:rsidRDefault="00B61511" w:rsidP="0010738B">
      <w:pPr>
        <w:spacing w:line="360" w:lineRule="auto"/>
        <w:rPr>
          <w:rFonts w:cstheme="minorHAnsi"/>
        </w:rPr>
      </w:pPr>
      <w:r w:rsidRPr="00A43E0C">
        <w:rPr>
          <w:rFonts w:cstheme="minorHAnsi"/>
        </w:rPr>
        <w:t xml:space="preserve">Play at this time is not trivial, it is highly serious and of deep significance. Cultivate it, foster it, protect it, and guard it. To the calm, keen vision of one whom truly knows human nature, the spontaneous play of the child discloses the inner life of man. (Froebel, 1885, p.55). Froebel's theories of developmental education continue to be refined and applied in early childhood practice. Children's creative play prepares them for adult work. Children and adults share attributes such as playfulness, creativity, and imagination. A Froebel education enhances a child's ability to apply knowledge in many circumstances and fosters a lifelong learning mindset (Bowlby, 2016). In clement’s,2019 small-scale study, the research team concluded that the children's experiences at Ty Froebel were consistent with the Four Purposes and Froebelian Principles. Additionally, it was determined that the Gifts and Occupations may serve as the foundation for early years practice and provision in the Curriculum for Wales (Welsh Government, 2022). But it's crucial to remember that an awareness of Froebelian Principles and their crucial role in bolstering purpose-driven instruction lies at the core of this connection. However, even Froebelians, such as Tina Bruce, have reservations. One example is his strong attachment to tangible items and </w:t>
      </w:r>
      <w:r w:rsidRPr="00A43E0C">
        <w:rPr>
          <w:rFonts w:cstheme="minorHAnsi"/>
        </w:rPr>
        <w:lastRenderedPageBreak/>
        <w:t>activities, such as his well-known gifts and occupations. In a now much changed world that is increasingly virtual and electronic, these are at risk of becoming obsolete, which is especially relevant given that the central tenet of Froebel's thinking is that all learning must be relevant to a child, particularly as it relates to his or her daily life. In alluding to one of the 'Mother songs' about the blacksmith and the charcoal burner, Bruce herself emphasises that the everyday familiarity of the setting is antiquated, and the knowledge is historical. It is unlikely to pique a child's interest today (Howlett, 2021).  Froebel's Gifts are still highly relevant today since their emphasis on play, creativity, and hands-on inquiry promotes holistic, child-centered learning, however their effectiveness is dependent on how well they are adapted to fit the demands and restrictions of modern educational situations.</w:t>
      </w:r>
    </w:p>
    <w:p w14:paraId="78C0490F" w14:textId="77777777" w:rsidR="006E713E" w:rsidRPr="0010738B" w:rsidRDefault="006E713E" w:rsidP="0010738B">
      <w:pPr>
        <w:pStyle w:val="CommentText"/>
        <w:spacing w:after="0" w:line="360" w:lineRule="auto"/>
        <w:ind w:right="624"/>
        <w:jc w:val="both"/>
        <w:rPr>
          <w:rFonts w:asciiTheme="minorHAnsi" w:eastAsia="Times New Roman" w:hAnsiTheme="minorHAnsi" w:cstheme="minorHAnsi"/>
        </w:rPr>
      </w:pPr>
    </w:p>
    <w:p w14:paraId="03BFAC87" w14:textId="77777777" w:rsidR="006E713E" w:rsidRPr="0010738B" w:rsidRDefault="006E713E" w:rsidP="0010738B">
      <w:pPr>
        <w:pStyle w:val="CommentText"/>
        <w:spacing w:after="0" w:line="360" w:lineRule="auto"/>
        <w:ind w:right="624"/>
        <w:jc w:val="both"/>
        <w:rPr>
          <w:rFonts w:asciiTheme="minorHAnsi" w:eastAsia="Times New Roman" w:hAnsiTheme="minorHAnsi" w:cstheme="minorHAnsi"/>
        </w:rPr>
      </w:pPr>
    </w:p>
    <w:p w14:paraId="6B4A760E" w14:textId="306C9168" w:rsidR="006E713E" w:rsidRPr="0010738B" w:rsidRDefault="006E713E" w:rsidP="0010738B">
      <w:pPr>
        <w:pStyle w:val="CommentText"/>
        <w:spacing w:after="0" w:line="360" w:lineRule="auto"/>
        <w:ind w:right="624"/>
        <w:jc w:val="both"/>
        <w:rPr>
          <w:rFonts w:asciiTheme="minorHAnsi" w:hAnsiTheme="minorHAnsi" w:cstheme="minorHAnsi"/>
        </w:rPr>
      </w:pPr>
    </w:p>
    <w:p w14:paraId="280AA9AF" w14:textId="77777777" w:rsidR="00684ECB" w:rsidRPr="0010738B" w:rsidRDefault="00684ECB" w:rsidP="0010738B">
      <w:pPr>
        <w:spacing w:line="360" w:lineRule="auto"/>
        <w:rPr>
          <w:rFonts w:cstheme="minorHAnsi"/>
        </w:rPr>
      </w:pPr>
    </w:p>
    <w:p w14:paraId="287E4C20" w14:textId="77777777" w:rsidR="00684ECB" w:rsidRPr="0010738B" w:rsidRDefault="00684ECB" w:rsidP="0010738B">
      <w:pPr>
        <w:spacing w:line="360" w:lineRule="auto"/>
        <w:rPr>
          <w:rFonts w:cstheme="minorHAnsi"/>
        </w:rPr>
      </w:pPr>
    </w:p>
    <w:p w14:paraId="498B0396" w14:textId="77777777" w:rsidR="00684ECB" w:rsidRPr="0010738B" w:rsidRDefault="00684ECB" w:rsidP="0010738B">
      <w:pPr>
        <w:spacing w:line="360" w:lineRule="auto"/>
        <w:rPr>
          <w:rFonts w:cstheme="minorHAnsi"/>
        </w:rPr>
      </w:pPr>
    </w:p>
    <w:p w14:paraId="60E5E4C7" w14:textId="77777777" w:rsidR="0010738B" w:rsidRDefault="0010738B" w:rsidP="0010738B">
      <w:pPr>
        <w:spacing w:line="360" w:lineRule="auto"/>
        <w:rPr>
          <w:rFonts w:cstheme="minorHAnsi"/>
          <w:u w:val="single"/>
        </w:rPr>
      </w:pPr>
    </w:p>
    <w:p w14:paraId="3D2FD902" w14:textId="77777777" w:rsidR="0010738B" w:rsidRDefault="0010738B" w:rsidP="0010738B">
      <w:pPr>
        <w:spacing w:line="360" w:lineRule="auto"/>
        <w:rPr>
          <w:rFonts w:cstheme="minorHAnsi"/>
          <w:u w:val="single"/>
        </w:rPr>
      </w:pPr>
    </w:p>
    <w:p w14:paraId="28EBE8FC" w14:textId="77777777" w:rsidR="0010738B" w:rsidRDefault="0010738B" w:rsidP="0010738B">
      <w:pPr>
        <w:spacing w:line="360" w:lineRule="auto"/>
        <w:rPr>
          <w:rFonts w:cstheme="minorHAnsi"/>
          <w:u w:val="single"/>
        </w:rPr>
      </w:pPr>
    </w:p>
    <w:p w14:paraId="61C6EA39" w14:textId="77777777" w:rsidR="0010738B" w:rsidRDefault="0010738B" w:rsidP="0010738B">
      <w:pPr>
        <w:spacing w:line="360" w:lineRule="auto"/>
        <w:rPr>
          <w:rFonts w:cstheme="minorHAnsi"/>
          <w:u w:val="single"/>
        </w:rPr>
      </w:pPr>
    </w:p>
    <w:p w14:paraId="582432B3" w14:textId="77777777" w:rsidR="0010738B" w:rsidRDefault="0010738B" w:rsidP="0010738B">
      <w:pPr>
        <w:spacing w:line="360" w:lineRule="auto"/>
        <w:rPr>
          <w:rFonts w:cstheme="minorHAnsi"/>
          <w:u w:val="single"/>
        </w:rPr>
      </w:pPr>
    </w:p>
    <w:p w14:paraId="16E51ACA" w14:textId="77777777" w:rsidR="0010738B" w:rsidRDefault="0010738B" w:rsidP="0010738B">
      <w:pPr>
        <w:spacing w:line="360" w:lineRule="auto"/>
        <w:rPr>
          <w:rFonts w:cstheme="minorHAnsi"/>
          <w:u w:val="single"/>
        </w:rPr>
      </w:pPr>
    </w:p>
    <w:p w14:paraId="60BE33CC" w14:textId="77777777" w:rsidR="0010738B" w:rsidRDefault="0010738B" w:rsidP="0010738B">
      <w:pPr>
        <w:spacing w:line="360" w:lineRule="auto"/>
        <w:rPr>
          <w:rFonts w:cstheme="minorHAnsi"/>
          <w:u w:val="single"/>
        </w:rPr>
      </w:pPr>
    </w:p>
    <w:p w14:paraId="5B2396F2" w14:textId="77777777" w:rsidR="0010738B" w:rsidRDefault="0010738B" w:rsidP="0010738B">
      <w:pPr>
        <w:spacing w:line="360" w:lineRule="auto"/>
        <w:rPr>
          <w:rFonts w:cstheme="minorHAnsi"/>
          <w:u w:val="single"/>
        </w:rPr>
      </w:pPr>
    </w:p>
    <w:p w14:paraId="080BE99D" w14:textId="77777777" w:rsidR="0010738B" w:rsidRDefault="0010738B" w:rsidP="0010738B">
      <w:pPr>
        <w:spacing w:line="360" w:lineRule="auto"/>
        <w:rPr>
          <w:rFonts w:cstheme="minorHAnsi"/>
          <w:u w:val="single"/>
        </w:rPr>
      </w:pPr>
    </w:p>
    <w:p w14:paraId="49F70543" w14:textId="77777777" w:rsidR="0010738B" w:rsidRDefault="0010738B" w:rsidP="0010738B">
      <w:pPr>
        <w:spacing w:line="360" w:lineRule="auto"/>
        <w:rPr>
          <w:rFonts w:cstheme="minorHAnsi"/>
          <w:u w:val="single"/>
        </w:rPr>
      </w:pPr>
    </w:p>
    <w:p w14:paraId="077599A4" w14:textId="77777777" w:rsidR="0010738B" w:rsidRDefault="0010738B" w:rsidP="0010738B">
      <w:pPr>
        <w:spacing w:line="360" w:lineRule="auto"/>
        <w:rPr>
          <w:rFonts w:cstheme="minorHAnsi"/>
          <w:u w:val="single"/>
        </w:rPr>
      </w:pPr>
    </w:p>
    <w:p w14:paraId="560BC422" w14:textId="77777777" w:rsidR="0010738B" w:rsidRDefault="0010738B" w:rsidP="0010738B">
      <w:pPr>
        <w:spacing w:line="360" w:lineRule="auto"/>
        <w:rPr>
          <w:rFonts w:cstheme="minorHAnsi"/>
          <w:u w:val="single"/>
        </w:rPr>
      </w:pPr>
    </w:p>
    <w:p w14:paraId="18729513" w14:textId="77777777" w:rsidR="0010738B" w:rsidRDefault="0010738B" w:rsidP="0010738B">
      <w:pPr>
        <w:spacing w:line="360" w:lineRule="auto"/>
        <w:rPr>
          <w:rFonts w:cstheme="minorHAnsi"/>
          <w:u w:val="single"/>
        </w:rPr>
      </w:pPr>
    </w:p>
    <w:p w14:paraId="35E2987E" w14:textId="77777777" w:rsidR="0010738B" w:rsidRDefault="0010738B" w:rsidP="0010738B">
      <w:pPr>
        <w:spacing w:line="360" w:lineRule="auto"/>
        <w:rPr>
          <w:rFonts w:cstheme="minorHAnsi"/>
          <w:u w:val="single"/>
        </w:rPr>
      </w:pPr>
    </w:p>
    <w:p w14:paraId="2DD09139" w14:textId="77777777" w:rsidR="0010738B" w:rsidRDefault="0010738B" w:rsidP="0010738B">
      <w:pPr>
        <w:spacing w:line="360" w:lineRule="auto"/>
        <w:rPr>
          <w:rFonts w:cstheme="minorHAnsi"/>
          <w:u w:val="single"/>
        </w:rPr>
      </w:pPr>
    </w:p>
    <w:p w14:paraId="5386B93F" w14:textId="5100FC01" w:rsidR="00684ECB" w:rsidRPr="0010738B" w:rsidRDefault="00F93275" w:rsidP="0010738B">
      <w:pPr>
        <w:spacing w:line="360" w:lineRule="auto"/>
        <w:rPr>
          <w:rFonts w:cstheme="minorHAnsi"/>
          <w:u w:val="single"/>
        </w:rPr>
      </w:pPr>
      <w:r w:rsidRPr="0010738B">
        <w:rPr>
          <w:rFonts w:cstheme="minorHAnsi"/>
          <w:u w:val="single"/>
        </w:rPr>
        <w:lastRenderedPageBreak/>
        <w:t>Reference List.</w:t>
      </w:r>
    </w:p>
    <w:p w14:paraId="04BDD902" w14:textId="77777777" w:rsidR="0079422D" w:rsidRPr="0010738B" w:rsidRDefault="0079422D" w:rsidP="0010738B">
      <w:pPr>
        <w:spacing w:line="360" w:lineRule="auto"/>
        <w:rPr>
          <w:rFonts w:cstheme="minorHAnsi"/>
          <w:u w:val="single"/>
        </w:rPr>
      </w:pPr>
    </w:p>
    <w:p w14:paraId="1F10258B" w14:textId="6D2DBD6B" w:rsidR="00F93275" w:rsidRPr="0010738B" w:rsidRDefault="0079422D" w:rsidP="0010738B">
      <w:pPr>
        <w:spacing w:line="360" w:lineRule="auto"/>
        <w:rPr>
          <w:rFonts w:cstheme="minorHAnsi"/>
        </w:rPr>
      </w:pPr>
      <w:r w:rsidRPr="0010738B">
        <w:rPr>
          <w:rFonts w:cstheme="minorHAnsi"/>
        </w:rPr>
        <w:t xml:space="preserve">Adams, H. and Short, E. (2025) Creating environments for children to play and learn. Available at: </w:t>
      </w:r>
      <w:hyperlink r:id="rId6" w:history="1">
        <w:r w:rsidRPr="0010738B">
          <w:rPr>
            <w:rStyle w:val="Hyperlink"/>
            <w:rFonts w:cstheme="minorHAnsi"/>
          </w:rPr>
          <w:t>https://files.froebel.org.uk/production/documents/FT_Creating_Environments_For_Children_pamphlet_WEB.pdf</w:t>
        </w:r>
      </w:hyperlink>
      <w:r w:rsidRPr="0010738B">
        <w:rPr>
          <w:rFonts w:cstheme="minorHAnsi"/>
        </w:rPr>
        <w:t xml:space="preserve"> (Accessed: 29 April 2026). </w:t>
      </w:r>
    </w:p>
    <w:p w14:paraId="40E93CBE" w14:textId="77777777" w:rsidR="0079422D" w:rsidRPr="0010738B" w:rsidRDefault="0079422D" w:rsidP="0010738B">
      <w:pPr>
        <w:spacing w:line="360" w:lineRule="auto"/>
        <w:rPr>
          <w:rFonts w:cstheme="minorHAnsi"/>
        </w:rPr>
      </w:pPr>
    </w:p>
    <w:p w14:paraId="0F19B21A" w14:textId="60C8FEA6" w:rsidR="009F4790" w:rsidRPr="0010738B" w:rsidRDefault="009F4790" w:rsidP="0010738B">
      <w:pPr>
        <w:spacing w:line="360" w:lineRule="auto"/>
        <w:rPr>
          <w:rFonts w:cstheme="minorHAnsi"/>
        </w:rPr>
      </w:pPr>
      <w:r w:rsidRPr="0010738B">
        <w:rPr>
          <w:rFonts w:cstheme="minorHAnsi"/>
        </w:rPr>
        <w:t xml:space="preserve">Archwilio Cymru (2022) </w:t>
      </w:r>
      <w:r w:rsidRPr="0010738B">
        <w:rPr>
          <w:rFonts w:cstheme="minorHAnsi"/>
          <w:i/>
          <w:iCs/>
        </w:rPr>
        <w:t>The new Curriculum for Wales</w:t>
      </w:r>
      <w:r w:rsidRPr="0010738B">
        <w:rPr>
          <w:rFonts w:cstheme="minorHAnsi"/>
        </w:rPr>
        <w:t xml:space="preserve">. Available at: </w:t>
      </w:r>
      <w:hyperlink r:id="rId7" w:history="1">
        <w:r w:rsidRPr="0010738B">
          <w:rPr>
            <w:rStyle w:val="Hyperlink"/>
            <w:rFonts w:cstheme="minorHAnsi"/>
          </w:rPr>
          <w:t>https://www.audit.wales/sites/default/files/publications/The-new-Curriculum-for-Wales-Eng.pdf</w:t>
        </w:r>
      </w:hyperlink>
      <w:r w:rsidRPr="0010738B">
        <w:rPr>
          <w:rFonts w:cstheme="minorHAnsi"/>
        </w:rPr>
        <w:t xml:space="preserve"> (Accessed 28 April 2026). </w:t>
      </w:r>
    </w:p>
    <w:p w14:paraId="74736037" w14:textId="77777777" w:rsidR="009F4790" w:rsidRPr="0010738B" w:rsidRDefault="009F4790" w:rsidP="0010738B">
      <w:pPr>
        <w:spacing w:line="360" w:lineRule="auto"/>
        <w:rPr>
          <w:rFonts w:cstheme="minorHAnsi"/>
        </w:rPr>
      </w:pPr>
    </w:p>
    <w:p w14:paraId="4E7E1C7C" w14:textId="2D30F455" w:rsidR="00CD4445" w:rsidRPr="0010738B" w:rsidRDefault="00CD4445" w:rsidP="0010738B">
      <w:pPr>
        <w:spacing w:line="360" w:lineRule="auto"/>
        <w:rPr>
          <w:rFonts w:cstheme="minorHAnsi"/>
        </w:rPr>
      </w:pPr>
      <w:r w:rsidRPr="0010738B">
        <w:rPr>
          <w:rFonts w:cstheme="minorHAnsi"/>
        </w:rPr>
        <w:t xml:space="preserve">Best, R. (2016) </w:t>
      </w:r>
      <w:r w:rsidR="0010738B" w:rsidRPr="0010738B">
        <w:rPr>
          <w:rFonts w:cstheme="minorHAnsi"/>
        </w:rPr>
        <w:t>‘</w:t>
      </w:r>
      <w:r w:rsidRPr="0010738B">
        <w:rPr>
          <w:rFonts w:cstheme="minorHAnsi"/>
        </w:rPr>
        <w:t>Exploring the spiritual in the pedagogy of Friedrich Froebel.</w:t>
      </w:r>
      <w:r w:rsidR="0010738B" w:rsidRPr="0010738B">
        <w:rPr>
          <w:rFonts w:cstheme="minorHAnsi"/>
        </w:rPr>
        <w:t>’</w:t>
      </w:r>
      <w:r w:rsidRPr="0010738B">
        <w:rPr>
          <w:rFonts w:cstheme="minorHAnsi"/>
        </w:rPr>
        <w:t xml:space="preserve"> </w:t>
      </w:r>
      <w:r w:rsidRPr="0010738B">
        <w:rPr>
          <w:rFonts w:cstheme="minorHAnsi"/>
          <w:i/>
          <w:iCs/>
        </w:rPr>
        <w:t xml:space="preserve">International Journal of Children's Spirituality, </w:t>
      </w:r>
      <w:r w:rsidRPr="0010738B">
        <w:rPr>
          <w:rFonts w:cstheme="minorHAnsi"/>
        </w:rPr>
        <w:t>(21</w:t>
      </w:r>
      <w:r w:rsidR="00083925" w:rsidRPr="0010738B">
        <w:rPr>
          <w:rFonts w:cstheme="minorHAnsi"/>
        </w:rPr>
        <w:t>), pp</w:t>
      </w:r>
      <w:r w:rsidR="00EA1588" w:rsidRPr="0010738B">
        <w:rPr>
          <w:rFonts w:cstheme="minorHAnsi"/>
        </w:rPr>
        <w:t>.</w:t>
      </w:r>
      <w:r w:rsidRPr="0010738B">
        <w:rPr>
          <w:rFonts w:cstheme="minorHAnsi"/>
        </w:rPr>
        <w:t>1-11.</w:t>
      </w:r>
      <w:r w:rsidR="00083925" w:rsidRPr="0010738B">
        <w:rPr>
          <w:rFonts w:cstheme="minorHAnsi"/>
        </w:rPr>
        <w:t xml:space="preserve"> Available at: </w:t>
      </w:r>
      <w:hyperlink r:id="rId8" w:history="1">
        <w:r w:rsidR="00083925" w:rsidRPr="0010738B">
          <w:rPr>
            <w:rStyle w:val="Hyperlink"/>
            <w:rFonts w:cstheme="minorHAnsi"/>
          </w:rPr>
          <w:t>https://www.researchgate.net/publication/308939164_Exploring_the_spiritual_in_the_pedagogy_of_Friedrich_Froebel</w:t>
        </w:r>
      </w:hyperlink>
      <w:r w:rsidR="00083925" w:rsidRPr="0010738B">
        <w:rPr>
          <w:rFonts w:cstheme="minorHAnsi"/>
        </w:rPr>
        <w:t xml:space="preserve"> (Accessed: 22 April 2026).</w:t>
      </w:r>
    </w:p>
    <w:p w14:paraId="40CF4AD4" w14:textId="77777777" w:rsidR="002411C0" w:rsidRPr="0010738B" w:rsidRDefault="002411C0" w:rsidP="0010738B">
      <w:pPr>
        <w:spacing w:line="360" w:lineRule="auto"/>
        <w:rPr>
          <w:rFonts w:cstheme="minorHAnsi"/>
        </w:rPr>
      </w:pPr>
    </w:p>
    <w:p w14:paraId="0281BAD2" w14:textId="45E8CDCD" w:rsidR="002411C0" w:rsidRPr="0010738B" w:rsidRDefault="002411C0" w:rsidP="0010738B">
      <w:pPr>
        <w:spacing w:line="360" w:lineRule="auto"/>
        <w:rPr>
          <w:rFonts w:cstheme="minorHAnsi"/>
        </w:rPr>
      </w:pPr>
      <w:r w:rsidRPr="0010738B">
        <w:rPr>
          <w:rFonts w:cstheme="minorHAnsi"/>
        </w:rPr>
        <w:t xml:space="preserve">Bowlby, P. (2016) </w:t>
      </w:r>
      <w:r w:rsidRPr="0010738B">
        <w:rPr>
          <w:rFonts w:cstheme="minorHAnsi"/>
          <w:i/>
          <w:iCs/>
        </w:rPr>
        <w:t>A Case Study of Froebel Education in Practice</w:t>
      </w:r>
      <w:r w:rsidRPr="0010738B">
        <w:rPr>
          <w:rFonts w:cstheme="minorHAnsi"/>
        </w:rPr>
        <w:t xml:space="preserve">. Available at: </w:t>
      </w:r>
      <w:hyperlink r:id="rId9" w:history="1">
        <w:r w:rsidRPr="0010738B">
          <w:rPr>
            <w:rStyle w:val="Hyperlink"/>
            <w:rFonts w:cstheme="minorHAnsi"/>
          </w:rPr>
          <w:t>https://spectrum.library.concordia.ca/id/eprint/981703/14/Bowlby_MAed_F2016.pdf</w:t>
        </w:r>
      </w:hyperlink>
      <w:r w:rsidRPr="0010738B">
        <w:rPr>
          <w:rFonts w:cstheme="minorHAnsi"/>
        </w:rPr>
        <w:t xml:space="preserve"> (Accessed: 29 April 2026).</w:t>
      </w:r>
    </w:p>
    <w:p w14:paraId="58BD13EA" w14:textId="77777777" w:rsidR="00083925" w:rsidRPr="0010738B" w:rsidRDefault="00083925" w:rsidP="0010738B">
      <w:pPr>
        <w:spacing w:line="360" w:lineRule="auto"/>
        <w:rPr>
          <w:rFonts w:cstheme="minorHAnsi"/>
        </w:rPr>
      </w:pPr>
    </w:p>
    <w:p w14:paraId="0AD40A1B" w14:textId="39CAB174" w:rsidR="00A033DD" w:rsidRPr="0010738B" w:rsidRDefault="007027EF" w:rsidP="0010738B">
      <w:pPr>
        <w:spacing w:line="360" w:lineRule="auto"/>
        <w:rPr>
          <w:rFonts w:cstheme="minorHAnsi"/>
        </w:rPr>
      </w:pPr>
      <w:r w:rsidRPr="0010738B">
        <w:rPr>
          <w:rFonts w:cstheme="minorHAnsi"/>
        </w:rPr>
        <w:t xml:space="preserve">Bruce, T. (2020) </w:t>
      </w:r>
      <w:r w:rsidRPr="0010738B">
        <w:rPr>
          <w:rFonts w:cstheme="minorHAnsi"/>
          <w:i/>
          <w:iCs/>
        </w:rPr>
        <w:t>Early Childhood Education</w:t>
      </w:r>
      <w:r w:rsidRPr="0010738B">
        <w:rPr>
          <w:rFonts w:cstheme="minorHAnsi"/>
        </w:rPr>
        <w:t xml:space="preserve">. 6th edn. London: Hodder Education. </w:t>
      </w:r>
    </w:p>
    <w:p w14:paraId="02272060" w14:textId="77777777" w:rsidR="00A033DD" w:rsidRPr="0010738B" w:rsidRDefault="00A033DD" w:rsidP="0010738B">
      <w:pPr>
        <w:spacing w:line="360" w:lineRule="auto"/>
        <w:rPr>
          <w:rFonts w:cstheme="minorHAnsi"/>
        </w:rPr>
      </w:pPr>
    </w:p>
    <w:p w14:paraId="78600E59" w14:textId="77777777" w:rsidR="00A033DD" w:rsidRPr="005C2DBA" w:rsidRDefault="00A033DD" w:rsidP="0010738B">
      <w:pPr>
        <w:spacing w:line="360" w:lineRule="auto"/>
        <w:rPr>
          <w:rFonts w:cstheme="minorHAnsi"/>
        </w:rPr>
      </w:pPr>
      <w:r w:rsidRPr="005C2DBA">
        <w:rPr>
          <w:rFonts w:cstheme="minorHAnsi"/>
        </w:rPr>
        <w:t xml:space="preserve">Bruce, T. (2020) </w:t>
      </w:r>
      <w:r w:rsidRPr="005C2DBA">
        <w:rPr>
          <w:rFonts w:cstheme="minorHAnsi"/>
          <w:i/>
          <w:iCs/>
        </w:rPr>
        <w:t>Friedrich Froebel: A Critical Introduction to Key Themes and Debates</w:t>
      </w:r>
      <w:r w:rsidRPr="005C2DBA">
        <w:rPr>
          <w:rFonts w:cstheme="minorHAnsi"/>
        </w:rPr>
        <w:t>. London: Bloomsbury.</w:t>
      </w:r>
    </w:p>
    <w:p w14:paraId="497DAAE1" w14:textId="77777777" w:rsidR="00B563B5" w:rsidRPr="0010738B" w:rsidRDefault="00B563B5" w:rsidP="0010738B">
      <w:pPr>
        <w:spacing w:line="360" w:lineRule="auto"/>
        <w:rPr>
          <w:rFonts w:cstheme="minorHAnsi"/>
        </w:rPr>
      </w:pPr>
    </w:p>
    <w:p w14:paraId="28B226CF" w14:textId="4994C61B" w:rsidR="00B563B5" w:rsidRPr="0010738B" w:rsidRDefault="00B563B5" w:rsidP="0010738B">
      <w:pPr>
        <w:spacing w:line="360" w:lineRule="auto"/>
        <w:rPr>
          <w:rFonts w:cstheme="minorHAnsi"/>
        </w:rPr>
      </w:pPr>
      <w:r w:rsidRPr="0010738B">
        <w:rPr>
          <w:rFonts w:cstheme="minorHAnsi"/>
        </w:rPr>
        <w:t xml:space="preserve">Bruce, T. (2020) </w:t>
      </w:r>
      <w:r w:rsidRPr="0010738B">
        <w:rPr>
          <w:rFonts w:cstheme="minorHAnsi"/>
          <w:i/>
          <w:iCs/>
        </w:rPr>
        <w:t xml:space="preserve">Twelve features characterising a Froebelian approach to childhood play. </w:t>
      </w:r>
      <w:r w:rsidRPr="0010738B">
        <w:rPr>
          <w:rFonts w:cstheme="minorHAnsi"/>
        </w:rPr>
        <w:t xml:space="preserve">Available at: </w:t>
      </w:r>
      <w:hyperlink r:id="rId10" w:anchor=":~:text=Play%20can%20be%20solitary%20and,been%20learning%2C%20knows%20and%20understands" w:history="1">
        <w:r w:rsidRPr="0010738B">
          <w:rPr>
            <w:rStyle w:val="Hyperlink"/>
            <w:rFonts w:cstheme="minorHAnsi"/>
          </w:rPr>
          <w:t>https://www.froebel.org.uk/about-us/the-power-of-play/froebelian-approach-to-childhood-play#:~:text=Play%20can%20be%20solitary%20and,been%20learning%2C%20knows%20and%20understands</w:t>
        </w:r>
      </w:hyperlink>
      <w:r w:rsidRPr="0010738B">
        <w:rPr>
          <w:rFonts w:cstheme="minorHAnsi"/>
        </w:rPr>
        <w:t>. (Accessed: 29 April 2026).</w:t>
      </w:r>
    </w:p>
    <w:p w14:paraId="25C3DB5F" w14:textId="77777777" w:rsidR="002411C0" w:rsidRPr="0010738B" w:rsidRDefault="002411C0" w:rsidP="0010738B">
      <w:pPr>
        <w:spacing w:line="360" w:lineRule="auto"/>
        <w:rPr>
          <w:rFonts w:cstheme="minorHAnsi"/>
        </w:rPr>
      </w:pPr>
    </w:p>
    <w:p w14:paraId="36CBB7B9" w14:textId="7A029F02" w:rsidR="002411C0" w:rsidRPr="0010738B" w:rsidRDefault="002411C0" w:rsidP="0010738B">
      <w:pPr>
        <w:spacing w:line="360" w:lineRule="auto"/>
        <w:rPr>
          <w:rFonts w:cstheme="minorHAnsi"/>
        </w:rPr>
      </w:pPr>
      <w:r w:rsidRPr="0010738B">
        <w:rPr>
          <w:rFonts w:cstheme="minorHAnsi"/>
        </w:rPr>
        <w:lastRenderedPageBreak/>
        <w:t xml:space="preserve">Bruner, J. (1996) </w:t>
      </w:r>
      <w:r w:rsidRPr="0010738B">
        <w:rPr>
          <w:rFonts w:cstheme="minorHAnsi"/>
          <w:i/>
          <w:iCs/>
        </w:rPr>
        <w:t>The culture of education.</w:t>
      </w:r>
      <w:r w:rsidRPr="0010738B">
        <w:rPr>
          <w:rFonts w:cstheme="minorHAnsi"/>
        </w:rPr>
        <w:t xml:space="preserve"> Cambridge: Harvard University Press.</w:t>
      </w:r>
    </w:p>
    <w:p w14:paraId="45887DF7" w14:textId="77777777" w:rsidR="00A033DD" w:rsidRPr="0010738B" w:rsidRDefault="00A033DD" w:rsidP="0010738B">
      <w:pPr>
        <w:spacing w:line="360" w:lineRule="auto"/>
        <w:rPr>
          <w:rFonts w:cstheme="minorHAnsi"/>
        </w:rPr>
      </w:pPr>
    </w:p>
    <w:p w14:paraId="7FD51DCB" w14:textId="322B91EC" w:rsidR="00A033DD" w:rsidRPr="005C2DBA" w:rsidRDefault="00A033DD" w:rsidP="0010738B">
      <w:pPr>
        <w:spacing w:line="360" w:lineRule="auto"/>
        <w:rPr>
          <w:rFonts w:cstheme="minorHAnsi"/>
        </w:rPr>
      </w:pPr>
      <w:r w:rsidRPr="005C2DBA">
        <w:rPr>
          <w:rFonts w:cstheme="minorHAnsi"/>
        </w:rPr>
        <w:t xml:space="preserve">Cameron, J. and Boyles, D. (2022) ‘Froebelian pedagogy in neoliberal times’, </w:t>
      </w:r>
      <w:r w:rsidRPr="005C2DBA">
        <w:rPr>
          <w:rFonts w:cstheme="minorHAnsi"/>
          <w:i/>
          <w:iCs/>
        </w:rPr>
        <w:t>Global Education Review</w:t>
      </w:r>
      <w:r w:rsidRPr="005C2DBA">
        <w:rPr>
          <w:rFonts w:cstheme="minorHAnsi"/>
        </w:rPr>
        <w:t>, 9(1), pp. 58–75.</w:t>
      </w:r>
      <w:r w:rsidRPr="0010738B">
        <w:rPr>
          <w:rFonts w:cstheme="minorHAnsi"/>
        </w:rPr>
        <w:t xml:space="preserve"> Available at: </w:t>
      </w:r>
      <w:hyperlink r:id="rId11" w:history="1">
        <w:r w:rsidRPr="0010738B">
          <w:rPr>
            <w:rStyle w:val="Hyperlink"/>
            <w:rFonts w:cstheme="minorHAnsi"/>
          </w:rPr>
          <w:t>https://files.eric.ed.gov/fulltext/EJ1353647.pdf</w:t>
        </w:r>
      </w:hyperlink>
      <w:r w:rsidRPr="0010738B">
        <w:rPr>
          <w:rFonts w:cstheme="minorHAnsi"/>
        </w:rPr>
        <w:t xml:space="preserve"> (Accessed: 29 April 2026).</w:t>
      </w:r>
    </w:p>
    <w:p w14:paraId="021EE067" w14:textId="77777777" w:rsidR="00D87E53" w:rsidRPr="0010738B" w:rsidRDefault="00D87E53" w:rsidP="0010738B">
      <w:pPr>
        <w:spacing w:line="360" w:lineRule="auto"/>
        <w:rPr>
          <w:rFonts w:cstheme="minorHAnsi"/>
        </w:rPr>
      </w:pPr>
    </w:p>
    <w:p w14:paraId="343CFD75" w14:textId="7D7A5815" w:rsidR="00D87E53" w:rsidRPr="0010738B" w:rsidRDefault="00D87E53" w:rsidP="0010738B">
      <w:pPr>
        <w:spacing w:line="360" w:lineRule="auto"/>
        <w:rPr>
          <w:rFonts w:cstheme="minorHAnsi"/>
        </w:rPr>
      </w:pPr>
      <w:r w:rsidRPr="0010738B">
        <w:rPr>
          <w:rFonts w:cstheme="minorHAnsi"/>
        </w:rPr>
        <w:t xml:space="preserve">Chand, S. (2024) ‘Constructivism in Education: Exploring the Contributions of Piaget, Vygotsky, and Bruner.’ </w:t>
      </w:r>
      <w:r w:rsidRPr="0010738B">
        <w:rPr>
          <w:rFonts w:cstheme="minorHAnsi"/>
          <w:i/>
          <w:iCs/>
        </w:rPr>
        <w:t xml:space="preserve">International Journal of Science and Research. </w:t>
      </w:r>
      <w:r w:rsidRPr="0010738B">
        <w:rPr>
          <w:rFonts w:cstheme="minorHAnsi"/>
        </w:rPr>
        <w:t xml:space="preserve">Available at: </w:t>
      </w:r>
      <w:hyperlink r:id="rId12" w:history="1">
        <w:r w:rsidRPr="0010738B">
          <w:rPr>
            <w:rStyle w:val="Hyperlink"/>
            <w:rFonts w:cstheme="minorHAnsi"/>
          </w:rPr>
          <w:t>file:///Users/jessybeynon/Downloads/SR23630021800.pdf</w:t>
        </w:r>
      </w:hyperlink>
      <w:r w:rsidRPr="0010738B">
        <w:rPr>
          <w:rFonts w:cstheme="minorHAnsi"/>
        </w:rPr>
        <w:t xml:space="preserve"> (Accessed: 28 April 2026).</w:t>
      </w:r>
    </w:p>
    <w:p w14:paraId="466B3BDD" w14:textId="77777777" w:rsidR="002411C0" w:rsidRPr="0010738B" w:rsidRDefault="002411C0" w:rsidP="0010738B">
      <w:pPr>
        <w:spacing w:line="360" w:lineRule="auto"/>
        <w:rPr>
          <w:rFonts w:cstheme="minorHAnsi"/>
        </w:rPr>
      </w:pPr>
    </w:p>
    <w:p w14:paraId="6F64C4D0" w14:textId="519B1B18" w:rsidR="005C329A" w:rsidRPr="0010738B" w:rsidRDefault="005C329A" w:rsidP="0010738B">
      <w:pPr>
        <w:spacing w:line="360" w:lineRule="auto"/>
        <w:rPr>
          <w:rFonts w:cstheme="minorHAnsi"/>
        </w:rPr>
      </w:pPr>
      <w:r w:rsidRPr="0010738B">
        <w:rPr>
          <w:rFonts w:cstheme="minorHAnsi"/>
        </w:rPr>
        <w:t xml:space="preserve">Chwarae Cymru (no date) </w:t>
      </w:r>
      <w:r w:rsidRPr="0010738B">
        <w:rPr>
          <w:rFonts w:cstheme="minorHAnsi"/>
          <w:i/>
          <w:iCs/>
        </w:rPr>
        <w:t>Right to play.</w:t>
      </w:r>
      <w:r w:rsidRPr="0010738B">
        <w:rPr>
          <w:rFonts w:cstheme="minorHAnsi"/>
        </w:rPr>
        <w:t xml:space="preserve"> Available at: </w:t>
      </w:r>
      <w:hyperlink r:id="rId13" w:anchor=":~:text=Play%20policy%20internationally,%2C%20flexibility%20and%20non%2Dproductivity" w:history="1">
        <w:r w:rsidRPr="0010738B">
          <w:rPr>
            <w:rStyle w:val="Hyperlink"/>
            <w:rFonts w:cstheme="minorHAnsi"/>
          </w:rPr>
          <w:t>https://play.wales/play-policy-legislation/#:~:text=Play%20policy%20internationally,%2C%20flexibility%20and%20non%2Dproductivity</w:t>
        </w:r>
      </w:hyperlink>
      <w:r w:rsidRPr="0010738B">
        <w:rPr>
          <w:rFonts w:cstheme="minorHAnsi"/>
        </w:rPr>
        <w:t>.</w:t>
      </w:r>
    </w:p>
    <w:p w14:paraId="1C95D9F5" w14:textId="54AB852F" w:rsidR="005C329A" w:rsidRPr="0010738B" w:rsidRDefault="005C329A" w:rsidP="0010738B">
      <w:pPr>
        <w:spacing w:line="360" w:lineRule="auto"/>
        <w:rPr>
          <w:rFonts w:cstheme="minorHAnsi"/>
        </w:rPr>
      </w:pPr>
      <w:r w:rsidRPr="0010738B">
        <w:rPr>
          <w:rFonts w:cstheme="minorHAnsi"/>
        </w:rPr>
        <w:t xml:space="preserve">(Accessed: 21 April 2026).  </w:t>
      </w:r>
    </w:p>
    <w:p w14:paraId="13CAE041" w14:textId="77777777" w:rsidR="00D167F2" w:rsidRPr="0010738B" w:rsidRDefault="00D167F2" w:rsidP="0010738B">
      <w:pPr>
        <w:spacing w:line="360" w:lineRule="auto"/>
        <w:rPr>
          <w:rFonts w:cstheme="minorHAnsi"/>
        </w:rPr>
      </w:pPr>
    </w:p>
    <w:p w14:paraId="224236E7" w14:textId="77777777" w:rsidR="00D167F2" w:rsidRPr="0010738B" w:rsidRDefault="00D167F2" w:rsidP="0010738B">
      <w:pPr>
        <w:spacing w:line="360" w:lineRule="auto"/>
        <w:rPr>
          <w:rFonts w:cstheme="minorHAnsi"/>
        </w:rPr>
      </w:pPr>
      <w:r w:rsidRPr="0010738B">
        <w:rPr>
          <w:rFonts w:cstheme="minorHAnsi"/>
        </w:rPr>
        <w:t xml:space="preserve">Clement, J. (2018) </w:t>
      </w:r>
      <w:r w:rsidRPr="0010738B">
        <w:rPr>
          <w:rFonts w:cstheme="minorHAnsi"/>
          <w:i/>
          <w:iCs/>
        </w:rPr>
        <w:t>Spatially democratic pedagogy: The role of space in enabling Froebelian principles</w:t>
      </w:r>
      <w:r w:rsidRPr="0010738B">
        <w:rPr>
          <w:rFonts w:cstheme="minorHAnsi"/>
        </w:rPr>
        <w:t xml:space="preserve">. Available at: </w:t>
      </w:r>
      <w:hyperlink r:id="rId14" w:tgtFrame="_new" w:history="1">
        <w:r w:rsidRPr="0010738B">
          <w:rPr>
            <w:rStyle w:val="Hyperlink"/>
            <w:rFonts w:cstheme="minorHAnsi"/>
          </w:rPr>
          <w:t>https://www.froebel.org.uk/research-library/spatially-democratic-pedagogy</w:t>
        </w:r>
      </w:hyperlink>
      <w:r w:rsidRPr="0010738B">
        <w:rPr>
          <w:rFonts w:cstheme="minorHAnsi"/>
        </w:rPr>
        <w:t xml:space="preserve"> (Accessed: 2 May 2026).</w:t>
      </w:r>
    </w:p>
    <w:p w14:paraId="3E0A303F" w14:textId="77777777" w:rsidR="00224A10" w:rsidRPr="0010738B" w:rsidRDefault="00224A10" w:rsidP="0010738B">
      <w:pPr>
        <w:spacing w:line="360" w:lineRule="auto"/>
        <w:rPr>
          <w:rFonts w:cstheme="minorHAnsi"/>
        </w:rPr>
      </w:pPr>
    </w:p>
    <w:p w14:paraId="233AD717" w14:textId="1567F689" w:rsidR="00520044" w:rsidRPr="0010738B" w:rsidRDefault="00224A10" w:rsidP="0010738B">
      <w:pPr>
        <w:spacing w:line="360" w:lineRule="auto"/>
        <w:rPr>
          <w:rFonts w:cstheme="minorHAnsi"/>
        </w:rPr>
      </w:pPr>
      <w:r w:rsidRPr="0010738B">
        <w:rPr>
          <w:rFonts w:cstheme="minorHAnsi"/>
        </w:rPr>
        <w:t xml:space="preserve">Clement, J. (2023) </w:t>
      </w:r>
      <w:r w:rsidR="00520044" w:rsidRPr="0010738B">
        <w:rPr>
          <w:rFonts w:cstheme="minorHAnsi"/>
          <w:i/>
          <w:iCs/>
        </w:rPr>
        <w:t xml:space="preserve">Exploring froebelian principles as a vehicle for curriculum reform. </w:t>
      </w:r>
      <w:r w:rsidR="00520044" w:rsidRPr="0010738B">
        <w:rPr>
          <w:rFonts w:cstheme="minorHAnsi"/>
        </w:rPr>
        <w:t xml:space="preserve">Available at: </w:t>
      </w:r>
      <w:hyperlink r:id="rId15" w:history="1">
        <w:r w:rsidR="00520044" w:rsidRPr="0010738B">
          <w:rPr>
            <w:rStyle w:val="Hyperlink"/>
            <w:rFonts w:cstheme="minorHAnsi"/>
          </w:rPr>
          <w:t>https://www.froebel.org.uk/research-library/exploring-froebelian-principles-as-a-vehicle-for-curriculum-reform</w:t>
        </w:r>
      </w:hyperlink>
      <w:r w:rsidR="00520044" w:rsidRPr="0010738B">
        <w:rPr>
          <w:rFonts w:cstheme="minorHAnsi"/>
        </w:rPr>
        <w:t xml:space="preserve"> (Accessed: 28 April 2026).</w:t>
      </w:r>
    </w:p>
    <w:p w14:paraId="7D09C6BD" w14:textId="77777777" w:rsidR="00EE16FF" w:rsidRPr="0010738B" w:rsidRDefault="00EE16FF" w:rsidP="0010738B">
      <w:pPr>
        <w:spacing w:line="360" w:lineRule="auto"/>
        <w:rPr>
          <w:rFonts w:cstheme="minorHAnsi"/>
        </w:rPr>
      </w:pPr>
    </w:p>
    <w:p w14:paraId="35B65862" w14:textId="49ECDE43" w:rsidR="00EE16FF" w:rsidRPr="0010738B" w:rsidRDefault="00EE16FF" w:rsidP="0010738B">
      <w:pPr>
        <w:spacing w:line="360" w:lineRule="auto"/>
        <w:rPr>
          <w:rFonts w:cstheme="minorHAnsi"/>
        </w:rPr>
      </w:pPr>
      <w:r w:rsidRPr="0010738B">
        <w:rPr>
          <w:rFonts w:cstheme="minorHAnsi"/>
        </w:rPr>
        <w:t xml:space="preserve">Donaldson, G. (2015) </w:t>
      </w:r>
      <w:r w:rsidRPr="0010738B">
        <w:rPr>
          <w:rFonts w:cstheme="minorHAnsi"/>
          <w:i/>
          <w:iCs/>
        </w:rPr>
        <w:t>Successful futures: Independent review of curriculum and assessment arrangements in Wales.</w:t>
      </w:r>
      <w:r w:rsidRPr="0010738B">
        <w:rPr>
          <w:rFonts w:cstheme="minorHAnsi"/>
        </w:rPr>
        <w:t xml:space="preserve"> Available at: </w:t>
      </w:r>
      <w:hyperlink r:id="rId16" w:history="1">
        <w:r w:rsidRPr="0010738B">
          <w:rPr>
            <w:rStyle w:val="Hyperlink"/>
            <w:rFonts w:cstheme="minorHAnsi"/>
          </w:rPr>
          <w:t>https://www.gov.wales/sites/default/files/publications/2018-03/successful-futures.pdf</w:t>
        </w:r>
      </w:hyperlink>
      <w:r w:rsidRPr="0010738B">
        <w:rPr>
          <w:rFonts w:cstheme="minorHAnsi"/>
        </w:rPr>
        <w:t xml:space="preserve"> (Accessed: 28 April 2026).</w:t>
      </w:r>
    </w:p>
    <w:p w14:paraId="7E132309" w14:textId="77777777" w:rsidR="007027EF" w:rsidRPr="0010738B" w:rsidRDefault="007027EF" w:rsidP="0010738B">
      <w:pPr>
        <w:spacing w:line="360" w:lineRule="auto"/>
        <w:rPr>
          <w:rFonts w:cstheme="minorHAnsi"/>
        </w:rPr>
      </w:pPr>
    </w:p>
    <w:p w14:paraId="4929DD92" w14:textId="6C3EEB78" w:rsidR="007027EF" w:rsidRPr="0010738B" w:rsidRDefault="007027EF" w:rsidP="0010738B">
      <w:pPr>
        <w:spacing w:line="360" w:lineRule="auto"/>
        <w:rPr>
          <w:rFonts w:cstheme="minorHAnsi"/>
        </w:rPr>
      </w:pPr>
      <w:r w:rsidRPr="0010738B">
        <w:rPr>
          <w:rFonts w:cstheme="minorHAnsi"/>
        </w:rPr>
        <w:t xml:space="preserve">Froebel, F. (1887) </w:t>
      </w:r>
      <w:r w:rsidRPr="0010738B">
        <w:rPr>
          <w:rFonts w:cstheme="minorHAnsi"/>
          <w:i/>
          <w:iCs/>
        </w:rPr>
        <w:t>The Education of Man</w:t>
      </w:r>
      <w:r w:rsidRPr="0010738B">
        <w:rPr>
          <w:rFonts w:cstheme="minorHAnsi"/>
        </w:rPr>
        <w:t>. New York: D. Appleton and Company.</w:t>
      </w:r>
    </w:p>
    <w:p w14:paraId="6E5709FB" w14:textId="77777777" w:rsidR="007575A8" w:rsidRPr="0010738B" w:rsidRDefault="007575A8" w:rsidP="0010738B">
      <w:pPr>
        <w:spacing w:line="360" w:lineRule="auto"/>
        <w:rPr>
          <w:rFonts w:cstheme="minorHAnsi"/>
        </w:rPr>
      </w:pPr>
    </w:p>
    <w:p w14:paraId="18244008" w14:textId="06C6C403" w:rsidR="007575A8" w:rsidRPr="0010738B" w:rsidRDefault="007575A8" w:rsidP="0010738B">
      <w:pPr>
        <w:spacing w:line="360" w:lineRule="auto"/>
        <w:rPr>
          <w:rFonts w:cstheme="minorHAnsi"/>
        </w:rPr>
      </w:pPr>
      <w:r w:rsidRPr="0010738B">
        <w:rPr>
          <w:rFonts w:cstheme="minorHAnsi"/>
        </w:rPr>
        <w:lastRenderedPageBreak/>
        <w:t xml:space="preserve">Froebel Trust (no date) </w:t>
      </w:r>
      <w:r w:rsidRPr="0010738B">
        <w:rPr>
          <w:rFonts w:cstheme="minorHAnsi"/>
          <w:i/>
          <w:iCs/>
        </w:rPr>
        <w:t>About us: the power of play</w:t>
      </w:r>
      <w:r w:rsidRPr="0010738B">
        <w:rPr>
          <w:rFonts w:cstheme="minorHAnsi"/>
        </w:rPr>
        <w:t xml:space="preserve">. Available at: </w:t>
      </w:r>
      <w:hyperlink r:id="rId17" w:history="1">
        <w:r w:rsidRPr="0010738B">
          <w:rPr>
            <w:rStyle w:val="Hyperlink"/>
            <w:rFonts w:cstheme="minorHAnsi"/>
          </w:rPr>
          <w:t>https://www.froebel.org.uk/about-us/the-power-of-play</w:t>
        </w:r>
      </w:hyperlink>
      <w:r w:rsidRPr="0010738B">
        <w:rPr>
          <w:rFonts w:cstheme="minorHAnsi"/>
        </w:rPr>
        <w:t xml:space="preserve"> (Accessed: 21 April 2026).</w:t>
      </w:r>
    </w:p>
    <w:p w14:paraId="1B0F9776" w14:textId="77777777" w:rsidR="00D87E53" w:rsidRPr="0010738B" w:rsidRDefault="00D87E53" w:rsidP="0010738B">
      <w:pPr>
        <w:spacing w:line="360" w:lineRule="auto"/>
        <w:rPr>
          <w:rFonts w:cstheme="minorHAnsi"/>
        </w:rPr>
      </w:pPr>
    </w:p>
    <w:p w14:paraId="66AF595E" w14:textId="342579A4" w:rsidR="00D87E53" w:rsidRPr="0010738B" w:rsidRDefault="00D87E53" w:rsidP="0010738B">
      <w:pPr>
        <w:spacing w:line="360" w:lineRule="auto"/>
        <w:rPr>
          <w:rFonts w:cstheme="minorHAnsi"/>
        </w:rPr>
      </w:pPr>
      <w:r w:rsidRPr="0010738B">
        <w:rPr>
          <w:rFonts w:cstheme="minorHAnsi"/>
        </w:rPr>
        <w:t xml:space="preserve">Froebel Trust (no date) </w:t>
      </w:r>
      <w:r w:rsidRPr="0010738B">
        <w:rPr>
          <w:rFonts w:cstheme="minorHAnsi"/>
          <w:i/>
          <w:iCs/>
        </w:rPr>
        <w:t>Froebel’s occupations.</w:t>
      </w:r>
      <w:r w:rsidRPr="0010738B">
        <w:rPr>
          <w:rFonts w:cstheme="minorHAnsi"/>
        </w:rPr>
        <w:t xml:space="preserve"> Available at: </w:t>
      </w:r>
      <w:hyperlink r:id="rId18" w:history="1">
        <w:r w:rsidRPr="0010738B">
          <w:rPr>
            <w:rStyle w:val="Hyperlink"/>
            <w:rFonts w:cstheme="minorHAnsi"/>
          </w:rPr>
          <w:t>https://www.froebel.org.uk/training-and-resources/froebels-occupations</w:t>
        </w:r>
      </w:hyperlink>
      <w:r w:rsidRPr="0010738B">
        <w:rPr>
          <w:rFonts w:cstheme="minorHAnsi"/>
        </w:rPr>
        <w:t xml:space="preserve"> (Accessed: 28 April 2026).</w:t>
      </w:r>
    </w:p>
    <w:p w14:paraId="053220B6" w14:textId="77777777" w:rsidR="00BB5EFB" w:rsidRPr="0010738B" w:rsidRDefault="00BB5EFB" w:rsidP="0010738B">
      <w:pPr>
        <w:spacing w:line="360" w:lineRule="auto"/>
        <w:rPr>
          <w:rFonts w:cstheme="minorHAnsi"/>
        </w:rPr>
      </w:pPr>
    </w:p>
    <w:p w14:paraId="5C835A6F" w14:textId="26E6C375" w:rsidR="00BB5EFB" w:rsidRPr="0010738B" w:rsidRDefault="00BB5EFB" w:rsidP="0010738B">
      <w:pPr>
        <w:spacing w:line="360" w:lineRule="auto"/>
        <w:rPr>
          <w:rFonts w:cstheme="minorHAnsi"/>
        </w:rPr>
      </w:pPr>
      <w:r w:rsidRPr="0010738B">
        <w:rPr>
          <w:rFonts w:cstheme="minorHAnsi"/>
        </w:rPr>
        <w:t xml:space="preserve">Froebel Trust (no date) </w:t>
      </w:r>
      <w:r w:rsidRPr="0010738B">
        <w:rPr>
          <w:rFonts w:cstheme="minorHAnsi"/>
          <w:i/>
          <w:iCs/>
        </w:rPr>
        <w:t xml:space="preserve">Froebelian principles. </w:t>
      </w:r>
      <w:r w:rsidRPr="0010738B">
        <w:rPr>
          <w:rFonts w:cstheme="minorHAnsi"/>
        </w:rPr>
        <w:t xml:space="preserve">Available at: </w:t>
      </w:r>
      <w:hyperlink r:id="rId19" w:history="1">
        <w:r w:rsidRPr="0010738B">
          <w:rPr>
            <w:rStyle w:val="Hyperlink"/>
            <w:rFonts w:cstheme="minorHAnsi"/>
          </w:rPr>
          <w:t>https://www.froebel.org.uk/about-us/froebelian-principles</w:t>
        </w:r>
      </w:hyperlink>
      <w:r w:rsidRPr="0010738B">
        <w:rPr>
          <w:rFonts w:cstheme="minorHAnsi"/>
        </w:rPr>
        <w:t xml:space="preserve"> (accessed: 29 April 2026).</w:t>
      </w:r>
    </w:p>
    <w:p w14:paraId="2147C69A" w14:textId="77777777" w:rsidR="007575A8" w:rsidRPr="0010738B" w:rsidRDefault="007575A8" w:rsidP="0010738B">
      <w:pPr>
        <w:spacing w:line="360" w:lineRule="auto"/>
        <w:rPr>
          <w:rFonts w:cstheme="minorHAnsi"/>
        </w:rPr>
      </w:pPr>
    </w:p>
    <w:p w14:paraId="23A3EE91" w14:textId="3B72656A" w:rsidR="007575A8" w:rsidRPr="0010738B" w:rsidRDefault="007575A8" w:rsidP="0010738B">
      <w:pPr>
        <w:spacing w:line="360" w:lineRule="auto"/>
        <w:rPr>
          <w:rFonts w:cstheme="minorHAnsi"/>
        </w:rPr>
      </w:pPr>
      <w:r w:rsidRPr="0010738B">
        <w:rPr>
          <w:rFonts w:cstheme="minorHAnsi"/>
        </w:rPr>
        <w:t xml:space="preserve">Froebel Trust (no date) </w:t>
      </w:r>
      <w:r w:rsidRPr="0010738B">
        <w:rPr>
          <w:rFonts w:cstheme="minorHAnsi"/>
          <w:i/>
          <w:iCs/>
        </w:rPr>
        <w:t>Training and resources: Froebel’s gifts</w:t>
      </w:r>
      <w:r w:rsidRPr="0010738B">
        <w:rPr>
          <w:rFonts w:cstheme="minorHAnsi"/>
        </w:rPr>
        <w:t xml:space="preserve">. Available at: </w:t>
      </w:r>
      <w:hyperlink r:id="rId20" w:history="1">
        <w:r w:rsidRPr="0010738B">
          <w:rPr>
            <w:rStyle w:val="Hyperlink"/>
            <w:rFonts w:cstheme="minorHAnsi"/>
          </w:rPr>
          <w:t>https://www.froebel.org.uk/training-and-resources/froebels-gifts</w:t>
        </w:r>
      </w:hyperlink>
      <w:r w:rsidRPr="0010738B">
        <w:rPr>
          <w:rFonts w:cstheme="minorHAnsi"/>
        </w:rPr>
        <w:t xml:space="preserve"> (Accessed: 21 April 2026).</w:t>
      </w:r>
    </w:p>
    <w:p w14:paraId="2A6AC102" w14:textId="77777777" w:rsidR="00BB5EFB" w:rsidRPr="0010738B" w:rsidRDefault="00BB5EFB" w:rsidP="0010738B">
      <w:pPr>
        <w:spacing w:line="360" w:lineRule="auto"/>
        <w:rPr>
          <w:rFonts w:cstheme="minorHAnsi"/>
        </w:rPr>
      </w:pPr>
    </w:p>
    <w:p w14:paraId="7FEA42B3" w14:textId="7D3EEBA6" w:rsidR="00BB5EFB" w:rsidRPr="0010738B" w:rsidRDefault="00BB5EFB" w:rsidP="0010738B">
      <w:pPr>
        <w:spacing w:line="360" w:lineRule="auto"/>
        <w:rPr>
          <w:rFonts w:cstheme="minorHAnsi"/>
        </w:rPr>
      </w:pPr>
      <w:r w:rsidRPr="0010738B">
        <w:rPr>
          <w:rFonts w:cstheme="minorHAnsi"/>
        </w:rPr>
        <w:t xml:space="preserve">Froebel Trust (2023) </w:t>
      </w:r>
      <w:r w:rsidRPr="0010738B">
        <w:rPr>
          <w:rFonts w:cstheme="minorHAnsi"/>
          <w:i/>
          <w:iCs/>
        </w:rPr>
        <w:t>Froebelian practice in primary school.</w:t>
      </w:r>
      <w:r w:rsidRPr="0010738B">
        <w:rPr>
          <w:rFonts w:cstheme="minorHAnsi"/>
        </w:rPr>
        <w:t xml:space="preserve"> Available at: </w:t>
      </w:r>
      <w:hyperlink r:id="rId21" w:history="1">
        <w:r w:rsidRPr="0010738B">
          <w:rPr>
            <w:rStyle w:val="Hyperlink"/>
            <w:rFonts w:cstheme="minorHAnsi"/>
          </w:rPr>
          <w:t>https://www.froebel.org.uk/news/froebelian-practice-in-the-primary-school</w:t>
        </w:r>
      </w:hyperlink>
      <w:r w:rsidRPr="0010738B">
        <w:rPr>
          <w:rFonts w:cstheme="minorHAnsi"/>
        </w:rPr>
        <w:t xml:space="preserve"> (Accessed: 28 April 2026).</w:t>
      </w:r>
    </w:p>
    <w:p w14:paraId="420D21CC" w14:textId="77777777" w:rsidR="00D64EED" w:rsidRPr="0010738B" w:rsidRDefault="00D64EED" w:rsidP="0010738B">
      <w:pPr>
        <w:spacing w:line="360" w:lineRule="auto"/>
        <w:rPr>
          <w:rFonts w:cstheme="minorHAnsi"/>
        </w:rPr>
      </w:pPr>
    </w:p>
    <w:p w14:paraId="588353B5" w14:textId="35EE7A98" w:rsidR="00D87E53" w:rsidRPr="0010738B" w:rsidRDefault="00D87E53" w:rsidP="0010738B">
      <w:pPr>
        <w:spacing w:line="360" w:lineRule="auto"/>
        <w:rPr>
          <w:rFonts w:cstheme="minorHAnsi"/>
        </w:rPr>
      </w:pPr>
      <w:r w:rsidRPr="0010738B">
        <w:rPr>
          <w:rFonts w:cstheme="minorHAnsi"/>
        </w:rPr>
        <w:t xml:space="preserve">Hill, P. S. (1908) </w:t>
      </w:r>
      <w:r w:rsidR="0010738B" w:rsidRPr="0010738B">
        <w:rPr>
          <w:rFonts w:cstheme="minorHAnsi"/>
        </w:rPr>
        <w:t>‘</w:t>
      </w:r>
      <w:r w:rsidRPr="0010738B">
        <w:rPr>
          <w:rFonts w:cstheme="minorHAnsi"/>
        </w:rPr>
        <w:t>The Value and Limitations of Froebel’s Gifts as Educative Materials.</w:t>
      </w:r>
      <w:r w:rsidR="0010738B" w:rsidRPr="0010738B">
        <w:rPr>
          <w:rFonts w:cstheme="minorHAnsi"/>
        </w:rPr>
        <w:t>’</w:t>
      </w:r>
      <w:r w:rsidRPr="0010738B">
        <w:rPr>
          <w:rFonts w:cstheme="minorHAnsi"/>
        </w:rPr>
        <w:t xml:space="preserve"> </w:t>
      </w:r>
      <w:r w:rsidRPr="0010738B">
        <w:rPr>
          <w:rFonts w:cstheme="minorHAnsi"/>
          <w:i/>
          <w:iCs/>
        </w:rPr>
        <w:t>The Elementary School Teacher</w:t>
      </w:r>
      <w:r w:rsidRPr="0010738B">
        <w:rPr>
          <w:rFonts w:cstheme="minorHAnsi"/>
        </w:rPr>
        <w:t xml:space="preserve">, 9(3), pp.129–137. Available at; </w:t>
      </w:r>
      <w:hyperlink r:id="rId22" w:history="1">
        <w:r w:rsidRPr="0010738B">
          <w:rPr>
            <w:rStyle w:val="Hyperlink"/>
            <w:rFonts w:cstheme="minorHAnsi"/>
          </w:rPr>
          <w:t>https://www.journals.uchicago.edu/doi/pdf/10.1086/453802</w:t>
        </w:r>
      </w:hyperlink>
      <w:r w:rsidRPr="0010738B">
        <w:rPr>
          <w:rFonts w:cstheme="minorHAnsi"/>
        </w:rPr>
        <w:t xml:space="preserve"> (Accessed: 23 April 2026).</w:t>
      </w:r>
    </w:p>
    <w:p w14:paraId="7FE6215C" w14:textId="77777777" w:rsidR="00D167F2" w:rsidRPr="0010738B" w:rsidRDefault="00D167F2" w:rsidP="0010738B">
      <w:pPr>
        <w:spacing w:line="360" w:lineRule="auto"/>
        <w:rPr>
          <w:rFonts w:cstheme="minorHAnsi"/>
        </w:rPr>
      </w:pPr>
    </w:p>
    <w:p w14:paraId="391D0BBA" w14:textId="77777777" w:rsidR="00D167F2" w:rsidRPr="0010738B" w:rsidRDefault="00D167F2" w:rsidP="0010738B">
      <w:pPr>
        <w:spacing w:line="360" w:lineRule="auto"/>
        <w:rPr>
          <w:rFonts w:cstheme="minorHAnsi"/>
        </w:rPr>
      </w:pPr>
      <w:r w:rsidRPr="0010738B">
        <w:rPr>
          <w:rFonts w:cstheme="minorHAnsi"/>
        </w:rPr>
        <w:t xml:space="preserve">Hoskins, K. and Smedley, S. (2018) </w:t>
      </w:r>
      <w:r w:rsidRPr="0010738B">
        <w:rPr>
          <w:rFonts w:cstheme="minorHAnsi"/>
          <w:i/>
          <w:iCs/>
        </w:rPr>
        <w:t>Enacting Froebelian principles in practice: Understanding and challenges</w:t>
      </w:r>
      <w:r w:rsidRPr="0010738B">
        <w:rPr>
          <w:rFonts w:cstheme="minorHAnsi"/>
        </w:rPr>
        <w:t xml:space="preserve">. Available at: </w:t>
      </w:r>
      <w:hyperlink r:id="rId23" w:tgtFrame="_new" w:history="1">
        <w:r w:rsidRPr="0010738B">
          <w:rPr>
            <w:rStyle w:val="Hyperlink"/>
            <w:rFonts w:cstheme="minorHAnsi"/>
          </w:rPr>
          <w:t>https://www.froebel.org.uk/research-library/enacting-froebelian-principles-in-practice</w:t>
        </w:r>
      </w:hyperlink>
      <w:r w:rsidRPr="0010738B">
        <w:rPr>
          <w:rFonts w:cstheme="minorHAnsi"/>
        </w:rPr>
        <w:t xml:space="preserve"> (Accessed: 2 May 2026).</w:t>
      </w:r>
    </w:p>
    <w:p w14:paraId="56195F39" w14:textId="77777777" w:rsidR="00B85824" w:rsidRPr="0010738B" w:rsidRDefault="00B85824" w:rsidP="0010738B">
      <w:pPr>
        <w:spacing w:line="360" w:lineRule="auto"/>
        <w:rPr>
          <w:rFonts w:cstheme="minorHAnsi"/>
        </w:rPr>
      </w:pPr>
    </w:p>
    <w:p w14:paraId="73CB79AF" w14:textId="1A918AEB" w:rsidR="00B85824" w:rsidRPr="0010738B" w:rsidRDefault="00B85824" w:rsidP="0010738B">
      <w:pPr>
        <w:spacing w:line="360" w:lineRule="auto"/>
        <w:rPr>
          <w:rFonts w:cstheme="minorHAnsi"/>
        </w:rPr>
      </w:pPr>
      <w:r w:rsidRPr="0010738B">
        <w:rPr>
          <w:rFonts w:cstheme="minorHAnsi"/>
        </w:rPr>
        <w:t>Hoskins, K. and Smedley, S. (2019) ‘Protecting and extending Froebelian principles in practice: Exploring the importance of learning through play.’ </w:t>
      </w:r>
      <w:r w:rsidRPr="0010738B">
        <w:rPr>
          <w:rFonts w:cstheme="minorHAnsi"/>
          <w:i/>
          <w:iCs/>
        </w:rPr>
        <w:t>Journal of Early Childhood Research</w:t>
      </w:r>
      <w:r w:rsidRPr="0010738B">
        <w:rPr>
          <w:rFonts w:cstheme="minorHAnsi"/>
        </w:rPr>
        <w:t>, </w:t>
      </w:r>
      <w:r w:rsidRPr="0010738B">
        <w:rPr>
          <w:rFonts w:cstheme="minorHAnsi"/>
          <w:i/>
          <w:iCs/>
        </w:rPr>
        <w:t>17</w:t>
      </w:r>
      <w:r w:rsidRPr="0010738B">
        <w:rPr>
          <w:rFonts w:cstheme="minorHAnsi"/>
        </w:rPr>
        <w:t xml:space="preserve">(2), pp.73-87. Available at: </w:t>
      </w:r>
      <w:hyperlink r:id="rId24" w:history="1">
        <w:r w:rsidRPr="0010738B">
          <w:rPr>
            <w:rStyle w:val="Hyperlink"/>
            <w:rFonts w:cstheme="minorHAnsi"/>
          </w:rPr>
          <w:t>https://journals.sagepub.com/doi/10.1177/1476718X18809114</w:t>
        </w:r>
      </w:hyperlink>
      <w:r w:rsidRPr="0010738B">
        <w:rPr>
          <w:rFonts w:cstheme="minorHAnsi"/>
        </w:rPr>
        <w:t xml:space="preserve"> (Accessed: 29 April 2026).</w:t>
      </w:r>
    </w:p>
    <w:p w14:paraId="572C47AA" w14:textId="77777777" w:rsidR="00EA1588" w:rsidRPr="0010738B" w:rsidRDefault="00EA1588" w:rsidP="0010738B">
      <w:pPr>
        <w:spacing w:line="360" w:lineRule="auto"/>
        <w:rPr>
          <w:rFonts w:cstheme="minorHAnsi"/>
        </w:rPr>
      </w:pPr>
    </w:p>
    <w:p w14:paraId="34258507" w14:textId="629EBD2F" w:rsidR="00AE435E" w:rsidRPr="0010738B" w:rsidRDefault="00AE435E" w:rsidP="0010738B">
      <w:pPr>
        <w:spacing w:line="360" w:lineRule="auto"/>
        <w:rPr>
          <w:rFonts w:cstheme="minorHAnsi"/>
        </w:rPr>
      </w:pPr>
      <w:r w:rsidRPr="0010738B">
        <w:rPr>
          <w:rFonts w:cstheme="minorHAnsi"/>
        </w:rPr>
        <w:lastRenderedPageBreak/>
        <w:t xml:space="preserve">Howlett, J. (2021) ‘Friedrich Froebel. A Critical Introduction to Key Themes and Debates Tina Bruce Bloomsbury Academic, 2021’ </w:t>
      </w:r>
      <w:r w:rsidRPr="0010738B">
        <w:rPr>
          <w:rFonts w:cstheme="minorHAnsi"/>
          <w:i/>
          <w:iCs/>
        </w:rPr>
        <w:t>Curriculum journal (London, England)</w:t>
      </w:r>
      <w:r w:rsidRPr="0010738B">
        <w:rPr>
          <w:rFonts w:cstheme="minorHAnsi"/>
        </w:rPr>
        <w:t>. London: John Wiley &amp; Sons, Inc, </w:t>
      </w:r>
    </w:p>
    <w:p w14:paraId="34DA5DA1" w14:textId="77777777" w:rsidR="00202448" w:rsidRPr="0010738B" w:rsidRDefault="00202448" w:rsidP="0010738B">
      <w:pPr>
        <w:spacing w:line="360" w:lineRule="auto"/>
        <w:rPr>
          <w:rFonts w:cstheme="minorHAnsi"/>
        </w:rPr>
      </w:pPr>
    </w:p>
    <w:p w14:paraId="44C375F7" w14:textId="21D9DEAE" w:rsidR="00202448" w:rsidRPr="0010738B" w:rsidRDefault="00202448" w:rsidP="0010738B">
      <w:pPr>
        <w:spacing w:line="360" w:lineRule="auto"/>
        <w:rPr>
          <w:rFonts w:cstheme="minorHAnsi"/>
        </w:rPr>
      </w:pPr>
      <w:r w:rsidRPr="0010738B">
        <w:rPr>
          <w:rFonts w:cstheme="minorHAnsi"/>
        </w:rPr>
        <w:t xml:space="preserve">Hunter, M. (2024) </w:t>
      </w:r>
      <w:r w:rsidRPr="0010738B">
        <w:rPr>
          <w:rFonts w:cstheme="minorHAnsi"/>
          <w:i/>
          <w:iCs/>
        </w:rPr>
        <w:t xml:space="preserve">Gifts and occupations - a Froebelian dilema? </w:t>
      </w:r>
      <w:r w:rsidRPr="0010738B">
        <w:rPr>
          <w:rFonts w:cstheme="minorHAnsi"/>
        </w:rPr>
        <w:t xml:space="preserve">Available at: </w:t>
      </w:r>
      <w:hyperlink r:id="rId25" w:history="1">
        <w:r w:rsidRPr="0010738B">
          <w:rPr>
            <w:rStyle w:val="Hyperlink"/>
            <w:rFonts w:cstheme="minorHAnsi"/>
          </w:rPr>
          <w:t>https://www.froebelnetwork.org.uk/blog/gifts-and-occupations-a-froebelian-dilema</w:t>
        </w:r>
      </w:hyperlink>
      <w:r w:rsidRPr="0010738B">
        <w:rPr>
          <w:rFonts w:cstheme="minorHAnsi"/>
        </w:rPr>
        <w:t xml:space="preserve"> (Accessed: 29 April 2026).</w:t>
      </w:r>
    </w:p>
    <w:p w14:paraId="78405FA6" w14:textId="77777777" w:rsidR="007575A8" w:rsidRPr="0010738B" w:rsidRDefault="007575A8" w:rsidP="0010738B">
      <w:pPr>
        <w:spacing w:line="360" w:lineRule="auto"/>
        <w:rPr>
          <w:rFonts w:cstheme="minorHAnsi"/>
        </w:rPr>
      </w:pPr>
    </w:p>
    <w:p w14:paraId="68D043F9" w14:textId="3ABEBD49" w:rsidR="007575A8" w:rsidRPr="0010738B" w:rsidRDefault="007575A8" w:rsidP="0010738B">
      <w:pPr>
        <w:spacing w:line="360" w:lineRule="auto"/>
        <w:rPr>
          <w:rFonts w:cstheme="minorHAnsi"/>
        </w:rPr>
      </w:pPr>
      <w:r w:rsidRPr="0010738B">
        <w:rPr>
          <w:rFonts w:cstheme="minorHAnsi"/>
        </w:rPr>
        <w:t xml:space="preserve">Jarvis, P., Swiniarski, L., and Holland, W. (2016) </w:t>
      </w:r>
      <w:r w:rsidRPr="0010738B">
        <w:rPr>
          <w:rFonts w:cstheme="minorHAnsi"/>
          <w:i/>
          <w:iCs/>
        </w:rPr>
        <w:t xml:space="preserve">Early Years Pioneers in Context: Their lives, lasting influence and impact on practice today. </w:t>
      </w:r>
      <w:r w:rsidRPr="0010738B">
        <w:rPr>
          <w:rFonts w:cstheme="minorHAnsi"/>
        </w:rPr>
        <w:t>London: Routledge.</w:t>
      </w:r>
    </w:p>
    <w:p w14:paraId="484543AD" w14:textId="77777777" w:rsidR="00083925" w:rsidRPr="0010738B" w:rsidRDefault="00083925" w:rsidP="0010738B">
      <w:pPr>
        <w:spacing w:line="360" w:lineRule="auto"/>
        <w:rPr>
          <w:rFonts w:cstheme="minorHAnsi"/>
        </w:rPr>
      </w:pPr>
    </w:p>
    <w:p w14:paraId="15CA8E03" w14:textId="6B1FC713" w:rsidR="00083925" w:rsidRPr="0010738B" w:rsidRDefault="00083925" w:rsidP="0010738B">
      <w:pPr>
        <w:spacing w:line="360" w:lineRule="auto"/>
        <w:rPr>
          <w:rFonts w:cstheme="minorHAnsi"/>
        </w:rPr>
      </w:pPr>
      <w:r w:rsidRPr="0010738B">
        <w:rPr>
          <w:rFonts w:cstheme="minorHAnsi"/>
        </w:rPr>
        <w:t xml:space="preserve">Lyu, Y. and McNair, L. (2026) </w:t>
      </w:r>
      <w:r w:rsidR="0010738B" w:rsidRPr="0010738B">
        <w:rPr>
          <w:rFonts w:cstheme="minorHAnsi"/>
        </w:rPr>
        <w:t>‘</w:t>
      </w:r>
      <w:r w:rsidRPr="0010738B">
        <w:rPr>
          <w:rFonts w:cstheme="minorHAnsi"/>
        </w:rPr>
        <w:t xml:space="preserve">Bridging Froebel and AI: reconceptualizing play pedagogy in </w:t>
      </w:r>
      <w:r w:rsidR="00234D27" w:rsidRPr="0010738B">
        <w:rPr>
          <w:rFonts w:cstheme="minorHAnsi"/>
        </w:rPr>
        <w:t>Chinese</w:t>
      </w:r>
      <w:r w:rsidRPr="0010738B">
        <w:rPr>
          <w:rFonts w:cstheme="minorHAnsi"/>
        </w:rPr>
        <w:t xml:space="preserve"> context.</w:t>
      </w:r>
      <w:r w:rsidR="0010738B" w:rsidRPr="0010738B">
        <w:rPr>
          <w:rFonts w:cstheme="minorHAnsi"/>
        </w:rPr>
        <w:t>’</w:t>
      </w:r>
      <w:r w:rsidRPr="0010738B">
        <w:rPr>
          <w:rFonts w:cstheme="minorHAnsi"/>
        </w:rPr>
        <w:t> </w:t>
      </w:r>
      <w:r w:rsidRPr="0010738B">
        <w:rPr>
          <w:rFonts w:cstheme="minorHAnsi"/>
          <w:i/>
          <w:iCs/>
        </w:rPr>
        <w:t>Education Sciences</w:t>
      </w:r>
      <w:r w:rsidRPr="0010738B">
        <w:rPr>
          <w:rFonts w:cstheme="minorHAnsi"/>
        </w:rPr>
        <w:t>, </w:t>
      </w:r>
      <w:r w:rsidRPr="0010738B">
        <w:rPr>
          <w:rFonts w:cstheme="minorHAnsi"/>
          <w:i/>
          <w:iCs/>
        </w:rPr>
        <w:t>16</w:t>
      </w:r>
      <w:r w:rsidRPr="0010738B">
        <w:rPr>
          <w:rFonts w:cstheme="minorHAnsi"/>
        </w:rPr>
        <w:t>(3), pp</w:t>
      </w:r>
      <w:r w:rsidR="00EA1588" w:rsidRPr="0010738B">
        <w:rPr>
          <w:rFonts w:cstheme="minorHAnsi"/>
        </w:rPr>
        <w:t>.</w:t>
      </w:r>
      <w:r w:rsidRPr="0010738B">
        <w:rPr>
          <w:rFonts w:cstheme="minorHAnsi"/>
        </w:rPr>
        <w:t xml:space="preserve">390. Available at: </w:t>
      </w:r>
      <w:hyperlink r:id="rId26" w:history="1">
        <w:r w:rsidRPr="0010738B">
          <w:rPr>
            <w:rStyle w:val="Hyperlink"/>
            <w:rFonts w:cstheme="minorHAnsi"/>
          </w:rPr>
          <w:t>https://www.mdpi.com/2227-7102/16/3/390?utm_source=chatgpt.com</w:t>
        </w:r>
      </w:hyperlink>
      <w:r w:rsidRPr="0010738B">
        <w:rPr>
          <w:rFonts w:cstheme="minorHAnsi"/>
        </w:rPr>
        <w:t xml:space="preserve"> (Accessed: 23 April 2026).</w:t>
      </w:r>
    </w:p>
    <w:p w14:paraId="4D41CF2C" w14:textId="77777777" w:rsidR="00D87E53" w:rsidRPr="0010738B" w:rsidRDefault="00D87E53" w:rsidP="0010738B">
      <w:pPr>
        <w:spacing w:line="360" w:lineRule="auto"/>
        <w:rPr>
          <w:rFonts w:cstheme="minorHAnsi"/>
        </w:rPr>
      </w:pPr>
    </w:p>
    <w:p w14:paraId="03D180B5" w14:textId="1E729A94" w:rsidR="00D87E53" w:rsidRPr="0010738B" w:rsidRDefault="00D87E53" w:rsidP="0010738B">
      <w:pPr>
        <w:spacing w:line="360" w:lineRule="auto"/>
        <w:rPr>
          <w:rFonts w:cstheme="minorHAnsi"/>
        </w:rPr>
      </w:pPr>
      <w:r w:rsidRPr="0010738B">
        <w:rPr>
          <w:rFonts w:cstheme="minorHAnsi"/>
        </w:rPr>
        <w:t>M</w:t>
      </w:r>
      <w:r w:rsidR="00FF773F" w:rsidRPr="0010738B">
        <w:rPr>
          <w:rFonts w:cstheme="minorHAnsi"/>
        </w:rPr>
        <w:t xml:space="preserve">cNair, L. (2021) </w:t>
      </w:r>
      <w:r w:rsidR="00FF773F" w:rsidRPr="0010738B">
        <w:rPr>
          <w:rFonts w:cstheme="minorHAnsi"/>
          <w:i/>
          <w:iCs/>
        </w:rPr>
        <w:t>The power of digital play.</w:t>
      </w:r>
      <w:r w:rsidR="00FF773F" w:rsidRPr="0010738B">
        <w:rPr>
          <w:rFonts w:cstheme="minorHAnsi"/>
        </w:rPr>
        <w:t xml:space="preserve"> Available at: </w:t>
      </w:r>
      <w:hyperlink r:id="rId27" w:history="1">
        <w:r w:rsidR="00FF773F" w:rsidRPr="0010738B">
          <w:rPr>
            <w:rStyle w:val="Hyperlink"/>
            <w:rFonts w:cstheme="minorHAnsi"/>
          </w:rPr>
          <w:t>https://www.froebel.org.uk/about-us/the-power-of-play/digital-play</w:t>
        </w:r>
      </w:hyperlink>
      <w:r w:rsidR="00FF773F" w:rsidRPr="0010738B">
        <w:rPr>
          <w:rFonts w:cstheme="minorHAnsi"/>
        </w:rPr>
        <w:t xml:space="preserve"> (Accessed: 28 April 2026).</w:t>
      </w:r>
    </w:p>
    <w:p w14:paraId="7EBC2713" w14:textId="77777777" w:rsidR="00A033DD" w:rsidRPr="0010738B" w:rsidRDefault="00A033DD" w:rsidP="0010738B">
      <w:pPr>
        <w:spacing w:line="360" w:lineRule="auto"/>
        <w:rPr>
          <w:rFonts w:cstheme="minorHAnsi"/>
        </w:rPr>
      </w:pPr>
    </w:p>
    <w:p w14:paraId="314742DA" w14:textId="36756929" w:rsidR="00A033DD" w:rsidRPr="005C2DBA" w:rsidRDefault="00A033DD" w:rsidP="0010738B">
      <w:pPr>
        <w:spacing w:line="360" w:lineRule="auto"/>
        <w:rPr>
          <w:rFonts w:cstheme="minorHAnsi"/>
        </w:rPr>
      </w:pPr>
      <w:r w:rsidRPr="005C2DBA">
        <w:rPr>
          <w:rFonts w:cstheme="minorHAnsi"/>
        </w:rPr>
        <w:t xml:space="preserve">Moss, P. (2014) </w:t>
      </w:r>
      <w:r w:rsidRPr="005C2DBA">
        <w:rPr>
          <w:rFonts w:cstheme="minorHAnsi"/>
          <w:i/>
          <w:iCs/>
        </w:rPr>
        <w:t xml:space="preserve">Transformative </w:t>
      </w:r>
      <w:r w:rsidR="0010738B" w:rsidRPr="0010738B">
        <w:rPr>
          <w:rFonts w:cstheme="minorHAnsi"/>
          <w:i/>
          <w:iCs/>
        </w:rPr>
        <w:t>c</w:t>
      </w:r>
      <w:r w:rsidRPr="005C2DBA">
        <w:rPr>
          <w:rFonts w:cstheme="minorHAnsi"/>
          <w:i/>
          <w:iCs/>
        </w:rPr>
        <w:t xml:space="preserve">hange and </w:t>
      </w:r>
      <w:r w:rsidR="0010738B" w:rsidRPr="0010738B">
        <w:rPr>
          <w:rFonts w:cstheme="minorHAnsi"/>
          <w:i/>
          <w:iCs/>
        </w:rPr>
        <w:t>r</w:t>
      </w:r>
      <w:r w:rsidRPr="005C2DBA">
        <w:rPr>
          <w:rFonts w:cstheme="minorHAnsi"/>
          <w:i/>
          <w:iCs/>
        </w:rPr>
        <w:t xml:space="preserve">eal </w:t>
      </w:r>
      <w:r w:rsidR="0010738B" w:rsidRPr="0010738B">
        <w:rPr>
          <w:rFonts w:cstheme="minorHAnsi"/>
          <w:i/>
          <w:iCs/>
        </w:rPr>
        <w:t>u</w:t>
      </w:r>
      <w:r w:rsidRPr="005C2DBA">
        <w:rPr>
          <w:rFonts w:cstheme="minorHAnsi"/>
          <w:i/>
          <w:iCs/>
        </w:rPr>
        <w:t xml:space="preserve">topias in </w:t>
      </w:r>
      <w:r w:rsidR="0010738B" w:rsidRPr="0010738B">
        <w:rPr>
          <w:rFonts w:cstheme="minorHAnsi"/>
          <w:i/>
          <w:iCs/>
        </w:rPr>
        <w:t>e</w:t>
      </w:r>
      <w:r w:rsidRPr="005C2DBA">
        <w:rPr>
          <w:rFonts w:cstheme="minorHAnsi"/>
          <w:i/>
          <w:iCs/>
        </w:rPr>
        <w:t xml:space="preserve">arly </w:t>
      </w:r>
      <w:r w:rsidR="0010738B" w:rsidRPr="0010738B">
        <w:rPr>
          <w:rFonts w:cstheme="minorHAnsi"/>
          <w:i/>
          <w:iCs/>
        </w:rPr>
        <w:t>c</w:t>
      </w:r>
      <w:r w:rsidRPr="005C2DBA">
        <w:rPr>
          <w:rFonts w:cstheme="minorHAnsi"/>
          <w:i/>
          <w:iCs/>
        </w:rPr>
        <w:t xml:space="preserve">hildhood </w:t>
      </w:r>
      <w:r w:rsidR="0010738B" w:rsidRPr="0010738B">
        <w:rPr>
          <w:rFonts w:cstheme="minorHAnsi"/>
          <w:i/>
          <w:iCs/>
        </w:rPr>
        <w:t>e</w:t>
      </w:r>
      <w:r w:rsidRPr="005C2DBA">
        <w:rPr>
          <w:rFonts w:cstheme="minorHAnsi"/>
          <w:i/>
          <w:iCs/>
        </w:rPr>
        <w:t>ducation</w:t>
      </w:r>
      <w:r w:rsidRPr="005C2DBA">
        <w:rPr>
          <w:rFonts w:cstheme="minorHAnsi"/>
        </w:rPr>
        <w:t>. London: Routledge.</w:t>
      </w:r>
    </w:p>
    <w:p w14:paraId="2D18B127" w14:textId="77777777" w:rsidR="00A033DD" w:rsidRPr="0010738B" w:rsidRDefault="00A033DD" w:rsidP="0010738B">
      <w:pPr>
        <w:spacing w:line="360" w:lineRule="auto"/>
        <w:rPr>
          <w:rFonts w:cstheme="minorHAnsi"/>
        </w:rPr>
      </w:pPr>
    </w:p>
    <w:p w14:paraId="7985A641" w14:textId="3C51F2FD" w:rsidR="00993776" w:rsidRPr="0010738B" w:rsidRDefault="00993776" w:rsidP="0010738B">
      <w:pPr>
        <w:spacing w:line="360" w:lineRule="auto"/>
        <w:rPr>
          <w:rFonts w:cstheme="minorHAnsi"/>
        </w:rPr>
      </w:pPr>
      <w:r w:rsidRPr="0010738B">
        <w:rPr>
          <w:rFonts w:cstheme="minorHAnsi"/>
        </w:rPr>
        <w:t xml:space="preserve">Partridge, I. (2024) </w:t>
      </w:r>
      <w:r w:rsidRPr="0010738B">
        <w:rPr>
          <w:rFonts w:cstheme="minorHAnsi"/>
          <w:i/>
          <w:iCs/>
        </w:rPr>
        <w:t>Why the early years matter: unlocking potential through play</w:t>
      </w:r>
      <w:r w:rsidRPr="0010738B">
        <w:rPr>
          <w:rFonts w:cstheme="minorHAnsi"/>
        </w:rPr>
        <w:t xml:space="preserve">. Available at: </w:t>
      </w:r>
      <w:hyperlink r:id="rId28" w:history="1">
        <w:r w:rsidRPr="0010738B">
          <w:rPr>
            <w:rStyle w:val="Hyperlink"/>
            <w:rFonts w:cstheme="minorHAnsi"/>
          </w:rPr>
          <w:t>https://www.savethechildren.org.uk/blogs/2024/why-early-years-matter-unlocking-potential-through-play</w:t>
        </w:r>
      </w:hyperlink>
      <w:r w:rsidRPr="0010738B">
        <w:rPr>
          <w:rFonts w:cstheme="minorHAnsi"/>
        </w:rPr>
        <w:t xml:space="preserve"> (Accessed: 21 April 2026).</w:t>
      </w:r>
    </w:p>
    <w:p w14:paraId="4C3149AE" w14:textId="77777777" w:rsidR="0050774E" w:rsidRPr="0010738B" w:rsidRDefault="0050774E" w:rsidP="0010738B">
      <w:pPr>
        <w:spacing w:line="360" w:lineRule="auto"/>
        <w:rPr>
          <w:rFonts w:cstheme="minorHAnsi"/>
        </w:rPr>
      </w:pPr>
    </w:p>
    <w:p w14:paraId="6A90DE8F" w14:textId="57FB9FB9" w:rsidR="0050774E" w:rsidRPr="0010738B" w:rsidRDefault="0050774E" w:rsidP="0010738B">
      <w:pPr>
        <w:spacing w:line="360" w:lineRule="auto"/>
        <w:rPr>
          <w:rFonts w:cstheme="minorHAnsi"/>
        </w:rPr>
      </w:pPr>
      <w:r w:rsidRPr="0010738B">
        <w:rPr>
          <w:rFonts w:cstheme="minorHAnsi"/>
        </w:rPr>
        <w:t>Rose, M. (2022)</w:t>
      </w:r>
      <w:r w:rsidR="007575A8" w:rsidRPr="0010738B">
        <w:rPr>
          <w:rFonts w:cstheme="minorHAnsi"/>
        </w:rPr>
        <w:t xml:space="preserve"> </w:t>
      </w:r>
      <w:r w:rsidR="007575A8" w:rsidRPr="0010738B">
        <w:rPr>
          <w:rFonts w:cstheme="minorHAnsi"/>
          <w:i/>
          <w:iCs/>
        </w:rPr>
        <w:t>Frederick Froebel</w:t>
      </w:r>
      <w:r w:rsidR="007575A8" w:rsidRPr="0010738B">
        <w:rPr>
          <w:rFonts w:cstheme="minorHAnsi"/>
        </w:rPr>
        <w:t xml:space="preserve"> cited in Bradbury, A. and Swailes, R. (2022) </w:t>
      </w:r>
      <w:r w:rsidR="007575A8" w:rsidRPr="0010738B">
        <w:rPr>
          <w:rFonts w:cstheme="minorHAnsi"/>
          <w:i/>
          <w:iCs/>
        </w:rPr>
        <w:t>Early childhood theories today</w:t>
      </w:r>
      <w:r w:rsidR="007575A8" w:rsidRPr="0010738B">
        <w:rPr>
          <w:rFonts w:cstheme="minorHAnsi"/>
        </w:rPr>
        <w:t>. London: Sage.</w:t>
      </w:r>
    </w:p>
    <w:p w14:paraId="66D32AD2" w14:textId="77777777" w:rsidR="00F93275" w:rsidRPr="0010738B" w:rsidRDefault="00F93275" w:rsidP="0010738B">
      <w:pPr>
        <w:spacing w:line="360" w:lineRule="auto"/>
        <w:rPr>
          <w:rFonts w:cstheme="minorHAnsi"/>
        </w:rPr>
      </w:pPr>
    </w:p>
    <w:p w14:paraId="414EBC60" w14:textId="77777777" w:rsidR="0010738B" w:rsidRDefault="0010738B" w:rsidP="0010738B">
      <w:pPr>
        <w:pStyle w:val="CommentText"/>
        <w:spacing w:after="0" w:line="360" w:lineRule="auto"/>
        <w:ind w:right="624"/>
        <w:rPr>
          <w:rFonts w:asciiTheme="minorHAnsi" w:hAnsiTheme="minorHAnsi" w:cstheme="minorHAnsi"/>
        </w:rPr>
      </w:pPr>
    </w:p>
    <w:p w14:paraId="00023FE0" w14:textId="35600FE6" w:rsidR="00F93275" w:rsidRPr="0010738B" w:rsidRDefault="00F93275" w:rsidP="0010738B">
      <w:pPr>
        <w:pStyle w:val="CommentText"/>
        <w:spacing w:after="0" w:line="360" w:lineRule="auto"/>
        <w:ind w:right="624"/>
        <w:rPr>
          <w:rFonts w:asciiTheme="minorHAnsi" w:hAnsiTheme="minorHAnsi" w:cstheme="minorHAnsi"/>
        </w:rPr>
      </w:pPr>
      <w:r w:rsidRPr="0010738B">
        <w:rPr>
          <w:rFonts w:asciiTheme="minorHAnsi" w:hAnsiTheme="minorHAnsi" w:cstheme="minorHAnsi"/>
        </w:rPr>
        <w:lastRenderedPageBreak/>
        <w:t xml:space="preserve">Smedley, S. and Hoskins, K. (2018) </w:t>
      </w:r>
      <w:r w:rsidR="0010738B" w:rsidRPr="0010738B">
        <w:rPr>
          <w:rFonts w:asciiTheme="minorHAnsi" w:hAnsiTheme="minorHAnsi" w:cstheme="minorHAnsi"/>
        </w:rPr>
        <w:t>‘</w:t>
      </w:r>
      <w:r w:rsidRPr="0010738B">
        <w:rPr>
          <w:rFonts w:asciiTheme="minorHAnsi" w:hAnsiTheme="minorHAnsi" w:cstheme="minorHAnsi"/>
        </w:rPr>
        <w:t>Finding a place for Froebel’s theories: early years practitioners’ understanding and enactment of learning through play.</w:t>
      </w:r>
      <w:r w:rsidR="0010738B" w:rsidRPr="0010738B">
        <w:rPr>
          <w:rFonts w:asciiTheme="minorHAnsi" w:hAnsiTheme="minorHAnsi" w:cstheme="minorHAnsi"/>
        </w:rPr>
        <w:t>’</w:t>
      </w:r>
      <w:r w:rsidRPr="0010738B">
        <w:rPr>
          <w:rFonts w:asciiTheme="minorHAnsi" w:hAnsiTheme="minorHAnsi" w:cstheme="minorHAnsi"/>
        </w:rPr>
        <w:t xml:space="preserve"> </w:t>
      </w:r>
      <w:r w:rsidRPr="0010738B">
        <w:rPr>
          <w:rFonts w:asciiTheme="minorHAnsi" w:hAnsiTheme="minorHAnsi" w:cstheme="minorHAnsi"/>
          <w:i/>
          <w:iCs/>
        </w:rPr>
        <w:t>Early Child Development and Care</w:t>
      </w:r>
      <w:r w:rsidRPr="0010738B">
        <w:rPr>
          <w:rFonts w:asciiTheme="minorHAnsi" w:hAnsiTheme="minorHAnsi" w:cstheme="minorHAnsi"/>
        </w:rPr>
        <w:t xml:space="preserve"> (190), pp</w:t>
      </w:r>
      <w:r w:rsidR="00EA1588" w:rsidRPr="0010738B">
        <w:rPr>
          <w:rFonts w:asciiTheme="minorHAnsi" w:hAnsiTheme="minorHAnsi" w:cstheme="minorHAnsi"/>
        </w:rPr>
        <w:t>.</w:t>
      </w:r>
      <w:r w:rsidRPr="0010738B">
        <w:rPr>
          <w:rFonts w:asciiTheme="minorHAnsi" w:hAnsiTheme="minorHAnsi" w:cstheme="minorHAnsi"/>
        </w:rPr>
        <w:t xml:space="preserve">1-13. Available at: </w:t>
      </w:r>
      <w:hyperlink r:id="rId29" w:history="1">
        <w:r w:rsidRPr="0010738B">
          <w:rPr>
            <w:rStyle w:val="Hyperlink"/>
            <w:rFonts w:asciiTheme="minorHAnsi" w:hAnsiTheme="minorHAnsi" w:cstheme="minorHAnsi"/>
          </w:rPr>
          <w:t>https://www.researchgate.net/publication/327937914_Finding_a_place_for_Froebel's_theories_early_years_practitioners'_understanding_and_enactment_of_learning_through_play</w:t>
        </w:r>
      </w:hyperlink>
      <w:r w:rsidRPr="0010738B">
        <w:rPr>
          <w:rFonts w:asciiTheme="minorHAnsi" w:hAnsiTheme="minorHAnsi" w:cstheme="minorHAnsi"/>
        </w:rPr>
        <w:t xml:space="preserve"> (Accessed: 21 April 2026).</w:t>
      </w:r>
    </w:p>
    <w:p w14:paraId="1E1E3487" w14:textId="77777777" w:rsidR="002535D5" w:rsidRPr="0010738B" w:rsidRDefault="002535D5" w:rsidP="0010738B">
      <w:pPr>
        <w:pStyle w:val="CommentText"/>
        <w:spacing w:after="0" w:line="360" w:lineRule="auto"/>
        <w:ind w:right="624"/>
        <w:rPr>
          <w:rFonts w:asciiTheme="minorHAnsi" w:hAnsiTheme="minorHAnsi" w:cstheme="minorHAnsi"/>
        </w:rPr>
      </w:pPr>
    </w:p>
    <w:p w14:paraId="1ACA845B" w14:textId="537003E6" w:rsidR="002535D5" w:rsidRPr="0010738B" w:rsidRDefault="002535D5" w:rsidP="0010738B">
      <w:pPr>
        <w:pStyle w:val="CommentText"/>
        <w:spacing w:after="0" w:line="360" w:lineRule="auto"/>
        <w:ind w:right="624"/>
        <w:rPr>
          <w:rFonts w:asciiTheme="minorHAnsi" w:eastAsia="Times New Roman" w:hAnsiTheme="minorHAnsi" w:cstheme="minorHAnsi"/>
          <w:lang w:val="en-GB"/>
        </w:rPr>
      </w:pPr>
      <w:r w:rsidRPr="0010738B">
        <w:rPr>
          <w:rFonts w:asciiTheme="minorHAnsi" w:eastAsia="Times New Roman" w:hAnsiTheme="minorHAnsi" w:cstheme="minorHAnsi"/>
          <w:lang w:val="en-GB"/>
        </w:rPr>
        <w:t xml:space="preserve">Tembo, S. and Bateson, S. (2024) </w:t>
      </w:r>
      <w:r w:rsidRPr="0010738B">
        <w:rPr>
          <w:rFonts w:asciiTheme="minorHAnsi" w:eastAsia="Times New Roman" w:hAnsiTheme="minorHAnsi" w:cstheme="minorHAnsi"/>
          <w:i/>
          <w:iCs/>
          <w:lang w:val="en-GB"/>
        </w:rPr>
        <w:t>Before race: A literature review on de/colonial habits in play within early childhood</w:t>
      </w:r>
      <w:r w:rsidRPr="0010738B">
        <w:rPr>
          <w:rFonts w:asciiTheme="minorHAnsi" w:eastAsia="Times New Roman" w:hAnsiTheme="minorHAnsi" w:cstheme="minorHAnsi"/>
          <w:lang w:val="en-GB"/>
        </w:rPr>
        <w:t xml:space="preserve">. Available at: </w:t>
      </w:r>
      <w:hyperlink r:id="rId30" w:tgtFrame="_new" w:history="1">
        <w:r w:rsidRPr="0010738B">
          <w:rPr>
            <w:rStyle w:val="Hyperlink"/>
            <w:rFonts w:asciiTheme="minorHAnsi" w:eastAsia="Times New Roman" w:hAnsiTheme="minorHAnsi" w:cstheme="minorHAnsi"/>
            <w:lang w:val="en-GB"/>
          </w:rPr>
          <w:t>https://journals.sagepub.com/doi/10.1177/1476718X241241142</w:t>
        </w:r>
      </w:hyperlink>
      <w:r w:rsidRPr="0010738B">
        <w:rPr>
          <w:rFonts w:asciiTheme="minorHAnsi" w:eastAsia="Times New Roman" w:hAnsiTheme="minorHAnsi" w:cstheme="minorHAnsi"/>
          <w:lang w:val="en-GB"/>
        </w:rPr>
        <w:t xml:space="preserve"> (Accessed: 23 April 2026).</w:t>
      </w:r>
    </w:p>
    <w:p w14:paraId="2682799A" w14:textId="77777777" w:rsidR="00D167F2" w:rsidRPr="0010738B" w:rsidRDefault="00D167F2" w:rsidP="0010738B">
      <w:pPr>
        <w:pStyle w:val="CommentText"/>
        <w:spacing w:after="0" w:line="360" w:lineRule="auto"/>
        <w:ind w:right="624"/>
        <w:rPr>
          <w:rFonts w:asciiTheme="minorHAnsi" w:eastAsia="Times New Roman" w:hAnsiTheme="minorHAnsi" w:cstheme="minorHAnsi"/>
          <w:lang w:val="en-GB"/>
        </w:rPr>
      </w:pPr>
    </w:p>
    <w:p w14:paraId="36D396D5" w14:textId="77777777" w:rsidR="00D167F2" w:rsidRPr="0010738B" w:rsidRDefault="00D167F2" w:rsidP="0010738B">
      <w:pPr>
        <w:spacing w:line="360" w:lineRule="auto"/>
        <w:rPr>
          <w:rFonts w:cstheme="minorHAnsi"/>
        </w:rPr>
      </w:pPr>
      <w:r w:rsidRPr="0010738B">
        <w:rPr>
          <w:rFonts w:cstheme="minorHAnsi"/>
        </w:rPr>
        <w:t xml:space="preserve">Tovey, H. (2020) </w:t>
      </w:r>
      <w:r w:rsidRPr="0010738B">
        <w:rPr>
          <w:rFonts w:cstheme="minorHAnsi"/>
          <w:i/>
          <w:iCs/>
        </w:rPr>
        <w:t>Bringing the Froebel Approach to Your Early Years Practice</w:t>
      </w:r>
      <w:r w:rsidRPr="0010738B">
        <w:rPr>
          <w:rFonts w:cstheme="minorHAnsi"/>
        </w:rPr>
        <w:t>. 2nd edn. London: Routledge.</w:t>
      </w:r>
    </w:p>
    <w:p w14:paraId="6E4E4A55" w14:textId="77777777" w:rsidR="00D167F2" w:rsidRPr="0010738B" w:rsidRDefault="00D167F2" w:rsidP="0010738B">
      <w:pPr>
        <w:spacing w:line="360" w:lineRule="auto"/>
        <w:rPr>
          <w:rFonts w:cstheme="minorHAnsi"/>
        </w:rPr>
      </w:pPr>
    </w:p>
    <w:p w14:paraId="4C86A0BB" w14:textId="77777777" w:rsidR="00D167F2" w:rsidRPr="0010738B" w:rsidRDefault="00D167F2" w:rsidP="0010738B">
      <w:pPr>
        <w:spacing w:line="360" w:lineRule="auto"/>
        <w:rPr>
          <w:rFonts w:cstheme="minorHAnsi"/>
        </w:rPr>
      </w:pPr>
      <w:r w:rsidRPr="0010738B">
        <w:rPr>
          <w:rFonts w:cstheme="minorHAnsi"/>
        </w:rPr>
        <w:t xml:space="preserve">Tovey, H. (2020) </w:t>
      </w:r>
      <w:r w:rsidRPr="0010738B">
        <w:rPr>
          <w:rFonts w:cstheme="minorHAnsi"/>
          <w:i/>
          <w:iCs/>
        </w:rPr>
        <w:t>Froebel’s principles and practice today</w:t>
      </w:r>
      <w:r w:rsidRPr="0010738B">
        <w:rPr>
          <w:rFonts w:cstheme="minorHAnsi"/>
        </w:rPr>
        <w:t xml:space="preserve">. Available at: </w:t>
      </w:r>
      <w:hyperlink r:id="rId31" w:history="1">
        <w:r w:rsidRPr="0010738B">
          <w:rPr>
            <w:rStyle w:val="Hyperlink"/>
            <w:rFonts w:cstheme="minorHAnsi"/>
          </w:rPr>
          <w:t>https://files.froebel.org.uk/production/documents/FT-Froebels-principles-and-practice-today.pdf</w:t>
        </w:r>
      </w:hyperlink>
      <w:r w:rsidRPr="0010738B">
        <w:rPr>
          <w:rFonts w:cstheme="minorHAnsi"/>
        </w:rPr>
        <w:t xml:space="preserve"> (Accessed: 21 April 2026).</w:t>
      </w:r>
    </w:p>
    <w:p w14:paraId="5EC92EF7" w14:textId="77777777" w:rsidR="00004627" w:rsidRPr="0010738B" w:rsidRDefault="00004627" w:rsidP="0010738B">
      <w:pPr>
        <w:pStyle w:val="CommentText"/>
        <w:spacing w:after="0" w:line="360" w:lineRule="auto"/>
        <w:ind w:right="624"/>
        <w:rPr>
          <w:rFonts w:asciiTheme="minorHAnsi" w:eastAsia="Times New Roman" w:hAnsiTheme="minorHAnsi" w:cstheme="minorHAnsi"/>
        </w:rPr>
      </w:pPr>
    </w:p>
    <w:p w14:paraId="51EB0199" w14:textId="7CC78CEA" w:rsidR="00004627" w:rsidRPr="0010738B" w:rsidRDefault="00004627" w:rsidP="0010738B">
      <w:pPr>
        <w:spacing w:line="360" w:lineRule="auto"/>
        <w:rPr>
          <w:rFonts w:cstheme="minorHAnsi"/>
        </w:rPr>
      </w:pPr>
      <w:r w:rsidRPr="0010738B">
        <w:rPr>
          <w:rFonts w:cstheme="minorHAnsi"/>
        </w:rPr>
        <w:t xml:space="preserve">Tovey, H. (2017) </w:t>
      </w:r>
      <w:r w:rsidRPr="0010738B">
        <w:rPr>
          <w:rFonts w:cstheme="minorHAnsi"/>
          <w:i/>
          <w:iCs/>
        </w:rPr>
        <w:t>Playing on the edge: Adventure, risk and challenge in play outdoors.</w:t>
      </w:r>
    </w:p>
    <w:p w14:paraId="143E3DA8" w14:textId="18496BCF" w:rsidR="007027EF" w:rsidRPr="0010738B" w:rsidRDefault="00004627" w:rsidP="0010738B">
      <w:pPr>
        <w:spacing w:line="360" w:lineRule="auto"/>
        <w:rPr>
          <w:rFonts w:cstheme="minorHAnsi"/>
        </w:rPr>
      </w:pPr>
      <w:r w:rsidRPr="0010738B">
        <w:rPr>
          <w:rFonts w:cstheme="minorHAnsi"/>
        </w:rPr>
        <w:t xml:space="preserve">cited in Bruce, T., Hakkarainen, P. </w:t>
      </w:r>
      <w:r w:rsidR="00AA3C91" w:rsidRPr="0010738B">
        <w:rPr>
          <w:rFonts w:cstheme="minorHAnsi"/>
        </w:rPr>
        <w:t>and Bredikyte</w:t>
      </w:r>
      <w:r w:rsidRPr="0010738B">
        <w:rPr>
          <w:rFonts w:cstheme="minorHAnsi"/>
        </w:rPr>
        <w:t xml:space="preserve">, M. (2017) </w:t>
      </w:r>
      <w:r w:rsidRPr="0010738B">
        <w:rPr>
          <w:rFonts w:cstheme="minorHAnsi"/>
          <w:i/>
          <w:iCs/>
        </w:rPr>
        <w:t>The Routledge International Handbook of Early Childhood Play</w:t>
      </w:r>
      <w:r w:rsidRPr="0010738B">
        <w:rPr>
          <w:rFonts w:cstheme="minorHAnsi"/>
        </w:rPr>
        <w:t>. London: Routledge.</w:t>
      </w:r>
    </w:p>
    <w:p w14:paraId="523B0D5C" w14:textId="77777777" w:rsidR="00D167F2" w:rsidRPr="0010738B" w:rsidRDefault="00D167F2" w:rsidP="0010738B">
      <w:pPr>
        <w:spacing w:line="360" w:lineRule="auto"/>
        <w:rPr>
          <w:rFonts w:cstheme="minorHAnsi"/>
        </w:rPr>
      </w:pPr>
    </w:p>
    <w:p w14:paraId="4451679A" w14:textId="77777777" w:rsidR="00D167F2" w:rsidRPr="0010738B" w:rsidRDefault="00D167F2" w:rsidP="0010738B">
      <w:pPr>
        <w:spacing w:line="360" w:lineRule="auto"/>
        <w:rPr>
          <w:rFonts w:cstheme="minorHAnsi"/>
        </w:rPr>
      </w:pPr>
      <w:r w:rsidRPr="0010738B">
        <w:rPr>
          <w:rFonts w:cstheme="minorHAnsi"/>
        </w:rPr>
        <w:t xml:space="preserve">Welsh Government (2025) </w:t>
      </w:r>
      <w:r w:rsidRPr="0010738B">
        <w:rPr>
          <w:rFonts w:cstheme="minorHAnsi"/>
          <w:i/>
          <w:iCs/>
        </w:rPr>
        <w:t xml:space="preserve">Wales a play friendly country. </w:t>
      </w:r>
      <w:r w:rsidRPr="0010738B">
        <w:rPr>
          <w:rFonts w:cstheme="minorHAnsi"/>
        </w:rPr>
        <w:t xml:space="preserve">Available at: </w:t>
      </w:r>
      <w:hyperlink r:id="rId32" w:history="1">
        <w:r w:rsidRPr="0010738B">
          <w:rPr>
            <w:rStyle w:val="Hyperlink"/>
            <w:rFonts w:cstheme="minorHAnsi"/>
          </w:rPr>
          <w:t>https://www.gov.wales/sites/default/files/publications/2025-04/wales-a-play-friendly-country.pdf</w:t>
        </w:r>
      </w:hyperlink>
      <w:r w:rsidRPr="0010738B">
        <w:rPr>
          <w:rFonts w:cstheme="minorHAnsi"/>
        </w:rPr>
        <w:t xml:space="preserve"> (Accessed: 21 April 2026).</w:t>
      </w:r>
    </w:p>
    <w:p w14:paraId="7A35F230" w14:textId="77777777" w:rsidR="00D167F2" w:rsidRPr="0010738B" w:rsidRDefault="00D167F2" w:rsidP="0010738B">
      <w:pPr>
        <w:spacing w:line="360" w:lineRule="auto"/>
        <w:rPr>
          <w:rFonts w:cstheme="minorHAnsi"/>
        </w:rPr>
      </w:pPr>
    </w:p>
    <w:p w14:paraId="65621C2A" w14:textId="089DB310" w:rsidR="00283529" w:rsidRPr="0010738B" w:rsidRDefault="00D167F2" w:rsidP="0010738B">
      <w:pPr>
        <w:spacing w:line="360" w:lineRule="auto"/>
        <w:rPr>
          <w:rFonts w:cstheme="minorHAnsi"/>
        </w:rPr>
      </w:pPr>
      <w:r w:rsidRPr="0010738B">
        <w:rPr>
          <w:rFonts w:cstheme="minorHAnsi"/>
        </w:rPr>
        <w:t xml:space="preserve">Welsh Government (2023) </w:t>
      </w:r>
      <w:r w:rsidRPr="0010738B">
        <w:rPr>
          <w:rFonts w:cstheme="minorHAnsi"/>
          <w:i/>
          <w:iCs/>
        </w:rPr>
        <w:t xml:space="preserve">A quality framework for early childhood play, learning and care in Wales. </w:t>
      </w:r>
      <w:r w:rsidRPr="0010738B">
        <w:rPr>
          <w:rFonts w:cstheme="minorHAnsi"/>
        </w:rPr>
        <w:t xml:space="preserve">Available at: </w:t>
      </w:r>
      <w:hyperlink r:id="rId33" w:history="1">
        <w:r w:rsidRPr="0010738B">
          <w:rPr>
            <w:rStyle w:val="Hyperlink"/>
            <w:rFonts w:cstheme="minorHAnsi"/>
          </w:rPr>
          <w:t>https://hwb.gov.wales/api/storage/031bbc2d-d2f8-429d-a944-5fc33484827d/a-quality-framework-for-early-childhood-play-learning-and-care-v1.pdf</w:t>
        </w:r>
      </w:hyperlink>
      <w:r w:rsidRPr="0010738B">
        <w:rPr>
          <w:rFonts w:cstheme="minorHAnsi"/>
        </w:rPr>
        <w:t xml:space="preserve"> (Accessed: 28 April 2026). </w:t>
      </w:r>
    </w:p>
    <w:p w14:paraId="7330A3E1" w14:textId="77777777" w:rsidR="0010738B" w:rsidRPr="0010738B" w:rsidRDefault="0010738B" w:rsidP="0010738B">
      <w:pPr>
        <w:spacing w:line="360" w:lineRule="auto"/>
        <w:rPr>
          <w:rFonts w:cstheme="minorHAnsi"/>
        </w:rPr>
      </w:pPr>
    </w:p>
    <w:p w14:paraId="36E06A9D" w14:textId="151ABA3E" w:rsidR="00283529" w:rsidRPr="0010738B" w:rsidRDefault="00283529" w:rsidP="0010738B">
      <w:pPr>
        <w:spacing w:line="360" w:lineRule="auto"/>
        <w:rPr>
          <w:rFonts w:cstheme="minorHAnsi"/>
        </w:rPr>
      </w:pPr>
      <w:r w:rsidRPr="0010738B">
        <w:rPr>
          <w:rFonts w:cstheme="minorHAnsi"/>
        </w:rPr>
        <w:t xml:space="preserve">Welsh Government (2022) </w:t>
      </w:r>
      <w:r w:rsidRPr="0010738B">
        <w:rPr>
          <w:rFonts w:cstheme="minorHAnsi"/>
          <w:i/>
          <w:iCs/>
        </w:rPr>
        <w:t>Developing a vison for curriculum design</w:t>
      </w:r>
      <w:r w:rsidRPr="0010738B">
        <w:rPr>
          <w:rFonts w:cstheme="minorHAnsi"/>
        </w:rPr>
        <w:t xml:space="preserve">. Available at:  </w:t>
      </w:r>
      <w:hyperlink r:id="rId34" w:anchor=":~:text=set%20themselves%20high%20standards%20and,evaluate%20critically%20what%20they%20find" w:history="1">
        <w:r w:rsidRPr="0010738B">
          <w:rPr>
            <w:rStyle w:val="Hyperlink"/>
            <w:rFonts w:cstheme="minorHAnsi"/>
          </w:rPr>
          <w:t>https://hwb.gov.wales/curriculum-for-wales/designing-your-curriculum/developing-a-vision-for-curriculum-design/#:~:text=set%20themselves%20high%20standards%20and,evaluate%20critically%20what%20they%20find</w:t>
        </w:r>
      </w:hyperlink>
      <w:r w:rsidRPr="0010738B">
        <w:rPr>
          <w:rFonts w:cstheme="minorHAnsi"/>
        </w:rPr>
        <w:t xml:space="preserve"> (Accessed: 28 April 2026).</w:t>
      </w:r>
    </w:p>
    <w:p w14:paraId="1D6FC742" w14:textId="77777777" w:rsidR="00CD153A" w:rsidRPr="0010738B" w:rsidRDefault="00CD153A" w:rsidP="0010738B">
      <w:pPr>
        <w:spacing w:line="360" w:lineRule="auto"/>
        <w:rPr>
          <w:rFonts w:cstheme="minorHAnsi"/>
        </w:rPr>
      </w:pPr>
    </w:p>
    <w:p w14:paraId="682650EA" w14:textId="329989ED" w:rsidR="00CD153A" w:rsidRPr="0010738B" w:rsidRDefault="00CD153A" w:rsidP="0010738B">
      <w:pPr>
        <w:spacing w:line="360" w:lineRule="auto"/>
        <w:rPr>
          <w:rFonts w:cstheme="minorHAnsi"/>
        </w:rPr>
      </w:pPr>
      <w:r w:rsidRPr="0010738B">
        <w:rPr>
          <w:rFonts w:cstheme="minorHAnsi"/>
        </w:rPr>
        <w:t xml:space="preserve">Whinnett, J. (2020) </w:t>
      </w:r>
      <w:r w:rsidRPr="0010738B">
        <w:rPr>
          <w:rFonts w:cstheme="minorHAnsi"/>
          <w:i/>
          <w:iCs/>
        </w:rPr>
        <w:t>Froebel’s gifts and block play today.</w:t>
      </w:r>
      <w:r w:rsidRPr="0010738B">
        <w:rPr>
          <w:rFonts w:cstheme="minorHAnsi"/>
        </w:rPr>
        <w:t xml:space="preserve"> Available at: </w:t>
      </w:r>
      <w:hyperlink r:id="rId35" w:history="1">
        <w:r w:rsidRPr="0010738B">
          <w:rPr>
            <w:rStyle w:val="Hyperlink"/>
            <w:rFonts w:cstheme="minorHAnsi"/>
          </w:rPr>
          <w:t>https://files.froebel.org.uk/production/documents/Froebels-gifts-and-block-play-today.pdf</w:t>
        </w:r>
      </w:hyperlink>
      <w:r w:rsidRPr="0010738B">
        <w:rPr>
          <w:rFonts w:cstheme="minorHAnsi"/>
        </w:rPr>
        <w:t xml:space="preserve"> (Accessed: 21 April 2026).</w:t>
      </w:r>
    </w:p>
    <w:p w14:paraId="551B38EE" w14:textId="77777777" w:rsidR="00A033DD" w:rsidRPr="0010738B" w:rsidRDefault="00A033DD" w:rsidP="0010738B">
      <w:pPr>
        <w:spacing w:line="360" w:lineRule="auto"/>
        <w:rPr>
          <w:rFonts w:cstheme="minorHAnsi"/>
        </w:rPr>
      </w:pPr>
    </w:p>
    <w:p w14:paraId="77DF8F3B" w14:textId="3A05E20E" w:rsidR="00A033DD" w:rsidRPr="005C2DBA" w:rsidRDefault="00A033DD" w:rsidP="0010738B">
      <w:pPr>
        <w:spacing w:line="360" w:lineRule="auto"/>
        <w:rPr>
          <w:rFonts w:cstheme="minorHAnsi"/>
        </w:rPr>
      </w:pPr>
      <w:r w:rsidRPr="005C2DBA">
        <w:rPr>
          <w:rFonts w:cstheme="minorHAnsi"/>
        </w:rPr>
        <w:t xml:space="preserve">Wood, E. (2014) ‘Free choice and free play in early childhood education: troubling the discourse’, </w:t>
      </w:r>
      <w:r w:rsidRPr="005C2DBA">
        <w:rPr>
          <w:rFonts w:cstheme="minorHAnsi"/>
          <w:i/>
          <w:iCs/>
        </w:rPr>
        <w:t>International Journal of Early Years Education</w:t>
      </w:r>
      <w:r w:rsidRPr="005C2DBA">
        <w:rPr>
          <w:rFonts w:cstheme="minorHAnsi"/>
        </w:rPr>
        <w:t>, 22(1), pp. 4–18.</w:t>
      </w:r>
      <w:r w:rsidRPr="0010738B">
        <w:rPr>
          <w:rFonts w:cstheme="minorHAnsi"/>
        </w:rPr>
        <w:t xml:space="preserve"> Available at: </w:t>
      </w:r>
      <w:hyperlink r:id="rId36" w:history="1">
        <w:r w:rsidRPr="0010738B">
          <w:rPr>
            <w:rStyle w:val="Hyperlink"/>
            <w:rFonts w:cstheme="minorHAnsi"/>
          </w:rPr>
          <w:t>https://www.tandfonline.com/doi/full/10.1080/09669760.2013.830562?needAccess=true</w:t>
        </w:r>
      </w:hyperlink>
      <w:r w:rsidRPr="0010738B">
        <w:rPr>
          <w:rFonts w:cstheme="minorHAnsi"/>
        </w:rPr>
        <w:t xml:space="preserve"> (Accessed: 29 April 2026).</w:t>
      </w:r>
    </w:p>
    <w:p w14:paraId="60B416E7" w14:textId="77777777" w:rsidR="00A033DD" w:rsidRPr="008F7D53" w:rsidRDefault="00A033DD" w:rsidP="008F7D53">
      <w:pPr>
        <w:spacing w:line="360" w:lineRule="auto"/>
        <w:rPr>
          <w:rFonts w:cstheme="minorHAnsi"/>
        </w:rPr>
      </w:pPr>
    </w:p>
    <w:p w14:paraId="7A046D88" w14:textId="174816C2" w:rsidR="00993776" w:rsidRDefault="00993776"/>
    <w:sectPr w:rsidR="00993776">
      <w:headerReference w:type="default" r:id="rId37"/>
      <w:footerReference w:type="even"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D11878" w14:textId="77777777" w:rsidR="00691EE2" w:rsidRDefault="00691EE2" w:rsidP="00F93275">
      <w:r>
        <w:separator/>
      </w:r>
    </w:p>
  </w:endnote>
  <w:endnote w:type="continuationSeparator" w:id="0">
    <w:p w14:paraId="0E9EC3D1" w14:textId="77777777" w:rsidR="00691EE2" w:rsidRDefault="00691EE2" w:rsidP="00F93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Grande">
    <w:altName w:val="Segoe UI"/>
    <w:panose1 w:val="020B0600040502020204"/>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12582023"/>
      <w:docPartObj>
        <w:docPartGallery w:val="Page Numbers (Bottom of Page)"/>
        <w:docPartUnique/>
      </w:docPartObj>
    </w:sdtPr>
    <w:sdtContent>
      <w:p w14:paraId="7446EB4B" w14:textId="041CE816" w:rsidR="00F93275" w:rsidRDefault="00F93275" w:rsidP="002320B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5A7BA9" w14:textId="77777777" w:rsidR="00F93275" w:rsidRDefault="00F932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74812053"/>
      <w:docPartObj>
        <w:docPartGallery w:val="Page Numbers (Bottom of Page)"/>
        <w:docPartUnique/>
      </w:docPartObj>
    </w:sdtPr>
    <w:sdtContent>
      <w:p w14:paraId="4735E2FD" w14:textId="7DC18F16" w:rsidR="00F93275" w:rsidRDefault="00F93275" w:rsidP="002320B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4207E5" w14:textId="77777777" w:rsidR="00F93275" w:rsidRDefault="00F932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F42DEC" w14:textId="77777777" w:rsidR="00691EE2" w:rsidRDefault="00691EE2" w:rsidP="00F93275">
      <w:r>
        <w:separator/>
      </w:r>
    </w:p>
  </w:footnote>
  <w:footnote w:type="continuationSeparator" w:id="0">
    <w:p w14:paraId="7960FD38" w14:textId="77777777" w:rsidR="00691EE2" w:rsidRDefault="00691EE2" w:rsidP="00F932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D1B15D" w14:textId="32507EB5" w:rsidR="00B61511" w:rsidRPr="00B61511" w:rsidRDefault="00B61511" w:rsidP="00B61511">
    <w:pPr>
      <w:pStyle w:val="Header"/>
    </w:pPr>
    <w:r w:rsidRPr="00B61511">
      <w:t xml:space="preserve">Jessica Beynon         Student Number-2216954      </w:t>
    </w:r>
    <w:r>
      <w:t>ECCP7007/C</w:t>
    </w:r>
    <w:r w:rsidRPr="00B61511">
      <w:t xml:space="preserve">      Word Count-</w:t>
    </w:r>
    <w:r>
      <w:t>3980</w:t>
    </w:r>
  </w:p>
  <w:p w14:paraId="089A2556" w14:textId="198E1008" w:rsidR="00B61511" w:rsidRDefault="00B61511">
    <w:pPr>
      <w:pStyle w:val="Header"/>
    </w:pPr>
  </w:p>
  <w:p w14:paraId="06A3BDAA" w14:textId="77777777" w:rsidR="00B61511" w:rsidRDefault="00B6151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7"/>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776"/>
    <w:rsid w:val="00004627"/>
    <w:rsid w:val="000158B8"/>
    <w:rsid w:val="00074FF6"/>
    <w:rsid w:val="00083925"/>
    <w:rsid w:val="000A584D"/>
    <w:rsid w:val="0010738B"/>
    <w:rsid w:val="001C53FC"/>
    <w:rsid w:val="001F074A"/>
    <w:rsid w:val="001F586E"/>
    <w:rsid w:val="00202448"/>
    <w:rsid w:val="00224A10"/>
    <w:rsid w:val="00234D27"/>
    <w:rsid w:val="002411C0"/>
    <w:rsid w:val="002535D5"/>
    <w:rsid w:val="00283529"/>
    <w:rsid w:val="002A7A73"/>
    <w:rsid w:val="00340C64"/>
    <w:rsid w:val="00362AEF"/>
    <w:rsid w:val="0037194C"/>
    <w:rsid w:val="003A4775"/>
    <w:rsid w:val="003C5C46"/>
    <w:rsid w:val="00493286"/>
    <w:rsid w:val="004C345C"/>
    <w:rsid w:val="0050774E"/>
    <w:rsid w:val="00520044"/>
    <w:rsid w:val="005412B9"/>
    <w:rsid w:val="005C329A"/>
    <w:rsid w:val="005D7E39"/>
    <w:rsid w:val="00612530"/>
    <w:rsid w:val="00684ECB"/>
    <w:rsid w:val="00691EE2"/>
    <w:rsid w:val="006A73BC"/>
    <w:rsid w:val="006E713E"/>
    <w:rsid w:val="006F5FA3"/>
    <w:rsid w:val="007027EF"/>
    <w:rsid w:val="007575A8"/>
    <w:rsid w:val="0079422D"/>
    <w:rsid w:val="007956E5"/>
    <w:rsid w:val="007975C7"/>
    <w:rsid w:val="007E0137"/>
    <w:rsid w:val="00802BC1"/>
    <w:rsid w:val="008D6E23"/>
    <w:rsid w:val="008F7D53"/>
    <w:rsid w:val="00993776"/>
    <w:rsid w:val="009F4790"/>
    <w:rsid w:val="00A033DD"/>
    <w:rsid w:val="00A70841"/>
    <w:rsid w:val="00A92312"/>
    <w:rsid w:val="00AA3C91"/>
    <w:rsid w:val="00AE435E"/>
    <w:rsid w:val="00AF4476"/>
    <w:rsid w:val="00B05813"/>
    <w:rsid w:val="00B563B5"/>
    <w:rsid w:val="00B61511"/>
    <w:rsid w:val="00B85824"/>
    <w:rsid w:val="00BB5EFB"/>
    <w:rsid w:val="00C04663"/>
    <w:rsid w:val="00C34D13"/>
    <w:rsid w:val="00CB7C9C"/>
    <w:rsid w:val="00CC32CC"/>
    <w:rsid w:val="00CC60B5"/>
    <w:rsid w:val="00CD153A"/>
    <w:rsid w:val="00CD4445"/>
    <w:rsid w:val="00D167F2"/>
    <w:rsid w:val="00D23E4D"/>
    <w:rsid w:val="00D4773C"/>
    <w:rsid w:val="00D64EED"/>
    <w:rsid w:val="00D87E53"/>
    <w:rsid w:val="00DA2C7E"/>
    <w:rsid w:val="00E30B61"/>
    <w:rsid w:val="00EA1588"/>
    <w:rsid w:val="00EA7AEE"/>
    <w:rsid w:val="00EE16FF"/>
    <w:rsid w:val="00F000F0"/>
    <w:rsid w:val="00F755E9"/>
    <w:rsid w:val="00F93275"/>
    <w:rsid w:val="00FB27F5"/>
    <w:rsid w:val="00FF77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CE8F1E"/>
  <w15:chartTrackingRefBased/>
  <w15:docId w15:val="{1587C301-AF27-4040-9031-FE6B747FC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377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9377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9377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9377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9377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9377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377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377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377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377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9377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9377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9377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9377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937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37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37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3776"/>
    <w:rPr>
      <w:rFonts w:eastAsiaTheme="majorEastAsia" w:cstheme="majorBidi"/>
      <w:color w:val="272727" w:themeColor="text1" w:themeTint="D8"/>
    </w:rPr>
  </w:style>
  <w:style w:type="paragraph" w:styleId="Title">
    <w:name w:val="Title"/>
    <w:basedOn w:val="Normal"/>
    <w:next w:val="Normal"/>
    <w:link w:val="TitleChar"/>
    <w:uiPriority w:val="10"/>
    <w:qFormat/>
    <w:rsid w:val="0099377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37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377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37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377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93776"/>
    <w:rPr>
      <w:i/>
      <w:iCs/>
      <w:color w:val="404040" w:themeColor="text1" w:themeTint="BF"/>
    </w:rPr>
  </w:style>
  <w:style w:type="paragraph" w:styleId="ListParagraph">
    <w:name w:val="List Paragraph"/>
    <w:basedOn w:val="Normal"/>
    <w:uiPriority w:val="34"/>
    <w:qFormat/>
    <w:rsid w:val="00993776"/>
    <w:pPr>
      <w:ind w:left="720"/>
      <w:contextualSpacing/>
    </w:pPr>
  </w:style>
  <w:style w:type="character" w:styleId="IntenseEmphasis">
    <w:name w:val="Intense Emphasis"/>
    <w:basedOn w:val="DefaultParagraphFont"/>
    <w:uiPriority w:val="21"/>
    <w:qFormat/>
    <w:rsid w:val="00993776"/>
    <w:rPr>
      <w:i/>
      <w:iCs/>
      <w:color w:val="2F5496" w:themeColor="accent1" w:themeShade="BF"/>
    </w:rPr>
  </w:style>
  <w:style w:type="paragraph" w:styleId="IntenseQuote">
    <w:name w:val="Intense Quote"/>
    <w:basedOn w:val="Normal"/>
    <w:next w:val="Normal"/>
    <w:link w:val="IntenseQuoteChar"/>
    <w:uiPriority w:val="30"/>
    <w:qFormat/>
    <w:rsid w:val="009937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93776"/>
    <w:rPr>
      <w:i/>
      <w:iCs/>
      <w:color w:val="2F5496" w:themeColor="accent1" w:themeShade="BF"/>
    </w:rPr>
  </w:style>
  <w:style w:type="character" w:styleId="IntenseReference">
    <w:name w:val="Intense Reference"/>
    <w:basedOn w:val="DefaultParagraphFont"/>
    <w:uiPriority w:val="32"/>
    <w:qFormat/>
    <w:rsid w:val="00993776"/>
    <w:rPr>
      <w:b/>
      <w:bCs/>
      <w:smallCaps/>
      <w:color w:val="2F5496" w:themeColor="accent1" w:themeShade="BF"/>
      <w:spacing w:val="5"/>
    </w:rPr>
  </w:style>
  <w:style w:type="character" w:styleId="Hyperlink">
    <w:name w:val="Hyperlink"/>
    <w:basedOn w:val="DefaultParagraphFont"/>
    <w:uiPriority w:val="99"/>
    <w:unhideWhenUsed/>
    <w:rsid w:val="00993776"/>
    <w:rPr>
      <w:color w:val="0563C1" w:themeColor="hyperlink"/>
      <w:u w:val="single"/>
    </w:rPr>
  </w:style>
  <w:style w:type="character" w:styleId="UnresolvedMention">
    <w:name w:val="Unresolved Mention"/>
    <w:basedOn w:val="DefaultParagraphFont"/>
    <w:uiPriority w:val="99"/>
    <w:semiHidden/>
    <w:unhideWhenUsed/>
    <w:rsid w:val="00993776"/>
    <w:rPr>
      <w:color w:val="605E5C"/>
      <w:shd w:val="clear" w:color="auto" w:fill="E1DFDD"/>
    </w:rPr>
  </w:style>
  <w:style w:type="paragraph" w:styleId="CommentText">
    <w:name w:val="annotation text"/>
    <w:link w:val="CommentTextChar"/>
    <w:rsid w:val="006E713E"/>
    <w:pPr>
      <w:pBdr>
        <w:top w:val="nil"/>
        <w:left w:val="nil"/>
        <w:bottom w:val="nil"/>
        <w:right w:val="nil"/>
        <w:between w:val="nil"/>
        <w:bar w:val="nil"/>
      </w:pBdr>
      <w:spacing w:after="200" w:line="276" w:lineRule="auto"/>
    </w:pPr>
    <w:rPr>
      <w:rFonts w:ascii="Lucida Grande" w:eastAsia="Arial Unicode MS" w:hAnsi="Lucida Grande" w:cs="Arial Unicode MS"/>
      <w:color w:val="000000"/>
      <w:u w:color="000000"/>
      <w:bdr w:val="nil"/>
      <w:lang w:val="en-US" w:eastAsia="en-GB"/>
    </w:rPr>
  </w:style>
  <w:style w:type="character" w:customStyle="1" w:styleId="CommentTextChar">
    <w:name w:val="Comment Text Char"/>
    <w:basedOn w:val="DefaultParagraphFont"/>
    <w:link w:val="CommentText"/>
    <w:rsid w:val="006E713E"/>
    <w:rPr>
      <w:rFonts w:ascii="Lucida Grande" w:eastAsia="Arial Unicode MS" w:hAnsi="Lucida Grande" w:cs="Arial Unicode MS"/>
      <w:color w:val="000000"/>
      <w:u w:color="000000"/>
      <w:bdr w:val="nil"/>
      <w:lang w:val="en-US" w:eastAsia="en-GB"/>
    </w:rPr>
  </w:style>
  <w:style w:type="paragraph" w:styleId="Footer">
    <w:name w:val="footer"/>
    <w:basedOn w:val="Normal"/>
    <w:link w:val="FooterChar"/>
    <w:uiPriority w:val="99"/>
    <w:unhideWhenUsed/>
    <w:rsid w:val="00F93275"/>
    <w:pPr>
      <w:tabs>
        <w:tab w:val="center" w:pos="4513"/>
        <w:tab w:val="right" w:pos="9026"/>
      </w:tabs>
    </w:pPr>
  </w:style>
  <w:style w:type="character" w:customStyle="1" w:styleId="FooterChar">
    <w:name w:val="Footer Char"/>
    <w:basedOn w:val="DefaultParagraphFont"/>
    <w:link w:val="Footer"/>
    <w:uiPriority w:val="99"/>
    <w:rsid w:val="00F93275"/>
  </w:style>
  <w:style w:type="character" w:styleId="PageNumber">
    <w:name w:val="page number"/>
    <w:basedOn w:val="DefaultParagraphFont"/>
    <w:uiPriority w:val="99"/>
    <w:semiHidden/>
    <w:unhideWhenUsed/>
    <w:rsid w:val="00F93275"/>
  </w:style>
  <w:style w:type="paragraph" w:styleId="Header">
    <w:name w:val="header"/>
    <w:basedOn w:val="Normal"/>
    <w:link w:val="HeaderChar"/>
    <w:uiPriority w:val="99"/>
    <w:unhideWhenUsed/>
    <w:rsid w:val="00B61511"/>
    <w:pPr>
      <w:tabs>
        <w:tab w:val="center" w:pos="4513"/>
        <w:tab w:val="right" w:pos="9026"/>
      </w:tabs>
    </w:pPr>
  </w:style>
  <w:style w:type="character" w:customStyle="1" w:styleId="HeaderChar">
    <w:name w:val="Header Char"/>
    <w:basedOn w:val="DefaultParagraphFont"/>
    <w:link w:val="Header"/>
    <w:uiPriority w:val="99"/>
    <w:rsid w:val="00B615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327254">
      <w:bodyDiv w:val="1"/>
      <w:marLeft w:val="0"/>
      <w:marRight w:val="0"/>
      <w:marTop w:val="0"/>
      <w:marBottom w:val="0"/>
      <w:divBdr>
        <w:top w:val="none" w:sz="0" w:space="0" w:color="auto"/>
        <w:left w:val="none" w:sz="0" w:space="0" w:color="auto"/>
        <w:bottom w:val="none" w:sz="0" w:space="0" w:color="auto"/>
        <w:right w:val="none" w:sz="0" w:space="0" w:color="auto"/>
      </w:divBdr>
    </w:div>
    <w:div w:id="34694643">
      <w:bodyDiv w:val="1"/>
      <w:marLeft w:val="0"/>
      <w:marRight w:val="0"/>
      <w:marTop w:val="0"/>
      <w:marBottom w:val="0"/>
      <w:divBdr>
        <w:top w:val="none" w:sz="0" w:space="0" w:color="auto"/>
        <w:left w:val="none" w:sz="0" w:space="0" w:color="auto"/>
        <w:bottom w:val="none" w:sz="0" w:space="0" w:color="auto"/>
        <w:right w:val="none" w:sz="0" w:space="0" w:color="auto"/>
      </w:divBdr>
    </w:div>
    <w:div w:id="196240067">
      <w:bodyDiv w:val="1"/>
      <w:marLeft w:val="0"/>
      <w:marRight w:val="0"/>
      <w:marTop w:val="0"/>
      <w:marBottom w:val="0"/>
      <w:divBdr>
        <w:top w:val="none" w:sz="0" w:space="0" w:color="auto"/>
        <w:left w:val="none" w:sz="0" w:space="0" w:color="auto"/>
        <w:bottom w:val="none" w:sz="0" w:space="0" w:color="auto"/>
        <w:right w:val="none" w:sz="0" w:space="0" w:color="auto"/>
      </w:divBdr>
    </w:div>
    <w:div w:id="327947992">
      <w:bodyDiv w:val="1"/>
      <w:marLeft w:val="0"/>
      <w:marRight w:val="0"/>
      <w:marTop w:val="0"/>
      <w:marBottom w:val="0"/>
      <w:divBdr>
        <w:top w:val="none" w:sz="0" w:space="0" w:color="auto"/>
        <w:left w:val="none" w:sz="0" w:space="0" w:color="auto"/>
        <w:bottom w:val="none" w:sz="0" w:space="0" w:color="auto"/>
        <w:right w:val="none" w:sz="0" w:space="0" w:color="auto"/>
      </w:divBdr>
    </w:div>
    <w:div w:id="349334808">
      <w:bodyDiv w:val="1"/>
      <w:marLeft w:val="0"/>
      <w:marRight w:val="0"/>
      <w:marTop w:val="0"/>
      <w:marBottom w:val="0"/>
      <w:divBdr>
        <w:top w:val="none" w:sz="0" w:space="0" w:color="auto"/>
        <w:left w:val="none" w:sz="0" w:space="0" w:color="auto"/>
        <w:bottom w:val="none" w:sz="0" w:space="0" w:color="auto"/>
        <w:right w:val="none" w:sz="0" w:space="0" w:color="auto"/>
      </w:divBdr>
    </w:div>
    <w:div w:id="775831715">
      <w:bodyDiv w:val="1"/>
      <w:marLeft w:val="0"/>
      <w:marRight w:val="0"/>
      <w:marTop w:val="0"/>
      <w:marBottom w:val="0"/>
      <w:divBdr>
        <w:top w:val="none" w:sz="0" w:space="0" w:color="auto"/>
        <w:left w:val="none" w:sz="0" w:space="0" w:color="auto"/>
        <w:bottom w:val="none" w:sz="0" w:space="0" w:color="auto"/>
        <w:right w:val="none" w:sz="0" w:space="0" w:color="auto"/>
      </w:divBdr>
    </w:div>
    <w:div w:id="796148390">
      <w:bodyDiv w:val="1"/>
      <w:marLeft w:val="0"/>
      <w:marRight w:val="0"/>
      <w:marTop w:val="0"/>
      <w:marBottom w:val="0"/>
      <w:divBdr>
        <w:top w:val="none" w:sz="0" w:space="0" w:color="auto"/>
        <w:left w:val="none" w:sz="0" w:space="0" w:color="auto"/>
        <w:bottom w:val="none" w:sz="0" w:space="0" w:color="auto"/>
        <w:right w:val="none" w:sz="0" w:space="0" w:color="auto"/>
      </w:divBdr>
    </w:div>
    <w:div w:id="871891255">
      <w:bodyDiv w:val="1"/>
      <w:marLeft w:val="0"/>
      <w:marRight w:val="0"/>
      <w:marTop w:val="0"/>
      <w:marBottom w:val="0"/>
      <w:divBdr>
        <w:top w:val="none" w:sz="0" w:space="0" w:color="auto"/>
        <w:left w:val="none" w:sz="0" w:space="0" w:color="auto"/>
        <w:bottom w:val="none" w:sz="0" w:space="0" w:color="auto"/>
        <w:right w:val="none" w:sz="0" w:space="0" w:color="auto"/>
      </w:divBdr>
    </w:div>
    <w:div w:id="894700756">
      <w:bodyDiv w:val="1"/>
      <w:marLeft w:val="0"/>
      <w:marRight w:val="0"/>
      <w:marTop w:val="0"/>
      <w:marBottom w:val="0"/>
      <w:divBdr>
        <w:top w:val="none" w:sz="0" w:space="0" w:color="auto"/>
        <w:left w:val="none" w:sz="0" w:space="0" w:color="auto"/>
        <w:bottom w:val="none" w:sz="0" w:space="0" w:color="auto"/>
        <w:right w:val="none" w:sz="0" w:space="0" w:color="auto"/>
      </w:divBdr>
    </w:div>
    <w:div w:id="1087115549">
      <w:bodyDiv w:val="1"/>
      <w:marLeft w:val="0"/>
      <w:marRight w:val="0"/>
      <w:marTop w:val="0"/>
      <w:marBottom w:val="0"/>
      <w:divBdr>
        <w:top w:val="none" w:sz="0" w:space="0" w:color="auto"/>
        <w:left w:val="none" w:sz="0" w:space="0" w:color="auto"/>
        <w:bottom w:val="none" w:sz="0" w:space="0" w:color="auto"/>
        <w:right w:val="none" w:sz="0" w:space="0" w:color="auto"/>
      </w:divBdr>
    </w:div>
    <w:div w:id="1212379739">
      <w:bodyDiv w:val="1"/>
      <w:marLeft w:val="0"/>
      <w:marRight w:val="0"/>
      <w:marTop w:val="0"/>
      <w:marBottom w:val="0"/>
      <w:divBdr>
        <w:top w:val="none" w:sz="0" w:space="0" w:color="auto"/>
        <w:left w:val="none" w:sz="0" w:space="0" w:color="auto"/>
        <w:bottom w:val="none" w:sz="0" w:space="0" w:color="auto"/>
        <w:right w:val="none" w:sz="0" w:space="0" w:color="auto"/>
      </w:divBdr>
    </w:div>
    <w:div w:id="1252201079">
      <w:bodyDiv w:val="1"/>
      <w:marLeft w:val="0"/>
      <w:marRight w:val="0"/>
      <w:marTop w:val="0"/>
      <w:marBottom w:val="0"/>
      <w:divBdr>
        <w:top w:val="none" w:sz="0" w:space="0" w:color="auto"/>
        <w:left w:val="none" w:sz="0" w:space="0" w:color="auto"/>
        <w:bottom w:val="none" w:sz="0" w:space="0" w:color="auto"/>
        <w:right w:val="none" w:sz="0" w:space="0" w:color="auto"/>
      </w:divBdr>
    </w:div>
    <w:div w:id="1314138219">
      <w:bodyDiv w:val="1"/>
      <w:marLeft w:val="0"/>
      <w:marRight w:val="0"/>
      <w:marTop w:val="0"/>
      <w:marBottom w:val="0"/>
      <w:divBdr>
        <w:top w:val="none" w:sz="0" w:space="0" w:color="auto"/>
        <w:left w:val="none" w:sz="0" w:space="0" w:color="auto"/>
        <w:bottom w:val="none" w:sz="0" w:space="0" w:color="auto"/>
        <w:right w:val="none" w:sz="0" w:space="0" w:color="auto"/>
      </w:divBdr>
      <w:divsChild>
        <w:div w:id="1605917209">
          <w:marLeft w:val="0"/>
          <w:marRight w:val="0"/>
          <w:marTop w:val="0"/>
          <w:marBottom w:val="0"/>
          <w:divBdr>
            <w:top w:val="none" w:sz="0" w:space="0" w:color="auto"/>
            <w:left w:val="none" w:sz="0" w:space="0" w:color="auto"/>
            <w:bottom w:val="none" w:sz="0" w:space="0" w:color="auto"/>
            <w:right w:val="none" w:sz="0" w:space="0" w:color="auto"/>
          </w:divBdr>
        </w:div>
        <w:div w:id="502739413">
          <w:marLeft w:val="0"/>
          <w:marRight w:val="0"/>
          <w:marTop w:val="0"/>
          <w:marBottom w:val="0"/>
          <w:divBdr>
            <w:top w:val="none" w:sz="0" w:space="0" w:color="auto"/>
            <w:left w:val="none" w:sz="0" w:space="0" w:color="auto"/>
            <w:bottom w:val="none" w:sz="0" w:space="0" w:color="auto"/>
            <w:right w:val="none" w:sz="0" w:space="0" w:color="auto"/>
          </w:divBdr>
        </w:div>
      </w:divsChild>
    </w:div>
    <w:div w:id="1733195870">
      <w:bodyDiv w:val="1"/>
      <w:marLeft w:val="0"/>
      <w:marRight w:val="0"/>
      <w:marTop w:val="0"/>
      <w:marBottom w:val="0"/>
      <w:divBdr>
        <w:top w:val="none" w:sz="0" w:space="0" w:color="auto"/>
        <w:left w:val="none" w:sz="0" w:space="0" w:color="auto"/>
        <w:bottom w:val="none" w:sz="0" w:space="0" w:color="auto"/>
        <w:right w:val="none" w:sz="0" w:space="0" w:color="auto"/>
      </w:divBdr>
      <w:divsChild>
        <w:div w:id="1125654256">
          <w:marLeft w:val="0"/>
          <w:marRight w:val="0"/>
          <w:marTop w:val="0"/>
          <w:marBottom w:val="0"/>
          <w:divBdr>
            <w:top w:val="none" w:sz="0" w:space="0" w:color="auto"/>
            <w:left w:val="none" w:sz="0" w:space="0" w:color="auto"/>
            <w:bottom w:val="none" w:sz="0" w:space="0" w:color="auto"/>
            <w:right w:val="none" w:sz="0" w:space="0" w:color="auto"/>
          </w:divBdr>
        </w:div>
        <w:div w:id="2016421066">
          <w:marLeft w:val="0"/>
          <w:marRight w:val="0"/>
          <w:marTop w:val="0"/>
          <w:marBottom w:val="0"/>
          <w:divBdr>
            <w:top w:val="none" w:sz="0" w:space="0" w:color="auto"/>
            <w:left w:val="none" w:sz="0" w:space="0" w:color="auto"/>
            <w:bottom w:val="none" w:sz="0" w:space="0" w:color="auto"/>
            <w:right w:val="none" w:sz="0" w:space="0" w:color="auto"/>
          </w:divBdr>
        </w:div>
      </w:divsChild>
    </w:div>
    <w:div w:id="1904680101">
      <w:bodyDiv w:val="1"/>
      <w:marLeft w:val="0"/>
      <w:marRight w:val="0"/>
      <w:marTop w:val="0"/>
      <w:marBottom w:val="0"/>
      <w:divBdr>
        <w:top w:val="none" w:sz="0" w:space="0" w:color="auto"/>
        <w:left w:val="none" w:sz="0" w:space="0" w:color="auto"/>
        <w:bottom w:val="none" w:sz="0" w:space="0" w:color="auto"/>
        <w:right w:val="none" w:sz="0" w:space="0" w:color="auto"/>
      </w:divBdr>
    </w:div>
    <w:div w:id="2023975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lay.wales/play-policy-legislation/" TargetMode="External"/><Relationship Id="rId18" Type="http://schemas.openxmlformats.org/officeDocument/2006/relationships/hyperlink" Target="https://www.froebel.org.uk/training-and-resources/froebels-occupations" TargetMode="External"/><Relationship Id="rId26" Type="http://schemas.openxmlformats.org/officeDocument/2006/relationships/hyperlink" Target="https://www.mdpi.com/2227-7102/16/3/390?utm_source=chatgpt.com" TargetMode="External"/><Relationship Id="rId39" Type="http://schemas.openxmlformats.org/officeDocument/2006/relationships/footer" Target="footer2.xml"/><Relationship Id="rId21" Type="http://schemas.openxmlformats.org/officeDocument/2006/relationships/hyperlink" Target="https://www.froebel.org.uk/news/froebelian-practice-in-the-primary-school" TargetMode="External"/><Relationship Id="rId34" Type="http://schemas.openxmlformats.org/officeDocument/2006/relationships/hyperlink" Target="https://hwb.gov.wales/curriculum-for-wales/designing-your-curriculum/developing-a-vision-for-curriculum-design/" TargetMode="External"/><Relationship Id="rId7" Type="http://schemas.openxmlformats.org/officeDocument/2006/relationships/hyperlink" Target="https://www.audit.wales/sites/default/files/publications/The-new-Curriculum-for-Wales-Eng.pdf" TargetMode="External"/><Relationship Id="rId2" Type="http://schemas.openxmlformats.org/officeDocument/2006/relationships/settings" Target="settings.xml"/><Relationship Id="rId16" Type="http://schemas.openxmlformats.org/officeDocument/2006/relationships/hyperlink" Target="https://www.gov.wales/sites/default/files/publications/2018-03/successful-futures.pdf" TargetMode="External"/><Relationship Id="rId20" Type="http://schemas.openxmlformats.org/officeDocument/2006/relationships/hyperlink" Target="https://www.froebel.org.uk/training-and-resources/froebels-gifts" TargetMode="External"/><Relationship Id="rId29" Type="http://schemas.openxmlformats.org/officeDocument/2006/relationships/hyperlink" Target="https://www.researchgate.net/publication/327937914_Finding_a_place_for_Froebel's_theories_early_years_practitioners'_understanding_and_enactment_of_learning_through_play"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files.froebel.org.uk/production/documents/FT_Creating_Environments_For_Children_pamphlet_WEB.pdf" TargetMode="External"/><Relationship Id="rId11" Type="http://schemas.openxmlformats.org/officeDocument/2006/relationships/hyperlink" Target="https://files.eric.ed.gov/fulltext/EJ1353647.pdf" TargetMode="External"/><Relationship Id="rId24" Type="http://schemas.openxmlformats.org/officeDocument/2006/relationships/hyperlink" Target="https://journals.sagepub.com/doi/10.1177/1476718X18809114" TargetMode="External"/><Relationship Id="rId32" Type="http://schemas.openxmlformats.org/officeDocument/2006/relationships/hyperlink" Target="https://www.gov.wales/sites/default/files/publications/2025-04/wales-a-play-friendly-country.pdf" TargetMode="External"/><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froebel.org.uk/research-library/exploring-froebelian-principles-as-a-vehicle-for-curriculum-reform" TargetMode="External"/><Relationship Id="rId23" Type="http://schemas.openxmlformats.org/officeDocument/2006/relationships/hyperlink" Target="https://www.froebel.org.uk/research-library/enacting-froebelian-principles-in-practice" TargetMode="External"/><Relationship Id="rId28" Type="http://schemas.openxmlformats.org/officeDocument/2006/relationships/hyperlink" Target="https://www.savethechildren.org.uk/blogs/2024/why-early-years-matter-unlocking-potential-through-play" TargetMode="External"/><Relationship Id="rId36" Type="http://schemas.openxmlformats.org/officeDocument/2006/relationships/hyperlink" Target="https://www.tandfonline.com/doi/full/10.1080/09669760.2013.830562?needAccess=true" TargetMode="External"/><Relationship Id="rId10" Type="http://schemas.openxmlformats.org/officeDocument/2006/relationships/hyperlink" Target="https://www.froebel.org.uk/about-us/the-power-of-play/froebelian-approach-to-childhood-play" TargetMode="External"/><Relationship Id="rId19" Type="http://schemas.openxmlformats.org/officeDocument/2006/relationships/hyperlink" Target="https://www.froebel.org.uk/about-us/froebelian-principles" TargetMode="External"/><Relationship Id="rId31" Type="http://schemas.openxmlformats.org/officeDocument/2006/relationships/hyperlink" Target="https://files.froebel.org.uk/production/documents/FT-Froebels-principles-and-practice-today.pdf" TargetMode="External"/><Relationship Id="rId4" Type="http://schemas.openxmlformats.org/officeDocument/2006/relationships/footnotes" Target="footnotes.xml"/><Relationship Id="rId9" Type="http://schemas.openxmlformats.org/officeDocument/2006/relationships/hyperlink" Target="https://spectrum.library.concordia.ca/id/eprint/981703/14/Bowlby_MAed_F2016.pdf" TargetMode="External"/><Relationship Id="rId14" Type="http://schemas.openxmlformats.org/officeDocument/2006/relationships/hyperlink" Target="https://www.froebel.org.uk/research-library/spatially-democratic-pedagogy" TargetMode="External"/><Relationship Id="rId22" Type="http://schemas.openxmlformats.org/officeDocument/2006/relationships/hyperlink" Target="https://www.journals.uchicago.edu/doi/pdf/10.1086/453802" TargetMode="External"/><Relationship Id="rId27" Type="http://schemas.openxmlformats.org/officeDocument/2006/relationships/hyperlink" Target="https://www.froebel.org.uk/about-us/the-power-of-play/digital-play" TargetMode="External"/><Relationship Id="rId30" Type="http://schemas.openxmlformats.org/officeDocument/2006/relationships/hyperlink" Target="https://journals.sagepub.com/doi/10.1177/1476718X241241142" TargetMode="External"/><Relationship Id="rId35" Type="http://schemas.openxmlformats.org/officeDocument/2006/relationships/hyperlink" Target="https://files.froebel.org.uk/production/documents/Froebels-gifts-and-block-play-today.pdf" TargetMode="External"/><Relationship Id="rId8" Type="http://schemas.openxmlformats.org/officeDocument/2006/relationships/hyperlink" Target="https://www.researchgate.net/publication/308939164_Exploring_the_spiritual_in_the_pedagogy_of_Friedrich_Froebel" TargetMode="External"/><Relationship Id="rId3" Type="http://schemas.openxmlformats.org/officeDocument/2006/relationships/webSettings" Target="webSettings.xml"/><Relationship Id="rId12" Type="http://schemas.openxmlformats.org/officeDocument/2006/relationships/hyperlink" Target="file:///Users/jessybeynon/Downloads/SR23630021800.pdf" TargetMode="External"/><Relationship Id="rId17" Type="http://schemas.openxmlformats.org/officeDocument/2006/relationships/hyperlink" Target="https://www.froebel.org.uk/about-us/the-power-of-play" TargetMode="External"/><Relationship Id="rId25" Type="http://schemas.openxmlformats.org/officeDocument/2006/relationships/hyperlink" Target="https://www.froebelnetwork.org.uk/blog/gifts-and-occupations-a-froebelian-dilema" TargetMode="External"/><Relationship Id="rId33" Type="http://schemas.openxmlformats.org/officeDocument/2006/relationships/hyperlink" Target="https://hwb.gov.wales/api/storage/031bbc2d-d2f8-429d-a944-5fc33484827d/a-quality-framework-for-early-childhood-play-learning-and-care-v1.pdf"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266</TotalTime>
  <Pages>17</Pages>
  <Words>5927</Words>
  <Characters>33785</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Beynon (2216954)</dc:creator>
  <cp:keywords/>
  <dc:description/>
  <cp:lastModifiedBy>Jessica Beynon (2216954)</cp:lastModifiedBy>
  <cp:revision>18</cp:revision>
  <dcterms:created xsi:type="dcterms:W3CDTF">2026-04-26T08:46:00Z</dcterms:created>
  <dcterms:modified xsi:type="dcterms:W3CDTF">2026-05-24T07:28:00Z</dcterms:modified>
</cp:coreProperties>
</file>