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DC1D2B8" w14:textId="77777777" w:rsidR="00D61EF0" w:rsidRPr="00343A7D" w:rsidRDefault="00D61EF0" w:rsidP="00343A7D">
      <w:pPr>
        <w:spacing w:line="360" w:lineRule="auto"/>
        <w:jc w:val="both"/>
        <w:rPr>
          <w:rFonts w:cs="Calibri"/>
          <w:b/>
          <w:bCs/>
          <w:color w:val="000000" w:themeColor="text1"/>
        </w:rPr>
      </w:pPr>
    </w:p>
    <w:p w14:paraId="089FACF6" w14:textId="6D7A0CFB" w:rsidR="00D61EF0" w:rsidRPr="00343A7D" w:rsidRDefault="00D61EF0" w:rsidP="00343A7D">
      <w:pPr>
        <w:spacing w:line="360" w:lineRule="auto"/>
        <w:jc w:val="both"/>
        <w:rPr>
          <w:color w:val="000000" w:themeColor="text1"/>
        </w:rPr>
      </w:pPr>
    </w:p>
    <w:p w14:paraId="55692302" w14:textId="35C5B619" w:rsidR="00D61EF0" w:rsidRPr="00343A7D" w:rsidRDefault="00D61EF0" w:rsidP="00B854AC">
      <w:pPr>
        <w:spacing w:line="360" w:lineRule="auto"/>
        <w:jc w:val="center"/>
        <w:rPr>
          <w:rFonts w:cs="Calibri"/>
          <w:b/>
          <w:bCs/>
          <w:color w:val="000000" w:themeColor="text1"/>
        </w:rPr>
      </w:pPr>
      <w:r w:rsidRPr="00343A7D">
        <w:rPr>
          <w:noProof/>
          <w:color w:val="000000" w:themeColor="text1"/>
        </w:rPr>
        <w:drawing>
          <wp:inline distT="0" distB="0" distL="0" distR="0" wp14:anchorId="7CE79ABF" wp14:editId="68E13123">
            <wp:extent cx="4897377" cy="1296237"/>
            <wp:effectExtent l="0" t="0" r="5080" b="0"/>
            <wp:docPr id="4478692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869236" name="Picture 447869236"/>
                    <pic:cNvPicPr/>
                  </pic:nvPicPr>
                  <pic:blipFill>
                    <a:blip r:embed="rId8">
                      <a:extLst>
                        <a:ext uri="{28A0092B-C50C-407E-A947-70E740481C1C}">
                          <a14:useLocalDpi xmlns:a14="http://schemas.microsoft.com/office/drawing/2010/main" val="0"/>
                        </a:ext>
                      </a:extLst>
                    </a:blip>
                    <a:stretch>
                      <a:fillRect/>
                    </a:stretch>
                  </pic:blipFill>
                  <pic:spPr>
                    <a:xfrm>
                      <a:off x="0" y="0"/>
                      <a:ext cx="5049562" cy="1336517"/>
                    </a:xfrm>
                    <a:prstGeom prst="rect">
                      <a:avLst/>
                    </a:prstGeom>
                  </pic:spPr>
                </pic:pic>
              </a:graphicData>
            </a:graphic>
          </wp:inline>
        </w:drawing>
      </w:r>
    </w:p>
    <w:p w14:paraId="656CEE2F" w14:textId="77777777" w:rsidR="0018154A" w:rsidRPr="00343A7D" w:rsidRDefault="0018154A" w:rsidP="00343A7D">
      <w:pPr>
        <w:spacing w:line="360" w:lineRule="auto"/>
        <w:jc w:val="both"/>
        <w:rPr>
          <w:rFonts w:cs="Calibri"/>
          <w:b/>
          <w:bCs/>
          <w:color w:val="000000" w:themeColor="text1"/>
        </w:rPr>
      </w:pPr>
    </w:p>
    <w:p w14:paraId="09A06517" w14:textId="77777777" w:rsidR="0018154A" w:rsidRPr="00343A7D" w:rsidRDefault="0018154A" w:rsidP="00343A7D">
      <w:pPr>
        <w:spacing w:line="360" w:lineRule="auto"/>
        <w:jc w:val="both"/>
        <w:rPr>
          <w:rFonts w:cs="Calibri"/>
          <w:b/>
          <w:bCs/>
          <w:color w:val="000000" w:themeColor="text1"/>
        </w:rPr>
      </w:pPr>
    </w:p>
    <w:p w14:paraId="2C69416D" w14:textId="14A1AEDD" w:rsidR="00D61EF0" w:rsidRPr="005F1BBF" w:rsidRDefault="0099011D" w:rsidP="005F1BBF">
      <w:pPr>
        <w:spacing w:line="360" w:lineRule="auto"/>
        <w:jc w:val="center"/>
        <w:rPr>
          <w:rFonts w:cs="Calibri"/>
          <w:b/>
          <w:bCs/>
          <w:color w:val="000000" w:themeColor="text1"/>
          <w:sz w:val="40"/>
          <w:szCs w:val="40"/>
        </w:rPr>
      </w:pPr>
      <w:r w:rsidRPr="009072C5">
        <w:rPr>
          <w:rFonts w:cs="Calibri"/>
          <w:b/>
          <w:bCs/>
          <w:color w:val="000000" w:themeColor="text1"/>
          <w:sz w:val="40"/>
          <w:szCs w:val="40"/>
        </w:rPr>
        <w:t>Developing a Gender-Inclusive Framework for Women's Career Progression and Leadership Development in Technology-Enabled UK Corporate Organisations</w:t>
      </w:r>
    </w:p>
    <w:p w14:paraId="1CA399A9" w14:textId="77777777" w:rsidR="00D61EF0" w:rsidRPr="009072C5" w:rsidRDefault="00D61EF0" w:rsidP="00B854AC">
      <w:pPr>
        <w:spacing w:line="360" w:lineRule="auto"/>
        <w:rPr>
          <w:rFonts w:cs="Calibri"/>
          <w:b/>
          <w:bCs/>
          <w:color w:val="000000" w:themeColor="text1"/>
          <w:sz w:val="32"/>
          <w:szCs w:val="32"/>
        </w:rPr>
      </w:pPr>
    </w:p>
    <w:p w14:paraId="4B4AAFA7" w14:textId="2E55AF59" w:rsidR="00D61EF0" w:rsidRPr="009072C5" w:rsidRDefault="00E03938" w:rsidP="009072C5">
      <w:pPr>
        <w:spacing w:line="360" w:lineRule="auto"/>
        <w:jc w:val="center"/>
        <w:rPr>
          <w:rFonts w:cs="Calibri"/>
          <w:color w:val="000000" w:themeColor="text1"/>
          <w:sz w:val="32"/>
          <w:szCs w:val="32"/>
        </w:rPr>
      </w:pPr>
      <w:r w:rsidRPr="009072C5">
        <w:rPr>
          <w:rFonts w:cs="Calibri"/>
          <w:color w:val="000000" w:themeColor="text1"/>
          <w:sz w:val="32"/>
          <w:szCs w:val="32"/>
        </w:rPr>
        <w:t>Doctor of Business Administration</w:t>
      </w:r>
      <w:r w:rsidR="00511C09" w:rsidRPr="009072C5">
        <w:rPr>
          <w:rFonts w:cs="Calibri"/>
          <w:color w:val="000000" w:themeColor="text1"/>
          <w:sz w:val="32"/>
          <w:szCs w:val="32"/>
        </w:rPr>
        <w:t xml:space="preserve"> </w:t>
      </w:r>
      <w:r w:rsidR="0097187C" w:rsidRPr="009072C5">
        <w:rPr>
          <w:rFonts w:cs="Calibri"/>
          <w:color w:val="000000" w:themeColor="text1"/>
          <w:sz w:val="32"/>
          <w:szCs w:val="32"/>
        </w:rPr>
        <w:t>(DBA) Term 1</w:t>
      </w:r>
    </w:p>
    <w:p w14:paraId="51675FBE" w14:textId="3E2D18BD" w:rsidR="00E03938" w:rsidRPr="009072C5" w:rsidRDefault="006A4106" w:rsidP="009072C5">
      <w:pPr>
        <w:spacing w:line="360" w:lineRule="auto"/>
        <w:jc w:val="center"/>
        <w:rPr>
          <w:rFonts w:cs="Calibri"/>
          <w:color w:val="000000" w:themeColor="text1"/>
          <w:sz w:val="32"/>
          <w:szCs w:val="32"/>
        </w:rPr>
      </w:pPr>
      <w:r w:rsidRPr="009072C5">
        <w:rPr>
          <w:rFonts w:cs="Calibri"/>
          <w:color w:val="000000" w:themeColor="text1"/>
          <w:sz w:val="32"/>
          <w:szCs w:val="32"/>
        </w:rPr>
        <w:t xml:space="preserve">LCDB7007 - </w:t>
      </w:r>
      <w:r w:rsidR="00D520EB" w:rsidRPr="009072C5">
        <w:rPr>
          <w:rFonts w:cs="Calibri"/>
          <w:color w:val="000000" w:themeColor="text1"/>
          <w:sz w:val="32"/>
          <w:szCs w:val="32"/>
        </w:rPr>
        <w:t>Research Principles &amp; Philosophy</w:t>
      </w:r>
    </w:p>
    <w:p w14:paraId="5AE5A6C8" w14:textId="45B79180" w:rsidR="00D61EF0" w:rsidRPr="009072C5" w:rsidRDefault="00D61EF0" w:rsidP="009072C5">
      <w:pPr>
        <w:spacing w:line="360" w:lineRule="auto"/>
        <w:jc w:val="center"/>
        <w:rPr>
          <w:color w:val="000000" w:themeColor="text1"/>
          <w:sz w:val="32"/>
          <w:szCs w:val="32"/>
        </w:rPr>
      </w:pPr>
      <w:r w:rsidRPr="009072C5">
        <w:rPr>
          <w:color w:val="000000" w:themeColor="text1"/>
          <w:sz w:val="32"/>
          <w:szCs w:val="32"/>
        </w:rPr>
        <w:t xml:space="preserve">Professor </w:t>
      </w:r>
      <w:proofErr w:type="spellStart"/>
      <w:r w:rsidRPr="009072C5">
        <w:rPr>
          <w:color w:val="000000" w:themeColor="text1"/>
          <w:sz w:val="32"/>
          <w:szCs w:val="32"/>
        </w:rPr>
        <w:t>Ebad</w:t>
      </w:r>
      <w:proofErr w:type="spellEnd"/>
      <w:r w:rsidRPr="009072C5">
        <w:rPr>
          <w:color w:val="000000" w:themeColor="text1"/>
          <w:sz w:val="32"/>
          <w:szCs w:val="32"/>
        </w:rPr>
        <w:t xml:space="preserve"> </w:t>
      </w:r>
      <w:proofErr w:type="spellStart"/>
      <w:r w:rsidRPr="009072C5">
        <w:rPr>
          <w:color w:val="000000" w:themeColor="text1"/>
          <w:sz w:val="32"/>
          <w:szCs w:val="32"/>
        </w:rPr>
        <w:t>Banissi</w:t>
      </w:r>
      <w:proofErr w:type="spellEnd"/>
    </w:p>
    <w:p w14:paraId="06E911EF" w14:textId="6ED9916B" w:rsidR="006627FA" w:rsidRPr="009072C5" w:rsidRDefault="006627FA" w:rsidP="009072C5">
      <w:pPr>
        <w:spacing w:line="360" w:lineRule="auto"/>
        <w:jc w:val="center"/>
        <w:rPr>
          <w:color w:val="000000" w:themeColor="text1"/>
          <w:sz w:val="32"/>
          <w:szCs w:val="32"/>
        </w:rPr>
      </w:pPr>
      <w:r w:rsidRPr="009072C5">
        <w:rPr>
          <w:color w:val="000000" w:themeColor="text1"/>
          <w:sz w:val="32"/>
          <w:szCs w:val="32"/>
        </w:rPr>
        <w:t>Student ID: 2541133</w:t>
      </w:r>
    </w:p>
    <w:p w14:paraId="7D4D0DE6" w14:textId="6A3BDA4A" w:rsidR="00075EC6" w:rsidRDefault="00075EC6" w:rsidP="009072C5">
      <w:pPr>
        <w:spacing w:line="360" w:lineRule="auto"/>
        <w:jc w:val="center"/>
        <w:rPr>
          <w:color w:val="000000" w:themeColor="text1"/>
          <w:sz w:val="32"/>
          <w:szCs w:val="32"/>
        </w:rPr>
      </w:pPr>
      <w:r w:rsidRPr="009072C5">
        <w:rPr>
          <w:color w:val="000000" w:themeColor="text1"/>
          <w:sz w:val="32"/>
          <w:szCs w:val="32"/>
        </w:rPr>
        <w:t xml:space="preserve">Word count: </w:t>
      </w:r>
      <w:r w:rsidR="00474E65" w:rsidRPr="009072C5">
        <w:rPr>
          <w:color w:val="000000" w:themeColor="text1"/>
          <w:sz w:val="32"/>
          <w:szCs w:val="32"/>
        </w:rPr>
        <w:t>74</w:t>
      </w:r>
      <w:r w:rsidR="00DE5288">
        <w:rPr>
          <w:color w:val="000000" w:themeColor="text1"/>
          <w:sz w:val="32"/>
          <w:szCs w:val="32"/>
        </w:rPr>
        <w:t>27</w:t>
      </w:r>
    </w:p>
    <w:p w14:paraId="5BCDD3CD" w14:textId="2C08BF97" w:rsidR="00C57FEA" w:rsidRPr="00214892" w:rsidRDefault="00C57FEA" w:rsidP="009072C5">
      <w:pPr>
        <w:spacing w:line="360" w:lineRule="auto"/>
        <w:jc w:val="center"/>
        <w:rPr>
          <w:color w:val="000000" w:themeColor="text1"/>
          <w:sz w:val="22"/>
          <w:szCs w:val="22"/>
        </w:rPr>
      </w:pPr>
      <w:r w:rsidRPr="00214892">
        <w:rPr>
          <w:color w:val="000000" w:themeColor="text1"/>
          <w:sz w:val="22"/>
          <w:szCs w:val="22"/>
        </w:rPr>
        <w:t>Excluding tables, figures and references</w:t>
      </w:r>
    </w:p>
    <w:p w14:paraId="6A62ED7C" w14:textId="77777777" w:rsidR="00F413EB" w:rsidRDefault="00F413EB" w:rsidP="00343A7D">
      <w:pPr>
        <w:spacing w:line="360" w:lineRule="auto"/>
        <w:jc w:val="both"/>
        <w:rPr>
          <w:color w:val="000000" w:themeColor="text1"/>
        </w:rPr>
      </w:pPr>
    </w:p>
    <w:p w14:paraId="552110F4" w14:textId="77777777" w:rsidR="009072C5" w:rsidRPr="00343A7D" w:rsidRDefault="009072C5" w:rsidP="00343A7D">
      <w:pPr>
        <w:spacing w:line="360" w:lineRule="auto"/>
        <w:jc w:val="both"/>
        <w:rPr>
          <w:color w:val="000000" w:themeColor="text1"/>
        </w:rPr>
      </w:pPr>
    </w:p>
    <w:p w14:paraId="61CD8902" w14:textId="5667E256" w:rsidR="00A608B8" w:rsidRDefault="00C2033B" w:rsidP="00343A7D">
      <w:pPr>
        <w:spacing w:line="360" w:lineRule="auto"/>
        <w:jc w:val="both"/>
        <w:rPr>
          <w:b/>
          <w:bCs/>
          <w:color w:val="000000" w:themeColor="text1"/>
        </w:rPr>
      </w:pPr>
      <w:r w:rsidRPr="00343A7D">
        <w:rPr>
          <w:b/>
          <w:bCs/>
          <w:color w:val="000000" w:themeColor="text1"/>
        </w:rPr>
        <w:lastRenderedPageBreak/>
        <w:t>Table of cont</w:t>
      </w:r>
      <w:r w:rsidR="00A608B8" w:rsidRPr="00343A7D">
        <w:rPr>
          <w:b/>
          <w:bCs/>
          <w:color w:val="000000" w:themeColor="text1"/>
        </w:rPr>
        <w:t>ent</w:t>
      </w:r>
    </w:p>
    <w:p w14:paraId="07889645" w14:textId="77777777" w:rsidR="002F163D" w:rsidRPr="002F163D" w:rsidRDefault="002F163D" w:rsidP="002F163D">
      <w:pPr>
        <w:tabs>
          <w:tab w:val="right" w:leader="dot" w:pos="8856"/>
        </w:tabs>
        <w:spacing w:after="40" w:line="240" w:lineRule="auto"/>
        <w:rPr>
          <w:color w:val="000000" w:themeColor="text1"/>
        </w:rPr>
      </w:pPr>
      <w:hyperlink w:anchor="toc_heading_01" w:history="1">
        <w:r w:rsidRPr="002F163D">
          <w:rPr>
            <w:b/>
            <w:color w:val="000000" w:themeColor="text1"/>
          </w:rPr>
          <w:t>Abstract</w:t>
        </w:r>
      </w:hyperlink>
      <w:r w:rsidRPr="002F163D">
        <w:rPr>
          <w:color w:val="000000" w:themeColor="text1"/>
        </w:rPr>
        <w:tab/>
      </w:r>
      <w:hyperlink w:anchor="toc_heading_01" w:history="1">
        <w:r w:rsidRPr="002F163D">
          <w:rPr>
            <w:b/>
            <w:color w:val="000000" w:themeColor="text1"/>
          </w:rPr>
          <w:t>3</w:t>
        </w:r>
      </w:hyperlink>
    </w:p>
    <w:p w14:paraId="1DF98C37" w14:textId="77777777" w:rsidR="002F163D" w:rsidRPr="002F163D" w:rsidRDefault="002F163D" w:rsidP="002F163D">
      <w:pPr>
        <w:tabs>
          <w:tab w:val="right" w:leader="dot" w:pos="8856"/>
        </w:tabs>
        <w:spacing w:after="40" w:line="240" w:lineRule="auto"/>
        <w:rPr>
          <w:color w:val="000000" w:themeColor="text1"/>
        </w:rPr>
      </w:pPr>
      <w:hyperlink w:anchor="toc_heading_02" w:history="1">
        <w:r w:rsidRPr="002F163D">
          <w:rPr>
            <w:b/>
            <w:color w:val="000000" w:themeColor="text1"/>
          </w:rPr>
          <w:t>1. Introduction</w:t>
        </w:r>
      </w:hyperlink>
      <w:r w:rsidRPr="002F163D">
        <w:rPr>
          <w:color w:val="000000" w:themeColor="text1"/>
        </w:rPr>
        <w:tab/>
      </w:r>
      <w:hyperlink w:anchor="toc_heading_02" w:history="1">
        <w:r w:rsidRPr="002F163D">
          <w:rPr>
            <w:b/>
            <w:color w:val="000000" w:themeColor="text1"/>
          </w:rPr>
          <w:t>4</w:t>
        </w:r>
      </w:hyperlink>
    </w:p>
    <w:p w14:paraId="0984E7D6" w14:textId="77777777" w:rsidR="002F163D" w:rsidRPr="002F163D" w:rsidRDefault="002F163D" w:rsidP="002F163D">
      <w:pPr>
        <w:tabs>
          <w:tab w:val="right" w:leader="dot" w:pos="8856"/>
        </w:tabs>
        <w:spacing w:after="40" w:line="240" w:lineRule="auto"/>
        <w:ind w:left="403"/>
        <w:rPr>
          <w:color w:val="000000" w:themeColor="text1"/>
        </w:rPr>
      </w:pPr>
      <w:hyperlink w:anchor="toc_heading_03" w:history="1">
        <w:r w:rsidRPr="002F163D">
          <w:rPr>
            <w:color w:val="000000" w:themeColor="text1"/>
          </w:rPr>
          <w:t>1.1 Background and organisational problem</w:t>
        </w:r>
      </w:hyperlink>
      <w:r w:rsidRPr="002F163D">
        <w:rPr>
          <w:color w:val="000000" w:themeColor="text1"/>
        </w:rPr>
        <w:tab/>
      </w:r>
      <w:hyperlink w:anchor="toc_heading_03" w:history="1">
        <w:r w:rsidRPr="002F163D">
          <w:rPr>
            <w:color w:val="000000" w:themeColor="text1"/>
          </w:rPr>
          <w:t>4</w:t>
        </w:r>
      </w:hyperlink>
    </w:p>
    <w:p w14:paraId="4ABEA5A7" w14:textId="77777777" w:rsidR="002F163D" w:rsidRPr="002F163D" w:rsidRDefault="002F163D" w:rsidP="002F163D">
      <w:pPr>
        <w:tabs>
          <w:tab w:val="right" w:leader="dot" w:pos="8856"/>
        </w:tabs>
        <w:spacing w:after="40" w:line="240" w:lineRule="auto"/>
        <w:ind w:left="403"/>
        <w:rPr>
          <w:color w:val="000000" w:themeColor="text1"/>
        </w:rPr>
      </w:pPr>
      <w:hyperlink w:anchor="toc_heading_04" w:history="1">
        <w:r w:rsidRPr="002F163D">
          <w:rPr>
            <w:color w:val="000000" w:themeColor="text1"/>
          </w:rPr>
          <w:t>1.2 Research gap, aim and questions</w:t>
        </w:r>
      </w:hyperlink>
      <w:r w:rsidRPr="002F163D">
        <w:rPr>
          <w:color w:val="000000" w:themeColor="text1"/>
        </w:rPr>
        <w:tab/>
      </w:r>
      <w:hyperlink w:anchor="toc_heading_04" w:history="1">
        <w:r w:rsidRPr="002F163D">
          <w:rPr>
            <w:color w:val="000000" w:themeColor="text1"/>
          </w:rPr>
          <w:t>4</w:t>
        </w:r>
      </w:hyperlink>
    </w:p>
    <w:p w14:paraId="0EE5D841" w14:textId="77777777" w:rsidR="002F163D" w:rsidRPr="002F163D" w:rsidRDefault="002F163D" w:rsidP="002F163D">
      <w:pPr>
        <w:tabs>
          <w:tab w:val="right" w:leader="dot" w:pos="8856"/>
        </w:tabs>
        <w:spacing w:after="40" w:line="240" w:lineRule="auto"/>
        <w:rPr>
          <w:color w:val="000000" w:themeColor="text1"/>
        </w:rPr>
      </w:pPr>
      <w:hyperlink w:anchor="toc_heading_05" w:history="1">
        <w:r w:rsidRPr="002F163D">
          <w:rPr>
            <w:b/>
            <w:color w:val="000000" w:themeColor="text1"/>
          </w:rPr>
          <w:t>2. Method for Conducting the Literature Review</w:t>
        </w:r>
      </w:hyperlink>
      <w:r w:rsidRPr="002F163D">
        <w:rPr>
          <w:color w:val="000000" w:themeColor="text1"/>
        </w:rPr>
        <w:tab/>
      </w:r>
      <w:hyperlink w:anchor="toc_heading_05" w:history="1">
        <w:r w:rsidRPr="002F163D">
          <w:rPr>
            <w:b/>
            <w:color w:val="000000" w:themeColor="text1"/>
          </w:rPr>
          <w:t>6</w:t>
        </w:r>
      </w:hyperlink>
    </w:p>
    <w:p w14:paraId="22A5EE43" w14:textId="77777777" w:rsidR="002F163D" w:rsidRPr="002F163D" w:rsidRDefault="002F163D" w:rsidP="002F163D">
      <w:pPr>
        <w:tabs>
          <w:tab w:val="right" w:leader="dot" w:pos="8856"/>
        </w:tabs>
        <w:spacing w:after="40" w:line="240" w:lineRule="auto"/>
        <w:rPr>
          <w:color w:val="000000" w:themeColor="text1"/>
        </w:rPr>
      </w:pPr>
      <w:hyperlink w:anchor="toc_heading_06" w:history="1">
        <w:r w:rsidRPr="002F163D">
          <w:rPr>
            <w:b/>
            <w:color w:val="000000" w:themeColor="text1"/>
          </w:rPr>
          <w:t>3. Critical Literature Review</w:t>
        </w:r>
      </w:hyperlink>
      <w:r w:rsidRPr="002F163D">
        <w:rPr>
          <w:color w:val="000000" w:themeColor="text1"/>
        </w:rPr>
        <w:tab/>
      </w:r>
      <w:hyperlink w:anchor="toc_heading_06" w:history="1">
        <w:r w:rsidRPr="002F163D">
          <w:rPr>
            <w:b/>
            <w:color w:val="000000" w:themeColor="text1"/>
          </w:rPr>
          <w:t>8</w:t>
        </w:r>
      </w:hyperlink>
    </w:p>
    <w:p w14:paraId="52B2401A" w14:textId="77777777" w:rsidR="002F163D" w:rsidRPr="002F163D" w:rsidRDefault="002F163D" w:rsidP="002F163D">
      <w:pPr>
        <w:tabs>
          <w:tab w:val="right" w:leader="dot" w:pos="8856"/>
        </w:tabs>
        <w:spacing w:after="40" w:line="240" w:lineRule="auto"/>
        <w:ind w:left="403"/>
        <w:rPr>
          <w:color w:val="000000" w:themeColor="text1"/>
        </w:rPr>
      </w:pPr>
      <w:hyperlink w:anchor="toc_heading_07" w:history="1">
        <w:r w:rsidRPr="002F163D">
          <w:rPr>
            <w:color w:val="000000" w:themeColor="text1"/>
          </w:rPr>
          <w:t>3.1 Women’s Career Progression in Technology-Enabled Organisations</w:t>
        </w:r>
      </w:hyperlink>
      <w:r w:rsidRPr="002F163D">
        <w:rPr>
          <w:color w:val="000000" w:themeColor="text1"/>
        </w:rPr>
        <w:tab/>
      </w:r>
      <w:hyperlink w:anchor="toc_heading_07" w:history="1">
        <w:r w:rsidRPr="002F163D">
          <w:rPr>
            <w:color w:val="000000" w:themeColor="text1"/>
          </w:rPr>
          <w:t>8</w:t>
        </w:r>
      </w:hyperlink>
    </w:p>
    <w:p w14:paraId="1B521564" w14:textId="77777777" w:rsidR="002F163D" w:rsidRPr="002F163D" w:rsidRDefault="002F163D" w:rsidP="002F163D">
      <w:pPr>
        <w:tabs>
          <w:tab w:val="right" w:leader="dot" w:pos="8856"/>
        </w:tabs>
        <w:spacing w:after="40" w:line="240" w:lineRule="auto"/>
        <w:ind w:left="403"/>
        <w:rPr>
          <w:color w:val="000000" w:themeColor="text1"/>
        </w:rPr>
      </w:pPr>
      <w:hyperlink w:anchor="toc_heading_08" w:history="1">
        <w:r w:rsidRPr="002F163D">
          <w:rPr>
            <w:color w:val="000000" w:themeColor="text1"/>
          </w:rPr>
          <w:t>3.2 Inclusive Leadership and Organisational Culture</w:t>
        </w:r>
      </w:hyperlink>
      <w:r w:rsidRPr="002F163D">
        <w:rPr>
          <w:color w:val="000000" w:themeColor="text1"/>
        </w:rPr>
        <w:tab/>
      </w:r>
      <w:hyperlink w:anchor="toc_heading_08" w:history="1">
        <w:r w:rsidRPr="002F163D">
          <w:rPr>
            <w:color w:val="000000" w:themeColor="text1"/>
          </w:rPr>
          <w:t>9</w:t>
        </w:r>
      </w:hyperlink>
    </w:p>
    <w:p w14:paraId="370B5F0B" w14:textId="0D68B2EF" w:rsidR="002F163D" w:rsidRPr="002F163D" w:rsidRDefault="002F163D" w:rsidP="002F163D">
      <w:pPr>
        <w:tabs>
          <w:tab w:val="right" w:leader="dot" w:pos="8856"/>
        </w:tabs>
        <w:spacing w:after="40" w:line="240" w:lineRule="auto"/>
        <w:ind w:left="403"/>
        <w:rPr>
          <w:color w:val="000000" w:themeColor="text1"/>
        </w:rPr>
      </w:pPr>
      <w:hyperlink w:anchor="toc_heading_09" w:history="1">
        <w:r w:rsidRPr="002F163D">
          <w:rPr>
            <w:color w:val="000000" w:themeColor="text1"/>
          </w:rPr>
          <w:t>3.3 Digital Transformation and Leadership Development</w:t>
        </w:r>
      </w:hyperlink>
      <w:r w:rsidRPr="002F163D">
        <w:rPr>
          <w:color w:val="000000" w:themeColor="text1"/>
        </w:rPr>
        <w:tab/>
      </w:r>
      <w:hyperlink w:anchor="toc_heading_09" w:history="1">
        <w:r w:rsidR="00CE2226">
          <w:rPr>
            <w:color w:val="000000" w:themeColor="text1"/>
          </w:rPr>
          <w:t>12</w:t>
        </w:r>
      </w:hyperlink>
    </w:p>
    <w:p w14:paraId="4A49E7F0" w14:textId="5104E519" w:rsidR="002F163D" w:rsidRPr="002F163D" w:rsidRDefault="002F163D" w:rsidP="002F163D">
      <w:pPr>
        <w:tabs>
          <w:tab w:val="right" w:leader="dot" w:pos="8856"/>
        </w:tabs>
        <w:spacing w:after="40" w:line="240" w:lineRule="auto"/>
        <w:ind w:left="403"/>
        <w:rPr>
          <w:color w:val="000000" w:themeColor="text1"/>
        </w:rPr>
      </w:pPr>
      <w:hyperlink w:anchor="toc_heading_10" w:history="1">
        <w:r w:rsidRPr="002F163D">
          <w:rPr>
            <w:color w:val="000000" w:themeColor="text1"/>
          </w:rPr>
          <w:t>3.4 Organisational Capability for Gender Inclusion</w:t>
        </w:r>
      </w:hyperlink>
      <w:r w:rsidRPr="002F163D">
        <w:rPr>
          <w:color w:val="000000" w:themeColor="text1"/>
        </w:rPr>
        <w:tab/>
      </w:r>
      <w:hyperlink w:anchor="toc_heading_10" w:history="1">
        <w:r w:rsidRPr="002F163D">
          <w:rPr>
            <w:color w:val="000000" w:themeColor="text1"/>
          </w:rPr>
          <w:t>1</w:t>
        </w:r>
        <w:r w:rsidR="00CE2226">
          <w:rPr>
            <w:color w:val="000000" w:themeColor="text1"/>
          </w:rPr>
          <w:t>5</w:t>
        </w:r>
      </w:hyperlink>
    </w:p>
    <w:p w14:paraId="1053ABD8" w14:textId="21374244" w:rsidR="002F163D" w:rsidRPr="002F163D" w:rsidRDefault="002F163D" w:rsidP="002F163D">
      <w:pPr>
        <w:tabs>
          <w:tab w:val="right" w:leader="dot" w:pos="8856"/>
        </w:tabs>
        <w:spacing w:after="40" w:line="240" w:lineRule="auto"/>
        <w:ind w:left="403"/>
        <w:rPr>
          <w:color w:val="000000" w:themeColor="text1"/>
        </w:rPr>
      </w:pPr>
      <w:hyperlink w:anchor="toc_heading_11" w:history="1">
        <w:r w:rsidRPr="002F163D">
          <w:rPr>
            <w:color w:val="000000" w:themeColor="text1"/>
          </w:rPr>
          <w:t>3.5 Contemporary Challenges: Human and Algorithmic Bias</w:t>
        </w:r>
      </w:hyperlink>
      <w:r w:rsidRPr="002F163D">
        <w:rPr>
          <w:color w:val="000000" w:themeColor="text1"/>
        </w:rPr>
        <w:tab/>
      </w:r>
      <w:r w:rsidR="00CE2226">
        <w:rPr>
          <w:color w:val="000000" w:themeColor="text1"/>
        </w:rPr>
        <w:t>1</w:t>
      </w:r>
      <w:hyperlink w:anchor="toc_heading_11" w:history="1">
        <w:r w:rsidR="00CE2226">
          <w:rPr>
            <w:color w:val="000000" w:themeColor="text1"/>
          </w:rPr>
          <w:t>8</w:t>
        </w:r>
      </w:hyperlink>
    </w:p>
    <w:p w14:paraId="74F44625" w14:textId="6270ECBF" w:rsidR="002F163D" w:rsidRPr="002F163D" w:rsidRDefault="002F163D" w:rsidP="002F163D">
      <w:pPr>
        <w:tabs>
          <w:tab w:val="right" w:leader="dot" w:pos="8856"/>
        </w:tabs>
        <w:spacing w:after="40" w:line="240" w:lineRule="auto"/>
        <w:ind w:left="403"/>
        <w:rPr>
          <w:color w:val="000000" w:themeColor="text1"/>
        </w:rPr>
      </w:pPr>
      <w:hyperlink w:anchor="toc_heading_12" w:history="1">
        <w:r w:rsidRPr="002F163D">
          <w:rPr>
            <w:color w:val="000000" w:themeColor="text1"/>
          </w:rPr>
          <w:t>3.6 Literature Synthesis and Research Gaps</w:t>
        </w:r>
      </w:hyperlink>
      <w:r w:rsidRPr="002F163D">
        <w:rPr>
          <w:color w:val="000000" w:themeColor="text1"/>
        </w:rPr>
        <w:tab/>
      </w:r>
      <w:hyperlink w:anchor="toc_heading_12" w:history="1">
        <w:r w:rsidR="00CE2226">
          <w:rPr>
            <w:color w:val="000000" w:themeColor="text1"/>
          </w:rPr>
          <w:t>20</w:t>
        </w:r>
      </w:hyperlink>
    </w:p>
    <w:p w14:paraId="5A3400FC" w14:textId="2A637B42" w:rsidR="002F163D" w:rsidRPr="002F163D" w:rsidRDefault="002F163D" w:rsidP="002F163D">
      <w:pPr>
        <w:tabs>
          <w:tab w:val="right" w:leader="dot" w:pos="8856"/>
        </w:tabs>
        <w:spacing w:after="40" w:line="240" w:lineRule="auto"/>
        <w:rPr>
          <w:color w:val="000000" w:themeColor="text1"/>
        </w:rPr>
      </w:pPr>
      <w:hyperlink w:anchor="toc_heading_13" w:history="1">
        <w:r w:rsidRPr="002F163D">
          <w:rPr>
            <w:b/>
            <w:color w:val="000000" w:themeColor="text1"/>
          </w:rPr>
          <w:t>4. Philosophical and Methodological Analysis</w:t>
        </w:r>
      </w:hyperlink>
      <w:r w:rsidRPr="002F163D">
        <w:rPr>
          <w:color w:val="000000" w:themeColor="text1"/>
        </w:rPr>
        <w:tab/>
      </w:r>
      <w:hyperlink w:anchor="toc_heading_13" w:history="1">
        <w:r w:rsidR="00CE2226">
          <w:rPr>
            <w:b/>
            <w:color w:val="000000" w:themeColor="text1"/>
          </w:rPr>
          <w:t>23</w:t>
        </w:r>
      </w:hyperlink>
    </w:p>
    <w:p w14:paraId="1816B404" w14:textId="0046AEEE" w:rsidR="002F163D" w:rsidRPr="002F163D" w:rsidRDefault="002F163D" w:rsidP="002F163D">
      <w:pPr>
        <w:tabs>
          <w:tab w:val="right" w:leader="dot" w:pos="8856"/>
        </w:tabs>
        <w:spacing w:after="40" w:line="240" w:lineRule="auto"/>
        <w:ind w:left="403"/>
        <w:rPr>
          <w:color w:val="000000" w:themeColor="text1"/>
        </w:rPr>
      </w:pPr>
      <w:hyperlink w:anchor="toc_heading_14" w:history="1">
        <w:r w:rsidRPr="002F163D">
          <w:rPr>
            <w:color w:val="000000" w:themeColor="text1"/>
          </w:rPr>
          <w:t xml:space="preserve">4.1 Overview </w:t>
        </w:r>
      </w:hyperlink>
      <w:r w:rsidRPr="002F163D">
        <w:rPr>
          <w:color w:val="000000" w:themeColor="text1"/>
        </w:rPr>
        <w:tab/>
      </w:r>
      <w:hyperlink w:anchor="toc_heading_14" w:history="1">
        <w:r w:rsidR="00CE2226">
          <w:rPr>
            <w:color w:val="000000" w:themeColor="text1"/>
          </w:rPr>
          <w:t>23</w:t>
        </w:r>
      </w:hyperlink>
    </w:p>
    <w:p w14:paraId="3A04C995" w14:textId="19F9E7FB" w:rsidR="002F163D" w:rsidRPr="002F163D" w:rsidRDefault="002F163D" w:rsidP="002F163D">
      <w:pPr>
        <w:tabs>
          <w:tab w:val="right" w:leader="dot" w:pos="8856"/>
        </w:tabs>
        <w:spacing w:after="40" w:line="240" w:lineRule="auto"/>
        <w:ind w:left="403"/>
        <w:rPr>
          <w:color w:val="000000" w:themeColor="text1"/>
        </w:rPr>
      </w:pPr>
      <w:hyperlink w:anchor="toc_heading_15" w:history="1">
        <w:r w:rsidRPr="002F163D">
          <w:rPr>
            <w:color w:val="000000" w:themeColor="text1"/>
          </w:rPr>
          <w:t>4.2 Ontological and Epistemological Positioning</w:t>
        </w:r>
      </w:hyperlink>
      <w:r w:rsidRPr="002F163D">
        <w:rPr>
          <w:color w:val="000000" w:themeColor="text1"/>
        </w:rPr>
        <w:tab/>
      </w:r>
      <w:r w:rsidR="00CE2226">
        <w:t>26</w:t>
      </w:r>
    </w:p>
    <w:p w14:paraId="64B62195" w14:textId="2DE4BF62" w:rsidR="002F163D" w:rsidRPr="002F163D" w:rsidRDefault="002F163D" w:rsidP="002F163D">
      <w:pPr>
        <w:tabs>
          <w:tab w:val="right" w:leader="dot" w:pos="8856"/>
        </w:tabs>
        <w:spacing w:after="40" w:line="240" w:lineRule="auto"/>
        <w:ind w:left="403"/>
        <w:rPr>
          <w:color w:val="000000" w:themeColor="text1"/>
        </w:rPr>
      </w:pPr>
      <w:hyperlink w:anchor="toc_heading_16" w:history="1">
        <w:r w:rsidRPr="002F163D">
          <w:rPr>
            <w:color w:val="000000" w:themeColor="text1"/>
          </w:rPr>
          <w:t>4.3 Axiology and Researcher Positionality</w:t>
        </w:r>
      </w:hyperlink>
      <w:r w:rsidRPr="002F163D">
        <w:rPr>
          <w:color w:val="000000" w:themeColor="text1"/>
        </w:rPr>
        <w:tab/>
      </w:r>
      <w:hyperlink w:anchor="toc_heading_16" w:history="1">
        <w:r w:rsidR="00CE2226">
          <w:rPr>
            <w:color w:val="000000" w:themeColor="text1"/>
          </w:rPr>
          <w:t>26</w:t>
        </w:r>
      </w:hyperlink>
    </w:p>
    <w:p w14:paraId="3A3343C5" w14:textId="31735B0D" w:rsidR="002F163D" w:rsidRPr="002F163D" w:rsidRDefault="002F163D" w:rsidP="002F163D">
      <w:pPr>
        <w:tabs>
          <w:tab w:val="right" w:leader="dot" w:pos="8856"/>
        </w:tabs>
        <w:spacing w:after="40" w:line="240" w:lineRule="auto"/>
        <w:ind w:left="403"/>
        <w:rPr>
          <w:color w:val="000000" w:themeColor="text1"/>
        </w:rPr>
      </w:pPr>
      <w:hyperlink w:anchor="toc_heading_17" w:history="1">
        <w:r w:rsidRPr="002F163D">
          <w:rPr>
            <w:color w:val="000000" w:themeColor="text1"/>
          </w:rPr>
          <w:t>4.4 Methodological Quality: Reliability, Validity and Trustworthiness</w:t>
        </w:r>
      </w:hyperlink>
      <w:r w:rsidRPr="002F163D">
        <w:rPr>
          <w:color w:val="000000" w:themeColor="text1"/>
        </w:rPr>
        <w:tab/>
      </w:r>
      <w:hyperlink w:anchor="toc_heading_17" w:history="1">
        <w:r w:rsidRPr="002F163D">
          <w:rPr>
            <w:color w:val="000000" w:themeColor="text1"/>
          </w:rPr>
          <w:t>2</w:t>
        </w:r>
        <w:r w:rsidR="00CE2226">
          <w:rPr>
            <w:color w:val="000000" w:themeColor="text1"/>
          </w:rPr>
          <w:t>7</w:t>
        </w:r>
      </w:hyperlink>
    </w:p>
    <w:p w14:paraId="5BBBB2F5" w14:textId="028D94C0" w:rsidR="002F163D" w:rsidRPr="002F163D" w:rsidRDefault="002F163D" w:rsidP="002F163D">
      <w:pPr>
        <w:tabs>
          <w:tab w:val="right" w:leader="dot" w:pos="8856"/>
        </w:tabs>
        <w:spacing w:after="40" w:line="240" w:lineRule="auto"/>
        <w:ind w:left="403"/>
        <w:rPr>
          <w:color w:val="000000" w:themeColor="text1"/>
        </w:rPr>
      </w:pPr>
      <w:hyperlink w:anchor="toc_heading_18" w:history="1">
        <w:r w:rsidRPr="002F163D">
          <w:rPr>
            <w:color w:val="000000" w:themeColor="text1"/>
          </w:rPr>
          <w:t>4.5 Ethical Considerations</w:t>
        </w:r>
      </w:hyperlink>
      <w:r w:rsidRPr="002F163D">
        <w:rPr>
          <w:color w:val="000000" w:themeColor="text1"/>
        </w:rPr>
        <w:tab/>
      </w:r>
      <w:hyperlink w:anchor="toc_heading_18" w:history="1">
        <w:r w:rsidR="00CE2226">
          <w:rPr>
            <w:color w:val="000000" w:themeColor="text1"/>
          </w:rPr>
          <w:t>28</w:t>
        </w:r>
      </w:hyperlink>
    </w:p>
    <w:p w14:paraId="4ACD4B67" w14:textId="127BA36A" w:rsidR="002F163D" w:rsidRPr="002F163D" w:rsidRDefault="002F163D" w:rsidP="002F163D">
      <w:pPr>
        <w:tabs>
          <w:tab w:val="right" w:leader="dot" w:pos="8856"/>
        </w:tabs>
        <w:spacing w:after="40" w:line="240" w:lineRule="auto"/>
        <w:ind w:left="403"/>
        <w:rPr>
          <w:color w:val="000000" w:themeColor="text1"/>
        </w:rPr>
      </w:pPr>
      <w:hyperlink w:anchor="toc_heading_19" w:history="1">
        <w:r w:rsidRPr="002F163D">
          <w:rPr>
            <w:color w:val="000000" w:themeColor="text1"/>
          </w:rPr>
          <w:t>4.6 Critical Appraisal</w:t>
        </w:r>
      </w:hyperlink>
      <w:r w:rsidRPr="002F163D">
        <w:rPr>
          <w:color w:val="000000" w:themeColor="text1"/>
        </w:rPr>
        <w:tab/>
      </w:r>
      <w:hyperlink w:anchor="toc_heading_19" w:history="1">
        <w:r w:rsidRPr="002F163D">
          <w:rPr>
            <w:color w:val="000000" w:themeColor="text1"/>
          </w:rPr>
          <w:t>2</w:t>
        </w:r>
        <w:r w:rsidR="00CE2226">
          <w:rPr>
            <w:color w:val="000000" w:themeColor="text1"/>
          </w:rPr>
          <w:t>9</w:t>
        </w:r>
      </w:hyperlink>
    </w:p>
    <w:p w14:paraId="40D2858F" w14:textId="12A737B5" w:rsidR="002F163D" w:rsidRPr="002F163D" w:rsidRDefault="002F163D" w:rsidP="002F163D">
      <w:pPr>
        <w:tabs>
          <w:tab w:val="right" w:leader="dot" w:pos="8856"/>
        </w:tabs>
        <w:spacing w:after="40" w:line="240" w:lineRule="auto"/>
        <w:rPr>
          <w:color w:val="000000" w:themeColor="text1"/>
        </w:rPr>
      </w:pPr>
      <w:hyperlink w:anchor="toc_heading_20" w:history="1">
        <w:r w:rsidRPr="002F163D">
          <w:rPr>
            <w:b/>
            <w:color w:val="000000" w:themeColor="text1"/>
          </w:rPr>
          <w:t>5. Discussion and Contribution</w:t>
        </w:r>
      </w:hyperlink>
      <w:r w:rsidRPr="002F163D">
        <w:rPr>
          <w:color w:val="000000" w:themeColor="text1"/>
        </w:rPr>
        <w:tab/>
      </w:r>
      <w:r w:rsidR="00CE2226">
        <w:t>31</w:t>
      </w:r>
    </w:p>
    <w:p w14:paraId="675AA24D" w14:textId="2DDF0B13" w:rsidR="002F163D" w:rsidRPr="002F163D" w:rsidRDefault="002F163D" w:rsidP="002F163D">
      <w:pPr>
        <w:tabs>
          <w:tab w:val="right" w:leader="dot" w:pos="8856"/>
        </w:tabs>
        <w:spacing w:after="40" w:line="240" w:lineRule="auto"/>
        <w:rPr>
          <w:color w:val="000000" w:themeColor="text1"/>
        </w:rPr>
      </w:pPr>
      <w:hyperlink w:anchor="toc_heading_21" w:history="1">
        <w:r w:rsidRPr="002F163D">
          <w:rPr>
            <w:b/>
            <w:color w:val="000000" w:themeColor="text1"/>
          </w:rPr>
          <w:t>6. Conclusion</w:t>
        </w:r>
      </w:hyperlink>
      <w:r w:rsidRPr="002F163D">
        <w:rPr>
          <w:color w:val="000000" w:themeColor="text1"/>
        </w:rPr>
        <w:tab/>
      </w:r>
      <w:r w:rsidR="00CE2226">
        <w:t>35</w:t>
      </w:r>
    </w:p>
    <w:p w14:paraId="1B115EA2" w14:textId="4663C25D" w:rsidR="002F163D" w:rsidRPr="002F163D" w:rsidRDefault="002F163D" w:rsidP="002F163D">
      <w:pPr>
        <w:tabs>
          <w:tab w:val="right" w:leader="dot" w:pos="8856"/>
        </w:tabs>
        <w:spacing w:after="40" w:line="240" w:lineRule="auto"/>
        <w:rPr>
          <w:color w:val="000000" w:themeColor="text1"/>
        </w:rPr>
      </w:pPr>
      <w:hyperlink w:anchor="toc_heading_22" w:history="1">
        <w:r w:rsidRPr="002F163D">
          <w:rPr>
            <w:b/>
            <w:color w:val="000000" w:themeColor="text1"/>
          </w:rPr>
          <w:t>References</w:t>
        </w:r>
      </w:hyperlink>
      <w:r w:rsidRPr="002F163D">
        <w:rPr>
          <w:color w:val="000000" w:themeColor="text1"/>
        </w:rPr>
        <w:tab/>
      </w:r>
      <w:r w:rsidR="00CE2226">
        <w:t>36</w:t>
      </w:r>
    </w:p>
    <w:p w14:paraId="52768C4F" w14:textId="1038166D" w:rsidR="006A02E8" w:rsidRPr="009F35D5" w:rsidRDefault="002F163D" w:rsidP="009F35D5">
      <w:r>
        <w:br w:type="page"/>
      </w:r>
    </w:p>
    <w:p w14:paraId="53A8A92E" w14:textId="77777777" w:rsidR="00B41906" w:rsidRPr="00343A7D" w:rsidRDefault="00B41906" w:rsidP="00343A7D">
      <w:pPr>
        <w:spacing w:line="360" w:lineRule="auto"/>
        <w:jc w:val="both"/>
        <w:rPr>
          <w:color w:val="000000" w:themeColor="text1"/>
        </w:rPr>
      </w:pPr>
    </w:p>
    <w:p w14:paraId="4302BC51" w14:textId="3FD7C4E0" w:rsidR="00F65CF9" w:rsidRPr="00343A7D" w:rsidRDefault="00B42F87" w:rsidP="00343A7D">
      <w:pPr>
        <w:spacing w:line="360" w:lineRule="auto"/>
        <w:jc w:val="both"/>
        <w:rPr>
          <w:b/>
          <w:bCs/>
          <w:color w:val="000000" w:themeColor="text1"/>
        </w:rPr>
      </w:pPr>
      <w:r w:rsidRPr="00343A7D">
        <w:rPr>
          <w:b/>
          <w:bCs/>
          <w:color w:val="000000" w:themeColor="text1"/>
        </w:rPr>
        <w:t>Abstract:</w:t>
      </w:r>
    </w:p>
    <w:p w14:paraId="31441335" w14:textId="27755B98" w:rsidR="00E50CB4" w:rsidRPr="00343A7D" w:rsidRDefault="00E50CB4" w:rsidP="00343A7D">
      <w:pPr>
        <w:spacing w:line="360" w:lineRule="auto"/>
        <w:jc w:val="both"/>
        <w:rPr>
          <w:color w:val="000000" w:themeColor="text1"/>
        </w:rPr>
      </w:pPr>
      <w:r w:rsidRPr="00343A7D">
        <w:rPr>
          <w:color w:val="000000" w:themeColor="text1"/>
        </w:rPr>
        <w:t>This assessment critically examines how contemporary research explains women’s career progression and leadership development in technology-enabled UK corporate organisations, and how philosophical assumptions shape the evidence, conclusions and interventions produced.</w:t>
      </w:r>
    </w:p>
    <w:p w14:paraId="1BA1A9B4" w14:textId="5C47A5DE" w:rsidR="00E50CB4" w:rsidRPr="00343A7D" w:rsidRDefault="00E50CB4" w:rsidP="00343A7D">
      <w:pPr>
        <w:spacing w:line="360" w:lineRule="auto"/>
        <w:jc w:val="both"/>
        <w:rPr>
          <w:color w:val="000000" w:themeColor="text1"/>
        </w:rPr>
      </w:pPr>
      <w:r w:rsidRPr="00343A7D">
        <w:rPr>
          <w:color w:val="000000" w:themeColor="text1"/>
        </w:rPr>
        <w:t>A structured critical review synthesises peer-reviewed business, management, human resource management and leadership research published principally between 2020 and 2026. Five themes are examined alongside a philosophical and methodological appraisal of Chang’s (2026) qualitative study of gender inequity in information technology.</w:t>
      </w:r>
    </w:p>
    <w:p w14:paraId="23F822E1" w14:textId="7B772827" w:rsidR="00E50CB4" w:rsidRPr="00343A7D" w:rsidRDefault="00E50CB4" w:rsidP="00343A7D">
      <w:pPr>
        <w:spacing w:line="360" w:lineRule="auto"/>
        <w:jc w:val="both"/>
        <w:rPr>
          <w:color w:val="000000" w:themeColor="text1"/>
        </w:rPr>
      </w:pPr>
      <w:r w:rsidRPr="00343A7D">
        <w:rPr>
          <w:color w:val="000000" w:themeColor="text1"/>
        </w:rPr>
        <w:t>Women’s progression is not adequately explained by individual ambition, competence or confidence. It is produced through connected organisational mechanisms, including leadership behaviour, cultural expectations, access to sponsorship and strategic assignments, succession practices, flexible working and digitally mediated talent decisions. Positivist evidence identifies disparities but may treat contested definitions of merit as objective. Interpretive and critical-feminist approaches reveal lived experience and power, while critical realism provides the strongest basis for connecting those accounts to observable career outcomes.</w:t>
      </w:r>
    </w:p>
    <w:p w14:paraId="015EC5F8" w14:textId="254C561B" w:rsidR="00E50CB4" w:rsidRPr="00343A7D" w:rsidRDefault="00E50CB4" w:rsidP="00343A7D">
      <w:pPr>
        <w:spacing w:line="360" w:lineRule="auto"/>
        <w:jc w:val="both"/>
        <w:rPr>
          <w:color w:val="000000" w:themeColor="text1"/>
        </w:rPr>
      </w:pPr>
      <w:r w:rsidRPr="00343A7D">
        <w:rPr>
          <w:color w:val="000000" w:themeColor="text1"/>
        </w:rPr>
        <w:t>The assessment proposes a Gender-Inclusive Leadership Development Framework that positions inclusion as a repeatable organisational capability rather than a portfolio of isolated initiatives. It integrates inclusive leadership, equitable talent management, responsible digital governance and outcome measurement.</w:t>
      </w:r>
    </w:p>
    <w:p w14:paraId="6B803A28" w14:textId="77777777" w:rsidR="00E50CB4" w:rsidRDefault="00E50CB4" w:rsidP="00343A7D">
      <w:pPr>
        <w:spacing w:line="360" w:lineRule="auto"/>
        <w:jc w:val="both"/>
        <w:rPr>
          <w:b/>
          <w:color w:val="000000" w:themeColor="text1"/>
        </w:rPr>
      </w:pPr>
    </w:p>
    <w:p w14:paraId="42262237" w14:textId="77777777" w:rsidR="00F10375" w:rsidRDefault="00F10375" w:rsidP="00343A7D">
      <w:pPr>
        <w:spacing w:line="360" w:lineRule="auto"/>
        <w:jc w:val="both"/>
        <w:rPr>
          <w:b/>
          <w:color w:val="000000" w:themeColor="text1"/>
        </w:rPr>
      </w:pPr>
    </w:p>
    <w:p w14:paraId="06C3688E" w14:textId="77777777" w:rsidR="00F10375" w:rsidRPr="00343A7D" w:rsidRDefault="00F10375" w:rsidP="00343A7D">
      <w:pPr>
        <w:spacing w:line="360" w:lineRule="auto"/>
        <w:jc w:val="both"/>
        <w:rPr>
          <w:b/>
          <w:bCs/>
          <w:color w:val="000000" w:themeColor="text1"/>
        </w:rPr>
      </w:pPr>
    </w:p>
    <w:p w14:paraId="3B1A0798" w14:textId="77777777" w:rsidR="000B31A8" w:rsidRPr="00343A7D" w:rsidRDefault="000B31A8" w:rsidP="00343A7D">
      <w:pPr>
        <w:spacing w:line="360" w:lineRule="auto"/>
        <w:jc w:val="both"/>
        <w:rPr>
          <w:color w:val="000000" w:themeColor="text1"/>
        </w:rPr>
      </w:pPr>
    </w:p>
    <w:p w14:paraId="43D4670C" w14:textId="77777777" w:rsidR="00FF5E6B" w:rsidRDefault="00FF5E6B" w:rsidP="00343A7D">
      <w:pPr>
        <w:spacing w:line="360" w:lineRule="auto"/>
        <w:jc w:val="both"/>
        <w:rPr>
          <w:color w:val="000000" w:themeColor="text1"/>
        </w:rPr>
      </w:pPr>
    </w:p>
    <w:p w14:paraId="1A3CA3F1" w14:textId="77777777" w:rsidR="00EA1F48" w:rsidRPr="00343A7D" w:rsidRDefault="00EA1F48" w:rsidP="00343A7D">
      <w:pPr>
        <w:spacing w:line="360" w:lineRule="auto"/>
        <w:jc w:val="both"/>
        <w:rPr>
          <w:color w:val="000000" w:themeColor="text1"/>
        </w:rPr>
      </w:pPr>
    </w:p>
    <w:p w14:paraId="743C49A5" w14:textId="41F45179" w:rsidR="00B42F87" w:rsidRPr="00343A7D" w:rsidRDefault="00B42F87" w:rsidP="00343A7D">
      <w:pPr>
        <w:pStyle w:val="ListParagraph"/>
        <w:numPr>
          <w:ilvl w:val="0"/>
          <w:numId w:val="1"/>
        </w:numPr>
        <w:spacing w:line="360" w:lineRule="auto"/>
        <w:jc w:val="both"/>
        <w:rPr>
          <w:b/>
          <w:bCs/>
          <w:color w:val="000000" w:themeColor="text1"/>
        </w:rPr>
      </w:pPr>
      <w:r w:rsidRPr="00343A7D">
        <w:rPr>
          <w:b/>
          <w:bCs/>
          <w:color w:val="000000" w:themeColor="text1"/>
        </w:rPr>
        <w:lastRenderedPageBreak/>
        <w:t>Introduction:</w:t>
      </w:r>
    </w:p>
    <w:p w14:paraId="542E7A31" w14:textId="056DBC85" w:rsidR="006E6BAC" w:rsidRPr="00343A7D" w:rsidRDefault="006E6BAC" w:rsidP="00343A7D">
      <w:pPr>
        <w:pStyle w:val="ListParagraph"/>
        <w:spacing w:line="360" w:lineRule="auto"/>
        <w:jc w:val="both"/>
        <w:rPr>
          <w:b/>
          <w:bCs/>
          <w:color w:val="000000" w:themeColor="text1"/>
        </w:rPr>
      </w:pPr>
      <w:r w:rsidRPr="00343A7D">
        <w:rPr>
          <w:b/>
          <w:bCs/>
          <w:color w:val="000000" w:themeColor="text1"/>
        </w:rPr>
        <w:t>1.1 Background</w:t>
      </w:r>
      <w:r w:rsidR="001533E4" w:rsidRPr="00343A7D">
        <w:rPr>
          <w:b/>
          <w:bCs/>
          <w:color w:val="000000" w:themeColor="text1"/>
        </w:rPr>
        <w:t xml:space="preserve"> and organizational problem</w:t>
      </w:r>
    </w:p>
    <w:p w14:paraId="33F2E7F2" w14:textId="600D87A7" w:rsidR="00DC514E" w:rsidRPr="00343A7D" w:rsidRDefault="00DC514E" w:rsidP="00343A7D">
      <w:pPr>
        <w:spacing w:line="360" w:lineRule="auto"/>
        <w:jc w:val="both"/>
        <w:rPr>
          <w:color w:val="000000" w:themeColor="text1"/>
        </w:rPr>
      </w:pPr>
      <w:r w:rsidRPr="00343A7D">
        <w:rPr>
          <w:color w:val="000000" w:themeColor="text1"/>
        </w:rPr>
        <w:t xml:space="preserve">Gender inclusion has become a strategic governance and talent issue because women’s participation in employment has not produced equivalent access to organisational authority. Women represented approximately 41% of the global workforce but only 28.8% of senior leadership roles in 2025 (World Economic Forum, 2025). </w:t>
      </w:r>
      <w:r w:rsidR="00756B61">
        <w:rPr>
          <w:color w:val="000000" w:themeColor="text1"/>
        </w:rPr>
        <w:t>According to Salazar (2023)</w:t>
      </w:r>
      <w:r w:rsidR="00196F8B">
        <w:rPr>
          <w:color w:val="000000" w:themeColor="text1"/>
        </w:rPr>
        <w:t xml:space="preserve"> </w:t>
      </w:r>
      <w:r w:rsidR="00C5265B">
        <w:rPr>
          <w:color w:val="000000" w:themeColor="text1"/>
        </w:rPr>
        <w:t>w</w:t>
      </w:r>
      <w:r w:rsidR="00C5265B" w:rsidRPr="00C5265B">
        <w:rPr>
          <w:color w:val="000000" w:themeColor="text1"/>
        </w:rPr>
        <w:t xml:space="preserve">omen's involvement also helps achieve broader </w:t>
      </w:r>
      <w:r w:rsidR="005120C7">
        <w:rPr>
          <w:color w:val="000000" w:themeColor="text1"/>
        </w:rPr>
        <w:t>economic and social</w:t>
      </w:r>
      <w:r w:rsidR="00C5265B" w:rsidRPr="00C5265B">
        <w:rPr>
          <w:color w:val="000000" w:themeColor="text1"/>
        </w:rPr>
        <w:t xml:space="preserve"> goals, such as the Sustainable Development Goals.</w:t>
      </w:r>
      <w:r w:rsidRPr="00343A7D">
        <w:rPr>
          <w:color w:val="000000" w:themeColor="text1"/>
        </w:rPr>
        <w:t xml:space="preserve"> Although diverse leadership may support decision quality, innovation and organisational resilience (McKinsey </w:t>
      </w:r>
      <w:r w:rsidR="001937A1" w:rsidRPr="00343A7D">
        <w:rPr>
          <w:color w:val="000000" w:themeColor="text1"/>
        </w:rPr>
        <w:t>et al.</w:t>
      </w:r>
      <w:r w:rsidRPr="00343A7D">
        <w:rPr>
          <w:color w:val="000000" w:themeColor="text1"/>
        </w:rPr>
        <w:t>, 2023), equality should not depend solely on a business case. Equitable access to opportunity, authority and reward is also a matter of organisational justice.</w:t>
      </w:r>
    </w:p>
    <w:p w14:paraId="28F21BE9" w14:textId="55B3738D" w:rsidR="001533E4" w:rsidRPr="00343A7D" w:rsidRDefault="001533E4" w:rsidP="00343A7D">
      <w:pPr>
        <w:spacing w:line="360" w:lineRule="auto"/>
        <w:jc w:val="both"/>
        <w:rPr>
          <w:color w:val="000000" w:themeColor="text1"/>
        </w:rPr>
      </w:pPr>
      <w:r w:rsidRPr="00343A7D">
        <w:rPr>
          <w:color w:val="000000" w:themeColor="text1"/>
        </w:rPr>
        <w:t xml:space="preserve">The challenge is acute in technology-enabled organisations, where digital platforms, artificial intelligence, people analytics, virtual collaboration and digital learning influence recruitment, work allocation, performance evaluation and </w:t>
      </w:r>
      <w:r w:rsidR="00617673" w:rsidRPr="00343A7D">
        <w:rPr>
          <w:color w:val="000000" w:themeColor="text1"/>
        </w:rPr>
        <w:t>promotion</w:t>
      </w:r>
      <w:r w:rsidR="00617673">
        <w:rPr>
          <w:color w:val="000000" w:themeColor="text1"/>
        </w:rPr>
        <w:t xml:space="preserve"> (</w:t>
      </w:r>
      <w:r w:rsidR="00546D49">
        <w:rPr>
          <w:color w:val="000000" w:themeColor="text1"/>
        </w:rPr>
        <w:t>Lenka, 2023)</w:t>
      </w:r>
      <w:r w:rsidRPr="00343A7D">
        <w:rPr>
          <w:color w:val="000000" w:themeColor="text1"/>
        </w:rPr>
        <w:t>. These technologies can improve consistency, but they can also reproduce discrimination through historical data, proxy variables, opaque models and weak governance (Naoum et al., 2026). Gender inclusion is therefore connected to environmental, social and governance responsibilities, corporate legitimacy and accountable human-resource management (CIPD, 2023). Inclusive leaders must combine belonging with recognition of difference, challenge exclusion and ensure that digital and hybrid practices do not create new opportunity gaps (Ferdman et al., 2021; Fitzsimmons et al., 2025).</w:t>
      </w:r>
    </w:p>
    <w:p w14:paraId="61FF875E" w14:textId="3A47410E" w:rsidR="00437927" w:rsidRPr="00343A7D" w:rsidRDefault="001533E4" w:rsidP="00343A7D">
      <w:pPr>
        <w:spacing w:line="360" w:lineRule="auto"/>
        <w:jc w:val="both"/>
        <w:rPr>
          <w:color w:val="000000" w:themeColor="text1"/>
        </w:rPr>
      </w:pPr>
      <w:r w:rsidRPr="00343A7D">
        <w:rPr>
          <w:color w:val="000000" w:themeColor="text1"/>
        </w:rPr>
        <w:t>UK evidence demonstrates a pipeline rather than an entry-only problem. Women comprise about 21% of technology teams, while career stagnation, work–life conflict and unsupportive cultures contribute to intentions to leave (BCS, 2023; DSIT, 2025). Board representation has improved, yet women remain less visible in executive positions carrying profit-and-loss responsibility and strategic authority (FTSE Women Leaders Review, 2022, 2025, 2026; Brand, 2024). Gender-pay-gap reporting increases transparency (GOV.UK, 2026), but disclosure does not itself alter the informal sponsorship, strategic assignments, leadership criteria and succession decisions through which careers advance</w:t>
      </w:r>
      <w:r w:rsidR="006223C6">
        <w:rPr>
          <w:color w:val="000000" w:themeColor="text1"/>
        </w:rPr>
        <w:t xml:space="preserve"> (Edger et al.</w:t>
      </w:r>
      <w:r w:rsidR="00325080">
        <w:rPr>
          <w:color w:val="000000" w:themeColor="text1"/>
        </w:rPr>
        <w:t xml:space="preserve"> </w:t>
      </w:r>
      <w:r w:rsidR="006223C6">
        <w:rPr>
          <w:color w:val="000000" w:themeColor="text1"/>
        </w:rPr>
        <w:t>2026)</w:t>
      </w:r>
      <w:r w:rsidRPr="00343A7D">
        <w:rPr>
          <w:color w:val="000000" w:themeColor="text1"/>
        </w:rPr>
        <w:t xml:space="preserve">. Flexible working may improve continuity without improving promotion, and mentoring may provide advice without the </w:t>
      </w:r>
      <w:r w:rsidRPr="00343A7D">
        <w:rPr>
          <w:color w:val="000000" w:themeColor="text1"/>
        </w:rPr>
        <w:lastRenderedPageBreak/>
        <w:t xml:space="preserve">advocacy associated with sponsorship (OECD, 2025; Shen et al., 2022; </w:t>
      </w:r>
      <w:proofErr w:type="spellStart"/>
      <w:r w:rsidRPr="00343A7D">
        <w:rPr>
          <w:color w:val="000000" w:themeColor="text1"/>
        </w:rPr>
        <w:t>TechUK</w:t>
      </w:r>
      <w:proofErr w:type="spellEnd"/>
      <w:r w:rsidRPr="00343A7D">
        <w:rPr>
          <w:color w:val="000000" w:themeColor="text1"/>
        </w:rPr>
        <w:t>, 2023). Isolated programmes can consequently increase activity or representation while leaving organisational power substantially unchanged (Ajayi, 2026)</w:t>
      </w:r>
      <w:r w:rsidR="00CE670B">
        <w:rPr>
          <w:color w:val="000000" w:themeColor="text1"/>
        </w:rPr>
        <w:t>.</w:t>
      </w:r>
    </w:p>
    <w:p w14:paraId="3857A64B" w14:textId="1EB9B184" w:rsidR="00437927" w:rsidRPr="00343A7D" w:rsidRDefault="00437927" w:rsidP="00343A7D">
      <w:pPr>
        <w:spacing w:line="360" w:lineRule="auto"/>
        <w:jc w:val="both"/>
        <w:rPr>
          <w:color w:val="000000" w:themeColor="text1"/>
        </w:rPr>
      </w:pPr>
      <w:r w:rsidRPr="00343A7D">
        <w:rPr>
          <w:color w:val="000000" w:themeColor="text1"/>
        </w:rPr>
        <w:t xml:space="preserve">       </w:t>
      </w:r>
      <w:r w:rsidRPr="00343A7D">
        <w:rPr>
          <w:b/>
          <w:bCs/>
          <w:color w:val="000000" w:themeColor="text1"/>
        </w:rPr>
        <w:t xml:space="preserve">1.2 </w:t>
      </w:r>
      <w:r w:rsidRPr="00343A7D">
        <w:rPr>
          <w:b/>
          <w:bCs/>
          <w:color w:val="000000" w:themeColor="text1"/>
          <w:lang w:val="en-US"/>
        </w:rPr>
        <w:t>Research gap, aim and questions</w:t>
      </w:r>
    </w:p>
    <w:p w14:paraId="15936E01" w14:textId="72196E23" w:rsidR="00437927" w:rsidRPr="00920E80" w:rsidRDefault="00437927" w:rsidP="008F12F2">
      <w:pPr>
        <w:spacing w:line="360" w:lineRule="auto"/>
        <w:jc w:val="both"/>
        <w:rPr>
          <w:color w:val="000000" w:themeColor="text1"/>
        </w:rPr>
      </w:pPr>
      <w:r w:rsidRPr="00343A7D">
        <w:rPr>
          <w:color w:val="000000" w:themeColor="text1"/>
          <w:lang w:val="en-US"/>
        </w:rPr>
        <w:t>Existing scholarship frequently treats gender diversity, leadership, mentoring, culture and digital transformation as separate topics</w:t>
      </w:r>
      <w:r w:rsidR="00920E80">
        <w:rPr>
          <w:color w:val="000000" w:themeColor="text1"/>
          <w:lang w:val="en-US"/>
        </w:rPr>
        <w:t xml:space="preserve"> (</w:t>
      </w:r>
      <w:proofErr w:type="spellStart"/>
      <w:r w:rsidR="00920E80" w:rsidRPr="00343A7D">
        <w:rPr>
          <w:color w:val="000000" w:themeColor="text1"/>
        </w:rPr>
        <w:t>Radulovski</w:t>
      </w:r>
      <w:proofErr w:type="spellEnd"/>
      <w:r w:rsidR="00920E80" w:rsidRPr="00343A7D">
        <w:rPr>
          <w:color w:val="000000" w:themeColor="text1"/>
        </w:rPr>
        <w:t xml:space="preserve"> et al., 2025</w:t>
      </w:r>
      <w:r w:rsidR="00920E80">
        <w:rPr>
          <w:color w:val="000000" w:themeColor="text1"/>
          <w:lang w:val="en-US"/>
        </w:rPr>
        <w:t>)</w:t>
      </w:r>
      <w:r w:rsidRPr="00343A7D">
        <w:rPr>
          <w:color w:val="000000" w:themeColor="text1"/>
          <w:lang w:val="en-US"/>
        </w:rPr>
        <w:t>. This fragmentation limits explanation of how apparently independent decisions accumulate across recruitment, assignment, development, appraisal, succession and promotion (</w:t>
      </w:r>
      <w:r w:rsidR="00F94AA2">
        <w:rPr>
          <w:color w:val="000000" w:themeColor="text1"/>
          <w:lang w:val="en-US"/>
        </w:rPr>
        <w:t>S</w:t>
      </w:r>
      <w:r w:rsidRPr="00343A7D">
        <w:rPr>
          <w:color w:val="000000" w:themeColor="text1"/>
          <w:lang w:val="en-US"/>
        </w:rPr>
        <w:t>ing</w:t>
      </w:r>
      <w:r w:rsidR="00F94AA2">
        <w:rPr>
          <w:color w:val="000000" w:themeColor="text1"/>
          <w:lang w:val="en-US"/>
        </w:rPr>
        <w:t>h</w:t>
      </w:r>
      <w:r w:rsidRPr="00343A7D">
        <w:rPr>
          <w:color w:val="000000" w:themeColor="text1"/>
          <w:lang w:val="en-US"/>
        </w:rPr>
        <w:t xml:space="preserve"> et al., 202</w:t>
      </w:r>
      <w:r w:rsidR="00F94AA2">
        <w:rPr>
          <w:color w:val="000000" w:themeColor="text1"/>
          <w:lang w:val="en-US"/>
        </w:rPr>
        <w:t>6</w:t>
      </w:r>
      <w:r w:rsidRPr="00343A7D">
        <w:rPr>
          <w:color w:val="000000" w:themeColor="text1"/>
          <w:lang w:val="en-US"/>
        </w:rPr>
        <w:t xml:space="preserve">). </w:t>
      </w:r>
      <w:r w:rsidR="00F51BB6">
        <w:rPr>
          <w:color w:val="000000" w:themeColor="text1"/>
          <w:lang w:val="en-US"/>
        </w:rPr>
        <w:t>According to r</w:t>
      </w:r>
      <w:r w:rsidRPr="00343A7D">
        <w:rPr>
          <w:color w:val="000000" w:themeColor="text1"/>
          <w:lang w:val="en-US"/>
        </w:rPr>
        <w:t>eviews</w:t>
      </w:r>
      <w:r w:rsidR="00F51BB6">
        <w:rPr>
          <w:color w:val="000000" w:themeColor="text1"/>
          <w:lang w:val="en-US"/>
        </w:rPr>
        <w:t xml:space="preserve"> (IFC, 2022)</w:t>
      </w:r>
      <w:r w:rsidRPr="00343A7D">
        <w:rPr>
          <w:color w:val="000000" w:themeColor="text1"/>
          <w:lang w:val="en-US"/>
        </w:rPr>
        <w:t xml:space="preserve"> identify weak integration between leadership-development practices and the structural conditions shaping advancement (Deloitte, 2025; Athanasopoulou et al., 2025). Flexible-working and diversity interventions also depend on implementation, managerial accountability and </w:t>
      </w:r>
      <w:r w:rsidR="00972235" w:rsidRPr="00343A7D">
        <w:rPr>
          <w:color w:val="000000" w:themeColor="text1"/>
          <w:lang w:val="en-US"/>
        </w:rPr>
        <w:t>organizational</w:t>
      </w:r>
      <w:r w:rsidRPr="00343A7D">
        <w:rPr>
          <w:color w:val="000000" w:themeColor="text1"/>
          <w:lang w:val="en-US"/>
        </w:rPr>
        <w:t xml:space="preserve"> context rather than policy availability alone (</w:t>
      </w:r>
      <w:proofErr w:type="spellStart"/>
      <w:r w:rsidRPr="00343A7D">
        <w:rPr>
          <w:color w:val="000000" w:themeColor="text1"/>
          <w:lang w:val="en-US"/>
        </w:rPr>
        <w:t>CEBMa</w:t>
      </w:r>
      <w:proofErr w:type="spellEnd"/>
      <w:r w:rsidRPr="00343A7D">
        <w:rPr>
          <w:color w:val="000000" w:themeColor="text1"/>
          <w:lang w:val="en-US"/>
        </w:rPr>
        <w:t xml:space="preserve">/CIPD, 2021). </w:t>
      </w:r>
      <w:r w:rsidR="00215090">
        <w:rPr>
          <w:color w:val="000000" w:themeColor="text1"/>
          <w:lang w:val="en-US"/>
        </w:rPr>
        <w:t xml:space="preserve">Lima et al. (2025) </w:t>
      </w:r>
      <w:r w:rsidR="00C53FE3">
        <w:rPr>
          <w:color w:val="000000" w:themeColor="text1"/>
          <w:lang w:val="en-US"/>
        </w:rPr>
        <w:t>examine</w:t>
      </w:r>
      <w:r w:rsidR="00215090">
        <w:rPr>
          <w:color w:val="000000" w:themeColor="text1"/>
          <w:lang w:val="en-US"/>
        </w:rPr>
        <w:t xml:space="preserve"> </w:t>
      </w:r>
      <w:r w:rsidR="00C53FE3">
        <w:rPr>
          <w:color w:val="000000" w:themeColor="text1"/>
          <w:lang w:val="en-US"/>
        </w:rPr>
        <w:t>t</w:t>
      </w:r>
      <w:r w:rsidRPr="00343A7D">
        <w:rPr>
          <w:color w:val="000000" w:themeColor="text1"/>
          <w:lang w:val="en-US"/>
        </w:rPr>
        <w:t xml:space="preserve">he central gap is therefore the absence of a sufficiently integrated, longitudinal account of how technology-enabled UK </w:t>
      </w:r>
      <w:r w:rsidR="00972235" w:rsidRPr="00343A7D">
        <w:rPr>
          <w:color w:val="000000" w:themeColor="text1"/>
          <w:lang w:val="en-US"/>
        </w:rPr>
        <w:t>organizations</w:t>
      </w:r>
      <w:r w:rsidRPr="00343A7D">
        <w:rPr>
          <w:color w:val="000000" w:themeColor="text1"/>
          <w:lang w:val="en-US"/>
        </w:rPr>
        <w:t xml:space="preserve"> convert inclusive intentions into women’s sustained progression.</w:t>
      </w:r>
    </w:p>
    <w:p w14:paraId="53EFDF46" w14:textId="12CC20B4" w:rsidR="00437927" w:rsidRPr="00343A7D" w:rsidRDefault="00437927" w:rsidP="00343A7D">
      <w:pPr>
        <w:spacing w:line="360" w:lineRule="auto"/>
        <w:jc w:val="both"/>
        <w:rPr>
          <w:color w:val="000000" w:themeColor="text1"/>
          <w:lang w:val="en-US"/>
        </w:rPr>
      </w:pPr>
      <w:r w:rsidRPr="00343A7D">
        <w:rPr>
          <w:color w:val="000000" w:themeColor="text1"/>
          <w:lang w:val="en-US"/>
        </w:rPr>
        <w:t xml:space="preserve">The assessment aims to critically examine contemporary research and develop a conceptual framework for enhancing women’s career progression and leadership development in technology-enabled UK </w:t>
      </w:r>
      <w:r w:rsidR="00972235" w:rsidRPr="00343A7D">
        <w:rPr>
          <w:color w:val="000000" w:themeColor="text1"/>
          <w:lang w:val="en-US"/>
        </w:rPr>
        <w:t>organizations</w:t>
      </w:r>
      <w:r w:rsidRPr="00343A7D">
        <w:rPr>
          <w:color w:val="000000" w:themeColor="text1"/>
          <w:lang w:val="en-US"/>
        </w:rPr>
        <w:t xml:space="preserve">. Its principal question is: How does contemporary research explain women’s progression into senior leadership within UK technology-enabled </w:t>
      </w:r>
      <w:r w:rsidR="00972235" w:rsidRPr="00343A7D">
        <w:rPr>
          <w:color w:val="000000" w:themeColor="text1"/>
          <w:lang w:val="en-US"/>
        </w:rPr>
        <w:t>organizations</w:t>
      </w:r>
      <w:r w:rsidRPr="00343A7D">
        <w:rPr>
          <w:color w:val="000000" w:themeColor="text1"/>
          <w:lang w:val="en-US"/>
        </w:rPr>
        <w:t xml:space="preserve">? Supporting questions examine how progression is </w:t>
      </w:r>
      <w:r w:rsidR="00972235" w:rsidRPr="00343A7D">
        <w:rPr>
          <w:color w:val="000000" w:themeColor="text1"/>
          <w:lang w:val="en-US"/>
        </w:rPr>
        <w:t>conceptualized</w:t>
      </w:r>
      <w:r w:rsidRPr="00343A7D">
        <w:rPr>
          <w:color w:val="000000" w:themeColor="text1"/>
          <w:lang w:val="en-US"/>
        </w:rPr>
        <w:t xml:space="preserve"> and measured; which </w:t>
      </w:r>
      <w:r w:rsidR="00972235" w:rsidRPr="00343A7D">
        <w:rPr>
          <w:color w:val="000000" w:themeColor="text1"/>
          <w:lang w:val="en-US"/>
        </w:rPr>
        <w:t>organizational</w:t>
      </w:r>
      <w:r w:rsidRPr="00343A7D">
        <w:rPr>
          <w:color w:val="000000" w:themeColor="text1"/>
          <w:lang w:val="en-US"/>
        </w:rPr>
        <w:t xml:space="preserve"> mechanisms enable or constrain it; how digital transformation, AI-enabled HRM and hybrid working create opportunities or barriers; and how ontology, epistemology, axiology and methodology shape knowledge claims.</w:t>
      </w:r>
    </w:p>
    <w:p w14:paraId="34556223" w14:textId="25BB2794" w:rsidR="00437927" w:rsidRPr="00343A7D" w:rsidRDefault="00437927" w:rsidP="00343A7D">
      <w:pPr>
        <w:spacing w:line="360" w:lineRule="auto"/>
        <w:jc w:val="both"/>
        <w:rPr>
          <w:color w:val="000000" w:themeColor="text1"/>
          <w:lang w:val="en-US"/>
        </w:rPr>
      </w:pPr>
      <w:r w:rsidRPr="00343A7D">
        <w:rPr>
          <w:color w:val="000000" w:themeColor="text1"/>
          <w:lang w:val="en-US"/>
        </w:rPr>
        <w:t>Gender inclusion is defined here as equal voice, recognition and access to resources, networks and advancement, supported by the removal of structural, cultural and technological barriers (Hall et al., 2023; Barak et al., 2022). Career progression refers to increased responsibility, authority,</w:t>
      </w:r>
      <w:r w:rsidR="00AF25C5">
        <w:rPr>
          <w:color w:val="000000" w:themeColor="text1"/>
          <w:lang w:val="en-US"/>
        </w:rPr>
        <w:t xml:space="preserve"> </w:t>
      </w:r>
      <w:r w:rsidRPr="00343A7D">
        <w:rPr>
          <w:color w:val="000000" w:themeColor="text1"/>
          <w:lang w:val="en-US"/>
        </w:rPr>
        <w:t xml:space="preserve">capability or leadership status, shaped by both agency and </w:t>
      </w:r>
      <w:r w:rsidR="00DB3AB7" w:rsidRPr="00343A7D">
        <w:rPr>
          <w:color w:val="000000" w:themeColor="text1"/>
          <w:lang w:val="en-US"/>
        </w:rPr>
        <w:t>organizational</w:t>
      </w:r>
      <w:r w:rsidRPr="00343A7D">
        <w:rPr>
          <w:color w:val="000000" w:themeColor="text1"/>
          <w:lang w:val="en-US"/>
        </w:rPr>
        <w:t xml:space="preserve"> context (Ramli et al., 2024). Leadership development includes </w:t>
      </w:r>
      <w:r w:rsidRPr="00343A7D">
        <w:rPr>
          <w:color w:val="000000" w:themeColor="text1"/>
          <w:lang w:val="en-US"/>
        </w:rPr>
        <w:lastRenderedPageBreak/>
        <w:t xml:space="preserve">learning, sponsorship, experience and identity formation that prepare individuals to exercise greater authority (Geerts, 2024). Technology-enabled </w:t>
      </w:r>
      <w:r w:rsidR="00DB3AB7" w:rsidRPr="00343A7D">
        <w:rPr>
          <w:color w:val="000000" w:themeColor="text1"/>
          <w:lang w:val="en-US"/>
        </w:rPr>
        <w:t>organizations</w:t>
      </w:r>
      <w:r w:rsidRPr="00343A7D">
        <w:rPr>
          <w:color w:val="000000" w:themeColor="text1"/>
          <w:lang w:val="en-US"/>
        </w:rPr>
        <w:t xml:space="preserve"> are corporations in which digital technologies materially shape strategy, operations and people decisions (Verhoef et al., 2021;</w:t>
      </w:r>
      <w:r w:rsidR="005903FE">
        <w:rPr>
          <w:color w:val="000000" w:themeColor="text1"/>
          <w:lang w:val="en-US"/>
        </w:rPr>
        <w:t xml:space="preserve"> </w:t>
      </w:r>
      <w:r w:rsidRPr="00343A7D">
        <w:rPr>
          <w:color w:val="000000" w:themeColor="text1"/>
          <w:lang w:val="en-US"/>
        </w:rPr>
        <w:t xml:space="preserve">Tatarinov et al., 2025). </w:t>
      </w:r>
      <w:r w:rsidR="00DB3AB7" w:rsidRPr="00343A7D">
        <w:rPr>
          <w:color w:val="000000" w:themeColor="text1"/>
          <w:lang w:val="en-US"/>
        </w:rPr>
        <w:t>Organizational</w:t>
      </w:r>
      <w:r w:rsidRPr="00343A7D">
        <w:rPr>
          <w:color w:val="000000" w:themeColor="text1"/>
          <w:lang w:val="en-US"/>
        </w:rPr>
        <w:t xml:space="preserve"> capability denotes the repeatable coordination of people, resources, technologies and routines to achieve a strategic outcome (</w:t>
      </w:r>
      <w:proofErr w:type="spellStart"/>
      <w:r w:rsidR="00E55B7C">
        <w:rPr>
          <w:color w:val="000000" w:themeColor="text1"/>
          <w:lang w:val="en-US"/>
        </w:rPr>
        <w:t>Groschl</w:t>
      </w:r>
      <w:proofErr w:type="spellEnd"/>
      <w:r w:rsidRPr="00343A7D">
        <w:rPr>
          <w:color w:val="000000" w:themeColor="text1"/>
          <w:lang w:val="en-US"/>
        </w:rPr>
        <w:t xml:space="preserve"> et al., 202</w:t>
      </w:r>
      <w:r w:rsidR="00E55B7C">
        <w:rPr>
          <w:color w:val="000000" w:themeColor="text1"/>
          <w:lang w:val="en-US"/>
        </w:rPr>
        <w:t>5</w:t>
      </w:r>
      <w:r w:rsidRPr="00343A7D">
        <w:rPr>
          <w:color w:val="000000" w:themeColor="text1"/>
          <w:lang w:val="en-US"/>
        </w:rPr>
        <w:t>).</w:t>
      </w:r>
    </w:p>
    <w:p w14:paraId="15E86553" w14:textId="02E6BC45" w:rsidR="00972235" w:rsidRPr="00343A7D" w:rsidRDefault="00972235" w:rsidP="00343A7D">
      <w:pPr>
        <w:pStyle w:val="Heading1"/>
        <w:numPr>
          <w:ilvl w:val="0"/>
          <w:numId w:val="1"/>
        </w:numPr>
        <w:spacing w:line="360" w:lineRule="auto"/>
        <w:jc w:val="both"/>
        <w:rPr>
          <w:rFonts w:asciiTheme="minorHAnsi" w:hAnsiTheme="minorHAnsi"/>
          <w:color w:val="000000" w:themeColor="text1"/>
          <w:sz w:val="24"/>
          <w:szCs w:val="24"/>
        </w:rPr>
      </w:pPr>
      <w:r w:rsidRPr="00A0151A">
        <w:rPr>
          <w:rFonts w:asciiTheme="minorHAnsi" w:hAnsiTheme="minorHAnsi"/>
          <w:b/>
          <w:color w:val="000000" w:themeColor="text1"/>
          <w:sz w:val="24"/>
          <w:szCs w:val="24"/>
        </w:rPr>
        <w:t>Me</w:t>
      </w:r>
      <w:r w:rsidRPr="00343A7D">
        <w:rPr>
          <w:rFonts w:asciiTheme="minorHAnsi" w:hAnsiTheme="minorHAnsi"/>
          <w:b/>
          <w:color w:val="000000" w:themeColor="text1"/>
          <w:sz w:val="24"/>
          <w:szCs w:val="24"/>
        </w:rPr>
        <w:t>thod for Conducting the Literature Review</w:t>
      </w:r>
    </w:p>
    <w:p w14:paraId="0F83D348" w14:textId="77777777" w:rsidR="00972235" w:rsidRPr="00343A7D" w:rsidRDefault="00972235" w:rsidP="00343A7D">
      <w:pPr>
        <w:spacing w:line="360" w:lineRule="auto"/>
        <w:jc w:val="both"/>
        <w:rPr>
          <w:color w:val="000000" w:themeColor="text1"/>
        </w:rPr>
      </w:pPr>
      <w:r w:rsidRPr="00343A7D">
        <w:rPr>
          <w:color w:val="000000" w:themeColor="text1"/>
        </w:rPr>
        <w:t>A structured critical review was used to examine women’s progression and leadership development in technology-enabled organisations. The search was PRISMA-informed to strengthen transparency in identification, screening and reporting; PRISMA guided study selection rather than the interpretive synthesis itself (Page et al., 2021). Scopus, Web of Science, Emerald, Business Source Complete and ABI/Inform were the principal databases. Google Scholar supported backward and forward citation tracking. Searches covered 1 January 2020 to the final search date in 2026, while earlier sources were retained only when conceptually foundational or directly relevant.</w:t>
      </w:r>
    </w:p>
    <w:p w14:paraId="4F4D387D" w14:textId="77777777" w:rsidR="00972235" w:rsidRPr="00343A7D" w:rsidRDefault="00972235" w:rsidP="00343A7D">
      <w:pPr>
        <w:spacing w:line="360" w:lineRule="auto"/>
        <w:jc w:val="both"/>
        <w:rPr>
          <w:color w:val="000000" w:themeColor="text1"/>
        </w:rPr>
      </w:pPr>
      <w:r w:rsidRPr="00343A7D">
        <w:rPr>
          <w:color w:val="000000" w:themeColor="text1"/>
        </w:rPr>
        <w:t>Search strings combined variants of “women in leadership”, “women in technology”, “career progression”, “leadership development”, “gender inclusion”, “inclusive leadership”, “technology-enabled organisation” and “UK corporation” using Boolean operators, phrase searching and truncation. Eligible sources were English-language, peer-reviewed empirical, review or conceptual studies in business, management, HRM, leadership or organisation studies. UK private-sector evidence was prioritised; international and public-sector studies were included only where they offered a transferable mechanism, theory or comparison. Editorials, opinion pieces, purely technical AI studies and research without organisational or career relevance were excluded. Authoritative government, regulator and professional reports supplied contextual evidence but were not treated as equivalent to peer-reviewed research.</w:t>
      </w:r>
    </w:p>
    <w:p w14:paraId="145A49A3" w14:textId="77777777" w:rsidR="00972235" w:rsidRPr="00343A7D" w:rsidRDefault="00972235" w:rsidP="00343A7D">
      <w:pPr>
        <w:spacing w:line="360" w:lineRule="auto"/>
        <w:jc w:val="both"/>
        <w:rPr>
          <w:color w:val="000000" w:themeColor="text1"/>
        </w:rPr>
      </w:pPr>
      <w:r w:rsidRPr="00343A7D">
        <w:rPr>
          <w:color w:val="000000" w:themeColor="text1"/>
        </w:rPr>
        <w:t xml:space="preserve">Records were screened by title, abstract and full text. An extraction matrix recorded context, theory, philosophical position, design, sample, findings and limitations. Evidence was synthesised across five themes: career progression; inclusive leadership and culture; digital transformation and leadership development; organisational </w:t>
      </w:r>
      <w:r w:rsidRPr="00343A7D">
        <w:rPr>
          <w:color w:val="000000" w:themeColor="text1"/>
        </w:rPr>
        <w:lastRenderedPageBreak/>
        <w:t>capability; and contemporary bias and AI-governance challenges. The analysis compared theoretical explanations, methodological strength, contextual transferability and the extent to which studies measured perceptions, participation, retention or objective career outcomes.</w:t>
      </w:r>
    </w:p>
    <w:p w14:paraId="66C7B4D3" w14:textId="77777777" w:rsidR="00972235" w:rsidRPr="00343A7D" w:rsidRDefault="00972235" w:rsidP="00343A7D">
      <w:pPr>
        <w:spacing w:line="360" w:lineRule="auto"/>
        <w:jc w:val="both"/>
        <w:rPr>
          <w:color w:val="000000" w:themeColor="text1"/>
        </w:rPr>
      </w:pPr>
      <w:r w:rsidRPr="00343A7D">
        <w:rPr>
          <w:color w:val="000000" w:themeColor="text1"/>
        </w:rPr>
        <w:t>Quality appraisal considered alignment between research questions, philosophical assumptions, sampling, data generation, analysis and the claims made. Quantitative studies were assessed for measurement quality, confounding, sample adequacy and causal design; qualitative studies were considered through credibility, reflexivity, contextual detail and analytical transparency. Review evidence was assessed for search coverage and synthesis method. This prevented large samples from being treated automatically as stronger evidence.</w:t>
      </w:r>
    </w:p>
    <w:p w14:paraId="1670EEDA" w14:textId="77777777" w:rsidR="00972235" w:rsidRPr="00343A7D" w:rsidRDefault="00972235" w:rsidP="00343A7D">
      <w:pPr>
        <w:spacing w:line="360" w:lineRule="auto"/>
        <w:jc w:val="both"/>
        <w:rPr>
          <w:color w:val="000000" w:themeColor="text1"/>
        </w:rPr>
      </w:pPr>
      <w:r w:rsidRPr="00343A7D">
        <w:rPr>
          <w:color w:val="000000" w:themeColor="text1"/>
        </w:rPr>
        <w:t>The review has four limitations. Rapid technological change may date AI and digital-HRM evidence quickly. A UK corporate focus strengthens relevance but limits transferability. Publication bias may favour significant findings or successful interventions. Finally, cross-sectional surveys, retrospective interviews and programme evaluations dominate the field, restricting causal and longitudinal conclusions. Findings are therefore interpreted as context-dependent patterns and plausible mechanisms rather than universal effects.</w:t>
      </w:r>
    </w:p>
    <w:p w14:paraId="67381B27" w14:textId="77777777" w:rsidR="00972235" w:rsidRPr="00343A7D" w:rsidRDefault="00972235" w:rsidP="00343A7D">
      <w:pPr>
        <w:spacing w:line="360" w:lineRule="auto"/>
        <w:jc w:val="both"/>
        <w:rPr>
          <w:color w:val="000000" w:themeColor="text1"/>
        </w:rPr>
      </w:pPr>
    </w:p>
    <w:p w14:paraId="10E77E42" w14:textId="77777777" w:rsidR="00972235" w:rsidRPr="00343A7D" w:rsidRDefault="00972235" w:rsidP="00343A7D">
      <w:pPr>
        <w:spacing w:line="360" w:lineRule="auto"/>
        <w:jc w:val="both"/>
        <w:rPr>
          <w:color w:val="000000" w:themeColor="text1"/>
        </w:rPr>
      </w:pPr>
    </w:p>
    <w:p w14:paraId="7B7C88B5" w14:textId="77777777" w:rsidR="00972235" w:rsidRPr="00343A7D" w:rsidRDefault="00972235" w:rsidP="00343A7D">
      <w:pPr>
        <w:spacing w:line="360" w:lineRule="auto"/>
        <w:jc w:val="both"/>
        <w:rPr>
          <w:color w:val="000000" w:themeColor="text1"/>
        </w:rPr>
      </w:pPr>
    </w:p>
    <w:p w14:paraId="49CFDC49" w14:textId="77777777" w:rsidR="00972235" w:rsidRPr="00343A7D" w:rsidRDefault="00972235" w:rsidP="00343A7D">
      <w:pPr>
        <w:spacing w:line="360" w:lineRule="auto"/>
        <w:jc w:val="both"/>
        <w:rPr>
          <w:color w:val="000000" w:themeColor="text1"/>
        </w:rPr>
      </w:pPr>
    </w:p>
    <w:p w14:paraId="09DBE7C5" w14:textId="77777777" w:rsidR="00972235" w:rsidRDefault="00972235" w:rsidP="00343A7D">
      <w:pPr>
        <w:spacing w:line="360" w:lineRule="auto"/>
        <w:jc w:val="both"/>
        <w:rPr>
          <w:color w:val="000000" w:themeColor="text1"/>
        </w:rPr>
      </w:pPr>
    </w:p>
    <w:p w14:paraId="31007B61" w14:textId="189FE798" w:rsidR="00F77DDD" w:rsidRPr="00343A7D" w:rsidRDefault="00F77DDD" w:rsidP="00343A7D">
      <w:pPr>
        <w:spacing w:line="360" w:lineRule="auto"/>
        <w:jc w:val="both"/>
        <w:rPr>
          <w:color w:val="000000" w:themeColor="text1"/>
        </w:rPr>
      </w:pPr>
    </w:p>
    <w:p w14:paraId="7E3A609A" w14:textId="67C42F5D" w:rsidR="00437927" w:rsidRPr="00F77DDD" w:rsidRDefault="00972235" w:rsidP="00F77DDD">
      <w:pPr>
        <w:pStyle w:val="ListParagraph"/>
        <w:numPr>
          <w:ilvl w:val="0"/>
          <w:numId w:val="1"/>
        </w:numPr>
        <w:spacing w:line="360" w:lineRule="auto"/>
        <w:jc w:val="both"/>
        <w:rPr>
          <w:b/>
          <w:bCs/>
          <w:color w:val="000000" w:themeColor="text1"/>
        </w:rPr>
      </w:pPr>
      <w:r w:rsidRPr="00F77DDD">
        <w:rPr>
          <w:b/>
          <w:bCs/>
          <w:color w:val="000000" w:themeColor="text1"/>
        </w:rPr>
        <w:t>Critical Literature Review</w:t>
      </w:r>
    </w:p>
    <w:p w14:paraId="33D50456" w14:textId="77777777" w:rsidR="00BC0D48" w:rsidRPr="00343A7D" w:rsidRDefault="00BC0D48" w:rsidP="00343A7D">
      <w:pPr>
        <w:spacing w:line="360" w:lineRule="auto"/>
        <w:jc w:val="both"/>
        <w:rPr>
          <w:color w:val="000000" w:themeColor="text1"/>
        </w:rPr>
      </w:pPr>
      <w:r w:rsidRPr="00343A7D">
        <w:rPr>
          <w:color w:val="000000" w:themeColor="text1"/>
        </w:rPr>
        <w:t xml:space="preserve">The literature indicates that women’s under-representation in leadership is not adequately explained by deficits in ambition, competence or technical human capital. It is better understood as the cumulative effect of opportunity allocation, cultural </w:t>
      </w:r>
      <w:r w:rsidRPr="00343A7D">
        <w:rPr>
          <w:color w:val="000000" w:themeColor="text1"/>
        </w:rPr>
        <w:lastRenderedPageBreak/>
        <w:t>expectations, leadership behaviour and digitally mediated decision systems. The five themes below distinguish evidence of access and retention from evidence of promotion, authority and remuneration.</w:t>
      </w:r>
    </w:p>
    <w:p w14:paraId="59552C64" w14:textId="201A8D1D" w:rsidR="007F37FC" w:rsidRPr="00343A7D" w:rsidRDefault="007F37FC" w:rsidP="00343A7D">
      <w:pPr>
        <w:pStyle w:val="Heading2"/>
        <w:spacing w:line="360" w:lineRule="auto"/>
        <w:jc w:val="both"/>
        <w:rPr>
          <w:rFonts w:asciiTheme="minorHAnsi" w:hAnsiTheme="minorHAnsi"/>
          <w:color w:val="000000" w:themeColor="text1"/>
          <w:sz w:val="24"/>
          <w:szCs w:val="24"/>
        </w:rPr>
      </w:pPr>
      <w:r w:rsidRPr="00343A7D">
        <w:rPr>
          <w:rFonts w:asciiTheme="minorHAnsi" w:hAnsiTheme="minorHAnsi"/>
          <w:b/>
          <w:bCs/>
          <w:color w:val="000000" w:themeColor="text1"/>
          <w:sz w:val="24"/>
          <w:szCs w:val="24"/>
        </w:rPr>
        <w:t>3.1 Women’s</w:t>
      </w:r>
      <w:r w:rsidRPr="00343A7D">
        <w:rPr>
          <w:rFonts w:asciiTheme="minorHAnsi" w:hAnsiTheme="minorHAnsi"/>
          <w:b/>
          <w:color w:val="000000" w:themeColor="text1"/>
          <w:sz w:val="24"/>
          <w:szCs w:val="24"/>
        </w:rPr>
        <w:t xml:space="preserve"> Career Progression in Technology-Enabled Organisations</w:t>
      </w:r>
    </w:p>
    <w:p w14:paraId="3394D371" w14:textId="77777777" w:rsidR="007F37FC" w:rsidRPr="00343A7D" w:rsidRDefault="007F37FC" w:rsidP="00343A7D">
      <w:pPr>
        <w:spacing w:line="360" w:lineRule="auto"/>
        <w:jc w:val="both"/>
        <w:rPr>
          <w:color w:val="000000" w:themeColor="text1"/>
        </w:rPr>
      </w:pPr>
      <w:r w:rsidRPr="00343A7D">
        <w:rPr>
          <w:color w:val="000000" w:themeColor="text1"/>
        </w:rPr>
        <w:t>UK evidence challenges a simple supply-side explanation. Women in IT occupations are, on average, more likely than men to hold higher-education qualifications, yet this advantage is not reflected consistently in pay or seniority (BCS, 2024; White et al., 2025). The glass ceiling remains useful for describing restricted access to senior authority, but it can imply that inequality occurs only immediately below executive level. A lifecycle perspective is stronger: selection, work allocation, development, appraisal, remuneration, promotion and exit can each produce small disparities that accumulate over time (Hing et al., 2023). Informal assignment of high-visibility technical work or assessment of “potential” through uninterrupted availability may appear neutral while producing gendered effects.</w:t>
      </w:r>
    </w:p>
    <w:p w14:paraId="6F806B18" w14:textId="4AE08AEF" w:rsidR="007F37FC" w:rsidRPr="00343A7D" w:rsidRDefault="007F37FC" w:rsidP="00343A7D">
      <w:pPr>
        <w:spacing w:line="360" w:lineRule="auto"/>
        <w:jc w:val="both"/>
        <w:rPr>
          <w:color w:val="000000" w:themeColor="text1"/>
        </w:rPr>
      </w:pPr>
      <w:r w:rsidRPr="00343A7D">
        <w:rPr>
          <w:color w:val="000000" w:themeColor="text1"/>
        </w:rPr>
        <w:t xml:space="preserve">Leadership-pipeline data reinforce this distinction between representation and authority. Women occupy a substantial proportion of FTSE board positions, but executive directorships and chief-executive roles remain much less balanced (FTSE Women Leaders Review, 2026). Because the figures cover large UK corporations rather than technology companies alone, they cannot establish sector-specific causes. They nevertheless show why board diversity is an insufficient proxy for operational power. Evaluation should trace access to profit-and-loss responsibility, strategic assignments, sponsorship, succession pools and promotion. Das </w:t>
      </w:r>
      <w:r w:rsidR="00AB47F6">
        <w:rPr>
          <w:color w:val="000000" w:themeColor="text1"/>
        </w:rPr>
        <w:t>et al.</w:t>
      </w:r>
      <w:r w:rsidRPr="00343A7D">
        <w:rPr>
          <w:color w:val="000000" w:themeColor="text1"/>
        </w:rPr>
        <w:t xml:space="preserve"> (2023) review of 143 studies similarly found that research concentrates on boards and top-management teams, with less attention to retention and promotion earlier in the pipeline. </w:t>
      </w:r>
      <w:proofErr w:type="spellStart"/>
      <w:r w:rsidRPr="00343A7D">
        <w:rPr>
          <w:color w:val="000000" w:themeColor="text1"/>
        </w:rPr>
        <w:t>Bonesso</w:t>
      </w:r>
      <w:proofErr w:type="spellEnd"/>
      <w:r w:rsidRPr="00343A7D">
        <w:rPr>
          <w:color w:val="000000" w:themeColor="text1"/>
        </w:rPr>
        <w:t xml:space="preserve"> </w:t>
      </w:r>
      <w:r w:rsidR="00080E96">
        <w:rPr>
          <w:color w:val="000000" w:themeColor="text1"/>
        </w:rPr>
        <w:t xml:space="preserve">et al. </w:t>
      </w:r>
      <w:r w:rsidRPr="00343A7D">
        <w:rPr>
          <w:color w:val="000000" w:themeColor="text1"/>
        </w:rPr>
        <w:t>(2024) show that agency and self-efficacy interact with contextual support; treating confidence as the principal remedy risks attempting to “fix” women while leaving opportunity structures unchanged.</w:t>
      </w:r>
    </w:p>
    <w:p w14:paraId="1423C574" w14:textId="48047036" w:rsidR="00AC7631" w:rsidRPr="00343A7D" w:rsidRDefault="00AC7631" w:rsidP="00343A7D">
      <w:pPr>
        <w:spacing w:line="360" w:lineRule="auto"/>
        <w:jc w:val="both"/>
        <w:rPr>
          <w:color w:val="000000" w:themeColor="text1"/>
          <w:lang w:val="en-US"/>
        </w:rPr>
      </w:pPr>
      <w:r w:rsidRPr="00343A7D">
        <w:rPr>
          <w:color w:val="000000" w:themeColor="text1"/>
          <w:lang w:val="en-US"/>
        </w:rPr>
        <w:t xml:space="preserve">Reproductive and family assumptions illustrate distinct mechanisms. UK evidence links unsupported menstrual symptoms and stigma to attendance, disclosure and perceived career effects, but does not demonstrate widespread recruitment discrimination </w:t>
      </w:r>
      <w:r w:rsidRPr="00343A7D">
        <w:rPr>
          <w:color w:val="000000" w:themeColor="text1"/>
          <w:lang w:val="en-US"/>
        </w:rPr>
        <w:lastRenderedPageBreak/>
        <w:t>(Adegoke</w:t>
      </w:r>
      <w:r w:rsidR="00080E96">
        <w:rPr>
          <w:color w:val="000000" w:themeColor="text1"/>
          <w:lang w:val="en-US"/>
        </w:rPr>
        <w:t xml:space="preserve"> et al.</w:t>
      </w:r>
      <w:r w:rsidR="00FB13B6">
        <w:rPr>
          <w:color w:val="000000" w:themeColor="text1"/>
          <w:lang w:val="en-US"/>
        </w:rPr>
        <w:t>,</w:t>
      </w:r>
      <w:r w:rsidRPr="00343A7D">
        <w:rPr>
          <w:color w:val="000000" w:themeColor="text1"/>
          <w:lang w:val="en-US"/>
        </w:rPr>
        <w:t xml:space="preserve"> 2025). Stronger causal evidence comes from Bapna and Funk’s (2025) quasi-experimental study of an Indian maternity-leave reform, where some employers reduced interview invitations for women when anticipated costs increased. Barhate et al. (2021) identify a different household mechanism: some educated married women’s continued employment depended on family permission and support. These studies are institutionally distant from UK corporations, yet they show why employer assumptions, caring structures and household power should not be collapsed into a single explanation of women’s “choice”. Shinde and </w:t>
      </w:r>
      <w:proofErr w:type="spellStart"/>
      <w:r w:rsidRPr="00343A7D">
        <w:rPr>
          <w:color w:val="000000" w:themeColor="text1"/>
          <w:lang w:val="en-US"/>
        </w:rPr>
        <w:t>Rakshase</w:t>
      </w:r>
      <w:proofErr w:type="spellEnd"/>
      <w:r w:rsidRPr="00343A7D">
        <w:rPr>
          <w:color w:val="000000" w:themeColor="text1"/>
          <w:lang w:val="en-US"/>
        </w:rPr>
        <w:t xml:space="preserve"> (2022) provide an extreme example of structural coercion among Indian agricultural workers</w:t>
      </w:r>
      <w:r w:rsidR="007F2146">
        <w:rPr>
          <w:color w:val="000000" w:themeColor="text1"/>
          <w:lang w:val="en-US"/>
        </w:rPr>
        <w:t>,</w:t>
      </w:r>
      <w:r w:rsidRPr="00343A7D">
        <w:rPr>
          <w:color w:val="000000" w:themeColor="text1"/>
          <w:lang w:val="en-US"/>
        </w:rPr>
        <w:t xml:space="preserve"> it is not transferable to UK technology employment but demonstrates how work systems can treat reproductive health as a productivity cost rather than redesigning conditions.</w:t>
      </w:r>
    </w:p>
    <w:p w14:paraId="18605ACD" w14:textId="382FCE53" w:rsidR="00515CBF" w:rsidRPr="00343A7D" w:rsidRDefault="00515CBF" w:rsidP="00343A7D">
      <w:pPr>
        <w:spacing w:line="360" w:lineRule="auto"/>
        <w:jc w:val="both"/>
        <w:rPr>
          <w:color w:val="000000" w:themeColor="text1"/>
        </w:rPr>
      </w:pPr>
      <w:r w:rsidRPr="00343A7D">
        <w:rPr>
          <w:color w:val="000000" w:themeColor="text1"/>
        </w:rPr>
        <w:t>Progression can also expose women to unequal risk. Morgenroth et al. (2020) meta-analysis found a small, context-dependent tendency for women to be selected for precarious leadership roles, consistent with the glass-cliff thesis. Appointment alone is therefore not proof of inclusion; the quality, resources and risk of the role matter. Employee accounts emphasise restricted networks, rigid career models, caring responsibilities and unsupportive cultures, whereas organisations may attribute under-representation to skills shortages or preference (GOV.UK, 2025). Methodologically, representation statistics establish where inequality exists but not how it is produced; interviews reveal mechanisms but not prevalence. Longitudinal, gender-disaggregated records are needed to locate where recruitment, assignments, development, ratings, promotion and exit diverge.</w:t>
      </w:r>
    </w:p>
    <w:p w14:paraId="1EECBA2C" w14:textId="528825EC" w:rsidR="007F37FC" w:rsidRPr="00343A7D" w:rsidRDefault="00515CBF" w:rsidP="00343A7D">
      <w:pPr>
        <w:spacing w:line="360" w:lineRule="auto"/>
        <w:jc w:val="both"/>
        <w:rPr>
          <w:color w:val="000000" w:themeColor="text1"/>
        </w:rPr>
      </w:pPr>
      <w:r w:rsidRPr="00343A7D">
        <w:rPr>
          <w:color w:val="000000" w:themeColor="text1"/>
        </w:rPr>
        <w:t>This also clarifies how progression should be measured. Headcount and board ratios capture presence, while pay, role scope, budget responsibility and decision rights capture authority. Retention indicates continuity, not advancement, and programme completion indicates exposure, not capability transfer. A credible leadership-pipeline analysis should therefore examine transition rates between career stages and compare similarly situated employees. Without these distinctions, organisations may report improvement while women remain concentrated in advisory, support or non-executive roles.</w:t>
      </w:r>
    </w:p>
    <w:p w14:paraId="107C9044" w14:textId="014D2EEC" w:rsidR="00060B4A" w:rsidRPr="00343A7D" w:rsidRDefault="00060B4A" w:rsidP="00343A7D">
      <w:pPr>
        <w:spacing w:line="360" w:lineRule="auto"/>
        <w:jc w:val="both"/>
        <w:rPr>
          <w:color w:val="000000" w:themeColor="text1"/>
        </w:rPr>
      </w:pPr>
      <w:r w:rsidRPr="00343A7D">
        <w:rPr>
          <w:color w:val="000000" w:themeColor="text1"/>
        </w:rPr>
        <w:t>Table 3.1 Distinguishing evidence of participation, continuity and progression</w:t>
      </w:r>
    </w:p>
    <w:tbl>
      <w:tblPr>
        <w:tblW w:w="9026" w:type="dxa"/>
        <w:tblInd w:w="120" w:type="dxa"/>
        <w:tblBorders>
          <w:top w:val="single" w:sz="6" w:space="0" w:color="B8C2CC"/>
          <w:left w:val="single" w:sz="6" w:space="0" w:color="B8C2CC"/>
          <w:bottom w:val="single" w:sz="6" w:space="0" w:color="B8C2CC"/>
          <w:right w:val="single" w:sz="6" w:space="0" w:color="B8C2CC"/>
          <w:insideH w:val="single" w:sz="6" w:space="0" w:color="B8C2CC"/>
          <w:insideV w:val="single" w:sz="6" w:space="0" w:color="B8C2CC"/>
        </w:tblBorders>
        <w:tblLayout w:type="fixed"/>
        <w:tblLook w:val="04A0" w:firstRow="1" w:lastRow="0" w:firstColumn="1" w:lastColumn="0" w:noHBand="0" w:noVBand="1"/>
      </w:tblPr>
      <w:tblGrid>
        <w:gridCol w:w="1900"/>
        <w:gridCol w:w="3300"/>
        <w:gridCol w:w="3826"/>
      </w:tblGrid>
      <w:tr w:rsidR="00060B4A" w:rsidRPr="00343A7D" w14:paraId="02C730EE" w14:textId="77777777" w:rsidTr="00366D01">
        <w:trPr>
          <w:tblHeader/>
        </w:trPr>
        <w:tc>
          <w:tcPr>
            <w:tcW w:w="1900" w:type="dxa"/>
            <w:shd w:val="clear" w:color="auto" w:fill="E8EEF5"/>
            <w:tcMar>
              <w:top w:w="80" w:type="dxa"/>
              <w:left w:w="120" w:type="dxa"/>
              <w:bottom w:w="80" w:type="dxa"/>
              <w:right w:w="120" w:type="dxa"/>
            </w:tcMar>
            <w:vAlign w:val="center"/>
          </w:tcPr>
          <w:p w14:paraId="441ACA8C" w14:textId="77777777" w:rsidR="00060B4A" w:rsidRPr="00343A7D" w:rsidRDefault="00060B4A" w:rsidP="00343A7D">
            <w:pPr>
              <w:spacing w:after="0" w:line="360" w:lineRule="auto"/>
              <w:jc w:val="both"/>
              <w:rPr>
                <w:color w:val="000000" w:themeColor="text1"/>
              </w:rPr>
            </w:pPr>
            <w:r w:rsidRPr="00343A7D">
              <w:rPr>
                <w:b/>
                <w:color w:val="000000" w:themeColor="text1"/>
              </w:rPr>
              <w:lastRenderedPageBreak/>
              <w:t>Measure</w:t>
            </w:r>
          </w:p>
        </w:tc>
        <w:tc>
          <w:tcPr>
            <w:tcW w:w="3300" w:type="dxa"/>
            <w:shd w:val="clear" w:color="auto" w:fill="E8EEF5"/>
            <w:tcMar>
              <w:top w:w="80" w:type="dxa"/>
              <w:left w:w="120" w:type="dxa"/>
              <w:bottom w:w="80" w:type="dxa"/>
              <w:right w:w="120" w:type="dxa"/>
            </w:tcMar>
            <w:vAlign w:val="center"/>
          </w:tcPr>
          <w:p w14:paraId="52D92B62" w14:textId="77777777" w:rsidR="00060B4A" w:rsidRPr="00343A7D" w:rsidRDefault="00060B4A" w:rsidP="00343A7D">
            <w:pPr>
              <w:spacing w:after="0" w:line="360" w:lineRule="auto"/>
              <w:jc w:val="both"/>
              <w:rPr>
                <w:color w:val="000000" w:themeColor="text1"/>
              </w:rPr>
            </w:pPr>
            <w:r w:rsidRPr="00343A7D">
              <w:rPr>
                <w:b/>
                <w:color w:val="000000" w:themeColor="text1"/>
              </w:rPr>
              <w:t>What it demonstrates</w:t>
            </w:r>
          </w:p>
        </w:tc>
        <w:tc>
          <w:tcPr>
            <w:tcW w:w="3826" w:type="dxa"/>
            <w:shd w:val="clear" w:color="auto" w:fill="E8EEF5"/>
            <w:tcMar>
              <w:top w:w="80" w:type="dxa"/>
              <w:left w:w="120" w:type="dxa"/>
              <w:bottom w:w="80" w:type="dxa"/>
              <w:right w:w="120" w:type="dxa"/>
            </w:tcMar>
            <w:vAlign w:val="center"/>
          </w:tcPr>
          <w:p w14:paraId="7062363A" w14:textId="77777777" w:rsidR="00060B4A" w:rsidRPr="00343A7D" w:rsidRDefault="00060B4A" w:rsidP="00343A7D">
            <w:pPr>
              <w:spacing w:after="0" w:line="360" w:lineRule="auto"/>
              <w:jc w:val="both"/>
              <w:rPr>
                <w:color w:val="000000" w:themeColor="text1"/>
              </w:rPr>
            </w:pPr>
            <w:r w:rsidRPr="00343A7D">
              <w:rPr>
                <w:b/>
                <w:color w:val="000000" w:themeColor="text1"/>
              </w:rPr>
              <w:t>What it does not establish</w:t>
            </w:r>
          </w:p>
        </w:tc>
      </w:tr>
      <w:tr w:rsidR="00060B4A" w:rsidRPr="00343A7D" w14:paraId="38AEF0B3" w14:textId="77777777" w:rsidTr="00366D01">
        <w:trPr>
          <w:cantSplit/>
        </w:trPr>
        <w:tc>
          <w:tcPr>
            <w:tcW w:w="1900" w:type="dxa"/>
          </w:tcPr>
          <w:p w14:paraId="2EACD67B" w14:textId="77777777" w:rsidR="00060B4A" w:rsidRPr="00343A7D" w:rsidRDefault="00060B4A" w:rsidP="004019B4">
            <w:pPr>
              <w:spacing w:after="0" w:line="360" w:lineRule="auto"/>
              <w:rPr>
                <w:color w:val="000000" w:themeColor="text1"/>
              </w:rPr>
            </w:pPr>
            <w:r w:rsidRPr="00343A7D">
              <w:rPr>
                <w:color w:val="000000" w:themeColor="text1"/>
              </w:rPr>
              <w:t>Representation</w:t>
            </w:r>
          </w:p>
        </w:tc>
        <w:tc>
          <w:tcPr>
            <w:tcW w:w="3300" w:type="dxa"/>
          </w:tcPr>
          <w:p w14:paraId="37ACF31F" w14:textId="77777777" w:rsidR="00060B4A" w:rsidRPr="00343A7D" w:rsidRDefault="00060B4A" w:rsidP="004019B4">
            <w:pPr>
              <w:spacing w:after="0" w:line="360" w:lineRule="auto"/>
              <w:rPr>
                <w:color w:val="000000" w:themeColor="text1"/>
              </w:rPr>
            </w:pPr>
            <w:r w:rsidRPr="00343A7D">
              <w:rPr>
                <w:color w:val="000000" w:themeColor="text1"/>
              </w:rPr>
              <w:t>Presence at a career level or governing body</w:t>
            </w:r>
          </w:p>
        </w:tc>
        <w:tc>
          <w:tcPr>
            <w:tcW w:w="3826" w:type="dxa"/>
          </w:tcPr>
          <w:p w14:paraId="00F7ACDB" w14:textId="77777777" w:rsidR="00060B4A" w:rsidRPr="00343A7D" w:rsidRDefault="00060B4A" w:rsidP="004019B4">
            <w:pPr>
              <w:spacing w:after="0" w:line="360" w:lineRule="auto"/>
              <w:rPr>
                <w:color w:val="000000" w:themeColor="text1"/>
              </w:rPr>
            </w:pPr>
            <w:r w:rsidRPr="00343A7D">
              <w:rPr>
                <w:color w:val="000000" w:themeColor="text1"/>
              </w:rPr>
              <w:t>Executive authority, role quality or equal progression rates</w:t>
            </w:r>
          </w:p>
        </w:tc>
      </w:tr>
      <w:tr w:rsidR="00060B4A" w:rsidRPr="00343A7D" w14:paraId="115CA8E1" w14:textId="77777777" w:rsidTr="00366D01">
        <w:trPr>
          <w:cantSplit/>
        </w:trPr>
        <w:tc>
          <w:tcPr>
            <w:tcW w:w="1900" w:type="dxa"/>
          </w:tcPr>
          <w:p w14:paraId="2A54E423" w14:textId="77777777" w:rsidR="00060B4A" w:rsidRPr="00343A7D" w:rsidRDefault="00060B4A" w:rsidP="004019B4">
            <w:pPr>
              <w:spacing w:after="0" w:line="360" w:lineRule="auto"/>
              <w:rPr>
                <w:color w:val="000000" w:themeColor="text1"/>
              </w:rPr>
            </w:pPr>
            <w:r w:rsidRPr="00343A7D">
              <w:rPr>
                <w:color w:val="000000" w:themeColor="text1"/>
              </w:rPr>
              <w:t>Retention</w:t>
            </w:r>
          </w:p>
        </w:tc>
        <w:tc>
          <w:tcPr>
            <w:tcW w:w="3300" w:type="dxa"/>
          </w:tcPr>
          <w:p w14:paraId="15C0E13E" w14:textId="77777777" w:rsidR="00060B4A" w:rsidRPr="00343A7D" w:rsidRDefault="00060B4A" w:rsidP="004019B4">
            <w:pPr>
              <w:spacing w:after="0" w:line="360" w:lineRule="auto"/>
              <w:rPr>
                <w:color w:val="000000" w:themeColor="text1"/>
              </w:rPr>
            </w:pPr>
            <w:r w:rsidRPr="00343A7D">
              <w:rPr>
                <w:color w:val="000000" w:themeColor="text1"/>
              </w:rPr>
              <w:t>Continuity of employment</w:t>
            </w:r>
          </w:p>
        </w:tc>
        <w:tc>
          <w:tcPr>
            <w:tcW w:w="3826" w:type="dxa"/>
          </w:tcPr>
          <w:p w14:paraId="238DC8CA" w14:textId="77777777" w:rsidR="00060B4A" w:rsidRPr="00343A7D" w:rsidRDefault="00060B4A" w:rsidP="004019B4">
            <w:pPr>
              <w:spacing w:after="0" w:line="360" w:lineRule="auto"/>
              <w:rPr>
                <w:color w:val="000000" w:themeColor="text1"/>
              </w:rPr>
            </w:pPr>
            <w:r w:rsidRPr="00343A7D">
              <w:rPr>
                <w:color w:val="000000" w:themeColor="text1"/>
              </w:rPr>
              <w:t>Promotion, pay growth or access to strategic responsibility</w:t>
            </w:r>
          </w:p>
        </w:tc>
      </w:tr>
      <w:tr w:rsidR="00060B4A" w:rsidRPr="00343A7D" w14:paraId="00662ACB" w14:textId="77777777" w:rsidTr="00366D01">
        <w:trPr>
          <w:cantSplit/>
        </w:trPr>
        <w:tc>
          <w:tcPr>
            <w:tcW w:w="1900" w:type="dxa"/>
          </w:tcPr>
          <w:p w14:paraId="2AC77BC2" w14:textId="77777777" w:rsidR="00060B4A" w:rsidRPr="00343A7D" w:rsidRDefault="00060B4A" w:rsidP="004019B4">
            <w:pPr>
              <w:spacing w:after="0" w:line="360" w:lineRule="auto"/>
              <w:rPr>
                <w:color w:val="000000" w:themeColor="text1"/>
              </w:rPr>
            </w:pPr>
            <w:r w:rsidRPr="00343A7D">
              <w:rPr>
                <w:color w:val="000000" w:themeColor="text1"/>
              </w:rPr>
              <w:t>Programme participation</w:t>
            </w:r>
          </w:p>
        </w:tc>
        <w:tc>
          <w:tcPr>
            <w:tcW w:w="3300" w:type="dxa"/>
          </w:tcPr>
          <w:p w14:paraId="41E387E9" w14:textId="77777777" w:rsidR="00060B4A" w:rsidRPr="00343A7D" w:rsidRDefault="00060B4A" w:rsidP="004019B4">
            <w:pPr>
              <w:spacing w:after="0" w:line="360" w:lineRule="auto"/>
              <w:rPr>
                <w:color w:val="000000" w:themeColor="text1"/>
              </w:rPr>
            </w:pPr>
            <w:r w:rsidRPr="00343A7D">
              <w:rPr>
                <w:color w:val="000000" w:themeColor="text1"/>
              </w:rPr>
              <w:t>Access to an intervention</w:t>
            </w:r>
          </w:p>
        </w:tc>
        <w:tc>
          <w:tcPr>
            <w:tcW w:w="3826" w:type="dxa"/>
          </w:tcPr>
          <w:p w14:paraId="50E1C598" w14:textId="77777777" w:rsidR="00060B4A" w:rsidRPr="00343A7D" w:rsidRDefault="00060B4A" w:rsidP="004019B4">
            <w:pPr>
              <w:spacing w:after="0" w:line="360" w:lineRule="auto"/>
              <w:rPr>
                <w:color w:val="000000" w:themeColor="text1"/>
              </w:rPr>
            </w:pPr>
            <w:r w:rsidRPr="00343A7D">
              <w:rPr>
                <w:color w:val="000000" w:themeColor="text1"/>
              </w:rPr>
              <w:t>Capability transfer or subsequent advancement</w:t>
            </w:r>
          </w:p>
        </w:tc>
      </w:tr>
      <w:tr w:rsidR="00060B4A" w:rsidRPr="00343A7D" w14:paraId="427D8265" w14:textId="77777777" w:rsidTr="00366D01">
        <w:trPr>
          <w:cantSplit/>
        </w:trPr>
        <w:tc>
          <w:tcPr>
            <w:tcW w:w="1900" w:type="dxa"/>
          </w:tcPr>
          <w:p w14:paraId="6A8467AA" w14:textId="77777777" w:rsidR="00060B4A" w:rsidRPr="00343A7D" w:rsidRDefault="00060B4A" w:rsidP="004019B4">
            <w:pPr>
              <w:spacing w:after="0" w:line="360" w:lineRule="auto"/>
              <w:rPr>
                <w:color w:val="000000" w:themeColor="text1"/>
              </w:rPr>
            </w:pPr>
            <w:r w:rsidRPr="00343A7D">
              <w:rPr>
                <w:color w:val="000000" w:themeColor="text1"/>
              </w:rPr>
              <w:t>Promotion and authority</w:t>
            </w:r>
          </w:p>
        </w:tc>
        <w:tc>
          <w:tcPr>
            <w:tcW w:w="3300" w:type="dxa"/>
          </w:tcPr>
          <w:p w14:paraId="7489CE41" w14:textId="77777777" w:rsidR="00060B4A" w:rsidRPr="00343A7D" w:rsidRDefault="00060B4A" w:rsidP="004019B4">
            <w:pPr>
              <w:spacing w:after="0" w:line="360" w:lineRule="auto"/>
              <w:rPr>
                <w:color w:val="000000" w:themeColor="text1"/>
              </w:rPr>
            </w:pPr>
            <w:r w:rsidRPr="00343A7D">
              <w:rPr>
                <w:color w:val="000000" w:themeColor="text1"/>
              </w:rPr>
              <w:t>Movement into greater responsibility and decision rights</w:t>
            </w:r>
          </w:p>
        </w:tc>
        <w:tc>
          <w:tcPr>
            <w:tcW w:w="3826" w:type="dxa"/>
          </w:tcPr>
          <w:p w14:paraId="65BA989C" w14:textId="77777777" w:rsidR="00060B4A" w:rsidRPr="00343A7D" w:rsidRDefault="00060B4A" w:rsidP="004019B4">
            <w:pPr>
              <w:spacing w:after="0" w:line="360" w:lineRule="auto"/>
              <w:rPr>
                <w:color w:val="000000" w:themeColor="text1"/>
              </w:rPr>
            </w:pPr>
            <w:r w:rsidRPr="00343A7D">
              <w:rPr>
                <w:color w:val="000000" w:themeColor="text1"/>
              </w:rPr>
              <w:t>That the process was equitable without an appropriate comparison</w:t>
            </w:r>
          </w:p>
        </w:tc>
      </w:tr>
    </w:tbl>
    <w:p w14:paraId="705B3764" w14:textId="46817701" w:rsidR="00060B4A" w:rsidRPr="002F2AAA" w:rsidRDefault="00060B4A" w:rsidP="00343A7D">
      <w:pPr>
        <w:pStyle w:val="SourceText"/>
        <w:spacing w:line="360" w:lineRule="auto"/>
        <w:jc w:val="both"/>
        <w:rPr>
          <w:rFonts w:asciiTheme="minorHAnsi" w:hAnsiTheme="minorHAnsi"/>
          <w:i w:val="0"/>
          <w:iCs/>
          <w:color w:val="000000" w:themeColor="text1"/>
          <w:sz w:val="24"/>
          <w:szCs w:val="24"/>
        </w:rPr>
      </w:pPr>
      <w:r w:rsidRPr="002F2AAA">
        <w:rPr>
          <w:rFonts w:asciiTheme="minorHAnsi" w:hAnsiTheme="minorHAnsi"/>
          <w:i w:val="0"/>
          <w:iCs/>
          <w:color w:val="000000" w:themeColor="text1"/>
          <w:sz w:val="24"/>
          <w:szCs w:val="24"/>
        </w:rPr>
        <w:t>Hing et al. (2023), FTSE Women Leaders Review (2026) and Bloom et al. (2024).</w:t>
      </w:r>
    </w:p>
    <w:p w14:paraId="7908A37F" w14:textId="77777777" w:rsidR="00FA04BE" w:rsidRPr="002F2AAA" w:rsidRDefault="00FA04BE" w:rsidP="00343A7D">
      <w:pPr>
        <w:pStyle w:val="SourceText"/>
        <w:spacing w:line="360" w:lineRule="auto"/>
        <w:jc w:val="both"/>
        <w:rPr>
          <w:rFonts w:asciiTheme="minorHAnsi" w:hAnsiTheme="minorHAnsi"/>
          <w:i w:val="0"/>
          <w:iCs/>
          <w:color w:val="000000" w:themeColor="text1"/>
          <w:sz w:val="24"/>
          <w:szCs w:val="24"/>
        </w:rPr>
      </w:pPr>
    </w:p>
    <w:p w14:paraId="3B2164E6" w14:textId="77777777" w:rsidR="00FA04BE" w:rsidRPr="00343A7D" w:rsidRDefault="00FA04BE" w:rsidP="00343A7D">
      <w:pPr>
        <w:pStyle w:val="Heading2"/>
        <w:spacing w:line="360" w:lineRule="auto"/>
        <w:ind w:left="740"/>
        <w:jc w:val="both"/>
        <w:rPr>
          <w:rFonts w:asciiTheme="minorHAnsi" w:hAnsiTheme="minorHAnsi"/>
          <w:color w:val="000000" w:themeColor="text1"/>
          <w:sz w:val="24"/>
          <w:szCs w:val="24"/>
        </w:rPr>
      </w:pPr>
      <w:r w:rsidRPr="00343A7D">
        <w:rPr>
          <w:rFonts w:asciiTheme="minorHAnsi" w:hAnsiTheme="minorHAnsi"/>
          <w:b/>
          <w:bCs/>
          <w:color w:val="000000" w:themeColor="text1"/>
          <w:sz w:val="24"/>
          <w:szCs w:val="24"/>
        </w:rPr>
        <w:t>3.2</w:t>
      </w:r>
      <w:r w:rsidRPr="00343A7D">
        <w:rPr>
          <w:rFonts w:asciiTheme="minorHAnsi" w:hAnsiTheme="minorHAnsi"/>
          <w:color w:val="000000" w:themeColor="text1"/>
          <w:sz w:val="24"/>
          <w:szCs w:val="24"/>
        </w:rPr>
        <w:t xml:space="preserve"> </w:t>
      </w:r>
      <w:r w:rsidRPr="00343A7D">
        <w:rPr>
          <w:rFonts w:asciiTheme="minorHAnsi" w:hAnsiTheme="minorHAnsi"/>
          <w:b/>
          <w:color w:val="000000" w:themeColor="text1"/>
          <w:sz w:val="24"/>
          <w:szCs w:val="24"/>
        </w:rPr>
        <w:t>Inclusive Leadership and Organisational Culture</w:t>
      </w:r>
    </w:p>
    <w:p w14:paraId="0B289A9C" w14:textId="7A4B29F3" w:rsidR="00FA04BE" w:rsidRPr="00343A7D" w:rsidRDefault="00FA04BE" w:rsidP="00343A7D">
      <w:pPr>
        <w:spacing w:line="360" w:lineRule="auto"/>
        <w:jc w:val="both"/>
        <w:rPr>
          <w:color w:val="000000" w:themeColor="text1"/>
        </w:rPr>
      </w:pPr>
      <w:r w:rsidRPr="00343A7D">
        <w:rPr>
          <w:color w:val="000000" w:themeColor="text1"/>
        </w:rPr>
        <w:t>Inclusive leadership can create voice, belonging and psychological safety, but relational benefits do not automatically become career advancement. Korkmaz et al. (2022) review of 107 papers identifies four recurring dimensions: support for uniqueness, team belonging, appreciation and wider organisational inclusion. Belonging without recognition may require women to assimilate into masculine occupational norms; recognition without belonging may mark them as outsiders without redistributing authority. The relevant test is whether women can influence decisions and gain access to career-building opportunities.</w:t>
      </w:r>
    </w:p>
    <w:p w14:paraId="2FBFF7FD" w14:textId="33910AD4" w:rsidR="00FA04BE" w:rsidRPr="00343A7D" w:rsidRDefault="00FA04BE" w:rsidP="00343A7D">
      <w:pPr>
        <w:spacing w:line="360" w:lineRule="auto"/>
        <w:jc w:val="both"/>
        <w:rPr>
          <w:color w:val="000000" w:themeColor="text1"/>
        </w:rPr>
      </w:pPr>
      <w:r w:rsidRPr="00343A7D">
        <w:rPr>
          <w:color w:val="000000" w:themeColor="text1"/>
        </w:rPr>
        <w:t>Psychological safety provides one plausible mechanism. It enables employees to question assumptions, admit error and raise concerns without disproportionate interpersonal risk</w:t>
      </w:r>
      <w:r w:rsidR="004134DF">
        <w:rPr>
          <w:color w:val="000000" w:themeColor="text1"/>
        </w:rPr>
        <w:t>,</w:t>
      </w:r>
      <w:r w:rsidRPr="00343A7D">
        <w:rPr>
          <w:color w:val="000000" w:themeColor="text1"/>
        </w:rPr>
        <w:t xml:space="preserve"> it is not equivalent to comfort or reduced accountability (Edmondson and Bransby, 2023). In technology work, safety may allow women to challenge technical or algorithmic decisions and seek visible assignments. </w:t>
      </w:r>
      <w:proofErr w:type="spellStart"/>
      <w:r w:rsidRPr="00343A7D">
        <w:rPr>
          <w:color w:val="000000" w:themeColor="text1"/>
        </w:rPr>
        <w:t>Mohase</w:t>
      </w:r>
      <w:proofErr w:type="spellEnd"/>
      <w:r w:rsidRPr="00343A7D">
        <w:rPr>
          <w:color w:val="000000" w:themeColor="text1"/>
        </w:rPr>
        <w:t xml:space="preserve"> et al. (2025) found that psychological safety mediated the relationship between inclusive leadership and employee voice among 146 South African remote and hybrid workers. The cross-sectional, non-UK and non-gender-specific design prevents causal claims about </w:t>
      </w:r>
      <w:r w:rsidRPr="00343A7D">
        <w:rPr>
          <w:color w:val="000000" w:themeColor="text1"/>
        </w:rPr>
        <w:lastRenderedPageBreak/>
        <w:t>women’s promotion, but it supports a mechanism that can be tested in comparable workplaces.</w:t>
      </w:r>
    </w:p>
    <w:p w14:paraId="729969EB" w14:textId="328C15F4" w:rsidR="00FA04BE" w:rsidRPr="00343A7D" w:rsidRDefault="00FA04BE" w:rsidP="00343A7D">
      <w:pPr>
        <w:spacing w:line="360" w:lineRule="auto"/>
        <w:jc w:val="both"/>
        <w:rPr>
          <w:color w:val="000000" w:themeColor="text1"/>
        </w:rPr>
      </w:pPr>
      <w:r w:rsidRPr="00343A7D">
        <w:rPr>
          <w:color w:val="000000" w:themeColor="text1"/>
        </w:rPr>
        <w:t>Organisational justice determines whether inclusion is credible. Distributive justice concerns outcomes, procedural justice the consistency of decision processes, and interactional justice respectful treatment. In a multi-wave, multisource study, Qi et al. (2023) found that interactional justice strengthened relationships between inclusive leadership and promotive and prohibitive voice, while procedural justice influenced prohibitive voice only. Although the Chinese construction context limits transferability, the findings show that employees evaluate inclusive behaviour against experienced fairness. A leader may invite voice while assignments, ratings or promotions remain opaque.</w:t>
      </w:r>
    </w:p>
    <w:p w14:paraId="03BF03CA" w14:textId="520106A4" w:rsidR="0031289F" w:rsidRPr="00343A7D" w:rsidRDefault="000743DD" w:rsidP="00343A7D">
      <w:pPr>
        <w:spacing w:line="360" w:lineRule="auto"/>
        <w:jc w:val="both"/>
        <w:rPr>
          <w:color w:val="000000" w:themeColor="text1"/>
        </w:rPr>
      </w:pPr>
      <w:r w:rsidRPr="00343A7D">
        <w:rPr>
          <w:color w:val="000000" w:themeColor="text1"/>
        </w:rPr>
        <w:t>Transformational, authentic and inclusive leadership make complementary contributions</w:t>
      </w:r>
      <w:r w:rsidR="00D27801">
        <w:rPr>
          <w:color w:val="000000" w:themeColor="text1"/>
        </w:rPr>
        <w:t xml:space="preserve"> (</w:t>
      </w:r>
      <w:r w:rsidR="00D27801" w:rsidRPr="00343A7D">
        <w:rPr>
          <w:color w:val="000000" w:themeColor="text1"/>
        </w:rPr>
        <w:t>Klinger et al., 2020</w:t>
      </w:r>
      <w:r w:rsidR="00D27801">
        <w:rPr>
          <w:color w:val="000000" w:themeColor="text1"/>
        </w:rPr>
        <w:t>)</w:t>
      </w:r>
      <w:r w:rsidRPr="00343A7D">
        <w:rPr>
          <w:color w:val="000000" w:themeColor="text1"/>
        </w:rPr>
        <w:t>. Transformational leadership can mobilise digital change, but its leader-defined vision may encourage conformity; evidence for long-term follower transformation remains limited (</w:t>
      </w:r>
      <w:proofErr w:type="spellStart"/>
      <w:r w:rsidRPr="00343A7D">
        <w:rPr>
          <w:color w:val="000000" w:themeColor="text1"/>
        </w:rPr>
        <w:t>Siangchokyoo</w:t>
      </w:r>
      <w:proofErr w:type="spellEnd"/>
      <w:r w:rsidRPr="00343A7D">
        <w:rPr>
          <w:color w:val="000000" w:themeColor="text1"/>
        </w:rPr>
        <w:t xml:space="preserve"> et al.,</w:t>
      </w:r>
      <w:r w:rsidR="00D27801">
        <w:rPr>
          <w:color w:val="000000" w:themeColor="text1"/>
        </w:rPr>
        <w:t xml:space="preserve"> </w:t>
      </w:r>
      <w:r w:rsidRPr="00343A7D">
        <w:rPr>
          <w:color w:val="000000" w:themeColor="text1"/>
        </w:rPr>
        <w:t>2020). Authentic leadership can strengthen trust, but a sincere leader may still reproduce exclusionary beliefs, and the construct remains contested (Gardner et al., 2021). Inclusive leadership is most directly concerned with belonging, difference and participation, although its literature often measures a socially constructed, multilevel experience through cross-sectional employee surveys. No theory alone explains whether voice becomes authority.</w:t>
      </w:r>
    </w:p>
    <w:p w14:paraId="6CEB205D" w14:textId="26AE8C0F" w:rsidR="000743DD" w:rsidRPr="00343A7D" w:rsidRDefault="000743DD" w:rsidP="00343A7D">
      <w:pPr>
        <w:spacing w:line="360" w:lineRule="auto"/>
        <w:jc w:val="both"/>
        <w:rPr>
          <w:color w:val="000000" w:themeColor="text1"/>
        </w:rPr>
      </w:pPr>
      <w:r w:rsidRPr="00343A7D">
        <w:rPr>
          <w:color w:val="000000" w:themeColor="text1"/>
        </w:rPr>
        <w:t>The critical conclusion is that leadership behaviour requires organisational infrastructure. Representation targets, awareness events and training are insufficient where access, supervisor support and career penalties remain unequal (Casper et al., 2025). Transparent assignment criteria, calibrated performance assessment, equitable development access, sponsorship, promotion audits and executive accountability are the conversion mechanisms. Without them, women may be encouraged to speak while remaining excluded from the work and relationships that determine progression.</w:t>
      </w:r>
    </w:p>
    <w:p w14:paraId="4C571704" w14:textId="7FDCE1F6" w:rsidR="00060B4A" w:rsidRPr="00343A7D" w:rsidRDefault="000743DD" w:rsidP="00343A7D">
      <w:pPr>
        <w:spacing w:line="360" w:lineRule="auto"/>
        <w:jc w:val="both"/>
        <w:rPr>
          <w:color w:val="000000" w:themeColor="text1"/>
        </w:rPr>
      </w:pPr>
      <w:r w:rsidRPr="00343A7D">
        <w:rPr>
          <w:color w:val="000000" w:themeColor="text1"/>
        </w:rPr>
        <w:t xml:space="preserve">Philosophically, this theme exposes a level-of-analysis problem. Survey studies commonly model leader behaviour as an individual variable and voice as an employee outcome, although inclusion is produced simultaneously through relationships, teams, </w:t>
      </w:r>
      <w:r w:rsidRPr="00343A7D">
        <w:rPr>
          <w:color w:val="000000" w:themeColor="text1"/>
        </w:rPr>
        <w:lastRenderedPageBreak/>
        <w:t>policies and institutional norms. A multilevel design would test whether inclusive behaviour has stronger career effects where promotion procedures are transparent and senior leaders are accountable. It would also compare employee perceptions with actual allocation and promotion records rather than if a positive climate necessarily redistributes opportunity.</w:t>
      </w:r>
    </w:p>
    <w:p w14:paraId="3547AADD" w14:textId="45F50BA1" w:rsidR="000743DD" w:rsidRPr="00343A7D" w:rsidRDefault="000743DD" w:rsidP="00343A7D">
      <w:pPr>
        <w:spacing w:line="360" w:lineRule="auto"/>
        <w:jc w:val="both"/>
        <w:rPr>
          <w:color w:val="000000" w:themeColor="text1"/>
        </w:rPr>
      </w:pPr>
      <w:r w:rsidRPr="00343A7D">
        <w:rPr>
          <w:color w:val="000000" w:themeColor="text1"/>
        </w:rPr>
        <w:t>Table 3.2 Critical comparison of leadership perspective</w:t>
      </w:r>
    </w:p>
    <w:tbl>
      <w:tblPr>
        <w:tblW w:w="9026" w:type="dxa"/>
        <w:tblInd w:w="120" w:type="dxa"/>
        <w:tblBorders>
          <w:top w:val="single" w:sz="6" w:space="0" w:color="B8C2CC"/>
          <w:left w:val="single" w:sz="6" w:space="0" w:color="B8C2CC"/>
          <w:bottom w:val="single" w:sz="6" w:space="0" w:color="B8C2CC"/>
          <w:right w:val="single" w:sz="6" w:space="0" w:color="B8C2CC"/>
          <w:insideH w:val="single" w:sz="6" w:space="0" w:color="B8C2CC"/>
          <w:insideV w:val="single" w:sz="6" w:space="0" w:color="B8C2CC"/>
        </w:tblBorders>
        <w:tblLayout w:type="fixed"/>
        <w:tblLook w:val="04A0" w:firstRow="1" w:lastRow="0" w:firstColumn="1" w:lastColumn="0" w:noHBand="0" w:noVBand="1"/>
      </w:tblPr>
      <w:tblGrid>
        <w:gridCol w:w="2200"/>
        <w:gridCol w:w="3300"/>
        <w:gridCol w:w="3526"/>
      </w:tblGrid>
      <w:tr w:rsidR="000743DD" w:rsidRPr="00343A7D" w14:paraId="0C4C7183" w14:textId="77777777" w:rsidTr="00366D01">
        <w:trPr>
          <w:tblHeader/>
        </w:trPr>
        <w:tc>
          <w:tcPr>
            <w:tcW w:w="2200" w:type="dxa"/>
            <w:shd w:val="clear" w:color="auto" w:fill="E8EEF5"/>
            <w:tcMar>
              <w:top w:w="80" w:type="dxa"/>
              <w:left w:w="120" w:type="dxa"/>
              <w:bottom w:w="80" w:type="dxa"/>
              <w:right w:w="120" w:type="dxa"/>
            </w:tcMar>
            <w:vAlign w:val="center"/>
          </w:tcPr>
          <w:p w14:paraId="07DE07F8" w14:textId="77777777" w:rsidR="000743DD" w:rsidRPr="00343A7D" w:rsidRDefault="000743DD" w:rsidP="00343A7D">
            <w:pPr>
              <w:spacing w:after="0" w:line="360" w:lineRule="auto"/>
              <w:jc w:val="both"/>
              <w:rPr>
                <w:color w:val="000000" w:themeColor="text1"/>
              </w:rPr>
            </w:pPr>
            <w:r w:rsidRPr="00343A7D">
              <w:rPr>
                <w:b/>
                <w:color w:val="000000" w:themeColor="text1"/>
              </w:rPr>
              <w:t>Perspective</w:t>
            </w:r>
          </w:p>
        </w:tc>
        <w:tc>
          <w:tcPr>
            <w:tcW w:w="3300" w:type="dxa"/>
            <w:shd w:val="clear" w:color="auto" w:fill="E8EEF5"/>
            <w:tcMar>
              <w:top w:w="80" w:type="dxa"/>
              <w:left w:w="120" w:type="dxa"/>
              <w:bottom w:w="80" w:type="dxa"/>
              <w:right w:w="120" w:type="dxa"/>
            </w:tcMar>
            <w:vAlign w:val="center"/>
          </w:tcPr>
          <w:p w14:paraId="6BE46891" w14:textId="77777777" w:rsidR="000743DD" w:rsidRPr="00343A7D" w:rsidRDefault="000743DD" w:rsidP="00343A7D">
            <w:pPr>
              <w:spacing w:after="0" w:line="360" w:lineRule="auto"/>
              <w:jc w:val="both"/>
              <w:rPr>
                <w:color w:val="000000" w:themeColor="text1"/>
              </w:rPr>
            </w:pPr>
            <w:r w:rsidRPr="00343A7D">
              <w:rPr>
                <w:b/>
                <w:color w:val="000000" w:themeColor="text1"/>
              </w:rPr>
              <w:t>Contribution</w:t>
            </w:r>
          </w:p>
        </w:tc>
        <w:tc>
          <w:tcPr>
            <w:tcW w:w="3526" w:type="dxa"/>
            <w:shd w:val="clear" w:color="auto" w:fill="E8EEF5"/>
            <w:tcMar>
              <w:top w:w="80" w:type="dxa"/>
              <w:left w:w="120" w:type="dxa"/>
              <w:bottom w:w="80" w:type="dxa"/>
              <w:right w:w="120" w:type="dxa"/>
            </w:tcMar>
            <w:vAlign w:val="center"/>
          </w:tcPr>
          <w:p w14:paraId="348C7AB6" w14:textId="77777777" w:rsidR="000743DD" w:rsidRPr="00343A7D" w:rsidRDefault="000743DD" w:rsidP="00343A7D">
            <w:pPr>
              <w:spacing w:after="0" w:line="360" w:lineRule="auto"/>
              <w:jc w:val="both"/>
              <w:rPr>
                <w:color w:val="000000" w:themeColor="text1"/>
              </w:rPr>
            </w:pPr>
            <w:r w:rsidRPr="00343A7D">
              <w:rPr>
                <w:b/>
                <w:color w:val="000000" w:themeColor="text1"/>
              </w:rPr>
              <w:t>Principal limitation</w:t>
            </w:r>
          </w:p>
        </w:tc>
      </w:tr>
      <w:tr w:rsidR="000743DD" w:rsidRPr="00343A7D" w14:paraId="75F4BE5F" w14:textId="77777777" w:rsidTr="00366D01">
        <w:trPr>
          <w:cantSplit/>
        </w:trPr>
        <w:tc>
          <w:tcPr>
            <w:tcW w:w="2200" w:type="dxa"/>
          </w:tcPr>
          <w:p w14:paraId="6BAB5673" w14:textId="77777777" w:rsidR="000743DD" w:rsidRPr="00343A7D" w:rsidRDefault="000743DD" w:rsidP="006C0847">
            <w:pPr>
              <w:spacing w:after="0" w:line="360" w:lineRule="auto"/>
              <w:rPr>
                <w:color w:val="000000" w:themeColor="text1"/>
              </w:rPr>
            </w:pPr>
            <w:r w:rsidRPr="00343A7D">
              <w:rPr>
                <w:color w:val="000000" w:themeColor="text1"/>
              </w:rPr>
              <w:t>Transformational leadership</w:t>
            </w:r>
          </w:p>
        </w:tc>
        <w:tc>
          <w:tcPr>
            <w:tcW w:w="3300" w:type="dxa"/>
          </w:tcPr>
          <w:p w14:paraId="27206BE5" w14:textId="77777777" w:rsidR="000743DD" w:rsidRPr="00343A7D" w:rsidRDefault="000743DD" w:rsidP="006C0847">
            <w:pPr>
              <w:spacing w:after="0" w:line="360" w:lineRule="auto"/>
              <w:rPr>
                <w:color w:val="000000" w:themeColor="text1"/>
              </w:rPr>
            </w:pPr>
            <w:r w:rsidRPr="00343A7D">
              <w:rPr>
                <w:color w:val="000000" w:themeColor="text1"/>
              </w:rPr>
              <w:t>Mobilises collective direction and digital change</w:t>
            </w:r>
          </w:p>
        </w:tc>
        <w:tc>
          <w:tcPr>
            <w:tcW w:w="3526" w:type="dxa"/>
          </w:tcPr>
          <w:p w14:paraId="21D7FC3F" w14:textId="77777777" w:rsidR="000743DD" w:rsidRPr="00343A7D" w:rsidRDefault="000743DD" w:rsidP="006C0847">
            <w:pPr>
              <w:spacing w:after="0" w:line="360" w:lineRule="auto"/>
              <w:rPr>
                <w:color w:val="000000" w:themeColor="text1"/>
              </w:rPr>
            </w:pPr>
            <w:r w:rsidRPr="00343A7D">
              <w:rPr>
                <w:color w:val="000000" w:themeColor="text1"/>
              </w:rPr>
              <w:t>A leader-defined vision may encourage conformity and understate power</w:t>
            </w:r>
          </w:p>
        </w:tc>
      </w:tr>
      <w:tr w:rsidR="000743DD" w:rsidRPr="00343A7D" w14:paraId="17F17185" w14:textId="77777777" w:rsidTr="00366D01">
        <w:trPr>
          <w:cantSplit/>
        </w:trPr>
        <w:tc>
          <w:tcPr>
            <w:tcW w:w="2200" w:type="dxa"/>
          </w:tcPr>
          <w:p w14:paraId="49383946" w14:textId="77777777" w:rsidR="000743DD" w:rsidRPr="00343A7D" w:rsidRDefault="000743DD" w:rsidP="006C0847">
            <w:pPr>
              <w:spacing w:after="0" w:line="360" w:lineRule="auto"/>
              <w:rPr>
                <w:color w:val="000000" w:themeColor="text1"/>
              </w:rPr>
            </w:pPr>
            <w:r w:rsidRPr="00343A7D">
              <w:rPr>
                <w:color w:val="000000" w:themeColor="text1"/>
              </w:rPr>
              <w:t>Inclusive leadership</w:t>
            </w:r>
          </w:p>
        </w:tc>
        <w:tc>
          <w:tcPr>
            <w:tcW w:w="3300" w:type="dxa"/>
          </w:tcPr>
          <w:p w14:paraId="0CFA0887" w14:textId="77777777" w:rsidR="000743DD" w:rsidRPr="00343A7D" w:rsidRDefault="000743DD" w:rsidP="006C0847">
            <w:pPr>
              <w:spacing w:after="0" w:line="360" w:lineRule="auto"/>
              <w:rPr>
                <w:color w:val="000000" w:themeColor="text1"/>
              </w:rPr>
            </w:pPr>
            <w:r w:rsidRPr="00343A7D">
              <w:rPr>
                <w:color w:val="000000" w:themeColor="text1"/>
              </w:rPr>
              <w:t>Combines belonging, uniqueness, appreciation and voice</w:t>
            </w:r>
          </w:p>
        </w:tc>
        <w:tc>
          <w:tcPr>
            <w:tcW w:w="3526" w:type="dxa"/>
          </w:tcPr>
          <w:p w14:paraId="6F25CB34" w14:textId="77777777" w:rsidR="000743DD" w:rsidRPr="00343A7D" w:rsidRDefault="000743DD" w:rsidP="006C0847">
            <w:pPr>
              <w:spacing w:after="0" w:line="360" w:lineRule="auto"/>
              <w:rPr>
                <w:color w:val="000000" w:themeColor="text1"/>
              </w:rPr>
            </w:pPr>
            <w:r w:rsidRPr="00343A7D">
              <w:rPr>
                <w:color w:val="000000" w:themeColor="text1"/>
              </w:rPr>
              <w:t>Relational inclusion may not alter structural opportunity allocation</w:t>
            </w:r>
          </w:p>
        </w:tc>
      </w:tr>
      <w:tr w:rsidR="000743DD" w:rsidRPr="00343A7D" w14:paraId="6F4E1376" w14:textId="77777777" w:rsidTr="00366D01">
        <w:trPr>
          <w:cantSplit/>
        </w:trPr>
        <w:tc>
          <w:tcPr>
            <w:tcW w:w="2200" w:type="dxa"/>
          </w:tcPr>
          <w:p w14:paraId="249CB6E3" w14:textId="77777777" w:rsidR="000743DD" w:rsidRPr="00343A7D" w:rsidRDefault="000743DD" w:rsidP="006C0847">
            <w:pPr>
              <w:spacing w:after="0" w:line="360" w:lineRule="auto"/>
              <w:rPr>
                <w:color w:val="000000" w:themeColor="text1"/>
              </w:rPr>
            </w:pPr>
            <w:r w:rsidRPr="00343A7D">
              <w:rPr>
                <w:color w:val="000000" w:themeColor="text1"/>
              </w:rPr>
              <w:t>Authentic leadership</w:t>
            </w:r>
          </w:p>
        </w:tc>
        <w:tc>
          <w:tcPr>
            <w:tcW w:w="3300" w:type="dxa"/>
          </w:tcPr>
          <w:p w14:paraId="2B20E574" w14:textId="77777777" w:rsidR="000743DD" w:rsidRPr="00343A7D" w:rsidRDefault="000743DD" w:rsidP="006C0847">
            <w:pPr>
              <w:spacing w:after="0" w:line="360" w:lineRule="auto"/>
              <w:rPr>
                <w:color w:val="000000" w:themeColor="text1"/>
              </w:rPr>
            </w:pPr>
            <w:r w:rsidRPr="00343A7D">
              <w:rPr>
                <w:color w:val="000000" w:themeColor="text1"/>
              </w:rPr>
              <w:t>Supports trust, self-awareness and relational transparency</w:t>
            </w:r>
          </w:p>
        </w:tc>
        <w:tc>
          <w:tcPr>
            <w:tcW w:w="3526" w:type="dxa"/>
          </w:tcPr>
          <w:p w14:paraId="280F5574" w14:textId="77777777" w:rsidR="000743DD" w:rsidRPr="00343A7D" w:rsidRDefault="000743DD" w:rsidP="006C0847">
            <w:pPr>
              <w:spacing w:after="0" w:line="360" w:lineRule="auto"/>
              <w:rPr>
                <w:color w:val="000000" w:themeColor="text1"/>
              </w:rPr>
            </w:pPr>
            <w:r w:rsidRPr="00343A7D">
              <w:rPr>
                <w:color w:val="000000" w:themeColor="text1"/>
              </w:rPr>
              <w:t>Sincere behaviour can still reproduce gendered or exclusionary norms</w:t>
            </w:r>
          </w:p>
        </w:tc>
      </w:tr>
    </w:tbl>
    <w:p w14:paraId="25A7A008" w14:textId="14685CDD" w:rsidR="000743DD" w:rsidRPr="00086AA7" w:rsidRDefault="000743DD" w:rsidP="00343A7D">
      <w:pPr>
        <w:pStyle w:val="SourceText"/>
        <w:spacing w:line="360" w:lineRule="auto"/>
        <w:jc w:val="both"/>
        <w:rPr>
          <w:rFonts w:asciiTheme="minorHAnsi" w:hAnsiTheme="minorHAnsi"/>
          <w:i w:val="0"/>
          <w:iCs/>
          <w:color w:val="000000" w:themeColor="text1"/>
          <w:sz w:val="24"/>
          <w:szCs w:val="24"/>
        </w:rPr>
      </w:pPr>
      <w:proofErr w:type="spellStart"/>
      <w:r w:rsidRPr="00086AA7">
        <w:rPr>
          <w:rFonts w:asciiTheme="minorHAnsi" w:hAnsiTheme="minorHAnsi"/>
          <w:i w:val="0"/>
          <w:iCs/>
          <w:color w:val="000000" w:themeColor="text1"/>
          <w:sz w:val="24"/>
          <w:szCs w:val="24"/>
        </w:rPr>
        <w:t>Siangchokyoo</w:t>
      </w:r>
      <w:proofErr w:type="spellEnd"/>
      <w:r w:rsidRPr="00086AA7">
        <w:rPr>
          <w:rFonts w:asciiTheme="minorHAnsi" w:hAnsiTheme="minorHAnsi"/>
          <w:i w:val="0"/>
          <w:iCs/>
          <w:color w:val="000000" w:themeColor="text1"/>
          <w:sz w:val="24"/>
          <w:szCs w:val="24"/>
        </w:rPr>
        <w:t xml:space="preserve"> et al. (2020), Gardner et al. (2021) and Korkmaz et al. (2022).</w:t>
      </w:r>
    </w:p>
    <w:p w14:paraId="1BFE5A61" w14:textId="77777777" w:rsidR="000743DD" w:rsidRPr="00343A7D" w:rsidRDefault="000743DD" w:rsidP="00343A7D">
      <w:pPr>
        <w:spacing w:line="360" w:lineRule="auto"/>
        <w:jc w:val="both"/>
        <w:rPr>
          <w:color w:val="000000" w:themeColor="text1"/>
        </w:rPr>
      </w:pPr>
    </w:p>
    <w:p w14:paraId="3A2C6FF4" w14:textId="77777777" w:rsidR="000743DD" w:rsidRPr="00343A7D" w:rsidRDefault="000743DD" w:rsidP="00343A7D">
      <w:pPr>
        <w:pStyle w:val="Heading2"/>
        <w:spacing w:line="360" w:lineRule="auto"/>
        <w:ind w:left="740"/>
        <w:jc w:val="both"/>
        <w:rPr>
          <w:rFonts w:asciiTheme="minorHAnsi" w:hAnsiTheme="minorHAnsi"/>
          <w:color w:val="000000" w:themeColor="text1"/>
          <w:sz w:val="24"/>
          <w:szCs w:val="24"/>
        </w:rPr>
      </w:pPr>
      <w:r w:rsidRPr="00343A7D">
        <w:rPr>
          <w:rFonts w:asciiTheme="minorHAnsi" w:hAnsiTheme="minorHAnsi"/>
          <w:b/>
          <w:bCs/>
          <w:color w:val="000000" w:themeColor="text1"/>
          <w:sz w:val="24"/>
          <w:szCs w:val="24"/>
        </w:rPr>
        <w:t>3.3 Digital</w:t>
      </w:r>
      <w:r w:rsidRPr="00343A7D">
        <w:rPr>
          <w:rFonts w:asciiTheme="minorHAnsi" w:hAnsiTheme="minorHAnsi"/>
          <w:b/>
          <w:color w:val="000000" w:themeColor="text1"/>
          <w:sz w:val="24"/>
          <w:szCs w:val="24"/>
        </w:rPr>
        <w:t xml:space="preserve"> Transformation and Leadership Development</w:t>
      </w:r>
    </w:p>
    <w:p w14:paraId="55CFB0D1" w14:textId="77777777" w:rsidR="000743DD" w:rsidRPr="00343A7D" w:rsidRDefault="000743DD" w:rsidP="00343A7D">
      <w:pPr>
        <w:spacing w:line="360" w:lineRule="auto"/>
        <w:jc w:val="both"/>
        <w:rPr>
          <w:color w:val="000000" w:themeColor="text1"/>
        </w:rPr>
      </w:pPr>
      <w:r w:rsidRPr="00343A7D">
        <w:rPr>
          <w:color w:val="000000" w:themeColor="text1"/>
        </w:rPr>
        <w:t>Digital technologies operate as sociotechnical amplifiers rather than neutral solutions. They can widen access to recruitment, learning, visibility and flexible work, but they can also scale historical inequality through data, model objectives, interface design and managerial use. Their effect depends less on technical sophistication than on governance and organisational context.</w:t>
      </w:r>
    </w:p>
    <w:p w14:paraId="1BBF1F37" w14:textId="274863C2" w:rsidR="000743DD" w:rsidRPr="00343A7D" w:rsidRDefault="000743DD" w:rsidP="00343A7D">
      <w:pPr>
        <w:spacing w:line="360" w:lineRule="auto"/>
        <w:jc w:val="both"/>
        <w:rPr>
          <w:color w:val="000000" w:themeColor="text1"/>
        </w:rPr>
      </w:pPr>
      <w:r w:rsidRPr="00343A7D">
        <w:rPr>
          <w:color w:val="000000" w:themeColor="text1"/>
        </w:rPr>
        <w:t xml:space="preserve">AI-enabled HRM can process applicants consistently and identify skills at scale, but consistency is not fairness. Models trained on previous hiring or promotion outcomes may learn that successful leaders resemble historically promoted men. Career breaks, working patterns, location and employment history can act as gender proxies. The Information Commissioner’s Office found recruitment tools that enabled filtering by </w:t>
      </w:r>
      <w:r w:rsidRPr="00343A7D">
        <w:rPr>
          <w:color w:val="000000" w:themeColor="text1"/>
        </w:rPr>
        <w:lastRenderedPageBreak/>
        <w:t>protected characteristics, inferred gender or ethnicity from names, collected excessive data or retained it indefinitely</w:t>
      </w:r>
      <w:r w:rsidR="009642BE">
        <w:rPr>
          <w:color w:val="000000" w:themeColor="text1"/>
        </w:rPr>
        <w:t>,</w:t>
      </w:r>
      <w:r w:rsidRPr="00343A7D">
        <w:rPr>
          <w:color w:val="000000" w:themeColor="text1"/>
        </w:rPr>
        <w:t xml:space="preserve"> subsequent audits produced almost 300 recommendations (ICO, 2024, 2026). These findings establish governance weaknesses, not the prevalence of discriminatory outcomes across all UK organisations.</w:t>
      </w:r>
    </w:p>
    <w:p w14:paraId="0E1D39EE" w14:textId="05A95D33" w:rsidR="000743DD" w:rsidRPr="00343A7D" w:rsidRDefault="000743DD" w:rsidP="00343A7D">
      <w:pPr>
        <w:spacing w:line="360" w:lineRule="auto"/>
        <w:jc w:val="both"/>
        <w:rPr>
          <w:color w:val="000000" w:themeColor="text1"/>
        </w:rPr>
      </w:pPr>
      <w:r w:rsidRPr="00343A7D">
        <w:rPr>
          <w:color w:val="000000" w:themeColor="text1"/>
        </w:rPr>
        <w:t>Digital talent platforms create a similar tension. Skills databases and internal marketplaces can make women visible beyond their immediate manager, while automated “</w:t>
      </w:r>
      <w:r w:rsidR="006D2020" w:rsidRPr="00343A7D">
        <w:rPr>
          <w:color w:val="000000" w:themeColor="text1"/>
        </w:rPr>
        <w:t>high potential</w:t>
      </w:r>
      <w:r w:rsidRPr="00343A7D">
        <w:rPr>
          <w:color w:val="000000" w:themeColor="text1"/>
        </w:rPr>
        <w:t xml:space="preserve">” classifications may formalise gendered assumptions about mobility, presence and leadership style. </w:t>
      </w:r>
      <w:proofErr w:type="spellStart"/>
      <w:r w:rsidRPr="00343A7D">
        <w:rPr>
          <w:color w:val="000000" w:themeColor="text1"/>
        </w:rPr>
        <w:t>Wiblen</w:t>
      </w:r>
      <w:proofErr w:type="spellEnd"/>
      <w:r w:rsidRPr="00343A7D">
        <w:rPr>
          <w:color w:val="000000" w:themeColor="text1"/>
        </w:rPr>
        <w:t xml:space="preserve"> and Marler’s (2021) case study found different talent-identification practices around the same technology within one organisation because local relationships and managerial interpretations shaped use. Technology therefore participates in, rather than replaces, organisational judgement.</w:t>
      </w:r>
    </w:p>
    <w:p w14:paraId="124414BD" w14:textId="0B922D07" w:rsidR="000743DD" w:rsidRPr="00343A7D" w:rsidRDefault="000743DD" w:rsidP="00343A7D">
      <w:pPr>
        <w:spacing w:line="360" w:lineRule="auto"/>
        <w:jc w:val="both"/>
        <w:rPr>
          <w:color w:val="000000" w:themeColor="text1"/>
        </w:rPr>
      </w:pPr>
      <w:r w:rsidRPr="00343A7D">
        <w:rPr>
          <w:color w:val="000000" w:themeColor="text1"/>
        </w:rPr>
        <w:t xml:space="preserve">Hybrid working provides unusually strong causal evidence for retention. Bloom et al.’s (2024) </w:t>
      </w:r>
      <w:r w:rsidR="005B3276" w:rsidRPr="005B3276">
        <w:rPr>
          <w:color w:val="000000" w:themeColor="text1"/>
        </w:rPr>
        <w:t>randomized trial involving 1,612 technology employees found that allowing two days of remote work reduced employee turnover from 7.20% to 4.80</w:t>
      </w:r>
      <w:r w:rsidR="00B60B52" w:rsidRPr="005B3276">
        <w:rPr>
          <w:color w:val="000000" w:themeColor="text1"/>
        </w:rPr>
        <w:t>%. For</w:t>
      </w:r>
      <w:r w:rsidR="005B3276" w:rsidRPr="005B3276">
        <w:rPr>
          <w:color w:val="000000" w:themeColor="text1"/>
        </w:rPr>
        <w:t xml:space="preserve"> women, the rate of leaving decreased from 9.19% to 4.18%.</w:t>
      </w:r>
      <w:r w:rsidR="00660BC9">
        <w:rPr>
          <w:color w:val="000000" w:themeColor="text1"/>
        </w:rPr>
        <w:t xml:space="preserve"> </w:t>
      </w:r>
      <w:r w:rsidR="005B3276" w:rsidRPr="005B3276">
        <w:rPr>
          <w:color w:val="000000" w:themeColor="text1"/>
        </w:rPr>
        <w:t>There was no noticeable negative impact on performance or software output.</w:t>
      </w:r>
      <w:r w:rsidRPr="00343A7D">
        <w:rPr>
          <w:color w:val="000000" w:themeColor="text1"/>
        </w:rPr>
        <w:t xml:space="preserve"> Promotion did not improve significantly. The single Chinese </w:t>
      </w:r>
      <w:r w:rsidR="004A2D67">
        <w:rPr>
          <w:color w:val="000000" w:themeColor="text1"/>
        </w:rPr>
        <w:t xml:space="preserve">organization </w:t>
      </w:r>
      <w:r w:rsidRPr="00343A7D">
        <w:rPr>
          <w:color w:val="000000" w:themeColor="text1"/>
        </w:rPr>
        <w:t>limits transferability, but the result is important</w:t>
      </w:r>
      <w:r w:rsidR="004A2D67">
        <w:rPr>
          <w:color w:val="000000" w:themeColor="text1"/>
        </w:rPr>
        <w:t xml:space="preserve"> that is</w:t>
      </w:r>
      <w:r w:rsidRPr="00343A7D">
        <w:rPr>
          <w:color w:val="000000" w:themeColor="text1"/>
        </w:rPr>
        <w:t xml:space="preserve"> digital flexibility can retain women without increasing authority. In Great Britain, hybrid work is now widespread (ONS, 2025), so location-neutral appraisal, equitable allocation of visible work and deliberate sponsorship are essential if flexibility is not to create a proximity penalty.</w:t>
      </w:r>
    </w:p>
    <w:p w14:paraId="58DC4FC1" w14:textId="67BD2C9B" w:rsidR="000743DD" w:rsidRPr="00343A7D" w:rsidRDefault="000743DD" w:rsidP="00343A7D">
      <w:pPr>
        <w:spacing w:line="360" w:lineRule="auto"/>
        <w:jc w:val="both"/>
        <w:rPr>
          <w:color w:val="000000" w:themeColor="text1"/>
        </w:rPr>
      </w:pPr>
      <w:r w:rsidRPr="00343A7D">
        <w:rPr>
          <w:color w:val="000000" w:themeColor="text1"/>
        </w:rPr>
        <w:t>Digital leadership also extends beyond technical competence. Tahiry et al.’s (2026) review identifies digital strategic thinking, insight, change capability and talent development, but the field more often examines innovation or performance than gendered careers. Bartsch et al. (2021)</w:t>
      </w:r>
      <w:r w:rsidR="00227418" w:rsidRPr="00227418">
        <w:rPr>
          <w:color w:val="000000" w:themeColor="text1"/>
        </w:rPr>
        <w:t xml:space="preserve"> discovered that providing task direction and using relational leadership both helped improve performance during rapid virtualization, and this effect was influenced by autonomy and team cohesion.</w:t>
      </w:r>
      <w:r w:rsidRPr="00343A7D">
        <w:rPr>
          <w:color w:val="000000" w:themeColor="text1"/>
        </w:rPr>
        <w:t xml:space="preserve"> The cross-sectional, pandemic-specific design cannot establish long-term effects, yet it challenges the assumption that platforms can substitute for relationships. Digitally capable leaders may still use surveillance, inequitable work allocation or narrow performance metrics.</w:t>
      </w:r>
    </w:p>
    <w:p w14:paraId="16EC88B1" w14:textId="77777777" w:rsidR="000743DD" w:rsidRPr="00343A7D" w:rsidRDefault="000743DD" w:rsidP="00343A7D">
      <w:pPr>
        <w:spacing w:line="360" w:lineRule="auto"/>
        <w:jc w:val="both"/>
        <w:rPr>
          <w:color w:val="000000" w:themeColor="text1"/>
        </w:rPr>
      </w:pPr>
      <w:r w:rsidRPr="00343A7D">
        <w:rPr>
          <w:color w:val="000000" w:themeColor="text1"/>
        </w:rPr>
        <w:lastRenderedPageBreak/>
        <w:t xml:space="preserve">Technology-enabled learning expands access and personalisation, and its use has grown among UK learning professionals (CIPD, 2024; </w:t>
      </w:r>
      <w:proofErr w:type="spellStart"/>
      <w:r w:rsidRPr="00343A7D">
        <w:rPr>
          <w:color w:val="000000" w:themeColor="text1"/>
        </w:rPr>
        <w:t>Ekuma</w:t>
      </w:r>
      <w:proofErr w:type="spellEnd"/>
      <w:r w:rsidRPr="00343A7D">
        <w:rPr>
          <w:color w:val="000000" w:themeColor="text1"/>
        </w:rPr>
        <w:t>, 2024). However, access to content is not equivalent to leadership development. Hillberg Jarl’s (2024) review found that role modelling, supportive relationships and opportunities to interpret experience shape workplace learning, while objective causal evidence remained limited. Online participation will not generate progression where women lack protected learning time, sponsorship, stretch assignments or opportunities to exercise new capabilities. The evidence therefore supports responsible integration of technology with relational leadership and career systems, not technological determinism.</w:t>
      </w:r>
    </w:p>
    <w:p w14:paraId="0B449F28" w14:textId="5DD7AB0B" w:rsidR="000743DD" w:rsidRPr="00343A7D" w:rsidRDefault="000743DD" w:rsidP="00343A7D">
      <w:pPr>
        <w:spacing w:line="360" w:lineRule="auto"/>
        <w:jc w:val="both"/>
        <w:rPr>
          <w:color w:val="000000" w:themeColor="text1"/>
        </w:rPr>
      </w:pPr>
      <w:r w:rsidRPr="00343A7D">
        <w:rPr>
          <w:color w:val="000000" w:themeColor="text1"/>
        </w:rPr>
        <w:t>The evidence hierarchy is uneven. Regulatory audits identify actual governance failures but not their aggregate career effect; case studies reveal how local managers reshape technology but cannot estimate prevalence; surveys identify associations but remain vulnerable to common-method bias and Bloom et al.’s (2024) experiment provides stronger causal inference within one organisation. Comparative longitudinal studies are consequently needed to examine whether the same platform generates different gendered outcomes under different governance arrangements. This would treat digital maturity as an organisational condition, not simply the number of technologies adopted, across comparable organisational contexts.</w:t>
      </w:r>
    </w:p>
    <w:p w14:paraId="1F58471D" w14:textId="2110695E" w:rsidR="000743DD" w:rsidRPr="00343A7D" w:rsidRDefault="006D2020" w:rsidP="00343A7D">
      <w:pPr>
        <w:spacing w:line="360" w:lineRule="auto"/>
        <w:jc w:val="both"/>
        <w:rPr>
          <w:color w:val="000000" w:themeColor="text1"/>
        </w:rPr>
      </w:pPr>
      <w:r w:rsidRPr="00343A7D">
        <w:rPr>
          <w:color w:val="000000" w:themeColor="text1"/>
        </w:rPr>
        <w:t>Table 3.3 Digital opportunities, gender-related risk and organizational controls</w:t>
      </w:r>
    </w:p>
    <w:tbl>
      <w:tblPr>
        <w:tblW w:w="9026" w:type="dxa"/>
        <w:tblBorders>
          <w:top w:val="single" w:sz="6" w:space="0" w:color="B8C2CC"/>
          <w:left w:val="single" w:sz="6" w:space="0" w:color="B8C2CC"/>
          <w:bottom w:val="single" w:sz="6" w:space="0" w:color="B8C2CC"/>
          <w:right w:val="single" w:sz="6" w:space="0" w:color="B8C2CC"/>
          <w:insideH w:val="single" w:sz="6" w:space="0" w:color="B8C2CC"/>
          <w:insideV w:val="single" w:sz="6" w:space="0" w:color="B8C2CC"/>
        </w:tblBorders>
        <w:tblLayout w:type="fixed"/>
        <w:tblLook w:val="04A0" w:firstRow="1" w:lastRow="0" w:firstColumn="1" w:lastColumn="0" w:noHBand="0" w:noVBand="1"/>
      </w:tblPr>
      <w:tblGrid>
        <w:gridCol w:w="1800"/>
        <w:gridCol w:w="2300"/>
        <w:gridCol w:w="2450"/>
        <w:gridCol w:w="2476"/>
      </w:tblGrid>
      <w:tr w:rsidR="006D2020" w:rsidRPr="00343A7D" w14:paraId="225A1BC9" w14:textId="77777777" w:rsidTr="00F45876">
        <w:trPr>
          <w:tblHeader/>
        </w:trPr>
        <w:tc>
          <w:tcPr>
            <w:tcW w:w="1800" w:type="dxa"/>
            <w:shd w:val="clear" w:color="auto" w:fill="E8EEF5"/>
            <w:tcMar>
              <w:top w:w="80" w:type="dxa"/>
              <w:left w:w="120" w:type="dxa"/>
              <w:bottom w:w="80" w:type="dxa"/>
              <w:right w:w="120" w:type="dxa"/>
            </w:tcMar>
            <w:vAlign w:val="center"/>
          </w:tcPr>
          <w:p w14:paraId="619930DD" w14:textId="77777777" w:rsidR="006D2020" w:rsidRPr="00343A7D" w:rsidRDefault="006D2020" w:rsidP="00343A7D">
            <w:pPr>
              <w:spacing w:after="0" w:line="360" w:lineRule="auto"/>
              <w:jc w:val="both"/>
              <w:rPr>
                <w:color w:val="000000" w:themeColor="text1"/>
              </w:rPr>
            </w:pPr>
            <w:r w:rsidRPr="00343A7D">
              <w:rPr>
                <w:b/>
                <w:color w:val="000000" w:themeColor="text1"/>
              </w:rPr>
              <w:t>Digital practice</w:t>
            </w:r>
          </w:p>
        </w:tc>
        <w:tc>
          <w:tcPr>
            <w:tcW w:w="2300" w:type="dxa"/>
            <w:shd w:val="clear" w:color="auto" w:fill="E8EEF5"/>
            <w:tcMar>
              <w:top w:w="80" w:type="dxa"/>
              <w:left w:w="120" w:type="dxa"/>
              <w:bottom w:w="80" w:type="dxa"/>
              <w:right w:w="120" w:type="dxa"/>
            </w:tcMar>
            <w:vAlign w:val="center"/>
          </w:tcPr>
          <w:p w14:paraId="4CF47CA7" w14:textId="77777777" w:rsidR="006D2020" w:rsidRPr="00343A7D" w:rsidRDefault="006D2020" w:rsidP="00343A7D">
            <w:pPr>
              <w:spacing w:after="0" w:line="360" w:lineRule="auto"/>
              <w:jc w:val="both"/>
              <w:rPr>
                <w:color w:val="000000" w:themeColor="text1"/>
              </w:rPr>
            </w:pPr>
            <w:r w:rsidRPr="00343A7D">
              <w:rPr>
                <w:b/>
                <w:color w:val="000000" w:themeColor="text1"/>
              </w:rPr>
              <w:t>Potential opportunity</w:t>
            </w:r>
          </w:p>
        </w:tc>
        <w:tc>
          <w:tcPr>
            <w:tcW w:w="2450" w:type="dxa"/>
            <w:shd w:val="clear" w:color="auto" w:fill="E8EEF5"/>
            <w:tcMar>
              <w:top w:w="80" w:type="dxa"/>
              <w:left w:w="120" w:type="dxa"/>
              <w:bottom w:w="80" w:type="dxa"/>
              <w:right w:w="120" w:type="dxa"/>
            </w:tcMar>
            <w:vAlign w:val="center"/>
          </w:tcPr>
          <w:p w14:paraId="5A5F01DC" w14:textId="77777777" w:rsidR="006D2020" w:rsidRPr="00343A7D" w:rsidRDefault="006D2020" w:rsidP="00343A7D">
            <w:pPr>
              <w:spacing w:after="0" w:line="360" w:lineRule="auto"/>
              <w:jc w:val="both"/>
              <w:rPr>
                <w:color w:val="000000" w:themeColor="text1"/>
              </w:rPr>
            </w:pPr>
            <w:r w:rsidRPr="00343A7D">
              <w:rPr>
                <w:b/>
                <w:color w:val="000000" w:themeColor="text1"/>
              </w:rPr>
              <w:t>Potential risk</w:t>
            </w:r>
          </w:p>
        </w:tc>
        <w:tc>
          <w:tcPr>
            <w:tcW w:w="2476" w:type="dxa"/>
            <w:shd w:val="clear" w:color="auto" w:fill="E8EEF5"/>
            <w:tcMar>
              <w:top w:w="80" w:type="dxa"/>
              <w:left w:w="120" w:type="dxa"/>
              <w:bottom w:w="80" w:type="dxa"/>
              <w:right w:w="120" w:type="dxa"/>
            </w:tcMar>
            <w:vAlign w:val="center"/>
          </w:tcPr>
          <w:p w14:paraId="09D7440B" w14:textId="77777777" w:rsidR="006D2020" w:rsidRPr="00343A7D" w:rsidRDefault="006D2020" w:rsidP="00343A7D">
            <w:pPr>
              <w:spacing w:after="0" w:line="360" w:lineRule="auto"/>
              <w:jc w:val="both"/>
              <w:rPr>
                <w:color w:val="000000" w:themeColor="text1"/>
              </w:rPr>
            </w:pPr>
            <w:r w:rsidRPr="00343A7D">
              <w:rPr>
                <w:b/>
                <w:color w:val="000000" w:themeColor="text1"/>
              </w:rPr>
              <w:t>Required control</w:t>
            </w:r>
          </w:p>
        </w:tc>
      </w:tr>
      <w:tr w:rsidR="006D2020" w:rsidRPr="00343A7D" w14:paraId="322C1507" w14:textId="77777777" w:rsidTr="00F45876">
        <w:trPr>
          <w:cantSplit/>
        </w:trPr>
        <w:tc>
          <w:tcPr>
            <w:tcW w:w="1800" w:type="dxa"/>
          </w:tcPr>
          <w:p w14:paraId="75E8B3ED" w14:textId="77777777" w:rsidR="006D2020" w:rsidRPr="00343A7D" w:rsidRDefault="006D2020" w:rsidP="00F45876">
            <w:pPr>
              <w:spacing w:after="0" w:line="360" w:lineRule="auto"/>
              <w:rPr>
                <w:color w:val="000000" w:themeColor="text1"/>
              </w:rPr>
            </w:pPr>
            <w:r w:rsidRPr="00343A7D">
              <w:rPr>
                <w:color w:val="000000" w:themeColor="text1"/>
              </w:rPr>
              <w:t>AI-enabled HRM</w:t>
            </w:r>
          </w:p>
        </w:tc>
        <w:tc>
          <w:tcPr>
            <w:tcW w:w="2300" w:type="dxa"/>
          </w:tcPr>
          <w:p w14:paraId="7B4B76FE" w14:textId="77777777" w:rsidR="006D2020" w:rsidRPr="00343A7D" w:rsidRDefault="006D2020" w:rsidP="00F45876">
            <w:pPr>
              <w:spacing w:after="0" w:line="360" w:lineRule="auto"/>
              <w:rPr>
                <w:color w:val="000000" w:themeColor="text1"/>
              </w:rPr>
            </w:pPr>
            <w:r w:rsidRPr="00343A7D">
              <w:rPr>
                <w:color w:val="000000" w:themeColor="text1"/>
              </w:rPr>
              <w:t>Consistent processing and wider reach</w:t>
            </w:r>
          </w:p>
        </w:tc>
        <w:tc>
          <w:tcPr>
            <w:tcW w:w="2450" w:type="dxa"/>
          </w:tcPr>
          <w:p w14:paraId="1920DDB2" w14:textId="77777777" w:rsidR="006D2020" w:rsidRPr="00343A7D" w:rsidRDefault="006D2020" w:rsidP="00F45876">
            <w:pPr>
              <w:spacing w:after="0" w:line="360" w:lineRule="auto"/>
              <w:rPr>
                <w:color w:val="000000" w:themeColor="text1"/>
              </w:rPr>
            </w:pPr>
            <w:r w:rsidRPr="00343A7D">
              <w:rPr>
                <w:color w:val="000000" w:themeColor="text1"/>
              </w:rPr>
              <w:t>Historical bias, proxies and opaque decisions</w:t>
            </w:r>
          </w:p>
        </w:tc>
        <w:tc>
          <w:tcPr>
            <w:tcW w:w="2476" w:type="dxa"/>
          </w:tcPr>
          <w:p w14:paraId="1CE5AD0A" w14:textId="77777777" w:rsidR="006D2020" w:rsidRPr="00343A7D" w:rsidRDefault="006D2020" w:rsidP="00F45876">
            <w:pPr>
              <w:spacing w:after="0" w:line="360" w:lineRule="auto"/>
              <w:rPr>
                <w:color w:val="000000" w:themeColor="text1"/>
              </w:rPr>
            </w:pPr>
            <w:r w:rsidRPr="00343A7D">
              <w:rPr>
                <w:color w:val="000000" w:themeColor="text1"/>
              </w:rPr>
              <w:t>Impact testing, human review and appeal</w:t>
            </w:r>
          </w:p>
        </w:tc>
      </w:tr>
      <w:tr w:rsidR="006D2020" w:rsidRPr="00343A7D" w14:paraId="2798D4CB" w14:textId="77777777" w:rsidTr="00F45876">
        <w:trPr>
          <w:cantSplit/>
        </w:trPr>
        <w:tc>
          <w:tcPr>
            <w:tcW w:w="1800" w:type="dxa"/>
          </w:tcPr>
          <w:p w14:paraId="602F7074" w14:textId="77777777" w:rsidR="006D2020" w:rsidRPr="00343A7D" w:rsidRDefault="006D2020" w:rsidP="00F45876">
            <w:pPr>
              <w:spacing w:after="0" w:line="360" w:lineRule="auto"/>
              <w:rPr>
                <w:color w:val="000000" w:themeColor="text1"/>
              </w:rPr>
            </w:pPr>
            <w:r w:rsidRPr="00343A7D">
              <w:rPr>
                <w:color w:val="000000" w:themeColor="text1"/>
              </w:rPr>
              <w:t>Talent platforms</w:t>
            </w:r>
          </w:p>
        </w:tc>
        <w:tc>
          <w:tcPr>
            <w:tcW w:w="2300" w:type="dxa"/>
          </w:tcPr>
          <w:p w14:paraId="16F9F3DA" w14:textId="77777777" w:rsidR="006D2020" w:rsidRPr="00343A7D" w:rsidRDefault="006D2020" w:rsidP="00F45876">
            <w:pPr>
              <w:spacing w:after="0" w:line="360" w:lineRule="auto"/>
              <w:rPr>
                <w:color w:val="000000" w:themeColor="text1"/>
              </w:rPr>
            </w:pPr>
            <w:r w:rsidRPr="00343A7D">
              <w:rPr>
                <w:color w:val="000000" w:themeColor="text1"/>
              </w:rPr>
              <w:t>Skills visibility and internal mobility</w:t>
            </w:r>
          </w:p>
        </w:tc>
        <w:tc>
          <w:tcPr>
            <w:tcW w:w="2450" w:type="dxa"/>
          </w:tcPr>
          <w:p w14:paraId="0E0CA048" w14:textId="77777777" w:rsidR="006D2020" w:rsidRPr="00343A7D" w:rsidRDefault="006D2020" w:rsidP="00F45876">
            <w:pPr>
              <w:spacing w:after="0" w:line="360" w:lineRule="auto"/>
              <w:rPr>
                <w:color w:val="000000" w:themeColor="text1"/>
              </w:rPr>
            </w:pPr>
            <w:r w:rsidRPr="00343A7D">
              <w:rPr>
                <w:color w:val="000000" w:themeColor="text1"/>
              </w:rPr>
              <w:t>Automated gendered “potential” criteria</w:t>
            </w:r>
          </w:p>
        </w:tc>
        <w:tc>
          <w:tcPr>
            <w:tcW w:w="2476" w:type="dxa"/>
          </w:tcPr>
          <w:p w14:paraId="156D9278" w14:textId="77777777" w:rsidR="006D2020" w:rsidRPr="00343A7D" w:rsidRDefault="006D2020" w:rsidP="00F45876">
            <w:pPr>
              <w:spacing w:after="0" w:line="360" w:lineRule="auto"/>
              <w:rPr>
                <w:color w:val="000000" w:themeColor="text1"/>
              </w:rPr>
            </w:pPr>
            <w:r w:rsidRPr="00343A7D">
              <w:rPr>
                <w:color w:val="000000" w:themeColor="text1"/>
              </w:rPr>
              <w:t>Audits of assignments, succession and promotion</w:t>
            </w:r>
          </w:p>
        </w:tc>
      </w:tr>
      <w:tr w:rsidR="006D2020" w:rsidRPr="00343A7D" w14:paraId="2DB1360E" w14:textId="77777777" w:rsidTr="00F45876">
        <w:trPr>
          <w:cantSplit/>
        </w:trPr>
        <w:tc>
          <w:tcPr>
            <w:tcW w:w="1800" w:type="dxa"/>
          </w:tcPr>
          <w:p w14:paraId="2D28495D" w14:textId="77777777" w:rsidR="006D2020" w:rsidRPr="00343A7D" w:rsidRDefault="006D2020" w:rsidP="00F45876">
            <w:pPr>
              <w:spacing w:after="0" w:line="360" w:lineRule="auto"/>
              <w:rPr>
                <w:color w:val="000000" w:themeColor="text1"/>
              </w:rPr>
            </w:pPr>
            <w:r w:rsidRPr="00343A7D">
              <w:rPr>
                <w:color w:val="000000" w:themeColor="text1"/>
              </w:rPr>
              <w:lastRenderedPageBreak/>
              <w:t>Hybrid working</w:t>
            </w:r>
          </w:p>
        </w:tc>
        <w:tc>
          <w:tcPr>
            <w:tcW w:w="2300" w:type="dxa"/>
          </w:tcPr>
          <w:p w14:paraId="7D93318C" w14:textId="77777777" w:rsidR="006D2020" w:rsidRPr="00343A7D" w:rsidRDefault="006D2020" w:rsidP="00F45876">
            <w:pPr>
              <w:spacing w:after="0" w:line="360" w:lineRule="auto"/>
              <w:rPr>
                <w:color w:val="000000" w:themeColor="text1"/>
              </w:rPr>
            </w:pPr>
            <w:r w:rsidRPr="00343A7D">
              <w:rPr>
                <w:color w:val="000000" w:themeColor="text1"/>
              </w:rPr>
              <w:t>Flexibility and improved retention</w:t>
            </w:r>
          </w:p>
        </w:tc>
        <w:tc>
          <w:tcPr>
            <w:tcW w:w="2450" w:type="dxa"/>
          </w:tcPr>
          <w:p w14:paraId="12E0D3FA" w14:textId="77777777" w:rsidR="006D2020" w:rsidRPr="00343A7D" w:rsidRDefault="006D2020" w:rsidP="00F45876">
            <w:pPr>
              <w:spacing w:after="0" w:line="360" w:lineRule="auto"/>
              <w:rPr>
                <w:color w:val="000000" w:themeColor="text1"/>
              </w:rPr>
            </w:pPr>
            <w:r w:rsidRPr="00343A7D">
              <w:rPr>
                <w:color w:val="000000" w:themeColor="text1"/>
              </w:rPr>
              <w:t>Reduced visibility, networks and sponsorship</w:t>
            </w:r>
          </w:p>
        </w:tc>
        <w:tc>
          <w:tcPr>
            <w:tcW w:w="2476" w:type="dxa"/>
          </w:tcPr>
          <w:p w14:paraId="5630EAEC" w14:textId="77777777" w:rsidR="006D2020" w:rsidRPr="00343A7D" w:rsidRDefault="006D2020" w:rsidP="00F45876">
            <w:pPr>
              <w:spacing w:after="0" w:line="360" w:lineRule="auto"/>
              <w:rPr>
                <w:color w:val="000000" w:themeColor="text1"/>
              </w:rPr>
            </w:pPr>
            <w:r w:rsidRPr="00343A7D">
              <w:rPr>
                <w:color w:val="000000" w:themeColor="text1"/>
              </w:rPr>
              <w:t>Location-neutral appraisal and deliberate sponsorship</w:t>
            </w:r>
          </w:p>
        </w:tc>
      </w:tr>
      <w:tr w:rsidR="006D2020" w:rsidRPr="00343A7D" w14:paraId="7E4C65DC" w14:textId="77777777" w:rsidTr="00F45876">
        <w:trPr>
          <w:cantSplit/>
        </w:trPr>
        <w:tc>
          <w:tcPr>
            <w:tcW w:w="1800" w:type="dxa"/>
          </w:tcPr>
          <w:p w14:paraId="02737428" w14:textId="77777777" w:rsidR="006D2020" w:rsidRPr="00343A7D" w:rsidRDefault="006D2020" w:rsidP="00F45876">
            <w:pPr>
              <w:spacing w:after="0" w:line="360" w:lineRule="auto"/>
              <w:rPr>
                <w:color w:val="000000" w:themeColor="text1"/>
              </w:rPr>
            </w:pPr>
            <w:r w:rsidRPr="00343A7D">
              <w:rPr>
                <w:color w:val="000000" w:themeColor="text1"/>
              </w:rPr>
              <w:t>Digital learning</w:t>
            </w:r>
          </w:p>
        </w:tc>
        <w:tc>
          <w:tcPr>
            <w:tcW w:w="2300" w:type="dxa"/>
          </w:tcPr>
          <w:p w14:paraId="223BD76F" w14:textId="77777777" w:rsidR="006D2020" w:rsidRPr="00343A7D" w:rsidRDefault="006D2020" w:rsidP="00F45876">
            <w:pPr>
              <w:spacing w:after="0" w:line="360" w:lineRule="auto"/>
              <w:rPr>
                <w:color w:val="000000" w:themeColor="text1"/>
              </w:rPr>
            </w:pPr>
            <w:r w:rsidRPr="00343A7D">
              <w:rPr>
                <w:color w:val="000000" w:themeColor="text1"/>
              </w:rPr>
              <w:t>Scalable, flexible development</w:t>
            </w:r>
          </w:p>
        </w:tc>
        <w:tc>
          <w:tcPr>
            <w:tcW w:w="2450" w:type="dxa"/>
          </w:tcPr>
          <w:p w14:paraId="6CC479F1" w14:textId="77777777" w:rsidR="006D2020" w:rsidRPr="00343A7D" w:rsidRDefault="006D2020" w:rsidP="00F45876">
            <w:pPr>
              <w:spacing w:after="0" w:line="360" w:lineRule="auto"/>
              <w:rPr>
                <w:color w:val="000000" w:themeColor="text1"/>
              </w:rPr>
            </w:pPr>
            <w:r w:rsidRPr="00343A7D">
              <w:rPr>
                <w:color w:val="000000" w:themeColor="text1"/>
              </w:rPr>
              <w:t>Unequal time and weak transfer into opportunity</w:t>
            </w:r>
          </w:p>
        </w:tc>
        <w:tc>
          <w:tcPr>
            <w:tcW w:w="2476" w:type="dxa"/>
          </w:tcPr>
          <w:p w14:paraId="4887015F" w14:textId="77777777" w:rsidR="006D2020" w:rsidRPr="00343A7D" w:rsidRDefault="006D2020" w:rsidP="00F45876">
            <w:pPr>
              <w:spacing w:after="0" w:line="360" w:lineRule="auto"/>
              <w:rPr>
                <w:color w:val="000000" w:themeColor="text1"/>
              </w:rPr>
            </w:pPr>
            <w:r w:rsidRPr="00343A7D">
              <w:rPr>
                <w:color w:val="000000" w:themeColor="text1"/>
              </w:rPr>
              <w:t>Protected time, blended learning and experiential work</w:t>
            </w:r>
          </w:p>
        </w:tc>
      </w:tr>
    </w:tbl>
    <w:p w14:paraId="5B7B9AFF" w14:textId="0118212D" w:rsidR="006D2020" w:rsidRPr="00921AD2" w:rsidRDefault="006D2020" w:rsidP="00343A7D">
      <w:pPr>
        <w:pStyle w:val="SourceText"/>
        <w:spacing w:line="360" w:lineRule="auto"/>
        <w:jc w:val="both"/>
        <w:rPr>
          <w:rFonts w:asciiTheme="minorHAnsi" w:hAnsiTheme="minorHAnsi"/>
          <w:i w:val="0"/>
          <w:iCs/>
          <w:color w:val="000000" w:themeColor="text1"/>
          <w:sz w:val="24"/>
          <w:szCs w:val="24"/>
        </w:rPr>
      </w:pPr>
      <w:proofErr w:type="spellStart"/>
      <w:r w:rsidRPr="00921AD2">
        <w:rPr>
          <w:rFonts w:asciiTheme="minorHAnsi" w:hAnsiTheme="minorHAnsi"/>
          <w:i w:val="0"/>
          <w:iCs/>
          <w:color w:val="000000" w:themeColor="text1"/>
          <w:sz w:val="24"/>
          <w:szCs w:val="24"/>
        </w:rPr>
        <w:t>Wiblen</w:t>
      </w:r>
      <w:proofErr w:type="spellEnd"/>
      <w:r w:rsidRPr="00921AD2">
        <w:rPr>
          <w:rFonts w:asciiTheme="minorHAnsi" w:hAnsiTheme="minorHAnsi"/>
          <w:i w:val="0"/>
          <w:iCs/>
          <w:color w:val="000000" w:themeColor="text1"/>
          <w:sz w:val="24"/>
          <w:szCs w:val="24"/>
        </w:rPr>
        <w:t xml:space="preserve"> </w:t>
      </w:r>
      <w:r w:rsidR="00734677" w:rsidRPr="00921AD2">
        <w:rPr>
          <w:rFonts w:asciiTheme="minorHAnsi" w:hAnsiTheme="minorHAnsi"/>
          <w:i w:val="0"/>
          <w:iCs/>
          <w:color w:val="000000" w:themeColor="text1"/>
          <w:sz w:val="24"/>
          <w:szCs w:val="24"/>
        </w:rPr>
        <w:t xml:space="preserve">et al. </w:t>
      </w:r>
      <w:r w:rsidRPr="00921AD2">
        <w:rPr>
          <w:rFonts w:asciiTheme="minorHAnsi" w:hAnsiTheme="minorHAnsi"/>
          <w:i w:val="0"/>
          <w:iCs/>
          <w:color w:val="000000" w:themeColor="text1"/>
          <w:sz w:val="24"/>
          <w:szCs w:val="24"/>
        </w:rPr>
        <w:t xml:space="preserve"> (2021), Bloom et al. (2024), </w:t>
      </w:r>
      <w:proofErr w:type="spellStart"/>
      <w:r w:rsidRPr="00921AD2">
        <w:rPr>
          <w:rFonts w:asciiTheme="minorHAnsi" w:hAnsiTheme="minorHAnsi"/>
          <w:i w:val="0"/>
          <w:iCs/>
          <w:color w:val="000000" w:themeColor="text1"/>
          <w:sz w:val="24"/>
          <w:szCs w:val="24"/>
        </w:rPr>
        <w:t>Ekuma</w:t>
      </w:r>
      <w:proofErr w:type="spellEnd"/>
      <w:r w:rsidRPr="00921AD2">
        <w:rPr>
          <w:rFonts w:asciiTheme="minorHAnsi" w:hAnsiTheme="minorHAnsi"/>
          <w:i w:val="0"/>
          <w:iCs/>
          <w:color w:val="000000" w:themeColor="text1"/>
          <w:sz w:val="24"/>
          <w:szCs w:val="24"/>
        </w:rPr>
        <w:t xml:space="preserve"> (2024) and Tahiry et al. (2026).</w:t>
      </w:r>
    </w:p>
    <w:p w14:paraId="5297CFD8" w14:textId="77777777" w:rsidR="006D2020" w:rsidRPr="00343A7D" w:rsidRDefault="006D2020" w:rsidP="00343A7D">
      <w:pPr>
        <w:spacing w:line="360" w:lineRule="auto"/>
        <w:jc w:val="both"/>
        <w:rPr>
          <w:color w:val="000000" w:themeColor="text1"/>
        </w:rPr>
      </w:pPr>
    </w:p>
    <w:p w14:paraId="7355ABAA" w14:textId="77777777" w:rsidR="006D2020" w:rsidRPr="00343A7D" w:rsidRDefault="006D2020" w:rsidP="00343A7D">
      <w:pPr>
        <w:pStyle w:val="Heading2"/>
        <w:spacing w:line="360" w:lineRule="auto"/>
        <w:ind w:left="740"/>
        <w:jc w:val="both"/>
        <w:rPr>
          <w:rFonts w:asciiTheme="minorHAnsi" w:hAnsiTheme="minorHAnsi"/>
          <w:color w:val="000000" w:themeColor="text1"/>
          <w:sz w:val="24"/>
          <w:szCs w:val="24"/>
        </w:rPr>
      </w:pPr>
      <w:r w:rsidRPr="00343A7D">
        <w:rPr>
          <w:rFonts w:asciiTheme="minorHAnsi" w:hAnsiTheme="minorHAnsi"/>
          <w:color w:val="000000" w:themeColor="text1"/>
          <w:sz w:val="24"/>
          <w:szCs w:val="24"/>
        </w:rPr>
        <w:t xml:space="preserve">3.4 </w:t>
      </w:r>
      <w:r w:rsidRPr="00343A7D">
        <w:rPr>
          <w:rFonts w:asciiTheme="minorHAnsi" w:hAnsiTheme="minorHAnsi"/>
          <w:b/>
          <w:color w:val="000000" w:themeColor="text1"/>
          <w:sz w:val="24"/>
          <w:szCs w:val="24"/>
        </w:rPr>
        <w:t>Organisational Capability for Gender Inclusion</w:t>
      </w:r>
    </w:p>
    <w:p w14:paraId="38A77B5D" w14:textId="77777777" w:rsidR="006D2020" w:rsidRPr="00343A7D" w:rsidRDefault="006D2020" w:rsidP="00343A7D">
      <w:pPr>
        <w:spacing w:line="360" w:lineRule="auto"/>
        <w:jc w:val="both"/>
        <w:rPr>
          <w:color w:val="000000" w:themeColor="text1"/>
        </w:rPr>
      </w:pPr>
      <w:r w:rsidRPr="00343A7D">
        <w:rPr>
          <w:color w:val="000000" w:themeColor="text1"/>
        </w:rPr>
        <w:t>The presence of mentoring, flexible work or leadership programmes does not itself demonstrate gender-inclusive capability. Inclusion becomes an organisational capability when interventions are integrated into repeatable, accountable routines governing recruitment, assignments, development, succession, promotion and retention.</w:t>
      </w:r>
    </w:p>
    <w:p w14:paraId="0C347A20" w14:textId="599898CC" w:rsidR="006D2020" w:rsidRPr="00343A7D" w:rsidRDefault="006D2020" w:rsidP="00343A7D">
      <w:pPr>
        <w:spacing w:line="360" w:lineRule="auto"/>
        <w:jc w:val="both"/>
        <w:rPr>
          <w:color w:val="000000" w:themeColor="text1"/>
        </w:rPr>
      </w:pPr>
      <w:r w:rsidRPr="00343A7D">
        <w:rPr>
          <w:color w:val="000000" w:themeColor="text1"/>
        </w:rPr>
        <w:t>Mentoring offers knowledge, feedback and psychosocial support. Agbo et al. (2022) found associations between mentoring, perceived organisational support and subjective career success among 307 women in Indian IT. Cross-sectional self-report evidence cannot establish promotion effects, and perceived success is not equivalent to increased pay or authority. Sponsorship is more politically consequential because sponsors use influence to advocate for appointments and visible assignments. Interviews with 57 women leaders showed that sponsorship supplied both strategic opportunities and confidence, but almost all reported sponsors were men (Gröschl et al., 2025). This illustrates both value and dependency</w:t>
      </w:r>
      <w:r w:rsidR="00156E38">
        <w:rPr>
          <w:color w:val="000000" w:themeColor="text1"/>
        </w:rPr>
        <w:t>,</w:t>
      </w:r>
      <w:r w:rsidRPr="00343A7D">
        <w:rPr>
          <w:color w:val="000000" w:themeColor="text1"/>
        </w:rPr>
        <w:t xml:space="preserve"> women’s access to power may continue to rely on already powerful men. Retrospective interviews with successful leaders also introduce survivorship bias.</w:t>
      </w:r>
    </w:p>
    <w:p w14:paraId="543DE136" w14:textId="77777777" w:rsidR="006D2020" w:rsidRPr="00343A7D" w:rsidRDefault="006D2020" w:rsidP="00343A7D">
      <w:pPr>
        <w:spacing w:line="360" w:lineRule="auto"/>
        <w:jc w:val="both"/>
        <w:rPr>
          <w:color w:val="000000" w:themeColor="text1"/>
        </w:rPr>
      </w:pPr>
      <w:r w:rsidRPr="00343A7D">
        <w:rPr>
          <w:color w:val="000000" w:themeColor="text1"/>
        </w:rPr>
        <w:t xml:space="preserve">Succession planning converts development into a route to authority. Dahlan’s (2024) small Saudi higher-education study found limited understanding and formalisation of </w:t>
      </w:r>
      <w:r w:rsidRPr="00343A7D">
        <w:rPr>
          <w:color w:val="000000" w:themeColor="text1"/>
        </w:rPr>
        <w:lastRenderedPageBreak/>
        <w:t>succession for women. The context is not directly transferable, but the mechanism is relevant: undocumented criteria allow familiarity, networks and subjective notions of readiness to shape selection. Technology organisations therefore need published eligibility criteria, calibrated assessment, gender-balanced succession pools and records of access to strategic technical assignments.</w:t>
      </w:r>
    </w:p>
    <w:p w14:paraId="64F5A84F" w14:textId="79702FDA" w:rsidR="006D2020" w:rsidRPr="00343A7D" w:rsidRDefault="006D2020" w:rsidP="00343A7D">
      <w:pPr>
        <w:spacing w:line="360" w:lineRule="auto"/>
        <w:jc w:val="both"/>
        <w:rPr>
          <w:color w:val="000000" w:themeColor="text1"/>
        </w:rPr>
      </w:pPr>
      <w:r w:rsidRPr="00343A7D">
        <w:rPr>
          <w:color w:val="000000" w:themeColor="text1"/>
        </w:rPr>
        <w:t>Women-only development programmes can strengthen self-awareness, confidence, networks and leadership identity. Gardiner et al. (2023) found consistent experiential benefits but much weaker evidence of promotion, pay or sustained organisational change. Gierke et al. (2025) identifies relevant practices across the HR lifecycle while cautioning that some recommendations exceed the underlying evidence. Development should therefore combine formal learning with senior sponsorship, protected time, experiential work and a documented path into succession and promotion.</w:t>
      </w:r>
    </w:p>
    <w:p w14:paraId="3F46DAC8" w14:textId="4C123312" w:rsidR="006D2020" w:rsidRPr="00343A7D" w:rsidRDefault="006D2020" w:rsidP="00343A7D">
      <w:pPr>
        <w:spacing w:line="360" w:lineRule="auto"/>
        <w:jc w:val="both"/>
        <w:rPr>
          <w:color w:val="000000" w:themeColor="text1"/>
        </w:rPr>
      </w:pPr>
      <w:r w:rsidRPr="00343A7D">
        <w:rPr>
          <w:color w:val="000000" w:themeColor="text1"/>
        </w:rPr>
        <w:t>Flexible working supports continuity but is not inherently progression neutral. Most UK employers offer some flexibility (CIPD, 2025), yet Bloom et al. (2024) show that retention can improve without promotion. Casper et al. (2025) similarly report small or inconsistent effects where supervisor support, access and culture vary. Capability requires location-neutral performance evaluation, equitable allocation of visible work and monitoring of promotion by gender and working pattern.</w:t>
      </w:r>
    </w:p>
    <w:p w14:paraId="1C43FCB5" w14:textId="4CB4C766" w:rsidR="006D2020" w:rsidRPr="00343A7D" w:rsidRDefault="006D2020" w:rsidP="00343A7D">
      <w:pPr>
        <w:spacing w:line="360" w:lineRule="auto"/>
        <w:jc w:val="both"/>
        <w:rPr>
          <w:color w:val="000000" w:themeColor="text1"/>
        </w:rPr>
      </w:pPr>
      <w:r w:rsidRPr="00343A7D">
        <w:rPr>
          <w:color w:val="000000" w:themeColor="text1"/>
        </w:rPr>
        <w:t>The Women in Finance Charter illustrates the activity–outcome gap. In 2023, most signatories reported actions on retention or promotion, including leadership programmes, succession and sponsorship, but only one in eight measured impacts (HM Treasury and New Financial, 2024). Longer-term data show improved senior representation among signatories, yet voluntary participation, different targets and the absence of a counterfactual prevent causal attribution (HM Treasury and New Financial, 2026). Applying dynamic-capability theory, organisations must sense inequality through disaggregated data, seize opportunities through coordinated interventions and transform routines in response to outcomes (</w:t>
      </w:r>
      <w:proofErr w:type="spellStart"/>
      <w:r w:rsidRPr="00343A7D">
        <w:rPr>
          <w:color w:val="000000" w:themeColor="text1"/>
        </w:rPr>
        <w:t>Konopik</w:t>
      </w:r>
      <w:proofErr w:type="spellEnd"/>
      <w:r w:rsidRPr="00343A7D">
        <w:rPr>
          <w:color w:val="000000" w:themeColor="text1"/>
        </w:rPr>
        <w:t xml:space="preserve"> et al., 2022). The decisive question is not whether initiatives exist, but whether they reliably redistribute opportunity and authority.</w:t>
      </w:r>
    </w:p>
    <w:p w14:paraId="60BE2306" w14:textId="7B4D3FA9" w:rsidR="006D2020" w:rsidRPr="00343A7D" w:rsidRDefault="00CB275F" w:rsidP="00343A7D">
      <w:pPr>
        <w:spacing w:line="360" w:lineRule="auto"/>
        <w:jc w:val="both"/>
        <w:rPr>
          <w:color w:val="000000" w:themeColor="text1"/>
        </w:rPr>
      </w:pPr>
      <w:r w:rsidRPr="00343A7D">
        <w:rPr>
          <w:color w:val="000000" w:themeColor="text1"/>
        </w:rPr>
        <w:t>Table 3.4 Evidence and capability implications of organizational interventions</w:t>
      </w:r>
    </w:p>
    <w:tbl>
      <w:tblPr>
        <w:tblW w:w="9026" w:type="dxa"/>
        <w:tblInd w:w="120" w:type="dxa"/>
        <w:tblBorders>
          <w:top w:val="single" w:sz="6" w:space="0" w:color="B8C2CC"/>
          <w:left w:val="single" w:sz="6" w:space="0" w:color="B8C2CC"/>
          <w:bottom w:val="single" w:sz="6" w:space="0" w:color="B8C2CC"/>
          <w:right w:val="single" w:sz="6" w:space="0" w:color="B8C2CC"/>
          <w:insideH w:val="single" w:sz="6" w:space="0" w:color="B8C2CC"/>
          <w:insideV w:val="single" w:sz="6" w:space="0" w:color="B8C2CC"/>
        </w:tblBorders>
        <w:tblLayout w:type="fixed"/>
        <w:tblLook w:val="04A0" w:firstRow="1" w:lastRow="0" w:firstColumn="1" w:lastColumn="0" w:noHBand="0" w:noVBand="1"/>
      </w:tblPr>
      <w:tblGrid>
        <w:gridCol w:w="1550"/>
        <w:gridCol w:w="2400"/>
        <w:gridCol w:w="2450"/>
        <w:gridCol w:w="2626"/>
      </w:tblGrid>
      <w:tr w:rsidR="00AC4667" w:rsidRPr="00343A7D" w14:paraId="13CC4207" w14:textId="77777777" w:rsidTr="00366D01">
        <w:trPr>
          <w:tblHeader/>
        </w:trPr>
        <w:tc>
          <w:tcPr>
            <w:tcW w:w="1550" w:type="dxa"/>
            <w:shd w:val="clear" w:color="auto" w:fill="E8EEF5"/>
            <w:tcMar>
              <w:top w:w="80" w:type="dxa"/>
              <w:left w:w="120" w:type="dxa"/>
              <w:bottom w:w="80" w:type="dxa"/>
              <w:right w:w="120" w:type="dxa"/>
            </w:tcMar>
            <w:vAlign w:val="center"/>
          </w:tcPr>
          <w:p w14:paraId="01BF87A2" w14:textId="77777777" w:rsidR="00AC4667" w:rsidRPr="00343A7D" w:rsidRDefault="00AC4667" w:rsidP="00343A7D">
            <w:pPr>
              <w:spacing w:after="0" w:line="360" w:lineRule="auto"/>
              <w:jc w:val="both"/>
              <w:rPr>
                <w:color w:val="000000" w:themeColor="text1"/>
              </w:rPr>
            </w:pPr>
            <w:r w:rsidRPr="00343A7D">
              <w:rPr>
                <w:b/>
                <w:color w:val="000000" w:themeColor="text1"/>
              </w:rPr>
              <w:lastRenderedPageBreak/>
              <w:t>Practice</w:t>
            </w:r>
          </w:p>
        </w:tc>
        <w:tc>
          <w:tcPr>
            <w:tcW w:w="2400" w:type="dxa"/>
            <w:shd w:val="clear" w:color="auto" w:fill="E8EEF5"/>
            <w:tcMar>
              <w:top w:w="80" w:type="dxa"/>
              <w:left w:w="120" w:type="dxa"/>
              <w:bottom w:w="80" w:type="dxa"/>
              <w:right w:w="120" w:type="dxa"/>
            </w:tcMar>
            <w:vAlign w:val="center"/>
          </w:tcPr>
          <w:p w14:paraId="2BC2FAC4" w14:textId="77777777" w:rsidR="00AC4667" w:rsidRPr="00343A7D" w:rsidRDefault="00AC4667" w:rsidP="00343A7D">
            <w:pPr>
              <w:spacing w:after="0" w:line="360" w:lineRule="auto"/>
              <w:jc w:val="both"/>
              <w:rPr>
                <w:color w:val="000000" w:themeColor="text1"/>
              </w:rPr>
            </w:pPr>
            <w:r w:rsidRPr="00343A7D">
              <w:rPr>
                <w:b/>
                <w:color w:val="000000" w:themeColor="text1"/>
              </w:rPr>
              <w:t>Mechanism</w:t>
            </w:r>
          </w:p>
        </w:tc>
        <w:tc>
          <w:tcPr>
            <w:tcW w:w="2450" w:type="dxa"/>
            <w:shd w:val="clear" w:color="auto" w:fill="E8EEF5"/>
            <w:tcMar>
              <w:top w:w="80" w:type="dxa"/>
              <w:left w:w="120" w:type="dxa"/>
              <w:bottom w:w="80" w:type="dxa"/>
              <w:right w:w="120" w:type="dxa"/>
            </w:tcMar>
            <w:vAlign w:val="center"/>
          </w:tcPr>
          <w:p w14:paraId="721AEB6C" w14:textId="77777777" w:rsidR="00AC4667" w:rsidRPr="00343A7D" w:rsidRDefault="00AC4667" w:rsidP="00343A7D">
            <w:pPr>
              <w:spacing w:after="0" w:line="360" w:lineRule="auto"/>
              <w:jc w:val="both"/>
              <w:rPr>
                <w:color w:val="000000" w:themeColor="text1"/>
              </w:rPr>
            </w:pPr>
            <w:r w:rsidRPr="00343A7D">
              <w:rPr>
                <w:b/>
                <w:color w:val="000000" w:themeColor="text1"/>
              </w:rPr>
              <w:t>Evidence limitation</w:t>
            </w:r>
          </w:p>
        </w:tc>
        <w:tc>
          <w:tcPr>
            <w:tcW w:w="2626" w:type="dxa"/>
            <w:shd w:val="clear" w:color="auto" w:fill="E8EEF5"/>
            <w:tcMar>
              <w:top w:w="80" w:type="dxa"/>
              <w:left w:w="120" w:type="dxa"/>
              <w:bottom w:w="80" w:type="dxa"/>
              <w:right w:w="120" w:type="dxa"/>
            </w:tcMar>
            <w:vAlign w:val="center"/>
          </w:tcPr>
          <w:p w14:paraId="0DC68440" w14:textId="77777777" w:rsidR="00AC4667" w:rsidRPr="00343A7D" w:rsidRDefault="00AC4667" w:rsidP="00343A7D">
            <w:pPr>
              <w:spacing w:after="0" w:line="360" w:lineRule="auto"/>
              <w:jc w:val="both"/>
              <w:rPr>
                <w:color w:val="000000" w:themeColor="text1"/>
              </w:rPr>
            </w:pPr>
            <w:r w:rsidRPr="00343A7D">
              <w:rPr>
                <w:b/>
                <w:color w:val="000000" w:themeColor="text1"/>
              </w:rPr>
              <w:t>Capability implication</w:t>
            </w:r>
          </w:p>
        </w:tc>
      </w:tr>
      <w:tr w:rsidR="00AC4667" w:rsidRPr="00343A7D" w14:paraId="7D821F14" w14:textId="77777777" w:rsidTr="00366D01">
        <w:trPr>
          <w:cantSplit/>
        </w:trPr>
        <w:tc>
          <w:tcPr>
            <w:tcW w:w="1550" w:type="dxa"/>
          </w:tcPr>
          <w:p w14:paraId="1E0DB18E" w14:textId="77777777" w:rsidR="00AC4667" w:rsidRPr="00343A7D" w:rsidRDefault="00AC4667" w:rsidP="00A5731A">
            <w:pPr>
              <w:spacing w:after="0" w:line="360" w:lineRule="auto"/>
              <w:rPr>
                <w:color w:val="000000" w:themeColor="text1"/>
              </w:rPr>
            </w:pPr>
            <w:r w:rsidRPr="00343A7D">
              <w:rPr>
                <w:color w:val="000000" w:themeColor="text1"/>
              </w:rPr>
              <w:t>Mentoring</w:t>
            </w:r>
          </w:p>
        </w:tc>
        <w:tc>
          <w:tcPr>
            <w:tcW w:w="2400" w:type="dxa"/>
          </w:tcPr>
          <w:p w14:paraId="0E61521B" w14:textId="77777777" w:rsidR="00AC4667" w:rsidRPr="00343A7D" w:rsidRDefault="00AC4667" w:rsidP="00A5731A">
            <w:pPr>
              <w:spacing w:after="0" w:line="360" w:lineRule="auto"/>
              <w:rPr>
                <w:color w:val="000000" w:themeColor="text1"/>
              </w:rPr>
            </w:pPr>
            <w:r w:rsidRPr="00343A7D">
              <w:rPr>
                <w:color w:val="000000" w:themeColor="text1"/>
              </w:rPr>
              <w:t>Knowledge, feedback and career guidance</w:t>
            </w:r>
          </w:p>
        </w:tc>
        <w:tc>
          <w:tcPr>
            <w:tcW w:w="2450" w:type="dxa"/>
          </w:tcPr>
          <w:p w14:paraId="46978E28" w14:textId="77777777" w:rsidR="00AC4667" w:rsidRPr="00343A7D" w:rsidRDefault="00AC4667" w:rsidP="00A5731A">
            <w:pPr>
              <w:spacing w:after="0" w:line="360" w:lineRule="auto"/>
              <w:rPr>
                <w:color w:val="000000" w:themeColor="text1"/>
              </w:rPr>
            </w:pPr>
            <w:r w:rsidRPr="00343A7D">
              <w:rPr>
                <w:color w:val="000000" w:themeColor="text1"/>
              </w:rPr>
              <w:t>Subjective, cross-sectional outcomes</w:t>
            </w:r>
          </w:p>
        </w:tc>
        <w:tc>
          <w:tcPr>
            <w:tcW w:w="2626" w:type="dxa"/>
          </w:tcPr>
          <w:p w14:paraId="3F355EC9" w14:textId="77777777" w:rsidR="00AC4667" w:rsidRPr="00343A7D" w:rsidRDefault="00AC4667" w:rsidP="00A5731A">
            <w:pPr>
              <w:spacing w:after="0" w:line="360" w:lineRule="auto"/>
              <w:rPr>
                <w:color w:val="000000" w:themeColor="text1"/>
              </w:rPr>
            </w:pPr>
            <w:r w:rsidRPr="00343A7D">
              <w:rPr>
                <w:color w:val="000000" w:themeColor="text1"/>
              </w:rPr>
              <w:t>Connect support to sponsorship and progression tracking</w:t>
            </w:r>
          </w:p>
        </w:tc>
      </w:tr>
      <w:tr w:rsidR="00AC4667" w:rsidRPr="00343A7D" w14:paraId="4F832F99" w14:textId="77777777" w:rsidTr="00366D01">
        <w:trPr>
          <w:cantSplit/>
        </w:trPr>
        <w:tc>
          <w:tcPr>
            <w:tcW w:w="1550" w:type="dxa"/>
          </w:tcPr>
          <w:p w14:paraId="03EF4F36" w14:textId="77777777" w:rsidR="00AC4667" w:rsidRPr="00343A7D" w:rsidRDefault="00AC4667" w:rsidP="00A5731A">
            <w:pPr>
              <w:spacing w:after="0" w:line="360" w:lineRule="auto"/>
              <w:rPr>
                <w:color w:val="000000" w:themeColor="text1"/>
              </w:rPr>
            </w:pPr>
            <w:r w:rsidRPr="00343A7D">
              <w:rPr>
                <w:color w:val="000000" w:themeColor="text1"/>
              </w:rPr>
              <w:t>Sponsorship</w:t>
            </w:r>
          </w:p>
        </w:tc>
        <w:tc>
          <w:tcPr>
            <w:tcW w:w="2400" w:type="dxa"/>
          </w:tcPr>
          <w:p w14:paraId="0EBE715C" w14:textId="77777777" w:rsidR="00AC4667" w:rsidRPr="00343A7D" w:rsidRDefault="00AC4667" w:rsidP="00A5731A">
            <w:pPr>
              <w:spacing w:after="0" w:line="360" w:lineRule="auto"/>
              <w:rPr>
                <w:color w:val="000000" w:themeColor="text1"/>
              </w:rPr>
            </w:pPr>
            <w:r w:rsidRPr="00343A7D">
              <w:rPr>
                <w:color w:val="000000" w:themeColor="text1"/>
              </w:rPr>
              <w:t>Advocacy, visibility and influential opportunity</w:t>
            </w:r>
          </w:p>
        </w:tc>
        <w:tc>
          <w:tcPr>
            <w:tcW w:w="2450" w:type="dxa"/>
          </w:tcPr>
          <w:p w14:paraId="3B0F8660" w14:textId="77777777" w:rsidR="00AC4667" w:rsidRPr="00343A7D" w:rsidRDefault="00AC4667" w:rsidP="00A5731A">
            <w:pPr>
              <w:spacing w:after="0" w:line="360" w:lineRule="auto"/>
              <w:rPr>
                <w:color w:val="000000" w:themeColor="text1"/>
              </w:rPr>
            </w:pPr>
            <w:r w:rsidRPr="00343A7D">
              <w:rPr>
                <w:color w:val="000000" w:themeColor="text1"/>
              </w:rPr>
              <w:t>Retrospective evidence and survivorship bias</w:t>
            </w:r>
          </w:p>
        </w:tc>
        <w:tc>
          <w:tcPr>
            <w:tcW w:w="2626" w:type="dxa"/>
          </w:tcPr>
          <w:p w14:paraId="5DA2F44E" w14:textId="77777777" w:rsidR="00AC4667" w:rsidRPr="00343A7D" w:rsidRDefault="00AC4667" w:rsidP="00A5731A">
            <w:pPr>
              <w:spacing w:after="0" w:line="360" w:lineRule="auto"/>
              <w:rPr>
                <w:color w:val="000000" w:themeColor="text1"/>
              </w:rPr>
            </w:pPr>
            <w:r w:rsidRPr="00343A7D">
              <w:rPr>
                <w:color w:val="000000" w:themeColor="text1"/>
              </w:rPr>
              <w:t>Formalise access and monitor sponsored outcomes</w:t>
            </w:r>
          </w:p>
        </w:tc>
      </w:tr>
      <w:tr w:rsidR="00AC4667" w:rsidRPr="00343A7D" w14:paraId="7EE3B7E2" w14:textId="77777777" w:rsidTr="00366D01">
        <w:trPr>
          <w:cantSplit/>
        </w:trPr>
        <w:tc>
          <w:tcPr>
            <w:tcW w:w="1550" w:type="dxa"/>
          </w:tcPr>
          <w:p w14:paraId="76C5E38F" w14:textId="77777777" w:rsidR="00AC4667" w:rsidRPr="00343A7D" w:rsidRDefault="00AC4667" w:rsidP="00A5731A">
            <w:pPr>
              <w:spacing w:after="0" w:line="360" w:lineRule="auto"/>
              <w:rPr>
                <w:color w:val="000000" w:themeColor="text1"/>
              </w:rPr>
            </w:pPr>
            <w:r w:rsidRPr="00343A7D">
              <w:rPr>
                <w:color w:val="000000" w:themeColor="text1"/>
              </w:rPr>
              <w:t>Succession</w:t>
            </w:r>
          </w:p>
        </w:tc>
        <w:tc>
          <w:tcPr>
            <w:tcW w:w="2400" w:type="dxa"/>
          </w:tcPr>
          <w:p w14:paraId="20B7E321" w14:textId="77777777" w:rsidR="00AC4667" w:rsidRPr="00343A7D" w:rsidRDefault="00AC4667" w:rsidP="00A5731A">
            <w:pPr>
              <w:spacing w:after="0" w:line="360" w:lineRule="auto"/>
              <w:rPr>
                <w:color w:val="000000" w:themeColor="text1"/>
              </w:rPr>
            </w:pPr>
            <w:r w:rsidRPr="00343A7D">
              <w:rPr>
                <w:color w:val="000000" w:themeColor="text1"/>
              </w:rPr>
              <w:t>Identification and preparation of future leaders</w:t>
            </w:r>
          </w:p>
        </w:tc>
        <w:tc>
          <w:tcPr>
            <w:tcW w:w="2450" w:type="dxa"/>
          </w:tcPr>
          <w:p w14:paraId="49913E55" w14:textId="77777777" w:rsidR="00AC4667" w:rsidRPr="00343A7D" w:rsidRDefault="00AC4667" w:rsidP="00A5731A">
            <w:pPr>
              <w:spacing w:after="0" w:line="360" w:lineRule="auto"/>
              <w:rPr>
                <w:color w:val="000000" w:themeColor="text1"/>
              </w:rPr>
            </w:pPr>
            <w:r w:rsidRPr="00343A7D">
              <w:rPr>
                <w:color w:val="000000" w:themeColor="text1"/>
              </w:rPr>
              <w:t>Small, context-specific qualitative samples</w:t>
            </w:r>
          </w:p>
        </w:tc>
        <w:tc>
          <w:tcPr>
            <w:tcW w:w="2626" w:type="dxa"/>
          </w:tcPr>
          <w:p w14:paraId="64111872" w14:textId="77777777" w:rsidR="00AC4667" w:rsidRPr="00343A7D" w:rsidRDefault="00AC4667" w:rsidP="00A5731A">
            <w:pPr>
              <w:spacing w:after="0" w:line="360" w:lineRule="auto"/>
              <w:rPr>
                <w:color w:val="000000" w:themeColor="text1"/>
              </w:rPr>
            </w:pPr>
            <w:r w:rsidRPr="00343A7D">
              <w:rPr>
                <w:color w:val="000000" w:themeColor="text1"/>
              </w:rPr>
              <w:t>Use transparent criteria and calibrated pools</w:t>
            </w:r>
          </w:p>
        </w:tc>
      </w:tr>
      <w:tr w:rsidR="00AC4667" w:rsidRPr="00343A7D" w14:paraId="7E85599F" w14:textId="77777777" w:rsidTr="00366D01">
        <w:trPr>
          <w:cantSplit/>
        </w:trPr>
        <w:tc>
          <w:tcPr>
            <w:tcW w:w="1550" w:type="dxa"/>
          </w:tcPr>
          <w:p w14:paraId="01125D94" w14:textId="2453EBFA" w:rsidR="00AC4667" w:rsidRPr="00343A7D" w:rsidRDefault="00AC4667" w:rsidP="00A5731A">
            <w:pPr>
              <w:spacing w:after="0" w:line="360" w:lineRule="auto"/>
              <w:rPr>
                <w:color w:val="000000" w:themeColor="text1"/>
              </w:rPr>
            </w:pPr>
            <w:r w:rsidRPr="00343A7D">
              <w:rPr>
                <w:color w:val="000000" w:themeColor="text1"/>
              </w:rPr>
              <w:t>Leadership development</w:t>
            </w:r>
          </w:p>
        </w:tc>
        <w:tc>
          <w:tcPr>
            <w:tcW w:w="2400" w:type="dxa"/>
          </w:tcPr>
          <w:p w14:paraId="389CAFA3" w14:textId="77777777" w:rsidR="00AC4667" w:rsidRPr="00343A7D" w:rsidRDefault="00AC4667" w:rsidP="00A5731A">
            <w:pPr>
              <w:spacing w:after="0" w:line="360" w:lineRule="auto"/>
              <w:rPr>
                <w:color w:val="000000" w:themeColor="text1"/>
              </w:rPr>
            </w:pPr>
            <w:r w:rsidRPr="00343A7D">
              <w:rPr>
                <w:color w:val="000000" w:themeColor="text1"/>
              </w:rPr>
              <w:t>Skills, identity, networks and experience</w:t>
            </w:r>
          </w:p>
        </w:tc>
        <w:tc>
          <w:tcPr>
            <w:tcW w:w="2450" w:type="dxa"/>
          </w:tcPr>
          <w:p w14:paraId="6E0AD4E2" w14:textId="77777777" w:rsidR="00AC4667" w:rsidRPr="00343A7D" w:rsidRDefault="00AC4667" w:rsidP="00A5731A">
            <w:pPr>
              <w:spacing w:after="0" w:line="360" w:lineRule="auto"/>
              <w:rPr>
                <w:color w:val="000000" w:themeColor="text1"/>
              </w:rPr>
            </w:pPr>
            <w:r w:rsidRPr="00343A7D">
              <w:rPr>
                <w:color w:val="000000" w:themeColor="text1"/>
              </w:rPr>
              <w:t>Limited objective promotion and pay evidence</w:t>
            </w:r>
          </w:p>
        </w:tc>
        <w:tc>
          <w:tcPr>
            <w:tcW w:w="2626" w:type="dxa"/>
          </w:tcPr>
          <w:p w14:paraId="3095D126" w14:textId="77777777" w:rsidR="00AC4667" w:rsidRPr="00343A7D" w:rsidRDefault="00AC4667" w:rsidP="00A5731A">
            <w:pPr>
              <w:spacing w:after="0" w:line="360" w:lineRule="auto"/>
              <w:rPr>
                <w:color w:val="000000" w:themeColor="text1"/>
              </w:rPr>
            </w:pPr>
            <w:r w:rsidRPr="00343A7D">
              <w:rPr>
                <w:color w:val="000000" w:themeColor="text1"/>
              </w:rPr>
              <w:t>Evaluate advancement, not completion or satisfaction</w:t>
            </w:r>
          </w:p>
        </w:tc>
      </w:tr>
      <w:tr w:rsidR="00AC4667" w:rsidRPr="00343A7D" w14:paraId="534B9E91" w14:textId="77777777" w:rsidTr="00366D01">
        <w:trPr>
          <w:cantSplit/>
        </w:trPr>
        <w:tc>
          <w:tcPr>
            <w:tcW w:w="1550" w:type="dxa"/>
          </w:tcPr>
          <w:p w14:paraId="5CCC1927" w14:textId="77777777" w:rsidR="00AC4667" w:rsidRPr="00343A7D" w:rsidRDefault="00AC4667" w:rsidP="00A5731A">
            <w:pPr>
              <w:spacing w:after="0" w:line="360" w:lineRule="auto"/>
              <w:rPr>
                <w:color w:val="000000" w:themeColor="text1"/>
              </w:rPr>
            </w:pPr>
            <w:r w:rsidRPr="00343A7D">
              <w:rPr>
                <w:color w:val="000000" w:themeColor="text1"/>
              </w:rPr>
              <w:t>Flexible working</w:t>
            </w:r>
          </w:p>
        </w:tc>
        <w:tc>
          <w:tcPr>
            <w:tcW w:w="2400" w:type="dxa"/>
          </w:tcPr>
          <w:p w14:paraId="1CEDD8B1" w14:textId="77777777" w:rsidR="00AC4667" w:rsidRPr="00343A7D" w:rsidRDefault="00AC4667" w:rsidP="00A5731A">
            <w:pPr>
              <w:spacing w:after="0" w:line="360" w:lineRule="auto"/>
              <w:rPr>
                <w:color w:val="000000" w:themeColor="text1"/>
              </w:rPr>
            </w:pPr>
            <w:r w:rsidRPr="00343A7D">
              <w:rPr>
                <w:color w:val="000000" w:themeColor="text1"/>
              </w:rPr>
              <w:t>Continuity, access and retention</w:t>
            </w:r>
          </w:p>
        </w:tc>
        <w:tc>
          <w:tcPr>
            <w:tcW w:w="2450" w:type="dxa"/>
          </w:tcPr>
          <w:p w14:paraId="6B9ECAE0" w14:textId="77777777" w:rsidR="00AC4667" w:rsidRPr="00343A7D" w:rsidRDefault="00AC4667" w:rsidP="00A5731A">
            <w:pPr>
              <w:spacing w:after="0" w:line="360" w:lineRule="auto"/>
              <w:rPr>
                <w:color w:val="000000" w:themeColor="text1"/>
              </w:rPr>
            </w:pPr>
            <w:r w:rsidRPr="00343A7D">
              <w:rPr>
                <w:color w:val="000000" w:themeColor="text1"/>
              </w:rPr>
              <w:t>Promotion effects remain uncertain</w:t>
            </w:r>
          </w:p>
        </w:tc>
        <w:tc>
          <w:tcPr>
            <w:tcW w:w="2626" w:type="dxa"/>
          </w:tcPr>
          <w:p w14:paraId="45D9E5A4" w14:textId="77777777" w:rsidR="00AC4667" w:rsidRPr="00343A7D" w:rsidRDefault="00AC4667" w:rsidP="00A5731A">
            <w:pPr>
              <w:spacing w:after="0" w:line="360" w:lineRule="auto"/>
              <w:rPr>
                <w:color w:val="000000" w:themeColor="text1"/>
              </w:rPr>
            </w:pPr>
            <w:r w:rsidRPr="00343A7D">
              <w:rPr>
                <w:color w:val="000000" w:themeColor="text1"/>
              </w:rPr>
              <w:t>Protect flexible workers from visibility penalties</w:t>
            </w:r>
          </w:p>
        </w:tc>
      </w:tr>
    </w:tbl>
    <w:p w14:paraId="6EC1FC76" w14:textId="23575AB4" w:rsidR="00852FA7" w:rsidRPr="00612FA9" w:rsidRDefault="00852FA7" w:rsidP="00343A7D">
      <w:pPr>
        <w:pStyle w:val="SourceText"/>
        <w:spacing w:line="360" w:lineRule="auto"/>
        <w:jc w:val="both"/>
        <w:rPr>
          <w:rFonts w:asciiTheme="minorHAnsi" w:hAnsiTheme="minorHAnsi"/>
          <w:i w:val="0"/>
          <w:iCs/>
          <w:color w:val="000000" w:themeColor="text1"/>
          <w:sz w:val="24"/>
          <w:szCs w:val="24"/>
        </w:rPr>
      </w:pPr>
      <w:r w:rsidRPr="00612FA9">
        <w:rPr>
          <w:rFonts w:asciiTheme="minorHAnsi" w:hAnsiTheme="minorHAnsi"/>
          <w:i w:val="0"/>
          <w:iCs/>
          <w:color w:val="000000" w:themeColor="text1"/>
          <w:sz w:val="24"/>
          <w:szCs w:val="24"/>
        </w:rPr>
        <w:t>Gardiner et al. (2023), Dahlan (2024), Bloom et al. (2024), Gröschl et al. (2025) and Gierke et al. (2025).</w:t>
      </w:r>
    </w:p>
    <w:p w14:paraId="29505F5D" w14:textId="77777777" w:rsidR="00F95326" w:rsidRPr="00343A7D" w:rsidRDefault="00F95326" w:rsidP="00343A7D">
      <w:pPr>
        <w:pStyle w:val="SourceText"/>
        <w:spacing w:line="360" w:lineRule="auto"/>
        <w:jc w:val="both"/>
        <w:rPr>
          <w:rFonts w:asciiTheme="minorHAnsi" w:hAnsiTheme="minorHAnsi"/>
          <w:color w:val="000000" w:themeColor="text1"/>
          <w:sz w:val="24"/>
          <w:szCs w:val="24"/>
        </w:rPr>
      </w:pPr>
    </w:p>
    <w:p w14:paraId="05B1352A" w14:textId="77777777" w:rsidR="00F95326" w:rsidRPr="00343A7D" w:rsidRDefault="00F95326" w:rsidP="00343A7D">
      <w:pPr>
        <w:spacing w:line="360" w:lineRule="auto"/>
        <w:jc w:val="both"/>
        <w:rPr>
          <w:color w:val="000000" w:themeColor="text1"/>
        </w:rPr>
      </w:pPr>
      <w:r w:rsidRPr="00343A7D">
        <w:rPr>
          <w:color w:val="000000" w:themeColor="text1"/>
        </w:rPr>
        <w:t>Outcome proximity helps explain the evidential gap. Mentoring and programmes are most consistently associated with confidence, support and satisfaction; flexibility with access and retention; and sponsorship with perceived visibility. Evidence becomes weaker as outcomes move towards promotion, remuneration and executive authority. This pattern does not show that interventions are ineffective, but it does show that many evaluations stop before the organisational outcome of interest occurs. Capability assessment therefore requires follow-up periods long enough to observe career transitions and comparison groups capable of separating programme effects from wider organisational change.</w:t>
      </w:r>
    </w:p>
    <w:p w14:paraId="7A512E92" w14:textId="5D2BA382" w:rsidR="00F95326" w:rsidRPr="00343A7D" w:rsidRDefault="00F95326" w:rsidP="00343A7D">
      <w:pPr>
        <w:pStyle w:val="Heading2"/>
        <w:numPr>
          <w:ilvl w:val="1"/>
          <w:numId w:val="10"/>
        </w:numPr>
        <w:spacing w:line="360" w:lineRule="auto"/>
        <w:jc w:val="both"/>
        <w:rPr>
          <w:rFonts w:asciiTheme="minorHAnsi" w:hAnsiTheme="minorHAnsi"/>
          <w:color w:val="000000" w:themeColor="text1"/>
          <w:sz w:val="24"/>
          <w:szCs w:val="24"/>
        </w:rPr>
      </w:pPr>
      <w:r w:rsidRPr="00343A7D">
        <w:rPr>
          <w:rFonts w:asciiTheme="minorHAnsi" w:hAnsiTheme="minorHAnsi"/>
          <w:b/>
          <w:color w:val="000000" w:themeColor="text1"/>
          <w:sz w:val="24"/>
          <w:szCs w:val="24"/>
        </w:rPr>
        <w:lastRenderedPageBreak/>
        <w:t>Contemporary Challenges: Human and Algorithmic Bias</w:t>
      </w:r>
    </w:p>
    <w:p w14:paraId="17749E96" w14:textId="77777777" w:rsidR="00F95326" w:rsidRPr="00343A7D" w:rsidRDefault="00F95326" w:rsidP="00343A7D">
      <w:pPr>
        <w:spacing w:line="360" w:lineRule="auto"/>
        <w:jc w:val="both"/>
        <w:rPr>
          <w:color w:val="000000" w:themeColor="text1"/>
        </w:rPr>
      </w:pPr>
      <w:r w:rsidRPr="00343A7D">
        <w:rPr>
          <w:color w:val="000000" w:themeColor="text1"/>
        </w:rPr>
        <w:t>The relevant comparison is not biased managers versus objective machines. AI is designed, trained, procured and interpreted within existing organisational systems. Human and algorithmic bias are therefore connected, and responsible leadership must govern the complete decision process.</w:t>
      </w:r>
    </w:p>
    <w:p w14:paraId="6FF4AA98" w14:textId="5CF6BA83" w:rsidR="00F95326" w:rsidRPr="00343A7D" w:rsidRDefault="00F95326" w:rsidP="00343A7D">
      <w:pPr>
        <w:spacing w:line="360" w:lineRule="auto"/>
        <w:jc w:val="both"/>
        <w:rPr>
          <w:color w:val="000000" w:themeColor="text1"/>
        </w:rPr>
      </w:pPr>
      <w:r w:rsidRPr="00343A7D">
        <w:rPr>
          <w:color w:val="000000" w:themeColor="text1"/>
        </w:rPr>
        <w:t xml:space="preserve">Unconscious bias describes automatic stereotypes that may influence recruitment, assignment, appraisal and promotion. However, treating it as an internal and readily correctable individual defect obscures job design, networks, opportunity histories and organisational definitions of commitment. Storm et al. (2023) found that bias was commonly individualised, binary, decision-specific and presented as fixable. </w:t>
      </w:r>
      <w:proofErr w:type="spellStart"/>
      <w:r w:rsidRPr="00343A7D">
        <w:rPr>
          <w:color w:val="000000" w:themeColor="text1"/>
        </w:rPr>
        <w:t>Onyeador</w:t>
      </w:r>
      <w:proofErr w:type="spellEnd"/>
      <w:r w:rsidRPr="00343A7D">
        <w:rPr>
          <w:color w:val="000000" w:themeColor="text1"/>
        </w:rPr>
        <w:t xml:space="preserve"> et al. (2021) conclude that training can improve awareness but does not reliably change long-term behaviour or organisational diversity. Training should be treated as education, not evidence of inclusion; structured criteria, documented reasons, calibrated panels and outcome audits provide stronger controls.</w:t>
      </w:r>
    </w:p>
    <w:p w14:paraId="18417BB6" w14:textId="77777777" w:rsidR="00F95326" w:rsidRPr="00343A7D" w:rsidRDefault="00F95326" w:rsidP="00343A7D">
      <w:pPr>
        <w:spacing w:line="360" w:lineRule="auto"/>
        <w:jc w:val="both"/>
        <w:rPr>
          <w:color w:val="000000" w:themeColor="text1"/>
        </w:rPr>
      </w:pPr>
      <w:r w:rsidRPr="00343A7D">
        <w:rPr>
          <w:color w:val="000000" w:themeColor="text1"/>
        </w:rPr>
        <w:t>AI recruitment and promotion tools may reduce inconsistent judgement, but biased training data, inappropriate targets, proxy variables and subgroup error can scale disadvantage. Rapid adoption in UK recruitment increases the urgency of governance (CIPD, 2024). Raghavan et al. (2020) found that public claims by assessment vendors often lacked detail on data, validation and fairness. Regulatory audits identify concrete privacy and discrimination risks (ICO, 2024). Similar concerns arise in promotion systems because historical ratings reflect prior access to visible assignments, working patterns and sponsorship. Models trained to reproduce earlier promotions may encode the profile of historically successful male leaders.</w:t>
      </w:r>
    </w:p>
    <w:p w14:paraId="2333BD93" w14:textId="77777777" w:rsidR="00F95326" w:rsidRPr="00343A7D" w:rsidRDefault="00F95326" w:rsidP="00343A7D">
      <w:pPr>
        <w:spacing w:line="360" w:lineRule="auto"/>
        <w:jc w:val="both"/>
        <w:rPr>
          <w:color w:val="000000" w:themeColor="text1"/>
        </w:rPr>
      </w:pPr>
      <w:r w:rsidRPr="00343A7D">
        <w:rPr>
          <w:color w:val="000000" w:themeColor="text1"/>
        </w:rPr>
        <w:t xml:space="preserve">Human oversight is meaningful only when reviewers understand a model’s purpose and limits, can challenge outputs and remain accountable. Otherwise, apparent scientific authority can create automation deference. Employee experiments suggest that reduced human involvement in career decisions can weaken perceived fairness and increase privacy concerns, although hypothetical non-UK designs cannot establish actual gendered promotion effects. Inclusive AI therefore requires participation across problem definition, data selection, interface design, validation and post-deployment monitoring. </w:t>
      </w:r>
      <w:r w:rsidRPr="00343A7D">
        <w:rPr>
          <w:color w:val="000000" w:themeColor="text1"/>
        </w:rPr>
        <w:lastRenderedPageBreak/>
        <w:t>Intersectional testing is necessary because aggregate results for women may conceal effects associated with ethnicity, disability, age, pregnancy, sexuality or socioeconomic position.</w:t>
      </w:r>
    </w:p>
    <w:p w14:paraId="12FC7CAF" w14:textId="69DD352A" w:rsidR="00F95326" w:rsidRPr="00343A7D" w:rsidRDefault="00F95326" w:rsidP="00343A7D">
      <w:pPr>
        <w:spacing w:line="360" w:lineRule="auto"/>
        <w:jc w:val="both"/>
        <w:rPr>
          <w:color w:val="000000" w:themeColor="text1"/>
        </w:rPr>
      </w:pPr>
      <w:r w:rsidRPr="00343A7D">
        <w:rPr>
          <w:color w:val="000000" w:themeColor="text1"/>
        </w:rPr>
        <w:t>Bujold et al. (2024) found that 63 did not clearly apply a responsible-AI principle</w:t>
      </w:r>
      <w:r w:rsidR="00C67835">
        <w:rPr>
          <w:color w:val="000000" w:themeColor="text1"/>
        </w:rPr>
        <w:t>,</w:t>
      </w:r>
      <w:r w:rsidRPr="00343A7D">
        <w:rPr>
          <w:color w:val="000000" w:themeColor="text1"/>
        </w:rPr>
        <w:t xml:space="preserve"> 27 assumed that removing human subjectivity would reduce discrimination without testing the claim. </w:t>
      </w:r>
      <w:proofErr w:type="spellStart"/>
      <w:r w:rsidRPr="00343A7D">
        <w:rPr>
          <w:color w:val="000000" w:themeColor="text1"/>
        </w:rPr>
        <w:t>Hunkenschroer</w:t>
      </w:r>
      <w:proofErr w:type="spellEnd"/>
      <w:r w:rsidRPr="00343A7D">
        <w:rPr>
          <w:color w:val="000000" w:themeColor="text1"/>
        </w:rPr>
        <w:t xml:space="preserve"> and </w:t>
      </w:r>
      <w:proofErr w:type="spellStart"/>
      <w:r w:rsidRPr="00343A7D">
        <w:rPr>
          <w:color w:val="000000" w:themeColor="text1"/>
        </w:rPr>
        <w:t>Luetge</w:t>
      </w:r>
      <w:proofErr w:type="spellEnd"/>
      <w:r w:rsidRPr="00343A7D">
        <w:rPr>
          <w:color w:val="000000" w:themeColor="text1"/>
        </w:rPr>
        <w:t xml:space="preserve"> (2022) similarly found little explicit theory in AI-recruitment scholarship. Participatory work by Madaio et al. (2020) shows that fairness checklists can formalise responsibilities, but checklists are weak where staff cannot pause deployment or escalate harm. UK guidance emphasises safety, transparency, fairness, accountability and contestability (DSIT, 2024), while the EU AI Act classifies many employment systems as high risk for organisations within its scope (European Commission, 2024).</w:t>
      </w:r>
    </w:p>
    <w:p w14:paraId="7B47F59A" w14:textId="77777777" w:rsidR="00F95326" w:rsidRPr="00343A7D" w:rsidRDefault="00F95326" w:rsidP="00343A7D">
      <w:pPr>
        <w:spacing w:line="360" w:lineRule="auto"/>
        <w:jc w:val="both"/>
        <w:rPr>
          <w:color w:val="000000" w:themeColor="text1"/>
        </w:rPr>
      </w:pPr>
      <w:r w:rsidRPr="00343A7D">
        <w:rPr>
          <w:color w:val="000000" w:themeColor="text1"/>
        </w:rPr>
        <w:t>Responsible leadership therefore concerns more than compliance. De Klerk and Jooste’s (2023) review connects it with stakeholder engagement, competing interests and accountability for long-term effects. Senior leaders must own the definitions of performance, potential and readiness embedded in HR systems, commission equality-impact testing, provide explanation and appeal, protect challenge and stop systems producing unexplained disparities. Responsible AI is an organisational governance capability, not a technical certification.</w:t>
      </w:r>
    </w:p>
    <w:p w14:paraId="12A5FF59" w14:textId="77777777" w:rsidR="00F95326" w:rsidRPr="00343A7D" w:rsidRDefault="00F95326" w:rsidP="00343A7D">
      <w:pPr>
        <w:spacing w:line="360" w:lineRule="auto"/>
        <w:jc w:val="both"/>
        <w:rPr>
          <w:color w:val="000000" w:themeColor="text1"/>
        </w:rPr>
      </w:pPr>
      <w:r w:rsidRPr="00343A7D">
        <w:rPr>
          <w:color w:val="000000" w:themeColor="text1"/>
        </w:rPr>
        <w:t>Fairness must also be distinguished from predictive accuracy. A system can perform well overall while producing materially different error or selection rates for under-represented groups. Conversely, statistical parity alone may conceal unequal job relevance or opportunity histories. Governance should therefore combine subgroup performance testing, substantive assessment of job-related criteria and qualitative scrutiny of how outputs influence managerial decisions. This mixed evidence is necessary because discrimination can enter through technical design, organisational deployment or the human response to a model.</w:t>
      </w:r>
    </w:p>
    <w:p w14:paraId="14F087EE" w14:textId="77777777" w:rsidR="00F95326" w:rsidRPr="00343A7D" w:rsidRDefault="00F95326" w:rsidP="00343A7D">
      <w:pPr>
        <w:pStyle w:val="SourceText"/>
        <w:spacing w:line="360" w:lineRule="auto"/>
        <w:jc w:val="both"/>
        <w:rPr>
          <w:rFonts w:asciiTheme="minorHAnsi" w:hAnsiTheme="minorHAnsi"/>
          <w:color w:val="000000" w:themeColor="text1"/>
          <w:sz w:val="24"/>
          <w:szCs w:val="24"/>
        </w:rPr>
      </w:pPr>
    </w:p>
    <w:p w14:paraId="7FD085A8" w14:textId="097F57F7" w:rsidR="00CB275F" w:rsidRPr="00343A7D" w:rsidRDefault="00517133" w:rsidP="00343A7D">
      <w:pPr>
        <w:spacing w:line="360" w:lineRule="auto"/>
        <w:jc w:val="both"/>
        <w:rPr>
          <w:color w:val="000000" w:themeColor="text1"/>
        </w:rPr>
      </w:pPr>
      <w:r w:rsidRPr="00343A7D">
        <w:rPr>
          <w:noProof/>
          <w:color w:val="000000" w:themeColor="text1"/>
        </w:rPr>
        <w:lastRenderedPageBreak/>
        <w:drawing>
          <wp:inline distT="0" distB="0" distL="0" distR="0" wp14:anchorId="755E423E" wp14:editId="3C204879">
            <wp:extent cx="5623560" cy="1992252"/>
            <wp:effectExtent l="0" t="0" r="0" b="0"/>
            <wp:docPr id="1" name="Picture 1" descr="Figure 3.1. How human context, data and deployment can reproduce gendered career outcomes." title="Fig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9"/>
                    <a:stretch>
                      <a:fillRect/>
                    </a:stretch>
                  </pic:blipFill>
                  <pic:spPr>
                    <a:xfrm>
                      <a:off x="0" y="0"/>
                      <a:ext cx="5623560" cy="1992252"/>
                    </a:xfrm>
                    <a:prstGeom prst="rect">
                      <a:avLst/>
                    </a:prstGeom>
                  </pic:spPr>
                </pic:pic>
              </a:graphicData>
            </a:graphic>
          </wp:inline>
        </w:drawing>
      </w:r>
    </w:p>
    <w:p w14:paraId="3AB50322" w14:textId="77777777" w:rsidR="00517133" w:rsidRPr="00B40F4A" w:rsidRDefault="00517133" w:rsidP="00343A7D">
      <w:pPr>
        <w:pStyle w:val="Caption"/>
        <w:spacing w:before="80" w:after="80" w:line="360" w:lineRule="auto"/>
        <w:rPr>
          <w:rFonts w:asciiTheme="minorHAnsi" w:hAnsiTheme="minorHAnsi"/>
          <w:i w:val="0"/>
          <w:iCs/>
          <w:color w:val="000000" w:themeColor="text1"/>
          <w:sz w:val="24"/>
          <w:szCs w:val="24"/>
        </w:rPr>
      </w:pPr>
      <w:r w:rsidRPr="00B40F4A">
        <w:rPr>
          <w:rFonts w:asciiTheme="minorHAnsi" w:hAnsiTheme="minorHAnsi"/>
          <w:i w:val="0"/>
          <w:iCs/>
          <w:color w:val="000000" w:themeColor="text1"/>
          <w:sz w:val="24"/>
          <w:szCs w:val="24"/>
        </w:rPr>
        <w:t>Figure 3.1. How human context, data and deployment can reproduce gendered career outcomes.</w:t>
      </w:r>
    </w:p>
    <w:p w14:paraId="582F32E5" w14:textId="1C08D5CB" w:rsidR="00D76435" w:rsidRPr="00343A7D" w:rsidRDefault="00D76435" w:rsidP="00343A7D">
      <w:pPr>
        <w:spacing w:line="360" w:lineRule="auto"/>
        <w:jc w:val="both"/>
      </w:pPr>
      <w:r w:rsidRPr="00343A7D">
        <w:t xml:space="preserve">Gardiner et al. (2023), Gröschl et al. (2025), Gierke et al. (2025) and HM Treasury and New Financial (2024, 2026). </w:t>
      </w:r>
    </w:p>
    <w:p w14:paraId="49CEF5E5" w14:textId="77777777" w:rsidR="002C0765" w:rsidRPr="00746B7B" w:rsidRDefault="002C0765" w:rsidP="00343A7D">
      <w:pPr>
        <w:pStyle w:val="Heading2"/>
        <w:spacing w:line="360" w:lineRule="auto"/>
        <w:ind w:left="740"/>
        <w:jc w:val="both"/>
        <w:rPr>
          <w:rFonts w:asciiTheme="minorHAnsi" w:hAnsiTheme="minorHAnsi"/>
          <w:color w:val="000000" w:themeColor="text1"/>
          <w:sz w:val="24"/>
          <w:szCs w:val="24"/>
        </w:rPr>
      </w:pPr>
      <w:r w:rsidRPr="00746B7B">
        <w:rPr>
          <w:rFonts w:asciiTheme="minorHAnsi" w:hAnsiTheme="minorHAnsi"/>
          <w:b/>
          <w:bCs/>
          <w:color w:val="000000" w:themeColor="text1"/>
          <w:sz w:val="24"/>
          <w:szCs w:val="24"/>
        </w:rPr>
        <w:t>3.6</w:t>
      </w:r>
      <w:r w:rsidRPr="00746B7B">
        <w:rPr>
          <w:rFonts w:asciiTheme="minorHAnsi" w:hAnsiTheme="minorHAnsi"/>
          <w:color w:val="000000" w:themeColor="text1"/>
          <w:sz w:val="24"/>
          <w:szCs w:val="24"/>
        </w:rPr>
        <w:t xml:space="preserve"> </w:t>
      </w:r>
      <w:r w:rsidRPr="00746B7B">
        <w:rPr>
          <w:rFonts w:asciiTheme="minorHAnsi" w:hAnsiTheme="minorHAnsi"/>
          <w:b/>
          <w:color w:val="000000" w:themeColor="text1"/>
          <w:sz w:val="24"/>
          <w:szCs w:val="24"/>
        </w:rPr>
        <w:t>Literature Synthesis and Research Gaps</w:t>
      </w:r>
    </w:p>
    <w:p w14:paraId="23BC406A" w14:textId="40EBA8E4" w:rsidR="002C0765" w:rsidRPr="00343A7D" w:rsidRDefault="002C0765" w:rsidP="00343A7D">
      <w:pPr>
        <w:spacing w:line="360" w:lineRule="auto"/>
        <w:jc w:val="both"/>
        <w:rPr>
          <w:color w:val="000000" w:themeColor="text1"/>
        </w:rPr>
      </w:pPr>
      <w:r w:rsidRPr="00343A7D">
        <w:rPr>
          <w:color w:val="000000" w:themeColor="text1"/>
        </w:rPr>
        <w:t>The five themes reveal relevant evidence but weak integration. Career theories explain restricted mobility; inclusive leadership explains relational conditions; organisational justice explains perceived fairness; human-capital perspectives explain capability development; dynamic-capability theory explains organisational adaptation; and sociotechnical perspectives explain digital decisions. Reviews continue to identify conceptual overlap and evidence dispersed across disciplines and HR stages (</w:t>
      </w:r>
      <w:r w:rsidR="00CC0253">
        <w:rPr>
          <w:color w:val="000000" w:themeColor="text1"/>
        </w:rPr>
        <w:t>D</w:t>
      </w:r>
      <w:r w:rsidRPr="00343A7D">
        <w:rPr>
          <w:color w:val="000000" w:themeColor="text1"/>
        </w:rPr>
        <w:t>e Klerk and Jooste, 2023). The missing unit is a multilevel causal architecture connecting women’s experience, leader behaviour, organisational routines, digital systems and career outcomes.</w:t>
      </w:r>
    </w:p>
    <w:p w14:paraId="07FFDD68" w14:textId="77777777" w:rsidR="002C0765" w:rsidRPr="00343A7D" w:rsidRDefault="002C0765" w:rsidP="00343A7D">
      <w:pPr>
        <w:spacing w:line="360" w:lineRule="auto"/>
        <w:jc w:val="both"/>
        <w:rPr>
          <w:color w:val="000000" w:themeColor="text1"/>
        </w:rPr>
      </w:pPr>
      <w:r w:rsidRPr="00343A7D">
        <w:rPr>
          <w:color w:val="000000" w:themeColor="text1"/>
        </w:rPr>
        <w:t>Digital-transformation and leadership-development research remain particularly separate. Technology may expand learning or flexibility while systems allocating assignments and promotion reproduce inequality. Bloom et al. (2024) demonstrate improved retention without improved promotion, while Bujold et al. (2024) expose untested assumptions of algorithmic objectivity. Organisations also tend to evaluate mentoring, sponsorship, flexibility and development separately. Charter evidence shows extensive activity but limited impact measurement (HM Treasury and New Financial, 2024), so programmes can be reported without establishing whether opportunity, pay or authority changed.</w:t>
      </w:r>
    </w:p>
    <w:p w14:paraId="7DDD8969" w14:textId="77777777" w:rsidR="002C0765" w:rsidRPr="00343A7D" w:rsidRDefault="002C0765" w:rsidP="00343A7D">
      <w:pPr>
        <w:spacing w:line="360" w:lineRule="auto"/>
        <w:jc w:val="both"/>
        <w:rPr>
          <w:color w:val="000000" w:themeColor="text1"/>
        </w:rPr>
      </w:pPr>
      <w:r w:rsidRPr="00343A7D">
        <w:rPr>
          <w:color w:val="000000" w:themeColor="text1"/>
        </w:rPr>
        <w:lastRenderedPageBreak/>
        <w:t>Methodologically, cross-sectional surveys, interviews, representation statistics and programme evaluations dominate. These identify associations and experience but do not trace causal development across recruitment, assignments, appraisal, succession, promotion, pay and exit. Philosophically, measurable constructs such as “merit”, “potential” and “leadership presence” are often treated as neutral, while interpretive studies reveal meaning but offer limited generalisability. A critical-realist, longitudinal mixed-method design is therefore required to test whether mechanisms identified in interviews correspond with observable career trajectories.</w:t>
      </w:r>
    </w:p>
    <w:p w14:paraId="36ED8EE9" w14:textId="403CF494" w:rsidR="002C0765" w:rsidRPr="00343A7D" w:rsidRDefault="002C0765" w:rsidP="00343A7D">
      <w:pPr>
        <w:spacing w:line="360" w:lineRule="auto"/>
        <w:jc w:val="both"/>
        <w:rPr>
          <w:color w:val="000000" w:themeColor="text1"/>
        </w:rPr>
      </w:pPr>
      <w:r w:rsidRPr="00343A7D">
        <w:rPr>
          <w:color w:val="000000" w:themeColor="text1"/>
        </w:rPr>
        <w:t>The resulting research gap is precise</w:t>
      </w:r>
      <w:r w:rsidR="00696114">
        <w:rPr>
          <w:color w:val="000000" w:themeColor="text1"/>
        </w:rPr>
        <w:t>,</w:t>
      </w:r>
      <w:r w:rsidRPr="00343A7D">
        <w:rPr>
          <w:color w:val="000000" w:themeColor="text1"/>
        </w:rPr>
        <w:t xml:space="preserve"> existing research does not adequately explain how inclusive leadership, equitable development, responsible digital HR systems and accountable organisational routines interact over time to produce, or fail to produce, women’s progression into senior leadership in UK technology-enabled corporations. </w:t>
      </w:r>
    </w:p>
    <w:p w14:paraId="52904D98" w14:textId="77777777" w:rsidR="002C0765" w:rsidRPr="00343A7D" w:rsidRDefault="002C0765" w:rsidP="00343A7D">
      <w:pPr>
        <w:pStyle w:val="Caption"/>
        <w:spacing w:before="160" w:after="80" w:line="360" w:lineRule="auto"/>
        <w:rPr>
          <w:rFonts w:asciiTheme="minorHAnsi" w:hAnsiTheme="minorHAnsi"/>
          <w:b w:val="0"/>
          <w:bCs w:val="0"/>
          <w:i w:val="0"/>
          <w:iCs/>
          <w:color w:val="000000" w:themeColor="text1"/>
          <w:sz w:val="24"/>
          <w:szCs w:val="24"/>
        </w:rPr>
      </w:pPr>
      <w:r w:rsidRPr="00343A7D">
        <w:rPr>
          <w:rFonts w:asciiTheme="minorHAnsi" w:hAnsiTheme="minorHAnsi"/>
          <w:b w:val="0"/>
          <w:bCs w:val="0"/>
          <w:i w:val="0"/>
          <w:iCs/>
          <w:color w:val="000000" w:themeColor="text1"/>
          <w:sz w:val="24"/>
          <w:szCs w:val="24"/>
        </w:rPr>
        <w:t>Table 3.5. Evidence-led summary of the research gaps</w:t>
      </w:r>
    </w:p>
    <w:tbl>
      <w:tblPr>
        <w:tblW w:w="9026" w:type="dxa"/>
        <w:tblInd w:w="120" w:type="dxa"/>
        <w:tblBorders>
          <w:top w:val="single" w:sz="6" w:space="0" w:color="B8C2CC"/>
          <w:left w:val="single" w:sz="6" w:space="0" w:color="B8C2CC"/>
          <w:bottom w:val="single" w:sz="6" w:space="0" w:color="B8C2CC"/>
          <w:right w:val="single" w:sz="6" w:space="0" w:color="B8C2CC"/>
          <w:insideH w:val="single" w:sz="6" w:space="0" w:color="B8C2CC"/>
          <w:insideV w:val="single" w:sz="6" w:space="0" w:color="B8C2CC"/>
        </w:tblBorders>
        <w:tblLayout w:type="fixed"/>
        <w:tblLook w:val="04A0" w:firstRow="1" w:lastRow="0" w:firstColumn="1" w:lastColumn="0" w:noHBand="0" w:noVBand="1"/>
      </w:tblPr>
      <w:tblGrid>
        <w:gridCol w:w="2200"/>
        <w:gridCol w:w="3600"/>
        <w:gridCol w:w="3226"/>
      </w:tblGrid>
      <w:tr w:rsidR="002C0765" w:rsidRPr="00343A7D" w14:paraId="56055E77" w14:textId="77777777" w:rsidTr="00366D01">
        <w:trPr>
          <w:tblHeader/>
        </w:trPr>
        <w:tc>
          <w:tcPr>
            <w:tcW w:w="2200" w:type="dxa"/>
            <w:shd w:val="clear" w:color="auto" w:fill="E8EEF5"/>
            <w:tcMar>
              <w:top w:w="80" w:type="dxa"/>
              <w:left w:w="120" w:type="dxa"/>
              <w:bottom w:w="80" w:type="dxa"/>
              <w:right w:w="120" w:type="dxa"/>
            </w:tcMar>
            <w:vAlign w:val="center"/>
          </w:tcPr>
          <w:p w14:paraId="04FDAEF7" w14:textId="77777777" w:rsidR="002C0765" w:rsidRPr="00343A7D" w:rsidRDefault="002C0765" w:rsidP="00343A7D">
            <w:pPr>
              <w:spacing w:after="0" w:line="360" w:lineRule="auto"/>
              <w:jc w:val="both"/>
              <w:rPr>
                <w:color w:val="000000" w:themeColor="text1"/>
              </w:rPr>
            </w:pPr>
            <w:r w:rsidRPr="00343A7D">
              <w:rPr>
                <w:b/>
                <w:color w:val="000000" w:themeColor="text1"/>
              </w:rPr>
              <w:t>Research gap</w:t>
            </w:r>
          </w:p>
        </w:tc>
        <w:tc>
          <w:tcPr>
            <w:tcW w:w="3600" w:type="dxa"/>
            <w:shd w:val="clear" w:color="auto" w:fill="E8EEF5"/>
            <w:tcMar>
              <w:top w:w="80" w:type="dxa"/>
              <w:left w:w="120" w:type="dxa"/>
              <w:bottom w:w="80" w:type="dxa"/>
              <w:right w:w="120" w:type="dxa"/>
            </w:tcMar>
            <w:vAlign w:val="center"/>
          </w:tcPr>
          <w:p w14:paraId="132DFF0B" w14:textId="77777777" w:rsidR="002C0765" w:rsidRPr="00343A7D" w:rsidRDefault="002C0765" w:rsidP="00343A7D">
            <w:pPr>
              <w:spacing w:after="0" w:line="360" w:lineRule="auto"/>
              <w:jc w:val="both"/>
              <w:rPr>
                <w:color w:val="000000" w:themeColor="text1"/>
              </w:rPr>
            </w:pPr>
            <w:r w:rsidRPr="00343A7D">
              <w:rPr>
                <w:b/>
                <w:color w:val="000000" w:themeColor="text1"/>
              </w:rPr>
              <w:t>What remains unknown</w:t>
            </w:r>
          </w:p>
        </w:tc>
        <w:tc>
          <w:tcPr>
            <w:tcW w:w="3226" w:type="dxa"/>
            <w:shd w:val="clear" w:color="auto" w:fill="E8EEF5"/>
            <w:tcMar>
              <w:top w:w="80" w:type="dxa"/>
              <w:left w:w="120" w:type="dxa"/>
              <w:bottom w:w="80" w:type="dxa"/>
              <w:right w:w="120" w:type="dxa"/>
            </w:tcMar>
            <w:vAlign w:val="center"/>
          </w:tcPr>
          <w:p w14:paraId="669DFD25" w14:textId="77777777" w:rsidR="002C0765" w:rsidRPr="00343A7D" w:rsidRDefault="002C0765" w:rsidP="00343A7D">
            <w:pPr>
              <w:spacing w:after="0" w:line="360" w:lineRule="auto"/>
              <w:jc w:val="both"/>
              <w:rPr>
                <w:color w:val="000000" w:themeColor="text1"/>
              </w:rPr>
            </w:pPr>
            <w:r w:rsidRPr="00343A7D">
              <w:rPr>
                <w:b/>
                <w:color w:val="000000" w:themeColor="text1"/>
              </w:rPr>
              <w:t>Required DBA contribution</w:t>
            </w:r>
          </w:p>
        </w:tc>
      </w:tr>
      <w:tr w:rsidR="002C0765" w:rsidRPr="00343A7D" w14:paraId="41DDE72F" w14:textId="77777777" w:rsidTr="00366D01">
        <w:trPr>
          <w:cantSplit/>
        </w:trPr>
        <w:tc>
          <w:tcPr>
            <w:tcW w:w="2200" w:type="dxa"/>
          </w:tcPr>
          <w:p w14:paraId="2705D5E5" w14:textId="77777777" w:rsidR="002C0765" w:rsidRPr="00343A7D" w:rsidRDefault="002C0765" w:rsidP="00343A7D">
            <w:pPr>
              <w:spacing w:after="0" w:line="360" w:lineRule="auto"/>
              <w:jc w:val="both"/>
              <w:rPr>
                <w:color w:val="000000" w:themeColor="text1"/>
              </w:rPr>
            </w:pPr>
            <w:r w:rsidRPr="00343A7D">
              <w:rPr>
                <w:color w:val="000000" w:themeColor="text1"/>
              </w:rPr>
              <w:t>Theoretical fragmentation</w:t>
            </w:r>
          </w:p>
        </w:tc>
        <w:tc>
          <w:tcPr>
            <w:tcW w:w="3600" w:type="dxa"/>
          </w:tcPr>
          <w:p w14:paraId="25EB83CA" w14:textId="77777777" w:rsidR="002C0765" w:rsidRPr="00343A7D" w:rsidRDefault="002C0765" w:rsidP="00343A7D">
            <w:pPr>
              <w:spacing w:after="0" w:line="360" w:lineRule="auto"/>
              <w:jc w:val="both"/>
              <w:rPr>
                <w:color w:val="000000" w:themeColor="text1"/>
              </w:rPr>
            </w:pPr>
            <w:r w:rsidRPr="00343A7D">
              <w:rPr>
                <w:color w:val="000000" w:themeColor="text1"/>
              </w:rPr>
              <w:t>How individual, relational, organisational and technological mechanisms interact</w:t>
            </w:r>
          </w:p>
        </w:tc>
        <w:tc>
          <w:tcPr>
            <w:tcW w:w="3226" w:type="dxa"/>
          </w:tcPr>
          <w:p w14:paraId="572BAECE" w14:textId="77777777" w:rsidR="002C0765" w:rsidRPr="00343A7D" w:rsidRDefault="002C0765" w:rsidP="00343A7D">
            <w:pPr>
              <w:spacing w:after="0" w:line="360" w:lineRule="auto"/>
              <w:jc w:val="both"/>
              <w:rPr>
                <w:color w:val="000000" w:themeColor="text1"/>
              </w:rPr>
            </w:pPr>
            <w:r w:rsidRPr="00343A7D">
              <w:rPr>
                <w:color w:val="000000" w:themeColor="text1"/>
              </w:rPr>
              <w:t>Develop and test a multilevel integrative framework</w:t>
            </w:r>
          </w:p>
        </w:tc>
      </w:tr>
      <w:tr w:rsidR="002C0765" w:rsidRPr="00343A7D" w14:paraId="7EDA83E7" w14:textId="77777777" w:rsidTr="00366D01">
        <w:trPr>
          <w:cantSplit/>
        </w:trPr>
        <w:tc>
          <w:tcPr>
            <w:tcW w:w="2200" w:type="dxa"/>
          </w:tcPr>
          <w:p w14:paraId="78FAC173" w14:textId="77777777" w:rsidR="002C0765" w:rsidRPr="00343A7D" w:rsidRDefault="002C0765" w:rsidP="00343A7D">
            <w:pPr>
              <w:spacing w:after="0" w:line="360" w:lineRule="auto"/>
              <w:jc w:val="both"/>
              <w:rPr>
                <w:color w:val="000000" w:themeColor="text1"/>
              </w:rPr>
            </w:pPr>
            <w:r w:rsidRPr="00343A7D">
              <w:rPr>
                <w:color w:val="000000" w:themeColor="text1"/>
              </w:rPr>
              <w:t>Digital–development separation</w:t>
            </w:r>
          </w:p>
        </w:tc>
        <w:tc>
          <w:tcPr>
            <w:tcW w:w="3600" w:type="dxa"/>
          </w:tcPr>
          <w:p w14:paraId="46DC4EA4" w14:textId="77777777" w:rsidR="002C0765" w:rsidRPr="00343A7D" w:rsidRDefault="002C0765" w:rsidP="00343A7D">
            <w:pPr>
              <w:spacing w:after="0" w:line="360" w:lineRule="auto"/>
              <w:jc w:val="both"/>
              <w:rPr>
                <w:color w:val="000000" w:themeColor="text1"/>
              </w:rPr>
            </w:pPr>
            <w:r w:rsidRPr="00343A7D">
              <w:rPr>
                <w:color w:val="000000" w:themeColor="text1"/>
              </w:rPr>
              <w:t>Whether digital participation generates leadership authority</w:t>
            </w:r>
          </w:p>
        </w:tc>
        <w:tc>
          <w:tcPr>
            <w:tcW w:w="3226" w:type="dxa"/>
          </w:tcPr>
          <w:p w14:paraId="0CC1B8C8" w14:textId="77777777" w:rsidR="002C0765" w:rsidRPr="00343A7D" w:rsidRDefault="002C0765" w:rsidP="00343A7D">
            <w:pPr>
              <w:spacing w:after="0" w:line="360" w:lineRule="auto"/>
              <w:jc w:val="both"/>
              <w:rPr>
                <w:color w:val="000000" w:themeColor="text1"/>
              </w:rPr>
            </w:pPr>
            <w:r w:rsidRPr="00343A7D">
              <w:rPr>
                <w:color w:val="000000" w:themeColor="text1"/>
              </w:rPr>
              <w:t>Trace learning and flexibility into assignments, succession and promotion</w:t>
            </w:r>
          </w:p>
        </w:tc>
      </w:tr>
      <w:tr w:rsidR="002C0765" w:rsidRPr="00343A7D" w14:paraId="3B87C03D" w14:textId="77777777" w:rsidTr="00366D01">
        <w:trPr>
          <w:cantSplit/>
        </w:trPr>
        <w:tc>
          <w:tcPr>
            <w:tcW w:w="2200" w:type="dxa"/>
          </w:tcPr>
          <w:p w14:paraId="20033E6A" w14:textId="77777777" w:rsidR="002C0765" w:rsidRPr="00343A7D" w:rsidRDefault="002C0765" w:rsidP="00343A7D">
            <w:pPr>
              <w:spacing w:after="0" w:line="360" w:lineRule="auto"/>
              <w:jc w:val="both"/>
              <w:rPr>
                <w:color w:val="000000" w:themeColor="text1"/>
              </w:rPr>
            </w:pPr>
            <w:r w:rsidRPr="00343A7D">
              <w:rPr>
                <w:color w:val="000000" w:themeColor="text1"/>
              </w:rPr>
              <w:t>Capability gap</w:t>
            </w:r>
          </w:p>
        </w:tc>
        <w:tc>
          <w:tcPr>
            <w:tcW w:w="3600" w:type="dxa"/>
          </w:tcPr>
          <w:p w14:paraId="377E27F9" w14:textId="77777777" w:rsidR="002C0765" w:rsidRPr="00343A7D" w:rsidRDefault="002C0765" w:rsidP="00343A7D">
            <w:pPr>
              <w:spacing w:after="0" w:line="360" w:lineRule="auto"/>
              <w:jc w:val="both"/>
              <w:rPr>
                <w:color w:val="000000" w:themeColor="text1"/>
              </w:rPr>
            </w:pPr>
            <w:r w:rsidRPr="00343A7D">
              <w:rPr>
                <w:color w:val="000000" w:themeColor="text1"/>
              </w:rPr>
              <w:t>How inclusion becomes a repeatable organisational routine</w:t>
            </w:r>
          </w:p>
        </w:tc>
        <w:tc>
          <w:tcPr>
            <w:tcW w:w="3226" w:type="dxa"/>
          </w:tcPr>
          <w:p w14:paraId="7DD04F86" w14:textId="77777777" w:rsidR="002C0765" w:rsidRPr="00343A7D" w:rsidRDefault="002C0765" w:rsidP="00343A7D">
            <w:pPr>
              <w:spacing w:after="0" w:line="360" w:lineRule="auto"/>
              <w:jc w:val="both"/>
              <w:rPr>
                <w:color w:val="000000" w:themeColor="text1"/>
              </w:rPr>
            </w:pPr>
            <w:r w:rsidRPr="00343A7D">
              <w:rPr>
                <w:color w:val="000000" w:themeColor="text1"/>
              </w:rPr>
              <w:t>Operationalise diagnosis, intervention, governance, measurement and transformation</w:t>
            </w:r>
          </w:p>
        </w:tc>
      </w:tr>
      <w:tr w:rsidR="002C0765" w:rsidRPr="00343A7D" w14:paraId="5810ECD8" w14:textId="77777777" w:rsidTr="00366D01">
        <w:trPr>
          <w:cantSplit/>
        </w:trPr>
        <w:tc>
          <w:tcPr>
            <w:tcW w:w="2200" w:type="dxa"/>
          </w:tcPr>
          <w:p w14:paraId="61E6C80A" w14:textId="77777777" w:rsidR="002C0765" w:rsidRPr="00343A7D" w:rsidRDefault="002C0765" w:rsidP="00343A7D">
            <w:pPr>
              <w:spacing w:after="0" w:line="360" w:lineRule="auto"/>
              <w:jc w:val="both"/>
              <w:rPr>
                <w:color w:val="000000" w:themeColor="text1"/>
              </w:rPr>
            </w:pPr>
            <w:r w:rsidRPr="00343A7D">
              <w:rPr>
                <w:color w:val="000000" w:themeColor="text1"/>
              </w:rPr>
              <w:t>Limited longitudinal evidence</w:t>
            </w:r>
          </w:p>
        </w:tc>
        <w:tc>
          <w:tcPr>
            <w:tcW w:w="3600" w:type="dxa"/>
          </w:tcPr>
          <w:p w14:paraId="6D950657" w14:textId="77777777" w:rsidR="002C0765" w:rsidRPr="00343A7D" w:rsidRDefault="002C0765" w:rsidP="00343A7D">
            <w:pPr>
              <w:spacing w:after="0" w:line="360" w:lineRule="auto"/>
              <w:jc w:val="both"/>
              <w:rPr>
                <w:color w:val="000000" w:themeColor="text1"/>
              </w:rPr>
            </w:pPr>
            <w:r w:rsidRPr="00343A7D">
              <w:rPr>
                <w:color w:val="000000" w:themeColor="text1"/>
              </w:rPr>
              <w:t>Which practices produce sustained career mobility</w:t>
            </w:r>
          </w:p>
        </w:tc>
        <w:tc>
          <w:tcPr>
            <w:tcW w:w="3226" w:type="dxa"/>
          </w:tcPr>
          <w:p w14:paraId="0921283A" w14:textId="77777777" w:rsidR="002C0765" w:rsidRPr="00343A7D" w:rsidRDefault="002C0765" w:rsidP="00343A7D">
            <w:pPr>
              <w:spacing w:after="0" w:line="360" w:lineRule="auto"/>
              <w:jc w:val="both"/>
              <w:rPr>
                <w:color w:val="000000" w:themeColor="text1"/>
              </w:rPr>
            </w:pPr>
            <w:r w:rsidRPr="00343A7D">
              <w:rPr>
                <w:color w:val="000000" w:themeColor="text1"/>
              </w:rPr>
              <w:t>Analyse gender-disaggregated outcomes over time</w:t>
            </w:r>
          </w:p>
        </w:tc>
      </w:tr>
      <w:tr w:rsidR="002C0765" w:rsidRPr="00343A7D" w14:paraId="67551E78" w14:textId="77777777" w:rsidTr="00366D01">
        <w:trPr>
          <w:cantSplit/>
        </w:trPr>
        <w:tc>
          <w:tcPr>
            <w:tcW w:w="2200" w:type="dxa"/>
          </w:tcPr>
          <w:p w14:paraId="1C5B0804" w14:textId="77777777" w:rsidR="002C0765" w:rsidRPr="00343A7D" w:rsidRDefault="002C0765" w:rsidP="00343A7D">
            <w:pPr>
              <w:spacing w:after="0" w:line="360" w:lineRule="auto"/>
              <w:jc w:val="both"/>
              <w:rPr>
                <w:color w:val="000000" w:themeColor="text1"/>
              </w:rPr>
            </w:pPr>
            <w:r w:rsidRPr="00343A7D">
              <w:rPr>
                <w:color w:val="000000" w:themeColor="text1"/>
              </w:rPr>
              <w:t>Weak philosophical integration</w:t>
            </w:r>
          </w:p>
        </w:tc>
        <w:tc>
          <w:tcPr>
            <w:tcW w:w="3600" w:type="dxa"/>
          </w:tcPr>
          <w:p w14:paraId="6B4F4A5B" w14:textId="77777777" w:rsidR="002C0765" w:rsidRPr="00343A7D" w:rsidRDefault="002C0765" w:rsidP="00343A7D">
            <w:pPr>
              <w:spacing w:after="0" w:line="360" w:lineRule="auto"/>
              <w:jc w:val="both"/>
              <w:rPr>
                <w:color w:val="000000" w:themeColor="text1"/>
              </w:rPr>
            </w:pPr>
            <w:r w:rsidRPr="00343A7D">
              <w:rPr>
                <w:color w:val="000000" w:themeColor="text1"/>
              </w:rPr>
              <w:t>How power shapes definitions of merit and potential</w:t>
            </w:r>
          </w:p>
        </w:tc>
        <w:tc>
          <w:tcPr>
            <w:tcW w:w="3226" w:type="dxa"/>
          </w:tcPr>
          <w:p w14:paraId="5BE47B25" w14:textId="77777777" w:rsidR="002C0765" w:rsidRPr="00343A7D" w:rsidRDefault="002C0765" w:rsidP="00343A7D">
            <w:pPr>
              <w:spacing w:after="0" w:line="360" w:lineRule="auto"/>
              <w:jc w:val="both"/>
              <w:rPr>
                <w:color w:val="000000" w:themeColor="text1"/>
              </w:rPr>
            </w:pPr>
            <w:r w:rsidRPr="00343A7D">
              <w:rPr>
                <w:color w:val="000000" w:themeColor="text1"/>
              </w:rPr>
              <w:t>Combine critical-realist explanation with mixed methods</w:t>
            </w:r>
          </w:p>
        </w:tc>
      </w:tr>
    </w:tbl>
    <w:p w14:paraId="477ECE3D" w14:textId="6A9FEE77" w:rsidR="002C0765" w:rsidRPr="00B55F58" w:rsidRDefault="002C0765" w:rsidP="00343A7D">
      <w:pPr>
        <w:pStyle w:val="SourceText"/>
        <w:spacing w:line="360" w:lineRule="auto"/>
        <w:jc w:val="both"/>
        <w:rPr>
          <w:rFonts w:asciiTheme="minorHAnsi" w:hAnsiTheme="minorHAnsi"/>
          <w:i w:val="0"/>
          <w:iCs/>
          <w:color w:val="000000" w:themeColor="text1"/>
          <w:sz w:val="24"/>
          <w:szCs w:val="24"/>
        </w:rPr>
      </w:pPr>
      <w:r w:rsidRPr="00B55F58">
        <w:rPr>
          <w:rFonts w:asciiTheme="minorHAnsi" w:hAnsiTheme="minorHAnsi"/>
          <w:i w:val="0"/>
          <w:iCs/>
          <w:color w:val="000000" w:themeColor="text1"/>
          <w:sz w:val="24"/>
          <w:szCs w:val="24"/>
        </w:rPr>
        <w:lastRenderedPageBreak/>
        <w:t xml:space="preserve">Korkmaz et al. (2022), </w:t>
      </w:r>
      <w:proofErr w:type="spellStart"/>
      <w:r w:rsidRPr="00B55F58">
        <w:rPr>
          <w:rFonts w:asciiTheme="minorHAnsi" w:hAnsiTheme="minorHAnsi"/>
          <w:i w:val="0"/>
          <w:iCs/>
          <w:color w:val="000000" w:themeColor="text1"/>
          <w:sz w:val="24"/>
          <w:szCs w:val="24"/>
        </w:rPr>
        <w:t>Konopik</w:t>
      </w:r>
      <w:proofErr w:type="spellEnd"/>
      <w:r w:rsidRPr="00B55F58">
        <w:rPr>
          <w:rFonts w:asciiTheme="minorHAnsi" w:hAnsiTheme="minorHAnsi"/>
          <w:i w:val="0"/>
          <w:iCs/>
          <w:color w:val="000000" w:themeColor="text1"/>
          <w:sz w:val="24"/>
          <w:szCs w:val="24"/>
        </w:rPr>
        <w:t xml:space="preserve"> et al. (2022), Bujold et al. (2024) and Gierke et al. (2025).</w:t>
      </w:r>
    </w:p>
    <w:p w14:paraId="5D4CE953" w14:textId="77777777" w:rsidR="00B55F58" w:rsidRPr="00343A7D" w:rsidRDefault="00B55F58" w:rsidP="00343A7D">
      <w:pPr>
        <w:pStyle w:val="SourceText"/>
        <w:spacing w:line="360" w:lineRule="auto"/>
        <w:jc w:val="both"/>
        <w:rPr>
          <w:rFonts w:asciiTheme="minorHAnsi" w:hAnsiTheme="minorHAnsi"/>
          <w:color w:val="000000" w:themeColor="text1"/>
          <w:sz w:val="24"/>
          <w:szCs w:val="24"/>
        </w:rPr>
      </w:pPr>
    </w:p>
    <w:p w14:paraId="08DAF756" w14:textId="54387E22" w:rsidR="00D76435" w:rsidRPr="00343A7D" w:rsidRDefault="00225E52" w:rsidP="00343A7D">
      <w:pPr>
        <w:spacing w:line="360" w:lineRule="auto"/>
        <w:jc w:val="both"/>
      </w:pPr>
      <w:r w:rsidRPr="00343A7D">
        <w:rPr>
          <w:noProof/>
          <w:color w:val="000000" w:themeColor="text1"/>
        </w:rPr>
        <w:drawing>
          <wp:inline distT="0" distB="0" distL="0" distR="0" wp14:anchorId="164BC348" wp14:editId="738F6E54">
            <wp:extent cx="5623560" cy="2396246"/>
            <wp:effectExtent l="0" t="0" r="0" b="0"/>
            <wp:docPr id="2" name="Picture 2" descr="Figure 3.2. Proposed gender-inclusive digital leadership capability cycle." title="Fig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a:blip r:embed="rId10"/>
                    <a:stretch>
                      <a:fillRect/>
                    </a:stretch>
                  </pic:blipFill>
                  <pic:spPr>
                    <a:xfrm>
                      <a:off x="0" y="0"/>
                      <a:ext cx="5623560" cy="2396246"/>
                    </a:xfrm>
                    <a:prstGeom prst="rect">
                      <a:avLst/>
                    </a:prstGeom>
                  </pic:spPr>
                </pic:pic>
              </a:graphicData>
            </a:graphic>
          </wp:inline>
        </w:drawing>
      </w:r>
    </w:p>
    <w:p w14:paraId="6D6C52B8" w14:textId="77777777" w:rsidR="00225E52" w:rsidRPr="00343A7D" w:rsidRDefault="00225E52" w:rsidP="00343A7D">
      <w:pPr>
        <w:pStyle w:val="Caption"/>
        <w:spacing w:before="80" w:after="80" w:line="360" w:lineRule="auto"/>
        <w:rPr>
          <w:rFonts w:asciiTheme="minorHAnsi" w:hAnsiTheme="minorHAnsi"/>
          <w:color w:val="000000" w:themeColor="text1"/>
          <w:sz w:val="24"/>
          <w:szCs w:val="24"/>
        </w:rPr>
      </w:pPr>
      <w:r w:rsidRPr="00343A7D">
        <w:rPr>
          <w:rFonts w:asciiTheme="minorHAnsi" w:hAnsiTheme="minorHAnsi"/>
          <w:color w:val="000000" w:themeColor="text1"/>
          <w:sz w:val="24"/>
          <w:szCs w:val="24"/>
        </w:rPr>
        <w:t>Figure 3.2. Proposed gender-inclusive digital leadership capability cycle.</w:t>
      </w:r>
    </w:p>
    <w:p w14:paraId="48407F9C" w14:textId="73402E54" w:rsidR="00225E52" w:rsidRPr="0082526A" w:rsidRDefault="00225E52" w:rsidP="00343A7D">
      <w:pPr>
        <w:spacing w:line="360" w:lineRule="auto"/>
        <w:jc w:val="both"/>
        <w:rPr>
          <w:iCs/>
          <w:color w:val="000000" w:themeColor="text1"/>
        </w:rPr>
      </w:pPr>
      <w:r w:rsidRPr="0082526A">
        <w:rPr>
          <w:iCs/>
          <w:color w:val="000000" w:themeColor="text1"/>
        </w:rPr>
        <w:t xml:space="preserve">Korkmaz et al. (2022), </w:t>
      </w:r>
      <w:proofErr w:type="spellStart"/>
      <w:r w:rsidRPr="0082526A">
        <w:rPr>
          <w:iCs/>
          <w:color w:val="000000" w:themeColor="text1"/>
        </w:rPr>
        <w:t>Konopik</w:t>
      </w:r>
      <w:proofErr w:type="spellEnd"/>
      <w:r w:rsidRPr="0082526A">
        <w:rPr>
          <w:iCs/>
          <w:color w:val="000000" w:themeColor="text1"/>
        </w:rPr>
        <w:t xml:space="preserve"> et al. (2022), Bujold et al. (2024), HM Treasury and New Financial (2024), and Gierke et al. (2025)</w:t>
      </w:r>
    </w:p>
    <w:p w14:paraId="25D3834F" w14:textId="77777777" w:rsidR="000625BD" w:rsidRPr="00B40F4A" w:rsidRDefault="000625BD" w:rsidP="00343A7D">
      <w:pPr>
        <w:spacing w:line="360" w:lineRule="auto"/>
        <w:jc w:val="both"/>
        <w:rPr>
          <w:iCs/>
          <w:color w:val="000000" w:themeColor="text1"/>
        </w:rPr>
      </w:pPr>
    </w:p>
    <w:p w14:paraId="3483D07F" w14:textId="77777777" w:rsidR="000625BD" w:rsidRPr="00B40F4A" w:rsidRDefault="000625BD" w:rsidP="00343A7D">
      <w:pPr>
        <w:spacing w:line="360" w:lineRule="auto"/>
        <w:jc w:val="both"/>
        <w:rPr>
          <w:iCs/>
          <w:color w:val="000000" w:themeColor="text1"/>
        </w:rPr>
      </w:pPr>
    </w:p>
    <w:p w14:paraId="63DA6E35" w14:textId="77777777" w:rsidR="000625BD" w:rsidRPr="00B40F4A" w:rsidRDefault="000625BD" w:rsidP="00343A7D">
      <w:pPr>
        <w:spacing w:line="360" w:lineRule="auto"/>
        <w:jc w:val="both"/>
        <w:rPr>
          <w:iCs/>
          <w:color w:val="000000" w:themeColor="text1"/>
        </w:rPr>
      </w:pPr>
    </w:p>
    <w:p w14:paraId="75094C29" w14:textId="77777777" w:rsidR="000625BD" w:rsidRPr="00B40F4A" w:rsidRDefault="000625BD" w:rsidP="00343A7D">
      <w:pPr>
        <w:spacing w:line="360" w:lineRule="auto"/>
        <w:jc w:val="both"/>
        <w:rPr>
          <w:iCs/>
          <w:color w:val="000000" w:themeColor="text1"/>
        </w:rPr>
      </w:pPr>
    </w:p>
    <w:p w14:paraId="539C7380" w14:textId="77777777" w:rsidR="00020448" w:rsidRDefault="00020448" w:rsidP="00343A7D">
      <w:pPr>
        <w:spacing w:line="360" w:lineRule="auto"/>
        <w:jc w:val="both"/>
        <w:rPr>
          <w:i/>
          <w:color w:val="000000" w:themeColor="text1"/>
        </w:rPr>
      </w:pPr>
    </w:p>
    <w:p w14:paraId="2BCF4116" w14:textId="77777777" w:rsidR="00020448" w:rsidRDefault="00020448" w:rsidP="00343A7D">
      <w:pPr>
        <w:spacing w:line="360" w:lineRule="auto"/>
        <w:jc w:val="both"/>
        <w:rPr>
          <w:i/>
          <w:color w:val="000000" w:themeColor="text1"/>
        </w:rPr>
      </w:pPr>
    </w:p>
    <w:p w14:paraId="3D6D34FB" w14:textId="77777777" w:rsidR="00020448" w:rsidRDefault="00020448" w:rsidP="00343A7D">
      <w:pPr>
        <w:spacing w:line="360" w:lineRule="auto"/>
        <w:jc w:val="both"/>
        <w:rPr>
          <w:i/>
          <w:color w:val="000000" w:themeColor="text1"/>
        </w:rPr>
      </w:pPr>
    </w:p>
    <w:p w14:paraId="21BB7502" w14:textId="77777777" w:rsidR="00020448" w:rsidRDefault="00020448" w:rsidP="00343A7D">
      <w:pPr>
        <w:spacing w:line="360" w:lineRule="auto"/>
        <w:jc w:val="both"/>
        <w:rPr>
          <w:i/>
          <w:color w:val="000000" w:themeColor="text1"/>
        </w:rPr>
      </w:pPr>
    </w:p>
    <w:p w14:paraId="0A4EEEB4" w14:textId="77777777" w:rsidR="00020448" w:rsidRDefault="00020448" w:rsidP="00343A7D">
      <w:pPr>
        <w:spacing w:line="360" w:lineRule="auto"/>
        <w:jc w:val="both"/>
        <w:rPr>
          <w:i/>
          <w:color w:val="000000" w:themeColor="text1"/>
        </w:rPr>
      </w:pPr>
    </w:p>
    <w:p w14:paraId="4B9AB2A6" w14:textId="77777777" w:rsidR="00020448" w:rsidRDefault="00020448" w:rsidP="00343A7D">
      <w:pPr>
        <w:spacing w:line="360" w:lineRule="auto"/>
        <w:jc w:val="both"/>
        <w:rPr>
          <w:i/>
          <w:color w:val="000000" w:themeColor="text1"/>
        </w:rPr>
      </w:pPr>
    </w:p>
    <w:p w14:paraId="70CFB649" w14:textId="77777777" w:rsidR="00020448" w:rsidRDefault="00020448" w:rsidP="00343A7D">
      <w:pPr>
        <w:spacing w:line="360" w:lineRule="auto"/>
        <w:jc w:val="both"/>
        <w:rPr>
          <w:i/>
          <w:color w:val="000000" w:themeColor="text1"/>
        </w:rPr>
      </w:pPr>
    </w:p>
    <w:p w14:paraId="492CACC3" w14:textId="77777777" w:rsidR="00020448" w:rsidRPr="00343A7D" w:rsidRDefault="00020448" w:rsidP="00343A7D">
      <w:pPr>
        <w:spacing w:line="360" w:lineRule="auto"/>
        <w:jc w:val="both"/>
        <w:rPr>
          <w:i/>
          <w:color w:val="000000" w:themeColor="text1"/>
        </w:rPr>
      </w:pPr>
    </w:p>
    <w:p w14:paraId="535C7C03" w14:textId="51EC93C6" w:rsidR="000625BD" w:rsidRPr="00343A7D" w:rsidRDefault="000625BD" w:rsidP="00993682">
      <w:pPr>
        <w:pStyle w:val="Heading1"/>
        <w:numPr>
          <w:ilvl w:val="0"/>
          <w:numId w:val="1"/>
        </w:numPr>
        <w:spacing w:line="360" w:lineRule="auto"/>
        <w:jc w:val="both"/>
        <w:rPr>
          <w:rFonts w:asciiTheme="minorHAnsi" w:hAnsiTheme="minorHAnsi"/>
          <w:color w:val="000000" w:themeColor="text1"/>
          <w:sz w:val="24"/>
          <w:szCs w:val="24"/>
        </w:rPr>
      </w:pPr>
      <w:r w:rsidRPr="00343A7D">
        <w:rPr>
          <w:rFonts w:asciiTheme="minorHAnsi" w:hAnsiTheme="minorHAnsi"/>
          <w:b/>
          <w:color w:val="000000" w:themeColor="text1"/>
          <w:sz w:val="24"/>
          <w:szCs w:val="24"/>
        </w:rPr>
        <w:lastRenderedPageBreak/>
        <w:t xml:space="preserve">Philosophical and Methodological Analysis </w:t>
      </w:r>
    </w:p>
    <w:p w14:paraId="1E0E587B" w14:textId="7BEDF216" w:rsidR="000625BD" w:rsidRPr="00343A7D" w:rsidRDefault="000625BD" w:rsidP="00993682">
      <w:pPr>
        <w:pStyle w:val="Heading2"/>
        <w:numPr>
          <w:ilvl w:val="1"/>
          <w:numId w:val="11"/>
        </w:numPr>
        <w:spacing w:line="360" w:lineRule="auto"/>
        <w:jc w:val="both"/>
        <w:rPr>
          <w:rFonts w:asciiTheme="minorHAnsi" w:hAnsiTheme="minorHAnsi"/>
          <w:color w:val="000000" w:themeColor="text1"/>
          <w:sz w:val="24"/>
          <w:szCs w:val="24"/>
        </w:rPr>
      </w:pPr>
      <w:r w:rsidRPr="00343A7D">
        <w:rPr>
          <w:rFonts w:asciiTheme="minorHAnsi" w:hAnsiTheme="minorHAnsi"/>
          <w:b/>
          <w:color w:val="000000" w:themeColor="text1"/>
          <w:sz w:val="24"/>
          <w:szCs w:val="24"/>
        </w:rPr>
        <w:t xml:space="preserve">Overview </w:t>
      </w:r>
    </w:p>
    <w:p w14:paraId="276534E9" w14:textId="2840F42A" w:rsidR="000625BD" w:rsidRPr="00343A7D" w:rsidRDefault="000625BD" w:rsidP="00343A7D">
      <w:pPr>
        <w:spacing w:line="360" w:lineRule="auto"/>
        <w:jc w:val="both"/>
        <w:rPr>
          <w:color w:val="000000" w:themeColor="text1"/>
        </w:rPr>
      </w:pPr>
      <w:r w:rsidRPr="00343A7D">
        <w:rPr>
          <w:color w:val="000000" w:themeColor="text1"/>
        </w:rPr>
        <w:t xml:space="preserve">Chang (2026) “Decoding the Gender Gap: Unseen Forces of Inequity in IT”, published in Gender, Work </w:t>
      </w:r>
      <w:r w:rsidR="00746B7B">
        <w:rPr>
          <w:color w:val="000000" w:themeColor="text1"/>
        </w:rPr>
        <w:t>and</w:t>
      </w:r>
      <w:r w:rsidRPr="00343A7D">
        <w:rPr>
          <w:color w:val="000000" w:themeColor="text1"/>
        </w:rPr>
        <w:t xml:space="preserve"> Organization, was selected because it directly addresses women’s progression in information technology and applies an explicit critical-feminist lens. The US study uses an exploratory qualitative design and one-hour Zoom interviews with ten accomplished IT professionals recruited through the researcher’s professional network. Interviews were recorded and transcribed, and analysis moved from codes to categories, themes and an explanatory framework. Including women’s and men’s accounts enabled comparison of differently positioned interpretations, although the small network sample does not support statistical generalisation.</w:t>
      </w:r>
    </w:p>
    <w:p w14:paraId="70AB9A65" w14:textId="2BB3500B" w:rsidR="000625BD" w:rsidRPr="00343A7D" w:rsidRDefault="000625BD" w:rsidP="00343A7D">
      <w:pPr>
        <w:spacing w:line="360" w:lineRule="auto"/>
        <w:jc w:val="both"/>
        <w:rPr>
          <w:color w:val="000000" w:themeColor="text1"/>
        </w:rPr>
      </w:pPr>
      <w:r w:rsidRPr="00343A7D">
        <w:rPr>
          <w:color w:val="000000" w:themeColor="text1"/>
        </w:rPr>
        <w:t>Chang rejects explanations based principally on women’s interest, confidence or technical capability. The study instead identifies interacting stereotypes, masculine occupational norms, definitions of commitment, constant-availability expectations and organisational practices. Women who adopted masculine-coded behaviours reportedly experienced fewer barriers, revealing a distinction between individual advancement and cultural inclusion</w:t>
      </w:r>
      <w:r w:rsidR="00B81264">
        <w:rPr>
          <w:color w:val="000000" w:themeColor="text1"/>
        </w:rPr>
        <w:t>,</w:t>
      </w:r>
      <w:r w:rsidRPr="00343A7D">
        <w:rPr>
          <w:color w:val="000000" w:themeColor="text1"/>
        </w:rPr>
        <w:t xml:space="preserve"> adaptation may enable a woman to progress without changing the system. Mentoring, networking and confidence-building can provide </w:t>
      </w:r>
      <w:r w:rsidR="00C437D3" w:rsidRPr="00343A7D">
        <w:rPr>
          <w:color w:val="000000" w:themeColor="text1"/>
        </w:rPr>
        <w:t>support but</w:t>
      </w:r>
      <w:r w:rsidRPr="00343A7D">
        <w:rPr>
          <w:color w:val="000000" w:themeColor="text1"/>
        </w:rPr>
        <w:t xml:space="preserve"> may leave opportunity allocation and organisational power intact. The study is therefore relevant to this assessment because it conceptualises gender disparity as an organisational problem. Its evidence should nevertheless generate plausible mechanisms, not estimates of prevalence or causal claims about UK corporations.</w:t>
      </w:r>
    </w:p>
    <w:p w14:paraId="024F0709" w14:textId="49A4D263" w:rsidR="000625BD" w:rsidRPr="00343A7D" w:rsidRDefault="00C437D3" w:rsidP="00993682">
      <w:pPr>
        <w:pStyle w:val="Heading2"/>
        <w:numPr>
          <w:ilvl w:val="1"/>
          <w:numId w:val="11"/>
        </w:numPr>
        <w:spacing w:line="360" w:lineRule="auto"/>
        <w:jc w:val="both"/>
        <w:rPr>
          <w:rFonts w:asciiTheme="minorHAnsi" w:hAnsiTheme="minorHAnsi"/>
          <w:color w:val="000000" w:themeColor="text1"/>
          <w:sz w:val="24"/>
          <w:szCs w:val="24"/>
        </w:rPr>
      </w:pPr>
      <w:r>
        <w:rPr>
          <w:rFonts w:asciiTheme="minorHAnsi" w:hAnsiTheme="minorHAnsi"/>
          <w:b/>
          <w:color w:val="000000" w:themeColor="text1"/>
          <w:sz w:val="24"/>
          <w:szCs w:val="24"/>
        </w:rPr>
        <w:t xml:space="preserve"> </w:t>
      </w:r>
      <w:r w:rsidR="000625BD" w:rsidRPr="00343A7D">
        <w:rPr>
          <w:rFonts w:asciiTheme="minorHAnsi" w:hAnsiTheme="minorHAnsi"/>
          <w:b/>
          <w:color w:val="000000" w:themeColor="text1"/>
          <w:sz w:val="24"/>
          <w:szCs w:val="24"/>
        </w:rPr>
        <w:t>Ontological and Epistemological Positioning</w:t>
      </w:r>
    </w:p>
    <w:p w14:paraId="2CCD9ECA" w14:textId="762AFAC9" w:rsidR="000625BD" w:rsidRPr="00343A7D" w:rsidRDefault="000625BD" w:rsidP="00343A7D">
      <w:pPr>
        <w:spacing w:line="360" w:lineRule="auto"/>
        <w:jc w:val="both"/>
        <w:rPr>
          <w:color w:val="000000" w:themeColor="text1"/>
        </w:rPr>
      </w:pPr>
      <w:r w:rsidRPr="00343A7D">
        <w:rPr>
          <w:color w:val="000000" w:themeColor="text1"/>
        </w:rPr>
        <w:t>Chang (2026) states a critical-feminist theoretical framework but does not formally name an ontology or epistemology. These must be inferred cautiously from the research purpose, questions, methods and interpretation. A theoretical framework is the conceptual lens through which a phenomenon is examined</w:t>
      </w:r>
      <w:r w:rsidR="002D343A">
        <w:rPr>
          <w:color w:val="000000" w:themeColor="text1"/>
        </w:rPr>
        <w:t>;</w:t>
      </w:r>
      <w:r w:rsidRPr="00343A7D">
        <w:rPr>
          <w:color w:val="000000" w:themeColor="text1"/>
        </w:rPr>
        <w:t xml:space="preserve"> a research paradigm concerns what is real, what can be known and how knowledge should be produced (Pretorius, 2024). The study is best understood as combining a critical-feminist relational ontology with an interpretive, value-conscious epistemology. Gender inequality is </w:t>
      </w:r>
      <w:r w:rsidRPr="00343A7D">
        <w:rPr>
          <w:color w:val="000000" w:themeColor="text1"/>
        </w:rPr>
        <w:lastRenderedPageBreak/>
        <w:t>treated as more than individual perception: it is produced through organisational structures, cultural expectations and unequal power. Knowledge of those relations is developed through situated accounts rather than measurement of supposedly neutral variables.</w:t>
      </w:r>
    </w:p>
    <w:p w14:paraId="67517FE7" w14:textId="722237B4" w:rsidR="000625BD" w:rsidRPr="00343A7D" w:rsidRDefault="00261306" w:rsidP="00343A7D">
      <w:pPr>
        <w:spacing w:line="360" w:lineRule="auto"/>
        <w:jc w:val="both"/>
        <w:rPr>
          <w:color w:val="000000" w:themeColor="text1"/>
        </w:rPr>
      </w:pPr>
      <w:r w:rsidRPr="00261306">
        <w:rPr>
          <w:color w:val="000000" w:themeColor="text1"/>
        </w:rPr>
        <w:t>A positivist approach believes that reality can be studied by using careful observation, clearly defined variables, forming hypotheses, and comparing results using statistical methods</w:t>
      </w:r>
      <w:r w:rsidR="006A236D">
        <w:rPr>
          <w:color w:val="000000" w:themeColor="text1"/>
        </w:rPr>
        <w:t xml:space="preserve"> </w:t>
      </w:r>
      <w:r w:rsidR="000625BD" w:rsidRPr="00343A7D">
        <w:rPr>
          <w:color w:val="000000" w:themeColor="text1"/>
        </w:rPr>
        <w:t>(Park</w:t>
      </w:r>
      <w:r w:rsidR="00042EA0">
        <w:rPr>
          <w:color w:val="000000" w:themeColor="text1"/>
        </w:rPr>
        <w:t xml:space="preserve"> et al.</w:t>
      </w:r>
      <w:r w:rsidR="000625BD" w:rsidRPr="00343A7D">
        <w:rPr>
          <w:color w:val="000000" w:themeColor="text1"/>
        </w:rPr>
        <w:t xml:space="preserve"> 2020). Applied here, it could test whether gender predicts assignments, promotion, pay or exit after controlling for tenure, qualifications, working pattern and performance. Such evidence is valuable for estimating the scale and distribution of inequality and for assessing intervention effects. Chang does not make those claims. Ten interviews can illuminate meanings and processes, but cannot estimate prevalence, effect size or statistically generalise.</w:t>
      </w:r>
    </w:p>
    <w:p w14:paraId="3CA4AD91" w14:textId="5886579F" w:rsidR="000625BD" w:rsidRPr="00343A7D" w:rsidRDefault="000625BD" w:rsidP="00343A7D">
      <w:pPr>
        <w:spacing w:line="360" w:lineRule="auto"/>
        <w:jc w:val="both"/>
        <w:rPr>
          <w:color w:val="000000" w:themeColor="text1"/>
        </w:rPr>
      </w:pPr>
      <w:r w:rsidRPr="00343A7D">
        <w:rPr>
          <w:color w:val="000000" w:themeColor="text1"/>
        </w:rPr>
        <w:t xml:space="preserve">Strict positivism is also insufficient because “technical credibility”, “commitment”, “cultural fit” and “leadership potential” may not be stable, neutral constructs. Their organisational definitions can encode masculine career norms. Measuring ratings without examining how the criteria were produced may reproduce the assumptions under investigation. Storm et al. (2023) similarly show that bias research often isolates bias as measurable individual cognition while </w:t>
      </w:r>
      <w:r w:rsidR="00993682" w:rsidRPr="00343A7D">
        <w:rPr>
          <w:color w:val="000000" w:themeColor="text1"/>
        </w:rPr>
        <w:t>under examining</w:t>
      </w:r>
      <w:r w:rsidRPr="00343A7D">
        <w:rPr>
          <w:color w:val="000000" w:themeColor="text1"/>
        </w:rPr>
        <w:t xml:space="preserve"> its structural reproduction. Positivist evidence should therefore be retained as one component of a broader explanatory design rather than treated as the only legitimate knowledge.</w:t>
      </w:r>
    </w:p>
    <w:p w14:paraId="14A355B1" w14:textId="4F71C098" w:rsidR="000625BD" w:rsidRPr="00343A7D" w:rsidRDefault="000625BD" w:rsidP="00343A7D">
      <w:pPr>
        <w:spacing w:line="360" w:lineRule="auto"/>
        <w:jc w:val="both"/>
        <w:rPr>
          <w:color w:val="000000" w:themeColor="text1"/>
        </w:rPr>
      </w:pPr>
      <w:r w:rsidRPr="00343A7D">
        <w:rPr>
          <w:color w:val="000000" w:themeColor="text1"/>
        </w:rPr>
        <w:t>Chang</w:t>
      </w:r>
      <w:r w:rsidR="00907B3E">
        <w:rPr>
          <w:color w:val="000000" w:themeColor="text1"/>
        </w:rPr>
        <w:t xml:space="preserve"> (2026)</w:t>
      </w:r>
      <w:r w:rsidRPr="00343A7D">
        <w:rPr>
          <w:color w:val="000000" w:themeColor="text1"/>
        </w:rPr>
        <w:t xml:space="preserve"> methodological epistemology is principally interpretive. Semi-structured interviews allow participants to describe how they understand occupational culture, availability, gender expectations and career barriers. The analysis treats accounts as contextually situated sources of meaning rather than numerical indicators of fixed constructs. Women’s adaptation to masculine norms is consequently interpreted as a response to what the workplace rewards, not simply personal preference. Constant availability is likewise understood as a practice with gendered consequences because caring responsibilities remain unequally distributed.</w:t>
      </w:r>
    </w:p>
    <w:p w14:paraId="591B1BC0" w14:textId="5D4E7C32" w:rsidR="000625BD" w:rsidRPr="00343A7D" w:rsidRDefault="000625BD" w:rsidP="00343A7D">
      <w:pPr>
        <w:spacing w:line="360" w:lineRule="auto"/>
        <w:jc w:val="both"/>
        <w:rPr>
          <w:color w:val="000000" w:themeColor="text1"/>
        </w:rPr>
      </w:pPr>
      <w:r w:rsidRPr="00343A7D">
        <w:rPr>
          <w:color w:val="000000" w:themeColor="text1"/>
        </w:rPr>
        <w:t>Interpretivism alone, however, can struggle to explain why similar inequalities persist across settings or why some groups possess greater power to define merit. Critical-</w:t>
      </w:r>
      <w:r w:rsidRPr="00343A7D">
        <w:rPr>
          <w:color w:val="000000" w:themeColor="text1"/>
        </w:rPr>
        <w:lastRenderedPageBreak/>
        <w:t>feminist organisation scholarship moves beyond documenting perspectives by examining embodiment, institutions and power (</w:t>
      </w:r>
      <w:proofErr w:type="spellStart"/>
      <w:r w:rsidRPr="00343A7D">
        <w:rPr>
          <w:color w:val="000000" w:themeColor="text1"/>
        </w:rPr>
        <w:t>Fotaki</w:t>
      </w:r>
      <w:proofErr w:type="spellEnd"/>
      <w:r w:rsidRPr="00343A7D">
        <w:rPr>
          <w:color w:val="000000" w:themeColor="text1"/>
        </w:rPr>
        <w:t xml:space="preserve"> and Pullen, 2024). Chang adopts this critical </w:t>
      </w:r>
      <w:r w:rsidR="008D1F76" w:rsidRPr="00343A7D">
        <w:rPr>
          <w:color w:val="000000" w:themeColor="text1"/>
        </w:rPr>
        <w:t>move but</w:t>
      </w:r>
      <w:r w:rsidRPr="00343A7D">
        <w:rPr>
          <w:color w:val="000000" w:themeColor="text1"/>
        </w:rPr>
        <w:t xml:space="preserve"> still relies substantially on retrospective sense-making by successful professionals. Women who exited IT or remained in junior roles may interpret the same structures differently.</w:t>
      </w:r>
    </w:p>
    <w:p w14:paraId="0004744A" w14:textId="4FF6C334" w:rsidR="000625BD" w:rsidRPr="00343A7D" w:rsidRDefault="00783D20" w:rsidP="00343A7D">
      <w:pPr>
        <w:spacing w:line="360" w:lineRule="auto"/>
        <w:jc w:val="both"/>
        <w:rPr>
          <w:color w:val="000000" w:themeColor="text1"/>
        </w:rPr>
      </w:pPr>
      <w:r w:rsidRPr="00783D20">
        <w:rPr>
          <w:color w:val="000000" w:themeColor="text1"/>
        </w:rPr>
        <w:t>Critical realism provides the strongest extension. It assumes that organisational structures exist on their own, not depending on any one account, while also acknowledging that understanding of these structures is limited and can change over time</w:t>
      </w:r>
      <w:r w:rsidR="000625BD" w:rsidRPr="00343A7D">
        <w:rPr>
          <w:color w:val="000000" w:themeColor="text1"/>
        </w:rPr>
        <w:t xml:space="preserve">. It distinguishes experience, observable events and the generative mechanisms capable of producing those events (Lawani, 2021). An unequal promotion is observable; informal sponsorship, gendered availability expectations, exclusion from strategic work or an algorithmic definition of “high potential” may be underlying mechanisms whose effects depend on context. Chang’s </w:t>
      </w:r>
      <w:r w:rsidR="008D254F">
        <w:rPr>
          <w:color w:val="000000" w:themeColor="text1"/>
        </w:rPr>
        <w:t xml:space="preserve">(2026) </w:t>
      </w:r>
      <w:r w:rsidR="000625BD" w:rsidRPr="00343A7D">
        <w:rPr>
          <w:color w:val="000000" w:themeColor="text1"/>
        </w:rPr>
        <w:t xml:space="preserve">“unseen forces” are compatible with this reasoning, but the study does not systematically use </w:t>
      </w:r>
      <w:r w:rsidR="008D1F76" w:rsidRPr="00343A7D">
        <w:rPr>
          <w:color w:val="000000" w:themeColor="text1"/>
        </w:rPr>
        <w:t>retrodiction</w:t>
      </w:r>
      <w:r w:rsidR="000625BD" w:rsidRPr="00343A7D">
        <w:rPr>
          <w:color w:val="000000" w:themeColor="text1"/>
        </w:rPr>
        <w:t xml:space="preserve"> or compare alternative causal explanations. Participant interpretations are not triangulated adequately with HR records, policies, promotion decisions or decision-makers’ accounts.</w:t>
      </w:r>
    </w:p>
    <w:p w14:paraId="45EDDEB3" w14:textId="77777777" w:rsidR="000625BD" w:rsidRPr="00343A7D" w:rsidRDefault="000625BD" w:rsidP="00343A7D">
      <w:pPr>
        <w:spacing w:line="360" w:lineRule="auto"/>
        <w:jc w:val="both"/>
        <w:rPr>
          <w:color w:val="000000" w:themeColor="text1"/>
        </w:rPr>
      </w:pPr>
      <w:r w:rsidRPr="00343A7D">
        <w:rPr>
          <w:color w:val="000000" w:themeColor="text1"/>
        </w:rPr>
        <w:t>Pragmatism contributes methodological flexibility and an emphasis on actionable knowledge (Kelly and Cordeiro, 2020). Chang’s recommendations are practically oriented, but the study neither compares interventions nor evaluates career outcomes. Pragmatism is therefore most useful as a methodological orientation, while critical realism supplies the explanatory foundation and critical feminism retains attention to power. For the proposed DBA research, interviews should identify mechanisms and longitudinal HR data should test whether they correspond with assignments, sponsorship, succession, promotion, pay and exit.</w:t>
      </w:r>
    </w:p>
    <w:p w14:paraId="51854C20" w14:textId="77777777" w:rsidR="000625BD" w:rsidRPr="00343A7D" w:rsidRDefault="000625BD" w:rsidP="00343A7D">
      <w:pPr>
        <w:pStyle w:val="Caption"/>
        <w:spacing w:before="160" w:after="80" w:line="360" w:lineRule="auto"/>
        <w:rPr>
          <w:rFonts w:asciiTheme="minorHAnsi" w:hAnsiTheme="minorHAnsi"/>
          <w:color w:val="000000" w:themeColor="text1"/>
          <w:sz w:val="24"/>
          <w:szCs w:val="24"/>
        </w:rPr>
      </w:pPr>
      <w:r w:rsidRPr="00343A7D">
        <w:rPr>
          <w:rFonts w:asciiTheme="minorHAnsi" w:hAnsiTheme="minorHAnsi"/>
          <w:color w:val="000000" w:themeColor="text1"/>
          <w:sz w:val="24"/>
          <w:szCs w:val="24"/>
        </w:rPr>
        <w:lastRenderedPageBreak/>
        <w:t>Table 4.1. How philosophical positioning changes the research design</w:t>
      </w:r>
    </w:p>
    <w:tbl>
      <w:tblPr>
        <w:tblW w:w="9026" w:type="dxa"/>
        <w:tblInd w:w="120" w:type="dxa"/>
        <w:tblBorders>
          <w:top w:val="single" w:sz="6" w:space="0" w:color="B8C2CC"/>
          <w:left w:val="single" w:sz="6" w:space="0" w:color="B8C2CC"/>
          <w:bottom w:val="single" w:sz="6" w:space="0" w:color="B8C2CC"/>
          <w:right w:val="single" w:sz="6" w:space="0" w:color="B8C2CC"/>
          <w:insideH w:val="single" w:sz="6" w:space="0" w:color="B8C2CC"/>
          <w:insideV w:val="single" w:sz="6" w:space="0" w:color="B8C2CC"/>
        </w:tblBorders>
        <w:tblLayout w:type="fixed"/>
        <w:tblLook w:val="04A0" w:firstRow="1" w:lastRow="0" w:firstColumn="1" w:lastColumn="0" w:noHBand="0" w:noVBand="1"/>
      </w:tblPr>
      <w:tblGrid>
        <w:gridCol w:w="1350"/>
        <w:gridCol w:w="2450"/>
        <w:gridCol w:w="2750"/>
        <w:gridCol w:w="2476"/>
      </w:tblGrid>
      <w:tr w:rsidR="000625BD" w:rsidRPr="00343A7D" w14:paraId="49434A82" w14:textId="77777777" w:rsidTr="00366D01">
        <w:trPr>
          <w:tblHeader/>
        </w:trPr>
        <w:tc>
          <w:tcPr>
            <w:tcW w:w="1350" w:type="dxa"/>
            <w:shd w:val="clear" w:color="auto" w:fill="E8EEF5"/>
            <w:tcMar>
              <w:top w:w="80" w:type="dxa"/>
              <w:left w:w="120" w:type="dxa"/>
              <w:bottom w:w="80" w:type="dxa"/>
              <w:right w:w="120" w:type="dxa"/>
            </w:tcMar>
            <w:vAlign w:val="center"/>
          </w:tcPr>
          <w:p w14:paraId="01C639D3" w14:textId="77777777" w:rsidR="000625BD" w:rsidRPr="00343A7D" w:rsidRDefault="000625BD" w:rsidP="00343A7D">
            <w:pPr>
              <w:spacing w:after="0" w:line="360" w:lineRule="auto"/>
              <w:jc w:val="both"/>
              <w:rPr>
                <w:color w:val="000000" w:themeColor="text1"/>
              </w:rPr>
            </w:pPr>
            <w:r w:rsidRPr="00343A7D">
              <w:rPr>
                <w:b/>
                <w:color w:val="000000" w:themeColor="text1"/>
              </w:rPr>
              <w:t>Dimension</w:t>
            </w:r>
          </w:p>
        </w:tc>
        <w:tc>
          <w:tcPr>
            <w:tcW w:w="2450" w:type="dxa"/>
            <w:shd w:val="clear" w:color="auto" w:fill="E8EEF5"/>
            <w:tcMar>
              <w:top w:w="80" w:type="dxa"/>
              <w:left w:w="120" w:type="dxa"/>
              <w:bottom w:w="80" w:type="dxa"/>
              <w:right w:w="120" w:type="dxa"/>
            </w:tcMar>
            <w:vAlign w:val="center"/>
          </w:tcPr>
          <w:p w14:paraId="2CA51118" w14:textId="77777777" w:rsidR="000625BD" w:rsidRPr="00343A7D" w:rsidRDefault="000625BD" w:rsidP="00343A7D">
            <w:pPr>
              <w:spacing w:after="0" w:line="360" w:lineRule="auto"/>
              <w:jc w:val="both"/>
              <w:rPr>
                <w:color w:val="000000" w:themeColor="text1"/>
              </w:rPr>
            </w:pPr>
            <w:r w:rsidRPr="00343A7D">
              <w:rPr>
                <w:b/>
                <w:color w:val="000000" w:themeColor="text1"/>
              </w:rPr>
              <w:t>Positivist alternative</w:t>
            </w:r>
          </w:p>
        </w:tc>
        <w:tc>
          <w:tcPr>
            <w:tcW w:w="2750" w:type="dxa"/>
            <w:shd w:val="clear" w:color="auto" w:fill="E8EEF5"/>
            <w:tcMar>
              <w:top w:w="80" w:type="dxa"/>
              <w:left w:w="120" w:type="dxa"/>
              <w:bottom w:w="80" w:type="dxa"/>
              <w:right w:w="120" w:type="dxa"/>
            </w:tcMar>
            <w:vAlign w:val="center"/>
          </w:tcPr>
          <w:p w14:paraId="538D9D76" w14:textId="77777777" w:rsidR="000625BD" w:rsidRPr="00343A7D" w:rsidRDefault="000625BD" w:rsidP="00343A7D">
            <w:pPr>
              <w:spacing w:after="0" w:line="360" w:lineRule="auto"/>
              <w:jc w:val="both"/>
              <w:rPr>
                <w:color w:val="000000" w:themeColor="text1"/>
              </w:rPr>
            </w:pPr>
            <w:r w:rsidRPr="00343A7D">
              <w:rPr>
                <w:b/>
                <w:color w:val="000000" w:themeColor="text1"/>
              </w:rPr>
              <w:t>Chang’s interpretive, critical-feminist position</w:t>
            </w:r>
          </w:p>
        </w:tc>
        <w:tc>
          <w:tcPr>
            <w:tcW w:w="2476" w:type="dxa"/>
            <w:shd w:val="clear" w:color="auto" w:fill="E8EEF5"/>
            <w:tcMar>
              <w:top w:w="80" w:type="dxa"/>
              <w:left w:w="120" w:type="dxa"/>
              <w:bottom w:w="80" w:type="dxa"/>
              <w:right w:w="120" w:type="dxa"/>
            </w:tcMar>
            <w:vAlign w:val="center"/>
          </w:tcPr>
          <w:p w14:paraId="7ADE9D3E" w14:textId="77777777" w:rsidR="000625BD" w:rsidRPr="00343A7D" w:rsidRDefault="000625BD" w:rsidP="00343A7D">
            <w:pPr>
              <w:spacing w:after="0" w:line="360" w:lineRule="auto"/>
              <w:jc w:val="both"/>
              <w:rPr>
                <w:color w:val="000000" w:themeColor="text1"/>
              </w:rPr>
            </w:pPr>
            <w:r w:rsidRPr="00343A7D">
              <w:rPr>
                <w:b/>
                <w:color w:val="000000" w:themeColor="text1"/>
              </w:rPr>
              <w:t>Critical-realist DBA extension</w:t>
            </w:r>
          </w:p>
        </w:tc>
      </w:tr>
      <w:tr w:rsidR="000625BD" w:rsidRPr="00343A7D" w14:paraId="7B76EAB5" w14:textId="77777777" w:rsidTr="00366D01">
        <w:trPr>
          <w:cantSplit/>
        </w:trPr>
        <w:tc>
          <w:tcPr>
            <w:tcW w:w="1350" w:type="dxa"/>
          </w:tcPr>
          <w:p w14:paraId="358E4826" w14:textId="77777777" w:rsidR="000625BD" w:rsidRPr="00343A7D" w:rsidRDefault="000625BD" w:rsidP="00343A7D">
            <w:pPr>
              <w:spacing w:after="0" w:line="360" w:lineRule="auto"/>
              <w:jc w:val="both"/>
              <w:rPr>
                <w:color w:val="000000" w:themeColor="text1"/>
              </w:rPr>
            </w:pPr>
            <w:r w:rsidRPr="00343A7D">
              <w:rPr>
                <w:color w:val="000000" w:themeColor="text1"/>
              </w:rPr>
              <w:t>Question</w:t>
            </w:r>
          </w:p>
        </w:tc>
        <w:tc>
          <w:tcPr>
            <w:tcW w:w="2450" w:type="dxa"/>
          </w:tcPr>
          <w:p w14:paraId="2E72BB5D" w14:textId="77777777" w:rsidR="000625BD" w:rsidRPr="00343A7D" w:rsidRDefault="000625BD" w:rsidP="00343A7D">
            <w:pPr>
              <w:spacing w:after="0" w:line="360" w:lineRule="auto"/>
              <w:jc w:val="both"/>
              <w:rPr>
                <w:color w:val="000000" w:themeColor="text1"/>
              </w:rPr>
            </w:pPr>
            <w:r w:rsidRPr="00343A7D">
              <w:rPr>
                <w:color w:val="000000" w:themeColor="text1"/>
              </w:rPr>
              <w:t>Does gender predict promotion, pay or retention?</w:t>
            </w:r>
          </w:p>
        </w:tc>
        <w:tc>
          <w:tcPr>
            <w:tcW w:w="2750" w:type="dxa"/>
          </w:tcPr>
          <w:p w14:paraId="028AA54C" w14:textId="77777777" w:rsidR="000625BD" w:rsidRPr="00343A7D" w:rsidRDefault="000625BD" w:rsidP="00343A7D">
            <w:pPr>
              <w:spacing w:after="0" w:line="360" w:lineRule="auto"/>
              <w:jc w:val="both"/>
              <w:rPr>
                <w:color w:val="000000" w:themeColor="text1"/>
              </w:rPr>
            </w:pPr>
            <w:r w:rsidRPr="00343A7D">
              <w:rPr>
                <w:color w:val="000000" w:themeColor="text1"/>
              </w:rPr>
              <w:t>How do systemic forces sustain gender disparity?</w:t>
            </w:r>
          </w:p>
        </w:tc>
        <w:tc>
          <w:tcPr>
            <w:tcW w:w="2476" w:type="dxa"/>
          </w:tcPr>
          <w:p w14:paraId="1BF4052A" w14:textId="77777777" w:rsidR="000625BD" w:rsidRPr="00343A7D" w:rsidRDefault="000625BD" w:rsidP="00343A7D">
            <w:pPr>
              <w:spacing w:after="0" w:line="360" w:lineRule="auto"/>
              <w:jc w:val="both"/>
              <w:rPr>
                <w:color w:val="000000" w:themeColor="text1"/>
              </w:rPr>
            </w:pPr>
            <w:r w:rsidRPr="00343A7D">
              <w:rPr>
                <w:color w:val="000000" w:themeColor="text1"/>
              </w:rPr>
              <w:t>Which mechanisms generate unequal outcomes, under what conditions and over what period?</w:t>
            </w:r>
          </w:p>
        </w:tc>
      </w:tr>
      <w:tr w:rsidR="000625BD" w:rsidRPr="00343A7D" w14:paraId="1EAD02EF" w14:textId="77777777" w:rsidTr="00366D01">
        <w:trPr>
          <w:cantSplit/>
        </w:trPr>
        <w:tc>
          <w:tcPr>
            <w:tcW w:w="1350" w:type="dxa"/>
          </w:tcPr>
          <w:p w14:paraId="1C17196B" w14:textId="77777777" w:rsidR="000625BD" w:rsidRPr="00343A7D" w:rsidRDefault="000625BD" w:rsidP="00343A7D">
            <w:pPr>
              <w:spacing w:after="0" w:line="360" w:lineRule="auto"/>
              <w:jc w:val="both"/>
              <w:rPr>
                <w:color w:val="000000" w:themeColor="text1"/>
              </w:rPr>
            </w:pPr>
            <w:r w:rsidRPr="00343A7D">
              <w:rPr>
                <w:color w:val="000000" w:themeColor="text1"/>
              </w:rPr>
              <w:t>Evidence</w:t>
            </w:r>
          </w:p>
        </w:tc>
        <w:tc>
          <w:tcPr>
            <w:tcW w:w="2450" w:type="dxa"/>
          </w:tcPr>
          <w:p w14:paraId="3D36D47F" w14:textId="77777777" w:rsidR="000625BD" w:rsidRPr="00343A7D" w:rsidRDefault="000625BD" w:rsidP="00343A7D">
            <w:pPr>
              <w:spacing w:after="0" w:line="360" w:lineRule="auto"/>
              <w:jc w:val="both"/>
              <w:rPr>
                <w:color w:val="000000" w:themeColor="text1"/>
              </w:rPr>
            </w:pPr>
            <w:r w:rsidRPr="00343A7D">
              <w:rPr>
                <w:color w:val="000000" w:themeColor="text1"/>
              </w:rPr>
              <w:t>Standardised variables and statistical relationships</w:t>
            </w:r>
          </w:p>
        </w:tc>
        <w:tc>
          <w:tcPr>
            <w:tcW w:w="2750" w:type="dxa"/>
          </w:tcPr>
          <w:p w14:paraId="7B82CF92" w14:textId="77777777" w:rsidR="000625BD" w:rsidRPr="00343A7D" w:rsidRDefault="000625BD" w:rsidP="00343A7D">
            <w:pPr>
              <w:spacing w:after="0" w:line="360" w:lineRule="auto"/>
              <w:jc w:val="both"/>
              <w:rPr>
                <w:color w:val="000000" w:themeColor="text1"/>
              </w:rPr>
            </w:pPr>
            <w:r w:rsidRPr="00343A7D">
              <w:rPr>
                <w:color w:val="000000" w:themeColor="text1"/>
              </w:rPr>
              <w:t>Situated accounts from semi-structured interviews</w:t>
            </w:r>
          </w:p>
        </w:tc>
        <w:tc>
          <w:tcPr>
            <w:tcW w:w="2476" w:type="dxa"/>
          </w:tcPr>
          <w:p w14:paraId="64620029" w14:textId="77777777" w:rsidR="000625BD" w:rsidRPr="00343A7D" w:rsidRDefault="000625BD" w:rsidP="00343A7D">
            <w:pPr>
              <w:spacing w:after="0" w:line="360" w:lineRule="auto"/>
              <w:jc w:val="both"/>
              <w:rPr>
                <w:color w:val="000000" w:themeColor="text1"/>
              </w:rPr>
            </w:pPr>
            <w:r w:rsidRPr="00343A7D">
              <w:rPr>
                <w:color w:val="000000" w:themeColor="text1"/>
              </w:rPr>
              <w:t>Interviews, longitudinal HR records, documents and decision evidence</w:t>
            </w:r>
          </w:p>
        </w:tc>
      </w:tr>
      <w:tr w:rsidR="000625BD" w:rsidRPr="00343A7D" w14:paraId="7305C592" w14:textId="77777777" w:rsidTr="00366D01">
        <w:trPr>
          <w:cantSplit/>
        </w:trPr>
        <w:tc>
          <w:tcPr>
            <w:tcW w:w="1350" w:type="dxa"/>
          </w:tcPr>
          <w:p w14:paraId="6E563CB9" w14:textId="77777777" w:rsidR="000625BD" w:rsidRPr="00343A7D" w:rsidRDefault="000625BD" w:rsidP="00343A7D">
            <w:pPr>
              <w:spacing w:after="0" w:line="360" w:lineRule="auto"/>
              <w:jc w:val="both"/>
              <w:rPr>
                <w:color w:val="000000" w:themeColor="text1"/>
              </w:rPr>
            </w:pPr>
            <w:r w:rsidRPr="00343A7D">
              <w:rPr>
                <w:color w:val="000000" w:themeColor="text1"/>
              </w:rPr>
              <w:t>Interpretation</w:t>
            </w:r>
          </w:p>
        </w:tc>
        <w:tc>
          <w:tcPr>
            <w:tcW w:w="2450" w:type="dxa"/>
          </w:tcPr>
          <w:p w14:paraId="7D64845B" w14:textId="77777777" w:rsidR="000625BD" w:rsidRPr="00343A7D" w:rsidRDefault="000625BD" w:rsidP="00343A7D">
            <w:pPr>
              <w:spacing w:after="0" w:line="360" w:lineRule="auto"/>
              <w:jc w:val="both"/>
              <w:rPr>
                <w:color w:val="000000" w:themeColor="text1"/>
              </w:rPr>
            </w:pPr>
            <w:r w:rsidRPr="00343A7D">
              <w:rPr>
                <w:color w:val="000000" w:themeColor="text1"/>
              </w:rPr>
              <w:t>Regularities and possible effects</w:t>
            </w:r>
          </w:p>
        </w:tc>
        <w:tc>
          <w:tcPr>
            <w:tcW w:w="2750" w:type="dxa"/>
          </w:tcPr>
          <w:p w14:paraId="1436A0B4" w14:textId="77777777" w:rsidR="000625BD" w:rsidRPr="00343A7D" w:rsidRDefault="000625BD" w:rsidP="00343A7D">
            <w:pPr>
              <w:spacing w:after="0" w:line="360" w:lineRule="auto"/>
              <w:jc w:val="both"/>
              <w:rPr>
                <w:color w:val="000000" w:themeColor="text1"/>
              </w:rPr>
            </w:pPr>
            <w:r w:rsidRPr="00343A7D">
              <w:rPr>
                <w:color w:val="000000" w:themeColor="text1"/>
              </w:rPr>
              <w:t>Meanings interpreted through gendered power</w:t>
            </w:r>
          </w:p>
        </w:tc>
        <w:tc>
          <w:tcPr>
            <w:tcW w:w="2476" w:type="dxa"/>
          </w:tcPr>
          <w:p w14:paraId="0EBFE6CB" w14:textId="77777777" w:rsidR="000625BD" w:rsidRPr="00343A7D" w:rsidRDefault="000625BD" w:rsidP="00343A7D">
            <w:pPr>
              <w:spacing w:after="0" w:line="360" w:lineRule="auto"/>
              <w:jc w:val="both"/>
              <w:rPr>
                <w:color w:val="000000" w:themeColor="text1"/>
              </w:rPr>
            </w:pPr>
            <w:r w:rsidRPr="00343A7D">
              <w:rPr>
                <w:color w:val="000000" w:themeColor="text1"/>
              </w:rPr>
              <w:t>Experiences, events and structures connected through generative mechanisms</w:t>
            </w:r>
          </w:p>
        </w:tc>
      </w:tr>
      <w:tr w:rsidR="000625BD" w:rsidRPr="00343A7D" w14:paraId="27B06F92" w14:textId="77777777" w:rsidTr="00366D01">
        <w:trPr>
          <w:cantSplit/>
        </w:trPr>
        <w:tc>
          <w:tcPr>
            <w:tcW w:w="1350" w:type="dxa"/>
          </w:tcPr>
          <w:p w14:paraId="3F796B59" w14:textId="77777777" w:rsidR="000625BD" w:rsidRPr="00343A7D" w:rsidRDefault="000625BD" w:rsidP="00343A7D">
            <w:pPr>
              <w:spacing w:after="0" w:line="360" w:lineRule="auto"/>
              <w:jc w:val="both"/>
              <w:rPr>
                <w:color w:val="000000" w:themeColor="text1"/>
              </w:rPr>
            </w:pPr>
            <w:r w:rsidRPr="00343A7D">
              <w:rPr>
                <w:color w:val="000000" w:themeColor="text1"/>
              </w:rPr>
              <w:t>Contribution</w:t>
            </w:r>
          </w:p>
        </w:tc>
        <w:tc>
          <w:tcPr>
            <w:tcW w:w="2450" w:type="dxa"/>
          </w:tcPr>
          <w:p w14:paraId="3018122B" w14:textId="77777777" w:rsidR="000625BD" w:rsidRPr="00343A7D" w:rsidRDefault="000625BD" w:rsidP="00343A7D">
            <w:pPr>
              <w:spacing w:after="0" w:line="360" w:lineRule="auto"/>
              <w:jc w:val="both"/>
              <w:rPr>
                <w:color w:val="000000" w:themeColor="text1"/>
              </w:rPr>
            </w:pPr>
            <w:r w:rsidRPr="00343A7D">
              <w:rPr>
                <w:color w:val="000000" w:themeColor="text1"/>
              </w:rPr>
              <w:t>Measurement and prediction</w:t>
            </w:r>
          </w:p>
        </w:tc>
        <w:tc>
          <w:tcPr>
            <w:tcW w:w="2750" w:type="dxa"/>
          </w:tcPr>
          <w:p w14:paraId="267DD77C" w14:textId="77777777" w:rsidR="000625BD" w:rsidRPr="00343A7D" w:rsidRDefault="000625BD" w:rsidP="00343A7D">
            <w:pPr>
              <w:spacing w:after="0" w:line="360" w:lineRule="auto"/>
              <w:jc w:val="both"/>
              <w:rPr>
                <w:color w:val="000000" w:themeColor="text1"/>
              </w:rPr>
            </w:pPr>
            <w:r w:rsidRPr="00343A7D">
              <w:rPr>
                <w:color w:val="000000" w:themeColor="text1"/>
              </w:rPr>
              <w:t>Exposure and critique of inequality</w:t>
            </w:r>
          </w:p>
        </w:tc>
        <w:tc>
          <w:tcPr>
            <w:tcW w:w="2476" w:type="dxa"/>
          </w:tcPr>
          <w:p w14:paraId="44C07E0C" w14:textId="77777777" w:rsidR="000625BD" w:rsidRPr="00343A7D" w:rsidRDefault="000625BD" w:rsidP="00343A7D">
            <w:pPr>
              <w:spacing w:after="0" w:line="360" w:lineRule="auto"/>
              <w:jc w:val="both"/>
              <w:rPr>
                <w:color w:val="000000" w:themeColor="text1"/>
              </w:rPr>
            </w:pPr>
            <w:r w:rsidRPr="00343A7D">
              <w:rPr>
                <w:color w:val="000000" w:themeColor="text1"/>
              </w:rPr>
              <w:t>Explanation, intervention testing and organisational transformation</w:t>
            </w:r>
          </w:p>
        </w:tc>
      </w:tr>
    </w:tbl>
    <w:p w14:paraId="36B50C61" w14:textId="0A2942AA" w:rsidR="000625BD" w:rsidRPr="00F05D74" w:rsidRDefault="000625BD" w:rsidP="00343A7D">
      <w:pPr>
        <w:pStyle w:val="SourceText"/>
        <w:spacing w:line="360" w:lineRule="auto"/>
        <w:jc w:val="both"/>
        <w:rPr>
          <w:rFonts w:asciiTheme="minorHAnsi" w:hAnsiTheme="minorHAnsi"/>
          <w:i w:val="0"/>
          <w:iCs/>
          <w:color w:val="000000" w:themeColor="text1"/>
          <w:sz w:val="24"/>
          <w:szCs w:val="24"/>
        </w:rPr>
      </w:pPr>
      <w:r w:rsidRPr="00F05D74">
        <w:rPr>
          <w:rFonts w:asciiTheme="minorHAnsi" w:hAnsiTheme="minorHAnsi"/>
          <w:i w:val="0"/>
          <w:iCs/>
          <w:color w:val="000000" w:themeColor="text1"/>
          <w:sz w:val="24"/>
          <w:szCs w:val="24"/>
        </w:rPr>
        <w:t>Park et al. (2020), Pretorius (2024), Chang (2026) and Lawani (2021).</w:t>
      </w:r>
    </w:p>
    <w:p w14:paraId="5AA8C4FF" w14:textId="77777777" w:rsidR="000625BD" w:rsidRPr="00343A7D" w:rsidRDefault="000625BD" w:rsidP="00993682">
      <w:pPr>
        <w:pStyle w:val="Heading2"/>
        <w:numPr>
          <w:ilvl w:val="1"/>
          <w:numId w:val="11"/>
        </w:numPr>
        <w:spacing w:line="360" w:lineRule="auto"/>
        <w:ind w:left="740" w:hanging="380"/>
        <w:jc w:val="both"/>
        <w:rPr>
          <w:rFonts w:asciiTheme="minorHAnsi" w:hAnsiTheme="minorHAnsi"/>
          <w:color w:val="000000" w:themeColor="text1"/>
          <w:sz w:val="24"/>
          <w:szCs w:val="24"/>
        </w:rPr>
      </w:pPr>
      <w:r w:rsidRPr="00343A7D">
        <w:rPr>
          <w:rFonts w:asciiTheme="minorHAnsi" w:hAnsiTheme="minorHAnsi"/>
          <w:b/>
          <w:color w:val="000000" w:themeColor="text1"/>
          <w:sz w:val="24"/>
          <w:szCs w:val="24"/>
        </w:rPr>
        <w:t>Axiology and Researcher Positionality</w:t>
      </w:r>
    </w:p>
    <w:p w14:paraId="179A49B9" w14:textId="72189091" w:rsidR="000625BD" w:rsidRPr="00343A7D" w:rsidRDefault="000625BD" w:rsidP="00343A7D">
      <w:pPr>
        <w:spacing w:line="360" w:lineRule="auto"/>
        <w:jc w:val="both"/>
        <w:rPr>
          <w:color w:val="000000" w:themeColor="text1"/>
        </w:rPr>
      </w:pPr>
      <w:r w:rsidRPr="00343A7D">
        <w:rPr>
          <w:color w:val="000000" w:themeColor="text1"/>
        </w:rPr>
        <w:t xml:space="preserve">Axiology concerns the values that shape problem selection, evidence and desired outcomes. Chang’s (2026) study is explicitly value-conscious: it treats gender inequality as an organisational injustice requiring explanation and change. This emancipatory commitment strengthens the research by making structures visible, legitimising marginalised experience as organisational knowledge and linking findings to managerial </w:t>
      </w:r>
      <w:r w:rsidRPr="00343A7D">
        <w:rPr>
          <w:color w:val="000000" w:themeColor="text1"/>
        </w:rPr>
        <w:lastRenderedPageBreak/>
        <w:t>responsibility (</w:t>
      </w:r>
      <w:proofErr w:type="spellStart"/>
      <w:r w:rsidRPr="00343A7D">
        <w:rPr>
          <w:color w:val="000000" w:themeColor="text1"/>
        </w:rPr>
        <w:t>Fotaki</w:t>
      </w:r>
      <w:proofErr w:type="spellEnd"/>
      <w:r w:rsidRPr="00343A7D">
        <w:rPr>
          <w:color w:val="000000" w:themeColor="text1"/>
        </w:rPr>
        <w:t xml:space="preserve"> and Pullen, 2024). Value commitment does not invalidate </w:t>
      </w:r>
      <w:r w:rsidR="00A314CD" w:rsidRPr="00343A7D">
        <w:rPr>
          <w:color w:val="000000" w:themeColor="text1"/>
        </w:rPr>
        <w:t>research</w:t>
      </w:r>
      <w:r w:rsidR="00A314CD">
        <w:rPr>
          <w:color w:val="000000" w:themeColor="text1"/>
        </w:rPr>
        <w:t>;</w:t>
      </w:r>
      <w:r w:rsidR="00F551A7">
        <w:rPr>
          <w:color w:val="000000" w:themeColor="text1"/>
        </w:rPr>
        <w:t xml:space="preserve"> </w:t>
      </w:r>
      <w:r w:rsidRPr="00343A7D">
        <w:rPr>
          <w:color w:val="000000" w:themeColor="text1"/>
        </w:rPr>
        <w:t>the quality question is whether values were disclosed and examined reflexively.</w:t>
      </w:r>
    </w:p>
    <w:p w14:paraId="150B04F1" w14:textId="77777777" w:rsidR="000625BD" w:rsidRPr="00343A7D" w:rsidRDefault="000625BD" w:rsidP="00343A7D">
      <w:pPr>
        <w:spacing w:line="360" w:lineRule="auto"/>
        <w:jc w:val="both"/>
        <w:rPr>
          <w:color w:val="000000" w:themeColor="text1"/>
        </w:rPr>
      </w:pPr>
      <w:r w:rsidRPr="00343A7D">
        <w:rPr>
          <w:color w:val="000000" w:themeColor="text1"/>
        </w:rPr>
        <w:t>The same lens creates interpretive risk if evidence of structural inequality is privileged automatically over occupational, organisational or career-stage explanations. The published account provides limited information about how contradictory cases or alternative interpretations were handled. A DBA-level analysis should distinguish under-representation, which signals a problem requiring investigation, from direct proof that any specific practice caused discrimination. It should also keep the justice case primary. Organisational benefits such as innovation, retention and talent access are relevant, but equality should not be abandoned when immediate financial returns cannot be demonstrated (Fine, Sojo and Lawford-Smith, 2020).</w:t>
      </w:r>
    </w:p>
    <w:p w14:paraId="62C95702" w14:textId="77777777" w:rsidR="000625BD" w:rsidRPr="00343A7D" w:rsidRDefault="000625BD" w:rsidP="00343A7D">
      <w:pPr>
        <w:spacing w:line="360" w:lineRule="auto"/>
        <w:jc w:val="both"/>
        <w:rPr>
          <w:color w:val="000000" w:themeColor="text1"/>
        </w:rPr>
      </w:pPr>
      <w:r w:rsidRPr="00343A7D">
        <w:rPr>
          <w:color w:val="000000" w:themeColor="text1"/>
        </w:rPr>
        <w:t>Chang is gender-sensitive in examining how apparently uniform expectations have unequal effects, but the largely binary comparison risks treating women as homogeneous. Intersectionality requires analysis of how gender interacts with ethnicity, class, age, disability, sexuality, migration and caring roles, not merely recording demographic variety (Abrams et al., 2020). Focusing on successful professionals may also privilege survival narratives.</w:t>
      </w:r>
    </w:p>
    <w:p w14:paraId="611BD02D" w14:textId="7B0D3342" w:rsidR="000625BD" w:rsidRPr="00343A7D" w:rsidRDefault="000625BD" w:rsidP="00343A7D">
      <w:pPr>
        <w:spacing w:line="360" w:lineRule="auto"/>
        <w:jc w:val="both"/>
        <w:rPr>
          <w:color w:val="000000" w:themeColor="text1"/>
        </w:rPr>
      </w:pPr>
      <w:r w:rsidRPr="00343A7D">
        <w:rPr>
          <w:color w:val="000000" w:themeColor="text1"/>
        </w:rPr>
        <w:t>Recruitment through professional contacts provides sector knowledge but narrows the sample and may influence disclosure. The article offers limited detail on the researcher’s gender, professional relationship to IT or prior DEI commitments. Positionality is not reducible to an insider–outsider label; it concerns how advantage, identity and relationships change across research interactions (Rodriguez and Ridgway, 2023). Continuous reflexivity through journals, analytic memos, negative-case analysis, peer debriefing and an audit trail would have made interpretive decisions more visible and contestable (Olmos-Vega et al., 2023).</w:t>
      </w:r>
    </w:p>
    <w:p w14:paraId="030E3022" w14:textId="77777777" w:rsidR="000625BD" w:rsidRPr="00343A7D" w:rsidRDefault="000625BD" w:rsidP="00993682">
      <w:pPr>
        <w:pStyle w:val="Heading2"/>
        <w:numPr>
          <w:ilvl w:val="1"/>
          <w:numId w:val="11"/>
        </w:numPr>
        <w:spacing w:line="360" w:lineRule="auto"/>
        <w:ind w:left="740" w:hanging="380"/>
        <w:jc w:val="both"/>
        <w:rPr>
          <w:rFonts w:asciiTheme="minorHAnsi" w:hAnsiTheme="minorHAnsi"/>
          <w:color w:val="000000" w:themeColor="text1"/>
          <w:sz w:val="24"/>
          <w:szCs w:val="24"/>
        </w:rPr>
      </w:pPr>
      <w:r w:rsidRPr="00343A7D">
        <w:rPr>
          <w:rFonts w:asciiTheme="minorHAnsi" w:hAnsiTheme="minorHAnsi"/>
          <w:b/>
          <w:color w:val="000000" w:themeColor="text1"/>
          <w:sz w:val="24"/>
          <w:szCs w:val="24"/>
        </w:rPr>
        <w:t>Methodological Quality: Reliability, Validity and Trustworthiness</w:t>
      </w:r>
    </w:p>
    <w:p w14:paraId="52593D66" w14:textId="77777777" w:rsidR="000625BD" w:rsidRPr="00343A7D" w:rsidRDefault="000625BD" w:rsidP="00343A7D">
      <w:pPr>
        <w:spacing w:line="360" w:lineRule="auto"/>
        <w:jc w:val="both"/>
        <w:rPr>
          <w:color w:val="000000" w:themeColor="text1"/>
        </w:rPr>
      </w:pPr>
      <w:r w:rsidRPr="00343A7D">
        <w:rPr>
          <w:color w:val="000000" w:themeColor="text1"/>
        </w:rPr>
        <w:t xml:space="preserve">Quantitative reliability and validity criteria cannot be applied to Chang’s (2026) study as if it were a survey or experiment. No scales, repeated measurements or statistical tests are used, so internal consistency, test–retest reliability and sampling error cannot be calculated. This is not a design failure because the purpose is exploratory understanding. </w:t>
      </w:r>
      <w:r w:rsidRPr="00343A7D">
        <w:rPr>
          <w:color w:val="000000" w:themeColor="text1"/>
        </w:rPr>
        <w:lastRenderedPageBreak/>
        <w:t>However, interpretively developed constructs such as “systemic forces” and “round-the-clock availability” should not be treated as quantitatively validated measures.</w:t>
      </w:r>
    </w:p>
    <w:p w14:paraId="449562F9" w14:textId="77777777" w:rsidR="000625BD" w:rsidRPr="00343A7D" w:rsidRDefault="000625BD" w:rsidP="00343A7D">
      <w:pPr>
        <w:spacing w:line="360" w:lineRule="auto"/>
        <w:jc w:val="both"/>
        <w:rPr>
          <w:color w:val="000000" w:themeColor="text1"/>
        </w:rPr>
      </w:pPr>
      <w:r w:rsidRPr="00343A7D">
        <w:rPr>
          <w:color w:val="000000" w:themeColor="text1"/>
        </w:rPr>
        <w:t>Qualitative quality is better assessed through credibility, transferability, dependability and confirmability (Ahmed, 2024; Rose and Johnson, 2020). One-hour recorded interviews, transparent movement from codes to themes and supporting participant accounts strengthen credibility. It remains moderate because ten retrospective, professionally connected accounts were not triangulated adequately with organisational records, documents or decision-makers. The US IT context supplies analytical propositions, but the small successful sample and differences in UK regulation, employment and care arrangements restrict transferability.</w:t>
      </w:r>
    </w:p>
    <w:p w14:paraId="3202D109" w14:textId="345E4045" w:rsidR="000625BD" w:rsidRPr="00343A7D" w:rsidRDefault="000625BD" w:rsidP="00343A7D">
      <w:pPr>
        <w:spacing w:line="360" w:lineRule="auto"/>
        <w:jc w:val="both"/>
        <w:rPr>
          <w:color w:val="000000" w:themeColor="text1"/>
        </w:rPr>
      </w:pPr>
      <w:r w:rsidRPr="00343A7D">
        <w:rPr>
          <w:color w:val="000000" w:themeColor="text1"/>
        </w:rPr>
        <w:t xml:space="preserve">Dependability is supported by a consistent interview format and stated analytical </w:t>
      </w:r>
      <w:r w:rsidR="008D1F76" w:rsidRPr="00343A7D">
        <w:rPr>
          <w:color w:val="000000" w:themeColor="text1"/>
        </w:rPr>
        <w:t>sequence but</w:t>
      </w:r>
      <w:r w:rsidRPr="00343A7D">
        <w:rPr>
          <w:color w:val="000000" w:themeColor="text1"/>
        </w:rPr>
        <w:t xml:space="preserve"> weakened by limited reporting of interview-guide changes, coding decisions, theme revision and the audit trail. Reflexive thematic analysis does not require multiple coders to produce identical interpretations; it requires theoretical coherence, reflexivity and transparent documentation (Braun and Clarke, 2021). Confirmability is strengthened by the declared critical-feminist lens and evidential extracts, but weakened by limited positionality, negative-case analysis and peer challenge. Overall, the study demonstrates moderate trustworthiness</w:t>
      </w:r>
      <w:r w:rsidR="003006B5">
        <w:rPr>
          <w:color w:val="000000" w:themeColor="text1"/>
        </w:rPr>
        <w:t>.</w:t>
      </w:r>
      <w:r w:rsidRPr="00343A7D">
        <w:rPr>
          <w:color w:val="000000" w:themeColor="text1"/>
        </w:rPr>
        <w:t xml:space="preserve"> </w:t>
      </w:r>
      <w:r w:rsidR="003006B5">
        <w:rPr>
          <w:color w:val="000000" w:themeColor="text1"/>
        </w:rPr>
        <w:t>I</w:t>
      </w:r>
      <w:r w:rsidRPr="00343A7D">
        <w:rPr>
          <w:color w:val="000000" w:themeColor="text1"/>
        </w:rPr>
        <w:t>t credibly generates mechanisms but cannot establish their prevalence or causal effect. Broader purposive sampling, including women who exited technology, and triangulation with longitudinal career records would strengthen a DBA extension.</w:t>
      </w:r>
    </w:p>
    <w:p w14:paraId="311A134C" w14:textId="77777777" w:rsidR="000625BD" w:rsidRPr="00343A7D" w:rsidRDefault="000625BD" w:rsidP="00993682">
      <w:pPr>
        <w:pStyle w:val="Heading2"/>
        <w:numPr>
          <w:ilvl w:val="1"/>
          <w:numId w:val="11"/>
        </w:numPr>
        <w:spacing w:line="360" w:lineRule="auto"/>
        <w:ind w:left="740" w:hanging="380"/>
        <w:jc w:val="both"/>
        <w:rPr>
          <w:rFonts w:asciiTheme="minorHAnsi" w:hAnsiTheme="minorHAnsi"/>
          <w:color w:val="000000" w:themeColor="text1"/>
          <w:sz w:val="24"/>
          <w:szCs w:val="24"/>
        </w:rPr>
      </w:pPr>
      <w:r w:rsidRPr="00343A7D">
        <w:rPr>
          <w:rFonts w:asciiTheme="minorHAnsi" w:hAnsiTheme="minorHAnsi"/>
          <w:b/>
          <w:color w:val="000000" w:themeColor="text1"/>
          <w:sz w:val="24"/>
          <w:szCs w:val="24"/>
        </w:rPr>
        <w:t>Ethical Considerations</w:t>
      </w:r>
    </w:p>
    <w:p w14:paraId="506319F5" w14:textId="77777777" w:rsidR="000625BD" w:rsidRPr="00343A7D" w:rsidRDefault="000625BD" w:rsidP="00343A7D">
      <w:pPr>
        <w:spacing w:line="360" w:lineRule="auto"/>
        <w:jc w:val="both"/>
        <w:rPr>
          <w:color w:val="000000" w:themeColor="text1"/>
        </w:rPr>
      </w:pPr>
      <w:r w:rsidRPr="00343A7D">
        <w:rPr>
          <w:color w:val="000000" w:themeColor="text1"/>
        </w:rPr>
        <w:t>Chang’s research addresses sensitive accounts of gendered disadvantage. Voluntary participation and secure storage of Zoom recordings, transcripts and analytical files provide basic protections (Chang, 2025), but network recruitment creates risks of perceived obligation and deductive identification.</w:t>
      </w:r>
    </w:p>
    <w:p w14:paraId="04E7B38F" w14:textId="77777777" w:rsidR="000625BD" w:rsidRPr="00343A7D" w:rsidRDefault="000625BD" w:rsidP="00343A7D">
      <w:pPr>
        <w:spacing w:line="360" w:lineRule="auto"/>
        <w:jc w:val="both"/>
        <w:rPr>
          <w:color w:val="000000" w:themeColor="text1"/>
        </w:rPr>
      </w:pPr>
      <w:r w:rsidRPr="00343A7D">
        <w:rPr>
          <w:color w:val="000000" w:themeColor="text1"/>
        </w:rPr>
        <w:t xml:space="preserve">Confidentiality requires more than removing names because job titles, employers, locations and distinctive career events may identify participants. The published account gives limited detail about encryption, access, retention and platform-generated data (UK Statistics Authority, 2022). Informed consent should therefore remain ongoing and </w:t>
      </w:r>
      <w:r w:rsidRPr="00343A7D">
        <w:rPr>
          <w:color w:val="000000" w:themeColor="text1"/>
        </w:rPr>
        <w:lastRenderedPageBreak/>
        <w:t>explicitly cover recording, quotation, future use, withdrawal and realistic limits of confidentiality (UKRI, 2026). Complete anonymity was impossible because the researcher knew participants; the defensible commitment is confidential collection and robust de-identification in dissemination. Identifiability must be assessed against information reasonably available to colleagues and other motivated readers (ICO, 2026).</w:t>
      </w:r>
    </w:p>
    <w:p w14:paraId="47E02979" w14:textId="77777777" w:rsidR="000625BD" w:rsidRPr="00343A7D" w:rsidRDefault="000625BD" w:rsidP="00343A7D">
      <w:pPr>
        <w:spacing w:line="360" w:lineRule="auto"/>
        <w:jc w:val="both"/>
        <w:rPr>
          <w:color w:val="000000" w:themeColor="text1"/>
        </w:rPr>
      </w:pPr>
      <w:r w:rsidRPr="00343A7D">
        <w:rPr>
          <w:color w:val="000000" w:themeColor="text1"/>
        </w:rPr>
        <w:t>The equality objective is strong because the study questions systems rather than attributing disadvantage to women. Inclusion is weaker: successful networked professionals may exclude women who left IT, remained junior or experience intersecting disadvantage. Organisational sensitivity is also material because accounts may implicate managers or employers and create reputational or career harm. Independent recruitment, diverse sampling, explicit quotation consent, secure data governance and careful deductive-disclosure review would provide stronger protection without removing the organisational context needed to analyse power.</w:t>
      </w:r>
    </w:p>
    <w:p w14:paraId="7DA3ED75" w14:textId="77777777" w:rsidR="000625BD" w:rsidRPr="00343A7D" w:rsidRDefault="000625BD" w:rsidP="00993682">
      <w:pPr>
        <w:pStyle w:val="Heading2"/>
        <w:numPr>
          <w:ilvl w:val="1"/>
          <w:numId w:val="11"/>
        </w:numPr>
        <w:spacing w:line="360" w:lineRule="auto"/>
        <w:ind w:left="740" w:hanging="380"/>
        <w:jc w:val="both"/>
        <w:rPr>
          <w:rFonts w:asciiTheme="minorHAnsi" w:hAnsiTheme="minorHAnsi"/>
          <w:color w:val="000000" w:themeColor="text1"/>
          <w:sz w:val="24"/>
          <w:szCs w:val="24"/>
        </w:rPr>
      </w:pPr>
      <w:r w:rsidRPr="00343A7D">
        <w:rPr>
          <w:rFonts w:asciiTheme="minorHAnsi" w:hAnsiTheme="minorHAnsi"/>
          <w:b/>
          <w:color w:val="000000" w:themeColor="text1"/>
          <w:sz w:val="24"/>
          <w:szCs w:val="24"/>
        </w:rPr>
        <w:t>Critical Appraisal</w:t>
      </w:r>
    </w:p>
    <w:p w14:paraId="14D98DEE" w14:textId="77777777" w:rsidR="000625BD" w:rsidRPr="00343A7D" w:rsidRDefault="000625BD" w:rsidP="00343A7D">
      <w:pPr>
        <w:spacing w:line="360" w:lineRule="auto"/>
        <w:jc w:val="both"/>
        <w:rPr>
          <w:color w:val="000000" w:themeColor="text1"/>
        </w:rPr>
      </w:pPr>
      <w:r w:rsidRPr="00343A7D">
        <w:rPr>
          <w:color w:val="000000" w:themeColor="text1"/>
        </w:rPr>
        <w:t>Chang’s (2026) principal strength is coherence between its critical-feminist lens, exploratory questions and semi-structured interviews. Detailed accounts from experienced professionals illuminate how occupational norms, constant availability and organisational practices can interact. The study also moves beyond deficit explanations and has direct relevance for leadership and HR intervention.</w:t>
      </w:r>
    </w:p>
    <w:p w14:paraId="792690A4" w14:textId="77777777" w:rsidR="000625BD" w:rsidRPr="00343A7D" w:rsidRDefault="000625BD" w:rsidP="00343A7D">
      <w:pPr>
        <w:spacing w:line="360" w:lineRule="auto"/>
        <w:jc w:val="both"/>
        <w:rPr>
          <w:color w:val="000000" w:themeColor="text1"/>
        </w:rPr>
      </w:pPr>
      <w:r w:rsidRPr="00343A7D">
        <w:rPr>
          <w:color w:val="000000" w:themeColor="text1"/>
        </w:rPr>
        <w:t>Its weaknesses substantially limit the claims that can follow. Ten participants recruited through the researcher’s network create selection and survivorship bias, while the emphasis on successful professionals excludes women who left IT or remained in less powerful roles. A US sample cannot be transferred directly to UK employment conditions. Limited positionality, negative-case analysis and triangulation make it difficult to assess competing interpretations. Retrospective accounts reveal meaning but cannot show how common the barriers are or whether they caused differences in promotion, pay or authority. The design therefore supports analytical, not statistical, generalisation.</w:t>
      </w:r>
    </w:p>
    <w:p w14:paraId="5787D1B9" w14:textId="2D2DE0B9" w:rsidR="000625BD" w:rsidRDefault="000625BD" w:rsidP="00343A7D">
      <w:pPr>
        <w:spacing w:line="360" w:lineRule="auto"/>
        <w:jc w:val="both"/>
        <w:rPr>
          <w:color w:val="000000" w:themeColor="text1"/>
        </w:rPr>
      </w:pPr>
      <w:r w:rsidRPr="00343A7D">
        <w:rPr>
          <w:color w:val="000000" w:themeColor="text1"/>
        </w:rPr>
        <w:t xml:space="preserve">Alternative philosophies would produce different knowledge. A positivist study could measure gendered differences in assignments, ratings, promotion, pay and retention, but might treat contested definitions of merit as objective. Longitudinal interpretive </w:t>
      </w:r>
      <w:r w:rsidRPr="00343A7D">
        <w:rPr>
          <w:color w:val="000000" w:themeColor="text1"/>
        </w:rPr>
        <w:lastRenderedPageBreak/>
        <w:t xml:space="preserve">interviews or ethnography could reveal how gendered meanings emerge in daily practice, although findings would remain </w:t>
      </w:r>
      <w:r w:rsidR="0002754E" w:rsidRPr="00343A7D">
        <w:rPr>
          <w:color w:val="000000" w:themeColor="text1"/>
        </w:rPr>
        <w:t>context specific</w:t>
      </w:r>
      <w:r w:rsidRPr="00343A7D">
        <w:rPr>
          <w:color w:val="000000" w:themeColor="text1"/>
        </w:rPr>
        <w:t xml:space="preserve">. A critical-realist mixed-method design offers the strongest extension by treating Chang’s themes as candidate mechanisms and testing them against longitudinal HR data, documents and decision records (Lawani, 2021). Pragmatism can guide method selection and intervention </w:t>
      </w:r>
      <w:r w:rsidR="0002754E" w:rsidRPr="00343A7D">
        <w:rPr>
          <w:color w:val="000000" w:themeColor="text1"/>
        </w:rPr>
        <w:t>evaluation but</w:t>
      </w:r>
      <w:r w:rsidRPr="00343A7D">
        <w:rPr>
          <w:color w:val="000000" w:themeColor="text1"/>
        </w:rPr>
        <w:t xml:space="preserve"> should remain bounded by critical-feminist attention to justice and power (Kelly and Cordeiro, 2020). Chang therefore offers credible exploratory evidence of plausible mechanisms, not evidence of their prevalence or causal effect across technology organisations.</w:t>
      </w:r>
    </w:p>
    <w:p w14:paraId="7F0EF226" w14:textId="77777777" w:rsidR="00B16C9D" w:rsidRDefault="00B16C9D" w:rsidP="00343A7D">
      <w:pPr>
        <w:spacing w:line="360" w:lineRule="auto"/>
        <w:jc w:val="both"/>
        <w:rPr>
          <w:color w:val="000000" w:themeColor="text1"/>
        </w:rPr>
      </w:pPr>
    </w:p>
    <w:p w14:paraId="11B51E60" w14:textId="77777777" w:rsidR="00B16C9D" w:rsidRDefault="00B16C9D" w:rsidP="00343A7D">
      <w:pPr>
        <w:spacing w:line="360" w:lineRule="auto"/>
        <w:jc w:val="both"/>
        <w:rPr>
          <w:color w:val="000000" w:themeColor="text1"/>
        </w:rPr>
      </w:pPr>
    </w:p>
    <w:p w14:paraId="798FDA5D" w14:textId="77777777" w:rsidR="00B16C9D" w:rsidRDefault="00B16C9D" w:rsidP="00343A7D">
      <w:pPr>
        <w:spacing w:line="360" w:lineRule="auto"/>
        <w:jc w:val="both"/>
        <w:rPr>
          <w:color w:val="000000" w:themeColor="text1"/>
        </w:rPr>
      </w:pPr>
    </w:p>
    <w:p w14:paraId="3F48796F" w14:textId="77777777" w:rsidR="00B16C9D" w:rsidRDefault="00B16C9D" w:rsidP="00343A7D">
      <w:pPr>
        <w:spacing w:line="360" w:lineRule="auto"/>
        <w:jc w:val="both"/>
        <w:rPr>
          <w:color w:val="000000" w:themeColor="text1"/>
        </w:rPr>
      </w:pPr>
    </w:p>
    <w:p w14:paraId="4C5C1637" w14:textId="77777777" w:rsidR="00B16C9D" w:rsidRDefault="00B16C9D" w:rsidP="00343A7D">
      <w:pPr>
        <w:spacing w:line="360" w:lineRule="auto"/>
        <w:jc w:val="both"/>
        <w:rPr>
          <w:color w:val="000000" w:themeColor="text1"/>
        </w:rPr>
      </w:pPr>
    </w:p>
    <w:p w14:paraId="6EE77E28" w14:textId="77777777" w:rsidR="00B16C9D" w:rsidRDefault="00B16C9D" w:rsidP="00343A7D">
      <w:pPr>
        <w:spacing w:line="360" w:lineRule="auto"/>
        <w:jc w:val="both"/>
        <w:rPr>
          <w:color w:val="000000" w:themeColor="text1"/>
        </w:rPr>
      </w:pPr>
    </w:p>
    <w:p w14:paraId="3CD3BCC7" w14:textId="77777777" w:rsidR="00B16C9D" w:rsidRDefault="00B16C9D" w:rsidP="00343A7D">
      <w:pPr>
        <w:spacing w:line="360" w:lineRule="auto"/>
        <w:jc w:val="both"/>
        <w:rPr>
          <w:color w:val="000000" w:themeColor="text1"/>
        </w:rPr>
      </w:pPr>
    </w:p>
    <w:p w14:paraId="24874029" w14:textId="77777777" w:rsidR="00B16C9D" w:rsidRDefault="00B16C9D" w:rsidP="00343A7D">
      <w:pPr>
        <w:spacing w:line="360" w:lineRule="auto"/>
        <w:jc w:val="both"/>
        <w:rPr>
          <w:color w:val="000000" w:themeColor="text1"/>
        </w:rPr>
      </w:pPr>
    </w:p>
    <w:p w14:paraId="058EA506" w14:textId="77777777" w:rsidR="00B16C9D" w:rsidRDefault="00B16C9D" w:rsidP="00343A7D">
      <w:pPr>
        <w:spacing w:line="360" w:lineRule="auto"/>
        <w:jc w:val="both"/>
        <w:rPr>
          <w:color w:val="000000" w:themeColor="text1"/>
        </w:rPr>
      </w:pPr>
    </w:p>
    <w:p w14:paraId="3BBF9F27" w14:textId="77777777" w:rsidR="00B16C9D" w:rsidRDefault="00B16C9D" w:rsidP="00343A7D">
      <w:pPr>
        <w:spacing w:line="360" w:lineRule="auto"/>
        <w:jc w:val="both"/>
        <w:rPr>
          <w:color w:val="000000" w:themeColor="text1"/>
        </w:rPr>
      </w:pPr>
    </w:p>
    <w:p w14:paraId="385FF351" w14:textId="77777777" w:rsidR="00B16C9D" w:rsidRDefault="00B16C9D" w:rsidP="00343A7D">
      <w:pPr>
        <w:spacing w:line="360" w:lineRule="auto"/>
        <w:jc w:val="both"/>
        <w:rPr>
          <w:color w:val="000000" w:themeColor="text1"/>
        </w:rPr>
      </w:pPr>
    </w:p>
    <w:p w14:paraId="0CC3D56B" w14:textId="77777777" w:rsidR="00B16C9D" w:rsidRDefault="00B16C9D" w:rsidP="00343A7D">
      <w:pPr>
        <w:spacing w:line="360" w:lineRule="auto"/>
        <w:jc w:val="both"/>
        <w:rPr>
          <w:color w:val="000000" w:themeColor="text1"/>
        </w:rPr>
      </w:pPr>
    </w:p>
    <w:p w14:paraId="3C228044" w14:textId="77777777" w:rsidR="00B16C9D" w:rsidRDefault="00B16C9D" w:rsidP="00343A7D">
      <w:pPr>
        <w:spacing w:line="360" w:lineRule="auto"/>
        <w:jc w:val="both"/>
        <w:rPr>
          <w:color w:val="000000" w:themeColor="text1"/>
        </w:rPr>
      </w:pPr>
    </w:p>
    <w:p w14:paraId="0BA45E6A" w14:textId="77777777" w:rsidR="00B16C9D" w:rsidRDefault="00B16C9D" w:rsidP="00343A7D">
      <w:pPr>
        <w:spacing w:line="360" w:lineRule="auto"/>
        <w:jc w:val="both"/>
        <w:rPr>
          <w:color w:val="000000" w:themeColor="text1"/>
        </w:rPr>
      </w:pPr>
    </w:p>
    <w:p w14:paraId="54D2A570" w14:textId="77777777" w:rsidR="00B16C9D" w:rsidRDefault="00B16C9D" w:rsidP="00343A7D">
      <w:pPr>
        <w:spacing w:line="360" w:lineRule="auto"/>
        <w:jc w:val="both"/>
        <w:rPr>
          <w:color w:val="000000" w:themeColor="text1"/>
        </w:rPr>
      </w:pPr>
    </w:p>
    <w:p w14:paraId="60F1D7DE" w14:textId="77777777" w:rsidR="00B16C9D" w:rsidRPr="00343A7D" w:rsidRDefault="00B16C9D" w:rsidP="00343A7D">
      <w:pPr>
        <w:spacing w:line="360" w:lineRule="auto"/>
        <w:jc w:val="both"/>
        <w:rPr>
          <w:color w:val="000000" w:themeColor="text1"/>
        </w:rPr>
      </w:pPr>
    </w:p>
    <w:p w14:paraId="10858080" w14:textId="77777777" w:rsidR="000625BD" w:rsidRPr="00343A7D" w:rsidRDefault="000625BD" w:rsidP="00993682">
      <w:pPr>
        <w:pStyle w:val="Heading1"/>
        <w:numPr>
          <w:ilvl w:val="0"/>
          <w:numId w:val="11"/>
        </w:numPr>
        <w:spacing w:line="360" w:lineRule="auto"/>
        <w:ind w:left="720"/>
        <w:jc w:val="both"/>
        <w:rPr>
          <w:rFonts w:asciiTheme="minorHAnsi" w:hAnsiTheme="minorHAnsi"/>
          <w:color w:val="000000" w:themeColor="text1"/>
          <w:sz w:val="24"/>
          <w:szCs w:val="24"/>
        </w:rPr>
      </w:pPr>
      <w:r w:rsidRPr="00343A7D">
        <w:rPr>
          <w:rFonts w:asciiTheme="minorHAnsi" w:hAnsiTheme="minorHAnsi"/>
          <w:b/>
          <w:color w:val="000000" w:themeColor="text1"/>
          <w:sz w:val="24"/>
          <w:szCs w:val="24"/>
        </w:rPr>
        <w:lastRenderedPageBreak/>
        <w:t>Discussion and Contribution</w:t>
      </w:r>
    </w:p>
    <w:p w14:paraId="6C9F5D41" w14:textId="77777777" w:rsidR="000625BD" w:rsidRPr="00343A7D" w:rsidRDefault="000625BD" w:rsidP="00343A7D">
      <w:pPr>
        <w:spacing w:line="360" w:lineRule="auto"/>
        <w:jc w:val="both"/>
        <w:rPr>
          <w:color w:val="000000" w:themeColor="text1"/>
        </w:rPr>
      </w:pPr>
      <w:r w:rsidRPr="00343A7D">
        <w:rPr>
          <w:color w:val="000000" w:themeColor="text1"/>
        </w:rPr>
        <w:t>Research philosophy shapes women’s leadership development by determining what counts as reality, evidence and an adequate organisational response. Positivism frames under-representation as a measurable pipeline problem and prioritises promotion, pay, retention and statistical relationships. This evidence is necessary for demonstrating disparities and monitoring change, but it may treat “merit”, “potential” and “leadership readiness” as stable variables when their organisational meanings are disputed. Interpretivism reveals how women experience credibility, sponsorship, flexibility and belonging. Critical-feminist research goes further by examining how those meanings are produced through gendered power. Chang (2026), for example, interprets constant availability and masculine-coded behaviour as organisational mechanisms rather than personal deficits.</w:t>
      </w:r>
    </w:p>
    <w:p w14:paraId="38C96DA4" w14:textId="46A0FDF4" w:rsidR="000625BD" w:rsidRPr="00343A7D" w:rsidRDefault="000625BD" w:rsidP="00343A7D">
      <w:pPr>
        <w:spacing w:line="360" w:lineRule="auto"/>
        <w:jc w:val="both"/>
        <w:rPr>
          <w:color w:val="000000" w:themeColor="text1"/>
        </w:rPr>
      </w:pPr>
      <w:r w:rsidRPr="00343A7D">
        <w:rPr>
          <w:color w:val="000000" w:themeColor="text1"/>
        </w:rPr>
        <w:t>Neither measurement nor experience is sufficient alone. Chang’s interviews identify plausible mechanisms but cannot establish prevalence or promotion effects; organisational data can identify disparities without explaining how they arose. Critical realism provides the strongest integrative position because it links observable events with underlying, context-dependent mechanisms (Lawani, 2021). Pragmatism remains valuable for choosing methods and evaluating interventions, provided that “what works” is judged through justice, opportunity and career authority rather than managerial efficiency alone (Kelly and Cordeiro, 2020).</w:t>
      </w:r>
    </w:p>
    <w:p w14:paraId="227FFD21" w14:textId="77777777" w:rsidR="000625BD" w:rsidRPr="00343A7D" w:rsidRDefault="000625BD" w:rsidP="00343A7D">
      <w:pPr>
        <w:spacing w:line="360" w:lineRule="auto"/>
        <w:jc w:val="both"/>
        <w:rPr>
          <w:color w:val="000000" w:themeColor="text1"/>
        </w:rPr>
      </w:pPr>
      <w:r w:rsidRPr="00343A7D">
        <w:rPr>
          <w:color w:val="000000" w:themeColor="text1"/>
        </w:rPr>
        <w:t>The proposed Gender-Inclusive Leadership Development Framework translates this philosophical synthesis into a testable pathway. Inclusive leadership should strengthen voice, belonging and recognition, but individual behaviour must become an inclusive organisational culture. Within that culture, mentoring develops knowledge and psychosocial support, while sponsorship provides advocacy, visible assignments and access to influential networks. Digital leadership development can expand learning and visibility, but participation becomes capability only when women can apply learning through strategic work, succession pools and decision authority. Career opportunities then support women’s leadership capability, representation and, potentially, organisational performance.</w:t>
      </w:r>
    </w:p>
    <w:p w14:paraId="231E9895" w14:textId="77777777" w:rsidR="000625BD" w:rsidRPr="00343A7D" w:rsidRDefault="000625BD" w:rsidP="00343A7D">
      <w:pPr>
        <w:spacing w:before="120" w:after="0" w:line="360" w:lineRule="auto"/>
        <w:jc w:val="both"/>
        <w:rPr>
          <w:color w:val="000000" w:themeColor="text1"/>
        </w:rPr>
      </w:pPr>
      <w:r w:rsidRPr="00343A7D">
        <w:rPr>
          <w:noProof/>
          <w:color w:val="000000" w:themeColor="text1"/>
        </w:rPr>
        <w:lastRenderedPageBreak/>
        <w:drawing>
          <wp:inline distT="0" distB="0" distL="0" distR="0" wp14:anchorId="1EE0754C" wp14:editId="2400A726">
            <wp:extent cx="5074920" cy="5920740"/>
            <wp:effectExtent l="0" t="0" r="0" b="0"/>
            <wp:docPr id="3" name="Picture 3" descr="Figure 5.1. Proposed Gender-Inclusive Leadership Development Framework." title="Fig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nder_inclusive_leadership_framework.png"/>
                    <pic:cNvPicPr/>
                  </pic:nvPicPr>
                  <pic:blipFill>
                    <a:blip r:embed="rId11"/>
                    <a:stretch>
                      <a:fillRect/>
                    </a:stretch>
                  </pic:blipFill>
                  <pic:spPr>
                    <a:xfrm>
                      <a:off x="0" y="0"/>
                      <a:ext cx="5074920" cy="5920740"/>
                    </a:xfrm>
                    <a:prstGeom prst="rect">
                      <a:avLst/>
                    </a:prstGeom>
                  </pic:spPr>
                </pic:pic>
              </a:graphicData>
            </a:graphic>
          </wp:inline>
        </w:drawing>
      </w:r>
    </w:p>
    <w:p w14:paraId="67D04B71" w14:textId="77777777" w:rsidR="000625BD" w:rsidRDefault="000625BD" w:rsidP="00343A7D">
      <w:pPr>
        <w:pStyle w:val="Caption"/>
        <w:spacing w:before="80" w:after="80" w:line="360" w:lineRule="auto"/>
        <w:rPr>
          <w:rFonts w:asciiTheme="minorHAnsi" w:hAnsiTheme="minorHAnsi"/>
          <w:i w:val="0"/>
          <w:iCs/>
          <w:color w:val="000000" w:themeColor="text1"/>
          <w:sz w:val="24"/>
          <w:szCs w:val="24"/>
        </w:rPr>
      </w:pPr>
      <w:r w:rsidRPr="004A7E77">
        <w:rPr>
          <w:rFonts w:asciiTheme="minorHAnsi" w:hAnsiTheme="minorHAnsi"/>
          <w:i w:val="0"/>
          <w:iCs/>
          <w:color w:val="000000" w:themeColor="text1"/>
          <w:sz w:val="24"/>
          <w:szCs w:val="24"/>
        </w:rPr>
        <w:t>Figure 5.1. Proposed Gender-Inclusive Leadership Development Framework.</w:t>
      </w:r>
    </w:p>
    <w:p w14:paraId="6B560610" w14:textId="21A19070" w:rsidR="00C3102D" w:rsidRPr="00C3102D" w:rsidRDefault="00C3102D" w:rsidP="00C3102D">
      <w:pPr>
        <w:rPr>
          <w:lang w:val="en-US"/>
        </w:rPr>
      </w:pPr>
      <w:r>
        <w:rPr>
          <w:color w:val="000000" w:themeColor="text1"/>
        </w:rPr>
        <w:t>(</w:t>
      </w:r>
      <w:r w:rsidRPr="00343A7D">
        <w:rPr>
          <w:color w:val="000000" w:themeColor="text1"/>
        </w:rPr>
        <w:t>Kelly and Cordeiro, 2020</w:t>
      </w:r>
      <w:r>
        <w:rPr>
          <w:color w:val="000000" w:themeColor="text1"/>
        </w:rPr>
        <w:t>); (</w:t>
      </w:r>
      <w:r w:rsidRPr="00343A7D">
        <w:rPr>
          <w:color w:val="000000" w:themeColor="text1"/>
        </w:rPr>
        <w:t>Lawani, 2021</w:t>
      </w:r>
      <w:r>
        <w:rPr>
          <w:color w:val="000000" w:themeColor="text1"/>
        </w:rPr>
        <w:t>)</w:t>
      </w:r>
    </w:p>
    <w:p w14:paraId="3CEB1A8C" w14:textId="4FAD027F" w:rsidR="000625BD" w:rsidRPr="004A7E77" w:rsidRDefault="000625BD" w:rsidP="00343A7D">
      <w:pPr>
        <w:pStyle w:val="SourceText"/>
        <w:spacing w:line="360" w:lineRule="auto"/>
        <w:jc w:val="both"/>
        <w:rPr>
          <w:rFonts w:asciiTheme="minorHAnsi" w:hAnsiTheme="minorHAnsi"/>
          <w:i w:val="0"/>
          <w:iCs/>
          <w:color w:val="000000" w:themeColor="text1"/>
          <w:sz w:val="24"/>
          <w:szCs w:val="24"/>
        </w:rPr>
      </w:pPr>
      <w:r w:rsidRPr="004A7E77">
        <w:rPr>
          <w:rFonts w:asciiTheme="minorHAnsi" w:hAnsiTheme="minorHAnsi"/>
          <w:i w:val="0"/>
          <w:iCs/>
          <w:color w:val="000000" w:themeColor="text1"/>
          <w:sz w:val="24"/>
          <w:szCs w:val="24"/>
        </w:rPr>
        <w:t>The pathway is provisional and requires empirical testing.</w:t>
      </w:r>
    </w:p>
    <w:p w14:paraId="2266474D" w14:textId="77777777" w:rsidR="000625BD" w:rsidRPr="00343A7D" w:rsidRDefault="000625BD" w:rsidP="00343A7D">
      <w:pPr>
        <w:spacing w:line="360" w:lineRule="auto"/>
        <w:jc w:val="both"/>
        <w:rPr>
          <w:color w:val="000000" w:themeColor="text1"/>
        </w:rPr>
      </w:pPr>
      <w:r w:rsidRPr="00343A7D">
        <w:rPr>
          <w:color w:val="000000" w:themeColor="text1"/>
        </w:rPr>
        <w:t xml:space="preserve">The pathway is conditional rather than deterministic. Organisational justice determines whether opportunities and rewards are allocated transparently. Flexible working influences continuity and whether reduced presence attracts an opportunity penalty. Responsible AI determines whether recruitment, evaluation and promotion systems challenge or reproduce historical inequalities. Digital maturity reflects the organisation’s capacity to integrate technology, data, leadership practice and governance. These </w:t>
      </w:r>
      <w:r w:rsidRPr="00343A7D">
        <w:rPr>
          <w:color w:val="000000" w:themeColor="text1"/>
        </w:rPr>
        <w:lastRenderedPageBreak/>
        <w:t>moderators can strengthen, weaken or interrupt any stage. Feedback is also necessary because greater representation may reshape culture, sponsorship networks and prevailing leadership norms.</w:t>
      </w:r>
    </w:p>
    <w:p w14:paraId="48CA11AA" w14:textId="228850FB" w:rsidR="000625BD" w:rsidRPr="00343A7D" w:rsidRDefault="000625BD" w:rsidP="00343A7D">
      <w:pPr>
        <w:spacing w:line="360" w:lineRule="auto"/>
        <w:jc w:val="both"/>
        <w:rPr>
          <w:color w:val="000000" w:themeColor="text1"/>
        </w:rPr>
      </w:pPr>
      <w:r w:rsidRPr="00343A7D">
        <w:rPr>
          <w:color w:val="000000" w:themeColor="text1"/>
        </w:rPr>
        <w:t xml:space="preserve">The theoretical contribution is integration. Inclusive Leadership Theory explains belonging, uniqueness and voice; Social Role Theory explains gendered expectations; Human Capital Theory explains capability development; Organisational Justice Theory explains whether capability becomes opportunity; and Dynamic Capabilities Theory explains how organisations sense inequality, seize interventions and </w:t>
      </w:r>
      <w:r w:rsidR="008D64AA">
        <w:rPr>
          <w:color w:val="000000" w:themeColor="text1"/>
        </w:rPr>
        <w:t xml:space="preserve">change </w:t>
      </w:r>
      <w:r w:rsidRPr="00343A7D">
        <w:rPr>
          <w:color w:val="000000" w:themeColor="text1"/>
        </w:rPr>
        <w:t>routines (</w:t>
      </w:r>
      <w:r w:rsidR="005903FE" w:rsidRPr="00343A7D">
        <w:rPr>
          <w:color w:val="000000" w:themeColor="text1"/>
          <w:lang w:val="en-US"/>
        </w:rPr>
        <w:t>Hanelt et al., 2021</w:t>
      </w:r>
      <w:r w:rsidR="005903FE">
        <w:rPr>
          <w:color w:val="000000" w:themeColor="text1"/>
          <w:lang w:val="en-US"/>
        </w:rPr>
        <w:t xml:space="preserve">). </w:t>
      </w:r>
      <w:r w:rsidRPr="00343A7D">
        <w:rPr>
          <w:color w:val="000000" w:themeColor="text1"/>
        </w:rPr>
        <w:t>The framework’s central proposition is that women’s capability is necessary but insufficient: progression also requires organisational systems that convert capability into authority.</w:t>
      </w:r>
    </w:p>
    <w:p w14:paraId="0B14858C" w14:textId="77777777" w:rsidR="000625BD" w:rsidRPr="00343A7D" w:rsidRDefault="000625BD" w:rsidP="00343A7D">
      <w:pPr>
        <w:spacing w:line="360" w:lineRule="auto"/>
        <w:jc w:val="both"/>
        <w:rPr>
          <w:color w:val="000000" w:themeColor="text1"/>
        </w:rPr>
      </w:pPr>
      <w:r w:rsidRPr="00343A7D">
        <w:rPr>
          <w:color w:val="000000" w:themeColor="text1"/>
        </w:rPr>
        <w:t>Methodologically, the assessment recommends a critical-realist, longitudinal mixed-method design, with pragmatism guiding the selection of techniques. Gender-disaggregated HR records should trace recruitment, development, strategic assignments, sponsorship, succession, promotion, pay and exit. Interviews, documents and decision records should explain how outcomes were produced. Comparative organisational cases would identify which mechanisms operate, for whom and under what conditions. This design addresses the literature’s dependence on cross-sectional self-report evidence and the tendency to measure participation instead of progression.</w:t>
      </w:r>
    </w:p>
    <w:p w14:paraId="2D53F6B8" w14:textId="5A6E1DE6" w:rsidR="000625BD" w:rsidRPr="00343A7D" w:rsidRDefault="000625BD" w:rsidP="00343A7D">
      <w:pPr>
        <w:spacing w:line="360" w:lineRule="auto"/>
        <w:jc w:val="both"/>
        <w:rPr>
          <w:color w:val="000000" w:themeColor="text1"/>
        </w:rPr>
      </w:pPr>
      <w:r w:rsidRPr="00343A7D">
        <w:rPr>
          <w:color w:val="000000" w:themeColor="text1"/>
        </w:rPr>
        <w:t xml:space="preserve">For practice, HR directors should monitor career trajectories rather than programme attendance. DEI leaders should audit sponsorship, assignments and promotion processes. Executive teams should own organisational justice and responsible AI, while leadership-development practitioners should link learning directly to experiential work and advancement. These actions respond to the activity–outcome gap identified in the Women in Finance Charter, where initiatives were </w:t>
      </w:r>
      <w:r w:rsidR="0006077E" w:rsidRPr="00343A7D">
        <w:rPr>
          <w:color w:val="000000" w:themeColor="text1"/>
        </w:rPr>
        <w:t>common,</w:t>
      </w:r>
      <w:r w:rsidRPr="00343A7D">
        <w:rPr>
          <w:color w:val="000000" w:themeColor="text1"/>
        </w:rPr>
        <w:t xml:space="preserve"> but impact measurement was limited (HM Treasury and New Financial, 2024).</w:t>
      </w:r>
    </w:p>
    <w:p w14:paraId="092CC6CA" w14:textId="77777777" w:rsidR="000625BD" w:rsidRPr="00343A7D" w:rsidRDefault="000625BD" w:rsidP="00343A7D">
      <w:pPr>
        <w:spacing w:line="360" w:lineRule="auto"/>
        <w:jc w:val="both"/>
        <w:rPr>
          <w:color w:val="000000" w:themeColor="text1"/>
        </w:rPr>
      </w:pPr>
      <w:r w:rsidRPr="00343A7D">
        <w:rPr>
          <w:color w:val="000000" w:themeColor="text1"/>
        </w:rPr>
        <w:t xml:space="preserve">The DBA contribution is a provisional, actionable Gender-Inclusive Leadership Development Framework explaining how inclusive leadership, organisational capability and digital transformation may interact to improve women’s progression in technology-enabled organisations. It does not claim that the sequence is already causally </w:t>
      </w:r>
      <w:r w:rsidRPr="00343A7D">
        <w:rPr>
          <w:color w:val="000000" w:themeColor="text1"/>
        </w:rPr>
        <w:lastRenderedPageBreak/>
        <w:t>established. Its value lies in converting fragmented evidence into propositions that organisations can test, refine and use to govern responsible change.</w:t>
      </w:r>
    </w:p>
    <w:p w14:paraId="15D2F3F9" w14:textId="77777777" w:rsidR="000625BD" w:rsidRDefault="000625BD" w:rsidP="00343A7D">
      <w:pPr>
        <w:spacing w:line="360" w:lineRule="auto"/>
        <w:jc w:val="both"/>
        <w:rPr>
          <w:color w:val="000000" w:themeColor="text1"/>
        </w:rPr>
      </w:pPr>
      <w:r w:rsidRPr="00343A7D">
        <w:rPr>
          <w:color w:val="000000" w:themeColor="text1"/>
        </w:rPr>
        <w:t>Empirical testing should examine both mediation and moderation. The framework predicts that culture, sponsorship and developmental opportunity mediate the relationship between inclusive leadership and progression, while justice, flexibility, responsible AI and digital maturity alter the strength of those relationships. Organisational performance should be treated as a distal and contingent outcome rather than a guaranteed consequence of representation. This preserves the ethical case for equality while allowing the DBA study to test whether coordinated capability also produces measurable strategic value.</w:t>
      </w:r>
    </w:p>
    <w:p w14:paraId="73664160" w14:textId="77777777" w:rsidR="0006077E" w:rsidRDefault="0006077E" w:rsidP="00343A7D">
      <w:pPr>
        <w:spacing w:line="360" w:lineRule="auto"/>
        <w:jc w:val="both"/>
        <w:rPr>
          <w:color w:val="000000" w:themeColor="text1"/>
        </w:rPr>
      </w:pPr>
    </w:p>
    <w:p w14:paraId="18C201A4" w14:textId="77777777" w:rsidR="0006077E" w:rsidRDefault="0006077E" w:rsidP="00343A7D">
      <w:pPr>
        <w:spacing w:line="360" w:lineRule="auto"/>
        <w:jc w:val="both"/>
        <w:rPr>
          <w:color w:val="000000" w:themeColor="text1"/>
        </w:rPr>
      </w:pPr>
    </w:p>
    <w:p w14:paraId="6D6C79A4" w14:textId="77777777" w:rsidR="0006077E" w:rsidRDefault="0006077E" w:rsidP="00343A7D">
      <w:pPr>
        <w:spacing w:line="360" w:lineRule="auto"/>
        <w:jc w:val="both"/>
        <w:rPr>
          <w:color w:val="000000" w:themeColor="text1"/>
        </w:rPr>
      </w:pPr>
    </w:p>
    <w:p w14:paraId="4D4C4A11" w14:textId="77777777" w:rsidR="0006077E" w:rsidRDefault="0006077E" w:rsidP="00343A7D">
      <w:pPr>
        <w:spacing w:line="360" w:lineRule="auto"/>
        <w:jc w:val="both"/>
        <w:rPr>
          <w:color w:val="000000" w:themeColor="text1"/>
        </w:rPr>
      </w:pPr>
    </w:p>
    <w:p w14:paraId="73FAFFFB" w14:textId="77777777" w:rsidR="0006077E" w:rsidRDefault="0006077E" w:rsidP="00343A7D">
      <w:pPr>
        <w:spacing w:line="360" w:lineRule="auto"/>
        <w:jc w:val="both"/>
        <w:rPr>
          <w:color w:val="000000" w:themeColor="text1"/>
        </w:rPr>
      </w:pPr>
    </w:p>
    <w:p w14:paraId="1FA638B1" w14:textId="77777777" w:rsidR="0006077E" w:rsidRDefault="0006077E" w:rsidP="00343A7D">
      <w:pPr>
        <w:spacing w:line="360" w:lineRule="auto"/>
        <w:jc w:val="both"/>
        <w:rPr>
          <w:color w:val="000000" w:themeColor="text1"/>
        </w:rPr>
      </w:pPr>
    </w:p>
    <w:p w14:paraId="28661B2B" w14:textId="77777777" w:rsidR="0006077E" w:rsidRDefault="0006077E" w:rsidP="00343A7D">
      <w:pPr>
        <w:spacing w:line="360" w:lineRule="auto"/>
        <w:jc w:val="both"/>
        <w:rPr>
          <w:color w:val="000000" w:themeColor="text1"/>
        </w:rPr>
      </w:pPr>
    </w:p>
    <w:p w14:paraId="0957E0D7" w14:textId="77777777" w:rsidR="0006077E" w:rsidRDefault="0006077E" w:rsidP="00343A7D">
      <w:pPr>
        <w:spacing w:line="360" w:lineRule="auto"/>
        <w:jc w:val="both"/>
        <w:rPr>
          <w:color w:val="000000" w:themeColor="text1"/>
        </w:rPr>
      </w:pPr>
    </w:p>
    <w:p w14:paraId="7E44C750" w14:textId="77777777" w:rsidR="0006077E" w:rsidRDefault="0006077E" w:rsidP="00343A7D">
      <w:pPr>
        <w:spacing w:line="360" w:lineRule="auto"/>
        <w:jc w:val="both"/>
        <w:rPr>
          <w:color w:val="000000" w:themeColor="text1"/>
        </w:rPr>
      </w:pPr>
    </w:p>
    <w:p w14:paraId="09BE8BD2" w14:textId="77777777" w:rsidR="0006077E" w:rsidRDefault="0006077E" w:rsidP="00343A7D">
      <w:pPr>
        <w:spacing w:line="360" w:lineRule="auto"/>
        <w:jc w:val="both"/>
        <w:rPr>
          <w:color w:val="000000" w:themeColor="text1"/>
        </w:rPr>
      </w:pPr>
    </w:p>
    <w:p w14:paraId="10285A82" w14:textId="77777777" w:rsidR="0006077E" w:rsidRDefault="0006077E" w:rsidP="00343A7D">
      <w:pPr>
        <w:spacing w:line="360" w:lineRule="auto"/>
        <w:jc w:val="both"/>
        <w:rPr>
          <w:color w:val="000000" w:themeColor="text1"/>
        </w:rPr>
      </w:pPr>
    </w:p>
    <w:p w14:paraId="5EB01556" w14:textId="77777777" w:rsidR="0006077E" w:rsidRDefault="0006077E" w:rsidP="00343A7D">
      <w:pPr>
        <w:spacing w:line="360" w:lineRule="auto"/>
        <w:jc w:val="both"/>
        <w:rPr>
          <w:color w:val="000000" w:themeColor="text1"/>
        </w:rPr>
      </w:pPr>
    </w:p>
    <w:p w14:paraId="47E2E12E" w14:textId="77777777" w:rsidR="0006077E" w:rsidRDefault="0006077E" w:rsidP="00343A7D">
      <w:pPr>
        <w:spacing w:line="360" w:lineRule="auto"/>
        <w:jc w:val="both"/>
        <w:rPr>
          <w:color w:val="000000" w:themeColor="text1"/>
        </w:rPr>
      </w:pPr>
    </w:p>
    <w:p w14:paraId="30F813EE" w14:textId="77777777" w:rsidR="0006077E" w:rsidRDefault="0006077E" w:rsidP="00343A7D">
      <w:pPr>
        <w:spacing w:line="360" w:lineRule="auto"/>
        <w:jc w:val="both"/>
        <w:rPr>
          <w:color w:val="000000" w:themeColor="text1"/>
        </w:rPr>
      </w:pPr>
    </w:p>
    <w:p w14:paraId="2639F2A8" w14:textId="77777777" w:rsidR="0006077E" w:rsidRPr="00343A7D" w:rsidRDefault="0006077E" w:rsidP="00343A7D">
      <w:pPr>
        <w:spacing w:line="360" w:lineRule="auto"/>
        <w:jc w:val="both"/>
        <w:rPr>
          <w:color w:val="000000" w:themeColor="text1"/>
        </w:rPr>
      </w:pPr>
    </w:p>
    <w:p w14:paraId="58E660F6" w14:textId="77777777" w:rsidR="000625BD" w:rsidRPr="00343A7D" w:rsidRDefault="000625BD" w:rsidP="00993682">
      <w:pPr>
        <w:pStyle w:val="Heading1"/>
        <w:numPr>
          <w:ilvl w:val="0"/>
          <w:numId w:val="11"/>
        </w:numPr>
        <w:spacing w:line="360" w:lineRule="auto"/>
        <w:ind w:left="720"/>
        <w:jc w:val="both"/>
        <w:rPr>
          <w:rFonts w:asciiTheme="minorHAnsi" w:hAnsiTheme="minorHAnsi"/>
          <w:color w:val="000000" w:themeColor="text1"/>
          <w:sz w:val="24"/>
          <w:szCs w:val="24"/>
        </w:rPr>
      </w:pPr>
      <w:r w:rsidRPr="00343A7D">
        <w:rPr>
          <w:rFonts w:asciiTheme="minorHAnsi" w:hAnsiTheme="minorHAnsi"/>
          <w:b/>
          <w:color w:val="000000" w:themeColor="text1"/>
          <w:sz w:val="24"/>
          <w:szCs w:val="24"/>
        </w:rPr>
        <w:lastRenderedPageBreak/>
        <w:t>Conclusion</w:t>
      </w:r>
    </w:p>
    <w:p w14:paraId="19229E7A" w14:textId="77777777" w:rsidR="000625BD" w:rsidRPr="00343A7D" w:rsidRDefault="000625BD" w:rsidP="00343A7D">
      <w:pPr>
        <w:spacing w:line="360" w:lineRule="auto"/>
        <w:jc w:val="both"/>
        <w:rPr>
          <w:color w:val="000000" w:themeColor="text1"/>
        </w:rPr>
      </w:pPr>
      <w:r w:rsidRPr="00343A7D">
        <w:rPr>
          <w:color w:val="000000" w:themeColor="text1"/>
        </w:rPr>
        <w:t>This assessment demonstrates that women’s leadership progression in technology-enabled organisations is produced through connected organisational systems rather than individual confidence, ambition or technical competence alone. The major themes concern cumulative career barriers; inclusive leadership and culture; digital transformation; mentoring, sponsorship and succession; flexible working; and the interaction between human and algorithmic bias. Across these themes, the decisive distinction is between participation or retention and substantive progression into roles carrying authority, remuneration and strategic responsibility.</w:t>
      </w:r>
    </w:p>
    <w:p w14:paraId="60267161" w14:textId="77777777" w:rsidR="000625BD" w:rsidRPr="00343A7D" w:rsidRDefault="000625BD" w:rsidP="00343A7D">
      <w:pPr>
        <w:spacing w:line="360" w:lineRule="auto"/>
        <w:jc w:val="both"/>
        <w:rPr>
          <w:color w:val="000000" w:themeColor="text1"/>
        </w:rPr>
      </w:pPr>
      <w:r w:rsidRPr="00343A7D">
        <w:rPr>
          <w:color w:val="000000" w:themeColor="text1"/>
        </w:rPr>
        <w:t>Inclusive leadership can strengthen voice, belonging and psychological safety, but relational inclusion has limited effect unless it changes access to assignments, sponsorship, development, succession and promotion. Mentoring and leadership programmes can build knowledge and identity, yet their influence is weak when they are disconnected from advocacy and experiential work. Digital learning and hybrid working can widen access and improve retention without necessarily improving promotion. AI may increase consistency, but it can also reproduce past inequalities through biased data, proxies, opaque classifications and unaccountable human use. Responsible leadership must therefore govern the complete career system.</w:t>
      </w:r>
    </w:p>
    <w:p w14:paraId="3DD885E2" w14:textId="77777777" w:rsidR="000625BD" w:rsidRPr="00343A7D" w:rsidRDefault="000625BD" w:rsidP="00343A7D">
      <w:pPr>
        <w:spacing w:line="360" w:lineRule="auto"/>
        <w:jc w:val="both"/>
        <w:rPr>
          <w:color w:val="000000" w:themeColor="text1"/>
        </w:rPr>
      </w:pPr>
      <w:r w:rsidRPr="00343A7D">
        <w:rPr>
          <w:color w:val="000000" w:themeColor="text1"/>
        </w:rPr>
        <w:t>Philosophically, positivism provides essential evidence about representation, pay, promotion and retention, but may treat contested definitions of merit as objective. Interpretivism and critical-feminist theory reveal how women experience organisational expectations and how power shapes career decisions. Critical realism provides the strongest integrative foundation because it connects those situated accounts with observable outcomes and underlying mechanisms. Pragmatism supports the selection of useful methods, provided usefulness is judged through justice and career authority rather than efficiency alone.</w:t>
      </w:r>
    </w:p>
    <w:p w14:paraId="3694FB4E" w14:textId="6964C51B" w:rsidR="000625BD" w:rsidRPr="00343A7D" w:rsidRDefault="000625BD" w:rsidP="00343A7D">
      <w:pPr>
        <w:spacing w:line="360" w:lineRule="auto"/>
        <w:jc w:val="both"/>
        <w:rPr>
          <w:color w:val="000000" w:themeColor="text1"/>
        </w:rPr>
      </w:pPr>
      <w:r w:rsidRPr="00343A7D">
        <w:rPr>
          <w:color w:val="000000" w:themeColor="text1"/>
        </w:rPr>
        <w:t xml:space="preserve">Methodologically, the evidence base remains stronger on perceived barriers, programme experience and short-term retention than on prevalence, causality and long-term advancement. Future DBA research should therefore combine longitudinal, </w:t>
      </w:r>
      <w:r w:rsidR="00FB5281" w:rsidRPr="00343A7D">
        <w:rPr>
          <w:color w:val="000000" w:themeColor="text1"/>
        </w:rPr>
        <w:t>intersectional</w:t>
      </w:r>
      <w:r w:rsidR="00FB5281">
        <w:rPr>
          <w:color w:val="000000" w:themeColor="text1"/>
        </w:rPr>
        <w:t xml:space="preserve"> </w:t>
      </w:r>
      <w:r w:rsidR="00FB5281" w:rsidRPr="00343A7D">
        <w:rPr>
          <w:color w:val="000000" w:themeColor="text1"/>
        </w:rPr>
        <w:t>disaggregated</w:t>
      </w:r>
      <w:r w:rsidRPr="00343A7D">
        <w:rPr>
          <w:color w:val="000000" w:themeColor="text1"/>
        </w:rPr>
        <w:t xml:space="preserve"> HR records with interviews, organisational documents and </w:t>
      </w:r>
      <w:r w:rsidRPr="00343A7D">
        <w:rPr>
          <w:color w:val="000000" w:themeColor="text1"/>
        </w:rPr>
        <w:lastRenderedPageBreak/>
        <w:t>comparative cases. Outcomes should include assignments, sponsorship, succession, promotion, pay, authority and exit, not participation alone.</w:t>
      </w:r>
    </w:p>
    <w:p w14:paraId="6D7A7369" w14:textId="6AF7EF38" w:rsidR="000625BD" w:rsidRPr="00343A7D" w:rsidRDefault="000625BD" w:rsidP="00343A7D">
      <w:pPr>
        <w:spacing w:line="360" w:lineRule="auto"/>
        <w:jc w:val="both"/>
        <w:rPr>
          <w:color w:val="000000" w:themeColor="text1"/>
        </w:rPr>
      </w:pPr>
      <w:r w:rsidRPr="00343A7D">
        <w:rPr>
          <w:color w:val="000000" w:themeColor="text1"/>
        </w:rPr>
        <w:t xml:space="preserve">In practice, organisations require executive accountability, transparent opportunity allocation, progression-linked development, flexible career pathways and contestable AI-supported decisions. </w:t>
      </w:r>
      <w:r w:rsidR="00612BDC" w:rsidRPr="00612BDC">
        <w:rPr>
          <w:color w:val="000000" w:themeColor="text1"/>
        </w:rPr>
        <w:t>Sustainable progress demands that organizations go beyond individual diversity programs and build a unified approach that integrates inclusive leadership, fair talent practices, and leadership development supported by digital tools.</w:t>
      </w:r>
      <w:r w:rsidRPr="00343A7D">
        <w:rPr>
          <w:color w:val="000000" w:themeColor="text1"/>
        </w:rPr>
        <w:t xml:space="preserve"> Only such a system can translate women’s capability into durable opportunity, authority and leadership representation.</w:t>
      </w:r>
    </w:p>
    <w:p w14:paraId="5EDD1D57" w14:textId="77777777" w:rsidR="000625BD" w:rsidRPr="00343A7D" w:rsidRDefault="000625BD" w:rsidP="00343A7D">
      <w:pPr>
        <w:spacing w:line="360" w:lineRule="auto"/>
        <w:jc w:val="both"/>
        <w:rPr>
          <w:color w:val="000000" w:themeColor="text1"/>
        </w:rPr>
      </w:pPr>
    </w:p>
    <w:p w14:paraId="29FF6EC9" w14:textId="77777777" w:rsidR="000625BD" w:rsidRPr="00343A7D" w:rsidRDefault="000625BD" w:rsidP="00343A7D">
      <w:pPr>
        <w:spacing w:line="360" w:lineRule="auto"/>
        <w:jc w:val="both"/>
        <w:rPr>
          <w:color w:val="000000" w:themeColor="text1"/>
        </w:rPr>
      </w:pPr>
    </w:p>
    <w:p w14:paraId="755299A8" w14:textId="77777777" w:rsidR="000625BD" w:rsidRPr="00343A7D" w:rsidRDefault="000625BD" w:rsidP="00343A7D">
      <w:pPr>
        <w:spacing w:line="360" w:lineRule="auto"/>
        <w:jc w:val="both"/>
        <w:rPr>
          <w:color w:val="000000" w:themeColor="text1"/>
        </w:rPr>
      </w:pPr>
    </w:p>
    <w:p w14:paraId="63B61ADA" w14:textId="77777777" w:rsidR="000625BD" w:rsidRPr="00343A7D" w:rsidRDefault="000625BD" w:rsidP="00343A7D">
      <w:pPr>
        <w:spacing w:line="360" w:lineRule="auto"/>
        <w:jc w:val="both"/>
        <w:rPr>
          <w:color w:val="000000" w:themeColor="text1"/>
        </w:rPr>
      </w:pPr>
    </w:p>
    <w:p w14:paraId="62672D8E" w14:textId="77777777" w:rsidR="000625BD" w:rsidRPr="00343A7D" w:rsidRDefault="000625BD" w:rsidP="00343A7D">
      <w:pPr>
        <w:spacing w:line="360" w:lineRule="auto"/>
        <w:jc w:val="both"/>
        <w:rPr>
          <w:color w:val="000000" w:themeColor="text1"/>
        </w:rPr>
      </w:pPr>
    </w:p>
    <w:p w14:paraId="0A84AF30" w14:textId="77777777" w:rsidR="000625BD" w:rsidRPr="00343A7D" w:rsidRDefault="000625BD" w:rsidP="00343A7D">
      <w:pPr>
        <w:spacing w:line="360" w:lineRule="auto"/>
        <w:jc w:val="both"/>
        <w:rPr>
          <w:color w:val="000000" w:themeColor="text1"/>
        </w:rPr>
      </w:pPr>
    </w:p>
    <w:p w14:paraId="2B63378C" w14:textId="77777777" w:rsidR="000625BD" w:rsidRPr="00343A7D" w:rsidRDefault="000625BD" w:rsidP="00343A7D">
      <w:pPr>
        <w:spacing w:line="360" w:lineRule="auto"/>
        <w:jc w:val="both"/>
        <w:rPr>
          <w:color w:val="000000" w:themeColor="text1"/>
        </w:rPr>
      </w:pPr>
    </w:p>
    <w:p w14:paraId="5262BA9E" w14:textId="77777777" w:rsidR="000625BD" w:rsidRPr="00343A7D" w:rsidRDefault="000625BD" w:rsidP="00343A7D">
      <w:pPr>
        <w:spacing w:line="360" w:lineRule="auto"/>
        <w:jc w:val="both"/>
        <w:rPr>
          <w:color w:val="000000" w:themeColor="text1"/>
        </w:rPr>
      </w:pPr>
    </w:p>
    <w:p w14:paraId="3C2F8B5A" w14:textId="77777777" w:rsidR="000625BD" w:rsidRPr="00343A7D" w:rsidRDefault="000625BD" w:rsidP="00343A7D">
      <w:pPr>
        <w:spacing w:line="360" w:lineRule="auto"/>
        <w:jc w:val="both"/>
        <w:rPr>
          <w:color w:val="000000" w:themeColor="text1"/>
        </w:rPr>
      </w:pPr>
    </w:p>
    <w:p w14:paraId="691120FA" w14:textId="77777777" w:rsidR="000625BD" w:rsidRPr="00343A7D" w:rsidRDefault="000625BD" w:rsidP="00343A7D">
      <w:pPr>
        <w:spacing w:line="360" w:lineRule="auto"/>
        <w:jc w:val="both"/>
        <w:rPr>
          <w:color w:val="000000" w:themeColor="text1"/>
        </w:rPr>
      </w:pPr>
    </w:p>
    <w:p w14:paraId="7D1F12D9" w14:textId="77777777" w:rsidR="000625BD" w:rsidRPr="00343A7D" w:rsidRDefault="000625BD" w:rsidP="00343A7D">
      <w:pPr>
        <w:spacing w:line="360" w:lineRule="auto"/>
        <w:jc w:val="both"/>
        <w:rPr>
          <w:color w:val="000000" w:themeColor="text1"/>
        </w:rPr>
      </w:pPr>
    </w:p>
    <w:p w14:paraId="57F35ECB" w14:textId="77777777" w:rsidR="000625BD" w:rsidRPr="00343A7D" w:rsidRDefault="000625BD" w:rsidP="00343A7D">
      <w:pPr>
        <w:spacing w:line="360" w:lineRule="auto"/>
        <w:jc w:val="both"/>
        <w:rPr>
          <w:color w:val="000000" w:themeColor="text1"/>
        </w:rPr>
      </w:pPr>
    </w:p>
    <w:p w14:paraId="41831773" w14:textId="77777777" w:rsidR="000625BD" w:rsidRPr="00343A7D" w:rsidRDefault="000625BD" w:rsidP="00343A7D">
      <w:pPr>
        <w:spacing w:line="360" w:lineRule="auto"/>
        <w:jc w:val="both"/>
        <w:rPr>
          <w:color w:val="000000" w:themeColor="text1"/>
        </w:rPr>
      </w:pPr>
    </w:p>
    <w:p w14:paraId="4E34C244" w14:textId="77777777" w:rsidR="000625BD" w:rsidRPr="00343A7D" w:rsidRDefault="000625BD" w:rsidP="00343A7D">
      <w:pPr>
        <w:spacing w:line="360" w:lineRule="auto"/>
        <w:jc w:val="both"/>
        <w:rPr>
          <w:color w:val="000000" w:themeColor="text1"/>
        </w:rPr>
      </w:pPr>
    </w:p>
    <w:p w14:paraId="78AAE2C2" w14:textId="77777777" w:rsidR="000625BD" w:rsidRPr="00343A7D" w:rsidRDefault="000625BD" w:rsidP="00343A7D">
      <w:pPr>
        <w:spacing w:line="360" w:lineRule="auto"/>
        <w:jc w:val="both"/>
        <w:rPr>
          <w:color w:val="000000" w:themeColor="text1"/>
        </w:rPr>
      </w:pPr>
    </w:p>
    <w:p w14:paraId="04FCC985" w14:textId="77777777" w:rsidR="000625BD" w:rsidRPr="00343A7D" w:rsidRDefault="000625BD" w:rsidP="00343A7D">
      <w:pPr>
        <w:spacing w:line="360" w:lineRule="auto"/>
        <w:jc w:val="both"/>
        <w:rPr>
          <w:color w:val="000000" w:themeColor="text1"/>
        </w:rPr>
      </w:pPr>
    </w:p>
    <w:p w14:paraId="607F6396" w14:textId="70CBAC2F" w:rsidR="00367A7E" w:rsidRDefault="00367A7E" w:rsidP="00343A7D">
      <w:pPr>
        <w:spacing w:line="360" w:lineRule="auto"/>
        <w:jc w:val="both"/>
        <w:rPr>
          <w:rFonts w:cs="Segoe UI"/>
          <w:b/>
          <w:bCs/>
          <w:color w:val="000000" w:themeColor="text1"/>
          <w:shd w:val="clear" w:color="auto" w:fill="FFFFFF"/>
        </w:rPr>
      </w:pPr>
      <w:r w:rsidRPr="00343A7D">
        <w:rPr>
          <w:rFonts w:cs="Segoe UI"/>
          <w:b/>
          <w:bCs/>
          <w:color w:val="000000" w:themeColor="text1"/>
          <w:shd w:val="clear" w:color="auto" w:fill="FFFFFF"/>
        </w:rPr>
        <w:lastRenderedPageBreak/>
        <w:t>References</w:t>
      </w:r>
    </w:p>
    <w:p w14:paraId="68243099" w14:textId="69DB8324" w:rsidR="003C44B5" w:rsidRPr="00FD5394" w:rsidRDefault="00FD5394" w:rsidP="00FD5394">
      <w:pPr>
        <w:ind w:left="432" w:hanging="432"/>
        <w:jc w:val="both"/>
        <w:rPr>
          <w:rFonts w:ascii="Arial" w:hAnsi="Arial" w:cs="Arial"/>
          <w:color w:val="222222"/>
          <w:sz w:val="20"/>
          <w:szCs w:val="20"/>
          <w:shd w:val="clear" w:color="auto" w:fill="FFFFFF"/>
        </w:rPr>
      </w:pPr>
      <w:r w:rsidRPr="00FD5394">
        <w:rPr>
          <w:rFonts w:ascii="Arial" w:hAnsi="Arial" w:cs="Arial"/>
          <w:color w:val="222222"/>
          <w:sz w:val="20"/>
          <w:szCs w:val="20"/>
          <w:shd w:val="clear" w:color="auto" w:fill="FFFFFF"/>
        </w:rPr>
        <w:t xml:space="preserve">Agbo, N.M., </w:t>
      </w:r>
      <w:proofErr w:type="spellStart"/>
      <w:r w:rsidRPr="00FD5394">
        <w:rPr>
          <w:rFonts w:ascii="Arial" w:hAnsi="Arial" w:cs="Arial"/>
          <w:color w:val="222222"/>
          <w:sz w:val="20"/>
          <w:szCs w:val="20"/>
          <w:shd w:val="clear" w:color="auto" w:fill="FFFFFF"/>
        </w:rPr>
        <w:t>Ezekekwu</w:t>
      </w:r>
      <w:proofErr w:type="spellEnd"/>
      <w:r w:rsidRPr="00FD5394">
        <w:rPr>
          <w:rFonts w:ascii="Arial" w:hAnsi="Arial" w:cs="Arial"/>
          <w:color w:val="222222"/>
          <w:sz w:val="20"/>
          <w:szCs w:val="20"/>
          <w:shd w:val="clear" w:color="auto" w:fill="FFFFFF"/>
        </w:rPr>
        <w:t xml:space="preserve">, C.V., </w:t>
      </w:r>
      <w:proofErr w:type="spellStart"/>
      <w:r w:rsidRPr="00FD5394">
        <w:rPr>
          <w:rFonts w:ascii="Arial" w:hAnsi="Arial" w:cs="Arial"/>
          <w:color w:val="222222"/>
          <w:sz w:val="20"/>
          <w:szCs w:val="20"/>
          <w:shd w:val="clear" w:color="auto" w:fill="FFFFFF"/>
        </w:rPr>
        <w:t>Chukwuedo</w:t>
      </w:r>
      <w:proofErr w:type="spellEnd"/>
      <w:r w:rsidRPr="00FD5394">
        <w:rPr>
          <w:rFonts w:ascii="Arial" w:hAnsi="Arial" w:cs="Arial"/>
          <w:color w:val="222222"/>
          <w:sz w:val="20"/>
          <w:szCs w:val="20"/>
          <w:shd w:val="clear" w:color="auto" w:fill="FFFFFF"/>
        </w:rPr>
        <w:t xml:space="preserve">, S.O., </w:t>
      </w:r>
      <w:proofErr w:type="spellStart"/>
      <w:r w:rsidRPr="00FD5394">
        <w:rPr>
          <w:rFonts w:ascii="Arial" w:hAnsi="Arial" w:cs="Arial"/>
          <w:color w:val="222222"/>
          <w:sz w:val="20"/>
          <w:szCs w:val="20"/>
          <w:shd w:val="clear" w:color="auto" w:fill="FFFFFF"/>
        </w:rPr>
        <w:t>Ufondu</w:t>
      </w:r>
      <w:proofErr w:type="spellEnd"/>
      <w:r w:rsidRPr="00FD5394">
        <w:rPr>
          <w:rFonts w:ascii="Arial" w:hAnsi="Arial" w:cs="Arial"/>
          <w:color w:val="222222"/>
          <w:sz w:val="20"/>
          <w:szCs w:val="20"/>
          <w:shd w:val="clear" w:color="auto" w:fill="FFFFFF"/>
        </w:rPr>
        <w:t xml:space="preserve">, C., </w:t>
      </w:r>
      <w:proofErr w:type="spellStart"/>
      <w:r w:rsidRPr="00FD5394">
        <w:rPr>
          <w:rFonts w:ascii="Arial" w:hAnsi="Arial" w:cs="Arial"/>
          <w:color w:val="222222"/>
          <w:sz w:val="20"/>
          <w:szCs w:val="20"/>
          <w:shd w:val="clear" w:color="auto" w:fill="FFFFFF"/>
        </w:rPr>
        <w:t>Onwubuya</w:t>
      </w:r>
      <w:proofErr w:type="spellEnd"/>
      <w:r w:rsidRPr="00FD5394">
        <w:rPr>
          <w:rFonts w:ascii="Arial" w:hAnsi="Arial" w:cs="Arial"/>
          <w:color w:val="222222"/>
          <w:sz w:val="20"/>
          <w:szCs w:val="20"/>
          <w:shd w:val="clear" w:color="auto" w:fill="FFFFFF"/>
        </w:rPr>
        <w:t xml:space="preserve">, U.N., Ede, C.G. and </w:t>
      </w:r>
      <w:proofErr w:type="spellStart"/>
      <w:r w:rsidRPr="00FD5394">
        <w:rPr>
          <w:rFonts w:ascii="Arial" w:hAnsi="Arial" w:cs="Arial"/>
          <w:color w:val="222222"/>
          <w:sz w:val="20"/>
          <w:szCs w:val="20"/>
          <w:shd w:val="clear" w:color="auto" w:fill="FFFFFF"/>
        </w:rPr>
        <w:t>Nwike</w:t>
      </w:r>
      <w:proofErr w:type="spellEnd"/>
      <w:r w:rsidRPr="00FD5394">
        <w:rPr>
          <w:rFonts w:ascii="Arial" w:hAnsi="Arial" w:cs="Arial"/>
          <w:color w:val="222222"/>
          <w:sz w:val="20"/>
          <w:szCs w:val="20"/>
          <w:shd w:val="clear" w:color="auto" w:fill="FFFFFF"/>
        </w:rPr>
        <w:t>, U., 2026. Perceived career success and career advancement of women: challenges in Nigerian higher education institutions. </w:t>
      </w:r>
      <w:r w:rsidRPr="00FD5394">
        <w:rPr>
          <w:rFonts w:ascii="Arial" w:hAnsi="Arial" w:cs="Arial"/>
          <w:i/>
          <w:iCs/>
          <w:color w:val="222222"/>
          <w:sz w:val="20"/>
          <w:szCs w:val="20"/>
          <w:shd w:val="clear" w:color="auto" w:fill="FFFFFF"/>
        </w:rPr>
        <w:t>Cogent Education</w:t>
      </w:r>
      <w:r w:rsidRPr="00FD5394">
        <w:rPr>
          <w:rFonts w:ascii="Arial" w:hAnsi="Arial" w:cs="Arial"/>
          <w:color w:val="222222"/>
          <w:sz w:val="20"/>
          <w:szCs w:val="20"/>
          <w:shd w:val="clear" w:color="auto" w:fill="FFFFFF"/>
        </w:rPr>
        <w:t>, </w:t>
      </w:r>
      <w:r w:rsidRPr="00FD5394">
        <w:rPr>
          <w:rFonts w:ascii="Arial" w:hAnsi="Arial" w:cs="Arial"/>
          <w:i/>
          <w:iCs/>
          <w:color w:val="222222"/>
          <w:sz w:val="20"/>
          <w:szCs w:val="20"/>
          <w:shd w:val="clear" w:color="auto" w:fill="FFFFFF"/>
        </w:rPr>
        <w:t>13</w:t>
      </w:r>
      <w:r w:rsidRPr="00FD5394">
        <w:rPr>
          <w:rFonts w:ascii="Arial" w:hAnsi="Arial" w:cs="Arial"/>
          <w:color w:val="222222"/>
          <w:sz w:val="20"/>
          <w:szCs w:val="20"/>
          <w:shd w:val="clear" w:color="auto" w:fill="FFFFFF"/>
        </w:rPr>
        <w:t>(1), p.2646807.</w:t>
      </w:r>
    </w:p>
    <w:p w14:paraId="1692ED5B" w14:textId="4874F1D4" w:rsidR="00FD5394" w:rsidRPr="003C44B5" w:rsidRDefault="003C44B5" w:rsidP="00FD5394">
      <w:pPr>
        <w:ind w:left="432" w:hanging="432"/>
        <w:jc w:val="both"/>
        <w:rPr>
          <w:rFonts w:ascii="Arial" w:hAnsi="Arial" w:cs="Arial"/>
          <w:color w:val="222222"/>
          <w:sz w:val="20"/>
          <w:szCs w:val="20"/>
          <w:shd w:val="clear" w:color="auto" w:fill="FFFFFF"/>
        </w:rPr>
      </w:pPr>
      <w:r w:rsidRPr="003C44B5">
        <w:rPr>
          <w:rFonts w:ascii="Arial" w:hAnsi="Arial" w:cs="Arial"/>
          <w:color w:val="222222"/>
          <w:sz w:val="20"/>
          <w:szCs w:val="20"/>
          <w:shd w:val="clear" w:color="auto" w:fill="FFFFFF"/>
        </w:rPr>
        <w:t>Ahmed, S.K., 2024. The pillars of trustworthiness in qualitative research. </w:t>
      </w:r>
      <w:r w:rsidRPr="003C44B5">
        <w:rPr>
          <w:rFonts w:ascii="Arial" w:hAnsi="Arial" w:cs="Arial"/>
          <w:i/>
          <w:iCs/>
          <w:color w:val="222222"/>
          <w:sz w:val="20"/>
          <w:szCs w:val="20"/>
          <w:shd w:val="clear" w:color="auto" w:fill="FFFFFF"/>
        </w:rPr>
        <w:t>Journal of medicine, surgery, and public health</w:t>
      </w:r>
      <w:r w:rsidRPr="003C44B5">
        <w:rPr>
          <w:rFonts w:ascii="Arial" w:hAnsi="Arial" w:cs="Arial"/>
          <w:color w:val="222222"/>
          <w:sz w:val="20"/>
          <w:szCs w:val="20"/>
          <w:shd w:val="clear" w:color="auto" w:fill="FFFFFF"/>
        </w:rPr>
        <w:t>, </w:t>
      </w:r>
      <w:r w:rsidRPr="003C44B5">
        <w:rPr>
          <w:rFonts w:ascii="Arial" w:hAnsi="Arial" w:cs="Arial"/>
          <w:i/>
          <w:iCs/>
          <w:color w:val="222222"/>
          <w:sz w:val="20"/>
          <w:szCs w:val="20"/>
          <w:shd w:val="clear" w:color="auto" w:fill="FFFFFF"/>
        </w:rPr>
        <w:t>2</w:t>
      </w:r>
      <w:r w:rsidRPr="003C44B5">
        <w:rPr>
          <w:rFonts w:ascii="Arial" w:hAnsi="Arial" w:cs="Arial"/>
          <w:color w:val="222222"/>
          <w:sz w:val="20"/>
          <w:szCs w:val="20"/>
          <w:shd w:val="clear" w:color="auto" w:fill="FFFFFF"/>
        </w:rPr>
        <w:t>, p.100051.</w:t>
      </w:r>
    </w:p>
    <w:p w14:paraId="1938CDD0" w14:textId="77777777" w:rsidR="003C44B5" w:rsidRPr="003C44B5" w:rsidRDefault="0046665F" w:rsidP="003C44B5">
      <w:pPr>
        <w:ind w:left="432" w:hanging="432"/>
        <w:jc w:val="both"/>
        <w:rPr>
          <w:rFonts w:ascii="Arial" w:hAnsi="Arial" w:cs="Arial"/>
          <w:color w:val="222222"/>
          <w:sz w:val="20"/>
          <w:szCs w:val="20"/>
          <w:shd w:val="clear" w:color="auto" w:fill="FFFFFF"/>
        </w:rPr>
      </w:pPr>
      <w:r w:rsidRPr="00343A7D">
        <w:rPr>
          <w:rFonts w:cs="Segoe UI"/>
          <w:color w:val="000000" w:themeColor="text1"/>
          <w:shd w:val="clear" w:color="auto" w:fill="FFFFFF"/>
        </w:rPr>
        <w:t> </w:t>
      </w:r>
      <w:r w:rsidR="003C44B5" w:rsidRPr="003C44B5">
        <w:rPr>
          <w:rFonts w:ascii="Arial" w:hAnsi="Arial" w:cs="Arial"/>
          <w:color w:val="222222"/>
          <w:sz w:val="20"/>
          <w:szCs w:val="20"/>
          <w:shd w:val="clear" w:color="auto" w:fill="FFFFFF"/>
        </w:rPr>
        <w:t>Bapna, S. and Funk, R.J., 2025. Does Employer-Paid, Job-Protected Maternity Leave Help or Hurt Female IT Workers? Evidence from Millions of Job Applications. </w:t>
      </w:r>
      <w:r w:rsidR="003C44B5" w:rsidRPr="003C44B5">
        <w:rPr>
          <w:rFonts w:ascii="Arial" w:hAnsi="Arial" w:cs="Arial"/>
          <w:i/>
          <w:iCs/>
          <w:color w:val="222222"/>
          <w:sz w:val="20"/>
          <w:szCs w:val="20"/>
          <w:shd w:val="clear" w:color="auto" w:fill="FFFFFF"/>
        </w:rPr>
        <w:t>Management Science</w:t>
      </w:r>
      <w:r w:rsidR="003C44B5" w:rsidRPr="003C44B5">
        <w:rPr>
          <w:rFonts w:ascii="Arial" w:hAnsi="Arial" w:cs="Arial"/>
          <w:color w:val="222222"/>
          <w:sz w:val="20"/>
          <w:szCs w:val="20"/>
          <w:shd w:val="clear" w:color="auto" w:fill="FFFFFF"/>
        </w:rPr>
        <w:t>, </w:t>
      </w:r>
      <w:r w:rsidR="003C44B5" w:rsidRPr="003C44B5">
        <w:rPr>
          <w:rFonts w:ascii="Arial" w:hAnsi="Arial" w:cs="Arial"/>
          <w:i/>
          <w:iCs/>
          <w:color w:val="222222"/>
          <w:sz w:val="20"/>
          <w:szCs w:val="20"/>
          <w:shd w:val="clear" w:color="auto" w:fill="FFFFFF"/>
        </w:rPr>
        <w:t>71</w:t>
      </w:r>
      <w:r w:rsidR="003C44B5" w:rsidRPr="003C44B5">
        <w:rPr>
          <w:rFonts w:ascii="Arial" w:hAnsi="Arial" w:cs="Arial"/>
          <w:color w:val="222222"/>
          <w:sz w:val="20"/>
          <w:szCs w:val="20"/>
          <w:shd w:val="clear" w:color="auto" w:fill="FFFFFF"/>
        </w:rPr>
        <w:t>(11), pp.9749-9765.</w:t>
      </w:r>
    </w:p>
    <w:p w14:paraId="0B20B634" w14:textId="17CE17E0" w:rsidR="003C44B5" w:rsidRPr="00FD5394" w:rsidRDefault="003C44B5" w:rsidP="00FD5394">
      <w:pPr>
        <w:ind w:left="432" w:hanging="432"/>
        <w:jc w:val="both"/>
        <w:rPr>
          <w:rFonts w:ascii="Arial" w:hAnsi="Arial" w:cs="Arial"/>
          <w:color w:val="222222"/>
          <w:sz w:val="20"/>
          <w:szCs w:val="20"/>
          <w:shd w:val="clear" w:color="auto" w:fill="FFFFFF"/>
        </w:rPr>
      </w:pPr>
      <w:r w:rsidRPr="003C44B5">
        <w:rPr>
          <w:rFonts w:ascii="Arial" w:hAnsi="Arial" w:cs="Arial"/>
          <w:color w:val="222222"/>
          <w:sz w:val="20"/>
          <w:szCs w:val="20"/>
          <w:shd w:val="clear" w:color="auto" w:fill="FFFFFF"/>
        </w:rPr>
        <w:t>Bloom, N., Han, R. and Liang, J., 2024. Hybrid working from home improves retention without damaging performance. </w:t>
      </w:r>
      <w:r w:rsidRPr="003C44B5">
        <w:rPr>
          <w:rFonts w:ascii="Arial" w:hAnsi="Arial" w:cs="Arial"/>
          <w:i/>
          <w:iCs/>
          <w:color w:val="222222"/>
          <w:sz w:val="20"/>
          <w:szCs w:val="20"/>
          <w:shd w:val="clear" w:color="auto" w:fill="FFFFFF"/>
        </w:rPr>
        <w:t>Nature</w:t>
      </w:r>
      <w:r w:rsidRPr="003C44B5">
        <w:rPr>
          <w:rFonts w:ascii="Arial" w:hAnsi="Arial" w:cs="Arial"/>
          <w:color w:val="222222"/>
          <w:sz w:val="20"/>
          <w:szCs w:val="20"/>
          <w:shd w:val="clear" w:color="auto" w:fill="FFFFFF"/>
        </w:rPr>
        <w:t>, </w:t>
      </w:r>
      <w:r w:rsidRPr="003C44B5">
        <w:rPr>
          <w:rFonts w:ascii="Arial" w:hAnsi="Arial" w:cs="Arial"/>
          <w:i/>
          <w:iCs/>
          <w:color w:val="222222"/>
          <w:sz w:val="20"/>
          <w:szCs w:val="20"/>
          <w:shd w:val="clear" w:color="auto" w:fill="FFFFFF"/>
        </w:rPr>
        <w:t>630</w:t>
      </w:r>
      <w:r w:rsidRPr="003C44B5">
        <w:rPr>
          <w:rFonts w:ascii="Arial" w:hAnsi="Arial" w:cs="Arial"/>
          <w:color w:val="222222"/>
          <w:sz w:val="20"/>
          <w:szCs w:val="20"/>
          <w:shd w:val="clear" w:color="auto" w:fill="FFFFFF"/>
        </w:rPr>
        <w:t>(8018), pp.920-925.</w:t>
      </w:r>
    </w:p>
    <w:p w14:paraId="75AB7DFF" w14:textId="77777777" w:rsidR="003C44B5" w:rsidRDefault="003C44B5" w:rsidP="003C44B5">
      <w:pPr>
        <w:ind w:left="432" w:hanging="432"/>
        <w:jc w:val="both"/>
        <w:rPr>
          <w:rFonts w:ascii="Arial" w:hAnsi="Arial" w:cs="Arial"/>
          <w:color w:val="222222"/>
          <w:sz w:val="20"/>
          <w:szCs w:val="20"/>
          <w:shd w:val="clear" w:color="auto" w:fill="FFFFFF"/>
        </w:rPr>
      </w:pPr>
      <w:r w:rsidRPr="003C44B5">
        <w:rPr>
          <w:rFonts w:ascii="Arial" w:hAnsi="Arial" w:cs="Arial"/>
          <w:color w:val="222222"/>
          <w:sz w:val="20"/>
          <w:szCs w:val="20"/>
          <w:shd w:val="clear" w:color="auto" w:fill="FFFFFF"/>
        </w:rPr>
        <w:t xml:space="preserve">Bartsch, S., Weber, E., </w:t>
      </w:r>
      <w:proofErr w:type="spellStart"/>
      <w:r w:rsidRPr="003C44B5">
        <w:rPr>
          <w:rFonts w:ascii="Arial" w:hAnsi="Arial" w:cs="Arial"/>
          <w:color w:val="222222"/>
          <w:sz w:val="20"/>
          <w:szCs w:val="20"/>
          <w:shd w:val="clear" w:color="auto" w:fill="FFFFFF"/>
        </w:rPr>
        <w:t>Büttgen</w:t>
      </w:r>
      <w:proofErr w:type="spellEnd"/>
      <w:r w:rsidRPr="003C44B5">
        <w:rPr>
          <w:rFonts w:ascii="Arial" w:hAnsi="Arial" w:cs="Arial"/>
          <w:color w:val="222222"/>
          <w:sz w:val="20"/>
          <w:szCs w:val="20"/>
          <w:shd w:val="clear" w:color="auto" w:fill="FFFFFF"/>
        </w:rPr>
        <w:t>, M. and Huber, A., 2021. Leadership matters in crisis-induced digital transformation: how to lead service employees effectively during the COVID-19 pandemic. </w:t>
      </w:r>
      <w:r w:rsidRPr="003C44B5">
        <w:rPr>
          <w:rFonts w:ascii="Arial" w:hAnsi="Arial" w:cs="Arial"/>
          <w:i/>
          <w:iCs/>
          <w:color w:val="222222"/>
          <w:sz w:val="20"/>
          <w:szCs w:val="20"/>
          <w:shd w:val="clear" w:color="auto" w:fill="FFFFFF"/>
        </w:rPr>
        <w:t>Journal of service management</w:t>
      </w:r>
      <w:r w:rsidRPr="003C44B5">
        <w:rPr>
          <w:rFonts w:ascii="Arial" w:hAnsi="Arial" w:cs="Arial"/>
          <w:color w:val="222222"/>
          <w:sz w:val="20"/>
          <w:szCs w:val="20"/>
          <w:shd w:val="clear" w:color="auto" w:fill="FFFFFF"/>
        </w:rPr>
        <w:t>, </w:t>
      </w:r>
      <w:r w:rsidRPr="003C44B5">
        <w:rPr>
          <w:rFonts w:ascii="Arial" w:hAnsi="Arial" w:cs="Arial"/>
          <w:i/>
          <w:iCs/>
          <w:color w:val="222222"/>
          <w:sz w:val="20"/>
          <w:szCs w:val="20"/>
          <w:shd w:val="clear" w:color="auto" w:fill="FFFFFF"/>
        </w:rPr>
        <w:t>32</w:t>
      </w:r>
      <w:r w:rsidRPr="003C44B5">
        <w:rPr>
          <w:rFonts w:ascii="Arial" w:hAnsi="Arial" w:cs="Arial"/>
          <w:color w:val="222222"/>
          <w:sz w:val="20"/>
          <w:szCs w:val="20"/>
          <w:shd w:val="clear" w:color="auto" w:fill="FFFFFF"/>
        </w:rPr>
        <w:t>(1), pp.71-85.</w:t>
      </w:r>
    </w:p>
    <w:p w14:paraId="72BAAA58" w14:textId="77777777" w:rsidR="003C44B5" w:rsidRDefault="003C44B5" w:rsidP="003C44B5">
      <w:pPr>
        <w:ind w:left="432" w:hanging="432"/>
        <w:jc w:val="both"/>
        <w:rPr>
          <w:rFonts w:ascii="Arial" w:hAnsi="Arial" w:cs="Arial"/>
          <w:color w:val="222222"/>
          <w:sz w:val="20"/>
          <w:szCs w:val="20"/>
          <w:shd w:val="clear" w:color="auto" w:fill="FFFFFF"/>
        </w:rPr>
      </w:pPr>
      <w:r w:rsidRPr="003C44B5">
        <w:rPr>
          <w:rFonts w:ascii="Arial" w:hAnsi="Arial" w:cs="Arial"/>
          <w:color w:val="222222"/>
          <w:sz w:val="20"/>
          <w:szCs w:val="20"/>
          <w:shd w:val="clear" w:color="auto" w:fill="FFFFFF"/>
        </w:rPr>
        <w:t>Barak, M.E.M., 2022. </w:t>
      </w:r>
      <w:r w:rsidRPr="003C44B5">
        <w:rPr>
          <w:rFonts w:ascii="Arial" w:hAnsi="Arial" w:cs="Arial"/>
          <w:i/>
          <w:iCs/>
          <w:color w:val="222222"/>
          <w:sz w:val="20"/>
          <w:szCs w:val="20"/>
          <w:shd w:val="clear" w:color="auto" w:fill="FFFFFF"/>
        </w:rPr>
        <w:t>Managing diversity: Toward a globally inclusive workplace</w:t>
      </w:r>
      <w:r w:rsidRPr="003C44B5">
        <w:rPr>
          <w:rFonts w:ascii="Arial" w:hAnsi="Arial" w:cs="Arial"/>
          <w:color w:val="222222"/>
          <w:sz w:val="20"/>
          <w:szCs w:val="20"/>
          <w:shd w:val="clear" w:color="auto" w:fill="FFFFFF"/>
        </w:rPr>
        <w:t xml:space="preserve"> (p. 416). SAGE Publications, Incorporated </w:t>
      </w:r>
    </w:p>
    <w:p w14:paraId="6AA78F3E" w14:textId="7AA782DF" w:rsidR="00192B85" w:rsidRPr="003C44B5" w:rsidRDefault="00192B85" w:rsidP="00192B85">
      <w:pPr>
        <w:ind w:left="432" w:hanging="432"/>
        <w:jc w:val="both"/>
        <w:rPr>
          <w:rFonts w:ascii="Arial" w:hAnsi="Arial" w:cs="Arial"/>
          <w:color w:val="222222"/>
          <w:sz w:val="20"/>
          <w:szCs w:val="20"/>
          <w:shd w:val="clear" w:color="auto" w:fill="FFFFFF"/>
        </w:rPr>
      </w:pPr>
      <w:r w:rsidRPr="003C44B5">
        <w:rPr>
          <w:rFonts w:ascii="Arial" w:hAnsi="Arial" w:cs="Arial"/>
          <w:color w:val="222222"/>
          <w:sz w:val="20"/>
          <w:szCs w:val="20"/>
          <w:shd w:val="clear" w:color="auto" w:fill="FFFFFF"/>
        </w:rPr>
        <w:t>Barhate, B., Hirudayaraj, M., Dirani, K., Barhate, R. and Abadi, M., 2021. Career disruptions of married women in India: An exploratory investigation. </w:t>
      </w:r>
      <w:r w:rsidRPr="003C44B5">
        <w:rPr>
          <w:rFonts w:ascii="Arial" w:hAnsi="Arial" w:cs="Arial"/>
          <w:i/>
          <w:iCs/>
          <w:color w:val="222222"/>
          <w:sz w:val="20"/>
          <w:szCs w:val="20"/>
          <w:shd w:val="clear" w:color="auto" w:fill="FFFFFF"/>
        </w:rPr>
        <w:t>Human Resource Development International</w:t>
      </w:r>
      <w:r w:rsidRPr="003C44B5">
        <w:rPr>
          <w:rFonts w:ascii="Arial" w:hAnsi="Arial" w:cs="Arial"/>
          <w:color w:val="222222"/>
          <w:sz w:val="20"/>
          <w:szCs w:val="20"/>
          <w:shd w:val="clear" w:color="auto" w:fill="FFFFFF"/>
        </w:rPr>
        <w:t>, </w:t>
      </w:r>
      <w:r w:rsidRPr="003C44B5">
        <w:rPr>
          <w:rFonts w:ascii="Arial" w:hAnsi="Arial" w:cs="Arial"/>
          <w:i/>
          <w:iCs/>
          <w:color w:val="222222"/>
          <w:sz w:val="20"/>
          <w:szCs w:val="20"/>
          <w:shd w:val="clear" w:color="auto" w:fill="FFFFFF"/>
        </w:rPr>
        <w:t>24</w:t>
      </w:r>
      <w:r w:rsidRPr="003C44B5">
        <w:rPr>
          <w:rFonts w:ascii="Arial" w:hAnsi="Arial" w:cs="Arial"/>
          <w:color w:val="222222"/>
          <w:sz w:val="20"/>
          <w:szCs w:val="20"/>
          <w:shd w:val="clear" w:color="auto" w:fill="FFFFFF"/>
        </w:rPr>
        <w:t>(4), pp.401-424.</w:t>
      </w:r>
    </w:p>
    <w:p w14:paraId="71B63573" w14:textId="77777777" w:rsidR="003C44B5" w:rsidRPr="003C44B5" w:rsidRDefault="003C44B5" w:rsidP="003C44B5">
      <w:pPr>
        <w:ind w:left="432" w:hanging="432"/>
        <w:jc w:val="both"/>
        <w:rPr>
          <w:rFonts w:ascii="Arial" w:hAnsi="Arial" w:cs="Arial"/>
          <w:color w:val="222222"/>
          <w:sz w:val="20"/>
          <w:szCs w:val="20"/>
          <w:shd w:val="clear" w:color="auto" w:fill="FFFFFF"/>
        </w:rPr>
      </w:pPr>
      <w:r w:rsidRPr="003C44B5">
        <w:rPr>
          <w:rFonts w:ascii="Arial" w:hAnsi="Arial" w:cs="Arial"/>
          <w:color w:val="222222"/>
          <w:sz w:val="20"/>
          <w:szCs w:val="20"/>
          <w:shd w:val="clear" w:color="auto" w:fill="FFFFFF"/>
        </w:rPr>
        <w:t>BCS (2023) </w:t>
      </w:r>
      <w:r w:rsidRPr="003C44B5">
        <w:rPr>
          <w:rFonts w:ascii="Arial" w:hAnsi="Arial" w:cs="Arial"/>
          <w:i/>
          <w:iCs/>
          <w:color w:val="222222"/>
          <w:sz w:val="20"/>
          <w:szCs w:val="20"/>
          <w:shd w:val="clear" w:color="auto" w:fill="FFFFFF"/>
        </w:rPr>
        <w:t>Diversity report: Diversity in IT 2023</w:t>
      </w:r>
      <w:r w:rsidRPr="003C44B5">
        <w:rPr>
          <w:rFonts w:ascii="Arial" w:hAnsi="Arial" w:cs="Arial"/>
          <w:color w:val="222222"/>
          <w:sz w:val="20"/>
          <w:szCs w:val="20"/>
          <w:shd w:val="clear" w:color="auto" w:fill="FFFFFF"/>
        </w:rPr>
        <w:t xml:space="preserve">. Swindon: BCS, The Chartered Institute for IT. </w:t>
      </w:r>
      <w:hyperlink r:id="rId12" w:history="1">
        <w:r w:rsidRPr="003C44B5">
          <w:rPr>
            <w:rStyle w:val="Hyperlink"/>
            <w:rFonts w:ascii="Arial" w:hAnsi="Arial" w:cs="Arial"/>
            <w:sz w:val="20"/>
            <w:szCs w:val="20"/>
            <w:shd w:val="clear" w:color="auto" w:fill="FFFFFF"/>
          </w:rPr>
          <w:t>https://www.bcs.org/policy-and-influence/equity-diversity-and-inclusion/bcs-diversity-report-2023-ethnicity/</w:t>
        </w:r>
      </w:hyperlink>
      <w:r w:rsidRPr="003C44B5">
        <w:rPr>
          <w:rFonts w:ascii="Arial" w:hAnsi="Arial" w:cs="Arial"/>
          <w:color w:val="222222"/>
          <w:sz w:val="20"/>
          <w:szCs w:val="20"/>
          <w:shd w:val="clear" w:color="auto" w:fill="FFFFFF"/>
        </w:rPr>
        <w:t xml:space="preserve"> </w:t>
      </w:r>
    </w:p>
    <w:p w14:paraId="76215EA1" w14:textId="77777777" w:rsidR="003C44B5" w:rsidRDefault="003C44B5" w:rsidP="003C44B5">
      <w:pPr>
        <w:ind w:left="432" w:hanging="432"/>
        <w:jc w:val="both"/>
        <w:rPr>
          <w:rFonts w:ascii="Arial" w:hAnsi="Arial" w:cs="Arial"/>
          <w:color w:val="222222"/>
          <w:sz w:val="20"/>
          <w:szCs w:val="20"/>
          <w:shd w:val="clear" w:color="auto" w:fill="FFFFFF"/>
        </w:rPr>
      </w:pPr>
      <w:r w:rsidRPr="003C44B5">
        <w:rPr>
          <w:rFonts w:ascii="Arial" w:hAnsi="Arial" w:cs="Arial"/>
          <w:i/>
          <w:iCs/>
          <w:color w:val="222222"/>
          <w:sz w:val="20"/>
          <w:szCs w:val="20"/>
          <w:shd w:val="clear" w:color="auto" w:fill="FFFFFF"/>
        </w:rPr>
        <w:t>BCS Diversity Report 2024: Addressing the under-representation of women in technology</w:t>
      </w:r>
      <w:r w:rsidRPr="003C44B5">
        <w:rPr>
          <w:rFonts w:ascii="Arial" w:hAnsi="Arial" w:cs="Arial"/>
          <w:color w:val="222222"/>
          <w:sz w:val="20"/>
          <w:szCs w:val="20"/>
          <w:shd w:val="clear" w:color="auto" w:fill="FFFFFF"/>
        </w:rPr>
        <w:t xml:space="preserve"> (2024) </w:t>
      </w:r>
      <w:r w:rsidRPr="003C44B5">
        <w:rPr>
          <w:rFonts w:ascii="Arial" w:hAnsi="Arial" w:cs="Arial"/>
          <w:i/>
          <w:iCs/>
          <w:color w:val="222222"/>
          <w:sz w:val="20"/>
          <w:szCs w:val="20"/>
          <w:shd w:val="clear" w:color="auto" w:fill="FFFFFF"/>
        </w:rPr>
        <w:t>BCS</w:t>
      </w:r>
      <w:r w:rsidRPr="003C44B5">
        <w:rPr>
          <w:rFonts w:ascii="Arial" w:hAnsi="Arial" w:cs="Arial"/>
          <w:color w:val="222222"/>
          <w:sz w:val="20"/>
          <w:szCs w:val="20"/>
          <w:shd w:val="clear" w:color="auto" w:fill="FFFFFF"/>
        </w:rPr>
        <w:t xml:space="preserve">. </w:t>
      </w:r>
      <w:hyperlink r:id="rId13" w:history="1">
        <w:r w:rsidRPr="003C44B5">
          <w:rPr>
            <w:rStyle w:val="Hyperlink"/>
            <w:rFonts w:ascii="Arial" w:hAnsi="Arial" w:cs="Arial"/>
            <w:sz w:val="20"/>
            <w:szCs w:val="20"/>
            <w:shd w:val="clear" w:color="auto" w:fill="FFFFFF"/>
          </w:rPr>
          <w:t>https://www.bcs.org/policy-and-influence/equity-diversity-and-inclusion/bcs-diversity-report-2024-addressing-the-under-representation-of-women-in-technology/</w:t>
        </w:r>
      </w:hyperlink>
      <w:r w:rsidRPr="003C44B5">
        <w:rPr>
          <w:rFonts w:ascii="Arial" w:hAnsi="Arial" w:cs="Arial"/>
          <w:color w:val="222222"/>
          <w:sz w:val="20"/>
          <w:szCs w:val="20"/>
          <w:shd w:val="clear" w:color="auto" w:fill="FFFFFF"/>
        </w:rPr>
        <w:t xml:space="preserve"> </w:t>
      </w:r>
    </w:p>
    <w:p w14:paraId="3E1D854E" w14:textId="77777777" w:rsidR="003C44B5" w:rsidRPr="003C44B5" w:rsidRDefault="003C44B5" w:rsidP="003C44B5">
      <w:pPr>
        <w:ind w:left="432" w:hanging="432"/>
        <w:jc w:val="both"/>
        <w:rPr>
          <w:rFonts w:ascii="Arial" w:hAnsi="Arial" w:cs="Arial"/>
          <w:color w:val="222222"/>
          <w:sz w:val="20"/>
          <w:szCs w:val="20"/>
          <w:shd w:val="clear" w:color="auto" w:fill="FFFFFF"/>
        </w:rPr>
      </w:pPr>
      <w:proofErr w:type="spellStart"/>
      <w:r w:rsidRPr="003C44B5">
        <w:rPr>
          <w:rFonts w:ascii="Arial" w:hAnsi="Arial" w:cs="Arial"/>
          <w:color w:val="222222"/>
          <w:sz w:val="20"/>
          <w:szCs w:val="20"/>
          <w:shd w:val="clear" w:color="auto" w:fill="FFFFFF"/>
        </w:rPr>
        <w:t>Bonesso</w:t>
      </w:r>
      <w:proofErr w:type="spellEnd"/>
      <w:r w:rsidRPr="003C44B5">
        <w:rPr>
          <w:rFonts w:ascii="Arial" w:hAnsi="Arial" w:cs="Arial"/>
          <w:color w:val="222222"/>
          <w:sz w:val="20"/>
          <w:szCs w:val="20"/>
          <w:shd w:val="clear" w:color="auto" w:fill="FFFFFF"/>
        </w:rPr>
        <w:t xml:space="preserve">, S. and </w:t>
      </w:r>
      <w:proofErr w:type="spellStart"/>
      <w:r w:rsidRPr="003C44B5">
        <w:rPr>
          <w:rFonts w:ascii="Arial" w:hAnsi="Arial" w:cs="Arial"/>
          <w:color w:val="222222"/>
          <w:sz w:val="20"/>
          <w:szCs w:val="20"/>
          <w:shd w:val="clear" w:color="auto" w:fill="FFFFFF"/>
        </w:rPr>
        <w:t>Cortellazzo</w:t>
      </w:r>
      <w:proofErr w:type="spellEnd"/>
      <w:r w:rsidRPr="003C44B5">
        <w:rPr>
          <w:rFonts w:ascii="Arial" w:hAnsi="Arial" w:cs="Arial"/>
          <w:color w:val="222222"/>
          <w:sz w:val="20"/>
          <w:szCs w:val="20"/>
          <w:shd w:val="clear" w:color="auto" w:fill="FFFFFF"/>
        </w:rPr>
        <w:t>, L., 2024. A journey into women's managerial career development through the social cognitive career lens. </w:t>
      </w:r>
      <w:r w:rsidRPr="003C44B5">
        <w:rPr>
          <w:rFonts w:ascii="Arial" w:hAnsi="Arial" w:cs="Arial"/>
          <w:i/>
          <w:iCs/>
          <w:color w:val="222222"/>
          <w:sz w:val="20"/>
          <w:szCs w:val="20"/>
          <w:shd w:val="clear" w:color="auto" w:fill="FFFFFF"/>
        </w:rPr>
        <w:t>European Management Journal</w:t>
      </w:r>
      <w:r w:rsidRPr="003C44B5">
        <w:rPr>
          <w:rFonts w:ascii="Arial" w:hAnsi="Arial" w:cs="Arial"/>
          <w:color w:val="222222"/>
          <w:sz w:val="20"/>
          <w:szCs w:val="20"/>
          <w:shd w:val="clear" w:color="auto" w:fill="FFFFFF"/>
        </w:rPr>
        <w:t>.</w:t>
      </w:r>
    </w:p>
    <w:p w14:paraId="5D3B57AB" w14:textId="77777777" w:rsidR="003C44B5" w:rsidRPr="003C44B5" w:rsidRDefault="003C44B5" w:rsidP="003C44B5">
      <w:pPr>
        <w:ind w:left="432" w:hanging="432"/>
        <w:jc w:val="both"/>
        <w:rPr>
          <w:rFonts w:ascii="Arial" w:hAnsi="Arial" w:cs="Arial"/>
          <w:color w:val="222222"/>
          <w:sz w:val="20"/>
          <w:szCs w:val="20"/>
          <w:shd w:val="clear" w:color="auto" w:fill="FFFFFF"/>
        </w:rPr>
      </w:pPr>
      <w:r w:rsidRPr="003C44B5">
        <w:rPr>
          <w:rFonts w:ascii="Arial" w:hAnsi="Arial" w:cs="Arial"/>
          <w:color w:val="222222"/>
          <w:sz w:val="20"/>
          <w:szCs w:val="20"/>
          <w:shd w:val="clear" w:color="auto" w:fill="FFFFFF"/>
        </w:rPr>
        <w:t xml:space="preserve">Brand, A. (2024) </w:t>
      </w:r>
      <w:r w:rsidRPr="003C44B5">
        <w:rPr>
          <w:rFonts w:ascii="Arial" w:hAnsi="Arial" w:cs="Arial"/>
          <w:i/>
          <w:iCs/>
          <w:color w:val="222222"/>
          <w:sz w:val="20"/>
          <w:szCs w:val="20"/>
          <w:shd w:val="clear" w:color="auto" w:fill="FFFFFF"/>
        </w:rPr>
        <w:t>Only 20% of senior tech leaders are women</w:t>
      </w:r>
      <w:r w:rsidRPr="003C44B5">
        <w:rPr>
          <w:rFonts w:ascii="Arial" w:hAnsi="Arial" w:cs="Arial"/>
          <w:color w:val="222222"/>
          <w:sz w:val="20"/>
          <w:szCs w:val="20"/>
          <w:shd w:val="clear" w:color="auto" w:fill="FFFFFF"/>
        </w:rPr>
        <w:t xml:space="preserve">, </w:t>
      </w:r>
      <w:proofErr w:type="spellStart"/>
      <w:r w:rsidRPr="003C44B5">
        <w:rPr>
          <w:rFonts w:ascii="Arial" w:hAnsi="Arial" w:cs="Arial"/>
          <w:i/>
          <w:iCs/>
          <w:color w:val="222222"/>
          <w:sz w:val="20"/>
          <w:szCs w:val="20"/>
          <w:shd w:val="clear" w:color="auto" w:fill="FFFFFF"/>
        </w:rPr>
        <w:t>HRreview</w:t>
      </w:r>
      <w:proofErr w:type="spellEnd"/>
      <w:r w:rsidRPr="003C44B5">
        <w:rPr>
          <w:rFonts w:ascii="Arial" w:hAnsi="Arial" w:cs="Arial"/>
          <w:color w:val="222222"/>
          <w:sz w:val="20"/>
          <w:szCs w:val="20"/>
          <w:shd w:val="clear" w:color="auto" w:fill="FFFFFF"/>
        </w:rPr>
        <w:t xml:space="preserve">. </w:t>
      </w:r>
    </w:p>
    <w:p w14:paraId="489F17CF" w14:textId="77777777" w:rsidR="003C44B5" w:rsidRPr="003C44B5" w:rsidRDefault="003C44B5" w:rsidP="003C44B5">
      <w:pPr>
        <w:ind w:left="432" w:hanging="432"/>
        <w:jc w:val="both"/>
        <w:rPr>
          <w:rFonts w:ascii="Arial" w:hAnsi="Arial" w:cs="Arial"/>
          <w:color w:val="222222"/>
          <w:sz w:val="20"/>
          <w:szCs w:val="20"/>
          <w:shd w:val="clear" w:color="auto" w:fill="FFFFFF"/>
        </w:rPr>
      </w:pPr>
      <w:hyperlink r:id="rId14" w:history="1">
        <w:r w:rsidRPr="003C44B5">
          <w:rPr>
            <w:rStyle w:val="Hyperlink"/>
            <w:rFonts w:ascii="Arial" w:hAnsi="Arial" w:cs="Arial"/>
            <w:sz w:val="20"/>
            <w:szCs w:val="20"/>
            <w:shd w:val="clear" w:color="auto" w:fill="FFFFFF"/>
          </w:rPr>
          <w:t>https://hrreview.co.uk/hr-news/diversity-news/only-20-of-senior-tech-leaders-are- women/376171</w:t>
        </w:r>
      </w:hyperlink>
    </w:p>
    <w:p w14:paraId="7F75566A" w14:textId="77777777" w:rsidR="003C44B5" w:rsidRPr="003C44B5" w:rsidRDefault="003C44B5" w:rsidP="003C44B5">
      <w:pPr>
        <w:ind w:left="432" w:hanging="432"/>
        <w:jc w:val="both"/>
        <w:rPr>
          <w:rFonts w:ascii="Arial" w:hAnsi="Arial" w:cs="Arial"/>
          <w:color w:val="222222"/>
          <w:sz w:val="20"/>
          <w:szCs w:val="20"/>
          <w:shd w:val="clear" w:color="auto" w:fill="FFFFFF"/>
        </w:rPr>
      </w:pPr>
      <w:r w:rsidRPr="003C44B5">
        <w:rPr>
          <w:rFonts w:ascii="Arial" w:hAnsi="Arial" w:cs="Arial"/>
          <w:color w:val="222222"/>
          <w:sz w:val="20"/>
          <w:szCs w:val="20"/>
          <w:shd w:val="clear" w:color="auto" w:fill="FFFFFF"/>
        </w:rPr>
        <w:t xml:space="preserve">Braun, V. and Clarke, V., 2021. One size </w:t>
      </w:r>
      <w:proofErr w:type="gramStart"/>
      <w:r w:rsidRPr="003C44B5">
        <w:rPr>
          <w:rFonts w:ascii="Arial" w:hAnsi="Arial" w:cs="Arial"/>
          <w:color w:val="222222"/>
          <w:sz w:val="20"/>
          <w:szCs w:val="20"/>
          <w:shd w:val="clear" w:color="auto" w:fill="FFFFFF"/>
        </w:rPr>
        <w:t>fits</w:t>
      </w:r>
      <w:proofErr w:type="gramEnd"/>
      <w:r w:rsidRPr="003C44B5">
        <w:rPr>
          <w:rFonts w:ascii="Arial" w:hAnsi="Arial" w:cs="Arial"/>
          <w:color w:val="222222"/>
          <w:sz w:val="20"/>
          <w:szCs w:val="20"/>
          <w:shd w:val="clear" w:color="auto" w:fill="FFFFFF"/>
        </w:rPr>
        <w:t xml:space="preserve"> all? What counts as quality practice in (reflexive) thematic </w:t>
      </w:r>
      <w:proofErr w:type="gramStart"/>
      <w:r w:rsidRPr="003C44B5">
        <w:rPr>
          <w:rFonts w:ascii="Arial" w:hAnsi="Arial" w:cs="Arial"/>
          <w:color w:val="222222"/>
          <w:sz w:val="20"/>
          <w:szCs w:val="20"/>
          <w:shd w:val="clear" w:color="auto" w:fill="FFFFFF"/>
        </w:rPr>
        <w:t>analysis?.</w:t>
      </w:r>
      <w:proofErr w:type="gramEnd"/>
      <w:r w:rsidRPr="003C44B5">
        <w:rPr>
          <w:rFonts w:ascii="Arial" w:hAnsi="Arial" w:cs="Arial"/>
          <w:color w:val="222222"/>
          <w:sz w:val="20"/>
          <w:szCs w:val="20"/>
          <w:shd w:val="clear" w:color="auto" w:fill="FFFFFF"/>
        </w:rPr>
        <w:t> </w:t>
      </w:r>
      <w:r w:rsidRPr="003C44B5">
        <w:rPr>
          <w:rFonts w:ascii="Arial" w:hAnsi="Arial" w:cs="Arial"/>
          <w:i/>
          <w:iCs/>
          <w:color w:val="222222"/>
          <w:sz w:val="20"/>
          <w:szCs w:val="20"/>
          <w:shd w:val="clear" w:color="auto" w:fill="FFFFFF"/>
        </w:rPr>
        <w:t>Qualitative research in psychology</w:t>
      </w:r>
      <w:r w:rsidRPr="003C44B5">
        <w:rPr>
          <w:rFonts w:ascii="Arial" w:hAnsi="Arial" w:cs="Arial"/>
          <w:color w:val="222222"/>
          <w:sz w:val="20"/>
          <w:szCs w:val="20"/>
          <w:shd w:val="clear" w:color="auto" w:fill="FFFFFF"/>
        </w:rPr>
        <w:t>, </w:t>
      </w:r>
      <w:r w:rsidRPr="003C44B5">
        <w:rPr>
          <w:rFonts w:ascii="Arial" w:hAnsi="Arial" w:cs="Arial"/>
          <w:i/>
          <w:iCs/>
          <w:color w:val="222222"/>
          <w:sz w:val="20"/>
          <w:szCs w:val="20"/>
          <w:shd w:val="clear" w:color="auto" w:fill="FFFFFF"/>
        </w:rPr>
        <w:t>18</w:t>
      </w:r>
      <w:r w:rsidRPr="003C44B5">
        <w:rPr>
          <w:rFonts w:ascii="Arial" w:hAnsi="Arial" w:cs="Arial"/>
          <w:color w:val="222222"/>
          <w:sz w:val="20"/>
          <w:szCs w:val="20"/>
          <w:shd w:val="clear" w:color="auto" w:fill="FFFFFF"/>
        </w:rPr>
        <w:t>(3), pp.328-352.</w:t>
      </w:r>
    </w:p>
    <w:p w14:paraId="68931751" w14:textId="77777777" w:rsidR="003C44B5" w:rsidRPr="003C44B5" w:rsidRDefault="003C44B5" w:rsidP="003C44B5">
      <w:pPr>
        <w:ind w:left="432" w:hanging="432"/>
        <w:jc w:val="both"/>
        <w:rPr>
          <w:rFonts w:ascii="Arial" w:hAnsi="Arial" w:cs="Arial"/>
          <w:color w:val="222222"/>
          <w:sz w:val="20"/>
          <w:szCs w:val="20"/>
          <w:shd w:val="clear" w:color="auto" w:fill="FFFFFF"/>
        </w:rPr>
      </w:pPr>
      <w:r w:rsidRPr="003C44B5">
        <w:rPr>
          <w:rFonts w:ascii="Arial" w:hAnsi="Arial" w:cs="Arial"/>
          <w:color w:val="222222"/>
          <w:sz w:val="20"/>
          <w:szCs w:val="20"/>
          <w:shd w:val="clear" w:color="auto" w:fill="FFFFFF"/>
        </w:rPr>
        <w:t xml:space="preserve">Bujold, A., Roberge-Maltais, I., Parent-Rocheleau, X., Boasen, J., </w:t>
      </w:r>
      <w:proofErr w:type="spellStart"/>
      <w:r w:rsidRPr="003C44B5">
        <w:rPr>
          <w:rFonts w:ascii="Arial" w:hAnsi="Arial" w:cs="Arial"/>
          <w:color w:val="222222"/>
          <w:sz w:val="20"/>
          <w:szCs w:val="20"/>
          <w:shd w:val="clear" w:color="auto" w:fill="FFFFFF"/>
        </w:rPr>
        <w:t>Sénécal</w:t>
      </w:r>
      <w:proofErr w:type="spellEnd"/>
      <w:r w:rsidRPr="003C44B5">
        <w:rPr>
          <w:rFonts w:ascii="Arial" w:hAnsi="Arial" w:cs="Arial"/>
          <w:color w:val="222222"/>
          <w:sz w:val="20"/>
          <w:szCs w:val="20"/>
          <w:shd w:val="clear" w:color="auto" w:fill="FFFFFF"/>
        </w:rPr>
        <w:t>, S. and Léger, P.M., 2024. Responsible artificial intelligence in human resources management: a review of the empirical literature. </w:t>
      </w:r>
      <w:r w:rsidRPr="003C44B5">
        <w:rPr>
          <w:rFonts w:ascii="Arial" w:hAnsi="Arial" w:cs="Arial"/>
          <w:i/>
          <w:iCs/>
          <w:color w:val="222222"/>
          <w:sz w:val="20"/>
          <w:szCs w:val="20"/>
          <w:shd w:val="clear" w:color="auto" w:fill="FFFFFF"/>
        </w:rPr>
        <w:t>AI and Ethics</w:t>
      </w:r>
      <w:r w:rsidRPr="003C44B5">
        <w:rPr>
          <w:rFonts w:ascii="Arial" w:hAnsi="Arial" w:cs="Arial"/>
          <w:color w:val="222222"/>
          <w:sz w:val="20"/>
          <w:szCs w:val="20"/>
          <w:shd w:val="clear" w:color="auto" w:fill="FFFFFF"/>
        </w:rPr>
        <w:t>, </w:t>
      </w:r>
      <w:r w:rsidRPr="003C44B5">
        <w:rPr>
          <w:rFonts w:ascii="Arial" w:hAnsi="Arial" w:cs="Arial"/>
          <w:i/>
          <w:iCs/>
          <w:color w:val="222222"/>
          <w:sz w:val="20"/>
          <w:szCs w:val="20"/>
          <w:shd w:val="clear" w:color="auto" w:fill="FFFFFF"/>
        </w:rPr>
        <w:t>4</w:t>
      </w:r>
      <w:r w:rsidRPr="003C44B5">
        <w:rPr>
          <w:rFonts w:ascii="Arial" w:hAnsi="Arial" w:cs="Arial"/>
          <w:color w:val="222222"/>
          <w:sz w:val="20"/>
          <w:szCs w:val="20"/>
          <w:shd w:val="clear" w:color="auto" w:fill="FFFFFF"/>
        </w:rPr>
        <w:t>(4), pp.1185-1200.</w:t>
      </w:r>
    </w:p>
    <w:p w14:paraId="198CAAF4" w14:textId="77777777" w:rsidR="003C44B5" w:rsidRPr="003C44B5" w:rsidRDefault="003C44B5" w:rsidP="003C44B5">
      <w:pPr>
        <w:ind w:left="432" w:hanging="432"/>
        <w:jc w:val="both"/>
        <w:rPr>
          <w:rFonts w:ascii="Arial" w:hAnsi="Arial" w:cs="Arial"/>
          <w:color w:val="222222"/>
          <w:sz w:val="20"/>
          <w:szCs w:val="20"/>
          <w:shd w:val="clear" w:color="auto" w:fill="FFFFFF"/>
        </w:rPr>
      </w:pPr>
      <w:r w:rsidRPr="003C44B5">
        <w:rPr>
          <w:rFonts w:ascii="Arial" w:hAnsi="Arial" w:cs="Arial"/>
          <w:color w:val="222222"/>
          <w:sz w:val="20"/>
          <w:szCs w:val="20"/>
          <w:shd w:val="clear" w:color="auto" w:fill="FFFFFF"/>
        </w:rPr>
        <w:t xml:space="preserve">Casper, W.J., Hyde, S.A., Smith, S.G., </w:t>
      </w:r>
      <w:proofErr w:type="spellStart"/>
      <w:r w:rsidRPr="003C44B5">
        <w:rPr>
          <w:rFonts w:ascii="Arial" w:hAnsi="Arial" w:cs="Arial"/>
          <w:color w:val="222222"/>
          <w:sz w:val="20"/>
          <w:szCs w:val="20"/>
          <w:shd w:val="clear" w:color="auto" w:fill="FFFFFF"/>
        </w:rPr>
        <w:t>Amirkamali</w:t>
      </w:r>
      <w:proofErr w:type="spellEnd"/>
      <w:r w:rsidRPr="003C44B5">
        <w:rPr>
          <w:rFonts w:ascii="Arial" w:hAnsi="Arial" w:cs="Arial"/>
          <w:color w:val="222222"/>
          <w:sz w:val="20"/>
          <w:szCs w:val="20"/>
          <w:shd w:val="clear" w:color="auto" w:fill="FFFFFF"/>
        </w:rPr>
        <w:t>, F. and Wayne, J.H., 2025. How effective are work-life balance policies? The importance of inclusion. </w:t>
      </w:r>
      <w:r w:rsidRPr="003C44B5">
        <w:rPr>
          <w:rFonts w:ascii="Arial" w:hAnsi="Arial" w:cs="Arial"/>
          <w:i/>
          <w:iCs/>
          <w:color w:val="222222"/>
          <w:sz w:val="20"/>
          <w:szCs w:val="20"/>
          <w:shd w:val="clear" w:color="auto" w:fill="FFFFFF"/>
        </w:rPr>
        <w:t xml:space="preserve">Annual Review of Organizational Psychology and Organizational </w:t>
      </w:r>
      <w:proofErr w:type="spellStart"/>
      <w:r w:rsidRPr="003C44B5">
        <w:rPr>
          <w:rFonts w:ascii="Arial" w:hAnsi="Arial" w:cs="Arial"/>
          <w:i/>
          <w:iCs/>
          <w:color w:val="222222"/>
          <w:sz w:val="20"/>
          <w:szCs w:val="20"/>
          <w:shd w:val="clear" w:color="auto" w:fill="FFFFFF"/>
        </w:rPr>
        <w:t>Behavior</w:t>
      </w:r>
      <w:proofErr w:type="spellEnd"/>
      <w:r w:rsidRPr="003C44B5">
        <w:rPr>
          <w:rFonts w:ascii="Arial" w:hAnsi="Arial" w:cs="Arial"/>
          <w:color w:val="222222"/>
          <w:sz w:val="20"/>
          <w:szCs w:val="20"/>
          <w:shd w:val="clear" w:color="auto" w:fill="FFFFFF"/>
        </w:rPr>
        <w:t>, </w:t>
      </w:r>
      <w:r w:rsidRPr="003C44B5">
        <w:rPr>
          <w:rFonts w:ascii="Arial" w:hAnsi="Arial" w:cs="Arial"/>
          <w:i/>
          <w:iCs/>
          <w:color w:val="222222"/>
          <w:sz w:val="20"/>
          <w:szCs w:val="20"/>
          <w:shd w:val="clear" w:color="auto" w:fill="FFFFFF"/>
        </w:rPr>
        <w:t>12</w:t>
      </w:r>
      <w:r w:rsidRPr="003C44B5">
        <w:rPr>
          <w:rFonts w:ascii="Arial" w:hAnsi="Arial" w:cs="Arial"/>
          <w:color w:val="222222"/>
          <w:sz w:val="20"/>
          <w:szCs w:val="20"/>
          <w:shd w:val="clear" w:color="auto" w:fill="FFFFFF"/>
        </w:rPr>
        <w:t>, pp.73-108.</w:t>
      </w:r>
    </w:p>
    <w:p w14:paraId="7FA12457" w14:textId="77777777" w:rsidR="003C44B5" w:rsidRPr="003C44B5" w:rsidRDefault="003C44B5" w:rsidP="003C44B5">
      <w:pPr>
        <w:ind w:left="432" w:hanging="432"/>
        <w:jc w:val="both"/>
        <w:rPr>
          <w:rFonts w:ascii="Arial" w:hAnsi="Arial" w:cs="Arial"/>
          <w:color w:val="222222"/>
          <w:sz w:val="20"/>
          <w:szCs w:val="20"/>
          <w:shd w:val="clear" w:color="auto" w:fill="FFFFFF"/>
        </w:rPr>
      </w:pPr>
      <w:proofErr w:type="spellStart"/>
      <w:r w:rsidRPr="003C44B5">
        <w:rPr>
          <w:rFonts w:ascii="Arial" w:hAnsi="Arial" w:cs="Arial"/>
          <w:color w:val="222222"/>
          <w:sz w:val="20"/>
          <w:szCs w:val="20"/>
          <w:shd w:val="clear" w:color="auto" w:fill="FFFFFF"/>
        </w:rPr>
        <w:t>CEBMa</w:t>
      </w:r>
      <w:proofErr w:type="spellEnd"/>
      <w:r w:rsidRPr="003C44B5">
        <w:rPr>
          <w:rFonts w:ascii="Arial" w:hAnsi="Arial" w:cs="Arial"/>
          <w:color w:val="222222"/>
          <w:sz w:val="20"/>
          <w:szCs w:val="20"/>
          <w:shd w:val="clear" w:color="auto" w:fill="FFFFFF"/>
        </w:rPr>
        <w:t xml:space="preserve">/CIPD (2021) </w:t>
      </w:r>
      <w:r w:rsidRPr="003C44B5">
        <w:rPr>
          <w:rFonts w:ascii="Arial" w:hAnsi="Arial" w:cs="Arial"/>
          <w:i/>
          <w:iCs/>
          <w:color w:val="222222"/>
          <w:sz w:val="20"/>
          <w:szCs w:val="20"/>
          <w:shd w:val="clear" w:color="auto" w:fill="FFFFFF"/>
        </w:rPr>
        <w:t>Flexible working, teleworking and diversity: An evidence review</w:t>
      </w:r>
      <w:r w:rsidRPr="003C44B5">
        <w:rPr>
          <w:rFonts w:ascii="Arial" w:hAnsi="Arial" w:cs="Arial"/>
          <w:color w:val="222222"/>
          <w:sz w:val="20"/>
          <w:szCs w:val="20"/>
          <w:shd w:val="clear" w:color="auto" w:fill="FFFFFF"/>
        </w:rPr>
        <w:t xml:space="preserve">. London: Chartered Institute of Personnel and Development. </w:t>
      </w:r>
      <w:hyperlink r:id="rId15" w:history="1">
        <w:r w:rsidRPr="003C44B5">
          <w:rPr>
            <w:rStyle w:val="Hyperlink"/>
            <w:rFonts w:ascii="Arial" w:hAnsi="Arial" w:cs="Arial"/>
            <w:sz w:val="20"/>
            <w:szCs w:val="20"/>
            <w:shd w:val="clear" w:color="auto" w:fill="FFFFFF"/>
          </w:rPr>
          <w:t>https://www.cipd.org/globalassets/media/knowledge/knowledge-hub/evidence-reviews/flexible-working-teleworking-and-diversity-evidence-summary-web_tcm18-92878.pdf/</w:t>
        </w:r>
      </w:hyperlink>
      <w:r w:rsidRPr="003C44B5">
        <w:rPr>
          <w:rFonts w:ascii="Arial" w:hAnsi="Arial" w:cs="Arial"/>
          <w:color w:val="222222"/>
          <w:sz w:val="20"/>
          <w:szCs w:val="20"/>
          <w:shd w:val="clear" w:color="auto" w:fill="FFFFFF"/>
        </w:rPr>
        <w:t xml:space="preserve"> </w:t>
      </w:r>
    </w:p>
    <w:p w14:paraId="14733A7B" w14:textId="6AFA4E36" w:rsidR="003C44B5" w:rsidRPr="003C44B5" w:rsidRDefault="003C44B5" w:rsidP="00632F28">
      <w:pPr>
        <w:ind w:left="432" w:hanging="432"/>
        <w:jc w:val="both"/>
        <w:rPr>
          <w:rFonts w:ascii="Arial" w:hAnsi="Arial" w:cs="Arial"/>
          <w:color w:val="222222"/>
          <w:sz w:val="20"/>
          <w:szCs w:val="20"/>
          <w:shd w:val="clear" w:color="auto" w:fill="FFFFFF"/>
        </w:rPr>
      </w:pPr>
      <w:r w:rsidRPr="003C44B5">
        <w:rPr>
          <w:rFonts w:ascii="Arial" w:hAnsi="Arial" w:cs="Arial"/>
          <w:color w:val="222222"/>
          <w:sz w:val="20"/>
          <w:szCs w:val="20"/>
          <w:shd w:val="clear" w:color="auto" w:fill="FFFFFF"/>
        </w:rPr>
        <w:lastRenderedPageBreak/>
        <w:t>Chang, J., 2025. </w:t>
      </w:r>
      <w:r w:rsidRPr="003C44B5">
        <w:rPr>
          <w:rFonts w:ascii="Arial" w:hAnsi="Arial" w:cs="Arial"/>
          <w:i/>
          <w:iCs/>
          <w:color w:val="222222"/>
          <w:sz w:val="20"/>
          <w:szCs w:val="20"/>
          <w:shd w:val="clear" w:color="auto" w:fill="FFFFFF"/>
        </w:rPr>
        <w:t>Empowering Women in IT: Breaking Barriers in Three-Part Harmony</w:t>
      </w:r>
      <w:r w:rsidRPr="003C44B5">
        <w:rPr>
          <w:rFonts w:ascii="Arial" w:hAnsi="Arial" w:cs="Arial"/>
          <w:color w:val="222222"/>
          <w:sz w:val="20"/>
          <w:szCs w:val="20"/>
          <w:shd w:val="clear" w:color="auto" w:fill="FFFFFF"/>
        </w:rPr>
        <w:t> (Doctoral dissertation, Northeastern University).</w:t>
      </w:r>
    </w:p>
    <w:p w14:paraId="0C9D6AEF" w14:textId="77777777" w:rsidR="003C44B5" w:rsidRPr="003C44B5" w:rsidRDefault="003C44B5" w:rsidP="003C44B5">
      <w:pPr>
        <w:ind w:left="432" w:hanging="432"/>
        <w:jc w:val="both"/>
        <w:rPr>
          <w:rFonts w:ascii="Arial" w:hAnsi="Arial" w:cs="Arial"/>
          <w:color w:val="222222"/>
          <w:sz w:val="20"/>
          <w:szCs w:val="20"/>
          <w:shd w:val="clear" w:color="auto" w:fill="FFFFFF"/>
        </w:rPr>
      </w:pPr>
      <w:r w:rsidRPr="003C44B5">
        <w:rPr>
          <w:rFonts w:ascii="Arial" w:hAnsi="Arial" w:cs="Arial"/>
          <w:color w:val="222222"/>
          <w:sz w:val="20"/>
          <w:szCs w:val="20"/>
          <w:shd w:val="clear" w:color="auto" w:fill="FFFFFF"/>
        </w:rPr>
        <w:t>Chang, J., 2026. Decoding the gender gap: Unseen forces of inequity in IT. </w:t>
      </w:r>
      <w:r w:rsidRPr="003C44B5">
        <w:rPr>
          <w:rFonts w:ascii="Arial" w:hAnsi="Arial" w:cs="Arial"/>
          <w:i/>
          <w:iCs/>
          <w:color w:val="222222"/>
          <w:sz w:val="20"/>
          <w:szCs w:val="20"/>
          <w:shd w:val="clear" w:color="auto" w:fill="FFFFFF"/>
        </w:rPr>
        <w:t>Gender, Work &amp; Organization</w:t>
      </w:r>
      <w:r w:rsidRPr="003C44B5">
        <w:rPr>
          <w:rFonts w:ascii="Arial" w:hAnsi="Arial" w:cs="Arial"/>
          <w:color w:val="222222"/>
          <w:sz w:val="20"/>
          <w:szCs w:val="20"/>
          <w:shd w:val="clear" w:color="auto" w:fill="FFFFFF"/>
        </w:rPr>
        <w:t>, </w:t>
      </w:r>
      <w:r w:rsidRPr="003C44B5">
        <w:rPr>
          <w:rFonts w:ascii="Arial" w:hAnsi="Arial" w:cs="Arial"/>
          <w:i/>
          <w:iCs/>
          <w:color w:val="222222"/>
          <w:sz w:val="20"/>
          <w:szCs w:val="20"/>
          <w:shd w:val="clear" w:color="auto" w:fill="FFFFFF"/>
        </w:rPr>
        <w:t>33</w:t>
      </w:r>
      <w:r w:rsidRPr="003C44B5">
        <w:rPr>
          <w:rFonts w:ascii="Arial" w:hAnsi="Arial" w:cs="Arial"/>
          <w:color w:val="222222"/>
          <w:sz w:val="20"/>
          <w:szCs w:val="20"/>
          <w:shd w:val="clear" w:color="auto" w:fill="FFFFFF"/>
        </w:rPr>
        <w:t>(2), pp.350-366.</w:t>
      </w:r>
    </w:p>
    <w:p w14:paraId="2751405A" w14:textId="77777777" w:rsidR="003C44B5" w:rsidRDefault="003C44B5" w:rsidP="003C44B5">
      <w:pPr>
        <w:ind w:left="432" w:hanging="432"/>
        <w:jc w:val="both"/>
        <w:rPr>
          <w:rFonts w:ascii="Arial" w:hAnsi="Arial" w:cs="Arial"/>
          <w:color w:val="222222"/>
          <w:sz w:val="20"/>
          <w:szCs w:val="20"/>
          <w:shd w:val="clear" w:color="auto" w:fill="FFFFFF"/>
        </w:rPr>
      </w:pPr>
      <w:r w:rsidRPr="003C44B5">
        <w:rPr>
          <w:rFonts w:ascii="Arial" w:hAnsi="Arial" w:cs="Arial"/>
          <w:color w:val="222222"/>
          <w:sz w:val="20"/>
          <w:szCs w:val="20"/>
          <w:shd w:val="clear" w:color="auto" w:fill="FFFFFF"/>
        </w:rPr>
        <w:t>CIPD (2023) </w:t>
      </w:r>
      <w:r w:rsidRPr="003C44B5">
        <w:rPr>
          <w:rFonts w:ascii="Arial" w:hAnsi="Arial" w:cs="Arial"/>
          <w:i/>
          <w:iCs/>
          <w:color w:val="222222"/>
          <w:sz w:val="20"/>
          <w:szCs w:val="20"/>
          <w:shd w:val="clear" w:color="auto" w:fill="FFFFFF"/>
        </w:rPr>
        <w:t>Inclusion at work 2023</w:t>
      </w:r>
      <w:r w:rsidRPr="003C44B5">
        <w:rPr>
          <w:rFonts w:ascii="Arial" w:hAnsi="Arial" w:cs="Arial"/>
          <w:color w:val="222222"/>
          <w:sz w:val="20"/>
          <w:szCs w:val="20"/>
          <w:shd w:val="clear" w:color="auto" w:fill="FFFFFF"/>
        </w:rPr>
        <w:t>. London: Chartered Institute of Personnel and Development.</w:t>
      </w:r>
      <w:hyperlink r:id="rId16" w:history="1">
        <w:r w:rsidRPr="00632F28">
          <w:rPr>
            <w:rStyle w:val="Hyperlink"/>
            <w:rFonts w:ascii="Arial" w:hAnsi="Arial" w:cs="Arial"/>
            <w:sz w:val="20"/>
            <w:szCs w:val="20"/>
            <w:u w:val="none"/>
            <w:shd w:val="clear" w:color="auto" w:fill="FFFFFF"/>
          </w:rPr>
          <w:t>https://www.cipd.org/globalassets/media/comms/get-involved/events/2023-arc-impact-covid-female-early-career-academics-experiences-8415.pdf</w:t>
        </w:r>
      </w:hyperlink>
      <w:r w:rsidRPr="003C44B5">
        <w:rPr>
          <w:rFonts w:ascii="Arial" w:hAnsi="Arial" w:cs="Arial"/>
          <w:color w:val="222222"/>
          <w:sz w:val="20"/>
          <w:szCs w:val="20"/>
          <w:shd w:val="clear" w:color="auto" w:fill="FFFFFF"/>
        </w:rPr>
        <w:t xml:space="preserve"> </w:t>
      </w:r>
    </w:p>
    <w:p w14:paraId="50DAAA10" w14:textId="01CC5597" w:rsidR="003C44B5" w:rsidRPr="003C44B5" w:rsidRDefault="003C44B5" w:rsidP="00632F28">
      <w:pPr>
        <w:ind w:left="432" w:hanging="432"/>
        <w:jc w:val="both"/>
        <w:rPr>
          <w:rFonts w:ascii="Arial" w:hAnsi="Arial" w:cs="Arial"/>
          <w:color w:val="222222"/>
          <w:sz w:val="20"/>
          <w:szCs w:val="20"/>
          <w:shd w:val="clear" w:color="auto" w:fill="FFFFFF"/>
        </w:rPr>
      </w:pPr>
      <w:r w:rsidRPr="003C44B5">
        <w:rPr>
          <w:rFonts w:ascii="Arial" w:hAnsi="Arial" w:cs="Arial"/>
          <w:color w:val="222222"/>
          <w:sz w:val="20"/>
          <w:szCs w:val="20"/>
          <w:shd w:val="clear" w:color="auto" w:fill="FFFFFF"/>
        </w:rPr>
        <w:t>Dahlan, D.A., 2024. Who is the next leader? Understanding women leadership development and succession planning in Saudi Arabian higher educational institutions. </w:t>
      </w:r>
      <w:r w:rsidRPr="003C44B5">
        <w:rPr>
          <w:rFonts w:ascii="Arial" w:hAnsi="Arial" w:cs="Arial"/>
          <w:i/>
          <w:iCs/>
          <w:color w:val="222222"/>
          <w:sz w:val="20"/>
          <w:szCs w:val="20"/>
          <w:shd w:val="clear" w:color="auto" w:fill="FFFFFF"/>
        </w:rPr>
        <w:t>Frontiers in Sociology</w:t>
      </w:r>
      <w:r w:rsidRPr="003C44B5">
        <w:rPr>
          <w:rFonts w:ascii="Arial" w:hAnsi="Arial" w:cs="Arial"/>
          <w:color w:val="222222"/>
          <w:sz w:val="20"/>
          <w:szCs w:val="20"/>
          <w:shd w:val="clear" w:color="auto" w:fill="FFFFFF"/>
        </w:rPr>
        <w:t>, </w:t>
      </w:r>
      <w:r w:rsidRPr="003C44B5">
        <w:rPr>
          <w:rFonts w:ascii="Arial" w:hAnsi="Arial" w:cs="Arial"/>
          <w:i/>
          <w:iCs/>
          <w:color w:val="222222"/>
          <w:sz w:val="20"/>
          <w:szCs w:val="20"/>
          <w:shd w:val="clear" w:color="auto" w:fill="FFFFFF"/>
        </w:rPr>
        <w:t>9</w:t>
      </w:r>
      <w:r w:rsidRPr="003C44B5">
        <w:rPr>
          <w:rFonts w:ascii="Arial" w:hAnsi="Arial" w:cs="Arial"/>
          <w:color w:val="222222"/>
          <w:sz w:val="20"/>
          <w:szCs w:val="20"/>
          <w:shd w:val="clear" w:color="auto" w:fill="FFFFFF"/>
        </w:rPr>
        <w:t>, p.1442543.</w:t>
      </w:r>
    </w:p>
    <w:p w14:paraId="37CEDC80" w14:textId="77777777" w:rsidR="003C44B5" w:rsidRDefault="003C44B5" w:rsidP="003C44B5">
      <w:pPr>
        <w:ind w:left="432" w:hanging="432"/>
        <w:jc w:val="both"/>
        <w:rPr>
          <w:rFonts w:ascii="Arial" w:hAnsi="Arial" w:cs="Arial"/>
          <w:color w:val="222222"/>
          <w:sz w:val="20"/>
          <w:szCs w:val="20"/>
          <w:shd w:val="clear" w:color="auto" w:fill="FFFFFF"/>
        </w:rPr>
      </w:pPr>
      <w:r w:rsidRPr="003C44B5">
        <w:rPr>
          <w:rFonts w:ascii="Arial" w:hAnsi="Arial" w:cs="Arial"/>
          <w:color w:val="222222"/>
          <w:sz w:val="20"/>
          <w:szCs w:val="20"/>
          <w:shd w:val="clear" w:color="auto" w:fill="FFFFFF"/>
        </w:rPr>
        <w:t>Das, S. and Jha, S., 2024. Women’s career advancement: review of literature and future research agenda. </w:t>
      </w:r>
      <w:r w:rsidRPr="003C44B5">
        <w:rPr>
          <w:rFonts w:ascii="Arial" w:hAnsi="Arial" w:cs="Arial"/>
          <w:i/>
          <w:iCs/>
          <w:color w:val="222222"/>
          <w:sz w:val="20"/>
          <w:szCs w:val="20"/>
          <w:shd w:val="clear" w:color="auto" w:fill="FFFFFF"/>
        </w:rPr>
        <w:t>International Journal of Ethics and Systems</w:t>
      </w:r>
      <w:r w:rsidRPr="003C44B5">
        <w:rPr>
          <w:rFonts w:ascii="Arial" w:hAnsi="Arial" w:cs="Arial"/>
          <w:color w:val="222222"/>
          <w:sz w:val="20"/>
          <w:szCs w:val="20"/>
          <w:shd w:val="clear" w:color="auto" w:fill="FFFFFF"/>
        </w:rPr>
        <w:t>, </w:t>
      </w:r>
      <w:r w:rsidRPr="003C44B5">
        <w:rPr>
          <w:rFonts w:ascii="Arial" w:hAnsi="Arial" w:cs="Arial"/>
          <w:i/>
          <w:iCs/>
          <w:color w:val="222222"/>
          <w:sz w:val="20"/>
          <w:szCs w:val="20"/>
          <w:shd w:val="clear" w:color="auto" w:fill="FFFFFF"/>
        </w:rPr>
        <w:t>40</w:t>
      </w:r>
      <w:r w:rsidRPr="003C44B5">
        <w:rPr>
          <w:rFonts w:ascii="Arial" w:hAnsi="Arial" w:cs="Arial"/>
          <w:color w:val="222222"/>
          <w:sz w:val="20"/>
          <w:szCs w:val="20"/>
          <w:shd w:val="clear" w:color="auto" w:fill="FFFFFF"/>
        </w:rPr>
        <w:t>(2), pp.232-255.</w:t>
      </w:r>
    </w:p>
    <w:p w14:paraId="6C0681B6" w14:textId="77777777" w:rsidR="003C44B5" w:rsidRPr="003C44B5" w:rsidRDefault="003C44B5" w:rsidP="003C44B5">
      <w:pPr>
        <w:ind w:left="432" w:hanging="432"/>
        <w:jc w:val="both"/>
        <w:rPr>
          <w:rFonts w:ascii="Arial" w:hAnsi="Arial" w:cs="Arial"/>
          <w:color w:val="222222"/>
          <w:sz w:val="20"/>
          <w:szCs w:val="20"/>
          <w:shd w:val="clear" w:color="auto" w:fill="FFFFFF"/>
        </w:rPr>
      </w:pPr>
      <w:r w:rsidRPr="003C44B5">
        <w:rPr>
          <w:rFonts w:ascii="Arial" w:hAnsi="Arial" w:cs="Arial"/>
          <w:color w:val="222222"/>
          <w:sz w:val="20"/>
          <w:szCs w:val="20"/>
          <w:shd w:val="clear" w:color="auto" w:fill="FFFFFF"/>
        </w:rPr>
        <w:t>de Klerk, J.J. and Jooste, M., 2023. Responsible leadership and its place in the leadership domain: A meaning</w:t>
      </w:r>
      <w:r w:rsidRPr="003C44B5">
        <w:rPr>
          <w:rFonts w:ascii="Cambria Math" w:hAnsi="Cambria Math" w:cs="Cambria Math"/>
          <w:color w:val="222222"/>
          <w:sz w:val="20"/>
          <w:szCs w:val="20"/>
          <w:shd w:val="clear" w:color="auto" w:fill="FFFFFF"/>
        </w:rPr>
        <w:t>‐</w:t>
      </w:r>
      <w:r w:rsidRPr="003C44B5">
        <w:rPr>
          <w:rFonts w:ascii="Arial" w:hAnsi="Arial" w:cs="Arial"/>
          <w:color w:val="222222"/>
          <w:sz w:val="20"/>
          <w:szCs w:val="20"/>
          <w:shd w:val="clear" w:color="auto" w:fill="FFFFFF"/>
        </w:rPr>
        <w:t>based systematic review. </w:t>
      </w:r>
      <w:r w:rsidRPr="003C44B5">
        <w:rPr>
          <w:rFonts w:ascii="Arial" w:hAnsi="Arial" w:cs="Arial"/>
          <w:i/>
          <w:iCs/>
          <w:color w:val="222222"/>
          <w:sz w:val="20"/>
          <w:szCs w:val="20"/>
          <w:shd w:val="clear" w:color="auto" w:fill="FFFFFF"/>
        </w:rPr>
        <w:t>Business and Society Review</w:t>
      </w:r>
      <w:r w:rsidRPr="003C44B5">
        <w:rPr>
          <w:rFonts w:ascii="Arial" w:hAnsi="Arial" w:cs="Arial"/>
          <w:color w:val="222222"/>
          <w:sz w:val="20"/>
          <w:szCs w:val="20"/>
          <w:shd w:val="clear" w:color="auto" w:fill="FFFFFF"/>
        </w:rPr>
        <w:t>, </w:t>
      </w:r>
      <w:r w:rsidRPr="003C44B5">
        <w:rPr>
          <w:rFonts w:ascii="Arial" w:hAnsi="Arial" w:cs="Arial"/>
          <w:i/>
          <w:iCs/>
          <w:color w:val="222222"/>
          <w:sz w:val="20"/>
          <w:szCs w:val="20"/>
          <w:shd w:val="clear" w:color="auto" w:fill="FFFFFF"/>
        </w:rPr>
        <w:t>128</w:t>
      </w:r>
      <w:r w:rsidRPr="003C44B5">
        <w:rPr>
          <w:rFonts w:ascii="Arial" w:hAnsi="Arial" w:cs="Arial"/>
          <w:color w:val="222222"/>
          <w:sz w:val="20"/>
          <w:szCs w:val="20"/>
          <w:shd w:val="clear" w:color="auto" w:fill="FFFFFF"/>
        </w:rPr>
        <w:t>(4), pp.606-634.</w:t>
      </w:r>
    </w:p>
    <w:p w14:paraId="5D549DB4" w14:textId="07CB2016" w:rsidR="003C44B5" w:rsidRPr="0092057F" w:rsidRDefault="003C44B5" w:rsidP="0092057F">
      <w:pPr>
        <w:ind w:left="432" w:hanging="432"/>
        <w:jc w:val="both"/>
        <w:rPr>
          <w:rFonts w:ascii="Arial" w:hAnsi="Arial" w:cs="Arial"/>
          <w:b/>
          <w:bCs/>
          <w:color w:val="222222"/>
          <w:sz w:val="20"/>
          <w:szCs w:val="20"/>
          <w:shd w:val="clear" w:color="auto" w:fill="FFFFFF"/>
        </w:rPr>
      </w:pPr>
      <w:r w:rsidRPr="003C44B5">
        <w:rPr>
          <w:rFonts w:ascii="Arial" w:hAnsi="Arial" w:cs="Arial"/>
          <w:color w:val="222222"/>
          <w:sz w:val="20"/>
          <w:szCs w:val="20"/>
          <w:shd w:val="clear" w:color="auto" w:fill="FFFFFF"/>
        </w:rPr>
        <w:t xml:space="preserve">Department for Science, Innovation and Technology (DSIT) (2024) </w:t>
      </w:r>
      <w:r w:rsidRPr="003C44B5">
        <w:rPr>
          <w:rFonts w:ascii="Arial" w:hAnsi="Arial" w:cs="Arial"/>
          <w:i/>
          <w:iCs/>
          <w:color w:val="222222"/>
          <w:sz w:val="20"/>
          <w:szCs w:val="20"/>
          <w:shd w:val="clear" w:color="auto" w:fill="FFFFFF"/>
        </w:rPr>
        <w:t>Responsible AI in Recruitment</w:t>
      </w:r>
      <w:r w:rsidRPr="003C44B5">
        <w:rPr>
          <w:rFonts w:ascii="Arial" w:hAnsi="Arial" w:cs="Arial"/>
          <w:color w:val="222222"/>
          <w:sz w:val="20"/>
          <w:szCs w:val="20"/>
          <w:shd w:val="clear" w:color="auto" w:fill="FFFFFF"/>
        </w:rPr>
        <w:t xml:space="preserve">. London: DSIT. </w:t>
      </w:r>
      <w:hyperlink r:id="rId17" w:history="1">
        <w:r w:rsidRPr="00632F28">
          <w:rPr>
            <w:rStyle w:val="Hyperlink"/>
            <w:rFonts w:ascii="Arial" w:hAnsi="Arial" w:cs="Arial"/>
            <w:sz w:val="20"/>
            <w:szCs w:val="20"/>
            <w:u w:val="none"/>
            <w:shd w:val="clear" w:color="auto" w:fill="FFFFFF"/>
          </w:rPr>
          <w:t>https://www.gov.uk/government/publications/responsible-ai-in-recruitment-guide/responsible-ai-in-recruitment</w:t>
        </w:r>
      </w:hyperlink>
      <w:r w:rsidRPr="00632F28">
        <w:rPr>
          <w:rFonts w:ascii="Arial" w:hAnsi="Arial" w:cs="Arial"/>
          <w:color w:val="222222"/>
          <w:sz w:val="20"/>
          <w:szCs w:val="20"/>
          <w:shd w:val="clear" w:color="auto" w:fill="FFFFFF"/>
        </w:rPr>
        <w:t>.</w:t>
      </w:r>
    </w:p>
    <w:p w14:paraId="035EEE18" w14:textId="77777777" w:rsidR="003C44B5" w:rsidRPr="003C44B5" w:rsidRDefault="003C44B5" w:rsidP="003C44B5">
      <w:pPr>
        <w:ind w:left="432" w:hanging="432"/>
        <w:jc w:val="both"/>
        <w:rPr>
          <w:rFonts w:ascii="Arial" w:hAnsi="Arial" w:cs="Arial"/>
          <w:color w:val="222222"/>
          <w:sz w:val="20"/>
          <w:szCs w:val="20"/>
          <w:shd w:val="clear" w:color="auto" w:fill="FFFFFF"/>
        </w:rPr>
      </w:pPr>
      <w:r w:rsidRPr="003C44B5">
        <w:rPr>
          <w:rFonts w:ascii="Arial" w:hAnsi="Arial" w:cs="Arial"/>
          <w:color w:val="222222"/>
          <w:sz w:val="20"/>
          <w:szCs w:val="20"/>
          <w:shd w:val="clear" w:color="auto" w:fill="FFFFFF"/>
        </w:rPr>
        <w:t xml:space="preserve">Deloitte (2024) </w:t>
      </w:r>
      <w:r w:rsidRPr="003C44B5">
        <w:rPr>
          <w:rFonts w:ascii="Arial" w:hAnsi="Arial" w:cs="Arial"/>
          <w:i/>
          <w:iCs/>
          <w:color w:val="222222"/>
          <w:sz w:val="20"/>
          <w:szCs w:val="20"/>
          <w:shd w:val="clear" w:color="auto" w:fill="FFFFFF"/>
        </w:rPr>
        <w:t>FTSE Women Leaders Review</w:t>
      </w:r>
      <w:r w:rsidRPr="003C44B5">
        <w:rPr>
          <w:rFonts w:ascii="Arial" w:hAnsi="Arial" w:cs="Arial"/>
          <w:color w:val="222222"/>
          <w:sz w:val="20"/>
          <w:szCs w:val="20"/>
          <w:shd w:val="clear" w:color="auto" w:fill="FFFFFF"/>
        </w:rPr>
        <w:t xml:space="preserve">. </w:t>
      </w:r>
      <w:hyperlink r:id="rId18" w:history="1">
        <w:r w:rsidRPr="003C44B5">
          <w:rPr>
            <w:rStyle w:val="Hyperlink"/>
            <w:rFonts w:ascii="Arial" w:hAnsi="Arial" w:cs="Arial"/>
            <w:sz w:val="20"/>
            <w:szCs w:val="20"/>
            <w:shd w:val="clear" w:color="auto" w:fill="FFFFFF"/>
          </w:rPr>
          <w:t>https://www.deloitte.com/uk/en/services/audit-assurance/perspectives/ftse-women-leaders-review.html</w:t>
        </w:r>
      </w:hyperlink>
      <w:r w:rsidRPr="003C44B5">
        <w:rPr>
          <w:rFonts w:ascii="Arial" w:hAnsi="Arial" w:cs="Arial"/>
          <w:color w:val="222222"/>
          <w:sz w:val="20"/>
          <w:szCs w:val="20"/>
          <w:shd w:val="clear" w:color="auto" w:fill="FFFFFF"/>
        </w:rPr>
        <w:t xml:space="preserve"> </w:t>
      </w:r>
    </w:p>
    <w:p w14:paraId="3EB51711" w14:textId="77777777" w:rsidR="003C44B5" w:rsidRPr="003C44B5" w:rsidRDefault="003C44B5" w:rsidP="003C44B5">
      <w:pPr>
        <w:ind w:left="432" w:hanging="432"/>
        <w:jc w:val="both"/>
        <w:rPr>
          <w:rFonts w:ascii="Arial" w:hAnsi="Arial" w:cs="Arial"/>
          <w:color w:val="222222"/>
          <w:sz w:val="20"/>
          <w:szCs w:val="20"/>
          <w:shd w:val="clear" w:color="auto" w:fill="FFFFFF"/>
        </w:rPr>
      </w:pPr>
      <w:r w:rsidRPr="003C44B5">
        <w:rPr>
          <w:rFonts w:ascii="Arial" w:hAnsi="Arial" w:cs="Arial"/>
          <w:color w:val="222222"/>
          <w:sz w:val="20"/>
          <w:szCs w:val="20"/>
          <w:shd w:val="clear" w:color="auto" w:fill="FFFFFF"/>
        </w:rPr>
        <w:t xml:space="preserve">Department for Science, Innovation and Technology (2025) </w:t>
      </w:r>
      <w:r w:rsidRPr="003C44B5">
        <w:rPr>
          <w:rFonts w:ascii="Arial" w:hAnsi="Arial" w:cs="Arial"/>
          <w:i/>
          <w:iCs/>
          <w:color w:val="222222"/>
          <w:sz w:val="20"/>
          <w:szCs w:val="20"/>
          <w:shd w:val="clear" w:color="auto" w:fill="FFFFFF"/>
        </w:rPr>
        <w:t>Diversity in UK Tech: Executive Summary</w:t>
      </w:r>
      <w:r w:rsidRPr="003C44B5">
        <w:rPr>
          <w:rFonts w:ascii="Arial" w:hAnsi="Arial" w:cs="Arial"/>
          <w:color w:val="222222"/>
          <w:sz w:val="20"/>
          <w:szCs w:val="20"/>
          <w:shd w:val="clear" w:color="auto" w:fill="FFFFFF"/>
        </w:rPr>
        <w:t xml:space="preserve">. </w:t>
      </w:r>
      <w:hyperlink r:id="rId19" w:history="1">
        <w:r w:rsidRPr="003C44B5">
          <w:rPr>
            <w:rStyle w:val="Hyperlink"/>
            <w:rFonts w:ascii="Arial" w:hAnsi="Arial" w:cs="Arial"/>
            <w:sz w:val="20"/>
            <w:szCs w:val="20"/>
            <w:shd w:val="clear" w:color="auto" w:fill="FFFFFF"/>
          </w:rPr>
          <w:t>https://www.gov.uk/government/publications/diversity-in-uk-tech/diversity-in-uk-tech-executive-summary</w:t>
        </w:r>
      </w:hyperlink>
      <w:r w:rsidRPr="003C44B5">
        <w:rPr>
          <w:rFonts w:ascii="Arial" w:hAnsi="Arial" w:cs="Arial"/>
          <w:color w:val="222222"/>
          <w:sz w:val="20"/>
          <w:szCs w:val="20"/>
          <w:shd w:val="clear" w:color="auto" w:fill="FFFFFF"/>
        </w:rPr>
        <w:t xml:space="preserve"> </w:t>
      </w:r>
    </w:p>
    <w:p w14:paraId="3B6DA15E" w14:textId="77777777" w:rsidR="003C44B5" w:rsidRDefault="003C44B5" w:rsidP="003C44B5">
      <w:pPr>
        <w:ind w:left="432" w:hanging="432"/>
        <w:jc w:val="both"/>
        <w:rPr>
          <w:rFonts w:ascii="Arial" w:hAnsi="Arial" w:cs="Arial"/>
          <w:color w:val="222222"/>
          <w:sz w:val="20"/>
          <w:szCs w:val="20"/>
          <w:shd w:val="clear" w:color="auto" w:fill="FFFFFF"/>
        </w:rPr>
      </w:pPr>
      <w:r w:rsidRPr="003C44B5">
        <w:rPr>
          <w:rFonts w:ascii="Arial" w:hAnsi="Arial" w:cs="Arial"/>
          <w:color w:val="222222"/>
          <w:sz w:val="20"/>
          <w:szCs w:val="20"/>
          <w:shd w:val="clear" w:color="auto" w:fill="FFFFFF"/>
        </w:rPr>
        <w:t xml:space="preserve">Edgar, G. (2026) </w:t>
      </w:r>
      <w:r w:rsidRPr="003C44B5">
        <w:rPr>
          <w:rFonts w:ascii="Arial" w:hAnsi="Arial" w:cs="Arial"/>
          <w:i/>
          <w:iCs/>
          <w:color w:val="222222"/>
          <w:sz w:val="20"/>
          <w:szCs w:val="20"/>
          <w:shd w:val="clear" w:color="auto" w:fill="FFFFFF"/>
        </w:rPr>
        <w:t>Women in technology &amp; stem in the UK (2026 overview)</w:t>
      </w:r>
      <w:r w:rsidRPr="003C44B5">
        <w:rPr>
          <w:rFonts w:ascii="Arial" w:hAnsi="Arial" w:cs="Arial"/>
          <w:color w:val="222222"/>
          <w:sz w:val="20"/>
          <w:szCs w:val="20"/>
          <w:shd w:val="clear" w:color="auto" w:fill="FFFFFF"/>
        </w:rPr>
        <w:t xml:space="preserve">, </w:t>
      </w:r>
      <w:r w:rsidRPr="003C44B5">
        <w:rPr>
          <w:rFonts w:ascii="Arial" w:hAnsi="Arial" w:cs="Arial"/>
          <w:i/>
          <w:iCs/>
          <w:color w:val="222222"/>
          <w:sz w:val="20"/>
          <w:szCs w:val="20"/>
          <w:shd w:val="clear" w:color="auto" w:fill="FFFFFF"/>
        </w:rPr>
        <w:t>Women in Technology</w:t>
      </w:r>
      <w:r w:rsidRPr="003C44B5">
        <w:rPr>
          <w:rFonts w:ascii="Arial" w:hAnsi="Arial" w:cs="Arial"/>
          <w:color w:val="222222"/>
          <w:sz w:val="20"/>
          <w:szCs w:val="20"/>
          <w:shd w:val="clear" w:color="auto" w:fill="FFFFFF"/>
        </w:rPr>
        <w:t xml:space="preserve">. </w:t>
      </w:r>
      <w:hyperlink r:id="rId20" w:history="1">
        <w:r w:rsidRPr="003C44B5">
          <w:rPr>
            <w:rStyle w:val="Hyperlink"/>
            <w:rFonts w:ascii="Arial" w:hAnsi="Arial" w:cs="Arial"/>
            <w:sz w:val="20"/>
            <w:szCs w:val="20"/>
            <w:shd w:val="clear" w:color="auto" w:fill="FFFFFF"/>
          </w:rPr>
          <w:t>https://www.womenintech.co.uk/report-women-technology-stem-uk/</w:t>
        </w:r>
      </w:hyperlink>
      <w:r w:rsidRPr="003C44B5">
        <w:rPr>
          <w:rFonts w:ascii="Arial" w:hAnsi="Arial" w:cs="Arial"/>
          <w:color w:val="222222"/>
          <w:sz w:val="20"/>
          <w:szCs w:val="20"/>
          <w:shd w:val="clear" w:color="auto" w:fill="FFFFFF"/>
        </w:rPr>
        <w:t xml:space="preserve"> </w:t>
      </w:r>
    </w:p>
    <w:p w14:paraId="14B62ABD" w14:textId="77777777" w:rsidR="00811D1E" w:rsidRPr="00811D1E" w:rsidRDefault="00811D1E" w:rsidP="00811D1E">
      <w:pPr>
        <w:ind w:left="432" w:hanging="432"/>
        <w:jc w:val="both"/>
        <w:rPr>
          <w:rFonts w:ascii="Arial" w:hAnsi="Arial" w:cs="Arial"/>
          <w:color w:val="222222"/>
          <w:sz w:val="20"/>
          <w:szCs w:val="20"/>
          <w:shd w:val="clear" w:color="auto" w:fill="FFFFFF"/>
        </w:rPr>
      </w:pPr>
      <w:r w:rsidRPr="00811D1E">
        <w:rPr>
          <w:rFonts w:ascii="Arial" w:hAnsi="Arial" w:cs="Arial"/>
          <w:color w:val="222222"/>
          <w:sz w:val="20"/>
          <w:szCs w:val="20"/>
          <w:shd w:val="clear" w:color="auto" w:fill="FFFFFF"/>
        </w:rPr>
        <w:t>Edmondson, A.C. and Bransby, D.P., 2023. Psychological safety comes of age: Observed themes in an established literature. </w:t>
      </w:r>
      <w:r w:rsidRPr="00811D1E">
        <w:rPr>
          <w:rFonts w:ascii="Arial" w:hAnsi="Arial" w:cs="Arial"/>
          <w:i/>
          <w:iCs/>
          <w:color w:val="222222"/>
          <w:sz w:val="20"/>
          <w:szCs w:val="20"/>
          <w:shd w:val="clear" w:color="auto" w:fill="FFFFFF"/>
        </w:rPr>
        <w:t xml:space="preserve">Annual review of organizational psychology and organizational </w:t>
      </w:r>
      <w:proofErr w:type="spellStart"/>
      <w:r w:rsidRPr="00811D1E">
        <w:rPr>
          <w:rFonts w:ascii="Arial" w:hAnsi="Arial" w:cs="Arial"/>
          <w:i/>
          <w:iCs/>
          <w:color w:val="222222"/>
          <w:sz w:val="20"/>
          <w:szCs w:val="20"/>
          <w:shd w:val="clear" w:color="auto" w:fill="FFFFFF"/>
        </w:rPr>
        <w:t>behavior</w:t>
      </w:r>
      <w:proofErr w:type="spellEnd"/>
      <w:r w:rsidRPr="00811D1E">
        <w:rPr>
          <w:rFonts w:ascii="Arial" w:hAnsi="Arial" w:cs="Arial"/>
          <w:color w:val="222222"/>
          <w:sz w:val="20"/>
          <w:szCs w:val="20"/>
          <w:shd w:val="clear" w:color="auto" w:fill="FFFFFF"/>
        </w:rPr>
        <w:t>, </w:t>
      </w:r>
      <w:r w:rsidRPr="00811D1E">
        <w:rPr>
          <w:rFonts w:ascii="Arial" w:hAnsi="Arial" w:cs="Arial"/>
          <w:i/>
          <w:iCs/>
          <w:color w:val="222222"/>
          <w:sz w:val="20"/>
          <w:szCs w:val="20"/>
          <w:shd w:val="clear" w:color="auto" w:fill="FFFFFF"/>
        </w:rPr>
        <w:t>10</w:t>
      </w:r>
      <w:r w:rsidRPr="00811D1E">
        <w:rPr>
          <w:rFonts w:ascii="Arial" w:hAnsi="Arial" w:cs="Arial"/>
          <w:color w:val="222222"/>
          <w:sz w:val="20"/>
          <w:szCs w:val="20"/>
          <w:shd w:val="clear" w:color="auto" w:fill="FFFFFF"/>
        </w:rPr>
        <w:t>(1), pp.55-78.</w:t>
      </w:r>
    </w:p>
    <w:p w14:paraId="3039A671" w14:textId="77777777" w:rsidR="00811D1E" w:rsidRPr="00811D1E" w:rsidRDefault="00811D1E" w:rsidP="00811D1E">
      <w:pPr>
        <w:ind w:left="432" w:hanging="432"/>
        <w:jc w:val="both"/>
        <w:rPr>
          <w:rFonts w:ascii="Arial" w:hAnsi="Arial" w:cs="Arial"/>
          <w:color w:val="222222"/>
          <w:sz w:val="20"/>
          <w:szCs w:val="20"/>
          <w:shd w:val="clear" w:color="auto" w:fill="FFFFFF"/>
        </w:rPr>
      </w:pPr>
      <w:proofErr w:type="spellStart"/>
      <w:r w:rsidRPr="00811D1E">
        <w:rPr>
          <w:rFonts w:ascii="Arial" w:hAnsi="Arial" w:cs="Arial"/>
          <w:color w:val="222222"/>
          <w:sz w:val="20"/>
          <w:szCs w:val="20"/>
          <w:shd w:val="clear" w:color="auto" w:fill="FFFFFF"/>
        </w:rPr>
        <w:t>Ekuma</w:t>
      </w:r>
      <w:proofErr w:type="spellEnd"/>
      <w:r w:rsidRPr="00811D1E">
        <w:rPr>
          <w:rFonts w:ascii="Arial" w:hAnsi="Arial" w:cs="Arial"/>
          <w:color w:val="222222"/>
          <w:sz w:val="20"/>
          <w:szCs w:val="20"/>
          <w:shd w:val="clear" w:color="auto" w:fill="FFFFFF"/>
        </w:rPr>
        <w:t>, K., 2024. Artificial intelligence and automation in human resource development: A systematic review. </w:t>
      </w:r>
      <w:r w:rsidRPr="00811D1E">
        <w:rPr>
          <w:rFonts w:ascii="Arial" w:hAnsi="Arial" w:cs="Arial"/>
          <w:i/>
          <w:iCs/>
          <w:color w:val="222222"/>
          <w:sz w:val="20"/>
          <w:szCs w:val="20"/>
          <w:shd w:val="clear" w:color="auto" w:fill="FFFFFF"/>
        </w:rPr>
        <w:t>Human Resource Development Review</w:t>
      </w:r>
      <w:r w:rsidRPr="00811D1E">
        <w:rPr>
          <w:rFonts w:ascii="Arial" w:hAnsi="Arial" w:cs="Arial"/>
          <w:color w:val="222222"/>
          <w:sz w:val="20"/>
          <w:szCs w:val="20"/>
          <w:shd w:val="clear" w:color="auto" w:fill="FFFFFF"/>
        </w:rPr>
        <w:t>, </w:t>
      </w:r>
      <w:r w:rsidRPr="00811D1E">
        <w:rPr>
          <w:rFonts w:ascii="Arial" w:hAnsi="Arial" w:cs="Arial"/>
          <w:i/>
          <w:iCs/>
          <w:color w:val="222222"/>
          <w:sz w:val="20"/>
          <w:szCs w:val="20"/>
          <w:shd w:val="clear" w:color="auto" w:fill="FFFFFF"/>
        </w:rPr>
        <w:t>23</w:t>
      </w:r>
      <w:r w:rsidRPr="00811D1E">
        <w:rPr>
          <w:rFonts w:ascii="Arial" w:hAnsi="Arial" w:cs="Arial"/>
          <w:color w:val="222222"/>
          <w:sz w:val="20"/>
          <w:szCs w:val="20"/>
          <w:shd w:val="clear" w:color="auto" w:fill="FFFFFF"/>
        </w:rPr>
        <w:t>(2), pp.199-229.</w:t>
      </w:r>
    </w:p>
    <w:p w14:paraId="4F1EB452" w14:textId="77777777" w:rsidR="00811D1E" w:rsidRPr="00811D1E" w:rsidRDefault="00811D1E" w:rsidP="00811D1E">
      <w:pPr>
        <w:ind w:left="432" w:hanging="432"/>
        <w:jc w:val="both"/>
        <w:rPr>
          <w:rFonts w:ascii="Arial" w:hAnsi="Arial" w:cs="Arial"/>
          <w:color w:val="222222"/>
          <w:sz w:val="20"/>
          <w:szCs w:val="20"/>
          <w:shd w:val="clear" w:color="auto" w:fill="FFFFFF"/>
        </w:rPr>
      </w:pPr>
      <w:r w:rsidRPr="00811D1E">
        <w:rPr>
          <w:rFonts w:ascii="Arial" w:hAnsi="Arial" w:cs="Arial"/>
          <w:color w:val="222222"/>
          <w:sz w:val="20"/>
          <w:szCs w:val="20"/>
          <w:shd w:val="clear" w:color="auto" w:fill="FFFFFF"/>
        </w:rPr>
        <w:t>Ferdman, B.M., Prime, J. and Riggio, R.E., 2021. Inclusive leadership. </w:t>
      </w:r>
      <w:r w:rsidRPr="00811D1E">
        <w:rPr>
          <w:rFonts w:ascii="Arial" w:hAnsi="Arial" w:cs="Arial"/>
          <w:i/>
          <w:iCs/>
          <w:color w:val="222222"/>
          <w:sz w:val="20"/>
          <w:szCs w:val="20"/>
          <w:shd w:val="clear" w:color="auto" w:fill="FFFFFF"/>
        </w:rPr>
        <w:t>Inclusive leadership: Transforming diverse lives, workplaces, and societies</w:t>
      </w:r>
      <w:r w:rsidRPr="00811D1E">
        <w:rPr>
          <w:rFonts w:ascii="Arial" w:hAnsi="Arial" w:cs="Arial"/>
          <w:color w:val="222222"/>
          <w:sz w:val="20"/>
          <w:szCs w:val="20"/>
          <w:shd w:val="clear" w:color="auto" w:fill="FFFFFF"/>
        </w:rPr>
        <w:t>, pp.44-64.</w:t>
      </w:r>
    </w:p>
    <w:p w14:paraId="5F1210F5" w14:textId="573FC225" w:rsidR="00811D1E" w:rsidRPr="003C44B5" w:rsidRDefault="00811D1E" w:rsidP="0092057F">
      <w:pPr>
        <w:ind w:left="432" w:hanging="432"/>
        <w:jc w:val="both"/>
        <w:rPr>
          <w:rFonts w:ascii="Arial" w:hAnsi="Arial" w:cs="Arial"/>
          <w:color w:val="222222"/>
          <w:sz w:val="20"/>
          <w:szCs w:val="20"/>
          <w:shd w:val="clear" w:color="auto" w:fill="FFFFFF"/>
        </w:rPr>
      </w:pPr>
      <w:r w:rsidRPr="00811D1E">
        <w:rPr>
          <w:rFonts w:ascii="Arial" w:hAnsi="Arial" w:cs="Arial"/>
          <w:color w:val="222222"/>
          <w:sz w:val="20"/>
          <w:szCs w:val="20"/>
          <w:shd w:val="clear" w:color="auto" w:fill="FFFFFF"/>
        </w:rPr>
        <w:t>Fine, C., Sojo, V. and Lawford</w:t>
      </w:r>
      <w:r w:rsidRPr="00811D1E">
        <w:rPr>
          <w:rFonts w:ascii="Cambria Math" w:hAnsi="Cambria Math" w:cs="Cambria Math"/>
          <w:color w:val="222222"/>
          <w:sz w:val="20"/>
          <w:szCs w:val="20"/>
          <w:shd w:val="clear" w:color="auto" w:fill="FFFFFF"/>
        </w:rPr>
        <w:t>‐</w:t>
      </w:r>
      <w:r w:rsidRPr="00811D1E">
        <w:rPr>
          <w:rFonts w:ascii="Arial" w:hAnsi="Arial" w:cs="Arial"/>
          <w:color w:val="222222"/>
          <w:sz w:val="20"/>
          <w:szCs w:val="20"/>
          <w:shd w:val="clear" w:color="auto" w:fill="FFFFFF"/>
        </w:rPr>
        <w:t>Smith, H., 2020. Why does workplace gender diversity matter? Justice, organizational benefits, and policy. </w:t>
      </w:r>
      <w:r w:rsidRPr="00811D1E">
        <w:rPr>
          <w:rFonts w:ascii="Arial" w:hAnsi="Arial" w:cs="Arial"/>
          <w:i/>
          <w:iCs/>
          <w:color w:val="222222"/>
          <w:sz w:val="20"/>
          <w:szCs w:val="20"/>
          <w:shd w:val="clear" w:color="auto" w:fill="FFFFFF"/>
        </w:rPr>
        <w:t>Social Issues and Policy Review</w:t>
      </w:r>
      <w:r w:rsidRPr="00811D1E">
        <w:rPr>
          <w:rFonts w:ascii="Arial" w:hAnsi="Arial" w:cs="Arial"/>
          <w:color w:val="222222"/>
          <w:sz w:val="20"/>
          <w:szCs w:val="20"/>
          <w:shd w:val="clear" w:color="auto" w:fill="FFFFFF"/>
        </w:rPr>
        <w:t>, </w:t>
      </w:r>
      <w:r w:rsidRPr="00811D1E">
        <w:rPr>
          <w:rFonts w:ascii="Arial" w:hAnsi="Arial" w:cs="Arial"/>
          <w:i/>
          <w:iCs/>
          <w:color w:val="222222"/>
          <w:sz w:val="20"/>
          <w:szCs w:val="20"/>
          <w:shd w:val="clear" w:color="auto" w:fill="FFFFFF"/>
        </w:rPr>
        <w:t>14</w:t>
      </w:r>
      <w:r w:rsidRPr="00811D1E">
        <w:rPr>
          <w:rFonts w:ascii="Arial" w:hAnsi="Arial" w:cs="Arial"/>
          <w:color w:val="222222"/>
          <w:sz w:val="20"/>
          <w:szCs w:val="20"/>
          <w:shd w:val="clear" w:color="auto" w:fill="FFFFFF"/>
        </w:rPr>
        <w:t>(1), pp.36-72.</w:t>
      </w:r>
    </w:p>
    <w:p w14:paraId="6EEC5FA4" w14:textId="77777777" w:rsidR="00811D1E" w:rsidRPr="00811D1E" w:rsidRDefault="00811D1E" w:rsidP="00811D1E">
      <w:pPr>
        <w:ind w:left="432" w:hanging="432"/>
        <w:jc w:val="both"/>
        <w:rPr>
          <w:rFonts w:ascii="Arial" w:hAnsi="Arial" w:cs="Arial"/>
          <w:color w:val="222222"/>
          <w:sz w:val="20"/>
          <w:szCs w:val="20"/>
          <w:shd w:val="clear" w:color="auto" w:fill="FFFFFF"/>
        </w:rPr>
      </w:pPr>
      <w:r w:rsidRPr="00811D1E">
        <w:rPr>
          <w:rFonts w:ascii="Arial" w:hAnsi="Arial" w:cs="Arial"/>
          <w:color w:val="222222"/>
          <w:sz w:val="20"/>
          <w:szCs w:val="20"/>
          <w:shd w:val="clear" w:color="auto" w:fill="FFFFFF"/>
        </w:rPr>
        <w:t>Fitzsimmons, T.W., Yates, M. and Callan, V.J., 2025. Leading for gender equality. </w:t>
      </w:r>
      <w:r w:rsidRPr="00811D1E">
        <w:rPr>
          <w:rFonts w:ascii="Arial" w:hAnsi="Arial" w:cs="Arial"/>
          <w:i/>
          <w:iCs/>
          <w:color w:val="222222"/>
          <w:sz w:val="20"/>
          <w:szCs w:val="20"/>
          <w:shd w:val="clear" w:color="auto" w:fill="FFFFFF"/>
        </w:rPr>
        <w:t>Australian Journal of Management</w:t>
      </w:r>
      <w:r w:rsidRPr="00811D1E">
        <w:rPr>
          <w:rFonts w:ascii="Arial" w:hAnsi="Arial" w:cs="Arial"/>
          <w:color w:val="222222"/>
          <w:sz w:val="20"/>
          <w:szCs w:val="20"/>
          <w:shd w:val="clear" w:color="auto" w:fill="FFFFFF"/>
        </w:rPr>
        <w:t>, p.03128962251338335.</w:t>
      </w:r>
    </w:p>
    <w:p w14:paraId="1941D633" w14:textId="38F5609B" w:rsidR="008C51AE" w:rsidRPr="0092057F" w:rsidRDefault="00811D1E" w:rsidP="0092057F">
      <w:pPr>
        <w:ind w:left="432" w:hanging="432"/>
        <w:jc w:val="both"/>
        <w:rPr>
          <w:rFonts w:ascii="Arial" w:hAnsi="Arial" w:cs="Arial"/>
          <w:color w:val="222222"/>
          <w:sz w:val="20"/>
          <w:szCs w:val="20"/>
          <w:shd w:val="clear" w:color="auto" w:fill="FFFFFF"/>
        </w:rPr>
      </w:pPr>
      <w:proofErr w:type="spellStart"/>
      <w:r w:rsidRPr="00811D1E">
        <w:rPr>
          <w:rFonts w:ascii="Arial" w:hAnsi="Arial" w:cs="Arial"/>
          <w:color w:val="222222"/>
          <w:sz w:val="20"/>
          <w:szCs w:val="20"/>
          <w:shd w:val="clear" w:color="auto" w:fill="FFFFFF"/>
        </w:rPr>
        <w:t>Fotaki</w:t>
      </w:r>
      <w:proofErr w:type="spellEnd"/>
      <w:r w:rsidRPr="00811D1E">
        <w:rPr>
          <w:rFonts w:ascii="Arial" w:hAnsi="Arial" w:cs="Arial"/>
          <w:color w:val="222222"/>
          <w:sz w:val="20"/>
          <w:szCs w:val="20"/>
          <w:shd w:val="clear" w:color="auto" w:fill="FFFFFF"/>
        </w:rPr>
        <w:t>, M. and Pullen, A., 2024. Feminist theories and activist practices in organization studies. </w:t>
      </w:r>
      <w:r w:rsidRPr="00811D1E">
        <w:rPr>
          <w:rFonts w:ascii="Arial" w:hAnsi="Arial" w:cs="Arial"/>
          <w:i/>
          <w:iCs/>
          <w:color w:val="222222"/>
          <w:sz w:val="20"/>
          <w:szCs w:val="20"/>
          <w:shd w:val="clear" w:color="auto" w:fill="FFFFFF"/>
        </w:rPr>
        <w:t>Organization Studies</w:t>
      </w:r>
      <w:r w:rsidRPr="00811D1E">
        <w:rPr>
          <w:rFonts w:ascii="Arial" w:hAnsi="Arial" w:cs="Arial"/>
          <w:color w:val="222222"/>
          <w:sz w:val="20"/>
          <w:szCs w:val="20"/>
          <w:shd w:val="clear" w:color="auto" w:fill="FFFFFF"/>
        </w:rPr>
        <w:t>, </w:t>
      </w:r>
      <w:r w:rsidRPr="00811D1E">
        <w:rPr>
          <w:rFonts w:ascii="Arial" w:hAnsi="Arial" w:cs="Arial"/>
          <w:i/>
          <w:iCs/>
          <w:color w:val="222222"/>
          <w:sz w:val="20"/>
          <w:szCs w:val="20"/>
          <w:shd w:val="clear" w:color="auto" w:fill="FFFFFF"/>
        </w:rPr>
        <w:t>45</w:t>
      </w:r>
      <w:r w:rsidRPr="00811D1E">
        <w:rPr>
          <w:rFonts w:ascii="Arial" w:hAnsi="Arial" w:cs="Arial"/>
          <w:color w:val="222222"/>
          <w:sz w:val="20"/>
          <w:szCs w:val="20"/>
          <w:shd w:val="clear" w:color="auto" w:fill="FFFFFF"/>
        </w:rPr>
        <w:t>(4), pp.593-616.</w:t>
      </w:r>
    </w:p>
    <w:p w14:paraId="439CD860" w14:textId="4B1473B4" w:rsidR="00EB3B2B" w:rsidRPr="0092057F" w:rsidRDefault="00D64747" w:rsidP="00343A7D">
      <w:pPr>
        <w:pStyle w:val="NormalWeb"/>
        <w:spacing w:line="360" w:lineRule="auto"/>
        <w:ind w:left="567" w:hanging="567"/>
        <w:jc w:val="both"/>
        <w:rPr>
          <w:rFonts w:asciiTheme="minorHAnsi" w:hAnsiTheme="minorHAnsi"/>
          <w:sz w:val="20"/>
          <w:szCs w:val="20"/>
        </w:rPr>
      </w:pPr>
      <w:r w:rsidRPr="00343A7D">
        <w:rPr>
          <w:rFonts w:asciiTheme="minorHAnsi" w:hAnsiTheme="minorHAnsi"/>
          <w:i/>
          <w:iCs/>
          <w:color w:val="000000" w:themeColor="text1"/>
        </w:rPr>
        <w:t xml:space="preserve"> </w:t>
      </w:r>
      <w:r w:rsidR="00D54396" w:rsidRPr="0092057F">
        <w:rPr>
          <w:rFonts w:asciiTheme="minorHAnsi" w:hAnsiTheme="minorHAnsi"/>
          <w:color w:val="000000" w:themeColor="text1"/>
          <w:sz w:val="20"/>
          <w:szCs w:val="20"/>
        </w:rPr>
        <w:t>FTSE women leaders review 2025</w:t>
      </w:r>
      <w:r w:rsidR="00D54396" w:rsidRPr="0092057F">
        <w:rPr>
          <w:rFonts w:asciiTheme="minorHAnsi" w:hAnsiTheme="minorHAnsi"/>
          <w:i/>
          <w:iCs/>
          <w:color w:val="000000" w:themeColor="text1"/>
          <w:sz w:val="20"/>
          <w:szCs w:val="20"/>
        </w:rPr>
        <w:t xml:space="preserve">: Progress, Challenges, and the road to gender parity (2025) WIBF. </w:t>
      </w:r>
      <w:hyperlink r:id="rId21" w:history="1">
        <w:r w:rsidR="00D54396" w:rsidRPr="00D10567">
          <w:rPr>
            <w:rStyle w:val="Hyperlink"/>
            <w:rFonts w:asciiTheme="minorHAnsi" w:hAnsiTheme="minorHAnsi"/>
            <w:color w:val="000000" w:themeColor="text1"/>
            <w:sz w:val="20"/>
            <w:szCs w:val="20"/>
            <w:u w:val="none"/>
          </w:rPr>
          <w:t>https://www.wibf.org.uk/news/ftse-women-leaders-review-2025-progress-challenges-and-the-road-to-gender-parity/</w:t>
        </w:r>
      </w:hyperlink>
    </w:p>
    <w:p w14:paraId="49CD1244" w14:textId="77777777" w:rsidR="00811D1E" w:rsidRPr="006A53BB" w:rsidRDefault="00811D1E" w:rsidP="006A53BB">
      <w:pPr>
        <w:pStyle w:val="NormalWeb"/>
        <w:ind w:left="567" w:hanging="567"/>
        <w:jc w:val="both"/>
        <w:rPr>
          <w:rFonts w:asciiTheme="minorHAnsi" w:hAnsiTheme="minorHAnsi"/>
          <w:sz w:val="20"/>
          <w:szCs w:val="20"/>
        </w:rPr>
      </w:pPr>
      <w:r w:rsidRPr="006A53BB">
        <w:rPr>
          <w:rFonts w:asciiTheme="minorHAnsi" w:hAnsiTheme="minorHAnsi"/>
          <w:sz w:val="20"/>
          <w:szCs w:val="20"/>
        </w:rPr>
        <w:lastRenderedPageBreak/>
        <w:t>Gardiner, A., Chur-Hansen, A., Turnbull, D. and Semmler, C., 2023. Qualitative evaluations of women’s leadership programs: a global, multi-sector systematic review. </w:t>
      </w:r>
      <w:r w:rsidRPr="006A53BB">
        <w:rPr>
          <w:rFonts w:asciiTheme="minorHAnsi" w:hAnsiTheme="minorHAnsi"/>
          <w:i/>
          <w:iCs/>
          <w:sz w:val="20"/>
          <w:szCs w:val="20"/>
        </w:rPr>
        <w:t>Australian Journal of Psychology</w:t>
      </w:r>
      <w:r w:rsidRPr="006A53BB">
        <w:rPr>
          <w:rFonts w:asciiTheme="minorHAnsi" w:hAnsiTheme="minorHAnsi"/>
          <w:sz w:val="20"/>
          <w:szCs w:val="20"/>
        </w:rPr>
        <w:t>, </w:t>
      </w:r>
      <w:r w:rsidRPr="006A53BB">
        <w:rPr>
          <w:rFonts w:asciiTheme="minorHAnsi" w:hAnsiTheme="minorHAnsi"/>
          <w:i/>
          <w:iCs/>
          <w:sz w:val="20"/>
          <w:szCs w:val="20"/>
        </w:rPr>
        <w:t>75</w:t>
      </w:r>
      <w:r w:rsidRPr="006A53BB">
        <w:rPr>
          <w:rFonts w:asciiTheme="minorHAnsi" w:hAnsiTheme="minorHAnsi"/>
          <w:sz w:val="20"/>
          <w:szCs w:val="20"/>
        </w:rPr>
        <w:t>(1), p.2213781.</w:t>
      </w:r>
    </w:p>
    <w:p w14:paraId="157D13A2" w14:textId="77777777" w:rsidR="00811D1E" w:rsidRPr="006A53BB" w:rsidRDefault="00811D1E" w:rsidP="006A53BB">
      <w:pPr>
        <w:pStyle w:val="NormalWeb"/>
        <w:ind w:left="567" w:hanging="567"/>
        <w:jc w:val="both"/>
        <w:rPr>
          <w:rFonts w:asciiTheme="minorHAnsi" w:hAnsiTheme="minorHAnsi"/>
          <w:sz w:val="20"/>
          <w:szCs w:val="20"/>
        </w:rPr>
      </w:pPr>
      <w:r w:rsidRPr="006A53BB">
        <w:rPr>
          <w:rFonts w:asciiTheme="minorHAnsi" w:hAnsiTheme="minorHAnsi"/>
          <w:sz w:val="20"/>
          <w:szCs w:val="20"/>
        </w:rPr>
        <w:t>Gierke, L.A., Schlamp, S. and Gerpott, F.H., 2025. Which organisational context factors help women to obtain and retain leadership positions in the 21st century? A systematic review and research agenda for human resource management. </w:t>
      </w:r>
      <w:r w:rsidRPr="006A53BB">
        <w:rPr>
          <w:rFonts w:asciiTheme="minorHAnsi" w:hAnsiTheme="minorHAnsi"/>
          <w:i/>
          <w:iCs/>
          <w:sz w:val="20"/>
          <w:szCs w:val="20"/>
        </w:rPr>
        <w:t>Human Resource Management Journal</w:t>
      </w:r>
      <w:r w:rsidRPr="006A53BB">
        <w:rPr>
          <w:rFonts w:asciiTheme="minorHAnsi" w:hAnsiTheme="minorHAnsi"/>
          <w:sz w:val="20"/>
          <w:szCs w:val="20"/>
        </w:rPr>
        <w:t>, </w:t>
      </w:r>
      <w:r w:rsidRPr="006A53BB">
        <w:rPr>
          <w:rFonts w:asciiTheme="minorHAnsi" w:hAnsiTheme="minorHAnsi"/>
          <w:i/>
          <w:iCs/>
          <w:sz w:val="20"/>
          <w:szCs w:val="20"/>
        </w:rPr>
        <w:t>35</w:t>
      </w:r>
      <w:r w:rsidRPr="006A53BB">
        <w:rPr>
          <w:rFonts w:asciiTheme="minorHAnsi" w:hAnsiTheme="minorHAnsi"/>
          <w:sz w:val="20"/>
          <w:szCs w:val="20"/>
        </w:rPr>
        <w:t>(1), pp.336-370.</w:t>
      </w:r>
    </w:p>
    <w:p w14:paraId="5103EE29" w14:textId="77777777" w:rsidR="00811D1E" w:rsidRPr="006A53BB" w:rsidRDefault="00811D1E" w:rsidP="006A53BB">
      <w:pPr>
        <w:pStyle w:val="NormalWeb"/>
        <w:ind w:left="567" w:hanging="567"/>
        <w:jc w:val="both"/>
        <w:rPr>
          <w:rFonts w:asciiTheme="minorHAnsi" w:hAnsiTheme="minorHAnsi"/>
          <w:sz w:val="20"/>
          <w:szCs w:val="20"/>
        </w:rPr>
      </w:pPr>
      <w:r w:rsidRPr="006A53BB">
        <w:rPr>
          <w:rFonts w:asciiTheme="minorHAnsi" w:hAnsiTheme="minorHAnsi"/>
          <w:sz w:val="20"/>
          <w:szCs w:val="20"/>
        </w:rPr>
        <w:t>Geerts, J.M., 2024. Maximizing the impact and ROI of leadership development: A theory-and evidence-informed framework. </w:t>
      </w:r>
      <w:proofErr w:type="spellStart"/>
      <w:r w:rsidRPr="006A53BB">
        <w:rPr>
          <w:rFonts w:asciiTheme="minorHAnsi" w:hAnsiTheme="minorHAnsi"/>
          <w:i/>
          <w:iCs/>
          <w:sz w:val="20"/>
          <w:szCs w:val="20"/>
        </w:rPr>
        <w:t>Behavioral</w:t>
      </w:r>
      <w:proofErr w:type="spellEnd"/>
      <w:r w:rsidRPr="006A53BB">
        <w:rPr>
          <w:rFonts w:asciiTheme="minorHAnsi" w:hAnsiTheme="minorHAnsi"/>
          <w:i/>
          <w:iCs/>
          <w:sz w:val="20"/>
          <w:szCs w:val="20"/>
        </w:rPr>
        <w:t xml:space="preserve"> Sciences</w:t>
      </w:r>
      <w:r w:rsidRPr="006A53BB">
        <w:rPr>
          <w:rFonts w:asciiTheme="minorHAnsi" w:hAnsiTheme="minorHAnsi"/>
          <w:sz w:val="20"/>
          <w:szCs w:val="20"/>
        </w:rPr>
        <w:t>, </w:t>
      </w:r>
      <w:r w:rsidRPr="006A53BB">
        <w:rPr>
          <w:rFonts w:asciiTheme="minorHAnsi" w:hAnsiTheme="minorHAnsi"/>
          <w:i/>
          <w:iCs/>
          <w:sz w:val="20"/>
          <w:szCs w:val="20"/>
        </w:rPr>
        <w:t>14</w:t>
      </w:r>
      <w:r w:rsidRPr="006A53BB">
        <w:rPr>
          <w:rFonts w:asciiTheme="minorHAnsi" w:hAnsiTheme="minorHAnsi"/>
          <w:sz w:val="20"/>
          <w:szCs w:val="20"/>
        </w:rPr>
        <w:t>(10), p.955.</w:t>
      </w:r>
    </w:p>
    <w:p w14:paraId="4CF4324B" w14:textId="3C31FDCC" w:rsidR="00811D1E" w:rsidRPr="006A53BB" w:rsidRDefault="00811D1E" w:rsidP="006A53BB">
      <w:pPr>
        <w:pStyle w:val="NormalWeb"/>
        <w:ind w:left="567" w:hanging="567"/>
        <w:jc w:val="both"/>
        <w:rPr>
          <w:rFonts w:asciiTheme="minorHAnsi" w:hAnsiTheme="minorHAnsi"/>
          <w:b/>
          <w:bCs/>
          <w:sz w:val="20"/>
          <w:szCs w:val="20"/>
        </w:rPr>
      </w:pPr>
      <w:proofErr w:type="spellStart"/>
      <w:r w:rsidRPr="006A53BB">
        <w:rPr>
          <w:rFonts w:asciiTheme="minorHAnsi" w:hAnsiTheme="minorHAnsi"/>
          <w:sz w:val="20"/>
          <w:szCs w:val="20"/>
        </w:rPr>
        <w:t>Gr</w:t>
      </w:r>
      <w:r w:rsidR="00E55B7C">
        <w:rPr>
          <w:rFonts w:asciiTheme="minorHAnsi" w:hAnsiTheme="minorHAnsi"/>
          <w:sz w:val="20"/>
          <w:szCs w:val="20"/>
        </w:rPr>
        <w:t>o</w:t>
      </w:r>
      <w:r w:rsidRPr="006A53BB">
        <w:rPr>
          <w:rFonts w:asciiTheme="minorHAnsi" w:hAnsiTheme="minorHAnsi"/>
          <w:sz w:val="20"/>
          <w:szCs w:val="20"/>
        </w:rPr>
        <w:t>schl</w:t>
      </w:r>
      <w:proofErr w:type="spellEnd"/>
      <w:r w:rsidRPr="006A53BB">
        <w:rPr>
          <w:rFonts w:asciiTheme="minorHAnsi" w:hAnsiTheme="minorHAnsi"/>
          <w:sz w:val="20"/>
          <w:szCs w:val="20"/>
        </w:rPr>
        <w:t>, S., Gabaldon, P., Hahn, T. and Kelan, E.K., 2025. The emergence and effects of sponsors for women leaders. </w:t>
      </w:r>
      <w:r w:rsidRPr="006A53BB">
        <w:rPr>
          <w:rFonts w:asciiTheme="minorHAnsi" w:hAnsiTheme="minorHAnsi"/>
          <w:i/>
          <w:iCs/>
          <w:sz w:val="20"/>
          <w:szCs w:val="20"/>
        </w:rPr>
        <w:t>Gender, Work &amp; Organization</w:t>
      </w:r>
      <w:r w:rsidRPr="006A53BB">
        <w:rPr>
          <w:rFonts w:asciiTheme="minorHAnsi" w:hAnsiTheme="minorHAnsi"/>
          <w:sz w:val="20"/>
          <w:szCs w:val="20"/>
        </w:rPr>
        <w:t>, </w:t>
      </w:r>
      <w:r w:rsidRPr="006A53BB">
        <w:rPr>
          <w:rFonts w:asciiTheme="minorHAnsi" w:hAnsiTheme="minorHAnsi"/>
          <w:i/>
          <w:iCs/>
          <w:sz w:val="20"/>
          <w:szCs w:val="20"/>
        </w:rPr>
        <w:t>32</w:t>
      </w:r>
      <w:r w:rsidRPr="006A53BB">
        <w:rPr>
          <w:rFonts w:asciiTheme="minorHAnsi" w:hAnsiTheme="minorHAnsi"/>
          <w:sz w:val="20"/>
          <w:szCs w:val="20"/>
        </w:rPr>
        <w:t>(5), pp.1786-1796.</w:t>
      </w:r>
    </w:p>
    <w:p w14:paraId="75152101" w14:textId="77777777" w:rsidR="00811D1E" w:rsidRPr="00D90745" w:rsidRDefault="00811D1E" w:rsidP="00D90745">
      <w:pPr>
        <w:pStyle w:val="NormalWeb"/>
        <w:ind w:left="567" w:hanging="567"/>
        <w:jc w:val="both"/>
        <w:rPr>
          <w:rFonts w:asciiTheme="minorHAnsi" w:hAnsiTheme="minorHAnsi"/>
          <w:sz w:val="20"/>
          <w:szCs w:val="20"/>
        </w:rPr>
      </w:pPr>
      <w:r w:rsidRPr="00D90745">
        <w:rPr>
          <w:rFonts w:asciiTheme="minorHAnsi" w:hAnsiTheme="minorHAnsi"/>
          <w:sz w:val="20"/>
          <w:szCs w:val="20"/>
        </w:rPr>
        <w:t xml:space="preserve">GOV.UK (2026) </w:t>
      </w:r>
      <w:r w:rsidRPr="00D90745">
        <w:rPr>
          <w:rFonts w:asciiTheme="minorHAnsi" w:hAnsiTheme="minorHAnsi"/>
          <w:i/>
          <w:iCs/>
          <w:sz w:val="20"/>
          <w:szCs w:val="20"/>
        </w:rPr>
        <w:t>Gender pay gap reporting: guidance for employers</w:t>
      </w:r>
      <w:r w:rsidRPr="00D90745">
        <w:rPr>
          <w:rFonts w:asciiTheme="minorHAnsi" w:hAnsiTheme="minorHAnsi"/>
          <w:sz w:val="20"/>
          <w:szCs w:val="20"/>
        </w:rPr>
        <w:t xml:space="preserve">. </w:t>
      </w:r>
      <w:hyperlink r:id="rId22" w:history="1">
        <w:r w:rsidRPr="00D90745">
          <w:rPr>
            <w:rStyle w:val="Hyperlink"/>
            <w:rFonts w:asciiTheme="minorHAnsi" w:hAnsiTheme="minorHAnsi"/>
            <w:sz w:val="20"/>
            <w:szCs w:val="20"/>
            <w:u w:val="none"/>
          </w:rPr>
          <w:t>https://www.gov.uk/government/publications/gender-pay-gap-reporting-guidance-for-employers/</w:t>
        </w:r>
      </w:hyperlink>
      <w:r w:rsidRPr="00D90745">
        <w:rPr>
          <w:rFonts w:asciiTheme="minorHAnsi" w:hAnsiTheme="minorHAnsi"/>
          <w:sz w:val="20"/>
          <w:szCs w:val="20"/>
        </w:rPr>
        <w:t xml:space="preserve">. </w:t>
      </w:r>
    </w:p>
    <w:p w14:paraId="6DB9E098" w14:textId="77777777" w:rsidR="00811D1E" w:rsidRPr="00D90745" w:rsidRDefault="00811D1E" w:rsidP="00D90745">
      <w:pPr>
        <w:pStyle w:val="NormalWeb"/>
        <w:ind w:left="567" w:hanging="567"/>
        <w:jc w:val="both"/>
        <w:rPr>
          <w:rFonts w:asciiTheme="minorHAnsi" w:hAnsiTheme="minorHAnsi"/>
          <w:sz w:val="20"/>
          <w:szCs w:val="20"/>
        </w:rPr>
      </w:pPr>
      <w:r w:rsidRPr="00D90745">
        <w:rPr>
          <w:rFonts w:asciiTheme="minorHAnsi" w:hAnsiTheme="minorHAnsi"/>
          <w:sz w:val="20"/>
          <w:szCs w:val="20"/>
        </w:rPr>
        <w:t xml:space="preserve">Hall, W., Schmader, T., Cyr, E.N. and Bergsieker (2023) </w:t>
      </w:r>
      <w:r w:rsidRPr="00D90745">
        <w:rPr>
          <w:rFonts w:asciiTheme="minorHAnsi" w:hAnsiTheme="minorHAnsi"/>
          <w:i/>
          <w:iCs/>
          <w:sz w:val="20"/>
          <w:szCs w:val="20"/>
        </w:rPr>
        <w:t>Collectively constructing gender-inclusive work cultures in STEM</w:t>
      </w:r>
      <w:r w:rsidRPr="00D90745">
        <w:rPr>
          <w:rFonts w:asciiTheme="minorHAnsi" w:hAnsiTheme="minorHAnsi"/>
          <w:sz w:val="20"/>
          <w:szCs w:val="20"/>
        </w:rPr>
        <w:t xml:space="preserve"> </w:t>
      </w:r>
      <w:hyperlink r:id="rId23" w:history="1">
        <w:r w:rsidRPr="00D90745">
          <w:rPr>
            <w:rStyle w:val="Hyperlink"/>
            <w:rFonts w:asciiTheme="minorHAnsi" w:hAnsiTheme="minorHAnsi"/>
            <w:sz w:val="20"/>
            <w:szCs w:val="20"/>
            <w:u w:val="none"/>
          </w:rPr>
          <w:t>https://www.tandfonline.com/doi/pdf/10.1080/10463283.2022.2109294/s</w:t>
        </w:r>
      </w:hyperlink>
    </w:p>
    <w:p w14:paraId="2F5BA1C7" w14:textId="77777777" w:rsidR="00811D1E" w:rsidRPr="00811D1E" w:rsidRDefault="00811D1E" w:rsidP="00D90745">
      <w:pPr>
        <w:pStyle w:val="NormalWeb"/>
        <w:ind w:left="567" w:hanging="567"/>
        <w:jc w:val="both"/>
      </w:pPr>
      <w:r w:rsidRPr="00D90745">
        <w:rPr>
          <w:rFonts w:asciiTheme="minorHAnsi" w:hAnsiTheme="minorHAnsi"/>
          <w:sz w:val="20"/>
          <w:szCs w:val="20"/>
        </w:rPr>
        <w:t>Hanelt, A., Bohnsack, R., Marz, D. and Antunes Marante, C., 2021. A systematic review of the literature on digital transformation: Insights and implications for strategy and organizational change. </w:t>
      </w:r>
      <w:r w:rsidRPr="00D90745">
        <w:rPr>
          <w:rFonts w:asciiTheme="minorHAnsi" w:hAnsiTheme="minorHAnsi"/>
          <w:i/>
          <w:iCs/>
          <w:sz w:val="20"/>
          <w:szCs w:val="20"/>
        </w:rPr>
        <w:t>Journal of management studies</w:t>
      </w:r>
      <w:r w:rsidRPr="00D90745">
        <w:rPr>
          <w:rFonts w:asciiTheme="minorHAnsi" w:hAnsiTheme="minorHAnsi"/>
          <w:sz w:val="20"/>
          <w:szCs w:val="20"/>
        </w:rPr>
        <w:t>, </w:t>
      </w:r>
      <w:r w:rsidRPr="00D90745">
        <w:rPr>
          <w:rFonts w:asciiTheme="minorHAnsi" w:hAnsiTheme="minorHAnsi"/>
          <w:i/>
          <w:iCs/>
          <w:sz w:val="20"/>
          <w:szCs w:val="20"/>
        </w:rPr>
        <w:t>58</w:t>
      </w:r>
      <w:r w:rsidRPr="00D90745">
        <w:rPr>
          <w:rFonts w:asciiTheme="minorHAnsi" w:hAnsiTheme="minorHAnsi"/>
          <w:sz w:val="20"/>
          <w:szCs w:val="20"/>
        </w:rPr>
        <w:t>(5), pp.1159-1197.</w:t>
      </w:r>
    </w:p>
    <w:p w14:paraId="703BB4BB" w14:textId="77777777" w:rsidR="00811D1E" w:rsidRPr="00EA4B69" w:rsidRDefault="00811D1E" w:rsidP="00EA4B69">
      <w:pPr>
        <w:pStyle w:val="NormalWeb"/>
        <w:ind w:left="567" w:hanging="567"/>
        <w:jc w:val="both"/>
        <w:rPr>
          <w:rFonts w:asciiTheme="minorHAnsi" w:hAnsiTheme="minorHAnsi"/>
          <w:sz w:val="20"/>
          <w:szCs w:val="20"/>
        </w:rPr>
      </w:pPr>
      <w:r w:rsidRPr="00EA4B69">
        <w:rPr>
          <w:rFonts w:asciiTheme="minorHAnsi" w:hAnsiTheme="minorHAnsi"/>
          <w:sz w:val="20"/>
          <w:szCs w:val="20"/>
        </w:rPr>
        <w:t>Hillberg Jarl, F., 2024. The impact of leadership on the workplace learning of individuals and teams: A literature review and synthesis. </w:t>
      </w:r>
      <w:r w:rsidRPr="00EA4B69">
        <w:rPr>
          <w:rFonts w:asciiTheme="minorHAnsi" w:hAnsiTheme="minorHAnsi"/>
          <w:i/>
          <w:iCs/>
          <w:sz w:val="20"/>
          <w:szCs w:val="20"/>
        </w:rPr>
        <w:t>The Learning Organization</w:t>
      </w:r>
      <w:r w:rsidRPr="00EA4B69">
        <w:rPr>
          <w:rFonts w:asciiTheme="minorHAnsi" w:hAnsiTheme="minorHAnsi"/>
          <w:sz w:val="20"/>
          <w:szCs w:val="20"/>
        </w:rPr>
        <w:t>, </w:t>
      </w:r>
      <w:r w:rsidRPr="00EA4B69">
        <w:rPr>
          <w:rFonts w:asciiTheme="minorHAnsi" w:hAnsiTheme="minorHAnsi"/>
          <w:i/>
          <w:iCs/>
          <w:sz w:val="20"/>
          <w:szCs w:val="20"/>
        </w:rPr>
        <w:t>31</w:t>
      </w:r>
      <w:r w:rsidRPr="00EA4B69">
        <w:rPr>
          <w:rFonts w:asciiTheme="minorHAnsi" w:hAnsiTheme="minorHAnsi"/>
          <w:sz w:val="20"/>
          <w:szCs w:val="20"/>
        </w:rPr>
        <w:t>(3), pp.411-439.</w:t>
      </w:r>
    </w:p>
    <w:p w14:paraId="11A79B2A" w14:textId="77777777" w:rsidR="00811D1E" w:rsidRPr="00EA4B69" w:rsidRDefault="00811D1E" w:rsidP="00EA4B69">
      <w:pPr>
        <w:pStyle w:val="NormalWeb"/>
        <w:ind w:left="567" w:hanging="567"/>
        <w:jc w:val="both"/>
        <w:rPr>
          <w:rFonts w:asciiTheme="minorHAnsi" w:hAnsiTheme="minorHAnsi"/>
          <w:sz w:val="20"/>
          <w:szCs w:val="20"/>
        </w:rPr>
      </w:pPr>
      <w:r w:rsidRPr="00EA4B69">
        <w:rPr>
          <w:rFonts w:asciiTheme="minorHAnsi" w:hAnsiTheme="minorHAnsi"/>
          <w:sz w:val="20"/>
          <w:szCs w:val="20"/>
        </w:rPr>
        <w:t xml:space="preserve">Hing, L.S.S., Sakr, N., Sorenson, J.B., Stamarski, C.S., </w:t>
      </w:r>
      <w:proofErr w:type="spellStart"/>
      <w:r w:rsidRPr="00EA4B69">
        <w:rPr>
          <w:rFonts w:asciiTheme="minorHAnsi" w:hAnsiTheme="minorHAnsi"/>
          <w:sz w:val="20"/>
          <w:szCs w:val="20"/>
        </w:rPr>
        <w:t>Caniera</w:t>
      </w:r>
      <w:proofErr w:type="spellEnd"/>
      <w:r w:rsidRPr="00EA4B69">
        <w:rPr>
          <w:rFonts w:asciiTheme="minorHAnsi" w:hAnsiTheme="minorHAnsi"/>
          <w:sz w:val="20"/>
          <w:szCs w:val="20"/>
        </w:rPr>
        <w:t>, K. and Colaco, C., 2023. Gender inequities in the workplace: A holistic review of organizational processes and practices. </w:t>
      </w:r>
      <w:r w:rsidRPr="00EA4B69">
        <w:rPr>
          <w:rFonts w:asciiTheme="minorHAnsi" w:hAnsiTheme="minorHAnsi"/>
          <w:i/>
          <w:iCs/>
          <w:sz w:val="20"/>
          <w:szCs w:val="20"/>
        </w:rPr>
        <w:t>Human Resource Management Review</w:t>
      </w:r>
      <w:r w:rsidRPr="00EA4B69">
        <w:rPr>
          <w:rFonts w:asciiTheme="minorHAnsi" w:hAnsiTheme="minorHAnsi"/>
          <w:sz w:val="20"/>
          <w:szCs w:val="20"/>
        </w:rPr>
        <w:t>, </w:t>
      </w:r>
      <w:r w:rsidRPr="00EA4B69">
        <w:rPr>
          <w:rFonts w:asciiTheme="minorHAnsi" w:hAnsiTheme="minorHAnsi"/>
          <w:i/>
          <w:iCs/>
          <w:sz w:val="20"/>
          <w:szCs w:val="20"/>
        </w:rPr>
        <w:t>33</w:t>
      </w:r>
      <w:r w:rsidRPr="00EA4B69">
        <w:rPr>
          <w:rFonts w:asciiTheme="minorHAnsi" w:hAnsiTheme="minorHAnsi"/>
          <w:sz w:val="20"/>
          <w:szCs w:val="20"/>
        </w:rPr>
        <w:t>(3), p.100968</w:t>
      </w:r>
    </w:p>
    <w:p w14:paraId="55CF4A8B" w14:textId="3D37254F" w:rsidR="00811D1E" w:rsidRPr="00EA4B69" w:rsidRDefault="00811D1E" w:rsidP="00EA4B69">
      <w:pPr>
        <w:pStyle w:val="NormalWeb"/>
        <w:spacing w:line="360" w:lineRule="auto"/>
        <w:ind w:left="567" w:hanging="567"/>
        <w:jc w:val="both"/>
        <w:rPr>
          <w:rFonts w:asciiTheme="minorHAnsi" w:hAnsiTheme="minorHAnsi"/>
          <w:sz w:val="20"/>
          <w:szCs w:val="20"/>
        </w:rPr>
      </w:pPr>
      <w:r w:rsidRPr="00EA4B69">
        <w:rPr>
          <w:rFonts w:asciiTheme="minorHAnsi" w:hAnsiTheme="minorHAnsi"/>
          <w:i/>
          <w:iCs/>
          <w:sz w:val="20"/>
          <w:szCs w:val="20"/>
        </w:rPr>
        <w:t>Home 2026</w:t>
      </w:r>
      <w:r w:rsidRPr="00EA4B69">
        <w:rPr>
          <w:rFonts w:asciiTheme="minorHAnsi" w:hAnsiTheme="minorHAnsi"/>
          <w:sz w:val="20"/>
          <w:szCs w:val="20"/>
        </w:rPr>
        <w:t xml:space="preserve"> (2026) </w:t>
      </w:r>
      <w:r w:rsidRPr="00EA4B69">
        <w:rPr>
          <w:rFonts w:asciiTheme="minorHAnsi" w:hAnsiTheme="minorHAnsi"/>
          <w:i/>
          <w:iCs/>
          <w:sz w:val="20"/>
          <w:szCs w:val="20"/>
        </w:rPr>
        <w:t>Women in Tech® Global</w:t>
      </w:r>
      <w:r w:rsidRPr="00EA4B69">
        <w:rPr>
          <w:rFonts w:asciiTheme="minorHAnsi" w:hAnsiTheme="minorHAnsi"/>
          <w:sz w:val="20"/>
          <w:szCs w:val="20"/>
        </w:rPr>
        <w:t xml:space="preserve">. </w:t>
      </w:r>
      <w:hyperlink r:id="rId24" w:history="1">
        <w:r w:rsidRPr="00EA4B69">
          <w:rPr>
            <w:rStyle w:val="Hyperlink"/>
            <w:rFonts w:asciiTheme="minorHAnsi" w:hAnsiTheme="minorHAnsi"/>
            <w:sz w:val="20"/>
            <w:szCs w:val="20"/>
          </w:rPr>
          <w:t>https://women-in-tech.org/</w:t>
        </w:r>
      </w:hyperlink>
    </w:p>
    <w:p w14:paraId="50D448C5" w14:textId="77777777" w:rsidR="00811D1E" w:rsidRPr="00EA4B69" w:rsidRDefault="00811D1E" w:rsidP="00EA4B69">
      <w:pPr>
        <w:pStyle w:val="NormalWeb"/>
        <w:ind w:left="567" w:hanging="567"/>
        <w:jc w:val="both"/>
        <w:rPr>
          <w:rFonts w:asciiTheme="minorHAnsi" w:hAnsiTheme="minorHAnsi"/>
          <w:b/>
          <w:bCs/>
          <w:sz w:val="20"/>
          <w:szCs w:val="20"/>
        </w:rPr>
      </w:pPr>
      <w:proofErr w:type="spellStart"/>
      <w:r w:rsidRPr="00EA4B69">
        <w:rPr>
          <w:rFonts w:asciiTheme="minorHAnsi" w:hAnsiTheme="minorHAnsi"/>
          <w:sz w:val="20"/>
          <w:szCs w:val="20"/>
        </w:rPr>
        <w:t>Hunkenschroer</w:t>
      </w:r>
      <w:proofErr w:type="spellEnd"/>
      <w:r w:rsidRPr="00EA4B69">
        <w:rPr>
          <w:rFonts w:asciiTheme="minorHAnsi" w:hAnsiTheme="minorHAnsi"/>
          <w:sz w:val="20"/>
          <w:szCs w:val="20"/>
        </w:rPr>
        <w:t>, A.L. and Luetge, C., 2022. Ethics of AI-enabled recruiting and selection: A review and research agenda. </w:t>
      </w:r>
      <w:r w:rsidRPr="00EA4B69">
        <w:rPr>
          <w:rFonts w:asciiTheme="minorHAnsi" w:hAnsiTheme="minorHAnsi"/>
          <w:i/>
          <w:iCs/>
          <w:sz w:val="20"/>
          <w:szCs w:val="20"/>
        </w:rPr>
        <w:t>Journal of business ethics</w:t>
      </w:r>
      <w:r w:rsidRPr="00EA4B69">
        <w:rPr>
          <w:rFonts w:asciiTheme="minorHAnsi" w:hAnsiTheme="minorHAnsi"/>
          <w:sz w:val="20"/>
          <w:szCs w:val="20"/>
        </w:rPr>
        <w:t>, </w:t>
      </w:r>
      <w:r w:rsidRPr="00EA4B69">
        <w:rPr>
          <w:rFonts w:asciiTheme="minorHAnsi" w:hAnsiTheme="minorHAnsi"/>
          <w:i/>
          <w:iCs/>
          <w:sz w:val="20"/>
          <w:szCs w:val="20"/>
        </w:rPr>
        <w:t>178</w:t>
      </w:r>
      <w:r w:rsidRPr="00EA4B69">
        <w:rPr>
          <w:rFonts w:asciiTheme="minorHAnsi" w:hAnsiTheme="minorHAnsi"/>
          <w:sz w:val="20"/>
          <w:szCs w:val="20"/>
        </w:rPr>
        <w:t>(4), pp.977-1007.</w:t>
      </w:r>
    </w:p>
    <w:p w14:paraId="54239BBE" w14:textId="77777777" w:rsidR="00811D1E" w:rsidRPr="00EA4B69" w:rsidRDefault="00811D1E" w:rsidP="00EA4B69">
      <w:pPr>
        <w:pStyle w:val="NormalWeb"/>
        <w:ind w:left="567" w:hanging="567"/>
        <w:jc w:val="both"/>
        <w:rPr>
          <w:rFonts w:asciiTheme="minorHAnsi" w:hAnsiTheme="minorHAnsi"/>
          <w:i/>
          <w:iCs/>
          <w:sz w:val="20"/>
          <w:szCs w:val="20"/>
        </w:rPr>
      </w:pPr>
      <w:r w:rsidRPr="007F76F6">
        <w:rPr>
          <w:rFonts w:asciiTheme="minorHAnsi" w:hAnsiTheme="minorHAnsi"/>
          <w:sz w:val="20"/>
          <w:szCs w:val="20"/>
        </w:rPr>
        <w:t>ICO (2024</w:t>
      </w:r>
      <w:r w:rsidRPr="00EA4B69">
        <w:rPr>
          <w:rFonts w:asciiTheme="minorHAnsi" w:hAnsiTheme="minorHAnsi"/>
          <w:i/>
          <w:iCs/>
          <w:sz w:val="20"/>
          <w:szCs w:val="20"/>
        </w:rPr>
        <w:t xml:space="preserve">) AI tools used in recruitment: Audit outcomes report. </w:t>
      </w:r>
      <w:hyperlink r:id="rId25" w:history="1">
        <w:r w:rsidRPr="007F76F6">
          <w:rPr>
            <w:rStyle w:val="Hyperlink"/>
            <w:rFonts w:asciiTheme="minorHAnsi" w:hAnsiTheme="minorHAnsi"/>
            <w:sz w:val="20"/>
            <w:szCs w:val="20"/>
            <w:u w:val="none"/>
          </w:rPr>
          <w:t>https://ico.org.uk/action-weve-taken/audits-and-overview-reports/2024/11/ai-tools-used-in-recruitment/</w:t>
        </w:r>
      </w:hyperlink>
      <w:r w:rsidRPr="007F76F6">
        <w:rPr>
          <w:rFonts w:asciiTheme="minorHAnsi" w:hAnsiTheme="minorHAnsi"/>
          <w:sz w:val="20"/>
          <w:szCs w:val="20"/>
        </w:rPr>
        <w:t>.</w:t>
      </w:r>
    </w:p>
    <w:p w14:paraId="12A366DC" w14:textId="4BF16561" w:rsidR="00811D1E" w:rsidRPr="007F76F6" w:rsidRDefault="00811D1E" w:rsidP="007F76F6">
      <w:pPr>
        <w:pStyle w:val="NormalWeb"/>
        <w:ind w:left="567" w:hanging="567"/>
        <w:jc w:val="both"/>
        <w:rPr>
          <w:i/>
          <w:iCs/>
        </w:rPr>
      </w:pPr>
      <w:r w:rsidRPr="007F76F6">
        <w:rPr>
          <w:rFonts w:asciiTheme="minorHAnsi" w:hAnsiTheme="minorHAnsi"/>
          <w:sz w:val="20"/>
          <w:szCs w:val="20"/>
        </w:rPr>
        <w:t>ICO (2026)</w:t>
      </w:r>
      <w:r w:rsidRPr="00EA4B69">
        <w:rPr>
          <w:rFonts w:asciiTheme="minorHAnsi" w:hAnsiTheme="minorHAnsi"/>
          <w:i/>
          <w:iCs/>
          <w:sz w:val="20"/>
          <w:szCs w:val="20"/>
        </w:rPr>
        <w:t xml:space="preserve"> ‘Automated decisions can streamline the hiring process—with the right safeguards in place’. </w:t>
      </w:r>
      <w:hyperlink r:id="rId26" w:history="1">
        <w:r w:rsidRPr="007F76F6">
          <w:rPr>
            <w:rStyle w:val="Hyperlink"/>
            <w:rFonts w:asciiTheme="minorHAnsi" w:hAnsiTheme="minorHAnsi"/>
            <w:i/>
            <w:iCs/>
            <w:sz w:val="20"/>
            <w:szCs w:val="20"/>
            <w:u w:val="none"/>
          </w:rPr>
          <w:t>https://ico.org.uk/about-the-ico/media-centre/news-and-blogs/2026/03/automated-decisions-can-streamline-the-hiring-process-with-the-right-safeguards-in-place/</w:t>
        </w:r>
      </w:hyperlink>
      <w:r w:rsidRPr="007F76F6">
        <w:rPr>
          <w:rFonts w:asciiTheme="minorHAnsi" w:hAnsiTheme="minorHAnsi"/>
          <w:i/>
          <w:iCs/>
          <w:sz w:val="20"/>
          <w:szCs w:val="20"/>
        </w:rPr>
        <w:t>.</w:t>
      </w:r>
    </w:p>
    <w:p w14:paraId="33B53E69" w14:textId="77777777" w:rsidR="00811D1E" w:rsidRPr="007F76F6" w:rsidRDefault="00811D1E" w:rsidP="007F76F6">
      <w:pPr>
        <w:pStyle w:val="NormalWeb"/>
        <w:ind w:left="567" w:hanging="567"/>
        <w:jc w:val="both"/>
        <w:rPr>
          <w:rFonts w:asciiTheme="minorHAnsi" w:hAnsiTheme="minorHAnsi"/>
          <w:sz w:val="20"/>
          <w:szCs w:val="20"/>
        </w:rPr>
      </w:pPr>
      <w:r w:rsidRPr="007F76F6">
        <w:rPr>
          <w:rFonts w:asciiTheme="minorHAnsi" w:hAnsiTheme="minorHAnsi"/>
          <w:sz w:val="20"/>
          <w:szCs w:val="20"/>
        </w:rPr>
        <w:t>IFC</w:t>
      </w:r>
      <w:r w:rsidRPr="007F76F6">
        <w:rPr>
          <w:rFonts w:asciiTheme="minorHAnsi" w:hAnsiTheme="minorHAnsi"/>
          <w:i/>
          <w:iCs/>
          <w:sz w:val="20"/>
          <w:szCs w:val="20"/>
        </w:rPr>
        <w:t xml:space="preserve"> announces winners of employer of choice for Gender Diversity Awards in Pakistan</w:t>
      </w:r>
      <w:r w:rsidRPr="007F76F6">
        <w:rPr>
          <w:rFonts w:asciiTheme="minorHAnsi" w:hAnsiTheme="minorHAnsi"/>
          <w:sz w:val="20"/>
          <w:szCs w:val="20"/>
        </w:rPr>
        <w:t xml:space="preserve"> (2022) </w:t>
      </w:r>
      <w:r w:rsidRPr="007F76F6">
        <w:rPr>
          <w:rFonts w:asciiTheme="minorHAnsi" w:hAnsiTheme="minorHAnsi"/>
          <w:i/>
          <w:iCs/>
          <w:sz w:val="20"/>
          <w:szCs w:val="20"/>
        </w:rPr>
        <w:t>IFC</w:t>
      </w:r>
      <w:r w:rsidRPr="007F76F6">
        <w:rPr>
          <w:rFonts w:asciiTheme="minorHAnsi" w:hAnsiTheme="minorHAnsi"/>
          <w:sz w:val="20"/>
          <w:szCs w:val="20"/>
        </w:rPr>
        <w:t xml:space="preserve">. </w:t>
      </w:r>
      <w:hyperlink r:id="rId27" w:history="1">
        <w:r w:rsidRPr="007F76F6">
          <w:rPr>
            <w:rStyle w:val="Hyperlink"/>
            <w:rFonts w:asciiTheme="minorHAnsi" w:hAnsiTheme="minorHAnsi"/>
            <w:sz w:val="20"/>
            <w:szCs w:val="20"/>
            <w:u w:val="none"/>
          </w:rPr>
          <w:t>https://www.ifc.org/en/pressroom/2022/ifc-announces-winners-of-employer-of-choice-for-gender-diversity-awards-in-pakistan/</w:t>
        </w:r>
      </w:hyperlink>
      <w:r w:rsidRPr="007F76F6">
        <w:rPr>
          <w:rFonts w:asciiTheme="minorHAnsi" w:hAnsiTheme="minorHAnsi"/>
          <w:sz w:val="20"/>
          <w:szCs w:val="20"/>
        </w:rPr>
        <w:t xml:space="preserve">  </w:t>
      </w:r>
    </w:p>
    <w:p w14:paraId="5C5EA12D" w14:textId="77777777" w:rsidR="00811D1E" w:rsidRPr="008B5BAA" w:rsidRDefault="00811D1E" w:rsidP="008B5BAA">
      <w:pPr>
        <w:pStyle w:val="NormalWeb"/>
        <w:ind w:left="567" w:hanging="567"/>
        <w:jc w:val="both"/>
        <w:rPr>
          <w:rFonts w:asciiTheme="minorHAnsi" w:hAnsiTheme="minorHAnsi"/>
          <w:sz w:val="20"/>
          <w:szCs w:val="20"/>
        </w:rPr>
      </w:pPr>
      <w:r w:rsidRPr="008B5BAA">
        <w:rPr>
          <w:rFonts w:asciiTheme="minorHAnsi" w:hAnsiTheme="minorHAnsi"/>
          <w:sz w:val="20"/>
          <w:szCs w:val="20"/>
        </w:rPr>
        <w:t>Kelly, L.M. and Cordeiro, M., 2020. Three principles of pragmatism for research on organizational processes. </w:t>
      </w:r>
      <w:r w:rsidRPr="008B5BAA">
        <w:rPr>
          <w:rFonts w:asciiTheme="minorHAnsi" w:hAnsiTheme="minorHAnsi"/>
          <w:i/>
          <w:iCs/>
          <w:sz w:val="20"/>
          <w:szCs w:val="20"/>
        </w:rPr>
        <w:t>Methodological innovations</w:t>
      </w:r>
      <w:r w:rsidRPr="008B5BAA">
        <w:rPr>
          <w:rFonts w:asciiTheme="minorHAnsi" w:hAnsiTheme="minorHAnsi"/>
          <w:sz w:val="20"/>
          <w:szCs w:val="20"/>
        </w:rPr>
        <w:t>, </w:t>
      </w:r>
      <w:r w:rsidRPr="008B5BAA">
        <w:rPr>
          <w:rFonts w:asciiTheme="minorHAnsi" w:hAnsiTheme="minorHAnsi"/>
          <w:i/>
          <w:iCs/>
          <w:sz w:val="20"/>
          <w:szCs w:val="20"/>
        </w:rPr>
        <w:t>13</w:t>
      </w:r>
      <w:r w:rsidRPr="008B5BAA">
        <w:rPr>
          <w:rFonts w:asciiTheme="minorHAnsi" w:hAnsiTheme="minorHAnsi"/>
          <w:sz w:val="20"/>
          <w:szCs w:val="20"/>
        </w:rPr>
        <w:t>(2), p.2059799120937242.</w:t>
      </w:r>
    </w:p>
    <w:p w14:paraId="53306D97" w14:textId="77777777" w:rsidR="00811D1E" w:rsidRPr="008B5BAA" w:rsidRDefault="00811D1E" w:rsidP="008B5BAA">
      <w:pPr>
        <w:pStyle w:val="NormalWeb"/>
        <w:ind w:left="567" w:hanging="567"/>
        <w:jc w:val="both"/>
        <w:rPr>
          <w:rFonts w:asciiTheme="minorHAnsi" w:hAnsiTheme="minorHAnsi"/>
          <w:sz w:val="20"/>
          <w:szCs w:val="20"/>
        </w:rPr>
      </w:pPr>
      <w:proofErr w:type="spellStart"/>
      <w:r w:rsidRPr="008B5BAA">
        <w:rPr>
          <w:rFonts w:asciiTheme="minorHAnsi" w:hAnsiTheme="minorHAnsi"/>
          <w:sz w:val="20"/>
          <w:szCs w:val="20"/>
        </w:rPr>
        <w:t>Konopik</w:t>
      </w:r>
      <w:proofErr w:type="spellEnd"/>
      <w:r w:rsidRPr="008B5BAA">
        <w:rPr>
          <w:rFonts w:asciiTheme="minorHAnsi" w:hAnsiTheme="minorHAnsi"/>
          <w:sz w:val="20"/>
          <w:szCs w:val="20"/>
        </w:rPr>
        <w:t xml:space="preserve">, J., Jahn, C., Schuster, T., </w:t>
      </w:r>
      <w:proofErr w:type="spellStart"/>
      <w:r w:rsidRPr="008B5BAA">
        <w:rPr>
          <w:rFonts w:asciiTheme="minorHAnsi" w:hAnsiTheme="minorHAnsi"/>
          <w:sz w:val="20"/>
          <w:szCs w:val="20"/>
        </w:rPr>
        <w:t>Hoßbach</w:t>
      </w:r>
      <w:proofErr w:type="spellEnd"/>
      <w:r w:rsidRPr="008B5BAA">
        <w:rPr>
          <w:rFonts w:asciiTheme="minorHAnsi" w:hAnsiTheme="minorHAnsi"/>
          <w:sz w:val="20"/>
          <w:szCs w:val="20"/>
        </w:rPr>
        <w:t>, N. and Pflaum, A., 2022. Mastering the digital transformation through organizational capabilities: A conceptual framework. </w:t>
      </w:r>
      <w:r w:rsidRPr="008B5BAA">
        <w:rPr>
          <w:rFonts w:asciiTheme="minorHAnsi" w:hAnsiTheme="minorHAnsi"/>
          <w:i/>
          <w:iCs/>
          <w:sz w:val="20"/>
          <w:szCs w:val="20"/>
        </w:rPr>
        <w:t>Digital Business</w:t>
      </w:r>
      <w:r w:rsidRPr="008B5BAA">
        <w:rPr>
          <w:rFonts w:asciiTheme="minorHAnsi" w:hAnsiTheme="minorHAnsi"/>
          <w:sz w:val="20"/>
          <w:szCs w:val="20"/>
        </w:rPr>
        <w:t>, </w:t>
      </w:r>
      <w:r w:rsidRPr="008B5BAA">
        <w:rPr>
          <w:rFonts w:asciiTheme="minorHAnsi" w:hAnsiTheme="minorHAnsi"/>
          <w:i/>
          <w:iCs/>
          <w:sz w:val="20"/>
          <w:szCs w:val="20"/>
        </w:rPr>
        <w:t>2</w:t>
      </w:r>
      <w:r w:rsidRPr="008B5BAA">
        <w:rPr>
          <w:rFonts w:asciiTheme="minorHAnsi" w:hAnsiTheme="minorHAnsi"/>
          <w:sz w:val="20"/>
          <w:szCs w:val="20"/>
        </w:rPr>
        <w:t>(2), p.100019.</w:t>
      </w:r>
    </w:p>
    <w:p w14:paraId="206BCA0A" w14:textId="77777777" w:rsidR="00811D1E" w:rsidRPr="008B5BAA" w:rsidRDefault="00811D1E" w:rsidP="008B5BAA">
      <w:pPr>
        <w:pStyle w:val="NormalWeb"/>
        <w:ind w:left="567" w:hanging="567"/>
        <w:jc w:val="both"/>
        <w:rPr>
          <w:rFonts w:asciiTheme="minorHAnsi" w:hAnsiTheme="minorHAnsi"/>
          <w:sz w:val="20"/>
          <w:szCs w:val="20"/>
        </w:rPr>
      </w:pPr>
      <w:r w:rsidRPr="008B5BAA">
        <w:rPr>
          <w:rFonts w:asciiTheme="minorHAnsi" w:hAnsiTheme="minorHAnsi"/>
          <w:sz w:val="20"/>
          <w:szCs w:val="20"/>
        </w:rPr>
        <w:lastRenderedPageBreak/>
        <w:t>Korkmaz, A.V., Van Engen, M.L., Knappert, L. and Schalk, R., 2022. About and beyond leading uniqueness and belongingness: A systematic review of inclusive leadership research. </w:t>
      </w:r>
      <w:r w:rsidRPr="008B5BAA">
        <w:rPr>
          <w:rFonts w:asciiTheme="minorHAnsi" w:hAnsiTheme="minorHAnsi"/>
          <w:i/>
          <w:iCs/>
          <w:sz w:val="20"/>
          <w:szCs w:val="20"/>
        </w:rPr>
        <w:t>Human Resource Management Review</w:t>
      </w:r>
      <w:r w:rsidRPr="008B5BAA">
        <w:rPr>
          <w:rFonts w:asciiTheme="minorHAnsi" w:hAnsiTheme="minorHAnsi"/>
          <w:sz w:val="20"/>
          <w:szCs w:val="20"/>
        </w:rPr>
        <w:t>, </w:t>
      </w:r>
      <w:r w:rsidRPr="008B5BAA">
        <w:rPr>
          <w:rFonts w:asciiTheme="minorHAnsi" w:hAnsiTheme="minorHAnsi"/>
          <w:i/>
          <w:iCs/>
          <w:sz w:val="20"/>
          <w:szCs w:val="20"/>
        </w:rPr>
        <w:t>32</w:t>
      </w:r>
      <w:r w:rsidRPr="008B5BAA">
        <w:rPr>
          <w:rFonts w:asciiTheme="minorHAnsi" w:hAnsiTheme="minorHAnsi"/>
          <w:sz w:val="20"/>
          <w:szCs w:val="20"/>
        </w:rPr>
        <w:t>(4), p.100894.</w:t>
      </w:r>
    </w:p>
    <w:p w14:paraId="2D55BE8E" w14:textId="77777777" w:rsidR="00811D1E" w:rsidRPr="008B5BAA" w:rsidRDefault="00811D1E" w:rsidP="008B5BAA">
      <w:pPr>
        <w:pStyle w:val="NormalWeb"/>
        <w:ind w:left="567" w:hanging="567"/>
        <w:jc w:val="both"/>
        <w:rPr>
          <w:rFonts w:asciiTheme="minorHAnsi" w:hAnsiTheme="minorHAnsi"/>
          <w:i/>
          <w:iCs/>
          <w:sz w:val="20"/>
          <w:szCs w:val="20"/>
        </w:rPr>
      </w:pPr>
      <w:r w:rsidRPr="008B5BAA">
        <w:rPr>
          <w:rFonts w:asciiTheme="minorHAnsi" w:hAnsiTheme="minorHAnsi"/>
          <w:sz w:val="20"/>
          <w:szCs w:val="20"/>
        </w:rPr>
        <w:t>Leaders, F.W., 2022. FTSE women leaders review: achieving gender balance. </w:t>
      </w:r>
      <w:r w:rsidRPr="008B5BAA">
        <w:rPr>
          <w:rFonts w:asciiTheme="minorHAnsi" w:hAnsiTheme="minorHAnsi"/>
          <w:i/>
          <w:iCs/>
          <w:sz w:val="20"/>
          <w:szCs w:val="20"/>
        </w:rPr>
        <w:t>FTSE Women Leaders, 22.</w:t>
      </w:r>
    </w:p>
    <w:p w14:paraId="66C70822" w14:textId="77777777" w:rsidR="00811D1E" w:rsidRPr="008B5BAA" w:rsidRDefault="00811D1E" w:rsidP="008B5BAA">
      <w:pPr>
        <w:pStyle w:val="NormalWeb"/>
        <w:ind w:left="567" w:hanging="567"/>
        <w:jc w:val="both"/>
        <w:rPr>
          <w:rFonts w:asciiTheme="minorHAnsi" w:hAnsiTheme="minorHAnsi"/>
          <w:sz w:val="20"/>
          <w:szCs w:val="20"/>
        </w:rPr>
      </w:pPr>
      <w:r w:rsidRPr="008B5BAA">
        <w:rPr>
          <w:rFonts w:asciiTheme="minorHAnsi" w:hAnsiTheme="minorHAnsi"/>
          <w:sz w:val="20"/>
          <w:szCs w:val="20"/>
        </w:rPr>
        <w:t>Lawani, A., 2021. Critical realism: what you should know and how to apply it. </w:t>
      </w:r>
      <w:r w:rsidRPr="008B5BAA">
        <w:rPr>
          <w:rFonts w:asciiTheme="minorHAnsi" w:hAnsiTheme="minorHAnsi"/>
          <w:i/>
          <w:iCs/>
          <w:sz w:val="20"/>
          <w:szCs w:val="20"/>
        </w:rPr>
        <w:t>Qualitative research journal</w:t>
      </w:r>
      <w:r w:rsidRPr="008B5BAA">
        <w:rPr>
          <w:rFonts w:asciiTheme="minorHAnsi" w:hAnsiTheme="minorHAnsi"/>
          <w:sz w:val="20"/>
          <w:szCs w:val="20"/>
        </w:rPr>
        <w:t>, </w:t>
      </w:r>
      <w:r w:rsidRPr="008B5BAA">
        <w:rPr>
          <w:rFonts w:asciiTheme="minorHAnsi" w:hAnsiTheme="minorHAnsi"/>
          <w:i/>
          <w:iCs/>
          <w:sz w:val="20"/>
          <w:szCs w:val="20"/>
        </w:rPr>
        <w:t>21</w:t>
      </w:r>
      <w:r w:rsidRPr="008B5BAA">
        <w:rPr>
          <w:rFonts w:asciiTheme="minorHAnsi" w:hAnsiTheme="minorHAnsi"/>
          <w:sz w:val="20"/>
          <w:szCs w:val="20"/>
        </w:rPr>
        <w:t>(3), pp.320-333.</w:t>
      </w:r>
    </w:p>
    <w:p w14:paraId="57CF06FC" w14:textId="77777777" w:rsidR="00811D1E" w:rsidRPr="008B5BAA" w:rsidRDefault="00811D1E" w:rsidP="008B5BAA">
      <w:pPr>
        <w:pStyle w:val="NormalWeb"/>
        <w:ind w:left="567" w:hanging="567"/>
        <w:jc w:val="both"/>
        <w:rPr>
          <w:rFonts w:asciiTheme="minorHAnsi" w:hAnsiTheme="minorHAnsi"/>
          <w:sz w:val="20"/>
          <w:szCs w:val="20"/>
        </w:rPr>
      </w:pPr>
      <w:r w:rsidRPr="008B5BAA">
        <w:rPr>
          <w:rFonts w:asciiTheme="minorHAnsi" w:hAnsiTheme="minorHAnsi"/>
          <w:sz w:val="20"/>
          <w:szCs w:val="20"/>
        </w:rPr>
        <w:t>Lenka, P., 2023. Philosophy of sustainable development: understanding the significance of gender equality in business organisations. </w:t>
      </w:r>
      <w:proofErr w:type="spellStart"/>
      <w:r w:rsidRPr="008B5BAA">
        <w:rPr>
          <w:rFonts w:asciiTheme="minorHAnsi" w:hAnsiTheme="minorHAnsi"/>
          <w:i/>
          <w:iCs/>
          <w:sz w:val="20"/>
          <w:szCs w:val="20"/>
        </w:rPr>
        <w:t>Problemy</w:t>
      </w:r>
      <w:proofErr w:type="spellEnd"/>
      <w:r w:rsidRPr="008B5BAA">
        <w:rPr>
          <w:rFonts w:asciiTheme="minorHAnsi" w:hAnsiTheme="minorHAnsi"/>
          <w:i/>
          <w:iCs/>
          <w:sz w:val="20"/>
          <w:szCs w:val="20"/>
        </w:rPr>
        <w:t xml:space="preserve"> </w:t>
      </w:r>
      <w:proofErr w:type="spellStart"/>
      <w:r w:rsidRPr="008B5BAA">
        <w:rPr>
          <w:rFonts w:asciiTheme="minorHAnsi" w:hAnsiTheme="minorHAnsi"/>
          <w:i/>
          <w:iCs/>
          <w:sz w:val="20"/>
          <w:szCs w:val="20"/>
        </w:rPr>
        <w:t>Ekorozwoju</w:t>
      </w:r>
      <w:proofErr w:type="spellEnd"/>
      <w:r w:rsidRPr="008B5BAA">
        <w:rPr>
          <w:rFonts w:asciiTheme="minorHAnsi" w:hAnsiTheme="minorHAnsi"/>
          <w:sz w:val="20"/>
          <w:szCs w:val="20"/>
        </w:rPr>
        <w:t>, </w:t>
      </w:r>
      <w:r w:rsidRPr="008B5BAA">
        <w:rPr>
          <w:rFonts w:asciiTheme="minorHAnsi" w:hAnsiTheme="minorHAnsi"/>
          <w:i/>
          <w:iCs/>
          <w:sz w:val="20"/>
          <w:szCs w:val="20"/>
        </w:rPr>
        <w:t>18</w:t>
      </w:r>
      <w:r w:rsidRPr="008B5BAA">
        <w:rPr>
          <w:rFonts w:asciiTheme="minorHAnsi" w:hAnsiTheme="minorHAnsi"/>
          <w:sz w:val="20"/>
          <w:szCs w:val="20"/>
        </w:rPr>
        <w:t>(2), pp.121-127.</w:t>
      </w:r>
    </w:p>
    <w:p w14:paraId="5159A4C6" w14:textId="77777777" w:rsidR="00811D1E" w:rsidRPr="008B5BAA" w:rsidRDefault="00811D1E" w:rsidP="008B5BAA">
      <w:pPr>
        <w:pStyle w:val="NormalWeb"/>
        <w:ind w:left="567" w:hanging="567"/>
        <w:jc w:val="both"/>
        <w:rPr>
          <w:rFonts w:asciiTheme="minorHAnsi" w:hAnsiTheme="minorHAnsi"/>
          <w:i/>
          <w:iCs/>
          <w:sz w:val="20"/>
          <w:szCs w:val="20"/>
        </w:rPr>
      </w:pPr>
      <w:r w:rsidRPr="008B5BAA">
        <w:rPr>
          <w:rFonts w:asciiTheme="minorHAnsi" w:hAnsiTheme="minorHAnsi"/>
          <w:sz w:val="20"/>
          <w:szCs w:val="20"/>
        </w:rPr>
        <w:t>Lima, S.A., Rahman, M.M., Hoque, M.I. and Rahman, Z., 2025</w:t>
      </w:r>
      <w:r w:rsidRPr="008B5BAA">
        <w:rPr>
          <w:rFonts w:asciiTheme="minorHAnsi" w:hAnsiTheme="minorHAnsi"/>
          <w:i/>
          <w:iCs/>
          <w:sz w:val="20"/>
          <w:szCs w:val="20"/>
        </w:rPr>
        <w:t xml:space="preserve">. Leveraging HRM practices to foster inclusive leadership and advance gender diversity in US tech organizations. Int J Res Hum </w:t>
      </w:r>
      <w:proofErr w:type="spellStart"/>
      <w:r w:rsidRPr="008B5BAA">
        <w:rPr>
          <w:rFonts w:asciiTheme="minorHAnsi" w:hAnsiTheme="minorHAnsi"/>
          <w:i/>
          <w:iCs/>
          <w:sz w:val="20"/>
          <w:szCs w:val="20"/>
        </w:rPr>
        <w:t>Resour</w:t>
      </w:r>
      <w:proofErr w:type="spellEnd"/>
      <w:r w:rsidRPr="008B5BAA">
        <w:rPr>
          <w:rFonts w:asciiTheme="minorHAnsi" w:hAnsiTheme="minorHAnsi"/>
          <w:i/>
          <w:iCs/>
          <w:sz w:val="20"/>
          <w:szCs w:val="20"/>
        </w:rPr>
        <w:t xml:space="preserve"> Manage, 7, pp.200-8.</w:t>
      </w:r>
    </w:p>
    <w:p w14:paraId="158C24F0" w14:textId="77777777" w:rsidR="00811D1E" w:rsidRPr="008B5BAA" w:rsidRDefault="00811D1E" w:rsidP="008B5BAA">
      <w:pPr>
        <w:pStyle w:val="NormalWeb"/>
        <w:ind w:left="567" w:hanging="567"/>
        <w:jc w:val="both"/>
        <w:rPr>
          <w:rFonts w:asciiTheme="minorHAnsi" w:hAnsiTheme="minorHAnsi"/>
          <w:sz w:val="20"/>
          <w:szCs w:val="20"/>
        </w:rPr>
      </w:pPr>
      <w:r w:rsidRPr="008B5BAA">
        <w:rPr>
          <w:rFonts w:asciiTheme="minorHAnsi" w:hAnsiTheme="minorHAnsi"/>
          <w:sz w:val="20"/>
          <w:szCs w:val="20"/>
        </w:rPr>
        <w:t>McKinsey &amp; Company (2023) </w:t>
      </w:r>
      <w:r w:rsidRPr="008B5BAA">
        <w:rPr>
          <w:rFonts w:asciiTheme="minorHAnsi" w:hAnsiTheme="minorHAnsi"/>
          <w:i/>
          <w:iCs/>
          <w:sz w:val="20"/>
          <w:szCs w:val="20"/>
        </w:rPr>
        <w:t>Diversity matters even more: The case for holistic impact</w:t>
      </w:r>
      <w:r w:rsidRPr="008B5BAA">
        <w:rPr>
          <w:rFonts w:asciiTheme="minorHAnsi" w:hAnsiTheme="minorHAnsi"/>
          <w:sz w:val="20"/>
          <w:szCs w:val="20"/>
        </w:rPr>
        <w:t>. New York: McKinsey &amp; Company.</w:t>
      </w:r>
    </w:p>
    <w:p w14:paraId="2063634E" w14:textId="77777777" w:rsidR="00811D1E" w:rsidRPr="007E071A" w:rsidRDefault="00811D1E" w:rsidP="007E071A">
      <w:pPr>
        <w:pStyle w:val="NormalWeb"/>
        <w:ind w:left="567" w:hanging="567"/>
        <w:jc w:val="both"/>
        <w:rPr>
          <w:rFonts w:asciiTheme="minorHAnsi" w:hAnsiTheme="minorHAnsi"/>
          <w:sz w:val="20"/>
          <w:szCs w:val="20"/>
        </w:rPr>
      </w:pPr>
      <w:r w:rsidRPr="007E071A">
        <w:rPr>
          <w:rFonts w:asciiTheme="minorHAnsi" w:hAnsiTheme="minorHAnsi"/>
          <w:sz w:val="20"/>
          <w:szCs w:val="20"/>
        </w:rPr>
        <w:t>Mentoring women in Tech (2023)</w:t>
      </w:r>
      <w:r w:rsidRPr="007E071A">
        <w:rPr>
          <w:rFonts w:asciiTheme="minorHAnsi" w:hAnsiTheme="minorHAnsi"/>
          <w:i/>
          <w:iCs/>
          <w:sz w:val="20"/>
          <w:szCs w:val="20"/>
        </w:rPr>
        <w:t xml:space="preserve"> The UK’s technology trade association. </w:t>
      </w:r>
      <w:hyperlink r:id="rId28" w:history="1">
        <w:r w:rsidRPr="007E071A">
          <w:rPr>
            <w:rStyle w:val="Hyperlink"/>
            <w:rFonts w:asciiTheme="minorHAnsi" w:hAnsiTheme="minorHAnsi"/>
            <w:i/>
            <w:iCs/>
            <w:sz w:val="20"/>
            <w:szCs w:val="20"/>
            <w:u w:val="none"/>
          </w:rPr>
          <w:t>https://www.techuk.org/resource/mentoring-women-in-tech.html/</w:t>
        </w:r>
      </w:hyperlink>
    </w:p>
    <w:p w14:paraId="2675CD61" w14:textId="77777777" w:rsidR="00811D1E" w:rsidRPr="007E071A" w:rsidRDefault="00811D1E" w:rsidP="007E071A">
      <w:pPr>
        <w:pStyle w:val="NormalWeb"/>
        <w:ind w:left="567" w:hanging="567"/>
        <w:jc w:val="both"/>
        <w:rPr>
          <w:rFonts w:asciiTheme="minorHAnsi" w:hAnsiTheme="minorHAnsi"/>
          <w:sz w:val="20"/>
          <w:szCs w:val="20"/>
        </w:rPr>
      </w:pPr>
      <w:proofErr w:type="spellStart"/>
      <w:r w:rsidRPr="007E071A">
        <w:rPr>
          <w:rFonts w:asciiTheme="minorHAnsi" w:hAnsiTheme="minorHAnsi"/>
          <w:sz w:val="20"/>
          <w:szCs w:val="20"/>
        </w:rPr>
        <w:t>Mohase</w:t>
      </w:r>
      <w:proofErr w:type="spellEnd"/>
      <w:r w:rsidRPr="007E071A">
        <w:rPr>
          <w:rFonts w:asciiTheme="minorHAnsi" w:hAnsiTheme="minorHAnsi"/>
          <w:sz w:val="20"/>
          <w:szCs w:val="20"/>
        </w:rPr>
        <w:t>, K., Donald, F. and Israel, N., 2025. Inclusive leadership, psychological safety, and employee voice in remote and hybrid work employees. </w:t>
      </w:r>
      <w:r w:rsidRPr="007E071A">
        <w:rPr>
          <w:rFonts w:asciiTheme="minorHAnsi" w:hAnsiTheme="minorHAnsi"/>
          <w:i/>
          <w:iCs/>
          <w:sz w:val="20"/>
          <w:szCs w:val="20"/>
        </w:rPr>
        <w:t>South African Journal of Psychology</w:t>
      </w:r>
      <w:r w:rsidRPr="007E071A">
        <w:rPr>
          <w:rFonts w:asciiTheme="minorHAnsi" w:hAnsiTheme="minorHAnsi"/>
          <w:sz w:val="20"/>
          <w:szCs w:val="20"/>
        </w:rPr>
        <w:t>, </w:t>
      </w:r>
      <w:r w:rsidRPr="007E071A">
        <w:rPr>
          <w:rFonts w:asciiTheme="minorHAnsi" w:hAnsiTheme="minorHAnsi"/>
          <w:i/>
          <w:iCs/>
          <w:sz w:val="20"/>
          <w:szCs w:val="20"/>
        </w:rPr>
        <w:t>55</w:t>
      </w:r>
      <w:r w:rsidRPr="007E071A">
        <w:rPr>
          <w:rFonts w:asciiTheme="minorHAnsi" w:hAnsiTheme="minorHAnsi"/>
          <w:sz w:val="20"/>
          <w:szCs w:val="20"/>
        </w:rPr>
        <w:t>(3), pp.432-446.</w:t>
      </w:r>
    </w:p>
    <w:p w14:paraId="5CD5A743" w14:textId="77777777" w:rsidR="00811D1E" w:rsidRPr="007E071A" w:rsidRDefault="00811D1E" w:rsidP="007E071A">
      <w:pPr>
        <w:pStyle w:val="NormalWeb"/>
        <w:ind w:left="567" w:hanging="567"/>
        <w:jc w:val="both"/>
        <w:rPr>
          <w:rFonts w:asciiTheme="minorHAnsi" w:hAnsiTheme="minorHAnsi"/>
          <w:sz w:val="20"/>
          <w:szCs w:val="20"/>
        </w:rPr>
      </w:pPr>
      <w:r w:rsidRPr="007E071A">
        <w:rPr>
          <w:rFonts w:asciiTheme="minorHAnsi" w:hAnsiTheme="minorHAnsi"/>
          <w:sz w:val="20"/>
          <w:szCs w:val="20"/>
        </w:rPr>
        <w:t xml:space="preserve">Morgenroth, T., Kirby, T. A., Ryan, M. K., &amp; </w:t>
      </w:r>
      <w:proofErr w:type="spellStart"/>
      <w:r w:rsidRPr="007E071A">
        <w:rPr>
          <w:rFonts w:asciiTheme="minorHAnsi" w:hAnsiTheme="minorHAnsi"/>
          <w:sz w:val="20"/>
          <w:szCs w:val="20"/>
        </w:rPr>
        <w:t>Sudkamper</w:t>
      </w:r>
      <w:proofErr w:type="spellEnd"/>
      <w:r w:rsidRPr="007E071A">
        <w:rPr>
          <w:rFonts w:asciiTheme="minorHAnsi" w:hAnsiTheme="minorHAnsi"/>
          <w:sz w:val="20"/>
          <w:szCs w:val="20"/>
        </w:rPr>
        <w:t>, A. (2020) </w:t>
      </w:r>
      <w:r w:rsidRPr="007E071A">
        <w:rPr>
          <w:rFonts w:asciiTheme="minorHAnsi" w:hAnsiTheme="minorHAnsi"/>
          <w:i/>
          <w:iCs/>
          <w:sz w:val="20"/>
          <w:szCs w:val="20"/>
        </w:rPr>
        <w:t>American Psychological Association</w:t>
      </w:r>
      <w:r w:rsidRPr="007E071A">
        <w:rPr>
          <w:rFonts w:asciiTheme="minorHAnsi" w:hAnsiTheme="minorHAnsi"/>
          <w:sz w:val="20"/>
          <w:szCs w:val="20"/>
        </w:rPr>
        <w:t>.</w:t>
      </w:r>
    </w:p>
    <w:p w14:paraId="0B7E8A63" w14:textId="77777777" w:rsidR="00811D1E" w:rsidRPr="007E071A" w:rsidRDefault="00811D1E" w:rsidP="007E071A">
      <w:pPr>
        <w:pStyle w:val="NormalWeb"/>
        <w:ind w:left="567" w:hanging="567"/>
        <w:jc w:val="both"/>
        <w:rPr>
          <w:rFonts w:asciiTheme="minorHAnsi" w:hAnsiTheme="minorHAnsi"/>
          <w:i/>
          <w:iCs/>
          <w:sz w:val="20"/>
          <w:szCs w:val="20"/>
        </w:rPr>
      </w:pPr>
      <w:r w:rsidRPr="007E071A">
        <w:rPr>
          <w:rFonts w:asciiTheme="minorHAnsi" w:hAnsiTheme="minorHAnsi"/>
          <w:sz w:val="20"/>
          <w:szCs w:val="20"/>
        </w:rPr>
        <w:t> </w:t>
      </w:r>
      <w:hyperlink r:id="rId29" w:tgtFrame="_blank" w:history="1">
        <w:r w:rsidRPr="007E071A">
          <w:rPr>
            <w:rStyle w:val="Hyperlink"/>
            <w:rFonts w:asciiTheme="minorHAnsi" w:hAnsiTheme="minorHAnsi"/>
            <w:sz w:val="20"/>
            <w:szCs w:val="20"/>
            <w:u w:val="none"/>
          </w:rPr>
          <w:t>https://psycnet.apa.org/doiLanding?doi=10.1037%2Fbul0000234</w:t>
        </w:r>
      </w:hyperlink>
      <w:r w:rsidRPr="007E071A">
        <w:rPr>
          <w:rFonts w:asciiTheme="minorHAnsi" w:hAnsiTheme="minorHAnsi"/>
          <w:sz w:val="20"/>
          <w:szCs w:val="20"/>
        </w:rPr>
        <w:t> </w:t>
      </w:r>
    </w:p>
    <w:p w14:paraId="6E4A199F" w14:textId="77777777" w:rsidR="00811D1E" w:rsidRPr="007E071A" w:rsidRDefault="00811D1E" w:rsidP="007E071A">
      <w:pPr>
        <w:pStyle w:val="NormalWeb"/>
        <w:ind w:left="567" w:hanging="567"/>
        <w:jc w:val="both"/>
        <w:rPr>
          <w:rFonts w:asciiTheme="minorHAnsi" w:hAnsiTheme="minorHAnsi"/>
          <w:sz w:val="20"/>
          <w:szCs w:val="20"/>
        </w:rPr>
      </w:pPr>
      <w:r w:rsidRPr="007E071A">
        <w:rPr>
          <w:rFonts w:asciiTheme="minorHAnsi" w:hAnsiTheme="minorHAnsi"/>
          <w:sz w:val="20"/>
          <w:szCs w:val="20"/>
        </w:rPr>
        <w:t>Naoum, R.F., Szakadáti, T. and Balogh, G., 2026. Artificial Intelligence (AI) in human resource management (HRM): a systematic review of its dual impact on diversity, equity, and inclusion (DEI). </w:t>
      </w:r>
      <w:r w:rsidRPr="007E071A">
        <w:rPr>
          <w:rFonts w:asciiTheme="minorHAnsi" w:hAnsiTheme="minorHAnsi"/>
          <w:i/>
          <w:iCs/>
          <w:sz w:val="20"/>
          <w:szCs w:val="20"/>
        </w:rPr>
        <w:t>Management Review Quarterly</w:t>
      </w:r>
      <w:r w:rsidRPr="007E071A">
        <w:rPr>
          <w:rFonts w:asciiTheme="minorHAnsi" w:hAnsiTheme="minorHAnsi"/>
          <w:sz w:val="20"/>
          <w:szCs w:val="20"/>
        </w:rPr>
        <w:t>, pp.1-72.</w:t>
      </w:r>
    </w:p>
    <w:p w14:paraId="5A9729C2" w14:textId="7429E29F" w:rsidR="00811D1E" w:rsidRPr="007E071A" w:rsidRDefault="00811D1E" w:rsidP="007E071A">
      <w:pPr>
        <w:pStyle w:val="NormalWeb"/>
        <w:ind w:left="567" w:hanging="567"/>
        <w:jc w:val="both"/>
        <w:rPr>
          <w:rFonts w:asciiTheme="minorHAnsi" w:hAnsiTheme="minorHAnsi"/>
          <w:sz w:val="20"/>
          <w:szCs w:val="20"/>
        </w:rPr>
      </w:pPr>
      <w:r w:rsidRPr="007E071A">
        <w:rPr>
          <w:rFonts w:asciiTheme="minorHAnsi" w:hAnsiTheme="minorHAnsi"/>
          <w:sz w:val="20"/>
          <w:szCs w:val="20"/>
        </w:rPr>
        <w:t xml:space="preserve">Office for National Statistics (ONS) (2025) </w:t>
      </w:r>
      <w:r w:rsidRPr="007E071A">
        <w:rPr>
          <w:rStyle w:val="Emphasis"/>
          <w:rFonts w:asciiTheme="minorHAnsi" w:hAnsiTheme="minorHAnsi"/>
          <w:sz w:val="20"/>
          <w:szCs w:val="20"/>
        </w:rPr>
        <w:t>Who has access to hybrid work in Great Britain?</w:t>
      </w:r>
      <w:r w:rsidRPr="007E071A">
        <w:rPr>
          <w:rFonts w:asciiTheme="minorHAnsi" w:hAnsiTheme="minorHAnsi"/>
          <w:sz w:val="20"/>
          <w:szCs w:val="20"/>
        </w:rPr>
        <w:t xml:space="preserve"> </w:t>
      </w:r>
      <w:hyperlink r:id="rId30" w:history="1">
        <w:r w:rsidRPr="007E071A">
          <w:rPr>
            <w:rStyle w:val="Hyperlink"/>
            <w:rFonts w:asciiTheme="minorHAnsi" w:hAnsiTheme="minorHAnsi"/>
            <w:sz w:val="20"/>
            <w:szCs w:val="20"/>
          </w:rPr>
          <w:t>https://www.ons.gov.uk/employmentandlabourmarket/peopleinwork/employmentandemployeetypes/articles/whohasaccesstohybridworkingreatbritain/2025-06-11</w:t>
        </w:r>
      </w:hyperlink>
    </w:p>
    <w:p w14:paraId="4AA2212F" w14:textId="589B584B" w:rsidR="00811D1E" w:rsidRPr="007E071A" w:rsidRDefault="00811D1E" w:rsidP="007E071A">
      <w:pPr>
        <w:pStyle w:val="NormalWeb"/>
        <w:ind w:left="567" w:hanging="567"/>
        <w:jc w:val="both"/>
        <w:rPr>
          <w:rFonts w:asciiTheme="minorHAnsi" w:hAnsiTheme="minorHAnsi"/>
          <w:i/>
          <w:iCs/>
          <w:sz w:val="20"/>
          <w:szCs w:val="20"/>
        </w:rPr>
      </w:pPr>
      <w:r w:rsidRPr="007E071A">
        <w:rPr>
          <w:rFonts w:asciiTheme="minorHAnsi" w:hAnsiTheme="minorHAnsi"/>
          <w:sz w:val="20"/>
          <w:szCs w:val="20"/>
        </w:rPr>
        <w:t xml:space="preserve">OECD (2025) </w:t>
      </w:r>
      <w:r w:rsidRPr="007E071A">
        <w:rPr>
          <w:rFonts w:asciiTheme="minorHAnsi" w:hAnsiTheme="minorHAnsi"/>
          <w:i/>
          <w:iCs/>
          <w:sz w:val="20"/>
          <w:szCs w:val="20"/>
        </w:rPr>
        <w:t xml:space="preserve">Gender Equality in a Changing World Report 2025. </w:t>
      </w:r>
      <w:hyperlink r:id="rId31" w:history="1">
        <w:r w:rsidRPr="007E071A">
          <w:rPr>
            <w:rStyle w:val="Hyperlink"/>
            <w:rFonts w:asciiTheme="minorHAnsi" w:hAnsiTheme="minorHAnsi"/>
            <w:i/>
            <w:iCs/>
            <w:sz w:val="20"/>
            <w:szCs w:val="20"/>
          </w:rPr>
          <w:t>https://www.oecd.org/en/publications/gender-equality-in-a-changing-world_e808086f-en/full-report/women-still-lag-behind-men-in-reaching-leadership-roles_8367265b.html</w:t>
        </w:r>
      </w:hyperlink>
      <w:r w:rsidRPr="007E071A">
        <w:rPr>
          <w:rFonts w:asciiTheme="minorHAnsi" w:hAnsiTheme="minorHAnsi"/>
          <w:i/>
          <w:iCs/>
          <w:sz w:val="20"/>
          <w:szCs w:val="20"/>
        </w:rPr>
        <w:t xml:space="preserve"> </w:t>
      </w:r>
    </w:p>
    <w:p w14:paraId="64A5D879" w14:textId="77777777" w:rsidR="00811D1E" w:rsidRPr="007E071A" w:rsidRDefault="00811D1E" w:rsidP="007E071A">
      <w:pPr>
        <w:pStyle w:val="NormalWeb"/>
        <w:ind w:left="567" w:hanging="567"/>
        <w:jc w:val="both"/>
        <w:rPr>
          <w:rFonts w:asciiTheme="minorHAnsi" w:hAnsiTheme="minorHAnsi"/>
          <w:i/>
          <w:iCs/>
          <w:sz w:val="20"/>
          <w:szCs w:val="20"/>
        </w:rPr>
      </w:pPr>
      <w:r w:rsidRPr="007E071A">
        <w:rPr>
          <w:rFonts w:asciiTheme="minorHAnsi" w:hAnsiTheme="minorHAnsi"/>
          <w:sz w:val="20"/>
          <w:szCs w:val="20"/>
        </w:rPr>
        <w:t xml:space="preserve">Olmos-Vega, F.M., </w:t>
      </w:r>
      <w:proofErr w:type="spellStart"/>
      <w:r w:rsidRPr="007E071A">
        <w:rPr>
          <w:rFonts w:asciiTheme="minorHAnsi" w:hAnsiTheme="minorHAnsi"/>
          <w:sz w:val="20"/>
          <w:szCs w:val="20"/>
        </w:rPr>
        <w:t>Stalmeijer</w:t>
      </w:r>
      <w:proofErr w:type="spellEnd"/>
      <w:r w:rsidRPr="007E071A">
        <w:rPr>
          <w:rFonts w:asciiTheme="minorHAnsi" w:hAnsiTheme="minorHAnsi"/>
          <w:sz w:val="20"/>
          <w:szCs w:val="20"/>
        </w:rPr>
        <w:t xml:space="preserve">, R.E., </w:t>
      </w:r>
      <w:proofErr w:type="spellStart"/>
      <w:r w:rsidRPr="007E071A">
        <w:rPr>
          <w:rFonts w:asciiTheme="minorHAnsi" w:hAnsiTheme="minorHAnsi"/>
          <w:sz w:val="20"/>
          <w:szCs w:val="20"/>
        </w:rPr>
        <w:t>Varpio</w:t>
      </w:r>
      <w:proofErr w:type="spellEnd"/>
      <w:r w:rsidRPr="007E071A">
        <w:rPr>
          <w:rFonts w:asciiTheme="minorHAnsi" w:hAnsiTheme="minorHAnsi"/>
          <w:sz w:val="20"/>
          <w:szCs w:val="20"/>
        </w:rPr>
        <w:t>, L. and Kahlke, R., 2023</w:t>
      </w:r>
      <w:r w:rsidRPr="007E071A">
        <w:rPr>
          <w:rFonts w:asciiTheme="minorHAnsi" w:hAnsiTheme="minorHAnsi"/>
          <w:i/>
          <w:iCs/>
          <w:sz w:val="20"/>
          <w:szCs w:val="20"/>
        </w:rPr>
        <w:t>. A practical guide to reflexivity in qualitative research: AMEE Guide No. 149. Medical teacher, 45(3), pp.241-251.</w:t>
      </w:r>
    </w:p>
    <w:p w14:paraId="4FA94C48" w14:textId="30859C83" w:rsidR="00811D1E" w:rsidRPr="007E071A" w:rsidRDefault="00811D1E" w:rsidP="007E071A">
      <w:pPr>
        <w:pStyle w:val="NormalWeb"/>
        <w:ind w:left="567" w:hanging="567"/>
        <w:jc w:val="both"/>
        <w:rPr>
          <w:rFonts w:asciiTheme="minorHAnsi" w:hAnsiTheme="minorHAnsi"/>
          <w:color w:val="000000" w:themeColor="text1"/>
          <w:sz w:val="20"/>
          <w:szCs w:val="20"/>
        </w:rPr>
      </w:pPr>
      <w:proofErr w:type="spellStart"/>
      <w:r w:rsidRPr="007E071A">
        <w:rPr>
          <w:rFonts w:asciiTheme="minorHAnsi" w:hAnsiTheme="minorHAnsi"/>
          <w:color w:val="000000" w:themeColor="text1"/>
          <w:sz w:val="20"/>
          <w:szCs w:val="20"/>
        </w:rPr>
        <w:t>Onyeador</w:t>
      </w:r>
      <w:proofErr w:type="spellEnd"/>
      <w:r w:rsidRPr="007E071A">
        <w:rPr>
          <w:rFonts w:asciiTheme="minorHAnsi" w:hAnsiTheme="minorHAnsi"/>
          <w:color w:val="000000" w:themeColor="text1"/>
          <w:sz w:val="20"/>
          <w:szCs w:val="20"/>
        </w:rPr>
        <w:t xml:space="preserve">, I.N., Hudson, S.-K.T.J. and Lewis, N.A. Jr (2021) ‘Moving beyond implicit bias training: Policy insights for increasing organizational diversity’, </w:t>
      </w:r>
      <w:r w:rsidRPr="007E071A">
        <w:rPr>
          <w:rFonts w:asciiTheme="minorHAnsi" w:hAnsiTheme="minorHAnsi"/>
          <w:i/>
          <w:iCs/>
          <w:color w:val="000000" w:themeColor="text1"/>
          <w:sz w:val="20"/>
          <w:szCs w:val="20"/>
        </w:rPr>
        <w:t xml:space="preserve">Policy Insights from the </w:t>
      </w:r>
      <w:proofErr w:type="spellStart"/>
      <w:r w:rsidRPr="007E071A">
        <w:rPr>
          <w:rFonts w:asciiTheme="minorHAnsi" w:hAnsiTheme="minorHAnsi"/>
          <w:i/>
          <w:iCs/>
          <w:color w:val="000000" w:themeColor="text1"/>
          <w:sz w:val="20"/>
          <w:szCs w:val="20"/>
        </w:rPr>
        <w:t>Behavioral</w:t>
      </w:r>
      <w:proofErr w:type="spellEnd"/>
      <w:r w:rsidRPr="007E071A">
        <w:rPr>
          <w:rFonts w:asciiTheme="minorHAnsi" w:hAnsiTheme="minorHAnsi"/>
          <w:i/>
          <w:iCs/>
          <w:color w:val="000000" w:themeColor="text1"/>
          <w:sz w:val="20"/>
          <w:szCs w:val="20"/>
        </w:rPr>
        <w:t xml:space="preserve"> and Brain Sciences</w:t>
      </w:r>
      <w:r w:rsidRPr="007E071A">
        <w:rPr>
          <w:rFonts w:asciiTheme="minorHAnsi" w:hAnsiTheme="minorHAnsi"/>
          <w:color w:val="000000" w:themeColor="text1"/>
          <w:sz w:val="20"/>
          <w:szCs w:val="20"/>
        </w:rPr>
        <w:t xml:space="preserve">, 8(1), pp. 19–26. </w:t>
      </w:r>
    </w:p>
    <w:p w14:paraId="08C2D7D9" w14:textId="77777777" w:rsidR="00811D1E" w:rsidRPr="007E071A" w:rsidRDefault="00811D1E" w:rsidP="007E071A">
      <w:pPr>
        <w:pStyle w:val="NormalWeb"/>
        <w:ind w:left="567" w:hanging="567"/>
        <w:jc w:val="both"/>
        <w:rPr>
          <w:rFonts w:asciiTheme="minorHAnsi" w:hAnsiTheme="minorHAnsi"/>
          <w:i/>
          <w:iCs/>
          <w:sz w:val="20"/>
          <w:szCs w:val="20"/>
        </w:rPr>
      </w:pPr>
      <w:r w:rsidRPr="007E071A">
        <w:rPr>
          <w:rFonts w:asciiTheme="minorHAnsi" w:hAnsiTheme="minorHAnsi"/>
          <w:sz w:val="20"/>
          <w:szCs w:val="20"/>
        </w:rPr>
        <w:t xml:space="preserve">Page, M.J., McKenzie, J.E., Bossuyt, P.M., </w:t>
      </w:r>
      <w:proofErr w:type="spellStart"/>
      <w:r w:rsidRPr="007E071A">
        <w:rPr>
          <w:rFonts w:asciiTheme="minorHAnsi" w:hAnsiTheme="minorHAnsi"/>
          <w:sz w:val="20"/>
          <w:szCs w:val="20"/>
        </w:rPr>
        <w:t>Boutron</w:t>
      </w:r>
      <w:proofErr w:type="spellEnd"/>
      <w:r w:rsidRPr="007E071A">
        <w:rPr>
          <w:rFonts w:asciiTheme="minorHAnsi" w:hAnsiTheme="minorHAnsi"/>
          <w:sz w:val="20"/>
          <w:szCs w:val="20"/>
        </w:rPr>
        <w:t xml:space="preserve">, I., Hoffmann, T.C., Mulrow, C.D., </w:t>
      </w:r>
      <w:proofErr w:type="spellStart"/>
      <w:r w:rsidRPr="007E071A">
        <w:rPr>
          <w:rFonts w:asciiTheme="minorHAnsi" w:hAnsiTheme="minorHAnsi"/>
          <w:sz w:val="20"/>
          <w:szCs w:val="20"/>
        </w:rPr>
        <w:t>Shamseer</w:t>
      </w:r>
      <w:proofErr w:type="spellEnd"/>
      <w:r w:rsidRPr="007E071A">
        <w:rPr>
          <w:rFonts w:asciiTheme="minorHAnsi" w:hAnsiTheme="minorHAnsi"/>
          <w:sz w:val="20"/>
          <w:szCs w:val="20"/>
        </w:rPr>
        <w:t>, L., Tetzlaff, J.M., Akl, E.A., Brennan, S.E. and Chou, R., 2021</w:t>
      </w:r>
      <w:r w:rsidRPr="007E071A">
        <w:rPr>
          <w:rFonts w:asciiTheme="minorHAnsi" w:hAnsiTheme="minorHAnsi"/>
          <w:i/>
          <w:iCs/>
          <w:sz w:val="20"/>
          <w:szCs w:val="20"/>
        </w:rPr>
        <w:t>. The PRISMA 2020 statement: an updated guideline for reporting systematic reviews. </w:t>
      </w:r>
      <w:proofErr w:type="spellStart"/>
      <w:r w:rsidRPr="007E071A">
        <w:rPr>
          <w:rFonts w:asciiTheme="minorHAnsi" w:hAnsiTheme="minorHAnsi"/>
          <w:i/>
          <w:iCs/>
          <w:sz w:val="20"/>
          <w:szCs w:val="20"/>
        </w:rPr>
        <w:t>bmj</w:t>
      </w:r>
      <w:proofErr w:type="spellEnd"/>
      <w:r w:rsidRPr="007E071A">
        <w:rPr>
          <w:rFonts w:asciiTheme="minorHAnsi" w:hAnsiTheme="minorHAnsi"/>
          <w:i/>
          <w:iCs/>
          <w:sz w:val="20"/>
          <w:szCs w:val="20"/>
        </w:rPr>
        <w:t>, 372.</w:t>
      </w:r>
    </w:p>
    <w:p w14:paraId="3FC3E8E5" w14:textId="77777777" w:rsidR="00811D1E" w:rsidRPr="007E071A" w:rsidRDefault="00811D1E" w:rsidP="007E071A">
      <w:pPr>
        <w:pStyle w:val="NormalWeb"/>
        <w:ind w:left="567" w:hanging="567"/>
        <w:jc w:val="both"/>
        <w:rPr>
          <w:rFonts w:asciiTheme="minorHAnsi" w:hAnsiTheme="minorHAnsi"/>
          <w:i/>
          <w:iCs/>
          <w:sz w:val="20"/>
          <w:szCs w:val="20"/>
        </w:rPr>
      </w:pPr>
      <w:r w:rsidRPr="007E071A">
        <w:rPr>
          <w:rFonts w:asciiTheme="minorHAnsi" w:hAnsiTheme="minorHAnsi"/>
          <w:sz w:val="20"/>
          <w:szCs w:val="20"/>
        </w:rPr>
        <w:t>Park, Y.S., Konge, L. and Artino Jr, A.R., 2020</w:t>
      </w:r>
      <w:r w:rsidRPr="007E071A">
        <w:rPr>
          <w:rFonts w:asciiTheme="minorHAnsi" w:hAnsiTheme="minorHAnsi"/>
          <w:i/>
          <w:iCs/>
          <w:sz w:val="20"/>
          <w:szCs w:val="20"/>
        </w:rPr>
        <w:t>. The positivism paradigm of research. </w:t>
      </w:r>
      <w:r w:rsidRPr="007E071A">
        <w:rPr>
          <w:rFonts w:asciiTheme="minorHAnsi" w:hAnsiTheme="minorHAnsi"/>
          <w:sz w:val="20"/>
          <w:szCs w:val="20"/>
        </w:rPr>
        <w:t>Academic medicine, 95(5), pp.690-694.</w:t>
      </w:r>
    </w:p>
    <w:p w14:paraId="5F2E2577" w14:textId="77777777" w:rsidR="00811D1E" w:rsidRPr="007E071A" w:rsidRDefault="00811D1E" w:rsidP="007E071A">
      <w:pPr>
        <w:pStyle w:val="NormalWeb"/>
        <w:ind w:left="567" w:hanging="567"/>
        <w:jc w:val="both"/>
        <w:rPr>
          <w:rFonts w:asciiTheme="minorHAnsi" w:hAnsiTheme="minorHAnsi"/>
          <w:i/>
          <w:iCs/>
          <w:sz w:val="20"/>
          <w:szCs w:val="20"/>
        </w:rPr>
      </w:pPr>
      <w:r w:rsidRPr="007E071A">
        <w:rPr>
          <w:rFonts w:asciiTheme="minorHAnsi" w:hAnsiTheme="minorHAnsi"/>
          <w:sz w:val="20"/>
          <w:szCs w:val="20"/>
        </w:rPr>
        <w:lastRenderedPageBreak/>
        <w:t>Pretorius, L., 2024.</w:t>
      </w:r>
      <w:r w:rsidRPr="007E071A">
        <w:rPr>
          <w:rFonts w:asciiTheme="minorHAnsi" w:hAnsiTheme="minorHAnsi"/>
          <w:i/>
          <w:iCs/>
          <w:sz w:val="20"/>
          <w:szCs w:val="20"/>
        </w:rPr>
        <w:t xml:space="preserve"> Demystifying research paradigms: Navigating ontology, epistemology, and axiology in research. </w:t>
      </w:r>
      <w:r w:rsidRPr="007E071A">
        <w:rPr>
          <w:rFonts w:asciiTheme="minorHAnsi" w:hAnsiTheme="minorHAnsi"/>
          <w:sz w:val="20"/>
          <w:szCs w:val="20"/>
        </w:rPr>
        <w:t>The Qualitative Report, 29(10), pp.2698-2715.</w:t>
      </w:r>
    </w:p>
    <w:p w14:paraId="1F22F29B" w14:textId="77777777" w:rsidR="00811D1E" w:rsidRPr="007E071A" w:rsidRDefault="00811D1E" w:rsidP="007E071A">
      <w:pPr>
        <w:pStyle w:val="NormalWeb"/>
        <w:ind w:left="567" w:hanging="567"/>
        <w:jc w:val="both"/>
        <w:rPr>
          <w:rFonts w:asciiTheme="minorHAnsi" w:hAnsiTheme="minorHAnsi"/>
          <w:sz w:val="20"/>
          <w:szCs w:val="20"/>
        </w:rPr>
      </w:pPr>
      <w:r w:rsidRPr="007E071A">
        <w:rPr>
          <w:rFonts w:asciiTheme="minorHAnsi" w:hAnsiTheme="minorHAnsi"/>
          <w:sz w:val="20"/>
          <w:szCs w:val="20"/>
        </w:rPr>
        <w:t>Progression for Women in the Tech Industry</w:t>
      </w:r>
      <w:r w:rsidRPr="007E071A">
        <w:rPr>
          <w:rFonts w:asciiTheme="minorHAnsi" w:hAnsiTheme="minorHAnsi"/>
          <w:i/>
          <w:iCs/>
          <w:sz w:val="20"/>
          <w:szCs w:val="20"/>
        </w:rPr>
        <w:t>. Environment-Behaviour Proceedings Journal, 9(SI19), pp.</w:t>
      </w:r>
      <w:r w:rsidRPr="007E071A">
        <w:rPr>
          <w:rFonts w:asciiTheme="minorHAnsi" w:hAnsiTheme="minorHAnsi"/>
          <w:sz w:val="20"/>
          <w:szCs w:val="20"/>
        </w:rPr>
        <w:t>123-128.</w:t>
      </w:r>
    </w:p>
    <w:p w14:paraId="166EED10" w14:textId="148F9B60" w:rsidR="00811D1E" w:rsidRPr="00BE0828" w:rsidRDefault="00811D1E" w:rsidP="00BE0828">
      <w:pPr>
        <w:pStyle w:val="NormalWeb"/>
        <w:ind w:left="567" w:hanging="567"/>
        <w:jc w:val="both"/>
        <w:rPr>
          <w:rFonts w:asciiTheme="minorHAnsi" w:hAnsiTheme="minorHAnsi"/>
          <w:i/>
          <w:iCs/>
          <w:sz w:val="20"/>
          <w:szCs w:val="20"/>
        </w:rPr>
      </w:pPr>
      <w:r w:rsidRPr="007E071A">
        <w:rPr>
          <w:rFonts w:asciiTheme="minorHAnsi" w:hAnsiTheme="minorHAnsi"/>
          <w:sz w:val="20"/>
          <w:szCs w:val="20"/>
        </w:rPr>
        <w:t>Qi, L., Xu, Y. and Liu, B., 2023.</w:t>
      </w:r>
      <w:r w:rsidRPr="007E071A">
        <w:rPr>
          <w:rFonts w:asciiTheme="minorHAnsi" w:hAnsiTheme="minorHAnsi"/>
          <w:i/>
          <w:iCs/>
          <w:sz w:val="20"/>
          <w:szCs w:val="20"/>
        </w:rPr>
        <w:t xml:space="preserve"> Does justice matter in voice? Inclusive leadership and employee voice: the moderating role of organizational justice perception. Frontiers in psychology, </w:t>
      </w:r>
      <w:r w:rsidRPr="007E071A">
        <w:rPr>
          <w:rFonts w:asciiTheme="minorHAnsi" w:hAnsiTheme="minorHAnsi"/>
          <w:sz w:val="20"/>
          <w:szCs w:val="20"/>
        </w:rPr>
        <w:t>14, p.1313922.</w:t>
      </w:r>
    </w:p>
    <w:p w14:paraId="0A5A1D04" w14:textId="687C5A7E" w:rsidR="00975228" w:rsidRDefault="00811D1E" w:rsidP="00975228">
      <w:pPr>
        <w:pStyle w:val="NormalWeb"/>
        <w:ind w:left="567" w:hanging="567"/>
        <w:jc w:val="both"/>
        <w:rPr>
          <w:rFonts w:asciiTheme="minorHAnsi" w:hAnsiTheme="minorHAnsi"/>
          <w:sz w:val="20"/>
          <w:szCs w:val="20"/>
        </w:rPr>
      </w:pPr>
      <w:r w:rsidRPr="00BE0828">
        <w:rPr>
          <w:rFonts w:asciiTheme="minorHAnsi" w:hAnsiTheme="minorHAnsi"/>
          <w:color w:val="000000" w:themeColor="text1"/>
          <w:sz w:val="20"/>
          <w:szCs w:val="20"/>
        </w:rPr>
        <w:t xml:space="preserve">Oluwafeyisayo </w:t>
      </w:r>
      <w:proofErr w:type="spellStart"/>
      <w:r w:rsidRPr="00BE0828">
        <w:rPr>
          <w:rFonts w:asciiTheme="minorHAnsi" w:hAnsiTheme="minorHAnsi"/>
          <w:color w:val="000000" w:themeColor="text1"/>
          <w:sz w:val="20"/>
          <w:szCs w:val="20"/>
        </w:rPr>
        <w:t>Adejumoke</w:t>
      </w:r>
      <w:proofErr w:type="spellEnd"/>
      <w:r w:rsidRPr="00BE0828">
        <w:rPr>
          <w:rFonts w:asciiTheme="minorHAnsi" w:hAnsiTheme="minorHAnsi"/>
          <w:color w:val="000000" w:themeColor="text1"/>
          <w:sz w:val="20"/>
          <w:szCs w:val="20"/>
        </w:rPr>
        <w:t xml:space="preserve"> Ajayi (The University of Salford) (2026) </w:t>
      </w:r>
      <w:r w:rsidRPr="00BE0828">
        <w:rPr>
          <w:rFonts w:asciiTheme="minorHAnsi" w:hAnsiTheme="minorHAnsi"/>
          <w:i/>
          <w:iCs/>
          <w:color w:val="000000" w:themeColor="text1"/>
          <w:sz w:val="20"/>
          <w:szCs w:val="20"/>
        </w:rPr>
        <w:t xml:space="preserve">One student’s perspective of female leadership within the technology industry – A case study of Microsoft UK, Spark: The Salford Business Journal of Innovation, Societal Sustainability and Education. </w:t>
      </w:r>
      <w:hyperlink r:id="rId32" w:history="1">
        <w:r w:rsidRPr="00BE0828">
          <w:rPr>
            <w:rStyle w:val="Hyperlink"/>
            <w:rFonts w:asciiTheme="minorHAnsi" w:hAnsiTheme="minorHAnsi"/>
            <w:color w:val="000000" w:themeColor="text1"/>
            <w:sz w:val="20"/>
            <w:szCs w:val="20"/>
            <w:u w:val="none"/>
          </w:rPr>
          <w:t>https://openjournals.salford.ac.uk/spark/article/id/410/</w:t>
        </w:r>
      </w:hyperlink>
    </w:p>
    <w:p w14:paraId="5ECDB11B" w14:textId="423557CE" w:rsidR="00811D1E" w:rsidRPr="00D421CF" w:rsidRDefault="00811D1E" w:rsidP="00D421CF">
      <w:pPr>
        <w:pStyle w:val="NormalWeb"/>
        <w:jc w:val="both"/>
        <w:rPr>
          <w:rFonts w:asciiTheme="minorHAnsi" w:hAnsiTheme="minorHAnsi"/>
          <w:sz w:val="20"/>
          <w:szCs w:val="20"/>
        </w:rPr>
      </w:pPr>
      <w:r w:rsidRPr="00BE0828">
        <w:rPr>
          <w:rFonts w:asciiTheme="minorHAnsi" w:hAnsiTheme="minorHAnsi"/>
          <w:sz w:val="20"/>
          <w:szCs w:val="20"/>
        </w:rPr>
        <w:t>Progress (2026) </w:t>
      </w:r>
      <w:r w:rsidRPr="00BE0828">
        <w:rPr>
          <w:rFonts w:asciiTheme="minorHAnsi" w:hAnsiTheme="minorHAnsi"/>
          <w:i/>
          <w:iCs/>
          <w:sz w:val="20"/>
          <w:szCs w:val="20"/>
        </w:rPr>
        <w:t>FTSE Women Leaders</w:t>
      </w:r>
      <w:r w:rsidRPr="00BE0828">
        <w:rPr>
          <w:rFonts w:asciiTheme="minorHAnsi" w:hAnsiTheme="minorHAnsi"/>
          <w:sz w:val="20"/>
          <w:szCs w:val="20"/>
        </w:rPr>
        <w:t xml:space="preserve">. </w:t>
      </w:r>
      <w:hyperlink r:id="rId33" w:tgtFrame="_blank" w:history="1">
        <w:r w:rsidRPr="00BE0828">
          <w:rPr>
            <w:rStyle w:val="Hyperlink"/>
            <w:rFonts w:asciiTheme="minorHAnsi" w:hAnsiTheme="minorHAnsi"/>
            <w:sz w:val="20"/>
            <w:szCs w:val="20"/>
            <w:u w:val="none"/>
          </w:rPr>
          <w:t>http://ftsewomenleaders.com/progress/</w:t>
        </w:r>
      </w:hyperlink>
      <w:r w:rsidRPr="00BE0828">
        <w:rPr>
          <w:rFonts w:asciiTheme="minorHAnsi" w:hAnsiTheme="minorHAnsi"/>
          <w:sz w:val="20"/>
          <w:szCs w:val="20"/>
        </w:rPr>
        <w:t> </w:t>
      </w:r>
    </w:p>
    <w:p w14:paraId="50EC816F" w14:textId="13764119" w:rsidR="00C94B2E" w:rsidRPr="00A36315" w:rsidRDefault="00811D1E" w:rsidP="00A36315">
      <w:pPr>
        <w:pStyle w:val="NormalWeb"/>
        <w:ind w:left="567" w:hanging="567"/>
        <w:jc w:val="both"/>
        <w:rPr>
          <w:rFonts w:asciiTheme="minorHAnsi" w:hAnsiTheme="minorHAnsi"/>
          <w:sz w:val="20"/>
          <w:szCs w:val="20"/>
        </w:rPr>
      </w:pPr>
      <w:r w:rsidRPr="00A36315">
        <w:rPr>
          <w:rFonts w:asciiTheme="minorHAnsi" w:hAnsiTheme="minorHAnsi"/>
          <w:sz w:val="20"/>
          <w:szCs w:val="20"/>
        </w:rPr>
        <w:t xml:space="preserve">Gardner, W.L., Karam, E.P., Alvesson, M. and </w:t>
      </w:r>
      <w:proofErr w:type="spellStart"/>
      <w:r w:rsidRPr="00A36315">
        <w:rPr>
          <w:rFonts w:asciiTheme="minorHAnsi" w:hAnsiTheme="minorHAnsi"/>
          <w:sz w:val="20"/>
          <w:szCs w:val="20"/>
        </w:rPr>
        <w:t>Einola</w:t>
      </w:r>
      <w:proofErr w:type="spellEnd"/>
      <w:r w:rsidRPr="00A36315">
        <w:rPr>
          <w:rFonts w:asciiTheme="minorHAnsi" w:hAnsiTheme="minorHAnsi"/>
          <w:sz w:val="20"/>
          <w:szCs w:val="20"/>
        </w:rPr>
        <w:t>, K., 2021. Authentic leadership theory: The case for and against. </w:t>
      </w:r>
      <w:r w:rsidRPr="00A36315">
        <w:rPr>
          <w:rFonts w:asciiTheme="minorHAnsi" w:hAnsiTheme="minorHAnsi"/>
          <w:i/>
          <w:iCs/>
          <w:sz w:val="20"/>
          <w:szCs w:val="20"/>
        </w:rPr>
        <w:t>The Leadership Quarterly</w:t>
      </w:r>
      <w:r w:rsidRPr="00A36315">
        <w:rPr>
          <w:rFonts w:asciiTheme="minorHAnsi" w:hAnsiTheme="minorHAnsi"/>
          <w:sz w:val="20"/>
          <w:szCs w:val="20"/>
        </w:rPr>
        <w:t>, </w:t>
      </w:r>
      <w:r w:rsidRPr="00A36315">
        <w:rPr>
          <w:rFonts w:asciiTheme="minorHAnsi" w:hAnsiTheme="minorHAnsi"/>
          <w:i/>
          <w:iCs/>
          <w:sz w:val="20"/>
          <w:szCs w:val="20"/>
        </w:rPr>
        <w:t>32</w:t>
      </w:r>
      <w:r w:rsidRPr="00A36315">
        <w:rPr>
          <w:rFonts w:asciiTheme="minorHAnsi" w:hAnsiTheme="minorHAnsi"/>
          <w:sz w:val="20"/>
          <w:szCs w:val="20"/>
        </w:rPr>
        <w:t>(6), p.101495.</w:t>
      </w:r>
    </w:p>
    <w:p w14:paraId="444F26E1" w14:textId="77777777" w:rsidR="00364CD7" w:rsidRDefault="00590D0A" w:rsidP="00A352F3">
      <w:pPr>
        <w:spacing w:line="360" w:lineRule="auto"/>
        <w:jc w:val="both"/>
        <w:rPr>
          <w:rFonts w:cs="Arial"/>
          <w:i/>
          <w:iCs/>
          <w:color w:val="000000" w:themeColor="text1"/>
          <w:sz w:val="20"/>
          <w:szCs w:val="20"/>
          <w:shd w:val="clear" w:color="auto" w:fill="FFFFFF"/>
        </w:rPr>
      </w:pPr>
      <w:r w:rsidRPr="00A352F3">
        <w:rPr>
          <w:rFonts w:cs="Arial"/>
          <w:color w:val="000000" w:themeColor="text1"/>
          <w:sz w:val="20"/>
          <w:szCs w:val="20"/>
          <w:shd w:val="clear" w:color="auto" w:fill="FFFFFF"/>
        </w:rPr>
        <w:t>Radulovski, A</w:t>
      </w:r>
      <w:r w:rsidRPr="00A352F3">
        <w:rPr>
          <w:rFonts w:cs="Arial"/>
          <w:i/>
          <w:iCs/>
          <w:color w:val="000000" w:themeColor="text1"/>
          <w:sz w:val="20"/>
          <w:szCs w:val="20"/>
          <w:shd w:val="clear" w:color="auto" w:fill="FFFFFF"/>
        </w:rPr>
        <w:t xml:space="preserve">. </w:t>
      </w:r>
      <w:r w:rsidRPr="00A352F3">
        <w:rPr>
          <w:rFonts w:cs="Arial"/>
          <w:color w:val="000000" w:themeColor="text1"/>
          <w:sz w:val="20"/>
          <w:szCs w:val="20"/>
          <w:shd w:val="clear" w:color="auto" w:fill="FFFFFF"/>
        </w:rPr>
        <w:t>(2025)</w:t>
      </w:r>
      <w:r w:rsidRPr="00A352F3">
        <w:rPr>
          <w:rFonts w:cs="Arial"/>
          <w:i/>
          <w:iCs/>
          <w:color w:val="000000" w:themeColor="text1"/>
          <w:sz w:val="20"/>
          <w:szCs w:val="20"/>
          <w:shd w:val="clear" w:color="auto" w:fill="FFFFFF"/>
        </w:rPr>
        <w:t xml:space="preserve"> Women in tech stats 2025 - UK, Women in Tech Network. </w:t>
      </w:r>
      <w:r w:rsidR="00364CD7">
        <w:rPr>
          <w:rFonts w:cs="Arial"/>
          <w:i/>
          <w:iCs/>
          <w:color w:val="000000" w:themeColor="text1"/>
          <w:sz w:val="20"/>
          <w:szCs w:val="20"/>
          <w:shd w:val="clear" w:color="auto" w:fill="FFFFFF"/>
        </w:rPr>
        <w:t xml:space="preserve">     </w:t>
      </w:r>
    </w:p>
    <w:p w14:paraId="0961F5F7" w14:textId="5A421200" w:rsidR="00590D0A" w:rsidRDefault="00364CD7" w:rsidP="00A352F3">
      <w:pPr>
        <w:spacing w:line="360" w:lineRule="auto"/>
        <w:jc w:val="both"/>
        <w:rPr>
          <w:rFonts w:cs="Arial"/>
          <w:i/>
          <w:iCs/>
          <w:color w:val="000000" w:themeColor="text1"/>
          <w:sz w:val="20"/>
          <w:szCs w:val="20"/>
          <w:shd w:val="clear" w:color="auto" w:fill="FFFFFF"/>
        </w:rPr>
      </w:pPr>
      <w:r>
        <w:rPr>
          <w:rFonts w:cs="Arial"/>
          <w:i/>
          <w:iCs/>
          <w:color w:val="000000" w:themeColor="text1"/>
          <w:sz w:val="20"/>
          <w:szCs w:val="20"/>
          <w:shd w:val="clear" w:color="auto" w:fill="FFFFFF"/>
        </w:rPr>
        <w:t xml:space="preserve">             </w:t>
      </w:r>
      <w:hyperlink r:id="rId34" w:history="1">
        <w:r w:rsidR="00975228" w:rsidRPr="000C4273">
          <w:rPr>
            <w:rStyle w:val="Hyperlink"/>
            <w:rFonts w:cs="Arial"/>
            <w:i/>
            <w:iCs/>
            <w:sz w:val="20"/>
            <w:szCs w:val="20"/>
            <w:shd w:val="clear" w:color="auto" w:fill="FFFFFF"/>
          </w:rPr>
          <w:t>https://www.womentech.net/women-in-tech-stats-uk/</w:t>
        </w:r>
      </w:hyperlink>
      <w:r w:rsidR="00577070" w:rsidRPr="00A352F3">
        <w:rPr>
          <w:rFonts w:cs="Arial"/>
          <w:i/>
          <w:iCs/>
          <w:color w:val="000000" w:themeColor="text1"/>
          <w:sz w:val="20"/>
          <w:szCs w:val="20"/>
          <w:shd w:val="clear" w:color="auto" w:fill="FFFFFF"/>
        </w:rPr>
        <w:t xml:space="preserve"> </w:t>
      </w:r>
    </w:p>
    <w:p w14:paraId="026E13DB" w14:textId="77777777" w:rsidR="00A379B4" w:rsidRPr="00F756AE" w:rsidRDefault="00A379B4" w:rsidP="00A379B4">
      <w:pPr>
        <w:pStyle w:val="NormalWeb"/>
        <w:ind w:left="567" w:hanging="567"/>
        <w:jc w:val="both"/>
        <w:rPr>
          <w:rFonts w:asciiTheme="minorHAnsi" w:hAnsiTheme="minorHAnsi" w:cs="Arial"/>
          <w:color w:val="222222"/>
          <w:sz w:val="20"/>
          <w:szCs w:val="20"/>
          <w:shd w:val="clear" w:color="auto" w:fill="FFFFFF"/>
        </w:rPr>
      </w:pPr>
      <w:r w:rsidRPr="00F756AE">
        <w:rPr>
          <w:rFonts w:asciiTheme="minorHAnsi" w:hAnsiTheme="minorHAnsi" w:cs="Arial"/>
          <w:color w:val="222222"/>
          <w:sz w:val="20"/>
          <w:szCs w:val="20"/>
          <w:shd w:val="clear" w:color="auto" w:fill="FFFFFF"/>
        </w:rPr>
        <w:t xml:space="preserve">Ramli, S., Shaari, N., </w:t>
      </w:r>
      <w:proofErr w:type="spellStart"/>
      <w:r w:rsidRPr="00F756AE">
        <w:rPr>
          <w:rFonts w:asciiTheme="minorHAnsi" w:hAnsiTheme="minorHAnsi" w:cs="Arial"/>
          <w:color w:val="222222"/>
          <w:sz w:val="20"/>
          <w:szCs w:val="20"/>
          <w:shd w:val="clear" w:color="auto" w:fill="FFFFFF"/>
        </w:rPr>
        <w:t>Rosnan</w:t>
      </w:r>
      <w:proofErr w:type="spellEnd"/>
      <w:r w:rsidRPr="00F756AE">
        <w:rPr>
          <w:rFonts w:asciiTheme="minorHAnsi" w:hAnsiTheme="minorHAnsi" w:cs="Arial"/>
          <w:color w:val="222222"/>
          <w:sz w:val="20"/>
          <w:szCs w:val="20"/>
          <w:shd w:val="clear" w:color="auto" w:fill="FFFFFF"/>
        </w:rPr>
        <w:t>, H. and Nor, N.M., 2024. Exploring the Influence of Organizational Culture, Organisational Structure and Pay Structure on Career Progression for Women in the Tech Industry. </w:t>
      </w:r>
      <w:r w:rsidRPr="00F756AE">
        <w:rPr>
          <w:rFonts w:asciiTheme="minorHAnsi" w:hAnsiTheme="minorHAnsi" w:cs="Arial"/>
          <w:i/>
          <w:iCs/>
          <w:color w:val="222222"/>
          <w:sz w:val="20"/>
          <w:szCs w:val="20"/>
          <w:shd w:val="clear" w:color="auto" w:fill="FFFFFF"/>
        </w:rPr>
        <w:t>Environment-Behaviour Proceedings Journal</w:t>
      </w:r>
      <w:r w:rsidRPr="00F756AE">
        <w:rPr>
          <w:rFonts w:asciiTheme="minorHAnsi" w:hAnsiTheme="minorHAnsi" w:cs="Arial"/>
          <w:color w:val="222222"/>
          <w:sz w:val="20"/>
          <w:szCs w:val="20"/>
          <w:shd w:val="clear" w:color="auto" w:fill="FFFFFF"/>
        </w:rPr>
        <w:t>, </w:t>
      </w:r>
      <w:r w:rsidRPr="00F756AE">
        <w:rPr>
          <w:rFonts w:asciiTheme="minorHAnsi" w:hAnsiTheme="minorHAnsi" w:cs="Arial"/>
          <w:i/>
          <w:iCs/>
          <w:color w:val="222222"/>
          <w:sz w:val="20"/>
          <w:szCs w:val="20"/>
          <w:shd w:val="clear" w:color="auto" w:fill="FFFFFF"/>
        </w:rPr>
        <w:t>9</w:t>
      </w:r>
      <w:r w:rsidRPr="00F756AE">
        <w:rPr>
          <w:rFonts w:asciiTheme="minorHAnsi" w:hAnsiTheme="minorHAnsi" w:cs="Arial"/>
          <w:color w:val="222222"/>
          <w:sz w:val="20"/>
          <w:szCs w:val="20"/>
          <w:shd w:val="clear" w:color="auto" w:fill="FFFFFF"/>
        </w:rPr>
        <w:t>(SI19), pp.123-128.</w:t>
      </w:r>
    </w:p>
    <w:p w14:paraId="73266F4F" w14:textId="5A59F1B0" w:rsidR="00982F22" w:rsidRDefault="00975228" w:rsidP="00BF3B38">
      <w:pPr>
        <w:pStyle w:val="NormalWeb"/>
        <w:ind w:left="567" w:hanging="567"/>
        <w:jc w:val="both"/>
        <w:rPr>
          <w:rFonts w:asciiTheme="minorHAnsi" w:hAnsiTheme="minorHAnsi"/>
          <w:sz w:val="20"/>
          <w:szCs w:val="20"/>
        </w:rPr>
      </w:pPr>
      <w:r w:rsidRPr="00F756AE">
        <w:rPr>
          <w:rFonts w:asciiTheme="minorHAnsi" w:hAnsiTheme="minorHAnsi"/>
          <w:sz w:val="20"/>
          <w:szCs w:val="20"/>
        </w:rPr>
        <w:t>Raghavan, M., Barocas, S., Kleinberg, J. and Levy, K., 2020, January. Mitigating bias in algorithmic hiring: Evaluating claims and practices. In </w:t>
      </w:r>
      <w:r w:rsidRPr="00F756AE">
        <w:rPr>
          <w:rFonts w:asciiTheme="minorHAnsi" w:hAnsiTheme="minorHAnsi"/>
          <w:i/>
          <w:iCs/>
          <w:sz w:val="20"/>
          <w:szCs w:val="20"/>
        </w:rPr>
        <w:t>Proceedings of the 2020 conference on fairness, accountability, and transparency</w:t>
      </w:r>
      <w:r w:rsidRPr="00F756AE">
        <w:rPr>
          <w:rFonts w:asciiTheme="minorHAnsi" w:hAnsiTheme="minorHAnsi"/>
          <w:sz w:val="20"/>
          <w:szCs w:val="20"/>
        </w:rPr>
        <w:t> (pp. 469-481).</w:t>
      </w:r>
    </w:p>
    <w:p w14:paraId="017A4CAE" w14:textId="5353987E" w:rsidR="00BF3B38" w:rsidRPr="00B30B07" w:rsidRDefault="00BF3B38" w:rsidP="00BF3B38">
      <w:pPr>
        <w:pStyle w:val="NormalWeb"/>
        <w:ind w:left="567" w:hanging="567"/>
        <w:jc w:val="both"/>
        <w:rPr>
          <w:rFonts w:asciiTheme="minorHAnsi" w:hAnsiTheme="minorHAnsi" w:cs="Arial"/>
          <w:color w:val="222222"/>
          <w:sz w:val="20"/>
          <w:szCs w:val="20"/>
          <w:shd w:val="clear" w:color="auto" w:fill="FFFFFF"/>
        </w:rPr>
      </w:pPr>
      <w:r w:rsidRPr="00B30B07">
        <w:rPr>
          <w:rFonts w:asciiTheme="minorHAnsi" w:hAnsiTheme="minorHAnsi" w:cs="Arial"/>
          <w:color w:val="222222"/>
          <w:sz w:val="20"/>
          <w:szCs w:val="20"/>
          <w:shd w:val="clear" w:color="auto" w:fill="FFFFFF"/>
        </w:rPr>
        <w:t>Rodriguez, J.K. and Ridgway, M., 2023. Intersectional reflexivity: Fieldwork experiences of ethnic minority women researchers. </w:t>
      </w:r>
      <w:r w:rsidRPr="00B30B07">
        <w:rPr>
          <w:rFonts w:asciiTheme="minorHAnsi" w:hAnsiTheme="minorHAnsi" w:cs="Arial"/>
          <w:i/>
          <w:iCs/>
          <w:color w:val="222222"/>
          <w:sz w:val="20"/>
          <w:szCs w:val="20"/>
          <w:shd w:val="clear" w:color="auto" w:fill="FFFFFF"/>
        </w:rPr>
        <w:t>Gender, Work &amp; Organization</w:t>
      </w:r>
      <w:r w:rsidRPr="00B30B07">
        <w:rPr>
          <w:rFonts w:asciiTheme="minorHAnsi" w:hAnsiTheme="minorHAnsi" w:cs="Arial"/>
          <w:color w:val="222222"/>
          <w:sz w:val="20"/>
          <w:szCs w:val="20"/>
          <w:shd w:val="clear" w:color="auto" w:fill="FFFFFF"/>
        </w:rPr>
        <w:t>, </w:t>
      </w:r>
      <w:r w:rsidRPr="00B30B07">
        <w:rPr>
          <w:rFonts w:asciiTheme="minorHAnsi" w:hAnsiTheme="minorHAnsi" w:cs="Arial"/>
          <w:i/>
          <w:iCs/>
          <w:color w:val="222222"/>
          <w:sz w:val="20"/>
          <w:szCs w:val="20"/>
          <w:shd w:val="clear" w:color="auto" w:fill="FFFFFF"/>
        </w:rPr>
        <w:t>30</w:t>
      </w:r>
      <w:r w:rsidRPr="00B30B07">
        <w:rPr>
          <w:rFonts w:asciiTheme="minorHAnsi" w:hAnsiTheme="minorHAnsi" w:cs="Arial"/>
          <w:color w:val="222222"/>
          <w:sz w:val="20"/>
          <w:szCs w:val="20"/>
          <w:shd w:val="clear" w:color="auto" w:fill="FFFFFF"/>
        </w:rPr>
        <w:t>(4), pp.1273-1295.</w:t>
      </w:r>
    </w:p>
    <w:p w14:paraId="0445BA04" w14:textId="17626423" w:rsidR="00BF3B38" w:rsidRPr="00B30B07" w:rsidRDefault="00BF3B38" w:rsidP="00BF3B38">
      <w:pPr>
        <w:pStyle w:val="NormalWeb"/>
        <w:ind w:left="567" w:hanging="567"/>
        <w:jc w:val="both"/>
        <w:rPr>
          <w:rFonts w:asciiTheme="minorHAnsi" w:hAnsiTheme="minorHAnsi" w:cs="Arial"/>
          <w:color w:val="222222"/>
          <w:sz w:val="20"/>
          <w:szCs w:val="20"/>
          <w:shd w:val="clear" w:color="auto" w:fill="FFFFFF"/>
        </w:rPr>
      </w:pPr>
      <w:r w:rsidRPr="00B30B07">
        <w:rPr>
          <w:rFonts w:asciiTheme="minorHAnsi" w:hAnsiTheme="minorHAnsi" w:cs="Arial"/>
          <w:color w:val="222222"/>
          <w:sz w:val="20"/>
          <w:szCs w:val="20"/>
          <w:shd w:val="clear" w:color="auto" w:fill="FFFFFF"/>
        </w:rPr>
        <w:t>Rose, J. and Johnson, C.W., 2020. Contextualizing reliability and validity in qualitative research: Toward more rigorous and trustworthy qualitative social science in leisure research. </w:t>
      </w:r>
      <w:r w:rsidRPr="00B30B07">
        <w:rPr>
          <w:rFonts w:asciiTheme="minorHAnsi" w:hAnsiTheme="minorHAnsi" w:cs="Arial"/>
          <w:i/>
          <w:iCs/>
          <w:color w:val="222222"/>
          <w:sz w:val="20"/>
          <w:szCs w:val="20"/>
          <w:shd w:val="clear" w:color="auto" w:fill="FFFFFF"/>
        </w:rPr>
        <w:t>Journal of leisure research</w:t>
      </w:r>
      <w:r w:rsidRPr="00B30B07">
        <w:rPr>
          <w:rFonts w:asciiTheme="minorHAnsi" w:hAnsiTheme="minorHAnsi" w:cs="Arial"/>
          <w:color w:val="222222"/>
          <w:sz w:val="20"/>
          <w:szCs w:val="20"/>
          <w:shd w:val="clear" w:color="auto" w:fill="FFFFFF"/>
        </w:rPr>
        <w:t>, </w:t>
      </w:r>
      <w:r w:rsidRPr="00B30B07">
        <w:rPr>
          <w:rFonts w:asciiTheme="minorHAnsi" w:hAnsiTheme="minorHAnsi" w:cs="Arial"/>
          <w:i/>
          <w:iCs/>
          <w:color w:val="222222"/>
          <w:sz w:val="20"/>
          <w:szCs w:val="20"/>
          <w:shd w:val="clear" w:color="auto" w:fill="FFFFFF"/>
        </w:rPr>
        <w:t>51</w:t>
      </w:r>
      <w:r w:rsidRPr="00B30B07">
        <w:rPr>
          <w:rFonts w:asciiTheme="minorHAnsi" w:hAnsiTheme="minorHAnsi" w:cs="Arial"/>
          <w:color w:val="222222"/>
          <w:sz w:val="20"/>
          <w:szCs w:val="20"/>
          <w:shd w:val="clear" w:color="auto" w:fill="FFFFFF"/>
        </w:rPr>
        <w:t>(4), pp.432-451.</w:t>
      </w:r>
    </w:p>
    <w:p w14:paraId="532CF1EF" w14:textId="77777777" w:rsidR="00B30B07" w:rsidRPr="00B30B07" w:rsidRDefault="00B30B07" w:rsidP="00B30B07">
      <w:pPr>
        <w:pStyle w:val="NormalWeb"/>
        <w:ind w:left="567" w:hanging="567"/>
        <w:rPr>
          <w:rFonts w:asciiTheme="minorHAnsi" w:hAnsiTheme="minorHAnsi"/>
          <w:i/>
          <w:iCs/>
          <w:sz w:val="20"/>
          <w:szCs w:val="20"/>
        </w:rPr>
      </w:pPr>
      <w:r w:rsidRPr="00B30B07">
        <w:rPr>
          <w:rFonts w:asciiTheme="minorHAnsi" w:hAnsiTheme="minorHAnsi"/>
          <w:i/>
          <w:iCs/>
          <w:sz w:val="20"/>
          <w:szCs w:val="20"/>
        </w:rPr>
        <w:t xml:space="preserve">Salazar, L. and Moline, A., 2023. Increasing women’s representation in business leadership. World Bank Gender Thematic Policy Notes Series. https://openknowledge. </w:t>
      </w:r>
      <w:proofErr w:type="spellStart"/>
      <w:r w:rsidRPr="00B30B07">
        <w:rPr>
          <w:rFonts w:asciiTheme="minorHAnsi" w:hAnsiTheme="minorHAnsi"/>
          <w:i/>
          <w:iCs/>
          <w:sz w:val="20"/>
          <w:szCs w:val="20"/>
        </w:rPr>
        <w:t>worldbank</w:t>
      </w:r>
      <w:proofErr w:type="spellEnd"/>
      <w:r w:rsidRPr="00B30B07">
        <w:rPr>
          <w:rFonts w:asciiTheme="minorHAnsi" w:hAnsiTheme="minorHAnsi"/>
          <w:i/>
          <w:iCs/>
          <w:sz w:val="20"/>
          <w:szCs w:val="20"/>
        </w:rPr>
        <w:t xml:space="preserve">. org/handle/10986/39870. </w:t>
      </w:r>
    </w:p>
    <w:p w14:paraId="25B06A6E" w14:textId="4B00E85C" w:rsidR="00B30B07" w:rsidRPr="00B30B07" w:rsidRDefault="00B30B07" w:rsidP="00BF3B38">
      <w:pPr>
        <w:pStyle w:val="NormalWeb"/>
        <w:ind w:left="567" w:hanging="567"/>
        <w:jc w:val="both"/>
        <w:rPr>
          <w:rFonts w:asciiTheme="minorHAnsi" w:hAnsiTheme="minorHAnsi" w:cs="Arial"/>
          <w:color w:val="222222"/>
          <w:sz w:val="20"/>
          <w:szCs w:val="20"/>
          <w:shd w:val="clear" w:color="auto" w:fill="FFFFFF"/>
        </w:rPr>
      </w:pPr>
      <w:r w:rsidRPr="00B30B07">
        <w:rPr>
          <w:rFonts w:asciiTheme="minorHAnsi" w:hAnsiTheme="minorHAnsi" w:cs="Arial"/>
          <w:color w:val="222222"/>
          <w:sz w:val="20"/>
          <w:szCs w:val="20"/>
          <w:shd w:val="clear" w:color="auto" w:fill="FFFFFF"/>
        </w:rPr>
        <w:t>Shen, M.R., Tzioumis, E., Andersen, E., Wouk, K., McCall, R., Li, W., Girdler, S. and Malloy, E., 2022. Impact of mentoring on academic career success for women in medicine: a systematic review. </w:t>
      </w:r>
      <w:r w:rsidRPr="00B30B07">
        <w:rPr>
          <w:rFonts w:asciiTheme="minorHAnsi" w:hAnsiTheme="minorHAnsi" w:cs="Arial"/>
          <w:i/>
          <w:iCs/>
          <w:color w:val="222222"/>
          <w:sz w:val="20"/>
          <w:szCs w:val="20"/>
          <w:shd w:val="clear" w:color="auto" w:fill="FFFFFF"/>
        </w:rPr>
        <w:t>Academic Medicine</w:t>
      </w:r>
      <w:r w:rsidRPr="00B30B07">
        <w:rPr>
          <w:rFonts w:asciiTheme="minorHAnsi" w:hAnsiTheme="minorHAnsi" w:cs="Arial"/>
          <w:color w:val="222222"/>
          <w:sz w:val="20"/>
          <w:szCs w:val="20"/>
          <w:shd w:val="clear" w:color="auto" w:fill="FFFFFF"/>
        </w:rPr>
        <w:t>, </w:t>
      </w:r>
      <w:r w:rsidRPr="00B30B07">
        <w:rPr>
          <w:rFonts w:asciiTheme="minorHAnsi" w:hAnsiTheme="minorHAnsi" w:cs="Arial"/>
          <w:i/>
          <w:iCs/>
          <w:color w:val="222222"/>
          <w:sz w:val="20"/>
          <w:szCs w:val="20"/>
          <w:shd w:val="clear" w:color="auto" w:fill="FFFFFF"/>
        </w:rPr>
        <w:t>97</w:t>
      </w:r>
      <w:r w:rsidRPr="00B30B07">
        <w:rPr>
          <w:rFonts w:asciiTheme="minorHAnsi" w:hAnsiTheme="minorHAnsi" w:cs="Arial"/>
          <w:color w:val="222222"/>
          <w:sz w:val="20"/>
          <w:szCs w:val="20"/>
          <w:shd w:val="clear" w:color="auto" w:fill="FFFFFF"/>
        </w:rPr>
        <w:t>(3), pp.444-458.</w:t>
      </w:r>
    </w:p>
    <w:p w14:paraId="699AE3E2" w14:textId="3B42FC4D" w:rsidR="00B30B07" w:rsidRPr="00B30B07" w:rsidRDefault="00B30B07" w:rsidP="00BF3B38">
      <w:pPr>
        <w:pStyle w:val="NormalWeb"/>
        <w:ind w:left="567" w:hanging="567"/>
        <w:jc w:val="both"/>
        <w:rPr>
          <w:rFonts w:asciiTheme="minorHAnsi" w:hAnsiTheme="minorHAnsi" w:cs="Arial"/>
          <w:color w:val="222222"/>
          <w:sz w:val="20"/>
          <w:szCs w:val="20"/>
          <w:shd w:val="clear" w:color="auto" w:fill="FFFFFF"/>
        </w:rPr>
      </w:pPr>
      <w:r w:rsidRPr="00B30B07">
        <w:rPr>
          <w:rFonts w:asciiTheme="minorHAnsi" w:hAnsiTheme="minorHAnsi" w:cs="Arial"/>
          <w:color w:val="222222"/>
          <w:sz w:val="20"/>
          <w:szCs w:val="20"/>
          <w:shd w:val="clear" w:color="auto" w:fill="FFFFFF"/>
        </w:rPr>
        <w:t xml:space="preserve">Shinde, S. and </w:t>
      </w:r>
      <w:proofErr w:type="spellStart"/>
      <w:r w:rsidRPr="00B30B07">
        <w:rPr>
          <w:rFonts w:asciiTheme="minorHAnsi" w:hAnsiTheme="minorHAnsi" w:cs="Arial"/>
          <w:color w:val="222222"/>
          <w:sz w:val="20"/>
          <w:szCs w:val="20"/>
          <w:shd w:val="clear" w:color="auto" w:fill="FFFFFF"/>
        </w:rPr>
        <w:t>Rakshase</w:t>
      </w:r>
      <w:proofErr w:type="spellEnd"/>
      <w:r w:rsidRPr="00B30B07">
        <w:rPr>
          <w:rFonts w:asciiTheme="minorHAnsi" w:hAnsiTheme="minorHAnsi" w:cs="Arial"/>
          <w:color w:val="222222"/>
          <w:sz w:val="20"/>
          <w:szCs w:val="20"/>
          <w:shd w:val="clear" w:color="auto" w:fill="FFFFFF"/>
        </w:rPr>
        <w:t>, B., 2022. Insights on the practice of hysterectomy among the women sugarcane cutters in Maharashtra (India). </w:t>
      </w:r>
      <w:r w:rsidRPr="00B30B07">
        <w:rPr>
          <w:rFonts w:asciiTheme="minorHAnsi" w:hAnsiTheme="minorHAnsi" w:cs="Arial"/>
          <w:i/>
          <w:iCs/>
          <w:color w:val="222222"/>
          <w:sz w:val="20"/>
          <w:szCs w:val="20"/>
          <w:shd w:val="clear" w:color="auto" w:fill="FFFFFF"/>
        </w:rPr>
        <w:t>Feminist Research</w:t>
      </w:r>
      <w:r w:rsidRPr="00B30B07">
        <w:rPr>
          <w:rFonts w:asciiTheme="minorHAnsi" w:hAnsiTheme="minorHAnsi" w:cs="Arial"/>
          <w:color w:val="222222"/>
          <w:sz w:val="20"/>
          <w:szCs w:val="20"/>
          <w:shd w:val="clear" w:color="auto" w:fill="FFFFFF"/>
        </w:rPr>
        <w:t>, </w:t>
      </w:r>
      <w:r w:rsidRPr="00B30B07">
        <w:rPr>
          <w:rFonts w:asciiTheme="minorHAnsi" w:hAnsiTheme="minorHAnsi" w:cs="Arial"/>
          <w:i/>
          <w:iCs/>
          <w:color w:val="222222"/>
          <w:sz w:val="20"/>
          <w:szCs w:val="20"/>
          <w:shd w:val="clear" w:color="auto" w:fill="FFFFFF"/>
        </w:rPr>
        <w:t>6</w:t>
      </w:r>
      <w:r w:rsidRPr="00B30B07">
        <w:rPr>
          <w:rFonts w:asciiTheme="minorHAnsi" w:hAnsiTheme="minorHAnsi" w:cs="Arial"/>
          <w:color w:val="222222"/>
          <w:sz w:val="20"/>
          <w:szCs w:val="20"/>
          <w:shd w:val="clear" w:color="auto" w:fill="FFFFFF"/>
        </w:rPr>
        <w:t>(1), pp.26-29.</w:t>
      </w:r>
    </w:p>
    <w:p w14:paraId="0907CCB5" w14:textId="21A043BC" w:rsidR="00B30B07" w:rsidRPr="00B30B07" w:rsidRDefault="00B30B07" w:rsidP="00BF3B38">
      <w:pPr>
        <w:pStyle w:val="NormalWeb"/>
        <w:ind w:left="567" w:hanging="567"/>
        <w:jc w:val="both"/>
        <w:rPr>
          <w:rFonts w:asciiTheme="minorHAnsi" w:hAnsiTheme="minorHAnsi" w:cs="Arial"/>
          <w:color w:val="222222"/>
          <w:sz w:val="20"/>
          <w:szCs w:val="20"/>
          <w:shd w:val="clear" w:color="auto" w:fill="FFFFFF"/>
        </w:rPr>
      </w:pPr>
      <w:proofErr w:type="spellStart"/>
      <w:r w:rsidRPr="00B30B07">
        <w:rPr>
          <w:rFonts w:asciiTheme="minorHAnsi" w:hAnsiTheme="minorHAnsi" w:cs="Arial"/>
          <w:color w:val="222222"/>
          <w:sz w:val="20"/>
          <w:szCs w:val="20"/>
          <w:shd w:val="clear" w:color="auto" w:fill="FFFFFF"/>
        </w:rPr>
        <w:t>Siangchokyoo</w:t>
      </w:r>
      <w:proofErr w:type="spellEnd"/>
      <w:r w:rsidRPr="00B30B07">
        <w:rPr>
          <w:rFonts w:asciiTheme="minorHAnsi" w:hAnsiTheme="minorHAnsi" w:cs="Arial"/>
          <w:color w:val="222222"/>
          <w:sz w:val="20"/>
          <w:szCs w:val="20"/>
          <w:shd w:val="clear" w:color="auto" w:fill="FFFFFF"/>
        </w:rPr>
        <w:t>, N., Klinger, R.L. and Campion, E.D., 2020. Follower transformation as the linchpin of transformational leadership theory: A systematic review and future research agenda. </w:t>
      </w:r>
      <w:r w:rsidRPr="00B30B07">
        <w:rPr>
          <w:rFonts w:asciiTheme="minorHAnsi" w:hAnsiTheme="minorHAnsi" w:cs="Arial"/>
          <w:i/>
          <w:iCs/>
          <w:color w:val="222222"/>
          <w:sz w:val="20"/>
          <w:szCs w:val="20"/>
          <w:shd w:val="clear" w:color="auto" w:fill="FFFFFF"/>
        </w:rPr>
        <w:t>The Leadership Quarterly</w:t>
      </w:r>
      <w:r w:rsidRPr="00B30B07">
        <w:rPr>
          <w:rFonts w:asciiTheme="minorHAnsi" w:hAnsiTheme="minorHAnsi" w:cs="Arial"/>
          <w:color w:val="222222"/>
          <w:sz w:val="20"/>
          <w:szCs w:val="20"/>
          <w:shd w:val="clear" w:color="auto" w:fill="FFFFFF"/>
        </w:rPr>
        <w:t>, </w:t>
      </w:r>
      <w:r w:rsidRPr="00B30B07">
        <w:rPr>
          <w:rFonts w:asciiTheme="minorHAnsi" w:hAnsiTheme="minorHAnsi" w:cs="Arial"/>
          <w:i/>
          <w:iCs/>
          <w:color w:val="222222"/>
          <w:sz w:val="20"/>
          <w:szCs w:val="20"/>
          <w:shd w:val="clear" w:color="auto" w:fill="FFFFFF"/>
        </w:rPr>
        <w:t>31</w:t>
      </w:r>
      <w:r w:rsidRPr="00B30B07">
        <w:rPr>
          <w:rFonts w:asciiTheme="minorHAnsi" w:hAnsiTheme="minorHAnsi" w:cs="Arial"/>
          <w:color w:val="222222"/>
          <w:sz w:val="20"/>
          <w:szCs w:val="20"/>
          <w:shd w:val="clear" w:color="auto" w:fill="FFFFFF"/>
        </w:rPr>
        <w:t>(1), p.101341.</w:t>
      </w:r>
    </w:p>
    <w:p w14:paraId="4F6F5DC5" w14:textId="016BBF98" w:rsidR="00B30B07" w:rsidRPr="00B30B07" w:rsidRDefault="00B30B07" w:rsidP="00BF3B38">
      <w:pPr>
        <w:pStyle w:val="NormalWeb"/>
        <w:ind w:left="567" w:hanging="567"/>
        <w:jc w:val="both"/>
        <w:rPr>
          <w:rFonts w:asciiTheme="minorHAnsi" w:hAnsiTheme="minorHAnsi" w:cs="Arial"/>
          <w:color w:val="222222"/>
          <w:sz w:val="20"/>
          <w:szCs w:val="20"/>
          <w:shd w:val="clear" w:color="auto" w:fill="FFFFFF"/>
        </w:rPr>
      </w:pPr>
      <w:r w:rsidRPr="00B30B07">
        <w:rPr>
          <w:rFonts w:asciiTheme="minorHAnsi" w:hAnsiTheme="minorHAnsi" w:cs="Arial"/>
          <w:color w:val="222222"/>
          <w:sz w:val="20"/>
          <w:szCs w:val="20"/>
          <w:shd w:val="clear" w:color="auto" w:fill="FFFFFF"/>
        </w:rPr>
        <w:lastRenderedPageBreak/>
        <w:t>Singh, S. and Vanka, S., 2020. Mentoring is essential but not sufficient: sponsor women for leadership roles. </w:t>
      </w:r>
      <w:r w:rsidRPr="00B30B07">
        <w:rPr>
          <w:rFonts w:asciiTheme="minorHAnsi" w:hAnsiTheme="minorHAnsi" w:cs="Arial"/>
          <w:i/>
          <w:iCs/>
          <w:color w:val="222222"/>
          <w:sz w:val="20"/>
          <w:szCs w:val="20"/>
          <w:shd w:val="clear" w:color="auto" w:fill="FFFFFF"/>
        </w:rPr>
        <w:t>Development and Learning in Organizations: An International Journal</w:t>
      </w:r>
      <w:r w:rsidRPr="00B30B07">
        <w:rPr>
          <w:rFonts w:asciiTheme="minorHAnsi" w:hAnsiTheme="minorHAnsi" w:cs="Arial"/>
          <w:color w:val="222222"/>
          <w:sz w:val="20"/>
          <w:szCs w:val="20"/>
          <w:shd w:val="clear" w:color="auto" w:fill="FFFFFF"/>
        </w:rPr>
        <w:t>, </w:t>
      </w:r>
      <w:r w:rsidRPr="00B30B07">
        <w:rPr>
          <w:rFonts w:asciiTheme="minorHAnsi" w:hAnsiTheme="minorHAnsi" w:cs="Arial"/>
          <w:i/>
          <w:iCs/>
          <w:color w:val="222222"/>
          <w:sz w:val="20"/>
          <w:szCs w:val="20"/>
          <w:shd w:val="clear" w:color="auto" w:fill="FFFFFF"/>
        </w:rPr>
        <w:t>34</w:t>
      </w:r>
      <w:r w:rsidRPr="00B30B07">
        <w:rPr>
          <w:rFonts w:asciiTheme="minorHAnsi" w:hAnsiTheme="minorHAnsi" w:cs="Arial"/>
          <w:color w:val="222222"/>
          <w:sz w:val="20"/>
          <w:szCs w:val="20"/>
          <w:shd w:val="clear" w:color="auto" w:fill="FFFFFF"/>
        </w:rPr>
        <w:t>(6), pp.25-28.</w:t>
      </w:r>
    </w:p>
    <w:p w14:paraId="2EB3883E" w14:textId="64C29FC3" w:rsidR="00B30B07" w:rsidRPr="00B30B07" w:rsidRDefault="00B30B07" w:rsidP="00BF3B38">
      <w:pPr>
        <w:pStyle w:val="NormalWeb"/>
        <w:ind w:left="567" w:hanging="567"/>
        <w:jc w:val="both"/>
        <w:rPr>
          <w:rFonts w:asciiTheme="minorHAnsi" w:hAnsiTheme="minorHAnsi" w:cs="Arial"/>
          <w:color w:val="222222"/>
          <w:sz w:val="20"/>
          <w:szCs w:val="20"/>
          <w:shd w:val="clear" w:color="auto" w:fill="FFFFFF"/>
        </w:rPr>
      </w:pPr>
      <w:r w:rsidRPr="00B30B07">
        <w:rPr>
          <w:rFonts w:asciiTheme="minorHAnsi" w:hAnsiTheme="minorHAnsi" w:cs="Arial"/>
          <w:color w:val="222222"/>
          <w:sz w:val="20"/>
          <w:szCs w:val="20"/>
          <w:shd w:val="clear" w:color="auto" w:fill="FFFFFF"/>
        </w:rPr>
        <w:t>Storm, K.I.L., Reiss, L.K., Guenther, E.A., Clar-Novak, M. and Muhr, S.L., 2023. Unconscious bias in the HRM literature: Towards a critical-reflexive approach. </w:t>
      </w:r>
      <w:r w:rsidRPr="00B30B07">
        <w:rPr>
          <w:rFonts w:asciiTheme="minorHAnsi" w:hAnsiTheme="minorHAnsi" w:cs="Arial"/>
          <w:i/>
          <w:iCs/>
          <w:color w:val="222222"/>
          <w:sz w:val="20"/>
          <w:szCs w:val="20"/>
          <w:shd w:val="clear" w:color="auto" w:fill="FFFFFF"/>
        </w:rPr>
        <w:t>Human Resource Management Review</w:t>
      </w:r>
      <w:r w:rsidRPr="00B30B07">
        <w:rPr>
          <w:rFonts w:asciiTheme="minorHAnsi" w:hAnsiTheme="minorHAnsi" w:cs="Arial"/>
          <w:color w:val="222222"/>
          <w:sz w:val="20"/>
          <w:szCs w:val="20"/>
          <w:shd w:val="clear" w:color="auto" w:fill="FFFFFF"/>
        </w:rPr>
        <w:t>, </w:t>
      </w:r>
      <w:r w:rsidRPr="00B30B07">
        <w:rPr>
          <w:rFonts w:asciiTheme="minorHAnsi" w:hAnsiTheme="minorHAnsi" w:cs="Arial"/>
          <w:i/>
          <w:iCs/>
          <w:color w:val="222222"/>
          <w:sz w:val="20"/>
          <w:szCs w:val="20"/>
          <w:shd w:val="clear" w:color="auto" w:fill="FFFFFF"/>
        </w:rPr>
        <w:t>33</w:t>
      </w:r>
      <w:r w:rsidRPr="00B30B07">
        <w:rPr>
          <w:rFonts w:asciiTheme="minorHAnsi" w:hAnsiTheme="minorHAnsi" w:cs="Arial"/>
          <w:color w:val="222222"/>
          <w:sz w:val="20"/>
          <w:szCs w:val="20"/>
          <w:shd w:val="clear" w:color="auto" w:fill="FFFFFF"/>
        </w:rPr>
        <w:t>(3), p.100969.</w:t>
      </w:r>
    </w:p>
    <w:p w14:paraId="3B2E3091" w14:textId="5FDD9A65" w:rsidR="00B30B07" w:rsidRPr="00B30B07" w:rsidRDefault="00B30B07" w:rsidP="00BF3B38">
      <w:pPr>
        <w:pStyle w:val="NormalWeb"/>
        <w:ind w:left="567" w:hanging="567"/>
        <w:jc w:val="both"/>
        <w:rPr>
          <w:rFonts w:asciiTheme="minorHAnsi" w:hAnsiTheme="minorHAnsi" w:cs="Arial"/>
          <w:color w:val="222222"/>
          <w:sz w:val="20"/>
          <w:szCs w:val="20"/>
          <w:shd w:val="clear" w:color="auto" w:fill="FFFFFF"/>
        </w:rPr>
      </w:pPr>
      <w:r w:rsidRPr="00B30B07">
        <w:rPr>
          <w:rFonts w:asciiTheme="minorHAnsi" w:hAnsiTheme="minorHAnsi" w:cs="Arial"/>
          <w:color w:val="222222"/>
          <w:sz w:val="20"/>
          <w:szCs w:val="20"/>
          <w:shd w:val="clear" w:color="auto" w:fill="FFFFFF"/>
        </w:rPr>
        <w:t>Tahiry, D., 2026. Digital Leadership in SMEs. </w:t>
      </w:r>
      <w:r w:rsidRPr="00B30B07">
        <w:rPr>
          <w:rFonts w:asciiTheme="minorHAnsi" w:hAnsiTheme="minorHAnsi" w:cs="Arial"/>
          <w:i/>
          <w:iCs/>
          <w:color w:val="222222"/>
          <w:sz w:val="20"/>
          <w:szCs w:val="20"/>
          <w:shd w:val="clear" w:color="auto" w:fill="FFFFFF"/>
        </w:rPr>
        <w:t>International Journal of Educational Administration, Management, and Leadership</w:t>
      </w:r>
      <w:r w:rsidRPr="00B30B07">
        <w:rPr>
          <w:rFonts w:asciiTheme="minorHAnsi" w:hAnsiTheme="minorHAnsi" w:cs="Arial"/>
          <w:color w:val="222222"/>
          <w:sz w:val="20"/>
          <w:szCs w:val="20"/>
          <w:shd w:val="clear" w:color="auto" w:fill="FFFFFF"/>
        </w:rPr>
        <w:t>, pp.63-76.</w:t>
      </w:r>
    </w:p>
    <w:p w14:paraId="4BC31FAD" w14:textId="5D1D2E17" w:rsidR="00B30B07" w:rsidRDefault="00B30B07" w:rsidP="00BF3B38">
      <w:pPr>
        <w:pStyle w:val="NormalWeb"/>
        <w:ind w:left="567" w:hanging="567"/>
        <w:jc w:val="both"/>
        <w:rPr>
          <w:rFonts w:asciiTheme="minorHAnsi" w:hAnsiTheme="minorHAnsi" w:cs="Arial"/>
          <w:color w:val="222222"/>
          <w:sz w:val="20"/>
          <w:szCs w:val="20"/>
          <w:shd w:val="clear" w:color="auto" w:fill="FFFFFF"/>
        </w:rPr>
      </w:pPr>
      <w:r w:rsidRPr="00B30B07">
        <w:rPr>
          <w:rFonts w:asciiTheme="minorHAnsi" w:hAnsiTheme="minorHAnsi" w:cs="Arial"/>
          <w:color w:val="222222"/>
          <w:sz w:val="20"/>
          <w:szCs w:val="20"/>
          <w:shd w:val="clear" w:color="auto" w:fill="FFFFFF"/>
        </w:rPr>
        <w:t>Tatarinov, K. and Ambos, T.C., 2025. Technology-enabled organization designs for tackling the grand challenges: the case of Giga. </w:t>
      </w:r>
      <w:r w:rsidRPr="00B30B07">
        <w:rPr>
          <w:rFonts w:asciiTheme="minorHAnsi" w:hAnsiTheme="minorHAnsi" w:cs="Arial"/>
          <w:i/>
          <w:iCs/>
          <w:color w:val="222222"/>
          <w:sz w:val="20"/>
          <w:szCs w:val="20"/>
          <w:shd w:val="clear" w:color="auto" w:fill="FFFFFF"/>
        </w:rPr>
        <w:t>Journal of Organization Design</w:t>
      </w:r>
      <w:r w:rsidRPr="00B30B07">
        <w:rPr>
          <w:rFonts w:asciiTheme="minorHAnsi" w:hAnsiTheme="minorHAnsi" w:cs="Arial"/>
          <w:color w:val="222222"/>
          <w:sz w:val="20"/>
          <w:szCs w:val="20"/>
          <w:shd w:val="clear" w:color="auto" w:fill="FFFFFF"/>
        </w:rPr>
        <w:t>, </w:t>
      </w:r>
      <w:r w:rsidRPr="00B30B07">
        <w:rPr>
          <w:rFonts w:asciiTheme="minorHAnsi" w:hAnsiTheme="minorHAnsi" w:cs="Arial"/>
          <w:i/>
          <w:iCs/>
          <w:color w:val="222222"/>
          <w:sz w:val="20"/>
          <w:szCs w:val="20"/>
          <w:shd w:val="clear" w:color="auto" w:fill="FFFFFF"/>
        </w:rPr>
        <w:t>14</w:t>
      </w:r>
      <w:r w:rsidRPr="00B30B07">
        <w:rPr>
          <w:rFonts w:asciiTheme="minorHAnsi" w:hAnsiTheme="minorHAnsi" w:cs="Arial"/>
          <w:color w:val="222222"/>
          <w:sz w:val="20"/>
          <w:szCs w:val="20"/>
          <w:shd w:val="clear" w:color="auto" w:fill="FFFFFF"/>
        </w:rPr>
        <w:t>(1), pp.35-41.</w:t>
      </w:r>
    </w:p>
    <w:p w14:paraId="28DC1D3E" w14:textId="77777777" w:rsidR="00CB6293" w:rsidRPr="00CB6293" w:rsidRDefault="00CB6293" w:rsidP="00CB6293">
      <w:pPr>
        <w:pStyle w:val="NormalWeb"/>
        <w:ind w:left="567" w:hanging="567"/>
        <w:jc w:val="both"/>
        <w:rPr>
          <w:rFonts w:asciiTheme="minorHAnsi" w:hAnsiTheme="minorHAnsi"/>
          <w:b/>
          <w:bCs/>
          <w:i/>
          <w:iCs/>
          <w:sz w:val="20"/>
          <w:szCs w:val="20"/>
        </w:rPr>
      </w:pPr>
      <w:r w:rsidRPr="00CB6293">
        <w:rPr>
          <w:rFonts w:asciiTheme="minorHAnsi" w:hAnsiTheme="minorHAnsi"/>
          <w:sz w:val="20"/>
          <w:szCs w:val="20"/>
        </w:rPr>
        <w:t>UK Research and Innovation (UKRI) (2026)</w:t>
      </w:r>
      <w:r w:rsidRPr="00CB6293">
        <w:rPr>
          <w:rFonts w:asciiTheme="minorHAnsi" w:hAnsiTheme="minorHAnsi"/>
          <w:i/>
          <w:iCs/>
          <w:sz w:val="20"/>
          <w:szCs w:val="20"/>
        </w:rPr>
        <w:t xml:space="preserve"> ESRC research ethics guidance. </w:t>
      </w:r>
      <w:hyperlink r:id="rId35" w:history="1">
        <w:r w:rsidRPr="00CB6293">
          <w:rPr>
            <w:rStyle w:val="Hyperlink"/>
            <w:rFonts w:asciiTheme="minorHAnsi" w:hAnsiTheme="minorHAnsi"/>
            <w:i/>
            <w:iCs/>
            <w:sz w:val="20"/>
            <w:szCs w:val="20"/>
          </w:rPr>
          <w:t>https://www.ukri.org/councils/esrc/guidance-for-applicants/research-ethics-guidance/</w:t>
        </w:r>
      </w:hyperlink>
      <w:r w:rsidRPr="00CB6293">
        <w:rPr>
          <w:rFonts w:asciiTheme="minorHAnsi" w:hAnsiTheme="minorHAnsi"/>
          <w:b/>
          <w:bCs/>
          <w:i/>
          <w:iCs/>
          <w:sz w:val="20"/>
          <w:szCs w:val="20"/>
        </w:rPr>
        <w:t>.</w:t>
      </w:r>
    </w:p>
    <w:p w14:paraId="2828EB4D" w14:textId="5B7AEBB0" w:rsidR="00CB6293" w:rsidRPr="00337E22" w:rsidRDefault="00CB6293" w:rsidP="00337E22">
      <w:pPr>
        <w:pStyle w:val="NormalWeb"/>
        <w:ind w:left="567" w:hanging="567"/>
        <w:jc w:val="both"/>
        <w:rPr>
          <w:rFonts w:asciiTheme="minorHAnsi" w:hAnsiTheme="minorHAnsi"/>
          <w:sz w:val="20"/>
          <w:szCs w:val="20"/>
        </w:rPr>
      </w:pPr>
      <w:r w:rsidRPr="00337E22">
        <w:rPr>
          <w:rFonts w:asciiTheme="minorHAnsi" w:hAnsiTheme="minorHAnsi"/>
          <w:sz w:val="20"/>
          <w:szCs w:val="20"/>
        </w:rPr>
        <w:t>UK Statistics Authority (2022)</w:t>
      </w:r>
      <w:r w:rsidRPr="00337E22">
        <w:rPr>
          <w:rFonts w:asciiTheme="minorHAnsi" w:hAnsiTheme="minorHAnsi"/>
          <w:b/>
          <w:bCs/>
          <w:i/>
          <w:iCs/>
          <w:sz w:val="20"/>
          <w:szCs w:val="20"/>
        </w:rPr>
        <w:t xml:space="preserve"> </w:t>
      </w:r>
      <w:r w:rsidRPr="00337E22">
        <w:rPr>
          <w:rFonts w:asciiTheme="minorHAnsi" w:hAnsiTheme="minorHAnsi"/>
          <w:i/>
          <w:iCs/>
          <w:sz w:val="20"/>
          <w:szCs w:val="20"/>
        </w:rPr>
        <w:t>Ethical considerations associated with qualitative research methods.</w:t>
      </w:r>
      <w:r w:rsidRPr="00337E22">
        <w:rPr>
          <w:rFonts w:asciiTheme="minorHAnsi" w:hAnsiTheme="minorHAnsi"/>
          <w:sz w:val="20"/>
          <w:szCs w:val="20"/>
        </w:rPr>
        <w:t xml:space="preserve"> </w:t>
      </w:r>
      <w:hyperlink r:id="rId36" w:history="1">
        <w:r w:rsidR="00337E22" w:rsidRPr="00337E22">
          <w:rPr>
            <w:rStyle w:val="Hyperlink"/>
            <w:rFonts w:asciiTheme="minorHAnsi" w:hAnsiTheme="minorHAnsi"/>
            <w:sz w:val="20"/>
            <w:szCs w:val="20"/>
          </w:rPr>
          <w:t>https://uksa.statisticsauthority.gov.uk/publications/ethical-considerations-associated-with-qualitative-research-methods/</w:t>
        </w:r>
      </w:hyperlink>
      <w:r w:rsidRPr="00337E22">
        <w:rPr>
          <w:rFonts w:asciiTheme="minorHAnsi" w:hAnsiTheme="minorHAnsi"/>
          <w:sz w:val="20"/>
          <w:szCs w:val="20"/>
        </w:rPr>
        <w:t>.</w:t>
      </w:r>
    </w:p>
    <w:p w14:paraId="29C2A7B3" w14:textId="77777777" w:rsidR="00337E22" w:rsidRPr="005F1EF5" w:rsidRDefault="00337E22" w:rsidP="00337E22">
      <w:pPr>
        <w:pStyle w:val="NormalWeb"/>
        <w:ind w:left="567" w:hanging="567"/>
        <w:jc w:val="both"/>
        <w:rPr>
          <w:rFonts w:asciiTheme="minorHAnsi" w:hAnsiTheme="minorHAnsi"/>
          <w:sz w:val="20"/>
          <w:szCs w:val="20"/>
        </w:rPr>
      </w:pPr>
      <w:r w:rsidRPr="005F1EF5">
        <w:rPr>
          <w:rFonts w:asciiTheme="minorHAnsi" w:hAnsiTheme="minorHAnsi"/>
          <w:sz w:val="20"/>
          <w:szCs w:val="20"/>
        </w:rPr>
        <w:t>Verhoef, P.C., Broekhuizen, T., Bart, Y., Bhattacharya, A., Dong, J.Q., Fabian, N. and Haenlein, M.,</w:t>
      </w:r>
      <w:r w:rsidRPr="005F1EF5">
        <w:rPr>
          <w:rFonts w:asciiTheme="minorHAnsi" w:hAnsiTheme="minorHAnsi"/>
          <w:i/>
          <w:iCs/>
          <w:sz w:val="20"/>
          <w:szCs w:val="20"/>
        </w:rPr>
        <w:t xml:space="preserve"> </w:t>
      </w:r>
      <w:r w:rsidRPr="005F1EF5">
        <w:rPr>
          <w:rFonts w:asciiTheme="minorHAnsi" w:hAnsiTheme="minorHAnsi"/>
          <w:sz w:val="20"/>
          <w:szCs w:val="20"/>
        </w:rPr>
        <w:t>2021</w:t>
      </w:r>
      <w:r w:rsidRPr="005F1EF5">
        <w:rPr>
          <w:rFonts w:asciiTheme="minorHAnsi" w:hAnsiTheme="minorHAnsi"/>
          <w:i/>
          <w:iCs/>
          <w:sz w:val="20"/>
          <w:szCs w:val="20"/>
        </w:rPr>
        <w:t>. Digital transformation: A multidisciplinary reflection and research agenda. Journal of business research</w:t>
      </w:r>
      <w:r w:rsidRPr="005F1EF5">
        <w:rPr>
          <w:rFonts w:asciiTheme="minorHAnsi" w:hAnsiTheme="minorHAnsi"/>
          <w:sz w:val="20"/>
          <w:szCs w:val="20"/>
        </w:rPr>
        <w:t>, 122, pp.889-901.</w:t>
      </w:r>
    </w:p>
    <w:p w14:paraId="33E8D603" w14:textId="77777777" w:rsidR="00532CAA" w:rsidRPr="005F1EF5" w:rsidRDefault="00532CAA" w:rsidP="00532CAA">
      <w:pPr>
        <w:spacing w:line="360" w:lineRule="auto"/>
        <w:jc w:val="both"/>
        <w:rPr>
          <w:rFonts w:cs="Arial"/>
          <w:color w:val="000000" w:themeColor="text1"/>
          <w:sz w:val="20"/>
          <w:szCs w:val="20"/>
          <w:shd w:val="clear" w:color="auto" w:fill="FFFFFF"/>
        </w:rPr>
      </w:pPr>
      <w:r w:rsidRPr="005F1EF5">
        <w:rPr>
          <w:rFonts w:cs="Arial"/>
          <w:color w:val="000000" w:themeColor="text1"/>
          <w:sz w:val="20"/>
          <w:szCs w:val="20"/>
          <w:shd w:val="clear" w:color="auto" w:fill="FFFFFF"/>
        </w:rPr>
        <w:t>White, N.J.,</w:t>
      </w:r>
      <w:r w:rsidRPr="005F1EF5">
        <w:rPr>
          <w:rFonts w:cs="Arial"/>
          <w:i/>
          <w:iCs/>
          <w:color w:val="000000" w:themeColor="text1"/>
          <w:sz w:val="20"/>
          <w:szCs w:val="20"/>
          <w:shd w:val="clear" w:color="auto" w:fill="FFFFFF"/>
        </w:rPr>
        <w:t xml:space="preserve"> </w:t>
      </w:r>
      <w:r w:rsidRPr="005F1EF5">
        <w:rPr>
          <w:rFonts w:cs="Arial"/>
          <w:color w:val="000000" w:themeColor="text1"/>
          <w:sz w:val="20"/>
          <w:szCs w:val="20"/>
          <w:shd w:val="clear" w:color="auto" w:fill="FFFFFF"/>
        </w:rPr>
        <w:t>2022</w:t>
      </w:r>
      <w:r w:rsidRPr="005F1EF5">
        <w:rPr>
          <w:rFonts w:cs="Arial"/>
          <w:i/>
          <w:iCs/>
          <w:color w:val="000000" w:themeColor="text1"/>
          <w:sz w:val="20"/>
          <w:szCs w:val="20"/>
          <w:shd w:val="clear" w:color="auto" w:fill="FFFFFF"/>
        </w:rPr>
        <w:t>. Gender pay gap in the UK: 2022. Office for National Statistics</w:t>
      </w:r>
      <w:r w:rsidRPr="005F1EF5">
        <w:rPr>
          <w:rFonts w:cs="Arial"/>
          <w:color w:val="000000" w:themeColor="text1"/>
          <w:sz w:val="20"/>
          <w:szCs w:val="20"/>
          <w:shd w:val="clear" w:color="auto" w:fill="FFFFFF"/>
        </w:rPr>
        <w:t>, 26.</w:t>
      </w:r>
    </w:p>
    <w:p w14:paraId="14F9B488" w14:textId="77777777" w:rsidR="00532CAA" w:rsidRPr="005F1EF5" w:rsidRDefault="00532CAA" w:rsidP="00532CAA">
      <w:pPr>
        <w:pStyle w:val="NormalWeb"/>
        <w:ind w:left="567" w:hanging="567"/>
        <w:jc w:val="both"/>
        <w:rPr>
          <w:rFonts w:asciiTheme="minorHAnsi" w:hAnsiTheme="minorHAnsi" w:cs="Arial"/>
          <w:color w:val="222222"/>
          <w:sz w:val="20"/>
          <w:szCs w:val="20"/>
          <w:shd w:val="clear" w:color="auto" w:fill="FFFFFF"/>
        </w:rPr>
      </w:pPr>
      <w:r w:rsidRPr="005F1EF5">
        <w:rPr>
          <w:rFonts w:asciiTheme="minorHAnsi" w:hAnsiTheme="minorHAnsi" w:cs="Arial"/>
          <w:color w:val="222222"/>
          <w:sz w:val="20"/>
          <w:szCs w:val="20"/>
          <w:shd w:val="clear" w:color="auto" w:fill="FFFFFF"/>
        </w:rPr>
        <w:t>Wiblen, S. and Marler, J.H., 2021. Digitalised talent management and automated talent decisions: the implications for HR professionals. </w:t>
      </w:r>
      <w:r w:rsidRPr="005F1EF5">
        <w:rPr>
          <w:rFonts w:asciiTheme="minorHAnsi" w:hAnsiTheme="minorHAnsi" w:cs="Arial"/>
          <w:i/>
          <w:iCs/>
          <w:color w:val="222222"/>
          <w:sz w:val="20"/>
          <w:szCs w:val="20"/>
          <w:shd w:val="clear" w:color="auto" w:fill="FFFFFF"/>
        </w:rPr>
        <w:t xml:space="preserve">The </w:t>
      </w:r>
      <w:proofErr w:type="spellStart"/>
      <w:r w:rsidRPr="005F1EF5">
        <w:rPr>
          <w:rFonts w:asciiTheme="minorHAnsi" w:hAnsiTheme="minorHAnsi" w:cs="Arial"/>
          <w:i/>
          <w:iCs/>
          <w:color w:val="222222"/>
          <w:sz w:val="20"/>
          <w:szCs w:val="20"/>
          <w:shd w:val="clear" w:color="auto" w:fill="FFFFFF"/>
        </w:rPr>
        <w:t>InTernaTIonal</w:t>
      </w:r>
      <w:proofErr w:type="spellEnd"/>
      <w:r w:rsidRPr="005F1EF5">
        <w:rPr>
          <w:rFonts w:asciiTheme="minorHAnsi" w:hAnsiTheme="minorHAnsi" w:cs="Arial"/>
          <w:i/>
          <w:iCs/>
          <w:color w:val="222222"/>
          <w:sz w:val="20"/>
          <w:szCs w:val="20"/>
          <w:shd w:val="clear" w:color="auto" w:fill="FFFFFF"/>
        </w:rPr>
        <w:t xml:space="preserve"> Journal of human resource management</w:t>
      </w:r>
      <w:r w:rsidRPr="005F1EF5">
        <w:rPr>
          <w:rFonts w:asciiTheme="minorHAnsi" w:hAnsiTheme="minorHAnsi" w:cs="Arial"/>
          <w:color w:val="222222"/>
          <w:sz w:val="20"/>
          <w:szCs w:val="20"/>
          <w:shd w:val="clear" w:color="auto" w:fill="FFFFFF"/>
        </w:rPr>
        <w:t>, </w:t>
      </w:r>
      <w:r w:rsidRPr="005F1EF5">
        <w:rPr>
          <w:rFonts w:asciiTheme="minorHAnsi" w:hAnsiTheme="minorHAnsi" w:cs="Arial"/>
          <w:i/>
          <w:iCs/>
          <w:color w:val="222222"/>
          <w:sz w:val="20"/>
          <w:szCs w:val="20"/>
          <w:shd w:val="clear" w:color="auto" w:fill="FFFFFF"/>
        </w:rPr>
        <w:t>32</w:t>
      </w:r>
      <w:r w:rsidRPr="005F1EF5">
        <w:rPr>
          <w:rFonts w:asciiTheme="minorHAnsi" w:hAnsiTheme="minorHAnsi" w:cs="Arial"/>
          <w:color w:val="222222"/>
          <w:sz w:val="20"/>
          <w:szCs w:val="20"/>
          <w:shd w:val="clear" w:color="auto" w:fill="FFFFFF"/>
        </w:rPr>
        <w:t>(12), pp.2592-2621.</w:t>
      </w:r>
    </w:p>
    <w:p w14:paraId="3D1FF786" w14:textId="77777777" w:rsidR="005F1EF5" w:rsidRPr="005F1EF5" w:rsidRDefault="005F1EF5" w:rsidP="005F1EF5">
      <w:pPr>
        <w:pStyle w:val="NormalWeb"/>
        <w:ind w:left="567" w:hanging="567"/>
        <w:rPr>
          <w:rFonts w:asciiTheme="minorHAnsi" w:hAnsiTheme="minorHAnsi"/>
          <w:sz w:val="20"/>
          <w:szCs w:val="20"/>
        </w:rPr>
      </w:pPr>
      <w:r w:rsidRPr="005F1EF5">
        <w:rPr>
          <w:rFonts w:asciiTheme="minorHAnsi" w:hAnsiTheme="minorHAnsi"/>
          <w:sz w:val="20"/>
          <w:szCs w:val="20"/>
        </w:rPr>
        <w:t xml:space="preserve">World Economic Forum (2025) </w:t>
      </w:r>
      <w:r w:rsidRPr="005F1EF5">
        <w:rPr>
          <w:rFonts w:asciiTheme="minorHAnsi" w:hAnsiTheme="minorHAnsi"/>
          <w:i/>
          <w:iCs/>
          <w:sz w:val="20"/>
          <w:szCs w:val="20"/>
        </w:rPr>
        <w:t>Global Gender Gap Report 2025</w:t>
      </w:r>
      <w:r w:rsidRPr="005F1EF5">
        <w:rPr>
          <w:rFonts w:asciiTheme="minorHAnsi" w:hAnsiTheme="minorHAnsi"/>
          <w:sz w:val="20"/>
          <w:szCs w:val="20"/>
        </w:rPr>
        <w:t xml:space="preserve">. Geneva: World Economic Forum. </w:t>
      </w:r>
      <w:hyperlink r:id="rId37" w:history="1">
        <w:r w:rsidRPr="005F1EF5">
          <w:rPr>
            <w:rStyle w:val="Hyperlink"/>
            <w:rFonts w:asciiTheme="minorHAnsi" w:hAnsiTheme="minorHAnsi"/>
            <w:sz w:val="20"/>
            <w:szCs w:val="20"/>
          </w:rPr>
          <w:t>https://www.weforum.org/publications/global-gender-gap-report-2025/</w:t>
        </w:r>
      </w:hyperlink>
      <w:r w:rsidRPr="005F1EF5">
        <w:rPr>
          <w:rFonts w:asciiTheme="minorHAnsi" w:hAnsiTheme="minorHAnsi"/>
          <w:sz w:val="20"/>
          <w:szCs w:val="20"/>
        </w:rPr>
        <w:t>.</w:t>
      </w:r>
    </w:p>
    <w:p w14:paraId="547889A5" w14:textId="77777777" w:rsidR="005F1EF5" w:rsidRPr="005F1EF5" w:rsidRDefault="005F1EF5" w:rsidP="00532CAA">
      <w:pPr>
        <w:pStyle w:val="NormalWeb"/>
        <w:ind w:left="567" w:hanging="567"/>
        <w:jc w:val="both"/>
        <w:rPr>
          <w:rFonts w:asciiTheme="minorHAnsi" w:hAnsiTheme="minorHAnsi"/>
          <w:sz w:val="20"/>
          <w:szCs w:val="20"/>
        </w:rPr>
      </w:pPr>
    </w:p>
    <w:p w14:paraId="37F336F7" w14:textId="77777777" w:rsidR="00532CAA" w:rsidRPr="00532CAA" w:rsidRDefault="00532CAA" w:rsidP="00532CAA">
      <w:pPr>
        <w:spacing w:line="360" w:lineRule="auto"/>
        <w:jc w:val="both"/>
        <w:rPr>
          <w:rFonts w:cs="Arial"/>
          <w:i/>
          <w:iCs/>
          <w:color w:val="000000" w:themeColor="text1"/>
          <w:sz w:val="20"/>
          <w:szCs w:val="20"/>
          <w:shd w:val="clear" w:color="auto" w:fill="FFFFFF"/>
        </w:rPr>
      </w:pPr>
    </w:p>
    <w:p w14:paraId="15B1ED28" w14:textId="77777777" w:rsidR="00CA6E4B" w:rsidRPr="00343A7D" w:rsidRDefault="00CA6E4B" w:rsidP="00343A7D">
      <w:pPr>
        <w:spacing w:line="360" w:lineRule="auto"/>
        <w:jc w:val="both"/>
        <w:rPr>
          <w:b/>
          <w:bCs/>
          <w:color w:val="000000" w:themeColor="text1"/>
        </w:rPr>
      </w:pPr>
    </w:p>
    <w:sectPr w:rsidR="00CA6E4B" w:rsidRPr="00343A7D" w:rsidSect="009F35D5">
      <w:footerReference w:type="even"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55C132F" w14:textId="77777777" w:rsidR="00E45E20" w:rsidRDefault="00E45E20" w:rsidP="009F35D5">
      <w:pPr>
        <w:spacing w:after="0" w:line="240" w:lineRule="auto"/>
      </w:pPr>
      <w:r>
        <w:separator/>
      </w:r>
    </w:p>
  </w:endnote>
  <w:endnote w:type="continuationSeparator" w:id="0">
    <w:p w14:paraId="3370CC4A" w14:textId="77777777" w:rsidR="00E45E20" w:rsidRDefault="00E45E20" w:rsidP="009F3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ppleSystemUIFont">
    <w:altName w:val="Cambria"/>
    <w:panose1 w:val="020B0604020202020204"/>
    <w:charset w:val="00"/>
    <w:family w:val="roman"/>
    <w:pitch w:val="default"/>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002469178"/>
      <w:docPartObj>
        <w:docPartGallery w:val="Page Numbers (Bottom of Page)"/>
        <w:docPartUnique/>
      </w:docPartObj>
    </w:sdtPr>
    <w:sdtContent>
      <w:p w14:paraId="47FD6803" w14:textId="1BFA80E9" w:rsidR="009F35D5" w:rsidRDefault="009F35D5" w:rsidP="000C42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B7FFC44" w14:textId="77777777" w:rsidR="009F35D5" w:rsidRDefault="009F35D5" w:rsidP="009F35D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127536675"/>
      <w:docPartObj>
        <w:docPartGallery w:val="Page Numbers (Bottom of Page)"/>
        <w:docPartUnique/>
      </w:docPartObj>
    </w:sdtPr>
    <w:sdtContent>
      <w:p w14:paraId="142679D3" w14:textId="50FD97EE" w:rsidR="009F35D5" w:rsidRDefault="009F35D5" w:rsidP="000C42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1DE31BA" w14:textId="77777777" w:rsidR="009F35D5" w:rsidRDefault="009F35D5" w:rsidP="009F35D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4BC2E64" w14:textId="77777777" w:rsidR="00E45E20" w:rsidRDefault="00E45E20" w:rsidP="009F35D5">
      <w:pPr>
        <w:spacing w:after="0" w:line="240" w:lineRule="auto"/>
      </w:pPr>
      <w:r>
        <w:separator/>
      </w:r>
    </w:p>
  </w:footnote>
  <w:footnote w:type="continuationSeparator" w:id="0">
    <w:p w14:paraId="4D6DC202" w14:textId="77777777" w:rsidR="00E45E20" w:rsidRDefault="00E45E20" w:rsidP="009F35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0B85F7A"/>
    <w:multiLevelType w:val="multilevel"/>
    <w:tmpl w:val="16900B54"/>
    <w:lvl w:ilvl="0">
      <w:start w:val="1"/>
      <w:numFmt w:val="decimal"/>
      <w:lvlText w:val="%1"/>
      <w:lvlJc w:val="left"/>
      <w:pPr>
        <w:ind w:left="360" w:hanging="360"/>
      </w:pPr>
      <w:rPr>
        <w:rFonts w:hint="default"/>
      </w:rPr>
    </w:lvl>
    <w:lvl w:ilvl="1">
      <w:start w:val="5"/>
      <w:numFmt w:val="decimal"/>
      <w:lvlText w:val="%1.%2"/>
      <w:lvlJc w:val="left"/>
      <w:pPr>
        <w:ind w:left="1100" w:hanging="360"/>
      </w:pPr>
      <w:rPr>
        <w:rFonts w:hint="default"/>
      </w:rPr>
    </w:lvl>
    <w:lvl w:ilvl="2">
      <w:start w:val="1"/>
      <w:numFmt w:val="decimal"/>
      <w:lvlText w:val="%1.%2.%3"/>
      <w:lvlJc w:val="left"/>
      <w:pPr>
        <w:ind w:left="2200" w:hanging="720"/>
      </w:pPr>
      <w:rPr>
        <w:rFonts w:hint="default"/>
      </w:rPr>
    </w:lvl>
    <w:lvl w:ilvl="3">
      <w:start w:val="1"/>
      <w:numFmt w:val="decimal"/>
      <w:lvlText w:val="%1.%2.%3.%4"/>
      <w:lvlJc w:val="left"/>
      <w:pPr>
        <w:ind w:left="3300" w:hanging="1080"/>
      </w:pPr>
      <w:rPr>
        <w:rFonts w:hint="default"/>
      </w:rPr>
    </w:lvl>
    <w:lvl w:ilvl="4">
      <w:start w:val="1"/>
      <w:numFmt w:val="decimal"/>
      <w:lvlText w:val="%1.%2.%3.%4.%5"/>
      <w:lvlJc w:val="left"/>
      <w:pPr>
        <w:ind w:left="4040" w:hanging="1080"/>
      </w:pPr>
      <w:rPr>
        <w:rFonts w:hint="default"/>
      </w:rPr>
    </w:lvl>
    <w:lvl w:ilvl="5">
      <w:start w:val="1"/>
      <w:numFmt w:val="decimal"/>
      <w:lvlText w:val="%1.%2.%3.%4.%5.%6"/>
      <w:lvlJc w:val="left"/>
      <w:pPr>
        <w:ind w:left="5140" w:hanging="1440"/>
      </w:pPr>
      <w:rPr>
        <w:rFonts w:hint="default"/>
      </w:rPr>
    </w:lvl>
    <w:lvl w:ilvl="6">
      <w:start w:val="1"/>
      <w:numFmt w:val="decimal"/>
      <w:lvlText w:val="%1.%2.%3.%4.%5.%6.%7"/>
      <w:lvlJc w:val="left"/>
      <w:pPr>
        <w:ind w:left="5880" w:hanging="1440"/>
      </w:pPr>
      <w:rPr>
        <w:rFonts w:hint="default"/>
      </w:rPr>
    </w:lvl>
    <w:lvl w:ilvl="7">
      <w:start w:val="1"/>
      <w:numFmt w:val="decimal"/>
      <w:lvlText w:val="%1.%2.%3.%4.%5.%6.%7.%8"/>
      <w:lvlJc w:val="left"/>
      <w:pPr>
        <w:ind w:left="6980" w:hanging="1800"/>
      </w:pPr>
      <w:rPr>
        <w:rFonts w:hint="default"/>
      </w:rPr>
    </w:lvl>
    <w:lvl w:ilvl="8">
      <w:start w:val="1"/>
      <w:numFmt w:val="decimal"/>
      <w:lvlText w:val="%1.%2.%3.%4.%5.%6.%7.%8.%9"/>
      <w:lvlJc w:val="left"/>
      <w:pPr>
        <w:ind w:left="7720" w:hanging="1800"/>
      </w:pPr>
      <w:rPr>
        <w:rFonts w:hint="default"/>
      </w:rPr>
    </w:lvl>
  </w:abstractNum>
  <w:abstractNum w:abstractNumId="1" w15:restartNumberingAfterBreak="0">
    <w:nsid w:val="27C623E1"/>
    <w:multiLevelType w:val="multilevel"/>
    <w:tmpl w:val="68528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5412F5"/>
    <w:multiLevelType w:val="multilevel"/>
    <w:tmpl w:val="E9B2FE38"/>
    <w:lvl w:ilvl="0">
      <w:start w:val="1"/>
      <w:numFmt w:val="decimal"/>
      <w:pStyle w:val="ListBullet"/>
      <w:suff w:val="space"/>
      <w:lvlText w:val="%1."/>
      <w:lvlJc w:val="left"/>
      <w:pPr>
        <w:ind w:left="0" w:firstLine="0"/>
      </w:pPr>
    </w:lvl>
    <w:lvl w:ilvl="1">
      <w:start w:val="1"/>
      <w:numFmt w:val="decimal"/>
      <w:suff w:val="space"/>
      <w:lvlText w:val="%1.%2"/>
      <w:lvlJc w:val="left"/>
      <w:pPr>
        <w:ind w:left="0" w:firstLine="0"/>
      </w:pPr>
    </w:lvl>
    <w:lvl w:ilvl="2">
      <w:start w:val="1"/>
      <w:numFmt w:val="decimal"/>
      <w:suff w:val="space"/>
      <w:lvlText w:val="%1.%2.%3"/>
      <w:lvlJc w:val="left"/>
      <w:pPr>
        <w:ind w:left="0" w:firstLine="0"/>
      </w:pPr>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4AA67D84"/>
    <w:multiLevelType w:val="multilevel"/>
    <w:tmpl w:val="00B0DC12"/>
    <w:lvl w:ilvl="0">
      <w:start w:val="1"/>
      <w:numFmt w:val="decimal"/>
      <w:lvlText w:val="%1."/>
      <w:lvlJc w:val="left"/>
      <w:pPr>
        <w:ind w:left="720" w:hanging="360"/>
      </w:pPr>
      <w:rPr>
        <w:rFonts w:hint="default"/>
      </w:rPr>
    </w:lvl>
    <w:lvl w:ilvl="1">
      <w:start w:val="2"/>
      <w:numFmt w:val="decimal"/>
      <w:isLgl/>
      <w:lvlText w:val="%1.%2"/>
      <w:lvlJc w:val="left"/>
      <w:pPr>
        <w:ind w:left="1100" w:hanging="38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516317E4"/>
    <w:multiLevelType w:val="hybridMultilevel"/>
    <w:tmpl w:val="51D82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4910E2"/>
    <w:multiLevelType w:val="multilevel"/>
    <w:tmpl w:val="AEB841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7740CA3"/>
    <w:multiLevelType w:val="hybridMultilevel"/>
    <w:tmpl w:val="FA289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A672BD"/>
    <w:multiLevelType w:val="multilevel"/>
    <w:tmpl w:val="299239DA"/>
    <w:lvl w:ilvl="0">
      <w:start w:val="3"/>
      <w:numFmt w:val="decimal"/>
      <w:lvlText w:val="%1"/>
      <w:lvlJc w:val="left"/>
      <w:pPr>
        <w:ind w:left="360" w:hanging="360"/>
      </w:pPr>
      <w:rPr>
        <w:rFonts w:hint="default"/>
        <w:b/>
      </w:rPr>
    </w:lvl>
    <w:lvl w:ilvl="1">
      <w:start w:val="5"/>
      <w:numFmt w:val="decimal"/>
      <w:lvlText w:val="%1.%2"/>
      <w:lvlJc w:val="left"/>
      <w:pPr>
        <w:ind w:left="1100" w:hanging="360"/>
      </w:pPr>
      <w:rPr>
        <w:rFonts w:hint="default"/>
        <w:b/>
      </w:rPr>
    </w:lvl>
    <w:lvl w:ilvl="2">
      <w:start w:val="1"/>
      <w:numFmt w:val="decimal"/>
      <w:lvlText w:val="%1.%2.%3"/>
      <w:lvlJc w:val="left"/>
      <w:pPr>
        <w:ind w:left="2200" w:hanging="720"/>
      </w:pPr>
      <w:rPr>
        <w:rFonts w:hint="default"/>
        <w:b/>
      </w:rPr>
    </w:lvl>
    <w:lvl w:ilvl="3">
      <w:start w:val="1"/>
      <w:numFmt w:val="decimal"/>
      <w:lvlText w:val="%1.%2.%3.%4"/>
      <w:lvlJc w:val="left"/>
      <w:pPr>
        <w:ind w:left="3300" w:hanging="1080"/>
      </w:pPr>
      <w:rPr>
        <w:rFonts w:hint="default"/>
        <w:b/>
      </w:rPr>
    </w:lvl>
    <w:lvl w:ilvl="4">
      <w:start w:val="1"/>
      <w:numFmt w:val="decimal"/>
      <w:lvlText w:val="%1.%2.%3.%4.%5"/>
      <w:lvlJc w:val="left"/>
      <w:pPr>
        <w:ind w:left="4040" w:hanging="1080"/>
      </w:pPr>
      <w:rPr>
        <w:rFonts w:hint="default"/>
        <w:b/>
      </w:rPr>
    </w:lvl>
    <w:lvl w:ilvl="5">
      <w:start w:val="1"/>
      <w:numFmt w:val="decimal"/>
      <w:lvlText w:val="%1.%2.%3.%4.%5.%6"/>
      <w:lvlJc w:val="left"/>
      <w:pPr>
        <w:ind w:left="5140" w:hanging="1440"/>
      </w:pPr>
      <w:rPr>
        <w:rFonts w:hint="default"/>
        <w:b/>
      </w:rPr>
    </w:lvl>
    <w:lvl w:ilvl="6">
      <w:start w:val="1"/>
      <w:numFmt w:val="decimal"/>
      <w:lvlText w:val="%1.%2.%3.%4.%5.%6.%7"/>
      <w:lvlJc w:val="left"/>
      <w:pPr>
        <w:ind w:left="5880" w:hanging="1440"/>
      </w:pPr>
      <w:rPr>
        <w:rFonts w:hint="default"/>
        <w:b/>
      </w:rPr>
    </w:lvl>
    <w:lvl w:ilvl="7">
      <w:start w:val="1"/>
      <w:numFmt w:val="decimal"/>
      <w:lvlText w:val="%1.%2.%3.%4.%5.%6.%7.%8"/>
      <w:lvlJc w:val="left"/>
      <w:pPr>
        <w:ind w:left="6980" w:hanging="1800"/>
      </w:pPr>
      <w:rPr>
        <w:rFonts w:hint="default"/>
        <w:b/>
      </w:rPr>
    </w:lvl>
    <w:lvl w:ilvl="8">
      <w:start w:val="1"/>
      <w:numFmt w:val="decimal"/>
      <w:lvlText w:val="%1.%2.%3.%4.%5.%6.%7.%8.%9"/>
      <w:lvlJc w:val="left"/>
      <w:pPr>
        <w:ind w:left="7720" w:hanging="1800"/>
      </w:pPr>
      <w:rPr>
        <w:rFonts w:hint="default"/>
        <w:b/>
      </w:rPr>
    </w:lvl>
  </w:abstractNum>
  <w:abstractNum w:abstractNumId="8" w15:restartNumberingAfterBreak="0">
    <w:nsid w:val="796A254F"/>
    <w:multiLevelType w:val="multilevel"/>
    <w:tmpl w:val="F552F654"/>
    <w:lvl w:ilvl="0">
      <w:start w:val="4"/>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2200" w:hanging="720"/>
      </w:pPr>
      <w:rPr>
        <w:rFonts w:hint="default"/>
        <w:b/>
      </w:rPr>
    </w:lvl>
    <w:lvl w:ilvl="3">
      <w:start w:val="1"/>
      <w:numFmt w:val="decimal"/>
      <w:lvlText w:val="%1.%2.%3.%4"/>
      <w:lvlJc w:val="left"/>
      <w:pPr>
        <w:ind w:left="3300" w:hanging="1080"/>
      </w:pPr>
      <w:rPr>
        <w:rFonts w:hint="default"/>
        <w:b/>
      </w:rPr>
    </w:lvl>
    <w:lvl w:ilvl="4">
      <w:start w:val="1"/>
      <w:numFmt w:val="decimal"/>
      <w:lvlText w:val="%1.%2.%3.%4.%5"/>
      <w:lvlJc w:val="left"/>
      <w:pPr>
        <w:ind w:left="4040" w:hanging="1080"/>
      </w:pPr>
      <w:rPr>
        <w:rFonts w:hint="default"/>
        <w:b/>
      </w:rPr>
    </w:lvl>
    <w:lvl w:ilvl="5">
      <w:start w:val="1"/>
      <w:numFmt w:val="decimal"/>
      <w:lvlText w:val="%1.%2.%3.%4.%5.%6"/>
      <w:lvlJc w:val="left"/>
      <w:pPr>
        <w:ind w:left="5140" w:hanging="1440"/>
      </w:pPr>
      <w:rPr>
        <w:rFonts w:hint="default"/>
        <w:b/>
      </w:rPr>
    </w:lvl>
    <w:lvl w:ilvl="6">
      <w:start w:val="1"/>
      <w:numFmt w:val="decimal"/>
      <w:lvlText w:val="%1.%2.%3.%4.%5.%6.%7"/>
      <w:lvlJc w:val="left"/>
      <w:pPr>
        <w:ind w:left="5880" w:hanging="1440"/>
      </w:pPr>
      <w:rPr>
        <w:rFonts w:hint="default"/>
        <w:b/>
      </w:rPr>
    </w:lvl>
    <w:lvl w:ilvl="7">
      <w:start w:val="1"/>
      <w:numFmt w:val="decimal"/>
      <w:lvlText w:val="%1.%2.%3.%4.%5.%6.%7.%8"/>
      <w:lvlJc w:val="left"/>
      <w:pPr>
        <w:ind w:left="6980" w:hanging="1800"/>
      </w:pPr>
      <w:rPr>
        <w:rFonts w:hint="default"/>
        <w:b/>
      </w:rPr>
    </w:lvl>
    <w:lvl w:ilvl="8">
      <w:start w:val="1"/>
      <w:numFmt w:val="decimal"/>
      <w:lvlText w:val="%1.%2.%3.%4.%5.%6.%7.%8.%9"/>
      <w:lvlJc w:val="left"/>
      <w:pPr>
        <w:ind w:left="7720" w:hanging="1800"/>
      </w:pPr>
      <w:rPr>
        <w:rFonts w:hint="default"/>
        <w:b/>
      </w:rPr>
    </w:lvl>
  </w:abstractNum>
  <w:abstractNum w:abstractNumId="9" w15:restartNumberingAfterBreak="0">
    <w:nsid w:val="7C174258"/>
    <w:multiLevelType w:val="multilevel"/>
    <w:tmpl w:val="B046DFFA"/>
    <w:lvl w:ilvl="0">
      <w:start w:val="1"/>
      <w:numFmt w:val="decimal"/>
      <w:lvlText w:val="%1."/>
      <w:lvlJc w:val="left"/>
      <w:pPr>
        <w:ind w:left="720" w:hanging="360"/>
      </w:pPr>
      <w:rPr>
        <w:rFonts w:hint="default"/>
      </w:rPr>
    </w:lvl>
    <w:lvl w:ilvl="1">
      <w:start w:val="3"/>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7E781AF8"/>
    <w:multiLevelType w:val="hybridMultilevel"/>
    <w:tmpl w:val="BB506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8378942">
    <w:abstractNumId w:val="9"/>
  </w:num>
  <w:num w:numId="2" w16cid:durableId="876360337">
    <w:abstractNumId w:val="5"/>
  </w:num>
  <w:num w:numId="3" w16cid:durableId="674921808">
    <w:abstractNumId w:val="3"/>
  </w:num>
  <w:num w:numId="4" w16cid:durableId="157692463">
    <w:abstractNumId w:val="0"/>
  </w:num>
  <w:num w:numId="5" w16cid:durableId="800002317">
    <w:abstractNumId w:val="1"/>
  </w:num>
  <w:num w:numId="6" w16cid:durableId="1789467758">
    <w:abstractNumId w:val="4"/>
  </w:num>
  <w:num w:numId="7" w16cid:durableId="478494336">
    <w:abstractNumId w:val="10"/>
  </w:num>
  <w:num w:numId="8" w16cid:durableId="79835541">
    <w:abstractNumId w:val="6"/>
  </w:num>
  <w:num w:numId="9" w16cid:durableId="86075926">
    <w:abstractNumId w:val="2"/>
  </w:num>
  <w:num w:numId="10" w16cid:durableId="1767923943">
    <w:abstractNumId w:val="7"/>
  </w:num>
  <w:num w:numId="11" w16cid:durableId="1260793479">
    <w:abstractNumId w:val="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11D"/>
    <w:rsid w:val="00001F85"/>
    <w:rsid w:val="00004C73"/>
    <w:rsid w:val="00004DA1"/>
    <w:rsid w:val="00010C8A"/>
    <w:rsid w:val="00013A0D"/>
    <w:rsid w:val="00015E29"/>
    <w:rsid w:val="00020448"/>
    <w:rsid w:val="00021977"/>
    <w:rsid w:val="00023D85"/>
    <w:rsid w:val="0002754E"/>
    <w:rsid w:val="00027B13"/>
    <w:rsid w:val="000323ED"/>
    <w:rsid w:val="00032883"/>
    <w:rsid w:val="00032968"/>
    <w:rsid w:val="00033019"/>
    <w:rsid w:val="00033385"/>
    <w:rsid w:val="00034412"/>
    <w:rsid w:val="0003499F"/>
    <w:rsid w:val="0003710A"/>
    <w:rsid w:val="00042EA0"/>
    <w:rsid w:val="00044142"/>
    <w:rsid w:val="00044374"/>
    <w:rsid w:val="00047E70"/>
    <w:rsid w:val="00052330"/>
    <w:rsid w:val="00054642"/>
    <w:rsid w:val="00056A53"/>
    <w:rsid w:val="00057B63"/>
    <w:rsid w:val="00057F3B"/>
    <w:rsid w:val="0006077E"/>
    <w:rsid w:val="00060B4A"/>
    <w:rsid w:val="000619F7"/>
    <w:rsid w:val="000625BD"/>
    <w:rsid w:val="000650F6"/>
    <w:rsid w:val="00065DB4"/>
    <w:rsid w:val="00065EEE"/>
    <w:rsid w:val="00067459"/>
    <w:rsid w:val="00067C5D"/>
    <w:rsid w:val="00067CC1"/>
    <w:rsid w:val="00070A1C"/>
    <w:rsid w:val="00072A89"/>
    <w:rsid w:val="000743DD"/>
    <w:rsid w:val="00075EC6"/>
    <w:rsid w:val="00080C66"/>
    <w:rsid w:val="00080E36"/>
    <w:rsid w:val="00080E96"/>
    <w:rsid w:val="00086AA7"/>
    <w:rsid w:val="00091BC7"/>
    <w:rsid w:val="0009477C"/>
    <w:rsid w:val="000A4CA0"/>
    <w:rsid w:val="000A6925"/>
    <w:rsid w:val="000A70B2"/>
    <w:rsid w:val="000B1AC0"/>
    <w:rsid w:val="000B272F"/>
    <w:rsid w:val="000B31A8"/>
    <w:rsid w:val="000B3DB1"/>
    <w:rsid w:val="000B3FC2"/>
    <w:rsid w:val="000B6113"/>
    <w:rsid w:val="000C1AC9"/>
    <w:rsid w:val="000C1D22"/>
    <w:rsid w:val="000C1DCD"/>
    <w:rsid w:val="000C4BD4"/>
    <w:rsid w:val="000C62FE"/>
    <w:rsid w:val="000C732D"/>
    <w:rsid w:val="000D2DEF"/>
    <w:rsid w:val="000D4676"/>
    <w:rsid w:val="000D485D"/>
    <w:rsid w:val="000D6A57"/>
    <w:rsid w:val="000E3424"/>
    <w:rsid w:val="000E5ADA"/>
    <w:rsid w:val="000F2230"/>
    <w:rsid w:val="000F489E"/>
    <w:rsid w:val="000F623F"/>
    <w:rsid w:val="00100D0E"/>
    <w:rsid w:val="00102585"/>
    <w:rsid w:val="00102F9A"/>
    <w:rsid w:val="00104C9D"/>
    <w:rsid w:val="00110E7A"/>
    <w:rsid w:val="00110F0D"/>
    <w:rsid w:val="001148C3"/>
    <w:rsid w:val="00114C84"/>
    <w:rsid w:val="00117385"/>
    <w:rsid w:val="00117A85"/>
    <w:rsid w:val="00120572"/>
    <w:rsid w:val="00121CE5"/>
    <w:rsid w:val="00122DCF"/>
    <w:rsid w:val="0012558E"/>
    <w:rsid w:val="00125B7C"/>
    <w:rsid w:val="00125FD0"/>
    <w:rsid w:val="00140BAC"/>
    <w:rsid w:val="001434FB"/>
    <w:rsid w:val="00144EC5"/>
    <w:rsid w:val="001465CF"/>
    <w:rsid w:val="00153151"/>
    <w:rsid w:val="001533E4"/>
    <w:rsid w:val="001544F5"/>
    <w:rsid w:val="00156E38"/>
    <w:rsid w:val="001612AE"/>
    <w:rsid w:val="001622DE"/>
    <w:rsid w:val="00164622"/>
    <w:rsid w:val="00170195"/>
    <w:rsid w:val="00170BF1"/>
    <w:rsid w:val="00173466"/>
    <w:rsid w:val="00174090"/>
    <w:rsid w:val="0017674A"/>
    <w:rsid w:val="00176B2B"/>
    <w:rsid w:val="0018154A"/>
    <w:rsid w:val="00184B59"/>
    <w:rsid w:val="0018653B"/>
    <w:rsid w:val="00190208"/>
    <w:rsid w:val="00191A25"/>
    <w:rsid w:val="00192436"/>
    <w:rsid w:val="00192B85"/>
    <w:rsid w:val="001930F8"/>
    <w:rsid w:val="0019333F"/>
    <w:rsid w:val="001937A1"/>
    <w:rsid w:val="00193B69"/>
    <w:rsid w:val="00196794"/>
    <w:rsid w:val="00196F8B"/>
    <w:rsid w:val="001977E5"/>
    <w:rsid w:val="0019794E"/>
    <w:rsid w:val="001A2160"/>
    <w:rsid w:val="001A56A8"/>
    <w:rsid w:val="001A7241"/>
    <w:rsid w:val="001B276B"/>
    <w:rsid w:val="001B3908"/>
    <w:rsid w:val="001B60CE"/>
    <w:rsid w:val="001B7B48"/>
    <w:rsid w:val="001C2967"/>
    <w:rsid w:val="001C2C5B"/>
    <w:rsid w:val="001C4155"/>
    <w:rsid w:val="001C4775"/>
    <w:rsid w:val="001C5A21"/>
    <w:rsid w:val="001C6DCB"/>
    <w:rsid w:val="001D0B6F"/>
    <w:rsid w:val="001D7024"/>
    <w:rsid w:val="001E4091"/>
    <w:rsid w:val="001E550A"/>
    <w:rsid w:val="001E6F7A"/>
    <w:rsid w:val="001F0E04"/>
    <w:rsid w:val="001F5360"/>
    <w:rsid w:val="002021A5"/>
    <w:rsid w:val="002027F6"/>
    <w:rsid w:val="00202E2B"/>
    <w:rsid w:val="002107CD"/>
    <w:rsid w:val="002118EA"/>
    <w:rsid w:val="00214892"/>
    <w:rsid w:val="00215090"/>
    <w:rsid w:val="00220FFD"/>
    <w:rsid w:val="00225E52"/>
    <w:rsid w:val="00227418"/>
    <w:rsid w:val="00232FD0"/>
    <w:rsid w:val="002345F7"/>
    <w:rsid w:val="00234DE2"/>
    <w:rsid w:val="00236657"/>
    <w:rsid w:val="00261306"/>
    <w:rsid w:val="00261425"/>
    <w:rsid w:val="0026377E"/>
    <w:rsid w:val="00264525"/>
    <w:rsid w:val="00265C12"/>
    <w:rsid w:val="00267814"/>
    <w:rsid w:val="00271C44"/>
    <w:rsid w:val="00272E0E"/>
    <w:rsid w:val="00275537"/>
    <w:rsid w:val="002801B4"/>
    <w:rsid w:val="00282627"/>
    <w:rsid w:val="00285732"/>
    <w:rsid w:val="00286D46"/>
    <w:rsid w:val="002902A9"/>
    <w:rsid w:val="00290A37"/>
    <w:rsid w:val="00291D30"/>
    <w:rsid w:val="00293F3F"/>
    <w:rsid w:val="002A0319"/>
    <w:rsid w:val="002A3564"/>
    <w:rsid w:val="002A7553"/>
    <w:rsid w:val="002B45E2"/>
    <w:rsid w:val="002B51F7"/>
    <w:rsid w:val="002C0765"/>
    <w:rsid w:val="002C2AD7"/>
    <w:rsid w:val="002C3ABA"/>
    <w:rsid w:val="002D195B"/>
    <w:rsid w:val="002D2235"/>
    <w:rsid w:val="002D343A"/>
    <w:rsid w:val="002D5D48"/>
    <w:rsid w:val="002D5E0D"/>
    <w:rsid w:val="002D643F"/>
    <w:rsid w:val="002D6763"/>
    <w:rsid w:val="002E13B0"/>
    <w:rsid w:val="002E2A4E"/>
    <w:rsid w:val="002E4D2D"/>
    <w:rsid w:val="002E6CED"/>
    <w:rsid w:val="002F163D"/>
    <w:rsid w:val="002F2060"/>
    <w:rsid w:val="002F2AAA"/>
    <w:rsid w:val="002F2DBB"/>
    <w:rsid w:val="002F4CDA"/>
    <w:rsid w:val="002F69DD"/>
    <w:rsid w:val="003006B5"/>
    <w:rsid w:val="00301827"/>
    <w:rsid w:val="00302BF3"/>
    <w:rsid w:val="00305DE5"/>
    <w:rsid w:val="00307DE8"/>
    <w:rsid w:val="00307EC6"/>
    <w:rsid w:val="0031289F"/>
    <w:rsid w:val="00314EFD"/>
    <w:rsid w:val="00315F63"/>
    <w:rsid w:val="00316324"/>
    <w:rsid w:val="003173E2"/>
    <w:rsid w:val="00321016"/>
    <w:rsid w:val="003235A6"/>
    <w:rsid w:val="00325080"/>
    <w:rsid w:val="0032524F"/>
    <w:rsid w:val="0032699B"/>
    <w:rsid w:val="00331D97"/>
    <w:rsid w:val="00333E0D"/>
    <w:rsid w:val="00334F12"/>
    <w:rsid w:val="00335358"/>
    <w:rsid w:val="00337126"/>
    <w:rsid w:val="00337E22"/>
    <w:rsid w:val="0034102C"/>
    <w:rsid w:val="003422C0"/>
    <w:rsid w:val="003431BA"/>
    <w:rsid w:val="00343A7D"/>
    <w:rsid w:val="00345583"/>
    <w:rsid w:val="003478ED"/>
    <w:rsid w:val="003512C5"/>
    <w:rsid w:val="003543B5"/>
    <w:rsid w:val="003556B4"/>
    <w:rsid w:val="00355829"/>
    <w:rsid w:val="00356566"/>
    <w:rsid w:val="00364CD7"/>
    <w:rsid w:val="0036568F"/>
    <w:rsid w:val="003657F1"/>
    <w:rsid w:val="003661D6"/>
    <w:rsid w:val="00367A7E"/>
    <w:rsid w:val="00372006"/>
    <w:rsid w:val="003806A1"/>
    <w:rsid w:val="003821BD"/>
    <w:rsid w:val="00384381"/>
    <w:rsid w:val="00385F1E"/>
    <w:rsid w:val="0038723F"/>
    <w:rsid w:val="003933DA"/>
    <w:rsid w:val="003A06E0"/>
    <w:rsid w:val="003A40DB"/>
    <w:rsid w:val="003A45A0"/>
    <w:rsid w:val="003A73AE"/>
    <w:rsid w:val="003B5732"/>
    <w:rsid w:val="003B69C6"/>
    <w:rsid w:val="003C00E7"/>
    <w:rsid w:val="003C05E4"/>
    <w:rsid w:val="003C2A50"/>
    <w:rsid w:val="003C44B5"/>
    <w:rsid w:val="003C6FA6"/>
    <w:rsid w:val="003D463F"/>
    <w:rsid w:val="003D483E"/>
    <w:rsid w:val="003D4F7B"/>
    <w:rsid w:val="003D6DBE"/>
    <w:rsid w:val="003E1569"/>
    <w:rsid w:val="003E6739"/>
    <w:rsid w:val="003E707F"/>
    <w:rsid w:val="003E7239"/>
    <w:rsid w:val="003F2732"/>
    <w:rsid w:val="003F3677"/>
    <w:rsid w:val="003F42F8"/>
    <w:rsid w:val="003F718B"/>
    <w:rsid w:val="00400DAC"/>
    <w:rsid w:val="00400EF3"/>
    <w:rsid w:val="004019B4"/>
    <w:rsid w:val="0040433B"/>
    <w:rsid w:val="00406D2E"/>
    <w:rsid w:val="004134DF"/>
    <w:rsid w:val="00415B44"/>
    <w:rsid w:val="0041791D"/>
    <w:rsid w:val="00422982"/>
    <w:rsid w:val="0043322F"/>
    <w:rsid w:val="00437927"/>
    <w:rsid w:val="00444D4E"/>
    <w:rsid w:val="00445F48"/>
    <w:rsid w:val="00447FC3"/>
    <w:rsid w:val="0045075C"/>
    <w:rsid w:val="004519C7"/>
    <w:rsid w:val="00451D3C"/>
    <w:rsid w:val="004538EF"/>
    <w:rsid w:val="004546D1"/>
    <w:rsid w:val="00457D48"/>
    <w:rsid w:val="004602EF"/>
    <w:rsid w:val="00461226"/>
    <w:rsid w:val="00464213"/>
    <w:rsid w:val="00464A98"/>
    <w:rsid w:val="0046660B"/>
    <w:rsid w:val="0046665F"/>
    <w:rsid w:val="004723C3"/>
    <w:rsid w:val="00474E65"/>
    <w:rsid w:val="00476A99"/>
    <w:rsid w:val="00480154"/>
    <w:rsid w:val="0048032A"/>
    <w:rsid w:val="0048232D"/>
    <w:rsid w:val="004852AE"/>
    <w:rsid w:val="004977B1"/>
    <w:rsid w:val="00497E32"/>
    <w:rsid w:val="004A16D5"/>
    <w:rsid w:val="004A2D67"/>
    <w:rsid w:val="004A53C1"/>
    <w:rsid w:val="004A7E77"/>
    <w:rsid w:val="004B613B"/>
    <w:rsid w:val="004B6727"/>
    <w:rsid w:val="004C09EB"/>
    <w:rsid w:val="004C0B01"/>
    <w:rsid w:val="004C2C12"/>
    <w:rsid w:val="004C66CB"/>
    <w:rsid w:val="004C6C74"/>
    <w:rsid w:val="004D7E26"/>
    <w:rsid w:val="004E04B9"/>
    <w:rsid w:val="004E0AFE"/>
    <w:rsid w:val="004E0C8E"/>
    <w:rsid w:val="004E6C53"/>
    <w:rsid w:val="00500BAA"/>
    <w:rsid w:val="00504719"/>
    <w:rsid w:val="00507660"/>
    <w:rsid w:val="00511645"/>
    <w:rsid w:val="00511C09"/>
    <w:rsid w:val="005120C7"/>
    <w:rsid w:val="0051234D"/>
    <w:rsid w:val="00514AF2"/>
    <w:rsid w:val="00515CBF"/>
    <w:rsid w:val="00515F5E"/>
    <w:rsid w:val="00517133"/>
    <w:rsid w:val="00517E66"/>
    <w:rsid w:val="00520CB3"/>
    <w:rsid w:val="00521DD0"/>
    <w:rsid w:val="00522670"/>
    <w:rsid w:val="00522695"/>
    <w:rsid w:val="005312BD"/>
    <w:rsid w:val="00532CAA"/>
    <w:rsid w:val="00532F25"/>
    <w:rsid w:val="00537E0B"/>
    <w:rsid w:val="00542DDC"/>
    <w:rsid w:val="00546D49"/>
    <w:rsid w:val="0055069D"/>
    <w:rsid w:val="0055245F"/>
    <w:rsid w:val="00555E12"/>
    <w:rsid w:val="0055609B"/>
    <w:rsid w:val="0056528B"/>
    <w:rsid w:val="00571BE5"/>
    <w:rsid w:val="00577070"/>
    <w:rsid w:val="0057720E"/>
    <w:rsid w:val="00577E79"/>
    <w:rsid w:val="00580A61"/>
    <w:rsid w:val="00581032"/>
    <w:rsid w:val="00585A89"/>
    <w:rsid w:val="005903FE"/>
    <w:rsid w:val="00590D0A"/>
    <w:rsid w:val="0059155E"/>
    <w:rsid w:val="00595E88"/>
    <w:rsid w:val="005970BF"/>
    <w:rsid w:val="005A3381"/>
    <w:rsid w:val="005A3A69"/>
    <w:rsid w:val="005A777A"/>
    <w:rsid w:val="005B0E3A"/>
    <w:rsid w:val="005B1766"/>
    <w:rsid w:val="005B1E6A"/>
    <w:rsid w:val="005B3276"/>
    <w:rsid w:val="005B38A9"/>
    <w:rsid w:val="005C3F1F"/>
    <w:rsid w:val="005C4903"/>
    <w:rsid w:val="005D039B"/>
    <w:rsid w:val="005D0FAB"/>
    <w:rsid w:val="005D3A37"/>
    <w:rsid w:val="005D3A64"/>
    <w:rsid w:val="005D549D"/>
    <w:rsid w:val="005D6BB1"/>
    <w:rsid w:val="005E067C"/>
    <w:rsid w:val="005E3C6B"/>
    <w:rsid w:val="005E3E50"/>
    <w:rsid w:val="005E4EBB"/>
    <w:rsid w:val="005E74A7"/>
    <w:rsid w:val="005F1BBF"/>
    <w:rsid w:val="005F1EF5"/>
    <w:rsid w:val="005F3EA4"/>
    <w:rsid w:val="005F3F1D"/>
    <w:rsid w:val="005F4983"/>
    <w:rsid w:val="0060238E"/>
    <w:rsid w:val="00603E91"/>
    <w:rsid w:val="006112A5"/>
    <w:rsid w:val="0061185E"/>
    <w:rsid w:val="00612BDC"/>
    <w:rsid w:val="00612FA9"/>
    <w:rsid w:val="00617673"/>
    <w:rsid w:val="0062171C"/>
    <w:rsid w:val="006223C6"/>
    <w:rsid w:val="00623E00"/>
    <w:rsid w:val="00624110"/>
    <w:rsid w:val="00632F28"/>
    <w:rsid w:val="00633AC8"/>
    <w:rsid w:val="00635256"/>
    <w:rsid w:val="00637FFE"/>
    <w:rsid w:val="0064382F"/>
    <w:rsid w:val="00644E99"/>
    <w:rsid w:val="006500CD"/>
    <w:rsid w:val="00660BC9"/>
    <w:rsid w:val="006627FA"/>
    <w:rsid w:val="00670E23"/>
    <w:rsid w:val="00671071"/>
    <w:rsid w:val="006738A2"/>
    <w:rsid w:val="00676C37"/>
    <w:rsid w:val="0068024A"/>
    <w:rsid w:val="00681241"/>
    <w:rsid w:val="00682088"/>
    <w:rsid w:val="00684861"/>
    <w:rsid w:val="00692201"/>
    <w:rsid w:val="00692FFF"/>
    <w:rsid w:val="0069571C"/>
    <w:rsid w:val="00696114"/>
    <w:rsid w:val="00697D68"/>
    <w:rsid w:val="006A02E8"/>
    <w:rsid w:val="006A0CF5"/>
    <w:rsid w:val="006A236D"/>
    <w:rsid w:val="006A4106"/>
    <w:rsid w:val="006A4F6E"/>
    <w:rsid w:val="006A53BB"/>
    <w:rsid w:val="006B0187"/>
    <w:rsid w:val="006B0B92"/>
    <w:rsid w:val="006B0B9E"/>
    <w:rsid w:val="006B243E"/>
    <w:rsid w:val="006B330A"/>
    <w:rsid w:val="006B4062"/>
    <w:rsid w:val="006C0847"/>
    <w:rsid w:val="006C503F"/>
    <w:rsid w:val="006D044A"/>
    <w:rsid w:val="006D2020"/>
    <w:rsid w:val="006D2DB0"/>
    <w:rsid w:val="006D3AC4"/>
    <w:rsid w:val="006D60FF"/>
    <w:rsid w:val="006D64C8"/>
    <w:rsid w:val="006E2D2F"/>
    <w:rsid w:val="006E3B9A"/>
    <w:rsid w:val="006E4F59"/>
    <w:rsid w:val="006E58DF"/>
    <w:rsid w:val="006E5B81"/>
    <w:rsid w:val="006E6BAC"/>
    <w:rsid w:val="006F4262"/>
    <w:rsid w:val="006F4A52"/>
    <w:rsid w:val="0070435A"/>
    <w:rsid w:val="00705B3C"/>
    <w:rsid w:val="00710A01"/>
    <w:rsid w:val="00711102"/>
    <w:rsid w:val="00714BE1"/>
    <w:rsid w:val="00717777"/>
    <w:rsid w:val="007204B6"/>
    <w:rsid w:val="00723A28"/>
    <w:rsid w:val="00731553"/>
    <w:rsid w:val="0073309B"/>
    <w:rsid w:val="00734677"/>
    <w:rsid w:val="00735AE1"/>
    <w:rsid w:val="00746AD8"/>
    <w:rsid w:val="00746B7B"/>
    <w:rsid w:val="007472F7"/>
    <w:rsid w:val="00752D91"/>
    <w:rsid w:val="00756B61"/>
    <w:rsid w:val="00757C20"/>
    <w:rsid w:val="00760476"/>
    <w:rsid w:val="0076592F"/>
    <w:rsid w:val="00772331"/>
    <w:rsid w:val="00772930"/>
    <w:rsid w:val="0077356F"/>
    <w:rsid w:val="00774495"/>
    <w:rsid w:val="00775E62"/>
    <w:rsid w:val="00783D20"/>
    <w:rsid w:val="00785445"/>
    <w:rsid w:val="00787656"/>
    <w:rsid w:val="00795C5D"/>
    <w:rsid w:val="007A29C6"/>
    <w:rsid w:val="007A3079"/>
    <w:rsid w:val="007B30DE"/>
    <w:rsid w:val="007C0829"/>
    <w:rsid w:val="007C4688"/>
    <w:rsid w:val="007C52BB"/>
    <w:rsid w:val="007D031D"/>
    <w:rsid w:val="007D32F9"/>
    <w:rsid w:val="007D3A1B"/>
    <w:rsid w:val="007D76B9"/>
    <w:rsid w:val="007E071A"/>
    <w:rsid w:val="007E70E7"/>
    <w:rsid w:val="007F02A1"/>
    <w:rsid w:val="007F2146"/>
    <w:rsid w:val="007F37FC"/>
    <w:rsid w:val="007F76F6"/>
    <w:rsid w:val="00800DC8"/>
    <w:rsid w:val="00802014"/>
    <w:rsid w:val="00805B63"/>
    <w:rsid w:val="00810BC2"/>
    <w:rsid w:val="00811D1E"/>
    <w:rsid w:val="008121BE"/>
    <w:rsid w:val="00814C71"/>
    <w:rsid w:val="0081577D"/>
    <w:rsid w:val="008166D8"/>
    <w:rsid w:val="008167B3"/>
    <w:rsid w:val="00822CC0"/>
    <w:rsid w:val="0082526A"/>
    <w:rsid w:val="008254A2"/>
    <w:rsid w:val="00832FC9"/>
    <w:rsid w:val="00836330"/>
    <w:rsid w:val="00843483"/>
    <w:rsid w:val="00844EE5"/>
    <w:rsid w:val="00845191"/>
    <w:rsid w:val="00845344"/>
    <w:rsid w:val="00845E2B"/>
    <w:rsid w:val="0084610A"/>
    <w:rsid w:val="008464C0"/>
    <w:rsid w:val="00852FA7"/>
    <w:rsid w:val="00860FE3"/>
    <w:rsid w:val="00862BE0"/>
    <w:rsid w:val="0086359B"/>
    <w:rsid w:val="00880A4D"/>
    <w:rsid w:val="00881D12"/>
    <w:rsid w:val="008821BE"/>
    <w:rsid w:val="00886A09"/>
    <w:rsid w:val="008916F7"/>
    <w:rsid w:val="008972A7"/>
    <w:rsid w:val="00897348"/>
    <w:rsid w:val="008A4A1D"/>
    <w:rsid w:val="008A7052"/>
    <w:rsid w:val="008B05A3"/>
    <w:rsid w:val="008B08D9"/>
    <w:rsid w:val="008B0A6B"/>
    <w:rsid w:val="008B2149"/>
    <w:rsid w:val="008B223B"/>
    <w:rsid w:val="008B3782"/>
    <w:rsid w:val="008B5BAA"/>
    <w:rsid w:val="008C1139"/>
    <w:rsid w:val="008C2C37"/>
    <w:rsid w:val="008C35CF"/>
    <w:rsid w:val="008C49C5"/>
    <w:rsid w:val="008C51AE"/>
    <w:rsid w:val="008C535E"/>
    <w:rsid w:val="008C5617"/>
    <w:rsid w:val="008C5F5B"/>
    <w:rsid w:val="008D02E8"/>
    <w:rsid w:val="008D1022"/>
    <w:rsid w:val="008D1F76"/>
    <w:rsid w:val="008D254F"/>
    <w:rsid w:val="008D5813"/>
    <w:rsid w:val="008D64AA"/>
    <w:rsid w:val="008E06E6"/>
    <w:rsid w:val="008E2BF2"/>
    <w:rsid w:val="008E5D9A"/>
    <w:rsid w:val="008E742D"/>
    <w:rsid w:val="008F12F2"/>
    <w:rsid w:val="008F2D09"/>
    <w:rsid w:val="009045D1"/>
    <w:rsid w:val="00906F37"/>
    <w:rsid w:val="009072C5"/>
    <w:rsid w:val="00907B3E"/>
    <w:rsid w:val="00910DDD"/>
    <w:rsid w:val="009115D6"/>
    <w:rsid w:val="00911AEA"/>
    <w:rsid w:val="0091311D"/>
    <w:rsid w:val="0091691B"/>
    <w:rsid w:val="0092057F"/>
    <w:rsid w:val="00920E80"/>
    <w:rsid w:val="00921AD2"/>
    <w:rsid w:val="00923D66"/>
    <w:rsid w:val="00923D86"/>
    <w:rsid w:val="0092465A"/>
    <w:rsid w:val="00930BDB"/>
    <w:rsid w:val="00933C52"/>
    <w:rsid w:val="00934316"/>
    <w:rsid w:val="00934A8D"/>
    <w:rsid w:val="00936912"/>
    <w:rsid w:val="009451F0"/>
    <w:rsid w:val="009465CD"/>
    <w:rsid w:val="00947F41"/>
    <w:rsid w:val="00955C8A"/>
    <w:rsid w:val="009642BE"/>
    <w:rsid w:val="00964D5C"/>
    <w:rsid w:val="00965816"/>
    <w:rsid w:val="0097187C"/>
    <w:rsid w:val="00972235"/>
    <w:rsid w:val="00975228"/>
    <w:rsid w:val="009759E3"/>
    <w:rsid w:val="00976464"/>
    <w:rsid w:val="00976A44"/>
    <w:rsid w:val="00981DE2"/>
    <w:rsid w:val="009828DA"/>
    <w:rsid w:val="00982F22"/>
    <w:rsid w:val="00983DA7"/>
    <w:rsid w:val="00983E2C"/>
    <w:rsid w:val="009854A1"/>
    <w:rsid w:val="0099011D"/>
    <w:rsid w:val="009916B1"/>
    <w:rsid w:val="00993682"/>
    <w:rsid w:val="009957EC"/>
    <w:rsid w:val="00997ACB"/>
    <w:rsid w:val="009A02E4"/>
    <w:rsid w:val="009A1804"/>
    <w:rsid w:val="009A21C6"/>
    <w:rsid w:val="009A3097"/>
    <w:rsid w:val="009A45BC"/>
    <w:rsid w:val="009A752A"/>
    <w:rsid w:val="009A7B51"/>
    <w:rsid w:val="009B38BA"/>
    <w:rsid w:val="009B5090"/>
    <w:rsid w:val="009B5223"/>
    <w:rsid w:val="009C0966"/>
    <w:rsid w:val="009C202E"/>
    <w:rsid w:val="009C366C"/>
    <w:rsid w:val="009C6A7C"/>
    <w:rsid w:val="009D071D"/>
    <w:rsid w:val="009D1822"/>
    <w:rsid w:val="009D221C"/>
    <w:rsid w:val="009D3799"/>
    <w:rsid w:val="009D3E64"/>
    <w:rsid w:val="009D4C95"/>
    <w:rsid w:val="009D5125"/>
    <w:rsid w:val="009D5459"/>
    <w:rsid w:val="009D73B5"/>
    <w:rsid w:val="009E1A3C"/>
    <w:rsid w:val="009E2144"/>
    <w:rsid w:val="009E3907"/>
    <w:rsid w:val="009E41D2"/>
    <w:rsid w:val="009E50BB"/>
    <w:rsid w:val="009E65A2"/>
    <w:rsid w:val="009F208C"/>
    <w:rsid w:val="009F30F8"/>
    <w:rsid w:val="009F35D5"/>
    <w:rsid w:val="009F624C"/>
    <w:rsid w:val="00A013FD"/>
    <w:rsid w:val="00A0151A"/>
    <w:rsid w:val="00A018A0"/>
    <w:rsid w:val="00A03EF8"/>
    <w:rsid w:val="00A06E7C"/>
    <w:rsid w:val="00A07A26"/>
    <w:rsid w:val="00A11F39"/>
    <w:rsid w:val="00A13383"/>
    <w:rsid w:val="00A14191"/>
    <w:rsid w:val="00A166EE"/>
    <w:rsid w:val="00A23453"/>
    <w:rsid w:val="00A27526"/>
    <w:rsid w:val="00A314CD"/>
    <w:rsid w:val="00A33367"/>
    <w:rsid w:val="00A352F3"/>
    <w:rsid w:val="00A35751"/>
    <w:rsid w:val="00A36315"/>
    <w:rsid w:val="00A379B4"/>
    <w:rsid w:val="00A425CD"/>
    <w:rsid w:val="00A43AB7"/>
    <w:rsid w:val="00A44A02"/>
    <w:rsid w:val="00A50680"/>
    <w:rsid w:val="00A55EBD"/>
    <w:rsid w:val="00A563FC"/>
    <w:rsid w:val="00A5731A"/>
    <w:rsid w:val="00A60326"/>
    <w:rsid w:val="00A608B8"/>
    <w:rsid w:val="00A64446"/>
    <w:rsid w:val="00A725C0"/>
    <w:rsid w:val="00A751BD"/>
    <w:rsid w:val="00A825CB"/>
    <w:rsid w:val="00A8334C"/>
    <w:rsid w:val="00A85D6C"/>
    <w:rsid w:val="00A912EA"/>
    <w:rsid w:val="00A91C55"/>
    <w:rsid w:val="00A956EE"/>
    <w:rsid w:val="00A97183"/>
    <w:rsid w:val="00A97321"/>
    <w:rsid w:val="00AA0544"/>
    <w:rsid w:val="00AA1114"/>
    <w:rsid w:val="00AA412D"/>
    <w:rsid w:val="00AA631A"/>
    <w:rsid w:val="00AA68F8"/>
    <w:rsid w:val="00AB0793"/>
    <w:rsid w:val="00AB47F6"/>
    <w:rsid w:val="00AC3047"/>
    <w:rsid w:val="00AC33CF"/>
    <w:rsid w:val="00AC3554"/>
    <w:rsid w:val="00AC3C8C"/>
    <w:rsid w:val="00AC4667"/>
    <w:rsid w:val="00AC6A55"/>
    <w:rsid w:val="00AC7631"/>
    <w:rsid w:val="00AC7986"/>
    <w:rsid w:val="00AD293E"/>
    <w:rsid w:val="00AD538E"/>
    <w:rsid w:val="00AD5FA6"/>
    <w:rsid w:val="00AD6E90"/>
    <w:rsid w:val="00AE0F12"/>
    <w:rsid w:val="00AE1E8A"/>
    <w:rsid w:val="00AF083C"/>
    <w:rsid w:val="00AF25C5"/>
    <w:rsid w:val="00AF532D"/>
    <w:rsid w:val="00B003B2"/>
    <w:rsid w:val="00B041B8"/>
    <w:rsid w:val="00B100A6"/>
    <w:rsid w:val="00B10693"/>
    <w:rsid w:val="00B106C7"/>
    <w:rsid w:val="00B1182E"/>
    <w:rsid w:val="00B124A7"/>
    <w:rsid w:val="00B13907"/>
    <w:rsid w:val="00B14557"/>
    <w:rsid w:val="00B14A3E"/>
    <w:rsid w:val="00B16C9D"/>
    <w:rsid w:val="00B20750"/>
    <w:rsid w:val="00B20A63"/>
    <w:rsid w:val="00B210A8"/>
    <w:rsid w:val="00B25274"/>
    <w:rsid w:val="00B258B8"/>
    <w:rsid w:val="00B25F54"/>
    <w:rsid w:val="00B26F8F"/>
    <w:rsid w:val="00B30B07"/>
    <w:rsid w:val="00B3769A"/>
    <w:rsid w:val="00B40F4A"/>
    <w:rsid w:val="00B41906"/>
    <w:rsid w:val="00B42F87"/>
    <w:rsid w:val="00B45081"/>
    <w:rsid w:val="00B46F5B"/>
    <w:rsid w:val="00B47115"/>
    <w:rsid w:val="00B479B4"/>
    <w:rsid w:val="00B47B67"/>
    <w:rsid w:val="00B50161"/>
    <w:rsid w:val="00B504C9"/>
    <w:rsid w:val="00B558F1"/>
    <w:rsid w:val="00B55988"/>
    <w:rsid w:val="00B55F58"/>
    <w:rsid w:val="00B6007E"/>
    <w:rsid w:val="00B60B52"/>
    <w:rsid w:val="00B6114F"/>
    <w:rsid w:val="00B629CF"/>
    <w:rsid w:val="00B70FEE"/>
    <w:rsid w:val="00B728AE"/>
    <w:rsid w:val="00B77B90"/>
    <w:rsid w:val="00B77F0E"/>
    <w:rsid w:val="00B80C14"/>
    <w:rsid w:val="00B81264"/>
    <w:rsid w:val="00B8155E"/>
    <w:rsid w:val="00B854AC"/>
    <w:rsid w:val="00B86091"/>
    <w:rsid w:val="00B8619A"/>
    <w:rsid w:val="00B93CE7"/>
    <w:rsid w:val="00BA2102"/>
    <w:rsid w:val="00BA23DB"/>
    <w:rsid w:val="00BA4ABB"/>
    <w:rsid w:val="00BA5635"/>
    <w:rsid w:val="00BB0760"/>
    <w:rsid w:val="00BB73DF"/>
    <w:rsid w:val="00BC079D"/>
    <w:rsid w:val="00BC0D48"/>
    <w:rsid w:val="00BC192A"/>
    <w:rsid w:val="00BC3879"/>
    <w:rsid w:val="00BC481D"/>
    <w:rsid w:val="00BC578C"/>
    <w:rsid w:val="00BD0451"/>
    <w:rsid w:val="00BD0DFB"/>
    <w:rsid w:val="00BD2201"/>
    <w:rsid w:val="00BD5EE7"/>
    <w:rsid w:val="00BD6AF5"/>
    <w:rsid w:val="00BD76C7"/>
    <w:rsid w:val="00BE0828"/>
    <w:rsid w:val="00BE26C2"/>
    <w:rsid w:val="00BE48A6"/>
    <w:rsid w:val="00BE4BA6"/>
    <w:rsid w:val="00BF00D5"/>
    <w:rsid w:val="00BF0C4B"/>
    <w:rsid w:val="00BF3B38"/>
    <w:rsid w:val="00BF649F"/>
    <w:rsid w:val="00BF6FD6"/>
    <w:rsid w:val="00C01B9B"/>
    <w:rsid w:val="00C036CF"/>
    <w:rsid w:val="00C05A63"/>
    <w:rsid w:val="00C05ECA"/>
    <w:rsid w:val="00C0632C"/>
    <w:rsid w:val="00C0765E"/>
    <w:rsid w:val="00C1219B"/>
    <w:rsid w:val="00C1441D"/>
    <w:rsid w:val="00C2033B"/>
    <w:rsid w:val="00C243F3"/>
    <w:rsid w:val="00C27979"/>
    <w:rsid w:val="00C30BB4"/>
    <w:rsid w:val="00C3102D"/>
    <w:rsid w:val="00C33B38"/>
    <w:rsid w:val="00C350D7"/>
    <w:rsid w:val="00C422C0"/>
    <w:rsid w:val="00C431B0"/>
    <w:rsid w:val="00C437D3"/>
    <w:rsid w:val="00C44F87"/>
    <w:rsid w:val="00C45136"/>
    <w:rsid w:val="00C47EA1"/>
    <w:rsid w:val="00C5265B"/>
    <w:rsid w:val="00C52D8F"/>
    <w:rsid w:val="00C53FE3"/>
    <w:rsid w:val="00C55583"/>
    <w:rsid w:val="00C57C5B"/>
    <w:rsid w:val="00C57FEA"/>
    <w:rsid w:val="00C6042F"/>
    <w:rsid w:val="00C618F4"/>
    <w:rsid w:val="00C625D9"/>
    <w:rsid w:val="00C648EF"/>
    <w:rsid w:val="00C67835"/>
    <w:rsid w:val="00C67994"/>
    <w:rsid w:val="00C7075A"/>
    <w:rsid w:val="00C74254"/>
    <w:rsid w:val="00C74B77"/>
    <w:rsid w:val="00C751B3"/>
    <w:rsid w:val="00C753B3"/>
    <w:rsid w:val="00C778D2"/>
    <w:rsid w:val="00C8028B"/>
    <w:rsid w:val="00C80B7D"/>
    <w:rsid w:val="00C81426"/>
    <w:rsid w:val="00C84A14"/>
    <w:rsid w:val="00C8568B"/>
    <w:rsid w:val="00C927C9"/>
    <w:rsid w:val="00C93D29"/>
    <w:rsid w:val="00C94B2E"/>
    <w:rsid w:val="00C95204"/>
    <w:rsid w:val="00C95DE8"/>
    <w:rsid w:val="00C966E3"/>
    <w:rsid w:val="00C96922"/>
    <w:rsid w:val="00C97AD9"/>
    <w:rsid w:val="00C97CC7"/>
    <w:rsid w:val="00CA3F66"/>
    <w:rsid w:val="00CA4057"/>
    <w:rsid w:val="00CA6E4B"/>
    <w:rsid w:val="00CB0FDD"/>
    <w:rsid w:val="00CB275F"/>
    <w:rsid w:val="00CB4F4E"/>
    <w:rsid w:val="00CB52DD"/>
    <w:rsid w:val="00CB6293"/>
    <w:rsid w:val="00CC0253"/>
    <w:rsid w:val="00CD04BB"/>
    <w:rsid w:val="00CD0E61"/>
    <w:rsid w:val="00CD423A"/>
    <w:rsid w:val="00CD4A95"/>
    <w:rsid w:val="00CD5EA0"/>
    <w:rsid w:val="00CE1AE8"/>
    <w:rsid w:val="00CE2226"/>
    <w:rsid w:val="00CE35F2"/>
    <w:rsid w:val="00CE60A1"/>
    <w:rsid w:val="00CE670B"/>
    <w:rsid w:val="00CF64E3"/>
    <w:rsid w:val="00D0041D"/>
    <w:rsid w:val="00D00C91"/>
    <w:rsid w:val="00D0147E"/>
    <w:rsid w:val="00D04C4B"/>
    <w:rsid w:val="00D05EFC"/>
    <w:rsid w:val="00D101D9"/>
    <w:rsid w:val="00D10567"/>
    <w:rsid w:val="00D1122F"/>
    <w:rsid w:val="00D12F24"/>
    <w:rsid w:val="00D14BC1"/>
    <w:rsid w:val="00D17783"/>
    <w:rsid w:val="00D17D3B"/>
    <w:rsid w:val="00D209B1"/>
    <w:rsid w:val="00D27801"/>
    <w:rsid w:val="00D30DAB"/>
    <w:rsid w:val="00D30E61"/>
    <w:rsid w:val="00D32C3B"/>
    <w:rsid w:val="00D32D47"/>
    <w:rsid w:val="00D358BB"/>
    <w:rsid w:val="00D3734E"/>
    <w:rsid w:val="00D418F1"/>
    <w:rsid w:val="00D41C85"/>
    <w:rsid w:val="00D421CF"/>
    <w:rsid w:val="00D4325C"/>
    <w:rsid w:val="00D4458C"/>
    <w:rsid w:val="00D45DB5"/>
    <w:rsid w:val="00D45FC7"/>
    <w:rsid w:val="00D51399"/>
    <w:rsid w:val="00D520EB"/>
    <w:rsid w:val="00D54396"/>
    <w:rsid w:val="00D54B48"/>
    <w:rsid w:val="00D55795"/>
    <w:rsid w:val="00D55D44"/>
    <w:rsid w:val="00D55E5C"/>
    <w:rsid w:val="00D61A3B"/>
    <w:rsid w:val="00D61EF0"/>
    <w:rsid w:val="00D6350C"/>
    <w:rsid w:val="00D64747"/>
    <w:rsid w:val="00D65A85"/>
    <w:rsid w:val="00D663D1"/>
    <w:rsid w:val="00D713CD"/>
    <w:rsid w:val="00D725BF"/>
    <w:rsid w:val="00D743EF"/>
    <w:rsid w:val="00D75AA4"/>
    <w:rsid w:val="00D7631C"/>
    <w:rsid w:val="00D76435"/>
    <w:rsid w:val="00D803C9"/>
    <w:rsid w:val="00D81F12"/>
    <w:rsid w:val="00D82996"/>
    <w:rsid w:val="00D82B65"/>
    <w:rsid w:val="00D83ACC"/>
    <w:rsid w:val="00D8569D"/>
    <w:rsid w:val="00D85E19"/>
    <w:rsid w:val="00D8615A"/>
    <w:rsid w:val="00D90745"/>
    <w:rsid w:val="00D91278"/>
    <w:rsid w:val="00D92F82"/>
    <w:rsid w:val="00D943CD"/>
    <w:rsid w:val="00D950C2"/>
    <w:rsid w:val="00D959AC"/>
    <w:rsid w:val="00D96F27"/>
    <w:rsid w:val="00DA1367"/>
    <w:rsid w:val="00DA6AD1"/>
    <w:rsid w:val="00DB25C8"/>
    <w:rsid w:val="00DB3AB7"/>
    <w:rsid w:val="00DB61FF"/>
    <w:rsid w:val="00DC1482"/>
    <w:rsid w:val="00DC514E"/>
    <w:rsid w:val="00DC5562"/>
    <w:rsid w:val="00DD52C8"/>
    <w:rsid w:val="00DD68FA"/>
    <w:rsid w:val="00DD77A5"/>
    <w:rsid w:val="00DD7CFD"/>
    <w:rsid w:val="00DE5288"/>
    <w:rsid w:val="00DF2DE7"/>
    <w:rsid w:val="00DF4186"/>
    <w:rsid w:val="00DF4F32"/>
    <w:rsid w:val="00DF6278"/>
    <w:rsid w:val="00E00D7A"/>
    <w:rsid w:val="00E030BB"/>
    <w:rsid w:val="00E03253"/>
    <w:rsid w:val="00E03938"/>
    <w:rsid w:val="00E04ADA"/>
    <w:rsid w:val="00E056EE"/>
    <w:rsid w:val="00E064A0"/>
    <w:rsid w:val="00E1121F"/>
    <w:rsid w:val="00E16C56"/>
    <w:rsid w:val="00E21325"/>
    <w:rsid w:val="00E22375"/>
    <w:rsid w:val="00E23C50"/>
    <w:rsid w:val="00E2527F"/>
    <w:rsid w:val="00E25880"/>
    <w:rsid w:val="00E301AB"/>
    <w:rsid w:val="00E30488"/>
    <w:rsid w:val="00E31DF9"/>
    <w:rsid w:val="00E340B3"/>
    <w:rsid w:val="00E356EC"/>
    <w:rsid w:val="00E3782A"/>
    <w:rsid w:val="00E4289E"/>
    <w:rsid w:val="00E42BF2"/>
    <w:rsid w:val="00E45E20"/>
    <w:rsid w:val="00E50CB4"/>
    <w:rsid w:val="00E52525"/>
    <w:rsid w:val="00E52B8F"/>
    <w:rsid w:val="00E55B7C"/>
    <w:rsid w:val="00E6087A"/>
    <w:rsid w:val="00E72662"/>
    <w:rsid w:val="00E75D1A"/>
    <w:rsid w:val="00E76EFA"/>
    <w:rsid w:val="00E84DA1"/>
    <w:rsid w:val="00E8725F"/>
    <w:rsid w:val="00E879C7"/>
    <w:rsid w:val="00E87EE5"/>
    <w:rsid w:val="00E900D8"/>
    <w:rsid w:val="00EA13EE"/>
    <w:rsid w:val="00EA18C2"/>
    <w:rsid w:val="00EA1F48"/>
    <w:rsid w:val="00EA3F31"/>
    <w:rsid w:val="00EA4B69"/>
    <w:rsid w:val="00EB3B2B"/>
    <w:rsid w:val="00EB7D26"/>
    <w:rsid w:val="00EC071D"/>
    <w:rsid w:val="00EC55E3"/>
    <w:rsid w:val="00EC5C8A"/>
    <w:rsid w:val="00EC7CB5"/>
    <w:rsid w:val="00ED034B"/>
    <w:rsid w:val="00ED2ADF"/>
    <w:rsid w:val="00ED360B"/>
    <w:rsid w:val="00ED55AA"/>
    <w:rsid w:val="00ED583C"/>
    <w:rsid w:val="00ED652C"/>
    <w:rsid w:val="00EE278E"/>
    <w:rsid w:val="00EE46C1"/>
    <w:rsid w:val="00EE481A"/>
    <w:rsid w:val="00EF1B7C"/>
    <w:rsid w:val="00EF2B82"/>
    <w:rsid w:val="00EF2DC4"/>
    <w:rsid w:val="00EF2F7A"/>
    <w:rsid w:val="00EF40AC"/>
    <w:rsid w:val="00EF7904"/>
    <w:rsid w:val="00EF7E20"/>
    <w:rsid w:val="00F01542"/>
    <w:rsid w:val="00F04EC4"/>
    <w:rsid w:val="00F05D74"/>
    <w:rsid w:val="00F10375"/>
    <w:rsid w:val="00F12EDE"/>
    <w:rsid w:val="00F13A04"/>
    <w:rsid w:val="00F14B0F"/>
    <w:rsid w:val="00F1753F"/>
    <w:rsid w:val="00F17F27"/>
    <w:rsid w:val="00F232AB"/>
    <w:rsid w:val="00F27A88"/>
    <w:rsid w:val="00F3244C"/>
    <w:rsid w:val="00F359E7"/>
    <w:rsid w:val="00F403C3"/>
    <w:rsid w:val="00F411A5"/>
    <w:rsid w:val="00F413EB"/>
    <w:rsid w:val="00F44A0C"/>
    <w:rsid w:val="00F45876"/>
    <w:rsid w:val="00F45E7D"/>
    <w:rsid w:val="00F50C22"/>
    <w:rsid w:val="00F51BB6"/>
    <w:rsid w:val="00F551A7"/>
    <w:rsid w:val="00F56315"/>
    <w:rsid w:val="00F65CF9"/>
    <w:rsid w:val="00F7027A"/>
    <w:rsid w:val="00F710CC"/>
    <w:rsid w:val="00F71DE5"/>
    <w:rsid w:val="00F732FC"/>
    <w:rsid w:val="00F743B9"/>
    <w:rsid w:val="00F756AE"/>
    <w:rsid w:val="00F75A4D"/>
    <w:rsid w:val="00F7790C"/>
    <w:rsid w:val="00F77DDD"/>
    <w:rsid w:val="00F85CC0"/>
    <w:rsid w:val="00F90517"/>
    <w:rsid w:val="00F94879"/>
    <w:rsid w:val="00F94AA2"/>
    <w:rsid w:val="00F95326"/>
    <w:rsid w:val="00F96D3D"/>
    <w:rsid w:val="00F974C5"/>
    <w:rsid w:val="00FA04BE"/>
    <w:rsid w:val="00FA25AD"/>
    <w:rsid w:val="00FA41E1"/>
    <w:rsid w:val="00FA7E51"/>
    <w:rsid w:val="00FB028C"/>
    <w:rsid w:val="00FB13B6"/>
    <w:rsid w:val="00FB32A7"/>
    <w:rsid w:val="00FB5281"/>
    <w:rsid w:val="00FB70DD"/>
    <w:rsid w:val="00FC0FFB"/>
    <w:rsid w:val="00FC3078"/>
    <w:rsid w:val="00FC4BFC"/>
    <w:rsid w:val="00FC73F6"/>
    <w:rsid w:val="00FD4C5F"/>
    <w:rsid w:val="00FD5394"/>
    <w:rsid w:val="00FD5D73"/>
    <w:rsid w:val="00FD7A48"/>
    <w:rsid w:val="00FE4D65"/>
    <w:rsid w:val="00FE6276"/>
    <w:rsid w:val="00FF4EF8"/>
    <w:rsid w:val="00FF4F6A"/>
    <w:rsid w:val="00FF557A"/>
    <w:rsid w:val="00FF5E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1194E"/>
  <w15:chartTrackingRefBased/>
  <w15:docId w15:val="{FAFF546A-780B-584D-99BA-F34A2457B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11D"/>
  </w:style>
  <w:style w:type="paragraph" w:styleId="Heading1">
    <w:name w:val="heading 1"/>
    <w:basedOn w:val="Normal"/>
    <w:next w:val="Normal"/>
    <w:link w:val="Heading1Char"/>
    <w:uiPriority w:val="9"/>
    <w:qFormat/>
    <w:rsid w:val="009901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01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01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01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01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01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01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01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01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1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01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01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01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01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01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01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01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011D"/>
    <w:rPr>
      <w:rFonts w:eastAsiaTheme="majorEastAsia" w:cstheme="majorBidi"/>
      <w:color w:val="272727" w:themeColor="text1" w:themeTint="D8"/>
    </w:rPr>
  </w:style>
  <w:style w:type="paragraph" w:styleId="Title">
    <w:name w:val="Title"/>
    <w:basedOn w:val="Normal"/>
    <w:next w:val="Normal"/>
    <w:link w:val="TitleChar"/>
    <w:uiPriority w:val="10"/>
    <w:qFormat/>
    <w:rsid w:val="009901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01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01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01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011D"/>
    <w:pPr>
      <w:spacing w:before="160"/>
      <w:jc w:val="center"/>
    </w:pPr>
    <w:rPr>
      <w:i/>
      <w:iCs/>
      <w:color w:val="404040" w:themeColor="text1" w:themeTint="BF"/>
    </w:rPr>
  </w:style>
  <w:style w:type="character" w:customStyle="1" w:styleId="QuoteChar">
    <w:name w:val="Quote Char"/>
    <w:basedOn w:val="DefaultParagraphFont"/>
    <w:link w:val="Quote"/>
    <w:uiPriority w:val="29"/>
    <w:rsid w:val="0099011D"/>
    <w:rPr>
      <w:i/>
      <w:iCs/>
      <w:color w:val="404040" w:themeColor="text1" w:themeTint="BF"/>
    </w:rPr>
  </w:style>
  <w:style w:type="paragraph" w:styleId="ListParagraph">
    <w:name w:val="List Paragraph"/>
    <w:basedOn w:val="Normal"/>
    <w:uiPriority w:val="34"/>
    <w:qFormat/>
    <w:rsid w:val="0099011D"/>
    <w:pPr>
      <w:ind w:left="720"/>
      <w:contextualSpacing/>
    </w:pPr>
  </w:style>
  <w:style w:type="character" w:styleId="IntenseEmphasis">
    <w:name w:val="Intense Emphasis"/>
    <w:basedOn w:val="DefaultParagraphFont"/>
    <w:uiPriority w:val="21"/>
    <w:qFormat/>
    <w:rsid w:val="0099011D"/>
    <w:rPr>
      <w:i/>
      <w:iCs/>
      <w:color w:val="0F4761" w:themeColor="accent1" w:themeShade="BF"/>
    </w:rPr>
  </w:style>
  <w:style w:type="paragraph" w:styleId="IntenseQuote">
    <w:name w:val="Intense Quote"/>
    <w:basedOn w:val="Normal"/>
    <w:next w:val="Normal"/>
    <w:link w:val="IntenseQuoteChar"/>
    <w:uiPriority w:val="30"/>
    <w:qFormat/>
    <w:rsid w:val="009901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011D"/>
    <w:rPr>
      <w:i/>
      <w:iCs/>
      <w:color w:val="0F4761" w:themeColor="accent1" w:themeShade="BF"/>
    </w:rPr>
  </w:style>
  <w:style w:type="character" w:styleId="IntenseReference">
    <w:name w:val="Intense Reference"/>
    <w:basedOn w:val="DefaultParagraphFont"/>
    <w:uiPriority w:val="32"/>
    <w:qFormat/>
    <w:rsid w:val="0099011D"/>
    <w:rPr>
      <w:b/>
      <w:bCs/>
      <w:smallCaps/>
      <w:color w:val="0F4761" w:themeColor="accent1" w:themeShade="BF"/>
      <w:spacing w:val="5"/>
    </w:rPr>
  </w:style>
  <w:style w:type="character" w:styleId="Emphasis">
    <w:name w:val="Emphasis"/>
    <w:basedOn w:val="DefaultParagraphFont"/>
    <w:uiPriority w:val="20"/>
    <w:qFormat/>
    <w:rsid w:val="00CA6E4B"/>
    <w:rPr>
      <w:i/>
      <w:iCs/>
    </w:rPr>
  </w:style>
  <w:style w:type="character" w:styleId="Hyperlink">
    <w:name w:val="Hyperlink"/>
    <w:basedOn w:val="DefaultParagraphFont"/>
    <w:uiPriority w:val="99"/>
    <w:unhideWhenUsed/>
    <w:rsid w:val="00CA6E4B"/>
    <w:rPr>
      <w:color w:val="467886" w:themeColor="hyperlink"/>
      <w:u w:val="single"/>
    </w:rPr>
  </w:style>
  <w:style w:type="character" w:styleId="UnresolvedMention">
    <w:name w:val="Unresolved Mention"/>
    <w:basedOn w:val="DefaultParagraphFont"/>
    <w:uiPriority w:val="99"/>
    <w:semiHidden/>
    <w:unhideWhenUsed/>
    <w:rsid w:val="00CA6E4B"/>
    <w:rPr>
      <w:color w:val="605E5C"/>
      <w:shd w:val="clear" w:color="auto" w:fill="E1DFDD"/>
    </w:rPr>
  </w:style>
  <w:style w:type="character" w:styleId="FollowedHyperlink">
    <w:name w:val="FollowedHyperlink"/>
    <w:basedOn w:val="DefaultParagraphFont"/>
    <w:uiPriority w:val="99"/>
    <w:semiHidden/>
    <w:unhideWhenUsed/>
    <w:rsid w:val="00E3782A"/>
    <w:rPr>
      <w:color w:val="96607D" w:themeColor="followedHyperlink"/>
      <w:u w:val="single"/>
    </w:rPr>
  </w:style>
  <w:style w:type="paragraph" w:styleId="NormalWeb">
    <w:name w:val="Normal (Web)"/>
    <w:basedOn w:val="Normal"/>
    <w:uiPriority w:val="99"/>
    <w:unhideWhenUsed/>
    <w:rsid w:val="0033535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customStyle="1" w:styleId="NormalGrid">
    <w:name w:val="Normal Grid"/>
    <w:basedOn w:val="TableNormal"/>
    <w:uiPriority w:val="39"/>
    <w:rsid w:val="006E58DF"/>
    <w:pPr>
      <w:spacing w:after="0" w:line="240" w:lineRule="auto"/>
    </w:pPr>
    <w:rPr>
      <w:rFonts w:ascii="Georgia"/>
      <w:kern w:val="0"/>
      <w:sz w:val="21"/>
      <w:szCs w:val="22"/>
      <w:lang w:val="en-US"/>
      <w14:ligatures w14:val="none"/>
    </w:rPr>
    <w:tblPr>
      <w:tblCellMar>
        <w:top w:w="80" w:type="dxa"/>
        <w:left w:w="160" w:type="dxa"/>
        <w:bottom w:w="80" w:type="dxa"/>
        <w:right w:w="160" w:type="dxa"/>
      </w:tblCellMar>
    </w:tblPr>
  </w:style>
  <w:style w:type="paragraph" w:customStyle="1" w:styleId="p1">
    <w:name w:val="p1"/>
    <w:basedOn w:val="Normal"/>
    <w:rsid w:val="006F4A52"/>
    <w:pPr>
      <w:spacing w:after="0" w:line="240" w:lineRule="auto"/>
    </w:pPr>
    <w:rPr>
      <w:rFonts w:ascii=".AppleSystemUIFont" w:eastAsia="Times New Roman" w:hAnsi=".AppleSystemUIFont" w:cs="Times New Roman"/>
      <w:kern w:val="0"/>
      <w:sz w:val="20"/>
      <w:szCs w:val="20"/>
      <w:lang w:eastAsia="en-GB"/>
      <w14:ligatures w14:val="none"/>
    </w:rPr>
  </w:style>
  <w:style w:type="character" w:styleId="Strong">
    <w:name w:val="Strong"/>
    <w:basedOn w:val="DefaultParagraphFont"/>
    <w:uiPriority w:val="22"/>
    <w:qFormat/>
    <w:rsid w:val="003C6FA6"/>
    <w:rPr>
      <w:b/>
      <w:bCs/>
    </w:rPr>
  </w:style>
  <w:style w:type="character" w:customStyle="1" w:styleId="cursor-pointer">
    <w:name w:val="cursor-pointer"/>
    <w:basedOn w:val="DefaultParagraphFont"/>
    <w:rsid w:val="009A3097"/>
  </w:style>
  <w:style w:type="table" w:styleId="TableGrid">
    <w:name w:val="Table Grid"/>
    <w:basedOn w:val="TableNormal"/>
    <w:uiPriority w:val="39"/>
    <w:rsid w:val="00E608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99"/>
    <w:unhideWhenUsed/>
    <w:rsid w:val="00437927"/>
    <w:pPr>
      <w:numPr>
        <w:numId w:val="9"/>
      </w:numPr>
      <w:spacing w:line="320" w:lineRule="auto"/>
      <w:contextualSpacing/>
      <w:jc w:val="both"/>
    </w:pPr>
    <w:rPr>
      <w:rFonts w:ascii="Calibri" w:eastAsiaTheme="minorEastAsia" w:hAnsi="Calibri"/>
      <w:color w:val="182536"/>
      <w:kern w:val="0"/>
      <w:sz w:val="22"/>
      <w:szCs w:val="22"/>
      <w:lang w:val="en-US"/>
      <w14:ligatures w14:val="none"/>
    </w:rPr>
  </w:style>
  <w:style w:type="paragraph" w:customStyle="1" w:styleId="SourceText">
    <w:name w:val="Source Text"/>
    <w:rsid w:val="00060B4A"/>
    <w:pPr>
      <w:spacing w:before="80" w:after="80" w:line="276" w:lineRule="auto"/>
    </w:pPr>
    <w:rPr>
      <w:rFonts w:ascii="Calibri" w:eastAsiaTheme="minorEastAsia" w:hAnsi="Calibri"/>
      <w:i/>
      <w:color w:val="5B6573"/>
      <w:kern w:val="0"/>
      <w:sz w:val="18"/>
      <w:szCs w:val="22"/>
      <w:lang w:val="en-US"/>
      <w14:ligatures w14:val="none"/>
    </w:rPr>
  </w:style>
  <w:style w:type="paragraph" w:styleId="Caption">
    <w:name w:val="caption"/>
    <w:basedOn w:val="Normal"/>
    <w:next w:val="Normal"/>
    <w:uiPriority w:val="35"/>
    <w:semiHidden/>
    <w:unhideWhenUsed/>
    <w:qFormat/>
    <w:rsid w:val="00517133"/>
    <w:pPr>
      <w:keepNext/>
      <w:spacing w:line="240" w:lineRule="auto"/>
      <w:jc w:val="both"/>
    </w:pPr>
    <w:rPr>
      <w:rFonts w:ascii="Calibri" w:eastAsiaTheme="minorEastAsia" w:hAnsi="Calibri"/>
      <w:b/>
      <w:bCs/>
      <w:i/>
      <w:color w:val="5B6573"/>
      <w:kern w:val="0"/>
      <w:sz w:val="19"/>
      <w:szCs w:val="18"/>
      <w:lang w:val="en-US"/>
      <w14:ligatures w14:val="none"/>
    </w:rPr>
  </w:style>
  <w:style w:type="paragraph" w:customStyle="1" w:styleId="TOCTitle">
    <w:name w:val="TOC Title"/>
    <w:rsid w:val="002F163D"/>
    <w:pPr>
      <w:keepNext/>
      <w:spacing w:after="240" w:line="276" w:lineRule="auto"/>
    </w:pPr>
    <w:rPr>
      <w:rFonts w:ascii="Calibri" w:eastAsiaTheme="minorEastAsia" w:hAnsi="Calibri"/>
      <w:b/>
      <w:color w:val="2E74B5"/>
      <w:kern w:val="0"/>
      <w:sz w:val="32"/>
      <w:szCs w:val="22"/>
      <w:lang w:val="en-US"/>
      <w14:ligatures w14:val="none"/>
    </w:rPr>
  </w:style>
  <w:style w:type="paragraph" w:styleId="Footer">
    <w:name w:val="footer"/>
    <w:basedOn w:val="Normal"/>
    <w:link w:val="FooterChar"/>
    <w:uiPriority w:val="99"/>
    <w:unhideWhenUsed/>
    <w:rsid w:val="009F35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35D5"/>
  </w:style>
  <w:style w:type="character" w:styleId="PageNumber">
    <w:name w:val="page number"/>
    <w:basedOn w:val="DefaultParagraphFont"/>
    <w:uiPriority w:val="99"/>
    <w:semiHidden/>
    <w:unhideWhenUsed/>
    <w:rsid w:val="009F35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cs.org/policy-and-influence/equity-diversity-and-inclusion/bcs-diversity-report-2024-addressing-the-under-representation-of-women-in-technology/" TargetMode="External"/><Relationship Id="rId18" Type="http://schemas.openxmlformats.org/officeDocument/2006/relationships/hyperlink" Target="https://www.deloitte.com/uk/en/services/audit-assurance/perspectives/ftse-women-leaders-review.html" TargetMode="External"/><Relationship Id="rId26" Type="http://schemas.openxmlformats.org/officeDocument/2006/relationships/hyperlink" Target="https://ico.org.uk/about-the-ico/media-centre/news-and-blogs/2026/03/automated-decisions-can-streamline-the-hiring-process-with-the-right-safeguards-in-place/" TargetMode="External"/><Relationship Id="rId39" Type="http://schemas.openxmlformats.org/officeDocument/2006/relationships/footer" Target="footer2.xml"/><Relationship Id="rId21" Type="http://schemas.openxmlformats.org/officeDocument/2006/relationships/hyperlink" Target="https://www.wibf.org.uk/news/ftse-women-leaders-review-2025-progress-challenges-and-the-road-to-gender-parity/" TargetMode="External"/><Relationship Id="rId34" Type="http://schemas.openxmlformats.org/officeDocument/2006/relationships/hyperlink" Target="https://www.womentech.net/women-in-tech-stats-u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globalassets/media/comms/get-involved/events/2023-arc-impact-covid-female-early-career-academics-experiences-8415.pdf" TargetMode="External"/><Relationship Id="rId20" Type="http://schemas.openxmlformats.org/officeDocument/2006/relationships/hyperlink" Target="https://www.womenintech.co.uk/report-women-technology-stem-uk/" TargetMode="External"/><Relationship Id="rId29" Type="http://schemas.openxmlformats.org/officeDocument/2006/relationships/hyperlink" Target="https://psycnet.apa.org/doiLanding?doi=10.1037%2Fbul0000234"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omen-in-tech.org/" TargetMode="External"/><Relationship Id="rId32" Type="http://schemas.openxmlformats.org/officeDocument/2006/relationships/hyperlink" Target="https://openjournals.salford.ac.uk/spark/article/id/410/" TargetMode="External"/><Relationship Id="rId37" Type="http://schemas.openxmlformats.org/officeDocument/2006/relationships/hyperlink" Target="https://www.weforum.org/publications/global-gender-gap-report-2025/"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org/globalassets/media/knowledge/knowledge-hub/evidence-reviews/flexible-working-teleworking-and-diversity-evidence-summary-web_tcm18-92878.pdf/" TargetMode="External"/><Relationship Id="rId23" Type="http://schemas.openxmlformats.org/officeDocument/2006/relationships/hyperlink" Target="https://www.tandfonline.com/doi/pdf/10.1080/10463283.2022.2109294/s" TargetMode="External"/><Relationship Id="rId28" Type="http://schemas.openxmlformats.org/officeDocument/2006/relationships/hyperlink" Target="https://www.techuk.org/resource/mentoring-women-in-tech.html/" TargetMode="External"/><Relationship Id="rId36" Type="http://schemas.openxmlformats.org/officeDocument/2006/relationships/hyperlink" Target="https://uksa.statisticsauthority.gov.uk/publications/ethical-considerations-associated-with-qualitative-research-methods/" TargetMode="External"/><Relationship Id="rId10" Type="http://schemas.openxmlformats.org/officeDocument/2006/relationships/image" Target="media/image3.png"/><Relationship Id="rId19" Type="http://schemas.openxmlformats.org/officeDocument/2006/relationships/hyperlink" Target="https://www.gov.uk/government/publications/diversity-in-uk-tech/diversity-in-uk-tech-executive-summary" TargetMode="External"/><Relationship Id="rId31" Type="http://schemas.openxmlformats.org/officeDocument/2006/relationships/hyperlink" Target="https://www.oecd.org/en/publications/gender-equality-in-a-changing-world_e808086f-en/full-report/women-still-lag-behind-men-in-reaching-leadership-roles_8367265b.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rreview.co.uk/hr-news/diversity-news/only-20-of-senior-tech-leaders-are-%20women/376171" TargetMode="External"/><Relationship Id="rId22" Type="http://schemas.openxmlformats.org/officeDocument/2006/relationships/hyperlink" Target="https://www.gov.uk/government/publications/gender-pay-gap-reporting-guidance-for-employers/" TargetMode="External"/><Relationship Id="rId27" Type="http://schemas.openxmlformats.org/officeDocument/2006/relationships/hyperlink" Target="https://www.ifc.org/en/pressroom/2022/ifc-announces-winners-of-employer-of-choice-for-gender-diversity-awards-in-pakistan/" TargetMode="External"/><Relationship Id="rId30" Type="http://schemas.openxmlformats.org/officeDocument/2006/relationships/hyperlink" Target="https://www.ons.gov.uk/employmentandlabourmarket/peopleinwork/employmentandemployeetypes/articles/whohasaccesstohybridworkingreatbritain/2025-06-11" TargetMode="External"/><Relationship Id="rId35" Type="http://schemas.openxmlformats.org/officeDocument/2006/relationships/hyperlink" Target="https://www.ukri.org/councils/esrc/guidance-for-applicants/research-ethics-guidance/"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bcs.org/policy-and-influence/equity-diversity-and-inclusion/bcs-diversity-report-2023-ethnicity/" TargetMode="External"/><Relationship Id="rId17" Type="http://schemas.openxmlformats.org/officeDocument/2006/relationships/hyperlink" Target="https://www.gov.uk/government/publications/responsible-ai-in-recruitment-guide/responsible-ai-in-recruitment" TargetMode="External"/><Relationship Id="rId25" Type="http://schemas.openxmlformats.org/officeDocument/2006/relationships/hyperlink" Target="https://ico.org.uk/action-weve-taken/audits-and-overview-reports/2024/11/ai-tools-used-in-recruitment/" TargetMode="External"/><Relationship Id="rId33" Type="http://schemas.openxmlformats.org/officeDocument/2006/relationships/hyperlink" Target="http://ftsewomenleaders.com/progress/"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7654FC-41E2-1040-B25A-5297E4700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42</Pages>
  <Words>15131</Words>
  <Characters>71876</Characters>
  <Application>Microsoft Office Word</Application>
  <DocSecurity>0</DocSecurity>
  <Lines>3422</Lines>
  <Paragraphs>3222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 Mazhar (2541133)</dc:creator>
  <cp:keywords/>
  <dc:description/>
  <cp:lastModifiedBy>Sidra Mazhar (2541133)</cp:lastModifiedBy>
  <cp:revision>13</cp:revision>
  <dcterms:created xsi:type="dcterms:W3CDTF">2026-08-22T21:06:00Z</dcterms:created>
  <dcterms:modified xsi:type="dcterms:W3CDTF">2026-08-22T21:22:00Z</dcterms:modified>
</cp:coreProperties>
</file>