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1D58C0" w14:textId="5B701339" w:rsidR="00A929BF" w:rsidRDefault="00353B10">
      <w:r>
        <w:rPr>
          <w:noProof/>
        </w:rPr>
        <w:drawing>
          <wp:anchor distT="0" distB="0" distL="114300" distR="114300" simplePos="0" relativeHeight="251658240" behindDoc="0" locked="0" layoutInCell="1" allowOverlap="1" wp14:anchorId="759E54AF" wp14:editId="20D6C67B">
            <wp:simplePos x="0" y="0"/>
            <wp:positionH relativeFrom="margin">
              <wp:posOffset>-518160</wp:posOffset>
            </wp:positionH>
            <wp:positionV relativeFrom="margin">
              <wp:posOffset>-632460</wp:posOffset>
            </wp:positionV>
            <wp:extent cx="2653030" cy="1792985"/>
            <wp:effectExtent l="0" t="0" r="0" b="0"/>
            <wp:wrapSquare wrapText="bothSides"/>
            <wp:docPr id="2028235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235271" name="Picture 202823527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53030" cy="1792985"/>
                    </a:xfrm>
                    <a:prstGeom prst="rect">
                      <a:avLst/>
                    </a:prstGeom>
                  </pic:spPr>
                </pic:pic>
              </a:graphicData>
            </a:graphic>
          </wp:anchor>
        </w:drawing>
      </w:r>
    </w:p>
    <w:p w14:paraId="0C7949F9" w14:textId="77777777" w:rsidR="00353B10" w:rsidRDefault="00353B10"/>
    <w:p w14:paraId="34661C16" w14:textId="77777777" w:rsidR="00353B10" w:rsidRDefault="00353B10"/>
    <w:p w14:paraId="3E1004B1" w14:textId="77777777" w:rsidR="00353B10" w:rsidRDefault="00353B10"/>
    <w:p w14:paraId="5AD3B2FD" w14:textId="77777777" w:rsidR="00353B10" w:rsidRDefault="00353B10"/>
    <w:p w14:paraId="714C4C77" w14:textId="77777777" w:rsidR="00353B10" w:rsidRDefault="00353B10"/>
    <w:p w14:paraId="06AA78CC" w14:textId="77777777" w:rsidR="00353B10" w:rsidRDefault="00353B10"/>
    <w:p w14:paraId="063BA1A4" w14:textId="77777777" w:rsidR="00353B10" w:rsidRPr="00353B10" w:rsidRDefault="00353B10">
      <w:pPr>
        <w:rPr>
          <w:rFonts w:ascii="Arial" w:hAnsi="Arial" w:cs="Arial"/>
        </w:rPr>
      </w:pPr>
    </w:p>
    <w:p w14:paraId="7E263CA3" w14:textId="144A60FF" w:rsidR="00353B10" w:rsidRPr="00353B10" w:rsidRDefault="00353B10">
      <w:pPr>
        <w:rPr>
          <w:rFonts w:ascii="Arial" w:hAnsi="Arial" w:cs="Arial"/>
        </w:rPr>
      </w:pPr>
      <w:r w:rsidRPr="00353B10">
        <w:rPr>
          <w:rFonts w:ascii="Arial" w:hAnsi="Arial" w:cs="Arial"/>
        </w:rPr>
        <w:t>STUDENT NAME:</w:t>
      </w:r>
      <w:r w:rsidR="003137D2">
        <w:rPr>
          <w:rFonts w:ascii="Arial" w:hAnsi="Arial" w:cs="Arial"/>
        </w:rPr>
        <w:t xml:space="preserve"> Adrian </w:t>
      </w:r>
      <w:proofErr w:type="spellStart"/>
      <w:r w:rsidR="003137D2">
        <w:rPr>
          <w:rFonts w:ascii="Arial" w:hAnsi="Arial" w:cs="Arial"/>
        </w:rPr>
        <w:t>Merisan</w:t>
      </w:r>
      <w:proofErr w:type="spellEnd"/>
    </w:p>
    <w:p w14:paraId="536A91BD" w14:textId="14415BE3" w:rsidR="00353B10" w:rsidRDefault="00353B10">
      <w:pPr>
        <w:rPr>
          <w:rFonts w:ascii="Arial" w:hAnsi="Arial" w:cs="Arial"/>
        </w:rPr>
      </w:pPr>
      <w:r w:rsidRPr="00353B10">
        <w:rPr>
          <w:rFonts w:ascii="Arial" w:hAnsi="Arial" w:cs="Arial"/>
        </w:rPr>
        <w:t>STUDENT ID:</w:t>
      </w:r>
      <w:r w:rsidR="003137D2">
        <w:rPr>
          <w:rFonts w:ascii="Arial" w:hAnsi="Arial" w:cs="Arial"/>
        </w:rPr>
        <w:t xml:space="preserve"> 2226309</w:t>
      </w:r>
    </w:p>
    <w:p w14:paraId="2A6ED68C" w14:textId="77777777" w:rsidR="001E03E8" w:rsidRPr="00353B10" w:rsidRDefault="001E03E8">
      <w:pPr>
        <w:rPr>
          <w:rFonts w:ascii="Arial" w:hAnsi="Arial" w:cs="Arial"/>
        </w:rPr>
      </w:pPr>
      <w:bookmarkStart w:id="0" w:name="_GoBack"/>
      <w:bookmarkEnd w:id="0"/>
    </w:p>
    <w:p w14:paraId="297EACE8" w14:textId="77777777" w:rsidR="00353B10" w:rsidRPr="00353B10" w:rsidRDefault="00353B10">
      <w:pPr>
        <w:rPr>
          <w:rFonts w:ascii="Arial" w:hAnsi="Arial" w:cs="Arial"/>
        </w:rPr>
      </w:pPr>
    </w:p>
    <w:p w14:paraId="7F9CEA56" w14:textId="77777777" w:rsidR="00353B10" w:rsidRPr="00353B10" w:rsidRDefault="00353B10">
      <w:pPr>
        <w:rPr>
          <w:rFonts w:ascii="Arial" w:hAnsi="Arial" w:cs="Arial"/>
        </w:rPr>
      </w:pPr>
    </w:p>
    <w:p w14:paraId="6BD3FC18" w14:textId="77777777" w:rsidR="00353B10" w:rsidRPr="00353B10" w:rsidRDefault="00353B10">
      <w:pPr>
        <w:rPr>
          <w:rFonts w:ascii="Arial" w:hAnsi="Arial" w:cs="Arial"/>
        </w:rPr>
      </w:pPr>
    </w:p>
    <w:p w14:paraId="115910B2" w14:textId="77777777" w:rsidR="00353B10" w:rsidRPr="00353B10" w:rsidRDefault="00353B10">
      <w:pPr>
        <w:rPr>
          <w:rFonts w:ascii="Arial" w:hAnsi="Arial" w:cs="Arial"/>
        </w:rPr>
      </w:pPr>
    </w:p>
    <w:p w14:paraId="1F74D13A" w14:textId="60997C33" w:rsidR="00353B10" w:rsidRPr="00353B10" w:rsidRDefault="00353B10" w:rsidP="00353B10">
      <w:pPr>
        <w:jc w:val="center"/>
        <w:rPr>
          <w:rFonts w:ascii="Arial" w:hAnsi="Arial" w:cs="Arial"/>
          <w:b/>
          <w:bCs/>
        </w:rPr>
      </w:pPr>
      <w:r w:rsidRPr="00353B10">
        <w:rPr>
          <w:rFonts w:ascii="Arial" w:hAnsi="Arial" w:cs="Arial"/>
          <w:b/>
          <w:bCs/>
        </w:rPr>
        <w:t>BA (HONS) BUSINESS MANAGEMENT</w:t>
      </w:r>
    </w:p>
    <w:p w14:paraId="77DBC49B" w14:textId="77777777" w:rsidR="00353B10" w:rsidRPr="00353B10" w:rsidRDefault="00353B10">
      <w:pPr>
        <w:rPr>
          <w:rFonts w:ascii="Arial" w:hAnsi="Arial" w:cs="Arial"/>
        </w:rPr>
      </w:pPr>
    </w:p>
    <w:p w14:paraId="6F03EAE3" w14:textId="106FD546" w:rsidR="00353B10" w:rsidRPr="00353B10" w:rsidRDefault="00353B10" w:rsidP="00353B10">
      <w:pPr>
        <w:pStyle w:val="Quote"/>
        <w:rPr>
          <w:rStyle w:val="Strong"/>
        </w:rPr>
      </w:pPr>
      <w:r w:rsidRPr="00353B10">
        <w:rPr>
          <w:rStyle w:val="Strong"/>
        </w:rPr>
        <w:t>MODULE CODE: LCBB4013</w:t>
      </w:r>
    </w:p>
    <w:p w14:paraId="579DAB05" w14:textId="725EADCF" w:rsidR="00353B10" w:rsidRPr="00353B10" w:rsidRDefault="00353B10" w:rsidP="00353B10">
      <w:pPr>
        <w:pStyle w:val="Quote"/>
        <w:rPr>
          <w:rStyle w:val="Strong"/>
        </w:rPr>
      </w:pPr>
      <w:r w:rsidRPr="00353B10">
        <w:rPr>
          <w:rStyle w:val="Strong"/>
        </w:rPr>
        <w:t xml:space="preserve">MODULE: STAKEHOLDER ENGAGEMENT </w:t>
      </w:r>
    </w:p>
    <w:p w14:paraId="30BDF137" w14:textId="4B6BFC6F" w:rsidR="00353B10" w:rsidRPr="00353B10" w:rsidRDefault="00353B10" w:rsidP="00353B10">
      <w:pPr>
        <w:pStyle w:val="Quote"/>
        <w:rPr>
          <w:rStyle w:val="Strong"/>
        </w:rPr>
      </w:pPr>
      <w:r w:rsidRPr="00353B10">
        <w:rPr>
          <w:rStyle w:val="Strong"/>
        </w:rPr>
        <w:t xml:space="preserve">WORDS COUNT: 3000 </w:t>
      </w:r>
    </w:p>
    <w:p w14:paraId="087C0E27" w14:textId="6BA09F40" w:rsidR="00353B10" w:rsidRPr="00353B10" w:rsidRDefault="00353B10" w:rsidP="00353B10">
      <w:pPr>
        <w:pStyle w:val="Quote"/>
        <w:rPr>
          <w:rStyle w:val="Strong"/>
        </w:rPr>
      </w:pPr>
      <w:r>
        <w:rPr>
          <w:rStyle w:val="Strong"/>
        </w:rPr>
        <w:t xml:space="preserve">TYPE ASSESMENT: PORTFOLIO </w:t>
      </w:r>
    </w:p>
    <w:p w14:paraId="61F0B7BE" w14:textId="77777777" w:rsidR="00353B10" w:rsidRPr="00353B10" w:rsidRDefault="00353B10">
      <w:pPr>
        <w:rPr>
          <w:rFonts w:ascii="Arial" w:hAnsi="Arial" w:cs="Arial"/>
        </w:rPr>
      </w:pPr>
    </w:p>
    <w:p w14:paraId="44AAA419" w14:textId="77777777" w:rsidR="00353B10" w:rsidRPr="00353B10" w:rsidRDefault="00353B10">
      <w:pPr>
        <w:rPr>
          <w:rFonts w:ascii="Arial" w:hAnsi="Arial" w:cs="Arial"/>
        </w:rPr>
      </w:pPr>
    </w:p>
    <w:p w14:paraId="29FE1294" w14:textId="77777777" w:rsidR="00353B10" w:rsidRDefault="00353B10"/>
    <w:p w14:paraId="2004A325" w14:textId="77777777" w:rsidR="00353B10" w:rsidRDefault="00353B10"/>
    <w:p w14:paraId="530B0986" w14:textId="77777777" w:rsidR="00353B10" w:rsidRDefault="00353B10"/>
    <w:p w14:paraId="6CF621BD" w14:textId="77777777" w:rsidR="00353B10" w:rsidRDefault="00353B10"/>
    <w:p w14:paraId="7E445FAA" w14:textId="77777777" w:rsidR="00353B10" w:rsidRDefault="00353B10"/>
    <w:p w14:paraId="2F1E0215" w14:textId="77777777" w:rsidR="00353B10" w:rsidRDefault="00353B10"/>
    <w:p w14:paraId="6F8AD389" w14:textId="77777777" w:rsidR="00353B10" w:rsidRDefault="00353B10"/>
    <w:p w14:paraId="6EB53DB0" w14:textId="77777777" w:rsidR="00353B10" w:rsidRDefault="00353B10"/>
    <w:sdt>
      <w:sdtPr>
        <w:rPr>
          <w:rFonts w:asciiTheme="minorHAnsi" w:eastAsiaTheme="minorHAnsi" w:hAnsiTheme="minorHAnsi" w:cstheme="minorBidi"/>
          <w:color w:val="auto"/>
          <w:kern w:val="2"/>
          <w:sz w:val="24"/>
          <w:szCs w:val="24"/>
          <w:lang w:eastAsia="en-US"/>
          <w14:ligatures w14:val="standardContextual"/>
        </w:rPr>
        <w:id w:val="-1630704018"/>
        <w:docPartObj>
          <w:docPartGallery w:val="Table of Contents"/>
          <w:docPartUnique/>
        </w:docPartObj>
      </w:sdtPr>
      <w:sdtEndPr>
        <w:rPr>
          <w:b/>
          <w:bCs/>
        </w:rPr>
      </w:sdtEndPr>
      <w:sdtContent>
        <w:p w14:paraId="706726BF" w14:textId="7947B7E5" w:rsidR="00E40163" w:rsidRDefault="00E40163">
          <w:pPr>
            <w:pStyle w:val="TOCHeading"/>
          </w:pPr>
          <w:r>
            <w:t>Table of Contents</w:t>
          </w:r>
        </w:p>
        <w:p w14:paraId="69BB903E" w14:textId="408B2E2B" w:rsidR="00E40163" w:rsidRDefault="00E40163">
          <w:pPr>
            <w:pStyle w:val="TOC2"/>
            <w:tabs>
              <w:tab w:val="right" w:leader="dot" w:pos="9016"/>
            </w:tabs>
            <w:rPr>
              <w:noProof/>
            </w:rPr>
          </w:pPr>
          <w:r>
            <w:fldChar w:fldCharType="begin"/>
          </w:r>
          <w:r>
            <w:instrText xml:space="preserve"> TOC \o "1-3" \h \z \u </w:instrText>
          </w:r>
          <w:r>
            <w:fldChar w:fldCharType="separate"/>
          </w:r>
          <w:hyperlink w:anchor="_Toc224833142" w:history="1">
            <w:r w:rsidRPr="00751C19">
              <w:rPr>
                <w:rStyle w:val="Hyperlink"/>
                <w:noProof/>
              </w:rPr>
              <w:t>Element 1: Introduction</w:t>
            </w:r>
            <w:r>
              <w:rPr>
                <w:noProof/>
                <w:webHidden/>
              </w:rPr>
              <w:tab/>
            </w:r>
            <w:r>
              <w:rPr>
                <w:noProof/>
                <w:webHidden/>
              </w:rPr>
              <w:fldChar w:fldCharType="begin"/>
            </w:r>
            <w:r>
              <w:rPr>
                <w:noProof/>
                <w:webHidden/>
              </w:rPr>
              <w:instrText xml:space="preserve"> PAGEREF _Toc224833142 \h </w:instrText>
            </w:r>
            <w:r>
              <w:rPr>
                <w:noProof/>
                <w:webHidden/>
              </w:rPr>
            </w:r>
            <w:r>
              <w:rPr>
                <w:noProof/>
                <w:webHidden/>
              </w:rPr>
              <w:fldChar w:fldCharType="separate"/>
            </w:r>
            <w:r>
              <w:rPr>
                <w:noProof/>
                <w:webHidden/>
              </w:rPr>
              <w:t>3</w:t>
            </w:r>
            <w:r>
              <w:rPr>
                <w:noProof/>
                <w:webHidden/>
              </w:rPr>
              <w:fldChar w:fldCharType="end"/>
            </w:r>
          </w:hyperlink>
        </w:p>
        <w:p w14:paraId="5B997CC1" w14:textId="0C9FD324" w:rsidR="00E40163" w:rsidRDefault="007E2207">
          <w:pPr>
            <w:pStyle w:val="TOC2"/>
            <w:tabs>
              <w:tab w:val="right" w:leader="dot" w:pos="9016"/>
            </w:tabs>
            <w:rPr>
              <w:noProof/>
            </w:rPr>
          </w:pPr>
          <w:hyperlink w:anchor="_Toc224833143" w:history="1">
            <w:r w:rsidR="00E40163" w:rsidRPr="00751C19">
              <w:rPr>
                <w:rStyle w:val="Hyperlink"/>
                <w:noProof/>
              </w:rPr>
              <w:t>Element 2: Depth of Analysis and Application – Stakeholder Engagement Strategies</w:t>
            </w:r>
            <w:r w:rsidR="00E40163">
              <w:rPr>
                <w:noProof/>
                <w:webHidden/>
              </w:rPr>
              <w:tab/>
            </w:r>
            <w:r w:rsidR="00E40163">
              <w:rPr>
                <w:noProof/>
                <w:webHidden/>
              </w:rPr>
              <w:fldChar w:fldCharType="begin"/>
            </w:r>
            <w:r w:rsidR="00E40163">
              <w:rPr>
                <w:noProof/>
                <w:webHidden/>
              </w:rPr>
              <w:instrText xml:space="preserve"> PAGEREF _Toc224833143 \h </w:instrText>
            </w:r>
            <w:r w:rsidR="00E40163">
              <w:rPr>
                <w:noProof/>
                <w:webHidden/>
              </w:rPr>
            </w:r>
            <w:r w:rsidR="00E40163">
              <w:rPr>
                <w:noProof/>
                <w:webHidden/>
              </w:rPr>
              <w:fldChar w:fldCharType="separate"/>
            </w:r>
            <w:r w:rsidR="00E40163">
              <w:rPr>
                <w:noProof/>
                <w:webHidden/>
              </w:rPr>
              <w:t>4</w:t>
            </w:r>
            <w:r w:rsidR="00E40163">
              <w:rPr>
                <w:noProof/>
                <w:webHidden/>
              </w:rPr>
              <w:fldChar w:fldCharType="end"/>
            </w:r>
          </w:hyperlink>
        </w:p>
        <w:p w14:paraId="2A53D6F9" w14:textId="751E210A" w:rsidR="00E40163" w:rsidRDefault="007E2207">
          <w:pPr>
            <w:pStyle w:val="TOC2"/>
            <w:tabs>
              <w:tab w:val="right" w:leader="dot" w:pos="9016"/>
            </w:tabs>
            <w:rPr>
              <w:noProof/>
            </w:rPr>
          </w:pPr>
          <w:hyperlink w:anchor="_Toc224833144" w:history="1">
            <w:r w:rsidR="00E40163" w:rsidRPr="00751C19">
              <w:rPr>
                <w:rStyle w:val="Hyperlink"/>
                <w:noProof/>
              </w:rPr>
              <w:t>Element 3: Ethical Consideration and Awareness, and Reflective Insight</w:t>
            </w:r>
            <w:r w:rsidR="00E40163">
              <w:rPr>
                <w:noProof/>
                <w:webHidden/>
              </w:rPr>
              <w:tab/>
            </w:r>
            <w:r w:rsidR="00E40163">
              <w:rPr>
                <w:noProof/>
                <w:webHidden/>
              </w:rPr>
              <w:fldChar w:fldCharType="begin"/>
            </w:r>
            <w:r w:rsidR="00E40163">
              <w:rPr>
                <w:noProof/>
                <w:webHidden/>
              </w:rPr>
              <w:instrText xml:space="preserve"> PAGEREF _Toc224833144 \h </w:instrText>
            </w:r>
            <w:r w:rsidR="00E40163">
              <w:rPr>
                <w:noProof/>
                <w:webHidden/>
              </w:rPr>
            </w:r>
            <w:r w:rsidR="00E40163">
              <w:rPr>
                <w:noProof/>
                <w:webHidden/>
              </w:rPr>
              <w:fldChar w:fldCharType="separate"/>
            </w:r>
            <w:r w:rsidR="00E40163">
              <w:rPr>
                <w:noProof/>
                <w:webHidden/>
              </w:rPr>
              <w:t>9</w:t>
            </w:r>
            <w:r w:rsidR="00E40163">
              <w:rPr>
                <w:noProof/>
                <w:webHidden/>
              </w:rPr>
              <w:fldChar w:fldCharType="end"/>
            </w:r>
          </w:hyperlink>
        </w:p>
        <w:p w14:paraId="6D6AE6A5" w14:textId="681951DE" w:rsidR="00E40163" w:rsidRDefault="007E2207">
          <w:pPr>
            <w:pStyle w:val="TOC2"/>
            <w:tabs>
              <w:tab w:val="right" w:leader="dot" w:pos="9016"/>
            </w:tabs>
            <w:rPr>
              <w:noProof/>
            </w:rPr>
          </w:pPr>
          <w:hyperlink w:anchor="_Toc224833145" w:history="1">
            <w:r w:rsidR="00E40163" w:rsidRPr="00751C19">
              <w:rPr>
                <w:rStyle w:val="Hyperlink"/>
                <w:noProof/>
              </w:rPr>
              <w:t>Element 4: Conclusion and Recommendations</w:t>
            </w:r>
            <w:r w:rsidR="00E40163">
              <w:rPr>
                <w:noProof/>
                <w:webHidden/>
              </w:rPr>
              <w:tab/>
            </w:r>
            <w:r w:rsidR="00E40163">
              <w:rPr>
                <w:noProof/>
                <w:webHidden/>
              </w:rPr>
              <w:fldChar w:fldCharType="begin"/>
            </w:r>
            <w:r w:rsidR="00E40163">
              <w:rPr>
                <w:noProof/>
                <w:webHidden/>
              </w:rPr>
              <w:instrText xml:space="preserve"> PAGEREF _Toc224833145 \h </w:instrText>
            </w:r>
            <w:r w:rsidR="00E40163">
              <w:rPr>
                <w:noProof/>
                <w:webHidden/>
              </w:rPr>
            </w:r>
            <w:r w:rsidR="00E40163">
              <w:rPr>
                <w:noProof/>
                <w:webHidden/>
              </w:rPr>
              <w:fldChar w:fldCharType="separate"/>
            </w:r>
            <w:r w:rsidR="00E40163">
              <w:rPr>
                <w:noProof/>
                <w:webHidden/>
              </w:rPr>
              <w:t>13</w:t>
            </w:r>
            <w:r w:rsidR="00E40163">
              <w:rPr>
                <w:noProof/>
                <w:webHidden/>
              </w:rPr>
              <w:fldChar w:fldCharType="end"/>
            </w:r>
          </w:hyperlink>
        </w:p>
        <w:p w14:paraId="391F4021" w14:textId="34ECE7EE" w:rsidR="00E40163" w:rsidRDefault="007E2207">
          <w:pPr>
            <w:pStyle w:val="TOC2"/>
            <w:tabs>
              <w:tab w:val="right" w:leader="dot" w:pos="9016"/>
            </w:tabs>
            <w:rPr>
              <w:noProof/>
            </w:rPr>
          </w:pPr>
          <w:hyperlink w:anchor="_Toc224833146" w:history="1">
            <w:r w:rsidR="00E40163" w:rsidRPr="00751C19">
              <w:rPr>
                <w:rStyle w:val="Hyperlink"/>
                <w:noProof/>
              </w:rPr>
              <w:t>References (Harvard Style)</w:t>
            </w:r>
            <w:r w:rsidR="00E40163">
              <w:rPr>
                <w:noProof/>
                <w:webHidden/>
              </w:rPr>
              <w:tab/>
            </w:r>
            <w:r w:rsidR="00E40163">
              <w:rPr>
                <w:noProof/>
                <w:webHidden/>
              </w:rPr>
              <w:fldChar w:fldCharType="begin"/>
            </w:r>
            <w:r w:rsidR="00E40163">
              <w:rPr>
                <w:noProof/>
                <w:webHidden/>
              </w:rPr>
              <w:instrText xml:space="preserve"> PAGEREF _Toc224833146 \h </w:instrText>
            </w:r>
            <w:r w:rsidR="00E40163">
              <w:rPr>
                <w:noProof/>
                <w:webHidden/>
              </w:rPr>
            </w:r>
            <w:r w:rsidR="00E40163">
              <w:rPr>
                <w:noProof/>
                <w:webHidden/>
              </w:rPr>
              <w:fldChar w:fldCharType="separate"/>
            </w:r>
            <w:r w:rsidR="00E40163">
              <w:rPr>
                <w:noProof/>
                <w:webHidden/>
              </w:rPr>
              <w:t>15</w:t>
            </w:r>
            <w:r w:rsidR="00E40163">
              <w:rPr>
                <w:noProof/>
                <w:webHidden/>
              </w:rPr>
              <w:fldChar w:fldCharType="end"/>
            </w:r>
          </w:hyperlink>
        </w:p>
        <w:p w14:paraId="40466D97" w14:textId="7F8A5765" w:rsidR="00E40163" w:rsidRDefault="00E40163">
          <w:r>
            <w:rPr>
              <w:b/>
              <w:bCs/>
            </w:rPr>
            <w:fldChar w:fldCharType="end"/>
          </w:r>
        </w:p>
      </w:sdtContent>
    </w:sdt>
    <w:p w14:paraId="0BB435E6" w14:textId="77777777" w:rsidR="00353B10" w:rsidRDefault="00353B10"/>
    <w:p w14:paraId="41DDE454" w14:textId="77777777" w:rsidR="00353B10" w:rsidRDefault="00353B10"/>
    <w:p w14:paraId="5F1C81E0" w14:textId="77777777" w:rsidR="00353B10" w:rsidRDefault="00353B10"/>
    <w:p w14:paraId="582723FE" w14:textId="77777777" w:rsidR="00353B10" w:rsidRDefault="00353B10"/>
    <w:p w14:paraId="47A93B7F" w14:textId="77777777" w:rsidR="00353B10" w:rsidRDefault="00353B10"/>
    <w:p w14:paraId="68C3EDB3" w14:textId="77777777" w:rsidR="00353B10" w:rsidRDefault="00353B10"/>
    <w:p w14:paraId="1A68BF3B" w14:textId="77777777" w:rsidR="00353B10" w:rsidRDefault="00353B10"/>
    <w:p w14:paraId="3AB3A7CB" w14:textId="77777777" w:rsidR="00353B10" w:rsidRDefault="00353B10"/>
    <w:p w14:paraId="39753087" w14:textId="77777777" w:rsidR="00353B10" w:rsidRDefault="00353B10"/>
    <w:p w14:paraId="4CB550C7" w14:textId="77777777" w:rsidR="00353B10" w:rsidRDefault="00353B10"/>
    <w:p w14:paraId="17A85D74" w14:textId="77777777" w:rsidR="00353B10" w:rsidRDefault="00353B10"/>
    <w:p w14:paraId="325CFECA" w14:textId="77777777" w:rsidR="00353B10" w:rsidRDefault="00353B10"/>
    <w:p w14:paraId="15FCC0B5" w14:textId="77777777" w:rsidR="00353B10" w:rsidRDefault="00353B10"/>
    <w:p w14:paraId="01B87197" w14:textId="77777777" w:rsidR="00353B10" w:rsidRDefault="00353B10"/>
    <w:p w14:paraId="078E239D" w14:textId="77777777" w:rsidR="00353B10" w:rsidRDefault="00353B10"/>
    <w:p w14:paraId="50DABCD8" w14:textId="77777777" w:rsidR="00353B10" w:rsidRDefault="00353B10"/>
    <w:p w14:paraId="6BD2EE37" w14:textId="77777777" w:rsidR="00353B10" w:rsidRDefault="00353B10"/>
    <w:p w14:paraId="0C3E4D3D" w14:textId="77777777" w:rsidR="00353B10" w:rsidRDefault="00353B10"/>
    <w:p w14:paraId="6376266C" w14:textId="77777777" w:rsidR="007D7A64" w:rsidRDefault="007D7A64" w:rsidP="007D7A64"/>
    <w:p w14:paraId="3F4D5031" w14:textId="68B025D3" w:rsidR="007D7A64" w:rsidRPr="00E40163" w:rsidRDefault="007D7A64" w:rsidP="00E40163">
      <w:pPr>
        <w:jc w:val="center"/>
        <w:rPr>
          <w:rFonts w:ascii="Arial" w:hAnsi="Arial" w:cs="Arial"/>
          <w:sz w:val="36"/>
          <w:szCs w:val="36"/>
        </w:rPr>
      </w:pPr>
      <w:r w:rsidRPr="007D7A64">
        <w:rPr>
          <w:rFonts w:ascii="Arial" w:hAnsi="Arial" w:cs="Arial"/>
          <w:b/>
          <w:bCs/>
          <w:sz w:val="36"/>
          <w:szCs w:val="36"/>
        </w:rPr>
        <w:t>HS2 Curzon Street Station project in Birmingham</w:t>
      </w:r>
    </w:p>
    <w:p w14:paraId="537CBC85" w14:textId="4B553609" w:rsidR="007D7A64" w:rsidRDefault="00AD2FD3" w:rsidP="007D7A64">
      <w:r>
        <w:rPr>
          <w:noProof/>
        </w:rPr>
        <w:drawing>
          <wp:anchor distT="0" distB="0" distL="114300" distR="114300" simplePos="0" relativeHeight="251659264" behindDoc="0" locked="0" layoutInCell="1" allowOverlap="1" wp14:anchorId="242830D8" wp14:editId="1F84DA7C">
            <wp:simplePos x="0" y="0"/>
            <wp:positionH relativeFrom="margin">
              <wp:posOffset>2834640</wp:posOffset>
            </wp:positionH>
            <wp:positionV relativeFrom="margin">
              <wp:posOffset>416560</wp:posOffset>
            </wp:positionV>
            <wp:extent cx="3375660" cy="2250440"/>
            <wp:effectExtent l="0" t="0" r="0" b="0"/>
            <wp:wrapSquare wrapText="bothSides"/>
            <wp:docPr id="9511251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75660" cy="2250440"/>
                    </a:xfrm>
                    <a:prstGeom prst="rect">
                      <a:avLst/>
                    </a:prstGeom>
                    <a:noFill/>
                  </pic:spPr>
                </pic:pic>
              </a:graphicData>
            </a:graphic>
            <wp14:sizeRelH relativeFrom="margin">
              <wp14:pctWidth>0</wp14:pctWidth>
            </wp14:sizeRelH>
            <wp14:sizeRelV relativeFrom="margin">
              <wp14:pctHeight>0</wp14:pctHeight>
            </wp14:sizeRelV>
          </wp:anchor>
        </w:drawing>
      </w:r>
    </w:p>
    <w:p w14:paraId="2D67EA61" w14:textId="1D6874CA" w:rsidR="00AD2FD3" w:rsidRDefault="00AD2FD3" w:rsidP="007D7A64"/>
    <w:p w14:paraId="76D73B69" w14:textId="77777777" w:rsidR="00AD2FD3" w:rsidRDefault="00AD2FD3" w:rsidP="007D7A64"/>
    <w:p w14:paraId="5A07E486" w14:textId="77777777" w:rsidR="00AD2FD3" w:rsidRDefault="00AD2FD3" w:rsidP="007D7A64"/>
    <w:p w14:paraId="0D0A4950" w14:textId="77777777" w:rsidR="00AD2FD3" w:rsidRDefault="00AD2FD3" w:rsidP="007D7A64"/>
    <w:p w14:paraId="3FDC66A7" w14:textId="62859CDF" w:rsidR="00AD2FD3" w:rsidRDefault="00AD2FD3" w:rsidP="007D7A64"/>
    <w:p w14:paraId="7ADDECF6" w14:textId="77777777" w:rsidR="00AD2FD3" w:rsidRPr="007D7A64" w:rsidRDefault="00AD2FD3" w:rsidP="007D7A64"/>
    <w:p w14:paraId="140A3834" w14:textId="77777777" w:rsidR="007D7A64" w:rsidRPr="007D7A64" w:rsidRDefault="007D7A64" w:rsidP="00E40163">
      <w:pPr>
        <w:pStyle w:val="Heading2"/>
      </w:pPr>
      <w:bookmarkStart w:id="1" w:name="_Toc224833142"/>
      <w:r w:rsidRPr="007D7A64">
        <w:t>Element 1: Introduction</w:t>
      </w:r>
      <w:bookmarkEnd w:id="1"/>
    </w:p>
    <w:p w14:paraId="2474149C" w14:textId="2DB188F8" w:rsidR="00353B10" w:rsidRPr="002F1B1A" w:rsidRDefault="00861D87" w:rsidP="002F1B1A">
      <w:pPr>
        <w:spacing w:line="360" w:lineRule="auto"/>
        <w:jc w:val="both"/>
        <w:rPr>
          <w:rFonts w:ascii="Arial" w:hAnsi="Arial" w:cs="Arial"/>
        </w:rPr>
      </w:pPr>
      <w:r w:rsidRPr="00861D87">
        <w:rPr>
          <w:rFonts w:ascii="Arial" w:hAnsi="Arial" w:cs="Arial"/>
        </w:rPr>
        <w:t xml:space="preserve">Stakeholder management is the process of identifying, analysing and involving the affected individuals or groups that affect the project and to whom a project is applicable; however, stakeholder management is a vital part of project delivery (Freeman, 1984). Good stakeholder engagement will provide well-balanced stakeholder value, risk mitigation and </w:t>
      </w:r>
      <w:r w:rsidR="002F1B1A" w:rsidRPr="00861D87">
        <w:rPr>
          <w:rFonts w:ascii="Arial" w:hAnsi="Arial" w:cs="Arial"/>
        </w:rPr>
        <w:t>long-term</w:t>
      </w:r>
      <w:r w:rsidRPr="00861D87">
        <w:rPr>
          <w:rFonts w:ascii="Arial" w:hAnsi="Arial" w:cs="Arial"/>
        </w:rPr>
        <w:t xml:space="preserve"> benefit for stakeholders. At present levels of project management, </w:t>
      </w:r>
      <w:r w:rsidR="002F1B1A" w:rsidRPr="00861D87">
        <w:rPr>
          <w:rFonts w:ascii="Arial" w:hAnsi="Arial" w:cs="Arial"/>
        </w:rPr>
        <w:t>when</w:t>
      </w:r>
      <w:r w:rsidRPr="00861D87">
        <w:rPr>
          <w:rFonts w:ascii="Arial" w:hAnsi="Arial" w:cs="Arial"/>
        </w:rPr>
        <w:t xml:space="preserve"> doing a major infrastructure project, stakeholder engagement is not only a managerial activity, but also a matter of ethical responsibility, which demands transparency, inclusiveness and responsiveness (Bourne, 2015). Within local communities, stakeholder management is a crucial tool for encouraging trust, reducing conflict and increasing the social and economic benefit of project works. This portfolio takes up the concept of the HS2 Curzon Street Station development in Birmingham, a key UK rail project that forms part of HS2 rail infrastructure development across the United Kingdom. The project aims at ensuring an improved London-Birmingham railway system and connection to Birmingham city centre for a new high-speed rail terminus to be built in Birmingham. As a mega-government project, it involves substantial financial commitments as well as complicated planning and a wide range of </w:t>
      </w:r>
      <w:r w:rsidR="002F1B1A" w:rsidRPr="00861D87">
        <w:rPr>
          <w:rFonts w:ascii="Arial" w:hAnsi="Arial" w:cs="Arial"/>
        </w:rPr>
        <w:t>actors,</w:t>
      </w:r>
      <w:r w:rsidRPr="00861D87">
        <w:rPr>
          <w:rFonts w:ascii="Arial" w:hAnsi="Arial" w:cs="Arial"/>
        </w:rPr>
        <w:t xml:space="preserve"> the local population, business owners, government agencies, environmental organizations, and transport authorities. The two main reasons for the Curzon Street project are boosting regional economic growth, reducing </w:t>
      </w:r>
      <w:r w:rsidRPr="00861D87">
        <w:rPr>
          <w:rFonts w:ascii="Arial" w:hAnsi="Arial" w:cs="Arial"/>
        </w:rPr>
        <w:lastRenderedPageBreak/>
        <w:t>travel times and contributing to Birmingham’s regeneration. But the scale and effects of the undertaking also make it challenging to manage those stakeholders, specifically around environmental disruption, displacement and public accountability. And thus is an appropriate case study of stakeholder engagement strategies, conflict management, benefit realisation and ethics in action.</w:t>
      </w:r>
    </w:p>
    <w:p w14:paraId="1074F6D3" w14:textId="77777777" w:rsidR="00353B10" w:rsidRPr="002F1B1A" w:rsidRDefault="00353B10" w:rsidP="002F1B1A">
      <w:pPr>
        <w:spacing w:line="360" w:lineRule="auto"/>
        <w:jc w:val="both"/>
        <w:rPr>
          <w:rFonts w:ascii="Arial" w:hAnsi="Arial" w:cs="Arial"/>
        </w:rPr>
      </w:pPr>
    </w:p>
    <w:p w14:paraId="2A5808F9" w14:textId="77777777" w:rsidR="00861D87" w:rsidRPr="002F1B1A" w:rsidRDefault="00861D87" w:rsidP="002F1B1A">
      <w:pPr>
        <w:spacing w:line="360" w:lineRule="auto"/>
        <w:jc w:val="both"/>
        <w:rPr>
          <w:rFonts w:ascii="Arial" w:hAnsi="Arial" w:cs="Arial"/>
        </w:rPr>
      </w:pPr>
    </w:p>
    <w:p w14:paraId="60809A60" w14:textId="77777777" w:rsidR="00861D87" w:rsidRPr="002F1B1A" w:rsidRDefault="00861D87" w:rsidP="002F1B1A">
      <w:pPr>
        <w:spacing w:line="360" w:lineRule="auto"/>
        <w:rPr>
          <w:rFonts w:ascii="Arial" w:hAnsi="Arial" w:cs="Arial"/>
        </w:rPr>
      </w:pPr>
    </w:p>
    <w:p w14:paraId="1F320B07" w14:textId="77777777" w:rsidR="00861D87" w:rsidRPr="002F1B1A" w:rsidRDefault="00861D87" w:rsidP="002F1B1A">
      <w:pPr>
        <w:spacing w:line="360" w:lineRule="auto"/>
        <w:rPr>
          <w:rFonts w:ascii="Arial" w:hAnsi="Arial" w:cs="Arial"/>
        </w:rPr>
      </w:pPr>
    </w:p>
    <w:p w14:paraId="78A9D7D2" w14:textId="77777777" w:rsidR="00992FB6" w:rsidRPr="00992FB6" w:rsidRDefault="00992FB6" w:rsidP="00E40163">
      <w:pPr>
        <w:pStyle w:val="Heading2"/>
      </w:pPr>
      <w:bookmarkStart w:id="2" w:name="_Toc224833143"/>
      <w:r w:rsidRPr="00992FB6">
        <w:t>Element 2: Depth of Analysis and Application – Stakeholder Engagement Strategies</w:t>
      </w:r>
      <w:bookmarkEnd w:id="2"/>
    </w:p>
    <w:p w14:paraId="2E9D7683" w14:textId="77777777" w:rsidR="00861D87" w:rsidRDefault="00861D87" w:rsidP="002F1B1A">
      <w:pPr>
        <w:spacing w:line="360" w:lineRule="auto"/>
        <w:jc w:val="both"/>
        <w:rPr>
          <w:rFonts w:ascii="Arial" w:hAnsi="Arial" w:cs="Arial"/>
        </w:rPr>
      </w:pPr>
      <w:r w:rsidRPr="00861D87">
        <w:rPr>
          <w:rFonts w:ascii="Arial" w:hAnsi="Arial" w:cs="Arial"/>
        </w:rPr>
        <w:t>Effective stakeholder management is key to navigate complex infrastructure projects, as well as the HS2 Curzon Street Station development in Birmingham. Stakeholders are defined as those individuals or groups who can affect or are affected by a project’s outcomes (Freeman, 1984). The size, public scope, visibility, and socio-economic impact of HS2 demand a rigorous approach to stakeholder management, in prioritising stakeholder identification and involvement so that competing interests are reconciled and the project can be carried out in an optimal way.</w:t>
      </w:r>
    </w:p>
    <w:p w14:paraId="4EC331F7" w14:textId="77777777" w:rsidR="00E40163" w:rsidRPr="00861D87" w:rsidRDefault="00E40163" w:rsidP="002F1B1A">
      <w:pPr>
        <w:spacing w:line="360" w:lineRule="auto"/>
        <w:jc w:val="both"/>
        <w:rPr>
          <w:rFonts w:ascii="Arial" w:hAnsi="Arial" w:cs="Arial"/>
        </w:rPr>
      </w:pPr>
    </w:p>
    <w:p w14:paraId="694A8019" w14:textId="3160B7FC" w:rsidR="00E40163" w:rsidRDefault="00861D87" w:rsidP="002F1B1A">
      <w:pPr>
        <w:spacing w:line="360" w:lineRule="auto"/>
        <w:rPr>
          <w:rFonts w:ascii="Arial" w:hAnsi="Arial" w:cs="Arial"/>
        </w:rPr>
      </w:pPr>
      <w:r w:rsidRPr="00861D87">
        <w:rPr>
          <w:rFonts w:ascii="Arial" w:hAnsi="Arial" w:cs="Arial"/>
        </w:rPr>
        <w:t>Stakeholder Identification and Classification</w:t>
      </w:r>
    </w:p>
    <w:p w14:paraId="69D84E0A" w14:textId="561F4B27" w:rsidR="00861D87" w:rsidRDefault="00E40163" w:rsidP="002F1B1A">
      <w:pPr>
        <w:spacing w:line="360" w:lineRule="auto"/>
        <w:rPr>
          <w:rFonts w:ascii="Arial" w:hAnsi="Arial" w:cs="Arial"/>
        </w:rPr>
      </w:pPr>
      <w:r>
        <w:rPr>
          <w:rFonts w:ascii="Arial" w:hAnsi="Arial" w:cs="Arial"/>
          <w:noProof/>
        </w:rPr>
        <w:lastRenderedPageBreak/>
        <w:drawing>
          <wp:inline distT="0" distB="0" distL="0" distR="0" wp14:anchorId="605E1EDA" wp14:editId="28DED583">
            <wp:extent cx="3726180" cy="2484120"/>
            <wp:effectExtent l="0" t="0" r="7620" b="0"/>
            <wp:docPr id="7017676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26180" cy="2484120"/>
                    </a:xfrm>
                    <a:prstGeom prst="rect">
                      <a:avLst/>
                    </a:prstGeom>
                    <a:noFill/>
                  </pic:spPr>
                </pic:pic>
              </a:graphicData>
            </a:graphic>
          </wp:inline>
        </w:drawing>
      </w:r>
      <w:r w:rsidR="00861D87" w:rsidRPr="00861D87">
        <w:rPr>
          <w:rFonts w:ascii="Arial" w:hAnsi="Arial" w:cs="Arial"/>
        </w:rPr>
        <w:br/>
        <w:t>The Power–Interest Grid (Mendelow, 1991) is among the most often used frameworks to analyse stakeholders, where stakeholders are classified according to their level of power in the project and their interest. This model aids in the determination of suitable engagement strategies. The main stakeholders involved in the Curzon Street project can be grouped as such:</w:t>
      </w:r>
    </w:p>
    <w:p w14:paraId="77106DE3" w14:textId="77777777" w:rsidR="002F1B1A" w:rsidRPr="00861D87" w:rsidRDefault="002F1B1A" w:rsidP="002F1B1A">
      <w:pPr>
        <w:spacing w:line="360" w:lineRule="auto"/>
        <w:jc w:val="center"/>
        <w:rPr>
          <w:rFonts w:ascii="Arial" w:hAnsi="Arial" w:cs="Arial"/>
        </w:rPr>
      </w:pPr>
    </w:p>
    <w:tbl>
      <w:tblPr>
        <w:tblStyle w:val="TableGrid"/>
        <w:tblW w:w="0" w:type="auto"/>
        <w:tblLook w:val="04A0" w:firstRow="1" w:lastRow="0" w:firstColumn="1" w:lastColumn="0" w:noHBand="0" w:noVBand="1"/>
      </w:tblPr>
      <w:tblGrid>
        <w:gridCol w:w="9016"/>
      </w:tblGrid>
      <w:tr w:rsidR="002F1B1A" w:rsidRPr="002F1B1A" w14:paraId="1221E07E" w14:textId="77777777" w:rsidTr="002F1B1A">
        <w:tc>
          <w:tcPr>
            <w:tcW w:w="9016" w:type="dxa"/>
          </w:tcPr>
          <w:p w14:paraId="45F2E401" w14:textId="77777777" w:rsidR="002F1B1A" w:rsidRPr="002F1B1A" w:rsidRDefault="002F1B1A" w:rsidP="00103191">
            <w:pPr>
              <w:spacing w:line="360" w:lineRule="auto"/>
              <w:jc w:val="center"/>
              <w:rPr>
                <w:rFonts w:ascii="Arial" w:hAnsi="Arial" w:cs="Arial"/>
              </w:rPr>
            </w:pPr>
            <w:r w:rsidRPr="002F1B1A">
              <w:rPr>
                <w:rFonts w:ascii="Arial" w:hAnsi="Arial" w:cs="Arial"/>
              </w:rPr>
              <w:t>High Power – High Interest (Key Players)</w:t>
            </w:r>
            <w:r w:rsidRPr="002F1B1A">
              <w:rPr>
                <w:rFonts w:ascii="Arial" w:hAnsi="Arial" w:cs="Arial"/>
              </w:rPr>
              <w:br/>
              <w:t>UK Government (Department for Transport)</w:t>
            </w:r>
            <w:r w:rsidRPr="002F1B1A">
              <w:rPr>
                <w:rFonts w:ascii="Arial" w:hAnsi="Arial" w:cs="Arial"/>
              </w:rPr>
              <w:br/>
              <w:t>HS2 Ltd (project delivery organisation)</w:t>
            </w:r>
            <w:r w:rsidRPr="002F1B1A">
              <w:rPr>
                <w:rFonts w:ascii="Arial" w:hAnsi="Arial" w:cs="Arial"/>
              </w:rPr>
              <w:br/>
              <w:t>Birmingham City Council</w:t>
            </w:r>
          </w:p>
        </w:tc>
      </w:tr>
    </w:tbl>
    <w:p w14:paraId="2A36B64B" w14:textId="6166084B" w:rsidR="00861D87" w:rsidRDefault="00861D87" w:rsidP="002F1B1A">
      <w:pPr>
        <w:spacing w:line="360" w:lineRule="auto"/>
        <w:jc w:val="both"/>
        <w:rPr>
          <w:rFonts w:ascii="Arial" w:hAnsi="Arial" w:cs="Arial"/>
        </w:rPr>
      </w:pPr>
      <w:r w:rsidRPr="002F1B1A">
        <w:rPr>
          <w:rFonts w:ascii="Arial" w:hAnsi="Arial" w:cs="Arial"/>
        </w:rPr>
        <w:br/>
        <w:t>These stakeholders are key decision makers, with real impact on project funding, planning approvals, and execution. They exercise strategic oversight, strategic direction, and alignment with national and regional development. As they have so much interest and power, they need to be engaged continuously with the use of formal governance structures and regular reporting and strategic meetings.</w:t>
      </w:r>
    </w:p>
    <w:tbl>
      <w:tblPr>
        <w:tblStyle w:val="TableGrid"/>
        <w:tblW w:w="0" w:type="auto"/>
        <w:tblLook w:val="04A0" w:firstRow="1" w:lastRow="0" w:firstColumn="1" w:lastColumn="0" w:noHBand="0" w:noVBand="1"/>
      </w:tblPr>
      <w:tblGrid>
        <w:gridCol w:w="9016"/>
      </w:tblGrid>
      <w:tr w:rsidR="002F1B1A" w:rsidRPr="002F1B1A" w14:paraId="20508A1A" w14:textId="77777777">
        <w:tc>
          <w:tcPr>
            <w:tcW w:w="9016" w:type="dxa"/>
          </w:tcPr>
          <w:p w14:paraId="5C616AF1" w14:textId="77777777" w:rsidR="002F1B1A" w:rsidRPr="002F1B1A" w:rsidRDefault="002F1B1A" w:rsidP="00FA626D">
            <w:pPr>
              <w:spacing w:line="360" w:lineRule="auto"/>
              <w:jc w:val="center"/>
              <w:rPr>
                <w:rFonts w:ascii="Arial" w:hAnsi="Arial" w:cs="Arial"/>
              </w:rPr>
            </w:pPr>
            <w:r w:rsidRPr="002F1B1A">
              <w:rPr>
                <w:rFonts w:ascii="Arial" w:hAnsi="Arial" w:cs="Arial"/>
              </w:rPr>
              <w:t>High Power – Low Interest (Keep Satisfied)</w:t>
            </w:r>
            <w:r w:rsidRPr="002F1B1A">
              <w:rPr>
                <w:rFonts w:ascii="Arial" w:hAnsi="Arial" w:cs="Arial"/>
              </w:rPr>
              <w:br/>
              <w:t xml:space="preserve"> Regulatory agencies (e.g., environmental agencies)</w:t>
            </w:r>
            <w:r w:rsidRPr="002F1B1A">
              <w:rPr>
                <w:rFonts w:ascii="Arial" w:hAnsi="Arial" w:cs="Arial"/>
              </w:rPr>
              <w:br/>
              <w:t xml:space="preserve"> Large investors and contractors</w:t>
            </w:r>
          </w:p>
        </w:tc>
      </w:tr>
    </w:tbl>
    <w:p w14:paraId="0E5A28C2" w14:textId="77777777" w:rsidR="002F1B1A" w:rsidRDefault="002F1B1A" w:rsidP="002F1B1A">
      <w:pPr>
        <w:spacing w:line="360" w:lineRule="auto"/>
        <w:rPr>
          <w:rFonts w:ascii="Arial" w:hAnsi="Arial" w:cs="Arial"/>
        </w:rPr>
      </w:pPr>
    </w:p>
    <w:p w14:paraId="0FFC1ADD" w14:textId="42C15802" w:rsidR="00861D87" w:rsidRPr="002F1B1A" w:rsidRDefault="00861D87" w:rsidP="002F1B1A">
      <w:pPr>
        <w:spacing w:line="360" w:lineRule="auto"/>
        <w:rPr>
          <w:rFonts w:ascii="Arial" w:hAnsi="Arial" w:cs="Arial"/>
        </w:rPr>
      </w:pPr>
      <w:r w:rsidRPr="002F1B1A">
        <w:rPr>
          <w:rFonts w:ascii="Arial" w:hAnsi="Arial" w:cs="Arial"/>
        </w:rPr>
        <w:br/>
        <w:t xml:space="preserve">Though they may not be </w:t>
      </w:r>
      <w:r w:rsidR="00754C48" w:rsidRPr="002F1B1A">
        <w:rPr>
          <w:rFonts w:ascii="Arial" w:hAnsi="Arial" w:cs="Arial"/>
        </w:rPr>
        <w:t>involved</w:t>
      </w:r>
      <w:r w:rsidRPr="002F1B1A">
        <w:rPr>
          <w:rFonts w:ascii="Arial" w:hAnsi="Arial" w:cs="Arial"/>
        </w:rPr>
        <w:t xml:space="preserve"> day-to-day, these stakeholders hold regulatory or </w:t>
      </w:r>
      <w:r w:rsidRPr="002F1B1A">
        <w:rPr>
          <w:rFonts w:ascii="Arial" w:hAnsi="Arial" w:cs="Arial"/>
        </w:rPr>
        <w:lastRenderedPageBreak/>
        <w:t>financial power that can heavily affect project progression. To that end, engagement mechanisms typically consist of compliance reporting, regular consulting, and formal documents to assure the appropriate obligations are followed.</w:t>
      </w:r>
    </w:p>
    <w:tbl>
      <w:tblPr>
        <w:tblStyle w:val="TableGrid"/>
        <w:tblW w:w="0" w:type="auto"/>
        <w:tblLook w:val="04A0" w:firstRow="1" w:lastRow="0" w:firstColumn="1" w:lastColumn="0" w:noHBand="0" w:noVBand="1"/>
      </w:tblPr>
      <w:tblGrid>
        <w:gridCol w:w="9016"/>
      </w:tblGrid>
      <w:tr w:rsidR="002F1B1A" w:rsidRPr="002F1B1A" w14:paraId="18173FA7" w14:textId="77777777" w:rsidTr="002F1B1A">
        <w:tc>
          <w:tcPr>
            <w:tcW w:w="9016" w:type="dxa"/>
          </w:tcPr>
          <w:p w14:paraId="31334CD4" w14:textId="77777777" w:rsidR="002F1B1A" w:rsidRPr="002F1B1A" w:rsidRDefault="002F1B1A" w:rsidP="00E77870">
            <w:pPr>
              <w:spacing w:line="360" w:lineRule="auto"/>
              <w:jc w:val="center"/>
              <w:rPr>
                <w:rFonts w:ascii="Arial" w:hAnsi="Arial" w:cs="Arial"/>
              </w:rPr>
            </w:pPr>
            <w:r w:rsidRPr="002F1B1A">
              <w:rPr>
                <w:rFonts w:ascii="Arial" w:hAnsi="Arial" w:cs="Arial"/>
              </w:rPr>
              <w:t>Low Power – High Interest (Keep Informed)</w:t>
            </w:r>
            <w:r w:rsidRPr="002F1B1A">
              <w:rPr>
                <w:rFonts w:ascii="Arial" w:hAnsi="Arial" w:cs="Arial"/>
              </w:rPr>
              <w:br/>
              <w:t xml:space="preserve"> Residents</w:t>
            </w:r>
            <w:r w:rsidRPr="002F1B1A">
              <w:rPr>
                <w:rFonts w:ascii="Arial" w:hAnsi="Arial" w:cs="Arial"/>
              </w:rPr>
              <w:br/>
              <w:t xml:space="preserve"> Small businesses</w:t>
            </w:r>
            <w:r w:rsidRPr="002F1B1A">
              <w:rPr>
                <w:rFonts w:ascii="Arial" w:hAnsi="Arial" w:cs="Arial"/>
              </w:rPr>
              <w:br/>
              <w:t xml:space="preserve"> Community groups</w:t>
            </w:r>
          </w:p>
        </w:tc>
      </w:tr>
    </w:tbl>
    <w:p w14:paraId="7C73DF4F" w14:textId="77777777" w:rsidR="002F1B1A" w:rsidRDefault="002F1B1A" w:rsidP="002F1B1A">
      <w:pPr>
        <w:spacing w:line="360" w:lineRule="auto"/>
        <w:jc w:val="center"/>
        <w:rPr>
          <w:rFonts w:ascii="Arial" w:hAnsi="Arial" w:cs="Arial"/>
        </w:rPr>
      </w:pPr>
    </w:p>
    <w:p w14:paraId="52460442" w14:textId="7C55A3A5" w:rsidR="002F1B1A" w:rsidRDefault="00861D87" w:rsidP="002F1B1A">
      <w:pPr>
        <w:spacing w:line="360" w:lineRule="auto"/>
        <w:jc w:val="both"/>
        <w:rPr>
          <w:rFonts w:ascii="Arial" w:hAnsi="Arial" w:cs="Arial"/>
        </w:rPr>
      </w:pPr>
      <w:r w:rsidRPr="002F1B1A">
        <w:rPr>
          <w:rFonts w:ascii="Arial" w:hAnsi="Arial" w:cs="Arial"/>
        </w:rPr>
        <w:t xml:space="preserve">The project may have a direct impact on </w:t>
      </w:r>
      <w:r w:rsidR="002F1B1A" w:rsidRPr="002F1B1A">
        <w:rPr>
          <w:rFonts w:ascii="Arial" w:hAnsi="Arial" w:cs="Arial"/>
        </w:rPr>
        <w:t>all</w:t>
      </w:r>
      <w:r w:rsidRPr="002F1B1A">
        <w:rPr>
          <w:rFonts w:ascii="Arial" w:hAnsi="Arial" w:cs="Arial"/>
        </w:rPr>
        <w:t xml:space="preserve"> these stakeholders through its disruption, displacement, and environmental concerns. They lack forma</w:t>
      </w:r>
      <w:r w:rsidR="00754C48" w:rsidRPr="002F1B1A">
        <w:rPr>
          <w:rFonts w:ascii="Arial" w:hAnsi="Arial" w:cs="Arial"/>
        </w:rPr>
        <w:t xml:space="preserve">l </w:t>
      </w:r>
      <w:r w:rsidRPr="002F1B1A">
        <w:rPr>
          <w:rFonts w:ascii="Arial" w:hAnsi="Arial" w:cs="Arial"/>
        </w:rPr>
        <w:t>political power, but they will be a united front to help shape public opinion and political decision-making. Communicating openly and always keeping lines of communication open and consistent is hence important.</w:t>
      </w:r>
    </w:p>
    <w:p w14:paraId="440CA1E4" w14:textId="77777777" w:rsidR="002F1B1A" w:rsidRPr="002F1B1A" w:rsidRDefault="002F1B1A" w:rsidP="002F1B1A">
      <w:pPr>
        <w:spacing w:line="360" w:lineRule="auto"/>
        <w:jc w:val="center"/>
        <w:rPr>
          <w:rFonts w:ascii="Arial" w:hAnsi="Arial" w:cs="Arial"/>
        </w:rPr>
      </w:pPr>
    </w:p>
    <w:tbl>
      <w:tblPr>
        <w:tblStyle w:val="TableGrid"/>
        <w:tblW w:w="0" w:type="auto"/>
        <w:tblLook w:val="04A0" w:firstRow="1" w:lastRow="0" w:firstColumn="1" w:lastColumn="0" w:noHBand="0" w:noVBand="1"/>
      </w:tblPr>
      <w:tblGrid>
        <w:gridCol w:w="9016"/>
      </w:tblGrid>
      <w:tr w:rsidR="002F1B1A" w:rsidRPr="002F1B1A" w14:paraId="67E5C40C" w14:textId="77777777" w:rsidTr="002F1B1A">
        <w:tc>
          <w:tcPr>
            <w:tcW w:w="9016" w:type="dxa"/>
          </w:tcPr>
          <w:p w14:paraId="648BF292" w14:textId="77777777" w:rsidR="002F1B1A" w:rsidRPr="002F1B1A" w:rsidRDefault="002F1B1A" w:rsidP="008F095A">
            <w:pPr>
              <w:spacing w:line="360" w:lineRule="auto"/>
              <w:jc w:val="center"/>
              <w:rPr>
                <w:rFonts w:ascii="Arial" w:hAnsi="Arial" w:cs="Arial"/>
              </w:rPr>
            </w:pPr>
            <w:r w:rsidRPr="00861D87">
              <w:rPr>
                <w:rFonts w:ascii="Arial" w:hAnsi="Arial" w:cs="Arial"/>
              </w:rPr>
              <w:t>Low Power – Low Interest (Minimal Effort)</w:t>
            </w:r>
            <w:r w:rsidRPr="00861D87">
              <w:rPr>
                <w:rFonts w:ascii="Arial" w:hAnsi="Arial" w:cs="Arial"/>
              </w:rPr>
              <w:br/>
              <w:t xml:space="preserve"> General public outside Birmingham</w:t>
            </w:r>
            <w:r w:rsidRPr="00861D87">
              <w:rPr>
                <w:rFonts w:ascii="Arial" w:hAnsi="Arial" w:cs="Arial"/>
              </w:rPr>
              <w:br/>
              <w:t>Indirect stakeholders</w:t>
            </w:r>
          </w:p>
        </w:tc>
      </w:tr>
    </w:tbl>
    <w:p w14:paraId="3C063809" w14:textId="77777777" w:rsidR="002F1B1A" w:rsidRDefault="002F1B1A" w:rsidP="002F1B1A">
      <w:pPr>
        <w:spacing w:line="360" w:lineRule="auto"/>
        <w:rPr>
          <w:rFonts w:ascii="Arial" w:hAnsi="Arial" w:cs="Arial"/>
        </w:rPr>
      </w:pPr>
    </w:p>
    <w:p w14:paraId="0A506AFF" w14:textId="77777777" w:rsidR="002F1B1A" w:rsidRPr="00861D87" w:rsidRDefault="002F1B1A" w:rsidP="002F1B1A">
      <w:pPr>
        <w:spacing w:line="360" w:lineRule="auto"/>
        <w:rPr>
          <w:rFonts w:ascii="Arial" w:hAnsi="Arial" w:cs="Arial"/>
        </w:rPr>
      </w:pPr>
    </w:p>
    <w:p w14:paraId="5E7CEBA4" w14:textId="69830328" w:rsidR="00353B10" w:rsidRPr="00E40163" w:rsidRDefault="00992FB6" w:rsidP="00E40163">
      <w:pPr>
        <w:spacing w:line="360" w:lineRule="auto"/>
        <w:jc w:val="center"/>
        <w:rPr>
          <w:rFonts w:ascii="Arial" w:hAnsi="Arial" w:cs="Arial"/>
          <w:b/>
          <w:bCs/>
          <w:sz w:val="28"/>
          <w:szCs w:val="28"/>
        </w:rPr>
      </w:pPr>
      <w:r w:rsidRPr="00E40163">
        <w:rPr>
          <w:rFonts w:ascii="Arial" w:hAnsi="Arial" w:cs="Arial"/>
          <w:b/>
          <w:bCs/>
          <w:sz w:val="28"/>
          <w:szCs w:val="28"/>
        </w:rPr>
        <w:t>Stakeholder Matrix (Power–Interest Grid)</w:t>
      </w:r>
    </w:p>
    <w:p w14:paraId="0805A23D" w14:textId="77777777" w:rsidR="00992FB6" w:rsidRPr="002F1B1A" w:rsidRDefault="00992FB6" w:rsidP="002F1B1A">
      <w:pPr>
        <w:spacing w:line="360" w:lineRule="auto"/>
        <w:rPr>
          <w:rFonts w:ascii="Arial" w:hAnsi="Arial" w:cs="Arial"/>
        </w:rPr>
      </w:pPr>
    </w:p>
    <w:tbl>
      <w:tblPr>
        <w:tblStyle w:val="GridTable4-Accent4"/>
        <w:tblW w:w="0" w:type="auto"/>
        <w:tblLook w:val="04A0" w:firstRow="1" w:lastRow="0" w:firstColumn="1" w:lastColumn="0" w:noHBand="0" w:noVBand="1"/>
      </w:tblPr>
      <w:tblGrid>
        <w:gridCol w:w="3030"/>
        <w:gridCol w:w="937"/>
        <w:gridCol w:w="1083"/>
        <w:gridCol w:w="3013"/>
      </w:tblGrid>
      <w:tr w:rsidR="00992FB6" w:rsidRPr="00992FB6" w14:paraId="3CE04DAA" w14:textId="77777777" w:rsidTr="00992F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0" w:type="dxa"/>
            <w:hideMark/>
          </w:tcPr>
          <w:p w14:paraId="1094CE58" w14:textId="77777777" w:rsidR="00992FB6" w:rsidRPr="00992FB6" w:rsidRDefault="00992FB6" w:rsidP="002F1B1A">
            <w:pPr>
              <w:spacing w:after="160" w:line="360" w:lineRule="auto"/>
              <w:rPr>
                <w:rFonts w:ascii="Arial" w:hAnsi="Arial" w:cs="Arial"/>
              </w:rPr>
            </w:pPr>
            <w:r w:rsidRPr="00992FB6">
              <w:rPr>
                <w:rFonts w:ascii="Arial" w:hAnsi="Arial" w:cs="Arial"/>
              </w:rPr>
              <w:t>Stakeholder Group</w:t>
            </w:r>
          </w:p>
        </w:tc>
        <w:tc>
          <w:tcPr>
            <w:tcW w:w="0" w:type="auto"/>
            <w:hideMark/>
          </w:tcPr>
          <w:p w14:paraId="37BCBA7F" w14:textId="77777777" w:rsidR="00992FB6" w:rsidRPr="00992FB6" w:rsidRDefault="00992FB6" w:rsidP="002F1B1A">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992FB6">
              <w:rPr>
                <w:rFonts w:ascii="Arial" w:hAnsi="Arial" w:cs="Arial"/>
              </w:rPr>
              <w:t>Power</w:t>
            </w:r>
          </w:p>
        </w:tc>
        <w:tc>
          <w:tcPr>
            <w:tcW w:w="0" w:type="auto"/>
            <w:hideMark/>
          </w:tcPr>
          <w:p w14:paraId="5E4B5A46" w14:textId="77777777" w:rsidR="00992FB6" w:rsidRPr="00992FB6" w:rsidRDefault="00992FB6" w:rsidP="002F1B1A">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992FB6">
              <w:rPr>
                <w:rFonts w:ascii="Arial" w:hAnsi="Arial" w:cs="Arial"/>
              </w:rPr>
              <w:t>Interest</w:t>
            </w:r>
          </w:p>
        </w:tc>
        <w:tc>
          <w:tcPr>
            <w:tcW w:w="0" w:type="auto"/>
            <w:hideMark/>
          </w:tcPr>
          <w:p w14:paraId="0BD31BDB" w14:textId="77777777" w:rsidR="00992FB6" w:rsidRPr="00992FB6" w:rsidRDefault="00992FB6" w:rsidP="002F1B1A">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992FB6">
              <w:rPr>
                <w:rFonts w:ascii="Arial" w:hAnsi="Arial" w:cs="Arial"/>
              </w:rPr>
              <w:t>Engagement Strategy</w:t>
            </w:r>
          </w:p>
        </w:tc>
      </w:tr>
      <w:tr w:rsidR="00992FB6" w:rsidRPr="00992FB6" w14:paraId="53EA3D4B" w14:textId="77777777" w:rsidTr="00992F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0" w:type="dxa"/>
            <w:hideMark/>
          </w:tcPr>
          <w:p w14:paraId="041059F0" w14:textId="77777777" w:rsidR="00992FB6" w:rsidRPr="00992FB6" w:rsidRDefault="00992FB6" w:rsidP="002F1B1A">
            <w:pPr>
              <w:spacing w:after="160" w:line="360" w:lineRule="auto"/>
              <w:rPr>
                <w:rFonts w:ascii="Arial" w:hAnsi="Arial" w:cs="Arial"/>
              </w:rPr>
            </w:pPr>
            <w:r w:rsidRPr="00992FB6">
              <w:rPr>
                <w:rFonts w:ascii="Arial" w:hAnsi="Arial" w:cs="Arial"/>
              </w:rPr>
              <w:t>Government / HS2 Ltd</w:t>
            </w:r>
          </w:p>
        </w:tc>
        <w:tc>
          <w:tcPr>
            <w:tcW w:w="0" w:type="auto"/>
            <w:hideMark/>
          </w:tcPr>
          <w:p w14:paraId="0257043D" w14:textId="77777777" w:rsidR="00992FB6" w:rsidRPr="00992FB6" w:rsidRDefault="00992FB6" w:rsidP="002F1B1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992FB6">
              <w:rPr>
                <w:rFonts w:ascii="Arial" w:hAnsi="Arial" w:cs="Arial"/>
              </w:rPr>
              <w:t>High</w:t>
            </w:r>
          </w:p>
        </w:tc>
        <w:tc>
          <w:tcPr>
            <w:tcW w:w="0" w:type="auto"/>
            <w:hideMark/>
          </w:tcPr>
          <w:p w14:paraId="5F4A468A" w14:textId="77777777" w:rsidR="00992FB6" w:rsidRPr="00992FB6" w:rsidRDefault="00992FB6" w:rsidP="002F1B1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992FB6">
              <w:rPr>
                <w:rFonts w:ascii="Arial" w:hAnsi="Arial" w:cs="Arial"/>
              </w:rPr>
              <w:t>High</w:t>
            </w:r>
          </w:p>
        </w:tc>
        <w:tc>
          <w:tcPr>
            <w:tcW w:w="0" w:type="auto"/>
            <w:hideMark/>
          </w:tcPr>
          <w:p w14:paraId="3F8106AF" w14:textId="77777777" w:rsidR="00992FB6" w:rsidRPr="00992FB6" w:rsidRDefault="00992FB6" w:rsidP="002F1B1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992FB6">
              <w:rPr>
                <w:rFonts w:ascii="Arial" w:hAnsi="Arial" w:cs="Arial"/>
              </w:rPr>
              <w:t>Manage closely</w:t>
            </w:r>
          </w:p>
        </w:tc>
      </w:tr>
      <w:tr w:rsidR="00992FB6" w:rsidRPr="00992FB6" w14:paraId="6757FC48" w14:textId="77777777" w:rsidTr="00992FB6">
        <w:tc>
          <w:tcPr>
            <w:cnfStyle w:val="001000000000" w:firstRow="0" w:lastRow="0" w:firstColumn="1" w:lastColumn="0" w:oddVBand="0" w:evenVBand="0" w:oddHBand="0" w:evenHBand="0" w:firstRowFirstColumn="0" w:firstRowLastColumn="0" w:lastRowFirstColumn="0" w:lastRowLastColumn="0"/>
            <w:tcW w:w="3030" w:type="dxa"/>
            <w:hideMark/>
          </w:tcPr>
          <w:p w14:paraId="5C3E384B" w14:textId="77777777" w:rsidR="00992FB6" w:rsidRPr="00992FB6" w:rsidRDefault="00992FB6" w:rsidP="002F1B1A">
            <w:pPr>
              <w:spacing w:after="160" w:line="360" w:lineRule="auto"/>
              <w:rPr>
                <w:rFonts w:ascii="Arial" w:hAnsi="Arial" w:cs="Arial"/>
              </w:rPr>
            </w:pPr>
            <w:r w:rsidRPr="00992FB6">
              <w:rPr>
                <w:rFonts w:ascii="Arial" w:hAnsi="Arial" w:cs="Arial"/>
              </w:rPr>
              <w:t>Birmingham City Council</w:t>
            </w:r>
          </w:p>
        </w:tc>
        <w:tc>
          <w:tcPr>
            <w:tcW w:w="0" w:type="auto"/>
            <w:hideMark/>
          </w:tcPr>
          <w:p w14:paraId="5A026B1D" w14:textId="77777777" w:rsidR="00992FB6" w:rsidRPr="00992FB6" w:rsidRDefault="00992FB6" w:rsidP="002F1B1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992FB6">
              <w:rPr>
                <w:rFonts w:ascii="Arial" w:hAnsi="Arial" w:cs="Arial"/>
              </w:rPr>
              <w:t>High</w:t>
            </w:r>
          </w:p>
        </w:tc>
        <w:tc>
          <w:tcPr>
            <w:tcW w:w="0" w:type="auto"/>
            <w:hideMark/>
          </w:tcPr>
          <w:p w14:paraId="29D41785" w14:textId="77777777" w:rsidR="00992FB6" w:rsidRPr="00992FB6" w:rsidRDefault="00992FB6" w:rsidP="002F1B1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992FB6">
              <w:rPr>
                <w:rFonts w:ascii="Arial" w:hAnsi="Arial" w:cs="Arial"/>
              </w:rPr>
              <w:t>High</w:t>
            </w:r>
          </w:p>
        </w:tc>
        <w:tc>
          <w:tcPr>
            <w:tcW w:w="0" w:type="auto"/>
            <w:hideMark/>
          </w:tcPr>
          <w:p w14:paraId="489716F1" w14:textId="77777777" w:rsidR="00992FB6" w:rsidRPr="00992FB6" w:rsidRDefault="00992FB6" w:rsidP="002F1B1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992FB6">
              <w:rPr>
                <w:rFonts w:ascii="Arial" w:hAnsi="Arial" w:cs="Arial"/>
              </w:rPr>
              <w:t>Collaborate actively</w:t>
            </w:r>
          </w:p>
        </w:tc>
      </w:tr>
      <w:tr w:rsidR="00992FB6" w:rsidRPr="00992FB6" w14:paraId="54B79DF9" w14:textId="77777777" w:rsidTr="00992F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0" w:type="dxa"/>
            <w:hideMark/>
          </w:tcPr>
          <w:p w14:paraId="3576431A" w14:textId="77777777" w:rsidR="00992FB6" w:rsidRPr="00992FB6" w:rsidRDefault="00992FB6" w:rsidP="002F1B1A">
            <w:pPr>
              <w:spacing w:after="160" w:line="360" w:lineRule="auto"/>
              <w:rPr>
                <w:rFonts w:ascii="Arial" w:hAnsi="Arial" w:cs="Arial"/>
              </w:rPr>
            </w:pPr>
            <w:r w:rsidRPr="00992FB6">
              <w:rPr>
                <w:rFonts w:ascii="Arial" w:hAnsi="Arial" w:cs="Arial"/>
              </w:rPr>
              <w:t>Regulators</w:t>
            </w:r>
          </w:p>
        </w:tc>
        <w:tc>
          <w:tcPr>
            <w:tcW w:w="0" w:type="auto"/>
            <w:hideMark/>
          </w:tcPr>
          <w:p w14:paraId="14F91A55" w14:textId="77777777" w:rsidR="00992FB6" w:rsidRPr="00992FB6" w:rsidRDefault="00992FB6" w:rsidP="002F1B1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992FB6">
              <w:rPr>
                <w:rFonts w:ascii="Arial" w:hAnsi="Arial" w:cs="Arial"/>
              </w:rPr>
              <w:t>High</w:t>
            </w:r>
          </w:p>
        </w:tc>
        <w:tc>
          <w:tcPr>
            <w:tcW w:w="0" w:type="auto"/>
            <w:hideMark/>
          </w:tcPr>
          <w:p w14:paraId="3373F935" w14:textId="77777777" w:rsidR="00992FB6" w:rsidRPr="00992FB6" w:rsidRDefault="00992FB6" w:rsidP="002F1B1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992FB6">
              <w:rPr>
                <w:rFonts w:ascii="Arial" w:hAnsi="Arial" w:cs="Arial"/>
              </w:rPr>
              <w:t>Low</w:t>
            </w:r>
          </w:p>
        </w:tc>
        <w:tc>
          <w:tcPr>
            <w:tcW w:w="0" w:type="auto"/>
            <w:hideMark/>
          </w:tcPr>
          <w:p w14:paraId="032C474A" w14:textId="77777777" w:rsidR="00992FB6" w:rsidRPr="00992FB6" w:rsidRDefault="00992FB6" w:rsidP="002F1B1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992FB6">
              <w:rPr>
                <w:rFonts w:ascii="Arial" w:hAnsi="Arial" w:cs="Arial"/>
              </w:rPr>
              <w:t>Keep satisfied</w:t>
            </w:r>
          </w:p>
        </w:tc>
      </w:tr>
      <w:tr w:rsidR="00992FB6" w:rsidRPr="00992FB6" w14:paraId="77FD07AA" w14:textId="77777777" w:rsidTr="00992FB6">
        <w:tc>
          <w:tcPr>
            <w:cnfStyle w:val="001000000000" w:firstRow="0" w:lastRow="0" w:firstColumn="1" w:lastColumn="0" w:oddVBand="0" w:evenVBand="0" w:oddHBand="0" w:evenHBand="0" w:firstRowFirstColumn="0" w:firstRowLastColumn="0" w:lastRowFirstColumn="0" w:lastRowLastColumn="0"/>
            <w:tcW w:w="3030" w:type="dxa"/>
            <w:hideMark/>
          </w:tcPr>
          <w:p w14:paraId="23344D3A" w14:textId="77777777" w:rsidR="00992FB6" w:rsidRPr="00992FB6" w:rsidRDefault="00992FB6" w:rsidP="002F1B1A">
            <w:pPr>
              <w:spacing w:after="160" w:line="360" w:lineRule="auto"/>
              <w:rPr>
                <w:rFonts w:ascii="Arial" w:hAnsi="Arial" w:cs="Arial"/>
              </w:rPr>
            </w:pPr>
            <w:r w:rsidRPr="00992FB6">
              <w:rPr>
                <w:rFonts w:ascii="Arial" w:hAnsi="Arial" w:cs="Arial"/>
              </w:rPr>
              <w:t>Contractors</w:t>
            </w:r>
          </w:p>
        </w:tc>
        <w:tc>
          <w:tcPr>
            <w:tcW w:w="0" w:type="auto"/>
            <w:hideMark/>
          </w:tcPr>
          <w:p w14:paraId="2883668A" w14:textId="77777777" w:rsidR="00992FB6" w:rsidRPr="00992FB6" w:rsidRDefault="00992FB6" w:rsidP="002F1B1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992FB6">
              <w:rPr>
                <w:rFonts w:ascii="Arial" w:hAnsi="Arial" w:cs="Arial"/>
              </w:rPr>
              <w:t>High</w:t>
            </w:r>
          </w:p>
        </w:tc>
        <w:tc>
          <w:tcPr>
            <w:tcW w:w="0" w:type="auto"/>
            <w:hideMark/>
          </w:tcPr>
          <w:p w14:paraId="54018603" w14:textId="77777777" w:rsidR="00992FB6" w:rsidRPr="00992FB6" w:rsidRDefault="00992FB6" w:rsidP="002F1B1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992FB6">
              <w:rPr>
                <w:rFonts w:ascii="Arial" w:hAnsi="Arial" w:cs="Arial"/>
              </w:rPr>
              <w:t>Medium</w:t>
            </w:r>
          </w:p>
        </w:tc>
        <w:tc>
          <w:tcPr>
            <w:tcW w:w="0" w:type="auto"/>
            <w:hideMark/>
          </w:tcPr>
          <w:p w14:paraId="597EFEAD" w14:textId="77777777" w:rsidR="00992FB6" w:rsidRPr="00992FB6" w:rsidRDefault="00992FB6" w:rsidP="002F1B1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992FB6">
              <w:rPr>
                <w:rFonts w:ascii="Arial" w:hAnsi="Arial" w:cs="Arial"/>
              </w:rPr>
              <w:t>Engage regularly</w:t>
            </w:r>
          </w:p>
        </w:tc>
      </w:tr>
      <w:tr w:rsidR="00992FB6" w:rsidRPr="00992FB6" w14:paraId="281AC16A" w14:textId="77777777" w:rsidTr="00992F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0" w:type="dxa"/>
            <w:hideMark/>
          </w:tcPr>
          <w:p w14:paraId="411BF646" w14:textId="788FF415" w:rsidR="00992FB6" w:rsidRPr="00992FB6" w:rsidRDefault="00992FB6" w:rsidP="002F1B1A">
            <w:pPr>
              <w:spacing w:after="160" w:line="360" w:lineRule="auto"/>
              <w:rPr>
                <w:rFonts w:ascii="Arial" w:hAnsi="Arial" w:cs="Arial"/>
              </w:rPr>
            </w:pPr>
            <w:r w:rsidRPr="002F1B1A">
              <w:rPr>
                <w:rFonts w:ascii="Arial" w:hAnsi="Arial" w:cs="Arial"/>
              </w:rPr>
              <w:lastRenderedPageBreak/>
              <w:t>Residents</w:t>
            </w:r>
          </w:p>
        </w:tc>
        <w:tc>
          <w:tcPr>
            <w:tcW w:w="0" w:type="auto"/>
            <w:hideMark/>
          </w:tcPr>
          <w:p w14:paraId="68C3BC76" w14:textId="77777777" w:rsidR="00992FB6" w:rsidRPr="00992FB6" w:rsidRDefault="00992FB6" w:rsidP="002F1B1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992FB6">
              <w:rPr>
                <w:rFonts w:ascii="Arial" w:hAnsi="Arial" w:cs="Arial"/>
              </w:rPr>
              <w:t>Low</w:t>
            </w:r>
          </w:p>
        </w:tc>
        <w:tc>
          <w:tcPr>
            <w:tcW w:w="0" w:type="auto"/>
            <w:hideMark/>
          </w:tcPr>
          <w:p w14:paraId="3821DD53" w14:textId="77777777" w:rsidR="00992FB6" w:rsidRPr="00992FB6" w:rsidRDefault="00992FB6" w:rsidP="002F1B1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992FB6">
              <w:rPr>
                <w:rFonts w:ascii="Arial" w:hAnsi="Arial" w:cs="Arial"/>
              </w:rPr>
              <w:t>High</w:t>
            </w:r>
          </w:p>
        </w:tc>
        <w:tc>
          <w:tcPr>
            <w:tcW w:w="0" w:type="auto"/>
            <w:hideMark/>
          </w:tcPr>
          <w:p w14:paraId="0634868F" w14:textId="77777777" w:rsidR="00992FB6" w:rsidRPr="00992FB6" w:rsidRDefault="00992FB6" w:rsidP="002F1B1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992FB6">
              <w:rPr>
                <w:rFonts w:ascii="Arial" w:hAnsi="Arial" w:cs="Arial"/>
              </w:rPr>
              <w:t>Keep informed</w:t>
            </w:r>
          </w:p>
        </w:tc>
      </w:tr>
      <w:tr w:rsidR="00992FB6" w:rsidRPr="00992FB6" w14:paraId="74E80947" w14:textId="77777777" w:rsidTr="00992FB6">
        <w:tc>
          <w:tcPr>
            <w:cnfStyle w:val="001000000000" w:firstRow="0" w:lastRow="0" w:firstColumn="1" w:lastColumn="0" w:oddVBand="0" w:evenVBand="0" w:oddHBand="0" w:evenHBand="0" w:firstRowFirstColumn="0" w:firstRowLastColumn="0" w:lastRowFirstColumn="0" w:lastRowLastColumn="0"/>
            <w:tcW w:w="3030" w:type="dxa"/>
            <w:hideMark/>
          </w:tcPr>
          <w:p w14:paraId="257AD275" w14:textId="77777777" w:rsidR="00992FB6" w:rsidRPr="00992FB6" w:rsidRDefault="00992FB6" w:rsidP="002F1B1A">
            <w:pPr>
              <w:spacing w:after="160" w:line="360" w:lineRule="auto"/>
              <w:rPr>
                <w:rFonts w:ascii="Arial" w:hAnsi="Arial" w:cs="Arial"/>
              </w:rPr>
            </w:pPr>
            <w:r w:rsidRPr="00992FB6">
              <w:rPr>
                <w:rFonts w:ascii="Arial" w:hAnsi="Arial" w:cs="Arial"/>
              </w:rPr>
              <w:t>Businesses</w:t>
            </w:r>
          </w:p>
        </w:tc>
        <w:tc>
          <w:tcPr>
            <w:tcW w:w="0" w:type="auto"/>
            <w:hideMark/>
          </w:tcPr>
          <w:p w14:paraId="73E888E6" w14:textId="77777777" w:rsidR="00992FB6" w:rsidRPr="00992FB6" w:rsidRDefault="00992FB6" w:rsidP="002F1B1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992FB6">
              <w:rPr>
                <w:rFonts w:ascii="Arial" w:hAnsi="Arial" w:cs="Arial"/>
              </w:rPr>
              <w:t>Low</w:t>
            </w:r>
          </w:p>
        </w:tc>
        <w:tc>
          <w:tcPr>
            <w:tcW w:w="0" w:type="auto"/>
            <w:hideMark/>
          </w:tcPr>
          <w:p w14:paraId="3AD8DAD0" w14:textId="77777777" w:rsidR="00992FB6" w:rsidRPr="00992FB6" w:rsidRDefault="00992FB6" w:rsidP="002F1B1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992FB6">
              <w:rPr>
                <w:rFonts w:ascii="Arial" w:hAnsi="Arial" w:cs="Arial"/>
              </w:rPr>
              <w:t>High</w:t>
            </w:r>
          </w:p>
        </w:tc>
        <w:tc>
          <w:tcPr>
            <w:tcW w:w="0" w:type="auto"/>
            <w:hideMark/>
          </w:tcPr>
          <w:p w14:paraId="2C4F2FC3" w14:textId="77777777" w:rsidR="00992FB6" w:rsidRPr="00992FB6" w:rsidRDefault="00992FB6" w:rsidP="002F1B1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992FB6">
              <w:rPr>
                <w:rFonts w:ascii="Arial" w:hAnsi="Arial" w:cs="Arial"/>
              </w:rPr>
              <w:t>Consult and involve</w:t>
            </w:r>
          </w:p>
        </w:tc>
      </w:tr>
      <w:tr w:rsidR="00992FB6" w:rsidRPr="00992FB6" w14:paraId="321DE1C1" w14:textId="77777777" w:rsidTr="00992F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0" w:type="dxa"/>
            <w:hideMark/>
          </w:tcPr>
          <w:p w14:paraId="04B8E6E7" w14:textId="77777777" w:rsidR="00992FB6" w:rsidRPr="00992FB6" w:rsidRDefault="00992FB6" w:rsidP="002F1B1A">
            <w:pPr>
              <w:spacing w:after="160" w:line="360" w:lineRule="auto"/>
              <w:rPr>
                <w:rFonts w:ascii="Arial" w:hAnsi="Arial" w:cs="Arial"/>
              </w:rPr>
            </w:pPr>
            <w:r w:rsidRPr="00992FB6">
              <w:rPr>
                <w:rFonts w:ascii="Arial" w:hAnsi="Arial" w:cs="Arial"/>
              </w:rPr>
              <w:t>General public</w:t>
            </w:r>
          </w:p>
        </w:tc>
        <w:tc>
          <w:tcPr>
            <w:tcW w:w="0" w:type="auto"/>
            <w:hideMark/>
          </w:tcPr>
          <w:p w14:paraId="447ED401" w14:textId="77777777" w:rsidR="00992FB6" w:rsidRPr="00992FB6" w:rsidRDefault="00992FB6" w:rsidP="002F1B1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992FB6">
              <w:rPr>
                <w:rFonts w:ascii="Arial" w:hAnsi="Arial" w:cs="Arial"/>
              </w:rPr>
              <w:t>Low</w:t>
            </w:r>
          </w:p>
        </w:tc>
        <w:tc>
          <w:tcPr>
            <w:tcW w:w="0" w:type="auto"/>
            <w:hideMark/>
          </w:tcPr>
          <w:p w14:paraId="50980B05" w14:textId="77777777" w:rsidR="00992FB6" w:rsidRPr="00992FB6" w:rsidRDefault="00992FB6" w:rsidP="002F1B1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992FB6">
              <w:rPr>
                <w:rFonts w:ascii="Arial" w:hAnsi="Arial" w:cs="Arial"/>
              </w:rPr>
              <w:t>Low</w:t>
            </w:r>
          </w:p>
        </w:tc>
        <w:tc>
          <w:tcPr>
            <w:tcW w:w="0" w:type="auto"/>
            <w:hideMark/>
          </w:tcPr>
          <w:p w14:paraId="73EBA4CA" w14:textId="77777777" w:rsidR="00992FB6" w:rsidRPr="00992FB6" w:rsidRDefault="00992FB6" w:rsidP="002F1B1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992FB6">
              <w:rPr>
                <w:rFonts w:ascii="Arial" w:hAnsi="Arial" w:cs="Arial"/>
              </w:rPr>
              <w:t>Monitor with minimal effort</w:t>
            </w:r>
          </w:p>
        </w:tc>
      </w:tr>
    </w:tbl>
    <w:p w14:paraId="4659E0D1" w14:textId="77777777" w:rsidR="00353B10" w:rsidRPr="002F1B1A" w:rsidRDefault="00353B10" w:rsidP="002F1B1A">
      <w:pPr>
        <w:spacing w:line="360" w:lineRule="auto"/>
        <w:rPr>
          <w:rFonts w:ascii="Arial" w:hAnsi="Arial" w:cs="Arial"/>
        </w:rPr>
      </w:pPr>
    </w:p>
    <w:p w14:paraId="3F38337F" w14:textId="77777777" w:rsidR="00353B10" w:rsidRPr="002F1B1A" w:rsidRDefault="00353B10" w:rsidP="002F1B1A">
      <w:pPr>
        <w:spacing w:line="360" w:lineRule="auto"/>
        <w:rPr>
          <w:rFonts w:ascii="Arial" w:hAnsi="Arial" w:cs="Arial"/>
        </w:rPr>
      </w:pPr>
    </w:p>
    <w:p w14:paraId="3A494159" w14:textId="77777777" w:rsidR="00353B10" w:rsidRPr="002F1B1A" w:rsidRDefault="00353B10" w:rsidP="002F1B1A">
      <w:pPr>
        <w:spacing w:line="360" w:lineRule="auto"/>
        <w:rPr>
          <w:rFonts w:ascii="Arial" w:hAnsi="Arial" w:cs="Arial"/>
        </w:rPr>
      </w:pPr>
    </w:p>
    <w:p w14:paraId="6EB56764" w14:textId="77777777" w:rsidR="00992FB6" w:rsidRPr="002F1B1A" w:rsidRDefault="00992FB6" w:rsidP="002F1B1A">
      <w:pPr>
        <w:spacing w:line="360" w:lineRule="auto"/>
        <w:rPr>
          <w:rFonts w:ascii="Arial" w:hAnsi="Arial" w:cs="Arial"/>
          <w:b/>
          <w:bCs/>
        </w:rPr>
      </w:pPr>
      <w:r w:rsidRPr="00992FB6">
        <w:rPr>
          <w:rFonts w:ascii="Arial" w:hAnsi="Arial" w:cs="Arial"/>
          <w:b/>
          <w:bCs/>
        </w:rPr>
        <w:t>Stakeholder Engagement Strategies</w:t>
      </w:r>
    </w:p>
    <w:p w14:paraId="78B2D84A" w14:textId="2D091A60" w:rsidR="00754C48" w:rsidRDefault="00754C48" w:rsidP="002F1B1A">
      <w:pPr>
        <w:spacing w:line="360" w:lineRule="auto"/>
        <w:rPr>
          <w:rFonts w:ascii="Arial" w:hAnsi="Arial" w:cs="Arial"/>
        </w:rPr>
      </w:pPr>
      <w:r w:rsidRPr="002F1B1A">
        <w:rPr>
          <w:rFonts w:ascii="Arial" w:hAnsi="Arial" w:cs="Arial"/>
        </w:rPr>
        <w:t xml:space="preserve">Different approaches are needed to engage different stakeholders and meet their needs. Communication, relationship and trust is referred to as involvement (Bourne, 2015) Collaborative Engagement (High Power–High Interest) For </w:t>
      </w:r>
      <w:r w:rsidR="002F1B1A" w:rsidRPr="002F1B1A">
        <w:rPr>
          <w:rFonts w:ascii="Arial" w:hAnsi="Arial" w:cs="Arial"/>
        </w:rPr>
        <w:t>principal</w:t>
      </w:r>
      <w:r w:rsidRPr="002F1B1A">
        <w:rPr>
          <w:rFonts w:ascii="Arial" w:hAnsi="Arial" w:cs="Arial"/>
        </w:rPr>
        <w:t xml:space="preserve"> players like HS2 Ltd and Birmingham City Council would involve: Frequent strategic meeting. Collaborative Planning Meetings. Common decision-making process. Working together enhances engagement. Most importantly, collaborative engagement helps align the objective and. Further, it brings about coordinated action. In this way, accountability is established and the possibility of misinformation is minimised. However, due to conflicting priorities and political pressure and delays caused by red tape, this approach may get impeded.</w:t>
      </w:r>
    </w:p>
    <w:p w14:paraId="174A1660" w14:textId="77777777" w:rsidR="002F1B1A" w:rsidRDefault="002F1B1A" w:rsidP="002F1B1A">
      <w:pPr>
        <w:spacing w:line="360" w:lineRule="auto"/>
        <w:rPr>
          <w:rFonts w:ascii="Arial" w:hAnsi="Arial" w:cs="Arial"/>
        </w:rPr>
      </w:pPr>
    </w:p>
    <w:p w14:paraId="6102D6D2" w14:textId="77777777" w:rsidR="002F1B1A" w:rsidRPr="00992FB6" w:rsidRDefault="002F1B1A" w:rsidP="002F1B1A">
      <w:pPr>
        <w:spacing w:line="360" w:lineRule="auto"/>
        <w:rPr>
          <w:rFonts w:ascii="Arial" w:hAnsi="Arial" w:cs="Arial"/>
        </w:rPr>
      </w:pPr>
    </w:p>
    <w:p w14:paraId="4CC8C766" w14:textId="582C912D" w:rsidR="00992FB6" w:rsidRPr="002F1B1A" w:rsidRDefault="00992FB6" w:rsidP="002F1B1A">
      <w:pPr>
        <w:spacing w:line="360" w:lineRule="auto"/>
        <w:rPr>
          <w:rFonts w:ascii="Arial" w:hAnsi="Arial" w:cs="Arial"/>
          <w:b/>
          <w:bCs/>
        </w:rPr>
      </w:pPr>
      <w:r w:rsidRPr="00992FB6">
        <w:rPr>
          <w:rFonts w:ascii="Arial" w:hAnsi="Arial" w:cs="Arial"/>
          <w:b/>
          <w:bCs/>
        </w:rPr>
        <w:t xml:space="preserve"> Consultative Engagement (High Interest Stakeholders)</w:t>
      </w:r>
    </w:p>
    <w:p w14:paraId="491ACBD7" w14:textId="340DA970" w:rsidR="00754C48" w:rsidRPr="002F1B1A" w:rsidRDefault="00754C48" w:rsidP="00E40163">
      <w:pPr>
        <w:spacing w:line="360" w:lineRule="auto"/>
        <w:rPr>
          <w:rFonts w:ascii="Arial" w:hAnsi="Arial" w:cs="Arial"/>
        </w:rPr>
      </w:pPr>
      <w:r w:rsidRPr="002F1B1A">
        <w:rPr>
          <w:rFonts w:ascii="Arial" w:hAnsi="Arial" w:cs="Arial"/>
        </w:rPr>
        <w:t xml:space="preserve">Through consultation with local communities and businesses, including public consultation and exhibition, feedback survey, and community forum. Adding stakeholder concerns into the design and planning of the project using these strategies. Consultation can enhance viability and is inclusive but sometimes it can be ineffective as stakeholders often have no power over the ultimate decision. Strong criticism of HS2 as residents feel the consultation process is only a consultation in name only. Low power stakeholders are also called informative stakeholders. They can be engaged through information dissemination. This may include project websites and updates, newsletters, and social media communication. </w:t>
      </w:r>
      <w:r w:rsidRPr="002F1B1A">
        <w:rPr>
          <w:rFonts w:ascii="Arial" w:hAnsi="Arial" w:cs="Arial"/>
        </w:rPr>
        <w:lastRenderedPageBreak/>
        <w:t xml:space="preserve">These engagement techniques are cost-effective and allow the project proponent to attract a broad audience. </w:t>
      </w:r>
    </w:p>
    <w:p w14:paraId="1F26DCC6" w14:textId="77777777" w:rsidR="00992FB6" w:rsidRPr="00992FB6" w:rsidRDefault="00992FB6" w:rsidP="00E40163">
      <w:pPr>
        <w:spacing w:line="360" w:lineRule="auto"/>
        <w:rPr>
          <w:rFonts w:ascii="Arial" w:hAnsi="Arial" w:cs="Arial"/>
          <w:b/>
          <w:bCs/>
        </w:rPr>
      </w:pPr>
      <w:r w:rsidRPr="00992FB6">
        <w:rPr>
          <w:rFonts w:ascii="Arial" w:hAnsi="Arial" w:cs="Arial"/>
          <w:b/>
          <w:bCs/>
        </w:rPr>
        <w:t>Communication Channels and Their Effectiveness</w:t>
      </w:r>
    </w:p>
    <w:p w14:paraId="7B6A3C3C" w14:textId="1E53148C" w:rsidR="00754C48" w:rsidRPr="00754C48" w:rsidRDefault="00754C48" w:rsidP="00E40163">
      <w:pPr>
        <w:spacing w:line="360" w:lineRule="auto"/>
        <w:rPr>
          <w:rFonts w:ascii="Arial" w:hAnsi="Arial" w:cs="Arial"/>
        </w:rPr>
      </w:pPr>
      <w:r w:rsidRPr="00754C48">
        <w:rPr>
          <w:rFonts w:ascii="Arial" w:hAnsi="Arial" w:cs="Arial"/>
        </w:rPr>
        <w:t>Stakeholder engagement success is directly correlated to the communication channels used. There are various channels utilised in the HS2 Curzon Street project:</w:t>
      </w:r>
      <w:r w:rsidRPr="00754C48">
        <w:rPr>
          <w:rFonts w:ascii="Arial" w:hAnsi="Arial" w:cs="Arial"/>
        </w:rPr>
        <w:br/>
        <w:t>Face-to-Face Engagement. It is direct to the public that they can meet and consult, communicate concerns, and get instant answers. One very effective method to achieve this is to build trust and transparency, as well as a way of doing something but also with high involvement and resource utilization which are not always accessible by each specific stakeholder.</w:t>
      </w:r>
      <w:r w:rsidRPr="00754C48">
        <w:rPr>
          <w:rFonts w:ascii="Arial" w:hAnsi="Arial" w:cs="Arial"/>
        </w:rPr>
        <w:br/>
        <w:t xml:space="preserve">Digital Platforms. Websites, email updates, and social media have kept our information accessible and timely. These platforms are efficient for reaching large </w:t>
      </w:r>
      <w:r w:rsidR="00E40163" w:rsidRPr="00754C48">
        <w:rPr>
          <w:rFonts w:ascii="Arial" w:hAnsi="Arial" w:cs="Arial"/>
        </w:rPr>
        <w:t>audiences,</w:t>
      </w:r>
      <w:r w:rsidRPr="00754C48">
        <w:rPr>
          <w:rFonts w:ascii="Arial" w:hAnsi="Arial" w:cs="Arial"/>
        </w:rPr>
        <w:t xml:space="preserve"> but they may not reach people with restricted digital access, and this is a source of the digital divide.</w:t>
      </w:r>
      <w:r w:rsidRPr="00754C48">
        <w:rPr>
          <w:rFonts w:ascii="Arial" w:hAnsi="Arial" w:cs="Arial"/>
        </w:rPr>
        <w:br/>
        <w:t xml:space="preserve">Official Reports and Documentation. Mostly employed by stakeholders in high power, these help be accountable, compliant. While great for governance, they do not necessarily work well to take in the </w:t>
      </w:r>
      <w:r w:rsidR="00E40163" w:rsidRPr="00754C48">
        <w:rPr>
          <w:rFonts w:ascii="Arial" w:hAnsi="Arial" w:cs="Arial"/>
        </w:rPr>
        <w:t>public</w:t>
      </w:r>
      <w:r w:rsidRPr="00754C48">
        <w:rPr>
          <w:rFonts w:ascii="Arial" w:hAnsi="Arial" w:cs="Arial"/>
        </w:rPr>
        <w:t>.</w:t>
      </w:r>
      <w:r w:rsidRPr="00754C48">
        <w:rPr>
          <w:rFonts w:ascii="Arial" w:hAnsi="Arial" w:cs="Arial"/>
        </w:rPr>
        <w:br/>
        <w:t xml:space="preserve">Community Liaison Groups. They are the go-betweens of the project team and local stakeholders. They are very effective for continuing the conversation but also rely </w:t>
      </w:r>
      <w:r w:rsidR="00E40163" w:rsidRPr="00754C48">
        <w:rPr>
          <w:rFonts w:ascii="Arial" w:hAnsi="Arial" w:cs="Arial"/>
        </w:rPr>
        <w:t>largely</w:t>
      </w:r>
      <w:r w:rsidRPr="00754C48">
        <w:rPr>
          <w:rFonts w:ascii="Arial" w:hAnsi="Arial" w:cs="Arial"/>
        </w:rPr>
        <w:t xml:space="preserve"> on quality and uniformity of their representation.</w:t>
      </w:r>
    </w:p>
    <w:p w14:paraId="7691AE18" w14:textId="77777777" w:rsidR="00E40163" w:rsidRDefault="00754C48" w:rsidP="00E40163">
      <w:pPr>
        <w:spacing w:line="360" w:lineRule="auto"/>
        <w:jc w:val="both"/>
        <w:rPr>
          <w:rFonts w:ascii="Arial" w:hAnsi="Arial" w:cs="Arial"/>
        </w:rPr>
      </w:pPr>
      <w:r w:rsidRPr="00754C48">
        <w:rPr>
          <w:rFonts w:ascii="Arial" w:hAnsi="Arial" w:cs="Arial"/>
        </w:rPr>
        <w:t xml:space="preserve">Stakeholder Engagement Efficacy. The successful HS2 Curzon Street project </w:t>
      </w:r>
      <w:r w:rsidR="00E40163" w:rsidRPr="00754C48">
        <w:rPr>
          <w:rFonts w:ascii="Arial" w:hAnsi="Arial" w:cs="Arial"/>
        </w:rPr>
        <w:t>evidence</w:t>
      </w:r>
      <w:r w:rsidRPr="00754C48">
        <w:rPr>
          <w:rFonts w:ascii="Arial" w:hAnsi="Arial" w:cs="Arial"/>
        </w:rPr>
        <w:t xml:space="preserve"> positive and negative stakeholder involvement. On the plus side, the project has taken a more structured approach using various engagements to communicate with different stakeholders. This is consistent with good practice recommendations in project management literature (PMI, 2017).</w:t>
      </w:r>
    </w:p>
    <w:p w14:paraId="278CCFE1" w14:textId="77777777" w:rsidR="00992FB6" w:rsidRPr="00992FB6" w:rsidRDefault="00992FB6" w:rsidP="00E40163">
      <w:pPr>
        <w:spacing w:line="360" w:lineRule="auto"/>
        <w:jc w:val="both"/>
        <w:rPr>
          <w:rFonts w:ascii="Arial" w:hAnsi="Arial" w:cs="Arial"/>
        </w:rPr>
      </w:pPr>
    </w:p>
    <w:p w14:paraId="34F3F35A" w14:textId="77777777" w:rsidR="00992FB6" w:rsidRPr="00992FB6" w:rsidRDefault="00992FB6" w:rsidP="00E40163">
      <w:pPr>
        <w:spacing w:line="360" w:lineRule="auto"/>
        <w:jc w:val="both"/>
        <w:rPr>
          <w:rFonts w:ascii="Arial" w:hAnsi="Arial" w:cs="Arial"/>
          <w:b/>
          <w:bCs/>
        </w:rPr>
      </w:pPr>
      <w:r w:rsidRPr="00992FB6">
        <w:rPr>
          <w:rFonts w:ascii="Arial" w:hAnsi="Arial" w:cs="Arial"/>
          <w:b/>
          <w:bCs/>
        </w:rPr>
        <w:t>Challenges in Stakeholder Engagement Strategies</w:t>
      </w:r>
    </w:p>
    <w:p w14:paraId="752C2604" w14:textId="77777777" w:rsidR="00E40163" w:rsidRPr="00E40163" w:rsidRDefault="009656C3" w:rsidP="00E40163">
      <w:pPr>
        <w:spacing w:line="360" w:lineRule="auto"/>
        <w:rPr>
          <w:rStyle w:val="Strong"/>
        </w:rPr>
      </w:pPr>
      <w:r w:rsidRPr="009656C3">
        <w:rPr>
          <w:rFonts w:ascii="Arial" w:hAnsi="Arial" w:cs="Arial"/>
        </w:rPr>
        <w:t>Most important challenges have been recognised:</w:t>
      </w:r>
      <w:r w:rsidR="00E40163">
        <w:rPr>
          <w:rFonts w:ascii="Arial" w:hAnsi="Arial" w:cs="Arial"/>
        </w:rPr>
        <w:t xml:space="preserve"> </w:t>
      </w:r>
      <w:r w:rsidRPr="009656C3">
        <w:rPr>
          <w:rFonts w:ascii="Arial" w:hAnsi="Arial" w:cs="Arial"/>
        </w:rPr>
        <w:t>Conflicting Interests. Stakeholders have competing priorities. For example, government bodies look to economic growth while local people focus on quality of life. It is extremely difficult to balance these interests.</w:t>
      </w:r>
      <w:r w:rsidRPr="009656C3">
        <w:rPr>
          <w:rFonts w:ascii="Arial" w:hAnsi="Arial" w:cs="Arial"/>
        </w:rPr>
        <w:br/>
      </w:r>
      <w:r w:rsidRPr="009656C3">
        <w:rPr>
          <w:rFonts w:ascii="Arial" w:hAnsi="Arial" w:cs="Arial"/>
        </w:rPr>
        <w:lastRenderedPageBreak/>
        <w:t>Trust Deficit. Large infrastructure projects often have faced scepticism from the public. When stakeholders are made to believe that engagement is superficial, trust fails and cooperation dwindles.</w:t>
      </w:r>
      <w:r w:rsidRPr="009656C3">
        <w:rPr>
          <w:rFonts w:ascii="Arial" w:hAnsi="Arial" w:cs="Arial"/>
        </w:rPr>
        <w:br/>
      </w:r>
      <w:r w:rsidRPr="009656C3">
        <w:rPr>
          <w:rStyle w:val="Strong"/>
        </w:rPr>
        <w:t>Communication Barriers</w:t>
      </w:r>
    </w:p>
    <w:p w14:paraId="609343F8" w14:textId="22F6E7ED" w:rsidR="009656C3" w:rsidRPr="009656C3" w:rsidRDefault="009656C3" w:rsidP="00E40163">
      <w:pPr>
        <w:spacing w:line="360" w:lineRule="auto"/>
        <w:rPr>
          <w:rFonts w:ascii="Arial" w:hAnsi="Arial" w:cs="Arial"/>
        </w:rPr>
      </w:pPr>
      <w:r w:rsidRPr="009656C3">
        <w:rPr>
          <w:rFonts w:ascii="Arial" w:hAnsi="Arial" w:cs="Arial"/>
        </w:rPr>
        <w:t>Complex technical information can be difficult for non-expert stakeholders to understand, leading to misinterpretation and dissatisfaction.</w:t>
      </w:r>
      <w:r w:rsidRPr="009656C3">
        <w:rPr>
          <w:rFonts w:ascii="Arial" w:hAnsi="Arial" w:cs="Arial"/>
        </w:rPr>
        <w:br/>
        <w:t>Scale and Diversity of Stakeholders. The plethora of stakeholders involved in HS2 adds an extra layer of complexity to engagement and demands considerable resources and coordination.</w:t>
      </w:r>
    </w:p>
    <w:p w14:paraId="4AA2B187" w14:textId="77777777" w:rsidR="00E40163" w:rsidRPr="00E40163" w:rsidRDefault="009656C3" w:rsidP="00E40163">
      <w:pPr>
        <w:spacing w:line="360" w:lineRule="auto"/>
        <w:jc w:val="both"/>
        <w:rPr>
          <w:rStyle w:val="Strong"/>
        </w:rPr>
      </w:pPr>
      <w:r w:rsidRPr="009656C3">
        <w:rPr>
          <w:rStyle w:val="Strong"/>
        </w:rPr>
        <w:t>Critical Reflection</w:t>
      </w:r>
    </w:p>
    <w:p w14:paraId="0CA37D7A" w14:textId="74D92D10" w:rsidR="009656C3" w:rsidRPr="009656C3" w:rsidRDefault="009656C3" w:rsidP="00E40163">
      <w:pPr>
        <w:spacing w:line="360" w:lineRule="auto"/>
        <w:jc w:val="both"/>
        <w:rPr>
          <w:rFonts w:ascii="Arial" w:hAnsi="Arial" w:cs="Arial"/>
        </w:rPr>
      </w:pPr>
      <w:r w:rsidRPr="009656C3">
        <w:rPr>
          <w:rFonts w:ascii="Arial" w:hAnsi="Arial" w:cs="Arial"/>
        </w:rPr>
        <w:t xml:space="preserve">From the critical point of view, the HS2 Curzon Street project does </w:t>
      </w:r>
      <w:r w:rsidR="00E40163" w:rsidRPr="009656C3">
        <w:rPr>
          <w:rFonts w:ascii="Arial" w:hAnsi="Arial" w:cs="Arial"/>
        </w:rPr>
        <w:t>refer</w:t>
      </w:r>
      <w:r w:rsidRPr="009656C3">
        <w:rPr>
          <w:rFonts w:ascii="Arial" w:hAnsi="Arial" w:cs="Arial"/>
        </w:rPr>
        <w:t xml:space="preserve"> to stakeholder management, while the effectiveness of strategy appears to depend on whether it is followed well upon stakeholder principles. Structured frameworks like the Power–Interest Grid facilitate systematic engagement; however, application of the frameworks exposes </w:t>
      </w:r>
      <w:r w:rsidR="00E40163" w:rsidRPr="009656C3">
        <w:rPr>
          <w:rFonts w:ascii="Arial" w:hAnsi="Arial" w:cs="Arial"/>
        </w:rPr>
        <w:t>disjuncture</w:t>
      </w:r>
      <w:r w:rsidRPr="009656C3">
        <w:rPr>
          <w:rFonts w:ascii="Arial" w:hAnsi="Arial" w:cs="Arial"/>
        </w:rPr>
        <w:t xml:space="preserve"> between theory and practice. One problem lies in the question of consultation - a process that when undertaken in isolation without evidence of stakeholders’ influence may be seen as inauthentic. An essential aspect of true engagement, as Arnstein (1969) proposed in his “Ladder of Participation,” is to empower stakeholders, not just tell them. Yet stakeholder engagement in the HS2 Curzon Street project is complex, and both theoretical and practical examples can illustrate how these principles are effective across different disciplines. The use of frameworks like the Power–Interest Grid would enable the project team to identify stakeholders </w:t>
      </w:r>
      <w:r w:rsidR="00E40163" w:rsidRPr="009656C3">
        <w:rPr>
          <w:rFonts w:ascii="Arial" w:hAnsi="Arial" w:cs="Arial"/>
        </w:rPr>
        <w:t>first and</w:t>
      </w:r>
      <w:r w:rsidRPr="009656C3">
        <w:rPr>
          <w:rFonts w:ascii="Arial" w:hAnsi="Arial" w:cs="Arial"/>
        </w:rPr>
        <w:t xml:space="preserve"> adopt appropriate strategy. A variety of mediums of communication has been used but have only been effective so far if they are inclusive, transparent and responsive. Ultimately, the key to effective stakeholder management lies in reconciling conflicting interests, and the ability to build trust, but also in that it drives effective solutions that promote positive outcomes.</w:t>
      </w:r>
    </w:p>
    <w:p w14:paraId="563DBDE7" w14:textId="77777777" w:rsidR="00353B10" w:rsidRPr="002F1B1A" w:rsidRDefault="00353B10" w:rsidP="00E40163">
      <w:pPr>
        <w:spacing w:line="360" w:lineRule="auto"/>
        <w:jc w:val="both"/>
        <w:rPr>
          <w:rFonts w:ascii="Arial" w:hAnsi="Arial" w:cs="Arial"/>
        </w:rPr>
      </w:pPr>
    </w:p>
    <w:p w14:paraId="388045A3" w14:textId="77777777" w:rsidR="009656C3" w:rsidRPr="002F1B1A" w:rsidRDefault="009656C3" w:rsidP="00E40163">
      <w:pPr>
        <w:spacing w:line="360" w:lineRule="auto"/>
        <w:jc w:val="both"/>
        <w:rPr>
          <w:rFonts w:ascii="Arial" w:hAnsi="Arial" w:cs="Arial"/>
        </w:rPr>
      </w:pPr>
    </w:p>
    <w:p w14:paraId="09BF8ECA" w14:textId="77777777" w:rsidR="009656C3" w:rsidRPr="002F1B1A" w:rsidRDefault="009656C3" w:rsidP="00E40163">
      <w:pPr>
        <w:spacing w:line="360" w:lineRule="auto"/>
        <w:jc w:val="both"/>
        <w:rPr>
          <w:rFonts w:ascii="Arial" w:hAnsi="Arial" w:cs="Arial"/>
        </w:rPr>
      </w:pPr>
    </w:p>
    <w:p w14:paraId="5FB6C104" w14:textId="77777777" w:rsidR="009656C3" w:rsidRPr="002F1B1A" w:rsidRDefault="009656C3" w:rsidP="00E40163">
      <w:pPr>
        <w:spacing w:line="360" w:lineRule="auto"/>
        <w:jc w:val="both"/>
        <w:rPr>
          <w:rFonts w:ascii="Arial" w:hAnsi="Arial" w:cs="Arial"/>
        </w:rPr>
      </w:pPr>
    </w:p>
    <w:p w14:paraId="0F86F1FA" w14:textId="77777777" w:rsidR="00992FB6" w:rsidRPr="00992FB6" w:rsidRDefault="00992FB6" w:rsidP="00E40163">
      <w:pPr>
        <w:pStyle w:val="Heading2"/>
      </w:pPr>
      <w:bookmarkStart w:id="3" w:name="_Toc224833144"/>
      <w:r w:rsidRPr="00992FB6">
        <w:lastRenderedPageBreak/>
        <w:t>Element 3: Ethical Consideration and Awareness, and Reflective Insight</w:t>
      </w:r>
      <w:bookmarkEnd w:id="3"/>
    </w:p>
    <w:p w14:paraId="654BC125" w14:textId="07D14F0E" w:rsidR="009656C3" w:rsidRPr="009656C3" w:rsidRDefault="009656C3" w:rsidP="00E40163">
      <w:pPr>
        <w:spacing w:line="360" w:lineRule="auto"/>
        <w:jc w:val="both"/>
        <w:rPr>
          <w:rFonts w:ascii="Arial" w:hAnsi="Arial" w:cs="Arial"/>
        </w:rPr>
      </w:pPr>
      <w:r w:rsidRPr="009656C3">
        <w:rPr>
          <w:rFonts w:ascii="Arial" w:hAnsi="Arial" w:cs="Arial"/>
        </w:rPr>
        <w:t xml:space="preserve">Stakeholder engagement on major infrastructure projects, such as HS2 Curzon Street development, raises important moral issues. It’s not just technical delivery and economics; it raises concerns about fairness, transparency, community welfare, and organisational responsibility. However, as projects are frequently enacted amidst contested social contexts (Bourne, 2015), ethical stakeholder management is needed for project implementation success </w:t>
      </w:r>
      <w:r w:rsidR="002F1B1A" w:rsidRPr="002F1B1A">
        <w:rPr>
          <w:rFonts w:ascii="Arial" w:hAnsi="Arial" w:cs="Arial"/>
        </w:rPr>
        <w:t>and</w:t>
      </w:r>
      <w:r w:rsidRPr="009656C3">
        <w:rPr>
          <w:rFonts w:ascii="Arial" w:hAnsi="Arial" w:cs="Arial"/>
        </w:rPr>
        <w:t xml:space="preserve"> for public trust and legitimacy to be sustained.</w:t>
      </w:r>
    </w:p>
    <w:p w14:paraId="263D96F6" w14:textId="77777777" w:rsidR="009656C3" w:rsidRPr="009656C3" w:rsidRDefault="009656C3" w:rsidP="00E40163">
      <w:pPr>
        <w:spacing w:line="360" w:lineRule="auto"/>
        <w:rPr>
          <w:rFonts w:ascii="Arial" w:hAnsi="Arial" w:cs="Arial"/>
        </w:rPr>
      </w:pPr>
      <w:r w:rsidRPr="009656C3">
        <w:rPr>
          <w:rFonts w:ascii="Arial" w:hAnsi="Arial" w:cs="Arial"/>
        </w:rPr>
        <w:t>Ethical Considerations in Stakeholder Engagement</w:t>
      </w:r>
      <w:r w:rsidRPr="009656C3">
        <w:rPr>
          <w:rFonts w:ascii="Arial" w:hAnsi="Arial" w:cs="Arial"/>
        </w:rPr>
        <w:br/>
        <w:t xml:space="preserve">One of the chief ethical concerns during stakeholder management is to protect the rights of the stakeholders and the interests of the community. In the HS2 Curzon Street project, it is the community through the disruption, the displacement, and the environmental transformations that have impacted the local people first and foremost. Ethical engagement involves understanding these impacts and the need for stakeholders to be included and not excluded in the process of decision making. In accordance with his stakeholder theory, Freeman (1984) argues that organisations have a duty under a “stakeholder” ethics to </w:t>
      </w:r>
      <w:proofErr w:type="gramStart"/>
      <w:r w:rsidRPr="009656C3">
        <w:rPr>
          <w:rFonts w:ascii="Arial" w:hAnsi="Arial" w:cs="Arial"/>
        </w:rPr>
        <w:t>take into account</w:t>
      </w:r>
      <w:proofErr w:type="gramEnd"/>
      <w:r w:rsidRPr="009656C3">
        <w:rPr>
          <w:rFonts w:ascii="Arial" w:hAnsi="Arial" w:cs="Arial"/>
        </w:rPr>
        <w:t xml:space="preserve"> the interests of all stakeholders, not just those in power. But weighing national economic interests against local issues is a real ethical challenge.</w:t>
      </w:r>
    </w:p>
    <w:p w14:paraId="23D53223" w14:textId="77777777" w:rsidR="009656C3" w:rsidRPr="009656C3" w:rsidRDefault="009656C3" w:rsidP="00E40163">
      <w:pPr>
        <w:spacing w:line="360" w:lineRule="auto"/>
        <w:jc w:val="both"/>
        <w:rPr>
          <w:rFonts w:ascii="Arial" w:hAnsi="Arial" w:cs="Arial"/>
        </w:rPr>
      </w:pPr>
      <w:r w:rsidRPr="009656C3">
        <w:rPr>
          <w:rFonts w:ascii="Arial" w:hAnsi="Arial" w:cs="Arial"/>
        </w:rPr>
        <w:t>Transparency is also an important ethical principle. The project’s impacts, risks, and benefits must be clearly, accurately, and timely communicated to stakeholders. In larger infrastructure projects, there is also a tendency for communicating more esoteric and technical details, sometimes which will not be comprehensible for the masses. For this reason, this raises an ethical issue in the way that transparency is not solely about how information is presented but also whether it is available and significant rather than superficial (Rawlins, 2008). In the HS2 project, comprehensive communications have been revealed, albeit with reports and consultations, but the clarity and honesty of the communication, especially its environmental impacts and the cost planning, has been under fire.</w:t>
      </w:r>
    </w:p>
    <w:p w14:paraId="44F1293A" w14:textId="77777777" w:rsidR="009656C3" w:rsidRPr="009656C3" w:rsidRDefault="009656C3" w:rsidP="00E40163">
      <w:pPr>
        <w:spacing w:line="360" w:lineRule="auto"/>
        <w:jc w:val="both"/>
        <w:rPr>
          <w:rFonts w:ascii="Arial" w:hAnsi="Arial" w:cs="Arial"/>
        </w:rPr>
      </w:pPr>
      <w:r w:rsidRPr="009656C3">
        <w:rPr>
          <w:rFonts w:ascii="Arial" w:hAnsi="Arial" w:cs="Arial"/>
        </w:rPr>
        <w:t xml:space="preserve">Fairness in stakeholder involvement means treating all stakeholders equally (and not taking advantage of any one group over another), that is fair. Fair compensation for residents who have been directly afflicted, and a living account of the impact. But </w:t>
      </w:r>
      <w:r w:rsidRPr="009656C3">
        <w:rPr>
          <w:rFonts w:ascii="Arial" w:hAnsi="Arial" w:cs="Arial"/>
        </w:rPr>
        <w:lastRenderedPageBreak/>
        <w:t>stakeholders feeling that decisions prioritise economic efficiency over social equity might beget perceptions of injustice. The ethical tension between utilitarian approaches (maximising overall benefits) and justice-based approaches (ensuring fairness for individuals) is at play in this regard.</w:t>
      </w:r>
    </w:p>
    <w:p w14:paraId="72C77EF8" w14:textId="096A1617" w:rsidR="009656C3" w:rsidRPr="009656C3" w:rsidRDefault="009656C3" w:rsidP="00E40163">
      <w:pPr>
        <w:spacing w:line="360" w:lineRule="auto"/>
        <w:jc w:val="both"/>
        <w:rPr>
          <w:rFonts w:ascii="Arial" w:hAnsi="Arial" w:cs="Arial"/>
        </w:rPr>
      </w:pPr>
      <w:r w:rsidRPr="009656C3">
        <w:rPr>
          <w:rFonts w:ascii="Arial" w:hAnsi="Arial" w:cs="Arial"/>
        </w:rPr>
        <w:t xml:space="preserve">Responsibility goes </w:t>
      </w:r>
      <w:r w:rsidR="00E40163" w:rsidRPr="009656C3">
        <w:rPr>
          <w:rFonts w:ascii="Arial" w:hAnsi="Arial" w:cs="Arial"/>
        </w:rPr>
        <w:t>together</w:t>
      </w:r>
      <w:r w:rsidRPr="009656C3">
        <w:rPr>
          <w:rFonts w:ascii="Arial" w:hAnsi="Arial" w:cs="Arial"/>
        </w:rPr>
        <w:t xml:space="preserve"> with accountability. Project organisations like HS2 Ltd are responsible for alleviating negative impacts and addressing stakeholder concerns proactively. This is the case in keeping the environment and community and compliance with regulatory standards. It is also an ethical duty to acknowledge failure and address it when engagement strategies fall short.</w:t>
      </w:r>
    </w:p>
    <w:p w14:paraId="551DF234" w14:textId="77777777" w:rsidR="009656C3" w:rsidRPr="00992FB6" w:rsidRDefault="009656C3" w:rsidP="00E40163">
      <w:pPr>
        <w:spacing w:line="360" w:lineRule="auto"/>
        <w:jc w:val="both"/>
        <w:rPr>
          <w:rFonts w:ascii="Arial" w:hAnsi="Arial" w:cs="Arial"/>
        </w:rPr>
      </w:pPr>
    </w:p>
    <w:p w14:paraId="03E88657" w14:textId="77777777" w:rsidR="00992FB6" w:rsidRPr="002F1B1A" w:rsidRDefault="00992FB6" w:rsidP="00E40163">
      <w:pPr>
        <w:spacing w:line="360" w:lineRule="auto"/>
        <w:jc w:val="both"/>
        <w:rPr>
          <w:rFonts w:ascii="Arial" w:hAnsi="Arial" w:cs="Arial"/>
          <w:b/>
          <w:bCs/>
        </w:rPr>
      </w:pPr>
      <w:r w:rsidRPr="00992FB6">
        <w:rPr>
          <w:rFonts w:ascii="Arial" w:hAnsi="Arial" w:cs="Arial"/>
          <w:b/>
          <w:bCs/>
        </w:rPr>
        <w:t>Corporate Social Responsibility (CSR) and Stakeholder Management</w:t>
      </w:r>
    </w:p>
    <w:p w14:paraId="2BCAB065" w14:textId="0CC444F8" w:rsidR="009656C3" w:rsidRPr="009656C3" w:rsidRDefault="009656C3" w:rsidP="00E40163">
      <w:pPr>
        <w:spacing w:line="360" w:lineRule="auto"/>
        <w:jc w:val="both"/>
        <w:rPr>
          <w:rFonts w:ascii="Arial" w:hAnsi="Arial" w:cs="Arial"/>
        </w:rPr>
      </w:pPr>
      <w:r w:rsidRPr="009656C3">
        <w:rPr>
          <w:rFonts w:ascii="Arial" w:hAnsi="Arial" w:cs="Arial"/>
        </w:rPr>
        <w:t xml:space="preserve">CSR provides an approach for placing ethical aspects in its very structure, by means of a framework which integrates ethics into organizational practice. Corporate Social Responsibility (CSR) is another area of activity that emphasizes working for organizations in a spirit of social responsibility, balancing profit with social and environmental responsibilities (Carroll, 1991). Within the context of the HS2 Curzon Street project, CSR can be demonstrated at the following levels: investment in local economic development, job creation and skills training programmes, environmental mitigation strategies. These initiatives are an effort to provide some sort of co-created value to the group of participants. But the success of CSR depends on whether we can incorporate it as part of key project development strategies. The effectiveness of CSR, though, is contingent on whether it is embedded into major project strategies, not bolted to projects, and not some sort of supplement, but incorporated. Porter and Kramer (2006) state that organisations engaging CSR must become aligned with the organisational strategic objectives of CSR and therefore have effective effect. CSR is inherently tied to stakeholder management as an objective of the organisational framework, because it suggests that companies </w:t>
      </w:r>
      <w:r w:rsidR="00E40163" w:rsidRPr="009656C3">
        <w:rPr>
          <w:rFonts w:ascii="Arial" w:hAnsi="Arial" w:cs="Arial"/>
        </w:rPr>
        <w:t>must</w:t>
      </w:r>
      <w:r w:rsidRPr="009656C3">
        <w:rPr>
          <w:rFonts w:ascii="Arial" w:hAnsi="Arial" w:cs="Arial"/>
        </w:rPr>
        <w:t xml:space="preserve"> be sensitive to their stakeholders’ needs and the expectations of its constituents and how and when they react to them. In this sense, stakeholder engagement is both an instrument and result of CSR. Best-practice CSR can build trust, reputation and conflict resolution, while lack of implementation can result in accusations of greenwashing or shallow engagement.</w:t>
      </w:r>
    </w:p>
    <w:p w14:paraId="00FE284C" w14:textId="308AAA79" w:rsidR="009656C3" w:rsidRPr="00992FB6" w:rsidRDefault="009656C3" w:rsidP="00E40163">
      <w:pPr>
        <w:spacing w:line="360" w:lineRule="auto"/>
        <w:jc w:val="both"/>
        <w:rPr>
          <w:rFonts w:ascii="Arial" w:hAnsi="Arial" w:cs="Arial"/>
        </w:rPr>
      </w:pPr>
    </w:p>
    <w:p w14:paraId="77A9F1B0" w14:textId="77777777" w:rsidR="00992FB6" w:rsidRPr="00992FB6" w:rsidRDefault="00992FB6" w:rsidP="00E40163">
      <w:pPr>
        <w:spacing w:line="360" w:lineRule="auto"/>
        <w:jc w:val="both"/>
        <w:rPr>
          <w:rFonts w:ascii="Arial" w:hAnsi="Arial" w:cs="Arial"/>
          <w:b/>
          <w:bCs/>
        </w:rPr>
      </w:pPr>
      <w:r w:rsidRPr="00992FB6">
        <w:rPr>
          <w:rFonts w:ascii="Arial" w:hAnsi="Arial" w:cs="Arial"/>
          <w:b/>
          <w:bCs/>
        </w:rPr>
        <w:t>Sustainability and Ethical Responsibility</w:t>
      </w:r>
    </w:p>
    <w:p w14:paraId="1201D3EF" w14:textId="2116F0F4" w:rsidR="009656C3" w:rsidRDefault="00404314" w:rsidP="00E40163">
      <w:pPr>
        <w:spacing w:line="360" w:lineRule="auto"/>
        <w:jc w:val="both"/>
        <w:rPr>
          <w:rFonts w:ascii="Arial" w:hAnsi="Arial" w:cs="Arial"/>
        </w:rPr>
      </w:pPr>
      <w:r w:rsidRPr="002F1B1A">
        <w:rPr>
          <w:rFonts w:ascii="Arial" w:hAnsi="Arial" w:cs="Arial"/>
        </w:rPr>
        <w:t xml:space="preserve">Sustainability represents a fundamental aspect for responsible stakeholder management, especially in the case of infrastructure projects with long-term environmental and social impact. HS2 seeks to contribute to sustainable transport and is intended to cut carbon emissions through less reliance on cars and domestic flights. But this goal should be viewed in relation to the environmental costs of construction (like habitat disruption and resource consumption). The notion that sustainable development is meeting needs of the present while ensuring a sustainable tomorrow (Brundtland, 1987), is very applicable in such a scenario. Ethical and effective stakeholder engagement means addressing both existing and future stakeholders whose interests are not directly visible to the business. Pragmatically speaking, sustainability problems </w:t>
      </w:r>
      <w:r w:rsidR="00E40163" w:rsidRPr="002F1B1A">
        <w:rPr>
          <w:rFonts w:ascii="Arial" w:hAnsi="Arial" w:cs="Arial"/>
        </w:rPr>
        <w:t>are</w:t>
      </w:r>
      <w:r w:rsidRPr="002F1B1A">
        <w:rPr>
          <w:rFonts w:ascii="Arial" w:hAnsi="Arial" w:cs="Arial"/>
        </w:rPr>
        <w:t xml:space="preserve"> managing environmental trade-offs. Focuses on dealing with concerns of community on harms to the environment. Providing positive social and economic long-lasting effects. This demonstrates the difficulty of incorporating sustainability into stakeholder management which various stakeholders can find in their own definitions of sustainable business outcomes.</w:t>
      </w:r>
    </w:p>
    <w:p w14:paraId="32A2BAF6" w14:textId="77777777" w:rsidR="00E40163" w:rsidRDefault="00E40163" w:rsidP="00E40163">
      <w:pPr>
        <w:spacing w:line="360" w:lineRule="auto"/>
        <w:jc w:val="both"/>
        <w:rPr>
          <w:rFonts w:ascii="Arial" w:hAnsi="Arial" w:cs="Arial"/>
        </w:rPr>
      </w:pPr>
    </w:p>
    <w:p w14:paraId="098F3A7B" w14:textId="77777777" w:rsidR="00E40163" w:rsidRPr="00992FB6" w:rsidRDefault="00E40163" w:rsidP="00E40163">
      <w:pPr>
        <w:spacing w:line="360" w:lineRule="auto"/>
        <w:jc w:val="both"/>
        <w:rPr>
          <w:rFonts w:ascii="Arial" w:hAnsi="Arial" w:cs="Arial"/>
        </w:rPr>
      </w:pPr>
    </w:p>
    <w:p w14:paraId="3E891235" w14:textId="77777777" w:rsidR="00992FB6" w:rsidRPr="00992FB6" w:rsidRDefault="00992FB6" w:rsidP="00E40163">
      <w:pPr>
        <w:spacing w:line="360" w:lineRule="auto"/>
        <w:jc w:val="both"/>
        <w:rPr>
          <w:rFonts w:ascii="Arial" w:hAnsi="Arial" w:cs="Arial"/>
          <w:b/>
          <w:bCs/>
        </w:rPr>
      </w:pPr>
      <w:r w:rsidRPr="00992FB6">
        <w:rPr>
          <w:rFonts w:ascii="Arial" w:hAnsi="Arial" w:cs="Arial"/>
          <w:b/>
          <w:bCs/>
        </w:rPr>
        <w:t>Reflective Insight: Learning from Theory and Practice</w:t>
      </w:r>
    </w:p>
    <w:p w14:paraId="32DFDD40" w14:textId="78A7C905" w:rsidR="00992FB6" w:rsidRPr="00992FB6" w:rsidRDefault="00404314" w:rsidP="00E40163">
      <w:pPr>
        <w:spacing w:line="360" w:lineRule="auto"/>
        <w:jc w:val="both"/>
        <w:rPr>
          <w:rFonts w:ascii="Arial" w:hAnsi="Arial" w:cs="Arial"/>
        </w:rPr>
      </w:pPr>
      <w:r w:rsidRPr="002F1B1A">
        <w:rPr>
          <w:rFonts w:ascii="Arial" w:hAnsi="Arial" w:cs="Arial"/>
        </w:rPr>
        <w:t xml:space="preserve">Looking back at this analysis, we can see, for example, that in practice stakeholder management is more complicated than theory would like. Frameworks like the Power–Interest Grid are helpful for classifying stakeholders and designing engagement plans. But they do not always manage to convey the dynamic and evolving nature of stakeholder relationships. We also note that stakeholders who are originally low power may gain influence when engaged in collective action or media exposure. It was a prime example of this with the HS2 project where people from the community and activists could highlight the issues and get involved in a political conversation. It emphasized the need for agility and continuous stakeholder assessment. Freeman’s stakeholder theory and Arnstein’s (1969) Ladder of Participation have extended my knowledge around the ethical dimensions of engagement. They highlight the </w:t>
      </w:r>
      <w:r w:rsidRPr="002F1B1A">
        <w:rPr>
          <w:rFonts w:ascii="Arial" w:hAnsi="Arial" w:cs="Arial"/>
        </w:rPr>
        <w:lastRenderedPageBreak/>
        <w:t xml:space="preserve">importance of taking part in making things happen </w:t>
      </w:r>
      <w:r w:rsidR="002F1B1A" w:rsidRPr="002F1B1A">
        <w:rPr>
          <w:rFonts w:ascii="Arial" w:hAnsi="Arial" w:cs="Arial"/>
        </w:rPr>
        <w:t>to</w:t>
      </w:r>
      <w:r w:rsidRPr="002F1B1A">
        <w:rPr>
          <w:rFonts w:ascii="Arial" w:hAnsi="Arial" w:cs="Arial"/>
        </w:rPr>
        <w:t xml:space="preserve"> realise what is meant to be meaningful engagement. However, </w:t>
      </w:r>
      <w:r w:rsidR="002F1B1A" w:rsidRPr="002F1B1A">
        <w:rPr>
          <w:rFonts w:ascii="Arial" w:hAnsi="Arial" w:cs="Arial"/>
        </w:rPr>
        <w:t>making</w:t>
      </w:r>
      <w:r w:rsidRPr="002F1B1A">
        <w:rPr>
          <w:rFonts w:ascii="Arial" w:hAnsi="Arial" w:cs="Arial"/>
        </w:rPr>
        <w:t xml:space="preserve"> this impactful is difficult for most stakeholders due to time and resource constraints, as well as multiple conflicting interests.</w:t>
      </w:r>
    </w:p>
    <w:p w14:paraId="073322C3" w14:textId="77777777" w:rsidR="00992FB6" w:rsidRPr="00992FB6" w:rsidRDefault="00992FB6" w:rsidP="00E40163">
      <w:pPr>
        <w:spacing w:line="360" w:lineRule="auto"/>
        <w:jc w:val="both"/>
        <w:rPr>
          <w:rFonts w:ascii="Arial" w:hAnsi="Arial" w:cs="Arial"/>
          <w:b/>
          <w:bCs/>
        </w:rPr>
      </w:pPr>
      <w:r w:rsidRPr="00992FB6">
        <w:rPr>
          <w:rFonts w:ascii="Arial" w:hAnsi="Arial" w:cs="Arial"/>
          <w:b/>
          <w:bCs/>
        </w:rPr>
        <w:t>Skills Development and Future Relevance</w:t>
      </w:r>
    </w:p>
    <w:p w14:paraId="67846F39" w14:textId="0350802C" w:rsidR="00353B10" w:rsidRPr="002F1B1A" w:rsidRDefault="00404314" w:rsidP="00E40163">
      <w:pPr>
        <w:spacing w:line="360" w:lineRule="auto"/>
        <w:jc w:val="both"/>
        <w:rPr>
          <w:rFonts w:ascii="Arial" w:hAnsi="Arial" w:cs="Arial"/>
        </w:rPr>
      </w:pPr>
      <w:r w:rsidRPr="002F1B1A">
        <w:rPr>
          <w:rFonts w:ascii="Arial" w:hAnsi="Arial" w:cs="Arial"/>
        </w:rPr>
        <w:t xml:space="preserve">Since going through this </w:t>
      </w:r>
      <w:r w:rsidR="002F1B1A" w:rsidRPr="002F1B1A">
        <w:rPr>
          <w:rFonts w:ascii="Arial" w:hAnsi="Arial" w:cs="Arial"/>
        </w:rPr>
        <w:t>analysis,</w:t>
      </w:r>
      <w:r w:rsidRPr="002F1B1A">
        <w:rPr>
          <w:rFonts w:ascii="Arial" w:hAnsi="Arial" w:cs="Arial"/>
        </w:rPr>
        <w:t xml:space="preserve"> I have gained several fundamental skills both for academic and professional settings. For one, having applied theoretical frameworks to a real project has sharpened analytical thinking. Not only has this allowed me to enhance my skills at assessing relationships with stakeholders and engage with stakeholders, but it has also been helpful for my critical analysis of stakeholder engagement strategies. Second, I have gained competence in communication and interpretation, particularly in appreciating various stakeholders need different methods of communication. The necessity of clarity, accessibility and responsiveness is important for high level stakeholder involvement. Third, this project further developed my ethical perspectives on the larger social and environmental impacts of project choices. This is increasingly significant in present-day project management, where ethics are being prioritised. Finally, I now have critical thinking capabilities in order to critique assumptions while assessing stakeholder engagement practices. This is important for finding gaps between theory and practice. It is crucial during various roles that I undertake as my career progresses that I have these skills, whether it’s working in a business or public sector position, or doing whatever the best job is. The value of stakeholder management, good communication and ethical dilemmas are crucial in today’s business world. These skills will also aid me in completing my coursework, as they will help me to critically think analytically even on difficult topics and develop informed analyses. Ethical issues play a significant role in stakeholder involvement in large-scale projects such as HS2 Curzon Street. So </w:t>
      </w:r>
      <w:r w:rsidR="002F1B1A" w:rsidRPr="002F1B1A">
        <w:rPr>
          <w:rFonts w:ascii="Arial" w:hAnsi="Arial" w:cs="Arial"/>
        </w:rPr>
        <w:t>also,</w:t>
      </w:r>
      <w:r w:rsidRPr="002F1B1A">
        <w:rPr>
          <w:rFonts w:ascii="Arial" w:hAnsi="Arial" w:cs="Arial"/>
        </w:rPr>
        <w:t xml:space="preserve"> are the ethical dimensions of project management, issues related to community interest and transparency, fairness and responsibility. The implications of CSR and sustainability are </w:t>
      </w:r>
      <w:r w:rsidR="002F1B1A" w:rsidRPr="002F1B1A">
        <w:rPr>
          <w:rFonts w:ascii="Arial" w:hAnsi="Arial" w:cs="Arial"/>
        </w:rPr>
        <w:t>amplified,</w:t>
      </w:r>
      <w:r w:rsidRPr="002F1B1A">
        <w:rPr>
          <w:rFonts w:ascii="Arial" w:hAnsi="Arial" w:cs="Arial"/>
        </w:rPr>
        <w:t xml:space="preserve"> and organisations should take a balanced approach to address such objectives, balancing economic, social and environmental. Considering this discussion, it appears that stakeholder management is a dynamic and complex concept with diverse theoretical and pragmatic implications. The analytic, communication and ethical skills </w:t>
      </w:r>
      <w:r w:rsidRPr="002F1B1A">
        <w:rPr>
          <w:rFonts w:ascii="Arial" w:hAnsi="Arial" w:cs="Arial"/>
        </w:rPr>
        <w:lastRenderedPageBreak/>
        <w:t>in this work, among others, are indispensable for future academic and professional performance.</w:t>
      </w:r>
    </w:p>
    <w:p w14:paraId="015ED17A" w14:textId="77777777" w:rsidR="00353B10" w:rsidRPr="002F1B1A" w:rsidRDefault="00353B10" w:rsidP="00E40163">
      <w:pPr>
        <w:spacing w:line="360" w:lineRule="auto"/>
        <w:jc w:val="both"/>
        <w:rPr>
          <w:rFonts w:ascii="Arial" w:hAnsi="Arial" w:cs="Arial"/>
        </w:rPr>
      </w:pPr>
    </w:p>
    <w:p w14:paraId="5E2A33FA" w14:textId="77777777" w:rsidR="00992FB6" w:rsidRPr="00992FB6" w:rsidRDefault="00992FB6" w:rsidP="00E40163">
      <w:pPr>
        <w:pStyle w:val="Heading2"/>
      </w:pPr>
      <w:bookmarkStart w:id="4" w:name="_Toc224833145"/>
      <w:r w:rsidRPr="00992FB6">
        <w:t>Element 4: Conclusion and Recommendations</w:t>
      </w:r>
      <w:bookmarkEnd w:id="4"/>
    </w:p>
    <w:p w14:paraId="64D79C8E" w14:textId="77777777" w:rsidR="00861D87" w:rsidRPr="002F1B1A" w:rsidRDefault="00861D87" w:rsidP="00E40163">
      <w:pPr>
        <w:spacing w:line="360" w:lineRule="auto"/>
        <w:jc w:val="both"/>
        <w:rPr>
          <w:rFonts w:ascii="Arial" w:hAnsi="Arial" w:cs="Arial"/>
        </w:rPr>
      </w:pPr>
    </w:p>
    <w:p w14:paraId="475A51B6" w14:textId="5159448E" w:rsidR="00861D87" w:rsidRPr="002F1B1A" w:rsidRDefault="002F1B1A" w:rsidP="00E40163">
      <w:pPr>
        <w:spacing w:line="360" w:lineRule="auto"/>
        <w:jc w:val="both"/>
        <w:rPr>
          <w:rFonts w:ascii="Arial" w:hAnsi="Arial" w:cs="Arial"/>
        </w:rPr>
      </w:pPr>
      <w:r w:rsidRPr="002F1B1A">
        <w:rPr>
          <w:rFonts w:ascii="Arial" w:hAnsi="Arial" w:cs="Arial"/>
        </w:rPr>
        <w:t xml:space="preserve">This portfolio has looked at stakeholder engagement while working on the HS2 Curzon Street Station project, in which both strategic importance and the reality of this can be examined. The findings indicate that stakeholder management in infrastructure is a crucial issue in large projects, including large buildings, where varying interests, power and influence among multiple stakeholders are sought. The utility of frameworks such as the Power–Interest Grid has illustrated that formal stakeholder identification can drive focused engagement strategies. But the findings also suggest that, in practice, engagement is more frequently limited by interests beyond that of the relevant parties, by communication barriers and by difficulty in converting input from stakeholders into meaningful action. One of the main features is that there are several engagement frameworks put in place consultations, online forms of interaction, collaborative governance but their effectiveness is mixed. Especially local communities have a high level of interest but feel they have very little influence over decision making. This shows a dichotomy between theoretical best practice and that encountered in practice, with transparency, fairness and trust as the main concerns. From this analysis several suggestions can be drawn up. Stakeholder engagement must shift from consultation to authentic involvement, where stakeholders are a fundamental part of decision-making. Secondly, communication strategy should focus on clarity and accessibility: making technical information accessible to non-expert populations. Thirdly, consistent interaction must be ongoing throughout the life of the project as opposed to only at certain stages. Finally, by embedding Corporate Social Responsibility (CSR) as well as sustainability philosophy into project core strategy, long-term potential can be maximised with low friction for stakeholders. In summary, sound stakeholder involvement is the root of project success and sustainability. Not only does that result in easier project delivery, </w:t>
      </w:r>
      <w:r w:rsidR="00E40163" w:rsidRPr="002F1B1A">
        <w:rPr>
          <w:rFonts w:ascii="Arial" w:hAnsi="Arial" w:cs="Arial"/>
        </w:rPr>
        <w:t>but it</w:t>
      </w:r>
      <w:r w:rsidRPr="002F1B1A">
        <w:rPr>
          <w:rFonts w:ascii="Arial" w:hAnsi="Arial" w:cs="Arial"/>
        </w:rPr>
        <w:t xml:space="preserve"> also deepens social legitimacy and trust. As the HS2 Curzon Street project illustrates, projects which prioritise stakeholder involvement </w:t>
      </w:r>
      <w:r w:rsidRPr="002F1B1A">
        <w:rPr>
          <w:rFonts w:ascii="Arial" w:hAnsi="Arial" w:cs="Arial"/>
        </w:rPr>
        <w:lastRenderedPageBreak/>
        <w:t>inclusive, transparent and ethical are more likely to achieve sustainable outcomes and deliver lasting benefits to communities.</w:t>
      </w:r>
    </w:p>
    <w:p w14:paraId="10D8DBE3" w14:textId="77777777" w:rsidR="00861D87" w:rsidRPr="002F1B1A" w:rsidRDefault="00861D87" w:rsidP="00E40163">
      <w:pPr>
        <w:spacing w:line="360" w:lineRule="auto"/>
        <w:jc w:val="both"/>
        <w:rPr>
          <w:rFonts w:ascii="Arial" w:hAnsi="Arial" w:cs="Arial"/>
        </w:rPr>
      </w:pPr>
    </w:p>
    <w:p w14:paraId="217A71EB" w14:textId="77777777" w:rsidR="00861D87" w:rsidRPr="002F1B1A" w:rsidRDefault="00861D87" w:rsidP="00E40163">
      <w:pPr>
        <w:spacing w:line="360" w:lineRule="auto"/>
        <w:jc w:val="both"/>
        <w:rPr>
          <w:rFonts w:ascii="Arial" w:hAnsi="Arial" w:cs="Arial"/>
        </w:rPr>
      </w:pPr>
    </w:p>
    <w:p w14:paraId="16E3C5DE" w14:textId="77777777" w:rsidR="00861D87" w:rsidRPr="002F1B1A" w:rsidRDefault="00861D87" w:rsidP="002F1B1A">
      <w:pPr>
        <w:spacing w:line="360" w:lineRule="auto"/>
        <w:rPr>
          <w:rFonts w:ascii="Arial" w:hAnsi="Arial" w:cs="Arial"/>
        </w:rPr>
      </w:pPr>
    </w:p>
    <w:p w14:paraId="6BB2CD16" w14:textId="77777777" w:rsidR="00861D87" w:rsidRPr="002F1B1A" w:rsidRDefault="00861D87" w:rsidP="002F1B1A">
      <w:pPr>
        <w:spacing w:line="360" w:lineRule="auto"/>
        <w:rPr>
          <w:rFonts w:ascii="Arial" w:hAnsi="Arial" w:cs="Arial"/>
        </w:rPr>
      </w:pPr>
    </w:p>
    <w:p w14:paraId="5B664A8D" w14:textId="77777777" w:rsidR="00861D87" w:rsidRPr="002F1B1A" w:rsidRDefault="00861D87" w:rsidP="002F1B1A">
      <w:pPr>
        <w:spacing w:line="360" w:lineRule="auto"/>
        <w:rPr>
          <w:rFonts w:ascii="Arial" w:hAnsi="Arial" w:cs="Arial"/>
        </w:rPr>
      </w:pPr>
    </w:p>
    <w:p w14:paraId="03F9AE2E" w14:textId="77777777" w:rsidR="00861D87" w:rsidRPr="002F1B1A" w:rsidRDefault="00861D87" w:rsidP="002F1B1A">
      <w:pPr>
        <w:spacing w:line="360" w:lineRule="auto"/>
        <w:rPr>
          <w:rFonts w:ascii="Arial" w:hAnsi="Arial" w:cs="Arial"/>
        </w:rPr>
      </w:pPr>
    </w:p>
    <w:p w14:paraId="216CCBA9" w14:textId="77777777" w:rsidR="00861D87" w:rsidRPr="002F1B1A" w:rsidRDefault="00861D87" w:rsidP="002F1B1A">
      <w:pPr>
        <w:spacing w:line="360" w:lineRule="auto"/>
        <w:rPr>
          <w:rFonts w:ascii="Arial" w:hAnsi="Arial" w:cs="Arial"/>
        </w:rPr>
      </w:pPr>
    </w:p>
    <w:p w14:paraId="26DE57A1" w14:textId="77777777" w:rsidR="00861D87" w:rsidRPr="002F1B1A" w:rsidRDefault="00861D87" w:rsidP="002F1B1A">
      <w:pPr>
        <w:spacing w:line="360" w:lineRule="auto"/>
        <w:rPr>
          <w:rFonts w:ascii="Arial" w:hAnsi="Arial" w:cs="Arial"/>
        </w:rPr>
      </w:pPr>
    </w:p>
    <w:p w14:paraId="033045B7" w14:textId="77777777" w:rsidR="00861D87" w:rsidRPr="002F1B1A" w:rsidRDefault="00861D87" w:rsidP="002F1B1A">
      <w:pPr>
        <w:spacing w:line="360" w:lineRule="auto"/>
        <w:rPr>
          <w:rFonts w:ascii="Arial" w:hAnsi="Arial" w:cs="Arial"/>
        </w:rPr>
      </w:pPr>
    </w:p>
    <w:p w14:paraId="0DB7275A" w14:textId="77777777" w:rsidR="00861D87" w:rsidRPr="002F1B1A" w:rsidRDefault="00861D87" w:rsidP="002F1B1A">
      <w:pPr>
        <w:spacing w:line="360" w:lineRule="auto"/>
        <w:rPr>
          <w:rFonts w:ascii="Arial" w:hAnsi="Arial" w:cs="Arial"/>
        </w:rPr>
      </w:pPr>
    </w:p>
    <w:p w14:paraId="276EABE0" w14:textId="77777777" w:rsidR="002F1B1A" w:rsidRPr="002F1B1A" w:rsidRDefault="002F1B1A" w:rsidP="002F1B1A">
      <w:pPr>
        <w:spacing w:line="360" w:lineRule="auto"/>
        <w:rPr>
          <w:rFonts w:ascii="Arial" w:hAnsi="Arial" w:cs="Arial"/>
        </w:rPr>
      </w:pPr>
    </w:p>
    <w:p w14:paraId="1A9BB853" w14:textId="77777777" w:rsidR="002F1B1A" w:rsidRPr="002F1B1A" w:rsidRDefault="002F1B1A" w:rsidP="002F1B1A">
      <w:pPr>
        <w:spacing w:line="360" w:lineRule="auto"/>
        <w:rPr>
          <w:rFonts w:ascii="Arial" w:hAnsi="Arial" w:cs="Arial"/>
        </w:rPr>
      </w:pPr>
    </w:p>
    <w:p w14:paraId="52323A0C" w14:textId="77777777" w:rsidR="002F1B1A" w:rsidRPr="002F1B1A" w:rsidRDefault="002F1B1A" w:rsidP="002F1B1A">
      <w:pPr>
        <w:spacing w:line="360" w:lineRule="auto"/>
        <w:rPr>
          <w:rFonts w:ascii="Arial" w:hAnsi="Arial" w:cs="Arial"/>
        </w:rPr>
      </w:pPr>
    </w:p>
    <w:p w14:paraId="00C228E7" w14:textId="77777777" w:rsidR="002F1B1A" w:rsidRPr="002F1B1A" w:rsidRDefault="002F1B1A" w:rsidP="002F1B1A">
      <w:pPr>
        <w:spacing w:line="360" w:lineRule="auto"/>
        <w:rPr>
          <w:rFonts w:ascii="Arial" w:hAnsi="Arial" w:cs="Arial"/>
        </w:rPr>
      </w:pPr>
    </w:p>
    <w:p w14:paraId="6D6EEBB9" w14:textId="77777777" w:rsidR="00861D87" w:rsidRPr="002F1B1A" w:rsidRDefault="00861D87" w:rsidP="002F1B1A">
      <w:pPr>
        <w:spacing w:line="360" w:lineRule="auto"/>
        <w:rPr>
          <w:rFonts w:ascii="Arial" w:hAnsi="Arial" w:cs="Arial"/>
        </w:rPr>
      </w:pPr>
    </w:p>
    <w:p w14:paraId="6705C7E2" w14:textId="77777777" w:rsidR="00861D87" w:rsidRPr="002F1B1A" w:rsidRDefault="00861D87" w:rsidP="00E40163">
      <w:pPr>
        <w:pStyle w:val="Heading2"/>
      </w:pPr>
      <w:bookmarkStart w:id="5" w:name="_Toc224833146"/>
      <w:r w:rsidRPr="00861D87">
        <w:t>References (Harvard Style)</w:t>
      </w:r>
      <w:bookmarkEnd w:id="5"/>
    </w:p>
    <w:p w14:paraId="39FD6880" w14:textId="77777777" w:rsidR="00861D87" w:rsidRPr="00861D87" w:rsidRDefault="00861D87" w:rsidP="002F1B1A">
      <w:pPr>
        <w:spacing w:line="360" w:lineRule="auto"/>
        <w:rPr>
          <w:rFonts w:ascii="Arial" w:hAnsi="Arial" w:cs="Arial"/>
          <w:b/>
          <w:bCs/>
        </w:rPr>
      </w:pPr>
    </w:p>
    <w:p w14:paraId="63D207CF" w14:textId="77777777" w:rsidR="00861D87" w:rsidRPr="00861D87" w:rsidRDefault="00861D87" w:rsidP="002F1B1A">
      <w:pPr>
        <w:spacing w:line="360" w:lineRule="auto"/>
        <w:rPr>
          <w:rFonts w:ascii="Arial" w:hAnsi="Arial" w:cs="Arial"/>
        </w:rPr>
      </w:pPr>
      <w:r w:rsidRPr="00861D87">
        <w:rPr>
          <w:rFonts w:ascii="Arial" w:hAnsi="Arial" w:cs="Arial"/>
        </w:rPr>
        <w:t xml:space="preserve">Arnstein, S.R. (1969) ‘A Ladder of Citizen Participation’, </w:t>
      </w:r>
      <w:r w:rsidRPr="00861D87">
        <w:rPr>
          <w:rFonts w:ascii="Arial" w:hAnsi="Arial" w:cs="Arial"/>
          <w:i/>
          <w:iCs/>
        </w:rPr>
        <w:t>Journal of the American Institute of Planners</w:t>
      </w:r>
      <w:r w:rsidRPr="00861D87">
        <w:rPr>
          <w:rFonts w:ascii="Arial" w:hAnsi="Arial" w:cs="Arial"/>
        </w:rPr>
        <w:t>, 35(4), pp. 216–224.</w:t>
      </w:r>
    </w:p>
    <w:p w14:paraId="0B8280D2" w14:textId="77777777" w:rsidR="00861D87" w:rsidRPr="00861D87" w:rsidRDefault="00861D87" w:rsidP="002F1B1A">
      <w:pPr>
        <w:spacing w:line="360" w:lineRule="auto"/>
        <w:rPr>
          <w:rFonts w:ascii="Arial" w:hAnsi="Arial" w:cs="Arial"/>
        </w:rPr>
      </w:pPr>
      <w:r w:rsidRPr="00861D87">
        <w:rPr>
          <w:rFonts w:ascii="Arial" w:hAnsi="Arial" w:cs="Arial"/>
        </w:rPr>
        <w:t xml:space="preserve">Bourne, L. (2015) </w:t>
      </w:r>
      <w:r w:rsidRPr="00861D87">
        <w:rPr>
          <w:rFonts w:ascii="Arial" w:hAnsi="Arial" w:cs="Arial"/>
          <w:i/>
          <w:iCs/>
        </w:rPr>
        <w:t>Stakeholder Relationship Management: A Maturity Model for Organisational Implementation</w:t>
      </w:r>
      <w:r w:rsidRPr="00861D87">
        <w:rPr>
          <w:rFonts w:ascii="Arial" w:hAnsi="Arial" w:cs="Arial"/>
        </w:rPr>
        <w:t xml:space="preserve">. 2nd </w:t>
      </w:r>
      <w:proofErr w:type="spellStart"/>
      <w:r w:rsidRPr="00861D87">
        <w:rPr>
          <w:rFonts w:ascii="Arial" w:hAnsi="Arial" w:cs="Arial"/>
        </w:rPr>
        <w:t>edn</w:t>
      </w:r>
      <w:proofErr w:type="spellEnd"/>
      <w:r w:rsidRPr="00861D87">
        <w:rPr>
          <w:rFonts w:ascii="Arial" w:hAnsi="Arial" w:cs="Arial"/>
        </w:rPr>
        <w:t>. Farnham: Gower.</w:t>
      </w:r>
    </w:p>
    <w:p w14:paraId="2894ABFE" w14:textId="77777777" w:rsidR="00861D87" w:rsidRPr="00861D87" w:rsidRDefault="00861D87" w:rsidP="002F1B1A">
      <w:pPr>
        <w:spacing w:line="360" w:lineRule="auto"/>
        <w:rPr>
          <w:rFonts w:ascii="Arial" w:hAnsi="Arial" w:cs="Arial"/>
        </w:rPr>
      </w:pPr>
      <w:r w:rsidRPr="00861D87">
        <w:rPr>
          <w:rFonts w:ascii="Arial" w:hAnsi="Arial" w:cs="Arial"/>
        </w:rPr>
        <w:t xml:space="preserve">Brundtland, G.H. (1987) </w:t>
      </w:r>
      <w:r w:rsidRPr="00861D87">
        <w:rPr>
          <w:rFonts w:ascii="Arial" w:hAnsi="Arial" w:cs="Arial"/>
          <w:i/>
          <w:iCs/>
        </w:rPr>
        <w:t>Our Common Future</w:t>
      </w:r>
      <w:r w:rsidRPr="00861D87">
        <w:rPr>
          <w:rFonts w:ascii="Arial" w:hAnsi="Arial" w:cs="Arial"/>
        </w:rPr>
        <w:t>. Oxford: Oxford University Press.</w:t>
      </w:r>
    </w:p>
    <w:p w14:paraId="6A96EF7C" w14:textId="77777777" w:rsidR="00861D87" w:rsidRPr="00861D87" w:rsidRDefault="00861D87" w:rsidP="002F1B1A">
      <w:pPr>
        <w:spacing w:line="360" w:lineRule="auto"/>
        <w:rPr>
          <w:rFonts w:ascii="Arial" w:hAnsi="Arial" w:cs="Arial"/>
        </w:rPr>
      </w:pPr>
      <w:r w:rsidRPr="00861D87">
        <w:rPr>
          <w:rFonts w:ascii="Arial" w:hAnsi="Arial" w:cs="Arial"/>
        </w:rPr>
        <w:lastRenderedPageBreak/>
        <w:t xml:space="preserve">Carroll, A.B. (1991) ‘The Pyramid of Corporate Social Responsibility: Toward the Moral Management of Organizational Stakeholders’, </w:t>
      </w:r>
      <w:r w:rsidRPr="00861D87">
        <w:rPr>
          <w:rFonts w:ascii="Arial" w:hAnsi="Arial" w:cs="Arial"/>
          <w:i/>
          <w:iCs/>
        </w:rPr>
        <w:t>Business Horizons</w:t>
      </w:r>
      <w:r w:rsidRPr="00861D87">
        <w:rPr>
          <w:rFonts w:ascii="Arial" w:hAnsi="Arial" w:cs="Arial"/>
        </w:rPr>
        <w:t>, 34(4), pp. 39–48.</w:t>
      </w:r>
    </w:p>
    <w:p w14:paraId="3B6E5B70" w14:textId="77777777" w:rsidR="00861D87" w:rsidRPr="00861D87" w:rsidRDefault="00861D87" w:rsidP="002F1B1A">
      <w:pPr>
        <w:spacing w:line="360" w:lineRule="auto"/>
        <w:rPr>
          <w:rFonts w:ascii="Arial" w:hAnsi="Arial" w:cs="Arial"/>
        </w:rPr>
      </w:pPr>
      <w:r w:rsidRPr="00861D87">
        <w:rPr>
          <w:rFonts w:ascii="Arial" w:hAnsi="Arial" w:cs="Arial"/>
        </w:rPr>
        <w:t xml:space="preserve">Freeman, R.E. (1984) </w:t>
      </w:r>
      <w:r w:rsidRPr="00861D87">
        <w:rPr>
          <w:rFonts w:ascii="Arial" w:hAnsi="Arial" w:cs="Arial"/>
          <w:i/>
          <w:iCs/>
        </w:rPr>
        <w:t>Strategic Management: A Stakeholder Approach</w:t>
      </w:r>
      <w:r w:rsidRPr="00861D87">
        <w:rPr>
          <w:rFonts w:ascii="Arial" w:hAnsi="Arial" w:cs="Arial"/>
        </w:rPr>
        <w:t>. Boston: Pitman.</w:t>
      </w:r>
    </w:p>
    <w:p w14:paraId="13B6A70A" w14:textId="77777777" w:rsidR="00861D87" w:rsidRPr="00861D87" w:rsidRDefault="00861D87" w:rsidP="002F1B1A">
      <w:pPr>
        <w:spacing w:line="360" w:lineRule="auto"/>
        <w:rPr>
          <w:rFonts w:ascii="Arial" w:hAnsi="Arial" w:cs="Arial"/>
        </w:rPr>
      </w:pPr>
      <w:r w:rsidRPr="00861D87">
        <w:rPr>
          <w:rFonts w:ascii="Arial" w:hAnsi="Arial" w:cs="Arial"/>
        </w:rPr>
        <w:t xml:space="preserve">Mendelow, A.L. (1991) ‘Stakeholder Mapping’, in </w:t>
      </w:r>
      <w:r w:rsidRPr="00861D87">
        <w:rPr>
          <w:rFonts w:ascii="Arial" w:hAnsi="Arial" w:cs="Arial"/>
          <w:i/>
          <w:iCs/>
        </w:rPr>
        <w:t>Proceedings of the 2nd International Conference on Information Systems</w:t>
      </w:r>
      <w:r w:rsidRPr="00861D87">
        <w:rPr>
          <w:rFonts w:ascii="Arial" w:hAnsi="Arial" w:cs="Arial"/>
        </w:rPr>
        <w:t>. Cambridge, MA.</w:t>
      </w:r>
    </w:p>
    <w:p w14:paraId="6132EBD2" w14:textId="77777777" w:rsidR="00861D87" w:rsidRPr="00861D87" w:rsidRDefault="00861D87" w:rsidP="002F1B1A">
      <w:pPr>
        <w:spacing w:line="360" w:lineRule="auto"/>
        <w:rPr>
          <w:rFonts w:ascii="Arial" w:hAnsi="Arial" w:cs="Arial"/>
        </w:rPr>
      </w:pPr>
      <w:r w:rsidRPr="00861D87">
        <w:rPr>
          <w:rFonts w:ascii="Arial" w:hAnsi="Arial" w:cs="Arial"/>
        </w:rPr>
        <w:t xml:space="preserve">Porter, M.E. and Kramer, M.R. (2006) ‘Strategy and Society: The Link Between Competitive Advantage and Corporate Social Responsibility’, </w:t>
      </w:r>
      <w:r w:rsidRPr="00861D87">
        <w:rPr>
          <w:rFonts w:ascii="Arial" w:hAnsi="Arial" w:cs="Arial"/>
          <w:i/>
          <w:iCs/>
        </w:rPr>
        <w:t>Harvard Business Review</w:t>
      </w:r>
      <w:r w:rsidRPr="00861D87">
        <w:rPr>
          <w:rFonts w:ascii="Arial" w:hAnsi="Arial" w:cs="Arial"/>
        </w:rPr>
        <w:t>, 84(12), pp. 78–92.</w:t>
      </w:r>
    </w:p>
    <w:p w14:paraId="798DB22D" w14:textId="77777777" w:rsidR="00861D87" w:rsidRPr="00861D87" w:rsidRDefault="00861D87" w:rsidP="002F1B1A">
      <w:pPr>
        <w:spacing w:line="360" w:lineRule="auto"/>
        <w:rPr>
          <w:rFonts w:ascii="Arial" w:hAnsi="Arial" w:cs="Arial"/>
        </w:rPr>
      </w:pPr>
      <w:r w:rsidRPr="00861D87">
        <w:rPr>
          <w:rFonts w:ascii="Arial" w:hAnsi="Arial" w:cs="Arial"/>
        </w:rPr>
        <w:t xml:space="preserve">Project Management Institute (PMI) (2017) </w:t>
      </w:r>
      <w:r w:rsidRPr="00861D87">
        <w:rPr>
          <w:rFonts w:ascii="Arial" w:hAnsi="Arial" w:cs="Arial"/>
          <w:i/>
          <w:iCs/>
        </w:rPr>
        <w:t>A Guide to the Project Management Body of Knowledge (PMBOK® Guide)</w:t>
      </w:r>
      <w:r w:rsidRPr="00861D87">
        <w:rPr>
          <w:rFonts w:ascii="Arial" w:hAnsi="Arial" w:cs="Arial"/>
        </w:rPr>
        <w:t xml:space="preserve">. 6th </w:t>
      </w:r>
      <w:proofErr w:type="spellStart"/>
      <w:r w:rsidRPr="00861D87">
        <w:rPr>
          <w:rFonts w:ascii="Arial" w:hAnsi="Arial" w:cs="Arial"/>
        </w:rPr>
        <w:t>edn</w:t>
      </w:r>
      <w:proofErr w:type="spellEnd"/>
      <w:r w:rsidRPr="00861D87">
        <w:rPr>
          <w:rFonts w:ascii="Arial" w:hAnsi="Arial" w:cs="Arial"/>
        </w:rPr>
        <w:t>. Newtown Square, PA: PMI.</w:t>
      </w:r>
    </w:p>
    <w:p w14:paraId="4BF94ED9" w14:textId="77777777" w:rsidR="00861D87" w:rsidRPr="00861D87" w:rsidRDefault="00861D87" w:rsidP="002F1B1A">
      <w:pPr>
        <w:spacing w:line="360" w:lineRule="auto"/>
        <w:rPr>
          <w:rFonts w:ascii="Arial" w:hAnsi="Arial" w:cs="Arial"/>
        </w:rPr>
      </w:pPr>
      <w:r w:rsidRPr="00861D87">
        <w:rPr>
          <w:rFonts w:ascii="Arial" w:hAnsi="Arial" w:cs="Arial"/>
        </w:rPr>
        <w:t xml:space="preserve">Rawlins, B.L. (2008) ‘Measuring the Relationship Between Organizational Transparency and Employee Trust’, </w:t>
      </w:r>
      <w:r w:rsidRPr="00861D87">
        <w:rPr>
          <w:rFonts w:ascii="Arial" w:hAnsi="Arial" w:cs="Arial"/>
          <w:i/>
          <w:iCs/>
        </w:rPr>
        <w:t>Public Relations Journal</w:t>
      </w:r>
      <w:r w:rsidRPr="00861D87">
        <w:rPr>
          <w:rFonts w:ascii="Arial" w:hAnsi="Arial" w:cs="Arial"/>
        </w:rPr>
        <w:t>, 2(2), pp. 1–21.</w:t>
      </w:r>
    </w:p>
    <w:p w14:paraId="0ED6752D" w14:textId="77777777" w:rsidR="00861D87" w:rsidRPr="00861D87" w:rsidRDefault="00861D87" w:rsidP="002F1B1A">
      <w:pPr>
        <w:spacing w:line="360" w:lineRule="auto"/>
        <w:rPr>
          <w:rFonts w:ascii="Arial" w:hAnsi="Arial" w:cs="Arial"/>
        </w:rPr>
      </w:pPr>
      <w:r w:rsidRPr="00861D87">
        <w:rPr>
          <w:rFonts w:ascii="Arial" w:hAnsi="Arial" w:cs="Arial"/>
        </w:rPr>
        <w:t xml:space="preserve">High Speed Two (HS2) Ltd (2023) </w:t>
      </w:r>
      <w:r w:rsidRPr="00861D87">
        <w:rPr>
          <w:rFonts w:ascii="Arial" w:hAnsi="Arial" w:cs="Arial"/>
          <w:i/>
          <w:iCs/>
        </w:rPr>
        <w:t>HS2 Phase One: Environmental Statement and Community Engagement Reports</w:t>
      </w:r>
      <w:r w:rsidRPr="00861D87">
        <w:rPr>
          <w:rFonts w:ascii="Arial" w:hAnsi="Arial" w:cs="Arial"/>
        </w:rPr>
        <w:t>. London: HS2 Ltd.</w:t>
      </w:r>
    </w:p>
    <w:p w14:paraId="77281DD4" w14:textId="77777777" w:rsidR="00861D87" w:rsidRPr="002F1B1A" w:rsidRDefault="00861D87" w:rsidP="002F1B1A">
      <w:pPr>
        <w:spacing w:line="360" w:lineRule="auto"/>
        <w:rPr>
          <w:rFonts w:ascii="Arial" w:hAnsi="Arial" w:cs="Arial"/>
        </w:rPr>
      </w:pPr>
    </w:p>
    <w:sectPr w:rsidR="00861D87" w:rsidRPr="002F1B1A">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13C6D6" w14:textId="77777777" w:rsidR="007E2207" w:rsidRDefault="007E2207" w:rsidP="00353B10">
      <w:pPr>
        <w:spacing w:after="0" w:line="240" w:lineRule="auto"/>
      </w:pPr>
      <w:r>
        <w:separator/>
      </w:r>
    </w:p>
  </w:endnote>
  <w:endnote w:type="continuationSeparator" w:id="0">
    <w:p w14:paraId="000D83A8" w14:textId="77777777" w:rsidR="007E2207" w:rsidRDefault="007E2207" w:rsidP="00353B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CA6D6C" w14:textId="77777777" w:rsidR="007E2207" w:rsidRDefault="007E2207" w:rsidP="00353B10">
      <w:pPr>
        <w:spacing w:after="0" w:line="240" w:lineRule="auto"/>
      </w:pPr>
      <w:r>
        <w:separator/>
      </w:r>
    </w:p>
  </w:footnote>
  <w:footnote w:type="continuationSeparator" w:id="0">
    <w:p w14:paraId="462FBD89" w14:textId="77777777" w:rsidR="007E2207" w:rsidRDefault="007E2207" w:rsidP="00353B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3449341"/>
      <w:docPartObj>
        <w:docPartGallery w:val="Page Numbers (Top of Page)"/>
        <w:docPartUnique/>
      </w:docPartObj>
    </w:sdtPr>
    <w:sdtEndPr>
      <w:rPr>
        <w:color w:val="7F7F7F" w:themeColor="background1" w:themeShade="7F"/>
        <w:spacing w:val="60"/>
      </w:rPr>
    </w:sdtEndPr>
    <w:sdtContent>
      <w:p w14:paraId="535D55E9" w14:textId="58E25FFF" w:rsidR="00353B10" w:rsidRDefault="00353B10">
        <w:pPr>
          <w:pStyle w:val="Header"/>
          <w:pBdr>
            <w:bottom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1D68B631" w14:textId="77777777" w:rsidR="00353B10" w:rsidRDefault="00353B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670C8"/>
    <w:multiLevelType w:val="multilevel"/>
    <w:tmpl w:val="FF3AF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3210FB"/>
    <w:multiLevelType w:val="multilevel"/>
    <w:tmpl w:val="4FBC4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666BA0"/>
    <w:multiLevelType w:val="multilevel"/>
    <w:tmpl w:val="6F940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AE5276"/>
    <w:multiLevelType w:val="multilevel"/>
    <w:tmpl w:val="A0100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AD23AA"/>
    <w:multiLevelType w:val="multilevel"/>
    <w:tmpl w:val="F39A1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F35D6C"/>
    <w:multiLevelType w:val="multilevel"/>
    <w:tmpl w:val="60FAD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A35B5A"/>
    <w:multiLevelType w:val="multilevel"/>
    <w:tmpl w:val="92FE8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C22D61"/>
    <w:multiLevelType w:val="multilevel"/>
    <w:tmpl w:val="3D50A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3678A6"/>
    <w:multiLevelType w:val="multilevel"/>
    <w:tmpl w:val="B28C1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B91433"/>
    <w:multiLevelType w:val="multilevel"/>
    <w:tmpl w:val="339EA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5125D7"/>
    <w:multiLevelType w:val="multilevel"/>
    <w:tmpl w:val="BD9A3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0"/>
  </w:num>
  <w:num w:numId="3">
    <w:abstractNumId w:val="1"/>
  </w:num>
  <w:num w:numId="4">
    <w:abstractNumId w:val="5"/>
  </w:num>
  <w:num w:numId="5">
    <w:abstractNumId w:val="7"/>
  </w:num>
  <w:num w:numId="6">
    <w:abstractNumId w:val="8"/>
  </w:num>
  <w:num w:numId="7">
    <w:abstractNumId w:val="6"/>
  </w:num>
  <w:num w:numId="8">
    <w:abstractNumId w:val="2"/>
  </w:num>
  <w:num w:numId="9">
    <w:abstractNumId w:val="4"/>
  </w:num>
  <w:num w:numId="10">
    <w:abstractNumId w:val="1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B10"/>
    <w:rsid w:val="001E03E8"/>
    <w:rsid w:val="002F1B1A"/>
    <w:rsid w:val="003137D2"/>
    <w:rsid w:val="00353B10"/>
    <w:rsid w:val="00404314"/>
    <w:rsid w:val="005C1025"/>
    <w:rsid w:val="00754C48"/>
    <w:rsid w:val="007D7A64"/>
    <w:rsid w:val="007E2207"/>
    <w:rsid w:val="00861D87"/>
    <w:rsid w:val="00951857"/>
    <w:rsid w:val="009656C3"/>
    <w:rsid w:val="00992FB6"/>
    <w:rsid w:val="00A929BF"/>
    <w:rsid w:val="00AD2FD3"/>
    <w:rsid w:val="00DF6D4B"/>
    <w:rsid w:val="00E401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9587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929BF"/>
  </w:style>
  <w:style w:type="paragraph" w:styleId="Heading1">
    <w:name w:val="heading 1"/>
    <w:basedOn w:val="Normal"/>
    <w:next w:val="Normal"/>
    <w:link w:val="Heading1Char"/>
    <w:uiPriority w:val="9"/>
    <w:qFormat/>
    <w:rsid w:val="00A92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2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29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29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29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29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29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29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29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9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29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29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29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29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29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9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9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9BF"/>
    <w:rPr>
      <w:rFonts w:eastAsiaTheme="majorEastAsia" w:cstheme="majorBidi"/>
      <w:color w:val="272727" w:themeColor="text1" w:themeTint="D8"/>
    </w:rPr>
  </w:style>
  <w:style w:type="paragraph" w:styleId="Title">
    <w:name w:val="Title"/>
    <w:basedOn w:val="Normal"/>
    <w:next w:val="Normal"/>
    <w:link w:val="TitleChar"/>
    <w:uiPriority w:val="10"/>
    <w:qFormat/>
    <w:rsid w:val="00A92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9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9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9BF"/>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A929BF"/>
    <w:pPr>
      <w:ind w:left="720"/>
      <w:contextualSpacing/>
    </w:pPr>
  </w:style>
  <w:style w:type="paragraph" w:styleId="Quote">
    <w:name w:val="Quote"/>
    <w:basedOn w:val="Normal"/>
    <w:next w:val="Normal"/>
    <w:link w:val="QuoteChar"/>
    <w:uiPriority w:val="29"/>
    <w:qFormat/>
    <w:rsid w:val="00A929BF"/>
    <w:pPr>
      <w:spacing w:before="160"/>
      <w:jc w:val="center"/>
    </w:pPr>
    <w:rPr>
      <w:i/>
      <w:iCs/>
      <w:color w:val="404040" w:themeColor="text1" w:themeTint="BF"/>
    </w:rPr>
  </w:style>
  <w:style w:type="character" w:customStyle="1" w:styleId="QuoteChar">
    <w:name w:val="Quote Char"/>
    <w:basedOn w:val="DefaultParagraphFont"/>
    <w:link w:val="Quote"/>
    <w:uiPriority w:val="29"/>
    <w:rsid w:val="00A929BF"/>
    <w:rPr>
      <w:i/>
      <w:iCs/>
      <w:color w:val="404040" w:themeColor="text1" w:themeTint="BF"/>
    </w:rPr>
  </w:style>
  <w:style w:type="paragraph" w:styleId="IntenseQuote">
    <w:name w:val="Intense Quote"/>
    <w:basedOn w:val="Normal"/>
    <w:next w:val="Normal"/>
    <w:link w:val="IntenseQuoteChar"/>
    <w:uiPriority w:val="30"/>
    <w:qFormat/>
    <w:rsid w:val="00A92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29BF"/>
    <w:rPr>
      <w:i/>
      <w:iCs/>
      <w:color w:val="0F4761" w:themeColor="accent1" w:themeShade="BF"/>
    </w:rPr>
  </w:style>
  <w:style w:type="character" w:styleId="IntenseEmphasis">
    <w:name w:val="Intense Emphasis"/>
    <w:basedOn w:val="DefaultParagraphFont"/>
    <w:uiPriority w:val="21"/>
    <w:qFormat/>
    <w:rsid w:val="00A929BF"/>
    <w:rPr>
      <w:i/>
      <w:iCs/>
      <w:color w:val="0F4761" w:themeColor="accent1" w:themeShade="BF"/>
    </w:rPr>
  </w:style>
  <w:style w:type="character" w:styleId="IntenseReference">
    <w:name w:val="Intense Reference"/>
    <w:basedOn w:val="DefaultParagraphFont"/>
    <w:uiPriority w:val="32"/>
    <w:qFormat/>
    <w:rsid w:val="00A929BF"/>
    <w:rPr>
      <w:b/>
      <w:bCs/>
      <w:smallCaps/>
      <w:color w:val="0F4761" w:themeColor="accent1" w:themeShade="BF"/>
      <w:spacing w:val="5"/>
    </w:rPr>
  </w:style>
  <w:style w:type="character" w:styleId="Strong">
    <w:name w:val="Strong"/>
    <w:basedOn w:val="DefaultParagraphFont"/>
    <w:uiPriority w:val="22"/>
    <w:qFormat/>
    <w:rsid w:val="00353B10"/>
    <w:rPr>
      <w:b/>
      <w:bCs/>
    </w:rPr>
  </w:style>
  <w:style w:type="paragraph" w:styleId="Header">
    <w:name w:val="header"/>
    <w:basedOn w:val="Normal"/>
    <w:link w:val="HeaderChar"/>
    <w:uiPriority w:val="99"/>
    <w:unhideWhenUsed/>
    <w:rsid w:val="00353B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3B10"/>
  </w:style>
  <w:style w:type="paragraph" w:styleId="Footer">
    <w:name w:val="footer"/>
    <w:basedOn w:val="Normal"/>
    <w:link w:val="FooterChar"/>
    <w:uiPriority w:val="99"/>
    <w:unhideWhenUsed/>
    <w:rsid w:val="00353B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3B10"/>
  </w:style>
  <w:style w:type="table" w:styleId="TableGrid">
    <w:name w:val="Table Grid"/>
    <w:basedOn w:val="TableNormal"/>
    <w:uiPriority w:val="39"/>
    <w:rsid w:val="00992F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4">
    <w:name w:val="Grid Table 4 Accent 4"/>
    <w:basedOn w:val="TableNormal"/>
    <w:uiPriority w:val="49"/>
    <w:rsid w:val="00992FB6"/>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paragraph" w:styleId="TOCHeading">
    <w:name w:val="TOC Heading"/>
    <w:basedOn w:val="Heading1"/>
    <w:next w:val="Normal"/>
    <w:uiPriority w:val="39"/>
    <w:unhideWhenUsed/>
    <w:qFormat/>
    <w:rsid w:val="00E40163"/>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E40163"/>
    <w:pPr>
      <w:spacing w:after="100"/>
      <w:ind w:left="240"/>
    </w:pPr>
  </w:style>
  <w:style w:type="character" w:styleId="Hyperlink">
    <w:name w:val="Hyperlink"/>
    <w:basedOn w:val="DefaultParagraphFont"/>
    <w:uiPriority w:val="99"/>
    <w:unhideWhenUsed/>
    <w:rsid w:val="00E4016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76C634-F6DF-4CA0-B164-A5F5BD372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3721</Words>
  <Characters>21216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2026-03-19T17:24:00Z</dcterms:created>
  <dcterms:modified xsi:type="dcterms:W3CDTF">2026-03-21T10:22:00Z</dcterms:modified>
</cp:coreProperties>
</file>