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570FA5" w14:textId="53DC3B60" w:rsidR="0039588E" w:rsidRDefault="16BA92F0" w:rsidP="4B398854">
      <w:pPr>
        <w:rPr>
          <w:rFonts w:ascii="Aptos" w:eastAsia="Aptos" w:hAnsi="Aptos" w:cs="Aptos"/>
          <w:color w:val="000000" w:themeColor="text1"/>
        </w:rPr>
      </w:pPr>
      <w:r>
        <w:rPr>
          <w:noProof/>
        </w:rPr>
        <w:drawing>
          <wp:inline distT="0" distB="0" distL="0" distR="0" wp14:anchorId="786B77C3" wp14:editId="39DFA75B">
            <wp:extent cx="3429000" cy="1200150"/>
            <wp:effectExtent l="0" t="0" r="0" b="0"/>
            <wp:docPr id="17280923" name="drawing" title="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0923" name="Picture 17280923"/>
                    <pic:cNvPicPr/>
                  </pic:nvPicPr>
                  <pic:blipFill>
                    <a:blip r:embed="rId7">
                      <a:extLst>
                        <a:ext uri="{28A0092B-C50C-407E-A947-70E740481C1C}">
                          <a14:useLocalDpi xmlns:a14="http://schemas.microsoft.com/office/drawing/2010/main"/>
                        </a:ext>
                      </a:extLst>
                    </a:blip>
                    <a:stretch>
                      <a:fillRect/>
                    </a:stretch>
                  </pic:blipFill>
                  <pic:spPr>
                    <a:xfrm>
                      <a:off x="0" y="0"/>
                      <a:ext cx="3429000" cy="1200150"/>
                    </a:xfrm>
                    <a:prstGeom prst="rect">
                      <a:avLst/>
                    </a:prstGeom>
                  </pic:spPr>
                </pic:pic>
              </a:graphicData>
            </a:graphic>
          </wp:inline>
        </w:drawing>
      </w:r>
    </w:p>
    <w:p w14:paraId="7C2F7B57" w14:textId="7229E382" w:rsidR="0039588E" w:rsidRDefault="0039588E" w:rsidP="4B398854">
      <w:pPr>
        <w:rPr>
          <w:rFonts w:ascii="Aptos" w:eastAsia="Aptos" w:hAnsi="Aptos" w:cs="Aptos"/>
          <w:color w:val="000000" w:themeColor="text1"/>
        </w:rPr>
      </w:pPr>
    </w:p>
    <w:p w14:paraId="6D85D452" w14:textId="6E52D565" w:rsidR="0039588E" w:rsidRDefault="0039588E" w:rsidP="4B398854">
      <w:pPr>
        <w:rPr>
          <w:rFonts w:ascii="Aptos" w:eastAsia="Aptos" w:hAnsi="Aptos" w:cs="Aptos"/>
          <w:color w:val="000000" w:themeColor="text1"/>
        </w:rPr>
      </w:pPr>
    </w:p>
    <w:p w14:paraId="77FD9EBC" w14:textId="09D2CB2F" w:rsidR="0039588E" w:rsidRDefault="0039588E" w:rsidP="4B398854">
      <w:pPr>
        <w:rPr>
          <w:rFonts w:ascii="Aptos" w:eastAsia="Aptos" w:hAnsi="Aptos" w:cs="Aptos"/>
          <w:color w:val="000000" w:themeColor="text1"/>
        </w:rPr>
      </w:pPr>
    </w:p>
    <w:p w14:paraId="257F316C" w14:textId="27A458BD" w:rsidR="0039588E" w:rsidRDefault="0039588E" w:rsidP="4B398854">
      <w:pPr>
        <w:rPr>
          <w:rFonts w:ascii="Aptos" w:eastAsia="Aptos" w:hAnsi="Aptos" w:cs="Aptos"/>
          <w:color w:val="000000" w:themeColor="text1"/>
        </w:rPr>
      </w:pPr>
    </w:p>
    <w:p w14:paraId="7652A0D6" w14:textId="20BA84B3" w:rsidR="0039588E" w:rsidRDefault="16BA92F0" w:rsidP="4B398854">
      <w:pPr>
        <w:spacing w:before="240" w:after="240"/>
        <w:jc w:val="center"/>
        <w:rPr>
          <w:rFonts w:ascii="Arial" w:eastAsia="Arial" w:hAnsi="Arial" w:cs="Arial"/>
          <w:color w:val="000000" w:themeColor="text1"/>
          <w:sz w:val="28"/>
          <w:szCs w:val="28"/>
        </w:rPr>
      </w:pPr>
      <w:r w:rsidRPr="4B398854">
        <w:rPr>
          <w:rFonts w:ascii="Arial" w:eastAsia="Arial" w:hAnsi="Arial" w:cs="Arial"/>
          <w:b/>
          <w:bCs/>
          <w:color w:val="000000" w:themeColor="text1"/>
          <w:sz w:val="28"/>
          <w:szCs w:val="28"/>
        </w:rPr>
        <w:t xml:space="preserve">Dilara Begum </w:t>
      </w:r>
    </w:p>
    <w:p w14:paraId="0CE1BD7F" w14:textId="00123379" w:rsidR="0039588E" w:rsidRDefault="16BA92F0" w:rsidP="4B398854">
      <w:pPr>
        <w:spacing w:before="240" w:after="240"/>
        <w:jc w:val="center"/>
        <w:rPr>
          <w:rFonts w:ascii="Arial" w:eastAsia="Arial" w:hAnsi="Arial" w:cs="Arial"/>
          <w:color w:val="000000" w:themeColor="text1"/>
          <w:sz w:val="28"/>
          <w:szCs w:val="28"/>
        </w:rPr>
      </w:pPr>
      <w:r w:rsidRPr="4B398854">
        <w:rPr>
          <w:rFonts w:ascii="Arial" w:eastAsia="Arial" w:hAnsi="Arial" w:cs="Arial"/>
          <w:b/>
          <w:bCs/>
          <w:color w:val="000000" w:themeColor="text1"/>
          <w:sz w:val="28"/>
          <w:szCs w:val="28"/>
        </w:rPr>
        <w:t>Student Number:</w:t>
      </w:r>
      <w:r w:rsidRPr="4B398854">
        <w:rPr>
          <w:rFonts w:ascii="Arial" w:eastAsia="Arial" w:hAnsi="Arial" w:cs="Arial"/>
          <w:color w:val="000000" w:themeColor="text1"/>
          <w:sz w:val="28"/>
          <w:szCs w:val="28"/>
        </w:rPr>
        <w:t xml:space="preserve"> 2017884 </w:t>
      </w:r>
    </w:p>
    <w:p w14:paraId="6450DE63" w14:textId="5F009EB2" w:rsidR="0039588E" w:rsidRDefault="16BA92F0" w:rsidP="4B398854">
      <w:pPr>
        <w:pStyle w:val="Heading1"/>
        <w:shd w:val="clear" w:color="auto" w:fill="FFFFFF" w:themeFill="background1"/>
        <w:spacing w:before="0" w:after="120" w:line="360" w:lineRule="auto"/>
        <w:rPr>
          <w:rFonts w:ascii="Arial" w:eastAsia="Arial" w:hAnsi="Arial" w:cs="Arial"/>
          <w:color w:val="000000" w:themeColor="text1"/>
          <w:sz w:val="28"/>
          <w:szCs w:val="28"/>
        </w:rPr>
      </w:pPr>
      <w:r w:rsidRPr="4B398854">
        <w:rPr>
          <w:rFonts w:ascii="Arial" w:eastAsia="Arial" w:hAnsi="Arial" w:cs="Arial"/>
          <w:b/>
          <w:bCs/>
          <w:color w:val="000000" w:themeColor="text1"/>
          <w:sz w:val="28"/>
          <w:szCs w:val="28"/>
        </w:rPr>
        <w:t xml:space="preserve">                    Module: Independent Project: Element 1 Proposal </w:t>
      </w:r>
    </w:p>
    <w:p w14:paraId="24BF6562" w14:textId="06E5851D" w:rsidR="0039588E" w:rsidRPr="00230AE9" w:rsidRDefault="16BA92F0" w:rsidP="00230AE9">
      <w:pPr>
        <w:pStyle w:val="Heading1"/>
        <w:spacing w:beforeAutospacing="1" w:afterAutospacing="1" w:line="360" w:lineRule="auto"/>
        <w:rPr>
          <w:rFonts w:ascii="Arial" w:eastAsia="Arial" w:hAnsi="Arial" w:cs="Arial"/>
          <w:i/>
          <w:iCs/>
          <w:color w:val="000000" w:themeColor="text1"/>
          <w:sz w:val="22"/>
          <w:szCs w:val="22"/>
        </w:rPr>
      </w:pPr>
      <w:r w:rsidRPr="4B398854">
        <w:rPr>
          <w:rFonts w:ascii="Arial" w:eastAsia="Arial" w:hAnsi="Arial" w:cs="Arial"/>
          <w:b/>
          <w:bCs/>
          <w:color w:val="000000" w:themeColor="text1"/>
          <w:sz w:val="28"/>
          <w:szCs w:val="28"/>
        </w:rPr>
        <w:t xml:space="preserve">  BMHP6020: </w:t>
      </w:r>
      <w:r w:rsidR="42D4B117" w:rsidRPr="4B398854">
        <w:rPr>
          <w:rStyle w:val="s1"/>
          <w:rFonts w:ascii="Arial" w:eastAsia="Arial" w:hAnsi="Arial" w:cs="Arial"/>
          <w:color w:val="000000" w:themeColor="text1"/>
          <w:sz w:val="28"/>
          <w:szCs w:val="28"/>
        </w:rPr>
        <w:t xml:space="preserve">Exploring </w:t>
      </w:r>
      <w:r w:rsidR="00230AE9">
        <w:rPr>
          <w:rStyle w:val="s1"/>
          <w:rFonts w:ascii="Arial" w:eastAsia="Arial" w:hAnsi="Arial" w:cs="Arial"/>
          <w:color w:val="000000" w:themeColor="text1"/>
          <w:sz w:val="28"/>
          <w:szCs w:val="28"/>
        </w:rPr>
        <w:t>t</w:t>
      </w:r>
      <w:r w:rsidR="42D4B117" w:rsidRPr="4B398854">
        <w:rPr>
          <w:rStyle w:val="s1"/>
          <w:rFonts w:ascii="Arial" w:eastAsia="Arial" w:hAnsi="Arial" w:cs="Arial"/>
          <w:color w:val="000000" w:themeColor="text1"/>
          <w:sz w:val="28"/>
          <w:szCs w:val="28"/>
        </w:rPr>
        <w:t xml:space="preserve">he </w:t>
      </w:r>
      <w:r w:rsidR="00230AE9">
        <w:rPr>
          <w:rStyle w:val="s1"/>
          <w:rFonts w:ascii="Arial" w:eastAsia="Arial" w:hAnsi="Arial" w:cs="Arial"/>
          <w:color w:val="000000" w:themeColor="text1"/>
          <w:sz w:val="28"/>
          <w:szCs w:val="28"/>
        </w:rPr>
        <w:t>B</w:t>
      </w:r>
      <w:r w:rsidR="42D4B117" w:rsidRPr="4B398854">
        <w:rPr>
          <w:rStyle w:val="s1"/>
          <w:rFonts w:ascii="Arial" w:eastAsia="Arial" w:hAnsi="Arial" w:cs="Arial"/>
          <w:color w:val="000000" w:themeColor="text1"/>
          <w:sz w:val="28"/>
          <w:szCs w:val="28"/>
        </w:rPr>
        <w:t xml:space="preserve">arriers and </w:t>
      </w:r>
      <w:r w:rsidR="00230AE9">
        <w:rPr>
          <w:rStyle w:val="s1"/>
          <w:rFonts w:ascii="Arial" w:eastAsia="Arial" w:hAnsi="Arial" w:cs="Arial"/>
          <w:color w:val="000000" w:themeColor="text1"/>
          <w:sz w:val="28"/>
          <w:szCs w:val="28"/>
        </w:rPr>
        <w:t>C</w:t>
      </w:r>
      <w:r w:rsidR="42D4B117" w:rsidRPr="4B398854">
        <w:rPr>
          <w:rStyle w:val="s1"/>
          <w:rFonts w:ascii="Arial" w:eastAsia="Arial" w:hAnsi="Arial" w:cs="Arial"/>
          <w:color w:val="000000" w:themeColor="text1"/>
          <w:sz w:val="28"/>
          <w:szCs w:val="28"/>
        </w:rPr>
        <w:t xml:space="preserve">hallenges to </w:t>
      </w:r>
      <w:r w:rsidR="00230AE9">
        <w:rPr>
          <w:rStyle w:val="s1"/>
          <w:rFonts w:ascii="Arial" w:eastAsia="Arial" w:hAnsi="Arial" w:cs="Arial"/>
          <w:color w:val="000000" w:themeColor="text1"/>
          <w:sz w:val="28"/>
          <w:szCs w:val="28"/>
        </w:rPr>
        <w:t>A</w:t>
      </w:r>
      <w:r w:rsidR="00230AE9" w:rsidRPr="4B398854">
        <w:rPr>
          <w:rStyle w:val="s1"/>
          <w:rFonts w:ascii="Arial" w:eastAsia="Arial" w:hAnsi="Arial" w:cs="Arial"/>
          <w:color w:val="000000" w:themeColor="text1"/>
          <w:sz w:val="28"/>
          <w:szCs w:val="28"/>
        </w:rPr>
        <w:t xml:space="preserve">ccessing </w:t>
      </w:r>
      <w:r w:rsidR="00230AE9">
        <w:rPr>
          <w:rStyle w:val="s1"/>
          <w:rFonts w:ascii="Arial" w:eastAsia="Arial" w:hAnsi="Arial" w:cs="Arial"/>
          <w:color w:val="000000" w:themeColor="text1"/>
          <w:sz w:val="28"/>
          <w:szCs w:val="28"/>
        </w:rPr>
        <w:t>Mental</w:t>
      </w:r>
      <w:r w:rsidR="42D4B117" w:rsidRPr="4B398854">
        <w:rPr>
          <w:rStyle w:val="s1"/>
          <w:rFonts w:ascii="Arial" w:eastAsia="Arial" w:hAnsi="Arial" w:cs="Arial"/>
          <w:color w:val="000000" w:themeColor="text1"/>
          <w:sz w:val="28"/>
          <w:szCs w:val="28"/>
        </w:rPr>
        <w:t xml:space="preserve"> </w:t>
      </w:r>
      <w:r w:rsidR="00230AE9">
        <w:rPr>
          <w:rStyle w:val="s1"/>
          <w:rFonts w:ascii="Arial" w:eastAsia="Arial" w:hAnsi="Arial" w:cs="Arial"/>
          <w:color w:val="000000" w:themeColor="text1"/>
          <w:sz w:val="28"/>
          <w:szCs w:val="28"/>
        </w:rPr>
        <w:t>H</w:t>
      </w:r>
      <w:r w:rsidR="42D4B117" w:rsidRPr="4B398854">
        <w:rPr>
          <w:rStyle w:val="s1"/>
          <w:rFonts w:ascii="Arial" w:eastAsia="Arial" w:hAnsi="Arial" w:cs="Arial"/>
          <w:color w:val="000000" w:themeColor="text1"/>
          <w:sz w:val="28"/>
          <w:szCs w:val="28"/>
        </w:rPr>
        <w:t xml:space="preserve">ealth </w:t>
      </w:r>
      <w:r w:rsidR="00230AE9">
        <w:rPr>
          <w:rStyle w:val="s1"/>
          <w:rFonts w:ascii="Arial" w:eastAsia="Arial" w:hAnsi="Arial" w:cs="Arial"/>
          <w:color w:val="000000" w:themeColor="text1"/>
          <w:sz w:val="28"/>
          <w:szCs w:val="28"/>
        </w:rPr>
        <w:t>S</w:t>
      </w:r>
      <w:r w:rsidR="42D4B117" w:rsidRPr="4B398854">
        <w:rPr>
          <w:rStyle w:val="s1"/>
          <w:rFonts w:ascii="Arial" w:eastAsia="Arial" w:hAnsi="Arial" w:cs="Arial"/>
          <w:color w:val="000000" w:themeColor="text1"/>
          <w:sz w:val="28"/>
          <w:szCs w:val="28"/>
        </w:rPr>
        <w:t xml:space="preserve">ervices </w:t>
      </w:r>
      <w:r w:rsidR="00230AE9">
        <w:rPr>
          <w:rStyle w:val="s1"/>
          <w:rFonts w:ascii="Arial" w:eastAsia="Arial" w:hAnsi="Arial" w:cs="Arial"/>
          <w:color w:val="000000" w:themeColor="text1"/>
          <w:sz w:val="28"/>
          <w:szCs w:val="28"/>
        </w:rPr>
        <w:t>A</w:t>
      </w:r>
      <w:r w:rsidR="42D4B117" w:rsidRPr="4B398854">
        <w:rPr>
          <w:rStyle w:val="s1"/>
          <w:rFonts w:ascii="Arial" w:eastAsia="Arial" w:hAnsi="Arial" w:cs="Arial"/>
          <w:color w:val="000000" w:themeColor="text1"/>
          <w:sz w:val="28"/>
          <w:szCs w:val="28"/>
        </w:rPr>
        <w:t xml:space="preserve">mong </w:t>
      </w:r>
      <w:r w:rsidR="00230AE9">
        <w:rPr>
          <w:rStyle w:val="s1"/>
          <w:rFonts w:ascii="Arial" w:eastAsia="Arial" w:hAnsi="Arial" w:cs="Arial"/>
          <w:color w:val="000000" w:themeColor="text1"/>
          <w:sz w:val="28"/>
          <w:szCs w:val="28"/>
        </w:rPr>
        <w:t>E</w:t>
      </w:r>
      <w:r w:rsidR="42D4B117" w:rsidRPr="4B398854">
        <w:rPr>
          <w:rStyle w:val="s1"/>
          <w:rFonts w:ascii="Arial" w:eastAsia="Arial" w:hAnsi="Arial" w:cs="Arial"/>
          <w:color w:val="000000" w:themeColor="text1"/>
          <w:sz w:val="28"/>
          <w:szCs w:val="28"/>
        </w:rPr>
        <w:t xml:space="preserve">thnic </w:t>
      </w:r>
      <w:r w:rsidR="00230AE9">
        <w:rPr>
          <w:rStyle w:val="s1"/>
          <w:rFonts w:ascii="Arial" w:eastAsia="Arial" w:hAnsi="Arial" w:cs="Arial"/>
          <w:color w:val="000000" w:themeColor="text1"/>
          <w:sz w:val="28"/>
          <w:szCs w:val="28"/>
        </w:rPr>
        <w:t>M</w:t>
      </w:r>
      <w:r w:rsidR="42D4B117" w:rsidRPr="4B398854">
        <w:rPr>
          <w:rStyle w:val="s1"/>
          <w:rFonts w:ascii="Arial" w:eastAsia="Arial" w:hAnsi="Arial" w:cs="Arial"/>
          <w:color w:val="000000" w:themeColor="text1"/>
          <w:sz w:val="28"/>
          <w:szCs w:val="28"/>
        </w:rPr>
        <w:t>inorities in the UK.</w:t>
      </w:r>
    </w:p>
    <w:p w14:paraId="18180B68" w14:textId="1A7315F5" w:rsidR="0039588E" w:rsidRDefault="16BA92F0" w:rsidP="4B398854">
      <w:pPr>
        <w:shd w:val="clear" w:color="auto" w:fill="FFFFFF" w:themeFill="background1"/>
        <w:spacing w:after="120"/>
        <w:jc w:val="center"/>
        <w:rPr>
          <w:rFonts w:ascii="Arial" w:eastAsia="Arial" w:hAnsi="Arial" w:cs="Arial"/>
          <w:color w:val="000000" w:themeColor="text1"/>
          <w:sz w:val="28"/>
          <w:szCs w:val="28"/>
        </w:rPr>
      </w:pPr>
      <w:r w:rsidRPr="4B398854">
        <w:rPr>
          <w:rFonts w:ascii="Arial" w:eastAsia="Arial" w:hAnsi="Arial" w:cs="Arial"/>
          <w:b/>
          <w:bCs/>
          <w:color w:val="000000" w:themeColor="text1"/>
          <w:sz w:val="28"/>
          <w:szCs w:val="28"/>
        </w:rPr>
        <w:t xml:space="preserve">Lecturer: </w:t>
      </w:r>
      <w:r w:rsidRPr="4B398854">
        <w:rPr>
          <w:rFonts w:ascii="Arial" w:eastAsia="Arial" w:hAnsi="Arial" w:cs="Arial"/>
          <w:color w:val="000000" w:themeColor="text1"/>
          <w:sz w:val="28"/>
          <w:szCs w:val="28"/>
        </w:rPr>
        <w:t>Danielle Dunne</w:t>
      </w:r>
    </w:p>
    <w:p w14:paraId="3B9F52A4" w14:textId="6DD8B68D" w:rsidR="0039588E" w:rsidRDefault="0039588E" w:rsidP="4B398854">
      <w:pPr>
        <w:rPr>
          <w:rFonts w:ascii="Aptos" w:eastAsia="Aptos" w:hAnsi="Aptos" w:cs="Aptos"/>
          <w:color w:val="000000" w:themeColor="text1"/>
        </w:rPr>
      </w:pPr>
    </w:p>
    <w:p w14:paraId="701175CD" w14:textId="6CA8BAE1" w:rsidR="0039588E" w:rsidRDefault="0039588E" w:rsidP="4B398854">
      <w:pPr>
        <w:rPr>
          <w:rFonts w:ascii="Aptos" w:eastAsia="Aptos" w:hAnsi="Aptos" w:cs="Aptos"/>
          <w:color w:val="000000" w:themeColor="text1"/>
        </w:rPr>
      </w:pPr>
    </w:p>
    <w:p w14:paraId="131A3B0B" w14:textId="7FADDECD" w:rsidR="0039588E" w:rsidRDefault="0039588E" w:rsidP="4B398854">
      <w:pPr>
        <w:rPr>
          <w:rFonts w:ascii="Aptos" w:eastAsia="Aptos" w:hAnsi="Aptos" w:cs="Aptos"/>
          <w:color w:val="000000" w:themeColor="text1"/>
        </w:rPr>
      </w:pPr>
    </w:p>
    <w:p w14:paraId="1967AC12" w14:textId="17460E31" w:rsidR="0039588E" w:rsidRDefault="0039588E" w:rsidP="4B398854">
      <w:pPr>
        <w:rPr>
          <w:rFonts w:ascii="Aptos" w:eastAsia="Aptos" w:hAnsi="Aptos" w:cs="Aptos"/>
          <w:color w:val="000000" w:themeColor="text1"/>
        </w:rPr>
      </w:pPr>
    </w:p>
    <w:p w14:paraId="4428E4F7" w14:textId="6CB04CCF" w:rsidR="0039588E" w:rsidRDefault="0039588E" w:rsidP="4B398854">
      <w:pPr>
        <w:rPr>
          <w:rFonts w:ascii="Aptos" w:eastAsia="Aptos" w:hAnsi="Aptos" w:cs="Aptos"/>
          <w:color w:val="000000" w:themeColor="text1"/>
        </w:rPr>
      </w:pPr>
    </w:p>
    <w:p w14:paraId="0D5221DC" w14:textId="36911C82" w:rsidR="0039588E" w:rsidRDefault="0039588E" w:rsidP="4B398854">
      <w:pPr>
        <w:rPr>
          <w:rFonts w:ascii="Aptos" w:eastAsia="Aptos" w:hAnsi="Aptos" w:cs="Aptos"/>
          <w:color w:val="000000" w:themeColor="text1"/>
        </w:rPr>
      </w:pPr>
    </w:p>
    <w:p w14:paraId="5389F93F" w14:textId="1D4F32F9" w:rsidR="0039588E" w:rsidRDefault="0039588E" w:rsidP="4B398854">
      <w:pPr>
        <w:rPr>
          <w:rFonts w:ascii="Aptos" w:eastAsia="Aptos" w:hAnsi="Aptos" w:cs="Aptos"/>
          <w:color w:val="000000" w:themeColor="text1"/>
        </w:rPr>
      </w:pPr>
    </w:p>
    <w:p w14:paraId="1459F343" w14:textId="051DB9D2" w:rsidR="0039588E" w:rsidRDefault="0039588E" w:rsidP="4B398854">
      <w:pPr>
        <w:rPr>
          <w:rFonts w:ascii="Aptos" w:eastAsia="Aptos" w:hAnsi="Aptos" w:cs="Aptos"/>
          <w:color w:val="000000" w:themeColor="text1"/>
        </w:rPr>
      </w:pPr>
    </w:p>
    <w:p w14:paraId="55B17335" w14:textId="4FEC2DC0" w:rsidR="0039588E" w:rsidRDefault="0039588E" w:rsidP="4B398854">
      <w:pPr>
        <w:rPr>
          <w:rFonts w:ascii="Aptos" w:eastAsia="Aptos" w:hAnsi="Aptos" w:cs="Aptos"/>
          <w:color w:val="000000" w:themeColor="text1"/>
        </w:rPr>
      </w:pPr>
    </w:p>
    <w:p w14:paraId="24C3EE04" w14:textId="066DF5D8" w:rsidR="0039588E" w:rsidRDefault="0039588E" w:rsidP="4B398854">
      <w:pPr>
        <w:rPr>
          <w:rFonts w:ascii="Aptos" w:eastAsia="Aptos" w:hAnsi="Aptos" w:cs="Aptos"/>
          <w:color w:val="000000" w:themeColor="text1"/>
        </w:rPr>
      </w:pPr>
    </w:p>
    <w:p w14:paraId="0C633714" w14:textId="323E38D5" w:rsidR="4B398854" w:rsidRDefault="4B398854"/>
    <w:p w14:paraId="31B4D0F6" w14:textId="01596721" w:rsidR="4B398854" w:rsidRPr="00454727" w:rsidRDefault="082A7C05" w:rsidP="00E0507C">
      <w:pPr>
        <w:pStyle w:val="p1"/>
        <w:spacing w:line="360" w:lineRule="auto"/>
        <w:rPr>
          <w:rFonts w:ascii="Arial" w:eastAsia="Arial" w:hAnsi="Arial" w:cs="Arial"/>
          <w:color w:val="000000" w:themeColor="text1"/>
          <w:sz w:val="22"/>
          <w:szCs w:val="22"/>
        </w:rPr>
      </w:pPr>
      <w:r w:rsidRPr="00454727">
        <w:rPr>
          <w:rFonts w:ascii="Arial" w:eastAsia="Arial" w:hAnsi="Arial" w:cs="Arial"/>
          <w:b/>
          <w:bCs/>
          <w:color w:val="000000" w:themeColor="text1"/>
          <w:sz w:val="22"/>
          <w:szCs w:val="22"/>
        </w:rPr>
        <w:lastRenderedPageBreak/>
        <w:t xml:space="preserve">My project title: </w:t>
      </w:r>
      <w:r w:rsidRPr="00454727">
        <w:rPr>
          <w:rStyle w:val="s1"/>
          <w:rFonts w:ascii="Arial" w:eastAsia="Arial" w:hAnsi="Arial" w:cs="Arial"/>
          <w:color w:val="000000" w:themeColor="text1"/>
          <w:sz w:val="22"/>
          <w:szCs w:val="22"/>
        </w:rPr>
        <w:t xml:space="preserve">Exploring the </w:t>
      </w:r>
      <w:r w:rsidR="00230AE9" w:rsidRPr="00454727">
        <w:rPr>
          <w:rStyle w:val="s1"/>
          <w:rFonts w:ascii="Arial" w:eastAsia="Arial" w:hAnsi="Arial" w:cs="Arial"/>
          <w:color w:val="000000" w:themeColor="text1"/>
          <w:sz w:val="22"/>
          <w:szCs w:val="22"/>
        </w:rPr>
        <w:t>B</w:t>
      </w:r>
      <w:r w:rsidRPr="00454727">
        <w:rPr>
          <w:rStyle w:val="s1"/>
          <w:rFonts w:ascii="Arial" w:eastAsia="Arial" w:hAnsi="Arial" w:cs="Arial"/>
          <w:color w:val="000000" w:themeColor="text1"/>
          <w:sz w:val="22"/>
          <w:szCs w:val="22"/>
        </w:rPr>
        <w:t xml:space="preserve">arriers and </w:t>
      </w:r>
      <w:r w:rsidR="00230AE9" w:rsidRPr="00454727">
        <w:rPr>
          <w:rStyle w:val="s1"/>
          <w:rFonts w:ascii="Arial" w:eastAsia="Arial" w:hAnsi="Arial" w:cs="Arial"/>
          <w:color w:val="000000" w:themeColor="text1"/>
          <w:sz w:val="22"/>
          <w:szCs w:val="22"/>
        </w:rPr>
        <w:t>C</w:t>
      </w:r>
      <w:r w:rsidRPr="00454727">
        <w:rPr>
          <w:rStyle w:val="s1"/>
          <w:rFonts w:ascii="Arial" w:eastAsia="Arial" w:hAnsi="Arial" w:cs="Arial"/>
          <w:color w:val="000000" w:themeColor="text1"/>
          <w:sz w:val="22"/>
          <w:szCs w:val="22"/>
        </w:rPr>
        <w:t xml:space="preserve">hallenges to </w:t>
      </w:r>
      <w:r w:rsidR="00230AE9" w:rsidRPr="00454727">
        <w:rPr>
          <w:rStyle w:val="s1"/>
          <w:rFonts w:ascii="Arial" w:eastAsia="Arial" w:hAnsi="Arial" w:cs="Arial"/>
          <w:color w:val="000000" w:themeColor="text1"/>
          <w:sz w:val="22"/>
          <w:szCs w:val="22"/>
        </w:rPr>
        <w:t>A</w:t>
      </w:r>
      <w:r w:rsidRPr="00454727">
        <w:rPr>
          <w:rStyle w:val="s1"/>
          <w:rFonts w:ascii="Arial" w:eastAsia="Arial" w:hAnsi="Arial" w:cs="Arial"/>
          <w:color w:val="000000" w:themeColor="text1"/>
          <w:sz w:val="22"/>
          <w:szCs w:val="22"/>
        </w:rPr>
        <w:t xml:space="preserve">ccessing </w:t>
      </w:r>
      <w:r w:rsidR="00230AE9" w:rsidRPr="00454727">
        <w:rPr>
          <w:rStyle w:val="s1"/>
          <w:rFonts w:ascii="Arial" w:eastAsia="Arial" w:hAnsi="Arial" w:cs="Arial"/>
          <w:color w:val="000000" w:themeColor="text1"/>
          <w:sz w:val="22"/>
          <w:szCs w:val="22"/>
        </w:rPr>
        <w:t>M</w:t>
      </w:r>
      <w:r w:rsidRPr="00454727">
        <w:rPr>
          <w:rStyle w:val="s1"/>
          <w:rFonts w:ascii="Arial" w:eastAsia="Arial" w:hAnsi="Arial" w:cs="Arial"/>
          <w:color w:val="000000" w:themeColor="text1"/>
          <w:sz w:val="22"/>
          <w:szCs w:val="22"/>
        </w:rPr>
        <w:t xml:space="preserve">ental </w:t>
      </w:r>
      <w:r w:rsidR="00230AE9" w:rsidRPr="00454727">
        <w:rPr>
          <w:rStyle w:val="s1"/>
          <w:rFonts w:ascii="Arial" w:eastAsia="Arial" w:hAnsi="Arial" w:cs="Arial"/>
          <w:color w:val="000000" w:themeColor="text1"/>
          <w:sz w:val="22"/>
          <w:szCs w:val="22"/>
        </w:rPr>
        <w:t>H</w:t>
      </w:r>
      <w:r w:rsidRPr="00454727">
        <w:rPr>
          <w:rStyle w:val="s1"/>
          <w:rFonts w:ascii="Arial" w:eastAsia="Arial" w:hAnsi="Arial" w:cs="Arial"/>
          <w:color w:val="000000" w:themeColor="text1"/>
          <w:sz w:val="22"/>
          <w:szCs w:val="22"/>
        </w:rPr>
        <w:t xml:space="preserve">ealth </w:t>
      </w:r>
      <w:r w:rsidR="00230AE9" w:rsidRPr="00454727">
        <w:rPr>
          <w:rStyle w:val="s1"/>
          <w:rFonts w:ascii="Arial" w:eastAsia="Arial" w:hAnsi="Arial" w:cs="Arial"/>
          <w:color w:val="000000" w:themeColor="text1"/>
          <w:sz w:val="22"/>
          <w:szCs w:val="22"/>
        </w:rPr>
        <w:t>S</w:t>
      </w:r>
      <w:r w:rsidRPr="00454727">
        <w:rPr>
          <w:rStyle w:val="s1"/>
          <w:rFonts w:ascii="Arial" w:eastAsia="Arial" w:hAnsi="Arial" w:cs="Arial"/>
          <w:color w:val="000000" w:themeColor="text1"/>
          <w:sz w:val="22"/>
          <w:szCs w:val="22"/>
        </w:rPr>
        <w:t xml:space="preserve">ervices </w:t>
      </w:r>
      <w:r w:rsidR="00230AE9" w:rsidRPr="00454727">
        <w:rPr>
          <w:rStyle w:val="s1"/>
          <w:rFonts w:ascii="Arial" w:eastAsia="Arial" w:hAnsi="Arial" w:cs="Arial"/>
          <w:color w:val="000000" w:themeColor="text1"/>
          <w:sz w:val="22"/>
          <w:szCs w:val="22"/>
        </w:rPr>
        <w:t>A</w:t>
      </w:r>
      <w:r w:rsidRPr="00454727">
        <w:rPr>
          <w:rStyle w:val="s1"/>
          <w:rFonts w:ascii="Arial" w:eastAsia="Arial" w:hAnsi="Arial" w:cs="Arial"/>
          <w:color w:val="000000" w:themeColor="text1"/>
          <w:sz w:val="22"/>
          <w:szCs w:val="22"/>
        </w:rPr>
        <w:t xml:space="preserve">mong </w:t>
      </w:r>
      <w:r w:rsidR="00230AE9" w:rsidRPr="00454727">
        <w:rPr>
          <w:rStyle w:val="s1"/>
          <w:rFonts w:ascii="Arial" w:eastAsia="Arial" w:hAnsi="Arial" w:cs="Arial"/>
          <w:color w:val="000000" w:themeColor="text1"/>
          <w:sz w:val="22"/>
          <w:szCs w:val="22"/>
        </w:rPr>
        <w:t>E</w:t>
      </w:r>
      <w:r w:rsidRPr="00454727">
        <w:rPr>
          <w:rStyle w:val="s1"/>
          <w:rFonts w:ascii="Arial" w:eastAsia="Arial" w:hAnsi="Arial" w:cs="Arial"/>
          <w:color w:val="000000" w:themeColor="text1"/>
          <w:sz w:val="22"/>
          <w:szCs w:val="22"/>
        </w:rPr>
        <w:t xml:space="preserve">thnic </w:t>
      </w:r>
      <w:r w:rsidR="00230AE9" w:rsidRPr="00454727">
        <w:rPr>
          <w:rStyle w:val="s1"/>
          <w:rFonts w:ascii="Arial" w:eastAsia="Arial" w:hAnsi="Arial" w:cs="Arial"/>
          <w:color w:val="000000" w:themeColor="text1"/>
          <w:sz w:val="22"/>
          <w:szCs w:val="22"/>
        </w:rPr>
        <w:t>M</w:t>
      </w:r>
      <w:r w:rsidRPr="00454727">
        <w:rPr>
          <w:rStyle w:val="s1"/>
          <w:rFonts w:ascii="Arial" w:eastAsia="Arial" w:hAnsi="Arial" w:cs="Arial"/>
          <w:color w:val="000000" w:themeColor="text1"/>
          <w:sz w:val="22"/>
          <w:szCs w:val="22"/>
        </w:rPr>
        <w:t>inorities in the UK.</w:t>
      </w:r>
    </w:p>
    <w:p w14:paraId="3CAB38E3" w14:textId="77777777" w:rsidR="00454727" w:rsidRDefault="023C03E4" w:rsidP="00E0507C">
      <w:pPr>
        <w:spacing w:line="360" w:lineRule="auto"/>
        <w:rPr>
          <w:rFonts w:ascii="Arial" w:eastAsia="Arial" w:hAnsi="Arial" w:cs="Arial"/>
          <w:b/>
          <w:bCs/>
          <w:sz w:val="22"/>
          <w:szCs w:val="22"/>
        </w:rPr>
      </w:pPr>
      <w:r w:rsidRPr="00454727">
        <w:rPr>
          <w:rFonts w:ascii="Arial" w:eastAsia="Arial" w:hAnsi="Arial" w:cs="Arial"/>
          <w:b/>
          <w:bCs/>
          <w:sz w:val="22"/>
          <w:szCs w:val="22"/>
        </w:rPr>
        <w:t>Aim</w:t>
      </w:r>
    </w:p>
    <w:p w14:paraId="0F6DF9CD" w14:textId="1E479EFE" w:rsidR="4B398854" w:rsidRPr="00454727" w:rsidRDefault="00DB26FE" w:rsidP="00E0507C">
      <w:pPr>
        <w:spacing w:line="360" w:lineRule="auto"/>
        <w:rPr>
          <w:rFonts w:ascii="Arial" w:eastAsia="Arial" w:hAnsi="Arial" w:cs="Arial"/>
          <w:b/>
          <w:bCs/>
          <w:sz w:val="22"/>
          <w:szCs w:val="22"/>
        </w:rPr>
      </w:pPr>
      <w:r w:rsidRPr="00454727">
        <w:rPr>
          <w:rFonts w:ascii="Arial" w:hAnsi="Arial" w:cs="Arial"/>
          <w:sz w:val="22"/>
          <w:szCs w:val="22"/>
        </w:rPr>
        <w:t>The primary aim of this project is to investigate the obstacles, root causes, and outcomes that impact ethnic minorities' access to mental health services in the United Kingdom. Additionally, it aims to investigate how social, cultural, and systemic factors impact their experiences and use of mental health care (</w:t>
      </w:r>
      <w:proofErr w:type="spellStart"/>
      <w:r w:rsidRPr="00454727">
        <w:rPr>
          <w:rFonts w:ascii="Arial" w:hAnsi="Arial" w:cs="Arial"/>
          <w:sz w:val="22"/>
          <w:szCs w:val="22"/>
        </w:rPr>
        <w:t>Nazroo</w:t>
      </w:r>
      <w:proofErr w:type="spellEnd"/>
      <w:r w:rsidRPr="00454727">
        <w:rPr>
          <w:rFonts w:ascii="Arial" w:hAnsi="Arial" w:cs="Arial"/>
          <w:sz w:val="22"/>
          <w:szCs w:val="22"/>
        </w:rPr>
        <w:t xml:space="preserve"> &amp; </w:t>
      </w:r>
      <w:proofErr w:type="spellStart"/>
      <w:r w:rsidRPr="00454727">
        <w:rPr>
          <w:rFonts w:ascii="Arial" w:hAnsi="Arial" w:cs="Arial"/>
          <w:sz w:val="22"/>
          <w:szCs w:val="22"/>
        </w:rPr>
        <w:t>Bhui</w:t>
      </w:r>
      <w:proofErr w:type="spellEnd"/>
      <w:r w:rsidRPr="00454727">
        <w:rPr>
          <w:rFonts w:ascii="Arial" w:hAnsi="Arial" w:cs="Arial"/>
          <w:sz w:val="22"/>
          <w:szCs w:val="22"/>
        </w:rPr>
        <w:t>, 2021).</w:t>
      </w:r>
    </w:p>
    <w:p w14:paraId="20164B4B" w14:textId="77777777" w:rsidR="00DB26FE" w:rsidRPr="00454727" w:rsidRDefault="00DB26FE" w:rsidP="00E0507C">
      <w:pPr>
        <w:spacing w:before="120" w:after="120" w:line="360" w:lineRule="auto"/>
        <w:rPr>
          <w:rFonts w:ascii="Arial" w:hAnsi="Arial" w:cs="Arial"/>
          <w:sz w:val="22"/>
          <w:szCs w:val="22"/>
        </w:rPr>
      </w:pPr>
    </w:p>
    <w:p w14:paraId="1DCC2F6A" w14:textId="7E532B0B" w:rsidR="198860F4" w:rsidRPr="00454727" w:rsidRDefault="198860F4" w:rsidP="00E0507C">
      <w:pPr>
        <w:spacing w:line="360" w:lineRule="auto"/>
        <w:rPr>
          <w:rFonts w:ascii="Arial" w:eastAsia="Arial" w:hAnsi="Arial" w:cs="Arial"/>
          <w:b/>
          <w:bCs/>
          <w:sz w:val="22"/>
          <w:szCs w:val="22"/>
        </w:rPr>
      </w:pPr>
      <w:r w:rsidRPr="00454727">
        <w:rPr>
          <w:rFonts w:ascii="Arial" w:eastAsia="Arial" w:hAnsi="Arial" w:cs="Arial"/>
          <w:b/>
          <w:bCs/>
          <w:sz w:val="22"/>
          <w:szCs w:val="22"/>
        </w:rPr>
        <w:t>Objectives</w:t>
      </w:r>
    </w:p>
    <w:p w14:paraId="20D58A48" w14:textId="77777777" w:rsidR="00DB26FE" w:rsidRPr="00454727" w:rsidRDefault="00DB26FE" w:rsidP="00E0507C">
      <w:pPr>
        <w:numPr>
          <w:ilvl w:val="0"/>
          <w:numId w:val="2"/>
        </w:numPr>
        <w:spacing w:before="240" w:after="240" w:line="360" w:lineRule="auto"/>
        <w:ind w:hanging="242"/>
        <w:rPr>
          <w:rFonts w:ascii="Arial" w:hAnsi="Arial" w:cs="Arial"/>
          <w:sz w:val="22"/>
          <w:szCs w:val="22"/>
        </w:rPr>
      </w:pPr>
      <w:r w:rsidRPr="00454727">
        <w:rPr>
          <w:rFonts w:ascii="Arial" w:hAnsi="Arial" w:cs="Arial"/>
          <w:sz w:val="22"/>
          <w:szCs w:val="22"/>
        </w:rPr>
        <w:t>Identify and analyse the primary obstacles and factors that affect access to mental health services for ethnic minority groups in the United Kingdom, utilising existing national data and academic research.</w:t>
      </w:r>
    </w:p>
    <w:p w14:paraId="67A55E0A" w14:textId="4C205180" w:rsidR="4B398854" w:rsidRPr="00454727" w:rsidRDefault="00DB26FE" w:rsidP="00E0507C">
      <w:pPr>
        <w:numPr>
          <w:ilvl w:val="0"/>
          <w:numId w:val="2"/>
        </w:numPr>
        <w:spacing w:before="240" w:after="240" w:line="360" w:lineRule="auto"/>
        <w:rPr>
          <w:rFonts w:ascii="Arial" w:hAnsi="Arial" w:cs="Arial"/>
          <w:sz w:val="22"/>
          <w:szCs w:val="22"/>
        </w:rPr>
      </w:pPr>
      <w:r w:rsidRPr="00454727">
        <w:rPr>
          <w:rFonts w:ascii="Arial" w:hAnsi="Arial" w:cs="Arial"/>
          <w:sz w:val="22"/>
          <w:szCs w:val="22"/>
        </w:rPr>
        <w:t>Examine the social, cultural, and systemic elements that lead to disparities in the use and availability of mental health services for these populations.</w:t>
      </w:r>
    </w:p>
    <w:p w14:paraId="2031E6AE" w14:textId="4040F91F" w:rsidR="4B398854" w:rsidRPr="00454727" w:rsidRDefault="00DB26FE" w:rsidP="00E0507C">
      <w:pPr>
        <w:numPr>
          <w:ilvl w:val="0"/>
          <w:numId w:val="2"/>
        </w:numPr>
        <w:spacing w:before="240" w:after="240" w:line="360" w:lineRule="auto"/>
        <w:rPr>
          <w:rFonts w:ascii="Arial" w:hAnsi="Arial" w:cs="Arial"/>
          <w:sz w:val="22"/>
          <w:szCs w:val="22"/>
        </w:rPr>
      </w:pPr>
      <w:r w:rsidRPr="00454727">
        <w:rPr>
          <w:rFonts w:ascii="Arial" w:hAnsi="Arial" w:cs="Arial"/>
          <w:sz w:val="22"/>
          <w:szCs w:val="22"/>
        </w:rPr>
        <w:t>Assess the accessibility, responsiveness, and effectiveness of current mental health policies and initiatives aimed at enhancing service engagement and improving outcomes for ethnic minority communities.</w:t>
      </w:r>
    </w:p>
    <w:p w14:paraId="4A70BD51" w14:textId="468E67E5" w:rsidR="198860F4" w:rsidRPr="00454727" w:rsidRDefault="198860F4" w:rsidP="00E0507C">
      <w:pPr>
        <w:pStyle w:val="ListParagraph"/>
        <w:numPr>
          <w:ilvl w:val="0"/>
          <w:numId w:val="1"/>
        </w:numPr>
        <w:spacing w:line="360" w:lineRule="auto"/>
        <w:rPr>
          <w:rFonts w:ascii="Arial" w:eastAsia="Arial" w:hAnsi="Arial" w:cs="Arial"/>
          <w:sz w:val="22"/>
          <w:szCs w:val="22"/>
        </w:rPr>
      </w:pPr>
      <w:r w:rsidRPr="00454727">
        <w:rPr>
          <w:rFonts w:ascii="Arial" w:eastAsia="Arial" w:hAnsi="Arial" w:cs="Arial"/>
          <w:sz w:val="22"/>
          <w:szCs w:val="22"/>
        </w:rPr>
        <w:t>Offer recommendations to increase awareness, equity, and inclusivity within mental health care, thereby improving access to services and overall well-being for ethnic minorities in the UK (</w:t>
      </w:r>
      <w:proofErr w:type="spellStart"/>
      <w:r w:rsidRPr="00454727">
        <w:rPr>
          <w:rFonts w:ascii="Arial" w:eastAsia="Arial" w:hAnsi="Arial" w:cs="Arial"/>
          <w:sz w:val="22"/>
          <w:szCs w:val="22"/>
        </w:rPr>
        <w:t>Bhui</w:t>
      </w:r>
      <w:proofErr w:type="spellEnd"/>
      <w:r w:rsidRPr="00454727">
        <w:rPr>
          <w:rFonts w:ascii="Arial" w:eastAsia="Arial" w:hAnsi="Arial" w:cs="Arial"/>
          <w:sz w:val="22"/>
          <w:szCs w:val="22"/>
        </w:rPr>
        <w:t xml:space="preserve"> et al., 2018).</w:t>
      </w:r>
    </w:p>
    <w:p w14:paraId="3A65BAC7" w14:textId="00A400D1" w:rsidR="4B398854" w:rsidRPr="00454727" w:rsidRDefault="4B398854" w:rsidP="00454727">
      <w:pPr>
        <w:pStyle w:val="ListParagraph"/>
        <w:spacing w:line="360" w:lineRule="auto"/>
        <w:rPr>
          <w:rFonts w:ascii="Arial" w:eastAsia="Arial" w:hAnsi="Arial" w:cs="Arial"/>
          <w:sz w:val="22"/>
          <w:szCs w:val="22"/>
        </w:rPr>
      </w:pPr>
    </w:p>
    <w:p w14:paraId="7844B7A0" w14:textId="7453E3E4" w:rsidR="4B398854" w:rsidRPr="00454727" w:rsidRDefault="4B398854" w:rsidP="00454727">
      <w:pPr>
        <w:pStyle w:val="ListParagraph"/>
        <w:spacing w:line="360" w:lineRule="auto"/>
        <w:rPr>
          <w:rFonts w:ascii="Arial" w:eastAsia="Arial" w:hAnsi="Arial" w:cs="Arial"/>
          <w:sz w:val="22"/>
          <w:szCs w:val="22"/>
        </w:rPr>
      </w:pPr>
    </w:p>
    <w:p w14:paraId="3BBDC878" w14:textId="1317C5EE" w:rsidR="4B398854" w:rsidRPr="00454727" w:rsidRDefault="4B398854" w:rsidP="4B398854">
      <w:pPr>
        <w:pStyle w:val="ListParagraph"/>
        <w:spacing w:line="360" w:lineRule="auto"/>
        <w:rPr>
          <w:rFonts w:ascii="Arial" w:eastAsia="Arial" w:hAnsi="Arial" w:cs="Arial"/>
          <w:sz w:val="22"/>
          <w:szCs w:val="22"/>
        </w:rPr>
      </w:pPr>
    </w:p>
    <w:p w14:paraId="32CF41FC" w14:textId="7F6D9616" w:rsidR="4B398854" w:rsidRPr="00454727" w:rsidRDefault="4B398854" w:rsidP="4B398854">
      <w:pPr>
        <w:pStyle w:val="ListParagraph"/>
        <w:spacing w:line="276" w:lineRule="auto"/>
        <w:rPr>
          <w:rFonts w:ascii="Arial" w:eastAsia="Arial" w:hAnsi="Arial" w:cs="Arial"/>
          <w:sz w:val="22"/>
          <w:szCs w:val="22"/>
        </w:rPr>
      </w:pPr>
    </w:p>
    <w:p w14:paraId="17763B63" w14:textId="63A2FFFC" w:rsidR="4B398854" w:rsidRPr="00454727" w:rsidRDefault="4B398854" w:rsidP="4B398854">
      <w:pPr>
        <w:pStyle w:val="ListParagraph"/>
        <w:spacing w:line="276" w:lineRule="auto"/>
        <w:rPr>
          <w:rFonts w:ascii="Arial" w:eastAsia="Arial" w:hAnsi="Arial" w:cs="Arial"/>
          <w:sz w:val="22"/>
          <w:szCs w:val="22"/>
        </w:rPr>
      </w:pPr>
    </w:p>
    <w:p w14:paraId="301C9E14" w14:textId="77777777" w:rsidR="00230AE9" w:rsidRPr="00454727" w:rsidRDefault="00230AE9" w:rsidP="4B398854">
      <w:pPr>
        <w:pStyle w:val="ListParagraph"/>
        <w:spacing w:line="276" w:lineRule="auto"/>
        <w:rPr>
          <w:rFonts w:ascii="Arial" w:eastAsia="Arial" w:hAnsi="Arial" w:cs="Arial"/>
          <w:sz w:val="22"/>
          <w:szCs w:val="22"/>
        </w:rPr>
      </w:pPr>
    </w:p>
    <w:p w14:paraId="589329AB" w14:textId="52F02A5E" w:rsidR="4B398854" w:rsidRPr="00454727" w:rsidRDefault="4B398854" w:rsidP="4B398854">
      <w:pPr>
        <w:pStyle w:val="ListParagraph"/>
        <w:spacing w:line="276" w:lineRule="auto"/>
        <w:rPr>
          <w:rFonts w:ascii="Arial" w:eastAsia="Arial" w:hAnsi="Arial" w:cs="Arial"/>
          <w:sz w:val="22"/>
          <w:szCs w:val="22"/>
        </w:rPr>
      </w:pPr>
    </w:p>
    <w:p w14:paraId="335E8163" w14:textId="3736F0D3" w:rsidR="4B398854" w:rsidRPr="00454727" w:rsidRDefault="4B398854" w:rsidP="4B398854">
      <w:pPr>
        <w:pStyle w:val="ListParagraph"/>
        <w:spacing w:line="276" w:lineRule="auto"/>
        <w:rPr>
          <w:rFonts w:ascii="Arial" w:eastAsia="Arial" w:hAnsi="Arial" w:cs="Arial"/>
          <w:sz w:val="22"/>
          <w:szCs w:val="22"/>
        </w:rPr>
      </w:pPr>
    </w:p>
    <w:p w14:paraId="40B2023F" w14:textId="325F7DB8" w:rsidR="4B398854" w:rsidRPr="00454727" w:rsidRDefault="4B398854" w:rsidP="4B398854">
      <w:pPr>
        <w:pStyle w:val="ListParagraph"/>
        <w:spacing w:line="276" w:lineRule="auto"/>
        <w:rPr>
          <w:rFonts w:ascii="Arial" w:eastAsia="Arial" w:hAnsi="Arial" w:cs="Arial"/>
          <w:sz w:val="22"/>
          <w:szCs w:val="22"/>
        </w:rPr>
      </w:pPr>
    </w:p>
    <w:p w14:paraId="3CD90734" w14:textId="77777777" w:rsidR="00DB26FE" w:rsidRPr="00454727" w:rsidRDefault="00DB26FE" w:rsidP="4B398854">
      <w:pPr>
        <w:pStyle w:val="ListParagraph"/>
        <w:spacing w:line="276" w:lineRule="auto"/>
        <w:rPr>
          <w:rFonts w:ascii="Arial" w:eastAsia="Arial" w:hAnsi="Arial" w:cs="Arial"/>
          <w:sz w:val="22"/>
          <w:szCs w:val="22"/>
        </w:rPr>
      </w:pPr>
    </w:p>
    <w:p w14:paraId="38618F56" w14:textId="77777777" w:rsidR="00DB26FE" w:rsidRPr="00454727" w:rsidRDefault="00DB26FE" w:rsidP="4B398854">
      <w:pPr>
        <w:pStyle w:val="ListParagraph"/>
        <w:spacing w:line="276" w:lineRule="auto"/>
        <w:rPr>
          <w:rFonts w:ascii="Arial" w:eastAsia="Arial" w:hAnsi="Arial" w:cs="Arial"/>
          <w:sz w:val="22"/>
          <w:szCs w:val="22"/>
        </w:rPr>
      </w:pPr>
    </w:p>
    <w:p w14:paraId="3EC40869" w14:textId="77777777" w:rsidR="00DB26FE" w:rsidRPr="00454727" w:rsidRDefault="00DB26FE" w:rsidP="4B398854">
      <w:pPr>
        <w:pStyle w:val="ListParagraph"/>
        <w:spacing w:line="276" w:lineRule="auto"/>
        <w:rPr>
          <w:rFonts w:ascii="Arial" w:eastAsia="Arial" w:hAnsi="Arial" w:cs="Arial"/>
          <w:sz w:val="22"/>
          <w:szCs w:val="22"/>
        </w:rPr>
      </w:pPr>
    </w:p>
    <w:p w14:paraId="7E9DF31C" w14:textId="69E29B38" w:rsidR="4B398854" w:rsidRPr="00454727" w:rsidRDefault="4B398854" w:rsidP="4B398854">
      <w:pPr>
        <w:spacing w:line="276" w:lineRule="auto"/>
        <w:ind w:left="720"/>
        <w:rPr>
          <w:rFonts w:ascii="Arial" w:eastAsia="Arial" w:hAnsi="Arial" w:cs="Arial"/>
          <w:sz w:val="22"/>
          <w:szCs w:val="22"/>
        </w:rPr>
      </w:pPr>
    </w:p>
    <w:p w14:paraId="72E51CEE" w14:textId="352897DF" w:rsidR="4B398854" w:rsidRPr="00454727" w:rsidRDefault="4B398854" w:rsidP="4B398854">
      <w:pPr>
        <w:pStyle w:val="ListParagraph"/>
        <w:spacing w:line="276" w:lineRule="auto"/>
        <w:rPr>
          <w:rFonts w:ascii="Arial" w:eastAsia="Arial" w:hAnsi="Arial" w:cs="Arial"/>
          <w:sz w:val="22"/>
          <w:szCs w:val="22"/>
        </w:rPr>
      </w:pPr>
    </w:p>
    <w:p w14:paraId="4BDF05E8" w14:textId="6D80CD84" w:rsidR="529360B0" w:rsidRPr="00454727" w:rsidRDefault="529360B0" w:rsidP="00454727">
      <w:pPr>
        <w:spacing w:before="240" w:after="240" w:line="360" w:lineRule="auto"/>
        <w:rPr>
          <w:rFonts w:ascii="Arial" w:hAnsi="Arial" w:cs="Arial"/>
          <w:sz w:val="22"/>
          <w:szCs w:val="22"/>
        </w:rPr>
      </w:pPr>
      <w:r w:rsidRPr="00454727">
        <w:rPr>
          <w:rFonts w:ascii="Arial" w:hAnsi="Arial" w:cs="Arial"/>
          <w:b/>
          <w:bCs/>
          <w:sz w:val="22"/>
          <w:szCs w:val="22"/>
        </w:rPr>
        <w:lastRenderedPageBreak/>
        <w:t>Background/Rationale</w:t>
      </w:r>
    </w:p>
    <w:p w14:paraId="5EAEC5CF" w14:textId="3A01D565" w:rsidR="4B398854" w:rsidRPr="00454727" w:rsidRDefault="529360B0" w:rsidP="00454727">
      <w:pPr>
        <w:spacing w:before="240" w:after="240" w:line="360" w:lineRule="auto"/>
        <w:rPr>
          <w:rFonts w:ascii="Arial" w:eastAsia="Arial" w:hAnsi="Arial" w:cs="Arial"/>
          <w:sz w:val="22"/>
          <w:szCs w:val="22"/>
        </w:rPr>
      </w:pPr>
      <w:r w:rsidRPr="00454727">
        <w:rPr>
          <w:rFonts w:ascii="Arial" w:eastAsia="Arial" w:hAnsi="Arial" w:cs="Arial"/>
          <w:sz w:val="22"/>
          <w:szCs w:val="22"/>
        </w:rPr>
        <w:t>In the United Kingdom, access to mental health services is inconsistent, with significant obstacles faced by ethnic minority groups that impede prompt and effective support (NHS England, 2022). Studies show that individuals from these communities are less inclined to seek or receive adequate mental health care compared to the White British population, often due to cultural stigma, language issues, discrimination, and a shortage of culturally appropriate services (</w:t>
      </w:r>
      <w:proofErr w:type="spellStart"/>
      <w:r w:rsidRPr="00454727">
        <w:rPr>
          <w:rFonts w:ascii="Arial" w:eastAsia="Arial" w:hAnsi="Arial" w:cs="Arial"/>
          <w:sz w:val="22"/>
          <w:szCs w:val="22"/>
        </w:rPr>
        <w:t>Nazroo</w:t>
      </w:r>
      <w:proofErr w:type="spellEnd"/>
      <w:r w:rsidRPr="00454727">
        <w:rPr>
          <w:rFonts w:ascii="Arial" w:eastAsia="Arial" w:hAnsi="Arial" w:cs="Arial"/>
          <w:sz w:val="22"/>
          <w:szCs w:val="22"/>
        </w:rPr>
        <w:t xml:space="preserve"> and </w:t>
      </w:r>
      <w:proofErr w:type="spellStart"/>
      <w:r w:rsidRPr="00454727">
        <w:rPr>
          <w:rFonts w:ascii="Arial" w:eastAsia="Arial" w:hAnsi="Arial" w:cs="Arial"/>
          <w:sz w:val="22"/>
          <w:szCs w:val="22"/>
        </w:rPr>
        <w:t>Bhui</w:t>
      </w:r>
      <w:proofErr w:type="spellEnd"/>
      <w:r w:rsidRPr="00454727">
        <w:rPr>
          <w:rFonts w:ascii="Arial" w:eastAsia="Arial" w:hAnsi="Arial" w:cs="Arial"/>
          <w:sz w:val="22"/>
          <w:szCs w:val="22"/>
        </w:rPr>
        <w:t>, 2021; Mental Health Foundation, 2023). These inequalities lead to deteriorating mental health, delayed treatment, and increased psychological suffering among ethnic minority groups (Mind, 2023). Structural inequalities in the healthcare system, including institutional racism and socio-economic disadvantages, further exacerbate these issues (Williams et al., 2022). While there is growing awareness of these challenges, a lack of understanding persists regarding how social and cultural factors influence access to and engagement with mental health services among ethnic minorities. This research aims to fill that gap and facilitate the creation of more equitable, inclusive, and culturally sensitive mental health strategies in the UK (Department of Health and Social Care, 2023).</w:t>
      </w:r>
    </w:p>
    <w:p w14:paraId="07B4B78C" w14:textId="7CB7B702" w:rsidR="5F7144E5" w:rsidRPr="00454727" w:rsidRDefault="5F7144E5" w:rsidP="00454727">
      <w:pPr>
        <w:spacing w:before="240" w:after="240" w:line="360" w:lineRule="auto"/>
        <w:rPr>
          <w:rFonts w:ascii="Arial" w:hAnsi="Arial" w:cs="Arial"/>
          <w:sz w:val="22"/>
          <w:szCs w:val="22"/>
        </w:rPr>
      </w:pPr>
      <w:r w:rsidRPr="00454727">
        <w:rPr>
          <w:rFonts w:ascii="Arial" w:eastAsia="Arial" w:hAnsi="Arial" w:cs="Arial"/>
          <w:b/>
          <w:bCs/>
          <w:sz w:val="22"/>
          <w:szCs w:val="22"/>
        </w:rPr>
        <w:t>Methods</w:t>
      </w:r>
    </w:p>
    <w:p w14:paraId="4C0CF6A0" w14:textId="029C6ED1" w:rsidR="5F7144E5" w:rsidRPr="00454727" w:rsidRDefault="5F7144E5" w:rsidP="00454727">
      <w:pPr>
        <w:spacing w:before="240" w:after="240" w:line="360" w:lineRule="auto"/>
        <w:rPr>
          <w:rFonts w:ascii="Arial" w:hAnsi="Arial" w:cs="Arial"/>
          <w:sz w:val="22"/>
          <w:szCs w:val="22"/>
        </w:rPr>
      </w:pPr>
      <w:r w:rsidRPr="00454727">
        <w:rPr>
          <w:rFonts w:ascii="Arial" w:eastAsia="Arial" w:hAnsi="Arial" w:cs="Arial"/>
          <w:sz w:val="22"/>
          <w:szCs w:val="22"/>
        </w:rPr>
        <w:t>This research will utilise a secondary analysis approach to explore the obstacles and difficulties encountered by ethnic minorities in accessing mental health services in the United Kingdom, drawing on existing data.</w:t>
      </w:r>
    </w:p>
    <w:p w14:paraId="3B55280B" w14:textId="4CBB205F" w:rsidR="5F7144E5" w:rsidRPr="00454727" w:rsidRDefault="5F7144E5" w:rsidP="00454727">
      <w:pPr>
        <w:spacing w:before="240" w:after="240" w:line="360" w:lineRule="auto"/>
        <w:rPr>
          <w:rFonts w:ascii="Arial" w:hAnsi="Arial" w:cs="Arial"/>
          <w:sz w:val="22"/>
          <w:szCs w:val="22"/>
        </w:rPr>
      </w:pPr>
      <w:r w:rsidRPr="00454727">
        <w:rPr>
          <w:rFonts w:ascii="Arial" w:eastAsia="Arial" w:hAnsi="Arial" w:cs="Arial"/>
          <w:b/>
          <w:bCs/>
          <w:sz w:val="22"/>
          <w:szCs w:val="22"/>
        </w:rPr>
        <w:t>Approach:</w:t>
      </w:r>
      <w:r w:rsidRPr="00454727">
        <w:rPr>
          <w:rFonts w:ascii="Arial" w:eastAsia="Arial" w:hAnsi="Arial" w:cs="Arial"/>
          <w:sz w:val="22"/>
          <w:szCs w:val="22"/>
        </w:rPr>
        <w:t xml:space="preserve"> Conducting secondary analysis of both qualitative and quantitative data regarding access to mental health services for ethnic minority groups in the UK.</w:t>
      </w:r>
    </w:p>
    <w:p w14:paraId="72EDABEA" w14:textId="2F101A91" w:rsidR="5F7144E5" w:rsidRPr="00454727" w:rsidRDefault="5F7144E5" w:rsidP="00454727">
      <w:pPr>
        <w:spacing w:before="240" w:after="240" w:line="360" w:lineRule="auto"/>
        <w:rPr>
          <w:rFonts w:ascii="Arial" w:hAnsi="Arial" w:cs="Arial"/>
          <w:sz w:val="22"/>
          <w:szCs w:val="22"/>
        </w:rPr>
      </w:pPr>
      <w:r w:rsidRPr="00454727">
        <w:rPr>
          <w:rFonts w:ascii="Arial" w:eastAsia="Arial" w:hAnsi="Arial" w:cs="Arial"/>
          <w:b/>
          <w:bCs/>
          <w:sz w:val="22"/>
          <w:szCs w:val="22"/>
        </w:rPr>
        <w:t>Inclusion Criteria:</w:t>
      </w:r>
      <w:r w:rsidRPr="00454727">
        <w:rPr>
          <w:rFonts w:ascii="Arial" w:eastAsia="Arial" w:hAnsi="Arial" w:cs="Arial"/>
          <w:sz w:val="22"/>
          <w:szCs w:val="22"/>
        </w:rPr>
        <w:t xml:space="preserve"> Studies released within the last decade that examine access to mental health services for ethnic minority communities in the UK.</w:t>
      </w:r>
    </w:p>
    <w:p w14:paraId="62A7A9FC" w14:textId="3E666D19" w:rsidR="5F7144E5" w:rsidRPr="00454727" w:rsidRDefault="5F7144E5" w:rsidP="00454727">
      <w:pPr>
        <w:spacing w:before="240" w:after="240" w:line="360" w:lineRule="auto"/>
        <w:rPr>
          <w:rFonts w:ascii="Arial" w:hAnsi="Arial" w:cs="Arial"/>
          <w:sz w:val="22"/>
          <w:szCs w:val="22"/>
        </w:rPr>
      </w:pPr>
      <w:r w:rsidRPr="00454727">
        <w:rPr>
          <w:rFonts w:ascii="Arial" w:eastAsia="Arial" w:hAnsi="Arial" w:cs="Arial"/>
          <w:b/>
          <w:bCs/>
          <w:sz w:val="22"/>
          <w:szCs w:val="22"/>
        </w:rPr>
        <w:t>Exclusion Criteria:</w:t>
      </w:r>
      <w:r w:rsidRPr="00454727">
        <w:rPr>
          <w:rFonts w:ascii="Arial" w:eastAsia="Arial" w:hAnsi="Arial" w:cs="Arial"/>
          <w:sz w:val="22"/>
          <w:szCs w:val="22"/>
        </w:rPr>
        <w:t xml:space="preserve"> Non-academic sources, studies that are outdated, or research that does not specifically address ethnic minority populations in the UK context.</w:t>
      </w:r>
    </w:p>
    <w:p w14:paraId="6D6B2872" w14:textId="2A6B3EA0" w:rsidR="5F7144E5" w:rsidRPr="00454727" w:rsidRDefault="5F7144E5" w:rsidP="00454727">
      <w:pPr>
        <w:spacing w:before="240" w:after="240" w:line="360" w:lineRule="auto"/>
        <w:rPr>
          <w:rFonts w:ascii="Arial" w:hAnsi="Arial" w:cs="Arial"/>
          <w:sz w:val="22"/>
          <w:szCs w:val="22"/>
        </w:rPr>
      </w:pPr>
      <w:r w:rsidRPr="00454727">
        <w:rPr>
          <w:rFonts w:ascii="Arial" w:eastAsia="Arial" w:hAnsi="Arial" w:cs="Arial"/>
          <w:b/>
          <w:bCs/>
          <w:sz w:val="22"/>
          <w:szCs w:val="22"/>
        </w:rPr>
        <w:t>Data Sources:</w:t>
      </w:r>
      <w:r w:rsidRPr="00454727">
        <w:rPr>
          <w:rFonts w:ascii="Arial" w:eastAsia="Arial" w:hAnsi="Arial" w:cs="Arial"/>
          <w:sz w:val="22"/>
          <w:szCs w:val="22"/>
        </w:rPr>
        <w:t xml:space="preserve"> Articles from peer-reviewed journals, reports from government and NHS, and national datasets including NHS Digital and the Office for National Statistics.</w:t>
      </w:r>
    </w:p>
    <w:p w14:paraId="66CB8C23" w14:textId="48CA5305" w:rsidR="5F7144E5" w:rsidRPr="00454727" w:rsidRDefault="5F7144E5" w:rsidP="00454727">
      <w:pPr>
        <w:spacing w:before="240" w:after="240" w:line="360" w:lineRule="auto"/>
        <w:rPr>
          <w:rFonts w:ascii="Arial" w:hAnsi="Arial" w:cs="Arial"/>
          <w:sz w:val="22"/>
          <w:szCs w:val="22"/>
        </w:rPr>
      </w:pPr>
      <w:r w:rsidRPr="00454727">
        <w:rPr>
          <w:rFonts w:ascii="Arial" w:eastAsia="Arial" w:hAnsi="Arial" w:cs="Arial"/>
          <w:b/>
          <w:bCs/>
          <w:sz w:val="22"/>
          <w:szCs w:val="22"/>
        </w:rPr>
        <w:t>Analysis:</w:t>
      </w:r>
      <w:r w:rsidRPr="00454727">
        <w:rPr>
          <w:rFonts w:ascii="Arial" w:eastAsia="Arial" w:hAnsi="Arial" w:cs="Arial"/>
          <w:sz w:val="22"/>
          <w:szCs w:val="22"/>
        </w:rPr>
        <w:t xml:space="preserve"> A thematic review will be performed to uncover common themes, barriers, and enablers related to the accessibility and use of mental health services.</w:t>
      </w:r>
    </w:p>
    <w:p w14:paraId="71CFBD91" w14:textId="7EE0A2B5" w:rsidR="4B398854" w:rsidRPr="00454727" w:rsidRDefault="5F7144E5" w:rsidP="00454727">
      <w:pPr>
        <w:spacing w:before="240" w:after="240" w:line="360" w:lineRule="auto"/>
        <w:rPr>
          <w:rFonts w:ascii="Arial" w:hAnsi="Arial" w:cs="Arial"/>
          <w:sz w:val="22"/>
          <w:szCs w:val="22"/>
        </w:rPr>
      </w:pPr>
      <w:r w:rsidRPr="00454727">
        <w:rPr>
          <w:rFonts w:ascii="Arial" w:eastAsia="Arial" w:hAnsi="Arial" w:cs="Arial"/>
          <w:b/>
          <w:bCs/>
          <w:sz w:val="22"/>
          <w:szCs w:val="22"/>
        </w:rPr>
        <w:lastRenderedPageBreak/>
        <w:t>Ethics:</w:t>
      </w:r>
      <w:r w:rsidRPr="00454727">
        <w:rPr>
          <w:rFonts w:ascii="Arial" w:eastAsia="Arial" w:hAnsi="Arial" w:cs="Arial"/>
          <w:sz w:val="22"/>
          <w:szCs w:val="22"/>
        </w:rPr>
        <w:t xml:space="preserve"> All data will be sourced from publicly available materials, with all references formatted in Harvard style to maintain academic integrity and transparency (Creswell and Creswell, 2018).</w:t>
      </w:r>
    </w:p>
    <w:p w14:paraId="6B687154" w14:textId="6A5A9C83" w:rsidR="1B604557" w:rsidRPr="00454727" w:rsidRDefault="1B604557" w:rsidP="00454727">
      <w:pPr>
        <w:spacing w:before="240" w:after="240" w:line="360" w:lineRule="auto"/>
        <w:rPr>
          <w:rFonts w:ascii="Arial" w:eastAsia="Arial" w:hAnsi="Arial" w:cs="Arial"/>
          <w:sz w:val="22"/>
          <w:szCs w:val="22"/>
        </w:rPr>
      </w:pPr>
      <w:r w:rsidRPr="00454727">
        <w:rPr>
          <w:rFonts w:ascii="Arial" w:eastAsia="Arial" w:hAnsi="Arial" w:cs="Arial"/>
          <w:b/>
          <w:bCs/>
          <w:sz w:val="22"/>
          <w:szCs w:val="22"/>
        </w:rPr>
        <w:t>Resources</w:t>
      </w:r>
    </w:p>
    <w:p w14:paraId="22B1F16D" w14:textId="4AFD87D4" w:rsidR="1B604557" w:rsidRPr="00454727" w:rsidRDefault="1B604557" w:rsidP="00454727">
      <w:pPr>
        <w:spacing w:before="240" w:after="240" w:line="360" w:lineRule="auto"/>
        <w:rPr>
          <w:rFonts w:ascii="Arial" w:hAnsi="Arial" w:cs="Arial"/>
          <w:sz w:val="22"/>
          <w:szCs w:val="22"/>
        </w:rPr>
      </w:pPr>
      <w:r w:rsidRPr="00454727">
        <w:rPr>
          <w:rFonts w:ascii="Arial" w:eastAsia="Arial" w:hAnsi="Arial" w:cs="Arial"/>
          <w:sz w:val="22"/>
          <w:szCs w:val="22"/>
        </w:rPr>
        <w:t>Access to academic databases like PubMed, Google Scholar, and NHS Digital will enable the retrieval of peer-reviewed research and national health statistics related to mental health among ethnic minorities in the UK.</w:t>
      </w:r>
    </w:p>
    <w:p w14:paraId="13846874" w14:textId="7BA19E2E" w:rsidR="1B604557" w:rsidRPr="00454727" w:rsidRDefault="1B604557" w:rsidP="00454727">
      <w:pPr>
        <w:spacing w:before="240" w:after="240" w:line="360" w:lineRule="auto"/>
        <w:rPr>
          <w:rFonts w:ascii="Arial" w:hAnsi="Arial" w:cs="Arial"/>
          <w:sz w:val="22"/>
          <w:szCs w:val="22"/>
        </w:rPr>
      </w:pPr>
      <w:r w:rsidRPr="00454727">
        <w:rPr>
          <w:rFonts w:ascii="Arial" w:eastAsia="Arial" w:hAnsi="Arial" w:cs="Arial"/>
          <w:sz w:val="22"/>
          <w:szCs w:val="22"/>
        </w:rPr>
        <w:t>Secondary data from trusted organi</w:t>
      </w:r>
      <w:r w:rsidR="67A58278" w:rsidRPr="00454727">
        <w:rPr>
          <w:rFonts w:ascii="Arial" w:eastAsia="Arial" w:hAnsi="Arial" w:cs="Arial"/>
          <w:sz w:val="22"/>
          <w:szCs w:val="22"/>
        </w:rPr>
        <w:t>s</w:t>
      </w:r>
      <w:r w:rsidRPr="00454727">
        <w:rPr>
          <w:rFonts w:ascii="Arial" w:eastAsia="Arial" w:hAnsi="Arial" w:cs="Arial"/>
          <w:sz w:val="22"/>
          <w:szCs w:val="22"/>
        </w:rPr>
        <w:t>ations such as NHS England, the Office for National Statistics (ONS), and Mind UK will provide a foundation for evidence-based investigations into barriers to access and service utili</w:t>
      </w:r>
      <w:r w:rsidR="451FE94D" w:rsidRPr="00454727">
        <w:rPr>
          <w:rFonts w:ascii="Arial" w:eastAsia="Arial" w:hAnsi="Arial" w:cs="Arial"/>
          <w:sz w:val="22"/>
          <w:szCs w:val="22"/>
        </w:rPr>
        <w:t>s</w:t>
      </w:r>
      <w:r w:rsidRPr="00454727">
        <w:rPr>
          <w:rFonts w:ascii="Arial" w:eastAsia="Arial" w:hAnsi="Arial" w:cs="Arial"/>
          <w:sz w:val="22"/>
          <w:szCs w:val="22"/>
        </w:rPr>
        <w:t>ation.</w:t>
      </w:r>
    </w:p>
    <w:p w14:paraId="0DC1B6DC" w14:textId="4736F984" w:rsidR="1B604557" w:rsidRPr="00454727" w:rsidRDefault="1B604557" w:rsidP="00454727">
      <w:pPr>
        <w:spacing w:before="240" w:after="240" w:line="360" w:lineRule="auto"/>
        <w:rPr>
          <w:rFonts w:ascii="Arial" w:hAnsi="Arial" w:cs="Arial"/>
          <w:sz w:val="22"/>
          <w:szCs w:val="22"/>
        </w:rPr>
      </w:pPr>
      <w:r w:rsidRPr="00454727">
        <w:rPr>
          <w:rFonts w:ascii="Arial" w:eastAsia="Arial" w:hAnsi="Arial" w:cs="Arial"/>
          <w:sz w:val="22"/>
          <w:szCs w:val="22"/>
        </w:rPr>
        <w:t xml:space="preserve">Data analysis tools including Microsoft Word, Excel, </w:t>
      </w:r>
      <w:proofErr w:type="spellStart"/>
      <w:r w:rsidRPr="00454727">
        <w:rPr>
          <w:rFonts w:ascii="Arial" w:eastAsia="Arial" w:hAnsi="Arial" w:cs="Arial"/>
          <w:sz w:val="22"/>
          <w:szCs w:val="22"/>
        </w:rPr>
        <w:t>MyBib</w:t>
      </w:r>
      <w:proofErr w:type="spellEnd"/>
      <w:r w:rsidRPr="00454727">
        <w:rPr>
          <w:rFonts w:ascii="Arial" w:eastAsia="Arial" w:hAnsi="Arial" w:cs="Arial"/>
          <w:sz w:val="22"/>
          <w:szCs w:val="22"/>
        </w:rPr>
        <w:t>, and Grammarly will assist in organi</w:t>
      </w:r>
      <w:r w:rsidR="623A21E7" w:rsidRPr="00454727">
        <w:rPr>
          <w:rFonts w:ascii="Arial" w:eastAsia="Arial" w:hAnsi="Arial" w:cs="Arial"/>
          <w:sz w:val="22"/>
          <w:szCs w:val="22"/>
        </w:rPr>
        <w:t>s</w:t>
      </w:r>
      <w:r w:rsidRPr="00454727">
        <w:rPr>
          <w:rFonts w:ascii="Arial" w:eastAsia="Arial" w:hAnsi="Arial" w:cs="Arial"/>
          <w:sz w:val="22"/>
          <w:szCs w:val="22"/>
        </w:rPr>
        <w:t>ing data, ensuring accurate referencing, and enhancing the quality of academic writing.</w:t>
      </w:r>
    </w:p>
    <w:p w14:paraId="40062A26" w14:textId="5C490641" w:rsidR="1B604557" w:rsidRPr="00454727" w:rsidRDefault="1B604557" w:rsidP="00454727">
      <w:pPr>
        <w:spacing w:before="240" w:after="240" w:line="360" w:lineRule="auto"/>
        <w:rPr>
          <w:rFonts w:ascii="Arial" w:hAnsi="Arial" w:cs="Arial"/>
          <w:sz w:val="22"/>
          <w:szCs w:val="22"/>
        </w:rPr>
      </w:pPr>
      <w:r w:rsidRPr="00454727">
        <w:rPr>
          <w:rFonts w:ascii="Arial" w:eastAsia="Arial" w:hAnsi="Arial" w:cs="Arial"/>
          <w:sz w:val="22"/>
          <w:szCs w:val="22"/>
        </w:rPr>
        <w:t>Support from academic staff, university library resources, and online research assistance will help maintain methodological rigor and academic integrity throughout the study (University of Manchester, 2022).</w:t>
      </w:r>
    </w:p>
    <w:p w14:paraId="358A6565" w14:textId="12A9E6FE" w:rsidR="4B398854" w:rsidRPr="00454727" w:rsidRDefault="4B398854" w:rsidP="4B398854">
      <w:pPr>
        <w:keepNext/>
        <w:keepLines/>
        <w:spacing w:line="360" w:lineRule="auto"/>
        <w:rPr>
          <w:rFonts w:ascii="Arial" w:hAnsi="Arial" w:cs="Arial"/>
          <w:sz w:val="22"/>
          <w:szCs w:val="22"/>
        </w:rPr>
      </w:pPr>
    </w:p>
    <w:p w14:paraId="7E9B07E5" w14:textId="252E629F" w:rsidR="4B398854" w:rsidRPr="00454727" w:rsidRDefault="4B398854" w:rsidP="00454727">
      <w:pPr>
        <w:rPr>
          <w:rFonts w:ascii="Arial" w:hAnsi="Arial" w:cs="Arial"/>
          <w:sz w:val="22"/>
          <w:szCs w:val="22"/>
        </w:rPr>
      </w:pPr>
      <w:r w:rsidRPr="00454727">
        <w:rPr>
          <w:rFonts w:ascii="Arial" w:hAnsi="Arial" w:cs="Arial"/>
          <w:sz w:val="22"/>
          <w:szCs w:val="22"/>
        </w:rPr>
        <w:br w:type="page"/>
      </w:r>
    </w:p>
    <w:p w14:paraId="782E0BB2" w14:textId="6D2C32E2" w:rsidR="3EFC2FF4" w:rsidRPr="00454727" w:rsidRDefault="3EFC2FF4" w:rsidP="00454727">
      <w:pPr>
        <w:keepNext/>
        <w:keepLines/>
        <w:spacing w:line="360" w:lineRule="auto"/>
        <w:rPr>
          <w:rFonts w:ascii="Arial" w:eastAsia="Arial" w:hAnsi="Arial" w:cs="Arial"/>
          <w:b/>
          <w:bCs/>
          <w:color w:val="0F4761" w:themeColor="accent1" w:themeShade="BF"/>
          <w:sz w:val="22"/>
          <w:szCs w:val="22"/>
        </w:rPr>
      </w:pPr>
      <w:r w:rsidRPr="00454727">
        <w:rPr>
          <w:rFonts w:ascii="Arial" w:eastAsia="Arial" w:hAnsi="Arial" w:cs="Arial"/>
          <w:b/>
          <w:bCs/>
          <w:sz w:val="22"/>
          <w:szCs w:val="22"/>
        </w:rPr>
        <w:lastRenderedPageBreak/>
        <w:t>Timescale</w:t>
      </w:r>
    </w:p>
    <w:p w14:paraId="56553157" w14:textId="5A7D6846" w:rsidR="3EFC2FF4" w:rsidRPr="00454727" w:rsidRDefault="3EFC2FF4" w:rsidP="00454727">
      <w:pPr>
        <w:spacing w:before="240" w:after="240" w:line="360" w:lineRule="auto"/>
        <w:rPr>
          <w:rFonts w:ascii="Arial" w:eastAsia="Arial" w:hAnsi="Arial" w:cs="Arial"/>
          <w:color w:val="000000" w:themeColor="text1"/>
          <w:sz w:val="22"/>
          <w:szCs w:val="22"/>
        </w:rPr>
      </w:pPr>
      <w:r w:rsidRPr="00454727">
        <w:rPr>
          <w:rFonts w:ascii="Arial" w:eastAsia="Arial" w:hAnsi="Arial" w:cs="Arial"/>
          <w:b/>
          <w:bCs/>
          <w:color w:val="000000" w:themeColor="text1"/>
          <w:sz w:val="22"/>
          <w:szCs w:val="22"/>
        </w:rPr>
        <w:t>Weeks 1–2:</w:t>
      </w:r>
      <w:r w:rsidRPr="00454727">
        <w:rPr>
          <w:rFonts w:ascii="Arial" w:eastAsia="Arial" w:hAnsi="Arial" w:cs="Arial"/>
          <w:color w:val="000000" w:themeColor="text1"/>
          <w:sz w:val="22"/>
          <w:szCs w:val="22"/>
        </w:rPr>
        <w:t xml:space="preserve"> Finalise topic and title on barriers to accessing mental health services among ethnic minorities in the UK.</w:t>
      </w:r>
    </w:p>
    <w:p w14:paraId="2937EF18" w14:textId="6BED5DE4" w:rsidR="3EFC2FF4" w:rsidRPr="00454727" w:rsidRDefault="3EFC2FF4" w:rsidP="00454727">
      <w:pPr>
        <w:spacing w:before="240" w:after="240" w:line="360" w:lineRule="auto"/>
        <w:rPr>
          <w:rFonts w:ascii="Arial" w:eastAsia="Arial" w:hAnsi="Arial" w:cs="Arial"/>
          <w:color w:val="000000" w:themeColor="text1"/>
          <w:sz w:val="22"/>
          <w:szCs w:val="22"/>
        </w:rPr>
      </w:pPr>
      <w:r w:rsidRPr="00454727">
        <w:rPr>
          <w:rFonts w:ascii="Arial" w:eastAsia="Arial" w:hAnsi="Arial" w:cs="Arial"/>
          <w:b/>
          <w:bCs/>
          <w:color w:val="000000" w:themeColor="text1"/>
          <w:sz w:val="22"/>
          <w:szCs w:val="22"/>
        </w:rPr>
        <w:t>Weeks 3–5:</w:t>
      </w:r>
      <w:r w:rsidRPr="00454727">
        <w:rPr>
          <w:rFonts w:ascii="Arial" w:eastAsia="Arial" w:hAnsi="Arial" w:cs="Arial"/>
          <w:color w:val="000000" w:themeColor="text1"/>
          <w:sz w:val="22"/>
          <w:szCs w:val="22"/>
        </w:rPr>
        <w:t xml:space="preserve"> Conduct literature review and collect secondary data.</w:t>
      </w:r>
    </w:p>
    <w:p w14:paraId="0C518968" w14:textId="39C964DB" w:rsidR="3EFC2FF4" w:rsidRPr="00454727" w:rsidRDefault="3EFC2FF4" w:rsidP="00454727">
      <w:pPr>
        <w:spacing w:before="240" w:after="240" w:line="360" w:lineRule="auto"/>
        <w:rPr>
          <w:rFonts w:ascii="Arial" w:eastAsia="Arial" w:hAnsi="Arial" w:cs="Arial"/>
          <w:color w:val="000000" w:themeColor="text1"/>
          <w:sz w:val="22"/>
          <w:szCs w:val="22"/>
        </w:rPr>
      </w:pPr>
      <w:r w:rsidRPr="00454727">
        <w:rPr>
          <w:rFonts w:ascii="Arial" w:eastAsia="Arial" w:hAnsi="Arial" w:cs="Arial"/>
          <w:b/>
          <w:bCs/>
          <w:color w:val="000000" w:themeColor="text1"/>
          <w:sz w:val="22"/>
          <w:szCs w:val="22"/>
        </w:rPr>
        <w:t>Weeks 6–7:</w:t>
      </w:r>
      <w:r w:rsidRPr="00454727">
        <w:rPr>
          <w:rFonts w:ascii="Arial" w:eastAsia="Arial" w:hAnsi="Arial" w:cs="Arial"/>
          <w:color w:val="000000" w:themeColor="text1"/>
          <w:sz w:val="22"/>
          <w:szCs w:val="22"/>
        </w:rPr>
        <w:t xml:space="preserve"> Draft and submit research proposal.</w:t>
      </w:r>
    </w:p>
    <w:p w14:paraId="6E120DFA" w14:textId="2F5F2A90" w:rsidR="3EFC2FF4" w:rsidRPr="00454727" w:rsidRDefault="3EFC2FF4" w:rsidP="00454727">
      <w:pPr>
        <w:spacing w:before="240" w:after="240" w:line="360" w:lineRule="auto"/>
        <w:rPr>
          <w:rFonts w:ascii="Arial" w:eastAsia="Arial" w:hAnsi="Arial" w:cs="Arial"/>
          <w:color w:val="000000" w:themeColor="text1"/>
          <w:sz w:val="22"/>
          <w:szCs w:val="22"/>
        </w:rPr>
      </w:pPr>
      <w:r w:rsidRPr="00454727">
        <w:rPr>
          <w:rFonts w:ascii="Arial" w:eastAsia="Arial" w:hAnsi="Arial" w:cs="Arial"/>
          <w:b/>
          <w:bCs/>
          <w:color w:val="000000" w:themeColor="text1"/>
          <w:sz w:val="22"/>
          <w:szCs w:val="22"/>
        </w:rPr>
        <w:t>Weeks 8–10:</w:t>
      </w:r>
      <w:r w:rsidRPr="00454727">
        <w:rPr>
          <w:rFonts w:ascii="Arial" w:eastAsia="Arial" w:hAnsi="Arial" w:cs="Arial"/>
          <w:color w:val="000000" w:themeColor="text1"/>
          <w:sz w:val="22"/>
          <w:szCs w:val="22"/>
        </w:rPr>
        <w:t xml:space="preserve"> Write Chapter 1 – Introduction.</w:t>
      </w:r>
    </w:p>
    <w:p w14:paraId="42A6FCDB" w14:textId="28F51D5A" w:rsidR="3EFC2FF4" w:rsidRPr="00454727" w:rsidRDefault="3EFC2FF4" w:rsidP="00454727">
      <w:pPr>
        <w:spacing w:before="240" w:after="240" w:line="360" w:lineRule="auto"/>
        <w:rPr>
          <w:rFonts w:ascii="Arial" w:eastAsia="Arial" w:hAnsi="Arial" w:cs="Arial"/>
          <w:color w:val="000000" w:themeColor="text1"/>
          <w:sz w:val="22"/>
          <w:szCs w:val="22"/>
        </w:rPr>
      </w:pPr>
      <w:r w:rsidRPr="00454727">
        <w:rPr>
          <w:rFonts w:ascii="Arial" w:eastAsia="Arial" w:hAnsi="Arial" w:cs="Arial"/>
          <w:b/>
          <w:bCs/>
          <w:color w:val="000000" w:themeColor="text1"/>
          <w:sz w:val="22"/>
          <w:szCs w:val="22"/>
        </w:rPr>
        <w:t>Weeks 11–14:</w:t>
      </w:r>
      <w:r w:rsidRPr="00454727">
        <w:rPr>
          <w:rFonts w:ascii="Arial" w:eastAsia="Arial" w:hAnsi="Arial" w:cs="Arial"/>
          <w:color w:val="000000" w:themeColor="text1"/>
          <w:sz w:val="22"/>
          <w:szCs w:val="22"/>
        </w:rPr>
        <w:t xml:space="preserve"> Write Chapter 2 – Literature Review.</w:t>
      </w:r>
    </w:p>
    <w:p w14:paraId="2CFF81FC" w14:textId="2ED9A06C" w:rsidR="3EFC2FF4" w:rsidRPr="00454727" w:rsidRDefault="3EFC2FF4" w:rsidP="00454727">
      <w:pPr>
        <w:spacing w:before="240" w:after="240" w:line="360" w:lineRule="auto"/>
        <w:rPr>
          <w:rFonts w:ascii="Arial" w:eastAsia="Arial" w:hAnsi="Arial" w:cs="Arial"/>
          <w:color w:val="000000" w:themeColor="text1"/>
          <w:sz w:val="22"/>
          <w:szCs w:val="22"/>
        </w:rPr>
      </w:pPr>
      <w:r w:rsidRPr="00454727">
        <w:rPr>
          <w:rFonts w:ascii="Arial" w:eastAsia="Arial" w:hAnsi="Arial" w:cs="Arial"/>
          <w:b/>
          <w:bCs/>
          <w:color w:val="000000" w:themeColor="text1"/>
          <w:sz w:val="22"/>
          <w:szCs w:val="22"/>
        </w:rPr>
        <w:t>Weeks 15–17:</w:t>
      </w:r>
      <w:r w:rsidRPr="00454727">
        <w:rPr>
          <w:rFonts w:ascii="Arial" w:eastAsia="Arial" w:hAnsi="Arial" w:cs="Arial"/>
          <w:color w:val="000000" w:themeColor="text1"/>
          <w:sz w:val="22"/>
          <w:szCs w:val="22"/>
        </w:rPr>
        <w:t xml:space="preserve"> Complete Chapter 3 – Methods Poster.</w:t>
      </w:r>
    </w:p>
    <w:p w14:paraId="0781959E" w14:textId="78F3BA14" w:rsidR="3EFC2FF4" w:rsidRPr="00454727" w:rsidRDefault="3EFC2FF4" w:rsidP="00454727">
      <w:pPr>
        <w:spacing w:before="240" w:after="240" w:line="360" w:lineRule="auto"/>
        <w:rPr>
          <w:rFonts w:ascii="Arial" w:eastAsia="Arial" w:hAnsi="Arial" w:cs="Arial"/>
          <w:color w:val="000000" w:themeColor="text1"/>
          <w:sz w:val="22"/>
          <w:szCs w:val="22"/>
        </w:rPr>
      </w:pPr>
      <w:r w:rsidRPr="00454727">
        <w:rPr>
          <w:rFonts w:ascii="Arial" w:eastAsia="Arial" w:hAnsi="Arial" w:cs="Arial"/>
          <w:b/>
          <w:bCs/>
          <w:color w:val="000000" w:themeColor="text1"/>
          <w:sz w:val="22"/>
          <w:szCs w:val="22"/>
        </w:rPr>
        <w:t>Weeks 18–21:</w:t>
      </w:r>
      <w:r w:rsidRPr="00454727">
        <w:rPr>
          <w:rFonts w:ascii="Arial" w:eastAsia="Arial" w:hAnsi="Arial" w:cs="Arial"/>
          <w:color w:val="000000" w:themeColor="text1"/>
          <w:sz w:val="22"/>
          <w:szCs w:val="22"/>
        </w:rPr>
        <w:t xml:space="preserve"> Draft Chapter 4 – Findings.</w:t>
      </w:r>
    </w:p>
    <w:p w14:paraId="58B01B62" w14:textId="0F782179" w:rsidR="3EFC2FF4" w:rsidRPr="00454727" w:rsidRDefault="3EFC2FF4" w:rsidP="00454727">
      <w:pPr>
        <w:spacing w:before="240" w:after="240" w:line="360" w:lineRule="auto"/>
        <w:rPr>
          <w:rFonts w:ascii="Arial" w:eastAsia="Arial" w:hAnsi="Arial" w:cs="Arial"/>
          <w:color w:val="000000" w:themeColor="text1"/>
          <w:sz w:val="22"/>
          <w:szCs w:val="22"/>
        </w:rPr>
      </w:pPr>
      <w:r w:rsidRPr="00454727">
        <w:rPr>
          <w:rFonts w:ascii="Arial" w:eastAsia="Arial" w:hAnsi="Arial" w:cs="Arial"/>
          <w:b/>
          <w:bCs/>
          <w:color w:val="000000" w:themeColor="text1"/>
          <w:sz w:val="22"/>
          <w:szCs w:val="22"/>
        </w:rPr>
        <w:t>Weeks 22–24:</w:t>
      </w:r>
      <w:r w:rsidRPr="00454727">
        <w:rPr>
          <w:rFonts w:ascii="Arial" w:eastAsia="Arial" w:hAnsi="Arial" w:cs="Arial"/>
          <w:color w:val="000000" w:themeColor="text1"/>
          <w:sz w:val="22"/>
          <w:szCs w:val="22"/>
        </w:rPr>
        <w:t xml:space="preserve"> Write Chapter 5 – Conclusion.</w:t>
      </w:r>
    </w:p>
    <w:p w14:paraId="3E12BBEC" w14:textId="219FB4BD" w:rsidR="00230AE9" w:rsidRPr="00454727" w:rsidRDefault="3EFC2FF4" w:rsidP="00454727">
      <w:pPr>
        <w:spacing w:before="240" w:after="240" w:line="360" w:lineRule="auto"/>
        <w:rPr>
          <w:rFonts w:ascii="Arial" w:eastAsia="Arial" w:hAnsi="Arial" w:cs="Arial"/>
          <w:color w:val="000000" w:themeColor="text1"/>
          <w:sz w:val="22"/>
          <w:szCs w:val="22"/>
        </w:rPr>
      </w:pPr>
      <w:r w:rsidRPr="00454727">
        <w:rPr>
          <w:rFonts w:ascii="Arial" w:eastAsia="Arial" w:hAnsi="Arial" w:cs="Arial"/>
          <w:b/>
          <w:bCs/>
          <w:color w:val="000000" w:themeColor="text1"/>
          <w:sz w:val="22"/>
          <w:szCs w:val="22"/>
        </w:rPr>
        <w:t>Weeks 25–27:</w:t>
      </w:r>
      <w:r w:rsidRPr="00454727">
        <w:rPr>
          <w:rFonts w:ascii="Arial" w:eastAsia="Arial" w:hAnsi="Arial" w:cs="Arial"/>
          <w:color w:val="000000" w:themeColor="text1"/>
          <w:sz w:val="22"/>
          <w:szCs w:val="22"/>
        </w:rPr>
        <w:t xml:space="preserve"> Proofread, revise, and submit dissertation (Creswell and Creswell, 2018).</w:t>
      </w:r>
    </w:p>
    <w:p w14:paraId="5B737CD4" w14:textId="056155CC" w:rsidR="55A4A1B0" w:rsidRPr="00454727" w:rsidRDefault="55A4A1B0" w:rsidP="00454727">
      <w:pPr>
        <w:spacing w:before="240" w:after="240" w:line="360" w:lineRule="auto"/>
        <w:rPr>
          <w:rFonts w:ascii="Arial" w:eastAsia="Arial" w:hAnsi="Arial" w:cs="Arial"/>
          <w:b/>
          <w:bCs/>
          <w:sz w:val="22"/>
          <w:szCs w:val="22"/>
        </w:rPr>
      </w:pPr>
      <w:r w:rsidRPr="00454727">
        <w:rPr>
          <w:rFonts w:ascii="Arial" w:eastAsia="Arial" w:hAnsi="Arial" w:cs="Arial"/>
          <w:b/>
          <w:bCs/>
          <w:sz w:val="22"/>
          <w:szCs w:val="22"/>
        </w:rPr>
        <w:t xml:space="preserve">Self-reflection as Researcher (any strengths or challenges) </w:t>
      </w:r>
    </w:p>
    <w:p w14:paraId="6BFEFC3A" w14:textId="65CD5521" w:rsidR="4B398854" w:rsidRPr="00454727" w:rsidRDefault="00454727" w:rsidP="00454727">
      <w:pPr>
        <w:spacing w:before="240" w:after="240" w:line="360" w:lineRule="auto"/>
        <w:rPr>
          <w:rFonts w:ascii="Arial" w:eastAsia="Arial" w:hAnsi="Arial" w:cs="Arial"/>
          <w:color w:val="000000" w:themeColor="text1"/>
          <w:sz w:val="22"/>
          <w:szCs w:val="22"/>
        </w:rPr>
      </w:pPr>
      <w:r w:rsidRPr="00454727">
        <w:rPr>
          <w:rFonts w:ascii="Arial" w:eastAsia="Arial" w:hAnsi="Arial" w:cs="Arial"/>
          <w:sz w:val="22"/>
          <w:szCs w:val="22"/>
        </w:rPr>
        <w:t>The researcher possesses strong analytical and organisational skills, which will support the effective exploration of barriers to mental health service access among ethnic minorities in the UK. However, challenges are anticipated in addressing the cultural complexity and sensitivity of this topic. The researcher aims to develop stronger critical evaluation and academic writing skills, while seeking guidance from supervisors to ensure cultural awareness and maintain high research quality.</w:t>
      </w:r>
    </w:p>
    <w:p w14:paraId="5B0E7DBB" w14:textId="77777777" w:rsidR="00230AE9" w:rsidRPr="00454727" w:rsidRDefault="00230AE9" w:rsidP="4B398854">
      <w:pPr>
        <w:spacing w:before="240" w:after="240" w:line="360" w:lineRule="auto"/>
        <w:rPr>
          <w:rFonts w:ascii="Arial" w:eastAsia="Arial" w:hAnsi="Arial" w:cs="Arial"/>
          <w:color w:val="000000" w:themeColor="text1"/>
          <w:sz w:val="22"/>
          <w:szCs w:val="22"/>
        </w:rPr>
      </w:pPr>
    </w:p>
    <w:p w14:paraId="024751BF" w14:textId="77777777" w:rsidR="00230AE9" w:rsidRPr="00454727" w:rsidRDefault="00230AE9" w:rsidP="4B398854">
      <w:pPr>
        <w:spacing w:before="240" w:after="240" w:line="360" w:lineRule="auto"/>
        <w:rPr>
          <w:rFonts w:ascii="Arial" w:eastAsia="Arial" w:hAnsi="Arial" w:cs="Arial"/>
          <w:color w:val="000000" w:themeColor="text1"/>
          <w:sz w:val="22"/>
          <w:szCs w:val="22"/>
        </w:rPr>
      </w:pPr>
    </w:p>
    <w:p w14:paraId="7AA6F8C7" w14:textId="77777777" w:rsidR="00230AE9" w:rsidRPr="00454727" w:rsidRDefault="00230AE9" w:rsidP="4B398854">
      <w:pPr>
        <w:spacing w:before="240" w:after="240" w:line="360" w:lineRule="auto"/>
        <w:rPr>
          <w:rFonts w:ascii="Arial" w:eastAsia="Arial" w:hAnsi="Arial" w:cs="Arial"/>
          <w:color w:val="000000" w:themeColor="text1"/>
          <w:sz w:val="22"/>
          <w:szCs w:val="22"/>
        </w:rPr>
      </w:pPr>
    </w:p>
    <w:p w14:paraId="6BB7A626" w14:textId="77777777" w:rsidR="00230AE9" w:rsidRPr="00454727" w:rsidRDefault="00230AE9" w:rsidP="4B398854">
      <w:pPr>
        <w:spacing w:before="240" w:after="240" w:line="360" w:lineRule="auto"/>
        <w:rPr>
          <w:rFonts w:ascii="Arial" w:eastAsia="Arial" w:hAnsi="Arial" w:cs="Arial"/>
          <w:color w:val="000000" w:themeColor="text1"/>
          <w:sz w:val="22"/>
          <w:szCs w:val="22"/>
        </w:rPr>
      </w:pPr>
    </w:p>
    <w:p w14:paraId="3A264C7B" w14:textId="77777777" w:rsidR="00230AE9" w:rsidRDefault="00230AE9" w:rsidP="4B398854">
      <w:pPr>
        <w:spacing w:before="240" w:after="240" w:line="360" w:lineRule="auto"/>
        <w:rPr>
          <w:rFonts w:ascii="Arial" w:eastAsia="Arial" w:hAnsi="Arial" w:cs="Arial"/>
          <w:color w:val="000000" w:themeColor="text1"/>
          <w:sz w:val="22"/>
          <w:szCs w:val="22"/>
        </w:rPr>
      </w:pPr>
    </w:p>
    <w:p w14:paraId="72AB2180" w14:textId="77777777" w:rsidR="00454727" w:rsidRDefault="00454727" w:rsidP="4B398854">
      <w:pPr>
        <w:spacing w:before="240" w:after="240" w:line="360" w:lineRule="auto"/>
        <w:rPr>
          <w:rFonts w:ascii="Arial" w:eastAsia="Arial" w:hAnsi="Arial" w:cs="Arial"/>
          <w:color w:val="000000" w:themeColor="text1"/>
          <w:sz w:val="22"/>
          <w:szCs w:val="22"/>
        </w:rPr>
      </w:pPr>
    </w:p>
    <w:p w14:paraId="3910850A" w14:textId="77777777" w:rsidR="00454727" w:rsidRPr="00454727" w:rsidRDefault="00454727" w:rsidP="4B398854">
      <w:pPr>
        <w:spacing w:before="240" w:after="240" w:line="360" w:lineRule="auto"/>
        <w:rPr>
          <w:rFonts w:ascii="Arial" w:eastAsia="Arial" w:hAnsi="Arial" w:cs="Arial"/>
          <w:color w:val="000000" w:themeColor="text1"/>
          <w:sz w:val="22"/>
          <w:szCs w:val="22"/>
        </w:rPr>
      </w:pPr>
    </w:p>
    <w:p w14:paraId="71B2FEEF" w14:textId="77777777" w:rsidR="00454727" w:rsidRPr="00454727" w:rsidRDefault="00454727" w:rsidP="00E0507C">
      <w:pPr>
        <w:spacing w:line="360" w:lineRule="auto"/>
        <w:rPr>
          <w:rFonts w:ascii="Arial" w:eastAsia="Arial" w:hAnsi="Arial" w:cs="Arial"/>
          <w:b/>
          <w:bCs/>
          <w:color w:val="000000" w:themeColor="text1"/>
          <w:sz w:val="22"/>
          <w:szCs w:val="22"/>
        </w:rPr>
      </w:pPr>
      <w:r w:rsidRPr="00454727">
        <w:rPr>
          <w:rFonts w:ascii="Arial" w:eastAsia="Arial" w:hAnsi="Arial" w:cs="Arial"/>
          <w:b/>
          <w:bCs/>
          <w:color w:val="000000" w:themeColor="text1"/>
          <w:sz w:val="22"/>
          <w:szCs w:val="22"/>
        </w:rPr>
        <w:lastRenderedPageBreak/>
        <w:t xml:space="preserve">Reference </w:t>
      </w:r>
    </w:p>
    <w:p w14:paraId="01DF5C2B" w14:textId="77777777" w:rsidR="00454727" w:rsidRPr="00454727" w:rsidRDefault="00454727" w:rsidP="00E0507C">
      <w:pPr>
        <w:spacing w:line="360" w:lineRule="auto"/>
        <w:rPr>
          <w:rFonts w:ascii="Arial" w:hAnsi="Arial" w:cs="Arial"/>
          <w:sz w:val="22"/>
          <w:szCs w:val="22"/>
        </w:rPr>
      </w:pPr>
      <w:proofErr w:type="spellStart"/>
      <w:r w:rsidRPr="00454727">
        <w:rPr>
          <w:rFonts w:ascii="Arial" w:hAnsi="Arial" w:cs="Arial"/>
          <w:sz w:val="22"/>
          <w:szCs w:val="22"/>
        </w:rPr>
        <w:t>Bhui</w:t>
      </w:r>
      <w:proofErr w:type="spellEnd"/>
      <w:r w:rsidRPr="00454727">
        <w:rPr>
          <w:rFonts w:ascii="Arial" w:hAnsi="Arial" w:cs="Arial"/>
          <w:sz w:val="22"/>
          <w:szCs w:val="22"/>
        </w:rPr>
        <w:t xml:space="preserve">, K., </w:t>
      </w:r>
      <w:proofErr w:type="spellStart"/>
      <w:r w:rsidRPr="00454727">
        <w:rPr>
          <w:rFonts w:ascii="Arial" w:hAnsi="Arial" w:cs="Arial"/>
          <w:sz w:val="22"/>
          <w:szCs w:val="22"/>
        </w:rPr>
        <w:t>Nazroo</w:t>
      </w:r>
      <w:proofErr w:type="spellEnd"/>
      <w:r w:rsidRPr="00454727">
        <w:rPr>
          <w:rFonts w:ascii="Arial" w:hAnsi="Arial" w:cs="Arial"/>
          <w:sz w:val="22"/>
          <w:szCs w:val="22"/>
        </w:rPr>
        <w:t xml:space="preserve">, J., Francis, J. and Johnson, M.R.D. (2018) ‘The impact of racism on mental illness and the need for culturally appropriate care’, </w:t>
      </w:r>
      <w:r w:rsidRPr="00454727">
        <w:rPr>
          <w:rFonts w:ascii="Arial" w:hAnsi="Arial" w:cs="Arial"/>
          <w:i/>
          <w:iCs/>
          <w:sz w:val="22"/>
          <w:szCs w:val="22"/>
        </w:rPr>
        <w:t>The British Journal of Psychiatry</w:t>
      </w:r>
      <w:r w:rsidRPr="00454727">
        <w:rPr>
          <w:rFonts w:ascii="Arial" w:hAnsi="Arial" w:cs="Arial"/>
          <w:sz w:val="22"/>
          <w:szCs w:val="22"/>
        </w:rPr>
        <w:t>, 213(3), pp. 574–578.</w:t>
      </w:r>
    </w:p>
    <w:p w14:paraId="70DF8CD3" w14:textId="77777777" w:rsidR="00454727" w:rsidRPr="00454727" w:rsidRDefault="00454727" w:rsidP="00E0507C">
      <w:pPr>
        <w:spacing w:line="360" w:lineRule="auto"/>
        <w:rPr>
          <w:rFonts w:ascii="Arial" w:hAnsi="Arial" w:cs="Arial"/>
          <w:sz w:val="22"/>
          <w:szCs w:val="22"/>
        </w:rPr>
      </w:pPr>
      <w:r w:rsidRPr="00454727">
        <w:rPr>
          <w:rFonts w:ascii="Arial" w:hAnsi="Arial" w:cs="Arial"/>
          <w:sz w:val="22"/>
          <w:szCs w:val="22"/>
        </w:rPr>
        <w:t xml:space="preserve">Creswell, J.W. and Creswell, J.D. (2018) </w:t>
      </w:r>
      <w:r w:rsidRPr="00454727">
        <w:rPr>
          <w:rFonts w:ascii="Arial" w:hAnsi="Arial" w:cs="Arial"/>
          <w:i/>
          <w:iCs/>
          <w:sz w:val="22"/>
          <w:szCs w:val="22"/>
        </w:rPr>
        <w:t xml:space="preserve">Research design: Qualitative, quantitative, and mixed methods </w:t>
      </w:r>
      <w:proofErr w:type="gramStart"/>
      <w:r w:rsidRPr="00454727">
        <w:rPr>
          <w:rFonts w:ascii="Arial" w:hAnsi="Arial" w:cs="Arial"/>
          <w:i/>
          <w:iCs/>
          <w:sz w:val="22"/>
          <w:szCs w:val="22"/>
        </w:rPr>
        <w:t>approaches</w:t>
      </w:r>
      <w:proofErr w:type="gramEnd"/>
      <w:r w:rsidRPr="00454727">
        <w:rPr>
          <w:rFonts w:ascii="Arial" w:hAnsi="Arial" w:cs="Arial"/>
          <w:sz w:val="22"/>
          <w:szCs w:val="22"/>
        </w:rPr>
        <w:t xml:space="preserve">. 5th </w:t>
      </w:r>
      <w:proofErr w:type="spellStart"/>
      <w:r w:rsidRPr="00454727">
        <w:rPr>
          <w:rFonts w:ascii="Arial" w:hAnsi="Arial" w:cs="Arial"/>
          <w:sz w:val="22"/>
          <w:szCs w:val="22"/>
        </w:rPr>
        <w:t>edn</w:t>
      </w:r>
      <w:proofErr w:type="spellEnd"/>
      <w:r w:rsidRPr="00454727">
        <w:rPr>
          <w:rFonts w:ascii="Arial" w:hAnsi="Arial" w:cs="Arial"/>
          <w:sz w:val="22"/>
          <w:szCs w:val="22"/>
        </w:rPr>
        <w:t>. Thousand Oaks, CA: SAGE Publications.</w:t>
      </w:r>
    </w:p>
    <w:p w14:paraId="4B2A6521" w14:textId="77777777" w:rsidR="00454727" w:rsidRPr="00454727" w:rsidRDefault="00454727" w:rsidP="00E0507C">
      <w:pPr>
        <w:spacing w:line="360" w:lineRule="auto"/>
        <w:rPr>
          <w:rFonts w:ascii="Arial" w:hAnsi="Arial" w:cs="Arial"/>
          <w:sz w:val="22"/>
          <w:szCs w:val="22"/>
        </w:rPr>
      </w:pPr>
      <w:r w:rsidRPr="00454727">
        <w:rPr>
          <w:rFonts w:ascii="Arial" w:hAnsi="Arial" w:cs="Arial"/>
          <w:sz w:val="22"/>
          <w:szCs w:val="22"/>
        </w:rPr>
        <w:t xml:space="preserve">Department of Health and Social Care (2023) </w:t>
      </w:r>
      <w:r w:rsidRPr="00454727">
        <w:rPr>
          <w:rFonts w:ascii="Arial" w:hAnsi="Arial" w:cs="Arial"/>
          <w:i/>
          <w:iCs/>
          <w:sz w:val="22"/>
          <w:szCs w:val="22"/>
        </w:rPr>
        <w:t>Mental health and wellbeing plan: Discussion paper and call for evidence</w:t>
      </w:r>
      <w:r w:rsidRPr="00454727">
        <w:rPr>
          <w:rFonts w:ascii="Arial" w:hAnsi="Arial" w:cs="Arial"/>
          <w:sz w:val="22"/>
          <w:szCs w:val="22"/>
        </w:rPr>
        <w:t>. London: Department of Health and Social Care.</w:t>
      </w:r>
    </w:p>
    <w:p w14:paraId="347671BD" w14:textId="77777777" w:rsidR="00454727" w:rsidRPr="00454727" w:rsidRDefault="00454727" w:rsidP="00E0507C">
      <w:pPr>
        <w:spacing w:line="360" w:lineRule="auto"/>
        <w:rPr>
          <w:rFonts w:ascii="Arial" w:hAnsi="Arial" w:cs="Arial"/>
          <w:sz w:val="22"/>
          <w:szCs w:val="22"/>
        </w:rPr>
      </w:pPr>
      <w:r w:rsidRPr="00454727">
        <w:rPr>
          <w:rFonts w:ascii="Arial" w:hAnsi="Arial" w:cs="Arial"/>
          <w:sz w:val="22"/>
          <w:szCs w:val="22"/>
        </w:rPr>
        <w:t xml:space="preserve">Mental Health Foundation (2023) </w:t>
      </w:r>
      <w:r w:rsidRPr="00454727">
        <w:rPr>
          <w:rFonts w:ascii="Arial" w:hAnsi="Arial" w:cs="Arial"/>
          <w:i/>
          <w:iCs/>
          <w:sz w:val="22"/>
          <w:szCs w:val="22"/>
        </w:rPr>
        <w:t>Mental health statistics: Ethnic minority communities</w:t>
      </w:r>
      <w:r w:rsidRPr="00454727">
        <w:rPr>
          <w:rFonts w:ascii="Arial" w:hAnsi="Arial" w:cs="Arial"/>
          <w:sz w:val="22"/>
          <w:szCs w:val="22"/>
        </w:rPr>
        <w:t xml:space="preserve">. Available at: </w:t>
      </w:r>
      <w:hyperlink r:id="rId8" w:tgtFrame="_new" w:history="1">
        <w:r w:rsidRPr="00454727">
          <w:rPr>
            <w:rStyle w:val="Hyperlink"/>
            <w:rFonts w:ascii="Arial" w:hAnsi="Arial" w:cs="Arial"/>
            <w:sz w:val="22"/>
            <w:szCs w:val="22"/>
          </w:rPr>
          <w:t>https://www.mentalhealth.org.uk</w:t>
        </w:r>
      </w:hyperlink>
      <w:r w:rsidRPr="00454727">
        <w:rPr>
          <w:rFonts w:ascii="Arial" w:hAnsi="Arial" w:cs="Arial"/>
          <w:sz w:val="22"/>
          <w:szCs w:val="22"/>
        </w:rPr>
        <w:t xml:space="preserve"> (Accessed: 11 October 2025).</w:t>
      </w:r>
    </w:p>
    <w:p w14:paraId="3EF635D4" w14:textId="77777777" w:rsidR="00454727" w:rsidRPr="00454727" w:rsidRDefault="00454727" w:rsidP="00E0507C">
      <w:pPr>
        <w:spacing w:line="360" w:lineRule="auto"/>
        <w:rPr>
          <w:rFonts w:ascii="Arial" w:hAnsi="Arial" w:cs="Arial"/>
          <w:sz w:val="22"/>
          <w:szCs w:val="22"/>
        </w:rPr>
      </w:pPr>
      <w:r w:rsidRPr="00454727">
        <w:rPr>
          <w:rFonts w:ascii="Arial" w:hAnsi="Arial" w:cs="Arial"/>
          <w:sz w:val="22"/>
          <w:szCs w:val="22"/>
        </w:rPr>
        <w:t xml:space="preserve">Mind (2023) </w:t>
      </w:r>
      <w:r w:rsidRPr="00454727">
        <w:rPr>
          <w:rFonts w:ascii="Arial" w:hAnsi="Arial" w:cs="Arial"/>
          <w:i/>
          <w:iCs/>
          <w:sz w:val="22"/>
          <w:szCs w:val="22"/>
        </w:rPr>
        <w:t>Barriers to accessing mental health support for ethnic minority groups</w:t>
      </w:r>
      <w:r w:rsidRPr="00454727">
        <w:rPr>
          <w:rFonts w:ascii="Arial" w:hAnsi="Arial" w:cs="Arial"/>
          <w:sz w:val="22"/>
          <w:szCs w:val="22"/>
        </w:rPr>
        <w:t>. London: Mind. Available at: https://www.mind.org.uk (Accessed: 11 October 2025).</w:t>
      </w:r>
    </w:p>
    <w:p w14:paraId="067BDB83" w14:textId="77777777" w:rsidR="00454727" w:rsidRPr="00454727" w:rsidRDefault="00454727" w:rsidP="00E0507C">
      <w:pPr>
        <w:spacing w:line="360" w:lineRule="auto"/>
        <w:rPr>
          <w:rFonts w:ascii="Arial" w:hAnsi="Arial" w:cs="Arial"/>
          <w:sz w:val="22"/>
          <w:szCs w:val="22"/>
        </w:rPr>
      </w:pPr>
      <w:proofErr w:type="spellStart"/>
      <w:r w:rsidRPr="00454727">
        <w:rPr>
          <w:rFonts w:ascii="Arial" w:hAnsi="Arial" w:cs="Arial"/>
          <w:sz w:val="22"/>
          <w:szCs w:val="22"/>
        </w:rPr>
        <w:t>Nazroo</w:t>
      </w:r>
      <w:proofErr w:type="spellEnd"/>
      <w:r w:rsidRPr="00454727">
        <w:rPr>
          <w:rFonts w:ascii="Arial" w:hAnsi="Arial" w:cs="Arial"/>
          <w:sz w:val="22"/>
          <w:szCs w:val="22"/>
        </w:rPr>
        <w:t xml:space="preserve">, J.Y. and </w:t>
      </w:r>
      <w:proofErr w:type="spellStart"/>
      <w:r w:rsidRPr="00454727">
        <w:rPr>
          <w:rFonts w:ascii="Arial" w:hAnsi="Arial" w:cs="Arial"/>
          <w:sz w:val="22"/>
          <w:szCs w:val="22"/>
        </w:rPr>
        <w:t>Bhui</w:t>
      </w:r>
      <w:proofErr w:type="spellEnd"/>
      <w:r w:rsidRPr="00454727">
        <w:rPr>
          <w:rFonts w:ascii="Arial" w:hAnsi="Arial" w:cs="Arial"/>
          <w:sz w:val="22"/>
          <w:szCs w:val="22"/>
        </w:rPr>
        <w:t xml:space="preserve">, K.S. (2021) ‘Ethnic inequalities in access to and outcomes of mental health services in England: A focus on culture and context’, </w:t>
      </w:r>
      <w:r w:rsidRPr="00454727">
        <w:rPr>
          <w:rFonts w:ascii="Arial" w:hAnsi="Arial" w:cs="Arial"/>
          <w:i/>
          <w:iCs/>
          <w:sz w:val="22"/>
          <w:szCs w:val="22"/>
        </w:rPr>
        <w:t>Social Psychiatry and Psychiatric Epidemiology</w:t>
      </w:r>
      <w:r w:rsidRPr="00454727">
        <w:rPr>
          <w:rFonts w:ascii="Arial" w:hAnsi="Arial" w:cs="Arial"/>
          <w:sz w:val="22"/>
          <w:szCs w:val="22"/>
        </w:rPr>
        <w:t>, 56(10), pp. 1619–1628.</w:t>
      </w:r>
    </w:p>
    <w:p w14:paraId="58A0EDBB" w14:textId="77777777" w:rsidR="00454727" w:rsidRPr="00454727" w:rsidRDefault="00454727" w:rsidP="00E0507C">
      <w:pPr>
        <w:spacing w:line="360" w:lineRule="auto"/>
        <w:rPr>
          <w:rFonts w:ascii="Arial" w:hAnsi="Arial" w:cs="Arial"/>
          <w:sz w:val="22"/>
          <w:szCs w:val="22"/>
        </w:rPr>
      </w:pPr>
      <w:r w:rsidRPr="00454727">
        <w:rPr>
          <w:rFonts w:ascii="Arial" w:hAnsi="Arial" w:cs="Arial"/>
          <w:sz w:val="22"/>
          <w:szCs w:val="22"/>
        </w:rPr>
        <w:t xml:space="preserve">NHS England (2022) </w:t>
      </w:r>
      <w:r w:rsidRPr="00454727">
        <w:rPr>
          <w:rFonts w:ascii="Arial" w:hAnsi="Arial" w:cs="Arial"/>
          <w:i/>
          <w:iCs/>
          <w:sz w:val="22"/>
          <w:szCs w:val="22"/>
        </w:rPr>
        <w:t>Core20PLUS5: An approach to reducing health inequalities</w:t>
      </w:r>
      <w:r w:rsidRPr="00454727">
        <w:rPr>
          <w:rFonts w:ascii="Arial" w:hAnsi="Arial" w:cs="Arial"/>
          <w:sz w:val="22"/>
          <w:szCs w:val="22"/>
        </w:rPr>
        <w:t>. London: NHS England.</w:t>
      </w:r>
    </w:p>
    <w:p w14:paraId="30CD012A" w14:textId="77777777" w:rsidR="00454727" w:rsidRPr="00454727" w:rsidRDefault="00454727" w:rsidP="00E0507C">
      <w:pPr>
        <w:spacing w:line="360" w:lineRule="auto"/>
        <w:rPr>
          <w:rFonts w:ascii="Arial" w:hAnsi="Arial" w:cs="Arial"/>
          <w:sz w:val="22"/>
          <w:szCs w:val="22"/>
        </w:rPr>
      </w:pPr>
      <w:r w:rsidRPr="00454727">
        <w:rPr>
          <w:rFonts w:ascii="Arial" w:hAnsi="Arial" w:cs="Arial"/>
          <w:sz w:val="22"/>
          <w:szCs w:val="22"/>
        </w:rPr>
        <w:t xml:space="preserve">University of Manchester (2022) </w:t>
      </w:r>
      <w:r w:rsidRPr="00454727">
        <w:rPr>
          <w:rFonts w:ascii="Arial" w:hAnsi="Arial" w:cs="Arial"/>
          <w:i/>
          <w:iCs/>
          <w:sz w:val="22"/>
          <w:szCs w:val="22"/>
        </w:rPr>
        <w:t>Academic support and research resources for postgraduate students</w:t>
      </w:r>
      <w:r w:rsidRPr="00454727">
        <w:rPr>
          <w:rFonts w:ascii="Arial" w:hAnsi="Arial" w:cs="Arial"/>
          <w:sz w:val="22"/>
          <w:szCs w:val="22"/>
        </w:rPr>
        <w:t>. Manchester: University of Manchester Library.</w:t>
      </w:r>
    </w:p>
    <w:p w14:paraId="43B2871E" w14:textId="77777777" w:rsidR="00454727" w:rsidRPr="00454727" w:rsidRDefault="00454727" w:rsidP="00E0507C">
      <w:pPr>
        <w:spacing w:line="360" w:lineRule="auto"/>
        <w:rPr>
          <w:rFonts w:ascii="Arial" w:hAnsi="Arial" w:cs="Arial"/>
          <w:sz w:val="22"/>
          <w:szCs w:val="22"/>
        </w:rPr>
      </w:pPr>
      <w:r w:rsidRPr="00454727">
        <w:rPr>
          <w:rFonts w:ascii="Arial" w:hAnsi="Arial" w:cs="Arial"/>
          <w:sz w:val="22"/>
          <w:szCs w:val="22"/>
        </w:rPr>
        <w:t xml:space="preserve">Williams, D.R., Lawrence, J.A. and Davis, B.A. (2022) ‘Racism and health: Evidence and needed research’, </w:t>
      </w:r>
      <w:r w:rsidRPr="00454727">
        <w:rPr>
          <w:rFonts w:ascii="Arial" w:hAnsi="Arial" w:cs="Arial"/>
          <w:i/>
          <w:iCs/>
          <w:sz w:val="22"/>
          <w:szCs w:val="22"/>
        </w:rPr>
        <w:t>Annual Review of Public Health</w:t>
      </w:r>
      <w:r w:rsidRPr="00454727">
        <w:rPr>
          <w:rFonts w:ascii="Arial" w:hAnsi="Arial" w:cs="Arial"/>
          <w:sz w:val="22"/>
          <w:szCs w:val="22"/>
        </w:rPr>
        <w:t>, 43, pp. 83–101.</w:t>
      </w:r>
    </w:p>
    <w:p w14:paraId="191C573D" w14:textId="124574D0" w:rsidR="4B398854" w:rsidRPr="00454727" w:rsidRDefault="4B398854" w:rsidP="00454727">
      <w:pPr>
        <w:spacing w:line="360" w:lineRule="auto"/>
        <w:rPr>
          <w:rFonts w:ascii="Arial" w:hAnsi="Arial" w:cs="Arial"/>
          <w:sz w:val="22"/>
          <w:szCs w:val="22"/>
        </w:rPr>
      </w:pPr>
    </w:p>
    <w:sectPr w:rsidR="4B398854" w:rsidRPr="00454727">
      <w:headerReference w:type="default"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C6003D" w14:textId="77777777" w:rsidR="005B0539" w:rsidRDefault="005B0539">
      <w:pPr>
        <w:spacing w:after="0" w:line="240" w:lineRule="auto"/>
      </w:pPr>
      <w:r>
        <w:separator/>
      </w:r>
    </w:p>
  </w:endnote>
  <w:endnote w:type="continuationSeparator" w:id="0">
    <w:p w14:paraId="0752DCC7" w14:textId="77777777" w:rsidR="005B0539" w:rsidRDefault="005B05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B398854" w14:paraId="40604962" w14:textId="77777777" w:rsidTr="4B398854">
      <w:trPr>
        <w:trHeight w:val="300"/>
      </w:trPr>
      <w:tc>
        <w:tcPr>
          <w:tcW w:w="3005" w:type="dxa"/>
        </w:tcPr>
        <w:p w14:paraId="45C6BCDE" w14:textId="330F1A79" w:rsidR="4B398854" w:rsidRDefault="4B398854" w:rsidP="4B398854">
          <w:pPr>
            <w:pStyle w:val="Header"/>
            <w:ind w:left="-115"/>
          </w:pPr>
          <w:r>
            <w:fldChar w:fldCharType="begin"/>
          </w:r>
          <w:r>
            <w:instrText>PAGE</w:instrText>
          </w:r>
          <w:r>
            <w:fldChar w:fldCharType="separate"/>
          </w:r>
          <w:r w:rsidR="00230AE9">
            <w:rPr>
              <w:noProof/>
            </w:rPr>
            <w:t>1</w:t>
          </w:r>
          <w:r>
            <w:fldChar w:fldCharType="end"/>
          </w:r>
        </w:p>
      </w:tc>
      <w:tc>
        <w:tcPr>
          <w:tcW w:w="3005" w:type="dxa"/>
        </w:tcPr>
        <w:p w14:paraId="231D5232" w14:textId="60309580" w:rsidR="4B398854" w:rsidRDefault="4B398854" w:rsidP="4B398854">
          <w:pPr>
            <w:pStyle w:val="Header"/>
            <w:jc w:val="center"/>
          </w:pPr>
        </w:p>
      </w:tc>
      <w:tc>
        <w:tcPr>
          <w:tcW w:w="3005" w:type="dxa"/>
        </w:tcPr>
        <w:p w14:paraId="6EC9EFCF" w14:textId="061A4704" w:rsidR="4B398854" w:rsidRDefault="4B398854" w:rsidP="4B398854">
          <w:pPr>
            <w:pStyle w:val="Header"/>
            <w:ind w:right="-115"/>
            <w:jc w:val="right"/>
          </w:pPr>
        </w:p>
      </w:tc>
    </w:tr>
  </w:tbl>
  <w:p w14:paraId="3FA8D420" w14:textId="3223C678" w:rsidR="4B398854" w:rsidRDefault="4B398854" w:rsidP="4B3988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EEBF1A" w14:textId="77777777" w:rsidR="005B0539" w:rsidRDefault="005B0539">
      <w:pPr>
        <w:spacing w:after="0" w:line="240" w:lineRule="auto"/>
      </w:pPr>
      <w:r>
        <w:separator/>
      </w:r>
    </w:p>
  </w:footnote>
  <w:footnote w:type="continuationSeparator" w:id="0">
    <w:p w14:paraId="2D85E428" w14:textId="77777777" w:rsidR="005B0539" w:rsidRDefault="005B05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B398854" w14:paraId="62B59F72" w14:textId="77777777" w:rsidTr="4B398854">
      <w:trPr>
        <w:trHeight w:val="300"/>
      </w:trPr>
      <w:tc>
        <w:tcPr>
          <w:tcW w:w="3005" w:type="dxa"/>
        </w:tcPr>
        <w:p w14:paraId="5838129D" w14:textId="679B8ABA" w:rsidR="4B398854" w:rsidRDefault="4B398854" w:rsidP="4B398854">
          <w:pPr>
            <w:pStyle w:val="Header"/>
            <w:ind w:left="-115"/>
          </w:pPr>
        </w:p>
      </w:tc>
      <w:tc>
        <w:tcPr>
          <w:tcW w:w="3005" w:type="dxa"/>
        </w:tcPr>
        <w:p w14:paraId="6CE0525C" w14:textId="34E2FCFA" w:rsidR="4B398854" w:rsidRDefault="4B398854" w:rsidP="4B398854">
          <w:pPr>
            <w:pStyle w:val="Header"/>
            <w:jc w:val="center"/>
          </w:pPr>
        </w:p>
      </w:tc>
      <w:tc>
        <w:tcPr>
          <w:tcW w:w="3005" w:type="dxa"/>
        </w:tcPr>
        <w:p w14:paraId="038E47A7" w14:textId="04A561C7" w:rsidR="4B398854" w:rsidRDefault="4B398854" w:rsidP="4B398854">
          <w:pPr>
            <w:pStyle w:val="Header"/>
            <w:ind w:right="-115"/>
            <w:jc w:val="right"/>
          </w:pPr>
        </w:p>
      </w:tc>
    </w:tr>
  </w:tbl>
  <w:p w14:paraId="6E06CB65" w14:textId="1A02961A" w:rsidR="4B398854" w:rsidRDefault="4B398854" w:rsidP="4B3988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00000001"/>
    <w:lvl w:ilvl="0" w:tplc="C8B4547C">
      <w:start w:val="1"/>
      <w:numFmt w:val="bullet"/>
      <w:lvlText w:val=""/>
      <w:lvlJc w:val="left"/>
      <w:pPr>
        <w:ind w:left="720" w:hanging="360"/>
      </w:pPr>
      <w:rPr>
        <w:rFonts w:ascii="Symbol" w:hAnsi="Symbol"/>
      </w:rPr>
    </w:lvl>
    <w:lvl w:ilvl="1" w:tplc="7ABE6F10">
      <w:start w:val="1"/>
      <w:numFmt w:val="bullet"/>
      <w:lvlText w:val="o"/>
      <w:lvlJc w:val="left"/>
      <w:pPr>
        <w:tabs>
          <w:tab w:val="num" w:pos="1440"/>
        </w:tabs>
        <w:ind w:left="1440" w:hanging="360"/>
      </w:pPr>
      <w:rPr>
        <w:rFonts w:ascii="Courier New" w:hAnsi="Courier New"/>
      </w:rPr>
    </w:lvl>
    <w:lvl w:ilvl="2" w:tplc="257203DC">
      <w:start w:val="1"/>
      <w:numFmt w:val="bullet"/>
      <w:lvlText w:val=""/>
      <w:lvlJc w:val="left"/>
      <w:pPr>
        <w:tabs>
          <w:tab w:val="num" w:pos="2160"/>
        </w:tabs>
        <w:ind w:left="2160" w:hanging="360"/>
      </w:pPr>
      <w:rPr>
        <w:rFonts w:ascii="Wingdings" w:hAnsi="Wingdings"/>
      </w:rPr>
    </w:lvl>
    <w:lvl w:ilvl="3" w:tplc="8CCCDA98">
      <w:start w:val="1"/>
      <w:numFmt w:val="bullet"/>
      <w:lvlText w:val=""/>
      <w:lvlJc w:val="left"/>
      <w:pPr>
        <w:tabs>
          <w:tab w:val="num" w:pos="2880"/>
        </w:tabs>
        <w:ind w:left="2880" w:hanging="360"/>
      </w:pPr>
      <w:rPr>
        <w:rFonts w:ascii="Symbol" w:hAnsi="Symbol"/>
      </w:rPr>
    </w:lvl>
    <w:lvl w:ilvl="4" w:tplc="B90EE04E">
      <w:start w:val="1"/>
      <w:numFmt w:val="bullet"/>
      <w:lvlText w:val="o"/>
      <w:lvlJc w:val="left"/>
      <w:pPr>
        <w:tabs>
          <w:tab w:val="num" w:pos="3600"/>
        </w:tabs>
        <w:ind w:left="3600" w:hanging="360"/>
      </w:pPr>
      <w:rPr>
        <w:rFonts w:ascii="Courier New" w:hAnsi="Courier New"/>
      </w:rPr>
    </w:lvl>
    <w:lvl w:ilvl="5" w:tplc="CC2EA1B4">
      <w:start w:val="1"/>
      <w:numFmt w:val="bullet"/>
      <w:lvlText w:val=""/>
      <w:lvlJc w:val="left"/>
      <w:pPr>
        <w:tabs>
          <w:tab w:val="num" w:pos="4320"/>
        </w:tabs>
        <w:ind w:left="4320" w:hanging="360"/>
      </w:pPr>
      <w:rPr>
        <w:rFonts w:ascii="Wingdings" w:hAnsi="Wingdings"/>
      </w:rPr>
    </w:lvl>
    <w:lvl w:ilvl="6" w:tplc="211A38E6">
      <w:start w:val="1"/>
      <w:numFmt w:val="bullet"/>
      <w:lvlText w:val=""/>
      <w:lvlJc w:val="left"/>
      <w:pPr>
        <w:tabs>
          <w:tab w:val="num" w:pos="5040"/>
        </w:tabs>
        <w:ind w:left="5040" w:hanging="360"/>
      </w:pPr>
      <w:rPr>
        <w:rFonts w:ascii="Symbol" w:hAnsi="Symbol"/>
      </w:rPr>
    </w:lvl>
    <w:lvl w:ilvl="7" w:tplc="43547A38">
      <w:start w:val="1"/>
      <w:numFmt w:val="bullet"/>
      <w:lvlText w:val="o"/>
      <w:lvlJc w:val="left"/>
      <w:pPr>
        <w:tabs>
          <w:tab w:val="num" w:pos="5760"/>
        </w:tabs>
        <w:ind w:left="5760" w:hanging="360"/>
      </w:pPr>
      <w:rPr>
        <w:rFonts w:ascii="Courier New" w:hAnsi="Courier New"/>
      </w:rPr>
    </w:lvl>
    <w:lvl w:ilvl="8" w:tplc="154ED6E0">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F43AE86E">
      <w:start w:val="1"/>
      <w:numFmt w:val="bullet"/>
      <w:lvlText w:val=""/>
      <w:lvlJc w:val="left"/>
      <w:pPr>
        <w:ind w:left="720" w:hanging="360"/>
      </w:pPr>
      <w:rPr>
        <w:rFonts w:ascii="Symbol" w:hAnsi="Symbol"/>
      </w:rPr>
    </w:lvl>
    <w:lvl w:ilvl="1" w:tplc="7424F1DE">
      <w:start w:val="1"/>
      <w:numFmt w:val="bullet"/>
      <w:lvlText w:val="o"/>
      <w:lvlJc w:val="left"/>
      <w:pPr>
        <w:tabs>
          <w:tab w:val="num" w:pos="1440"/>
        </w:tabs>
        <w:ind w:left="1440" w:hanging="360"/>
      </w:pPr>
      <w:rPr>
        <w:rFonts w:ascii="Courier New" w:hAnsi="Courier New"/>
      </w:rPr>
    </w:lvl>
    <w:lvl w:ilvl="2" w:tplc="803265CE">
      <w:start w:val="1"/>
      <w:numFmt w:val="bullet"/>
      <w:lvlText w:val=""/>
      <w:lvlJc w:val="left"/>
      <w:pPr>
        <w:tabs>
          <w:tab w:val="num" w:pos="2160"/>
        </w:tabs>
        <w:ind w:left="2160" w:hanging="360"/>
      </w:pPr>
      <w:rPr>
        <w:rFonts w:ascii="Wingdings" w:hAnsi="Wingdings"/>
      </w:rPr>
    </w:lvl>
    <w:lvl w:ilvl="3" w:tplc="E8C6B390">
      <w:start w:val="1"/>
      <w:numFmt w:val="bullet"/>
      <w:lvlText w:val=""/>
      <w:lvlJc w:val="left"/>
      <w:pPr>
        <w:tabs>
          <w:tab w:val="num" w:pos="2880"/>
        </w:tabs>
        <w:ind w:left="2880" w:hanging="360"/>
      </w:pPr>
      <w:rPr>
        <w:rFonts w:ascii="Symbol" w:hAnsi="Symbol"/>
      </w:rPr>
    </w:lvl>
    <w:lvl w:ilvl="4" w:tplc="3F2E4868">
      <w:start w:val="1"/>
      <w:numFmt w:val="bullet"/>
      <w:lvlText w:val="o"/>
      <w:lvlJc w:val="left"/>
      <w:pPr>
        <w:tabs>
          <w:tab w:val="num" w:pos="3600"/>
        </w:tabs>
        <w:ind w:left="3600" w:hanging="360"/>
      </w:pPr>
      <w:rPr>
        <w:rFonts w:ascii="Courier New" w:hAnsi="Courier New"/>
      </w:rPr>
    </w:lvl>
    <w:lvl w:ilvl="5" w:tplc="1674B574">
      <w:start w:val="1"/>
      <w:numFmt w:val="bullet"/>
      <w:lvlText w:val=""/>
      <w:lvlJc w:val="left"/>
      <w:pPr>
        <w:tabs>
          <w:tab w:val="num" w:pos="4320"/>
        </w:tabs>
        <w:ind w:left="4320" w:hanging="360"/>
      </w:pPr>
      <w:rPr>
        <w:rFonts w:ascii="Wingdings" w:hAnsi="Wingdings"/>
      </w:rPr>
    </w:lvl>
    <w:lvl w:ilvl="6" w:tplc="9CDC1C6A">
      <w:start w:val="1"/>
      <w:numFmt w:val="bullet"/>
      <w:lvlText w:val=""/>
      <w:lvlJc w:val="left"/>
      <w:pPr>
        <w:tabs>
          <w:tab w:val="num" w:pos="5040"/>
        </w:tabs>
        <w:ind w:left="5040" w:hanging="360"/>
      </w:pPr>
      <w:rPr>
        <w:rFonts w:ascii="Symbol" w:hAnsi="Symbol"/>
      </w:rPr>
    </w:lvl>
    <w:lvl w:ilvl="7" w:tplc="881AF3A6">
      <w:start w:val="1"/>
      <w:numFmt w:val="bullet"/>
      <w:lvlText w:val="o"/>
      <w:lvlJc w:val="left"/>
      <w:pPr>
        <w:tabs>
          <w:tab w:val="num" w:pos="5760"/>
        </w:tabs>
        <w:ind w:left="5760" w:hanging="360"/>
      </w:pPr>
      <w:rPr>
        <w:rFonts w:ascii="Courier New" w:hAnsi="Courier New"/>
      </w:rPr>
    </w:lvl>
    <w:lvl w:ilvl="8" w:tplc="BACEE69A">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CD421D0A">
      <w:start w:val="1"/>
      <w:numFmt w:val="bullet"/>
      <w:lvlText w:val=""/>
      <w:lvlJc w:val="left"/>
      <w:pPr>
        <w:ind w:left="720" w:hanging="360"/>
      </w:pPr>
      <w:rPr>
        <w:rFonts w:ascii="Symbol" w:hAnsi="Symbol"/>
      </w:rPr>
    </w:lvl>
    <w:lvl w:ilvl="1" w:tplc="696CC7CC">
      <w:start w:val="1"/>
      <w:numFmt w:val="bullet"/>
      <w:lvlText w:val="o"/>
      <w:lvlJc w:val="left"/>
      <w:pPr>
        <w:tabs>
          <w:tab w:val="num" w:pos="1440"/>
        </w:tabs>
        <w:ind w:left="1440" w:hanging="360"/>
      </w:pPr>
      <w:rPr>
        <w:rFonts w:ascii="Courier New" w:hAnsi="Courier New"/>
      </w:rPr>
    </w:lvl>
    <w:lvl w:ilvl="2" w:tplc="87926296">
      <w:start w:val="1"/>
      <w:numFmt w:val="bullet"/>
      <w:lvlText w:val=""/>
      <w:lvlJc w:val="left"/>
      <w:pPr>
        <w:tabs>
          <w:tab w:val="num" w:pos="2160"/>
        </w:tabs>
        <w:ind w:left="2160" w:hanging="360"/>
      </w:pPr>
      <w:rPr>
        <w:rFonts w:ascii="Wingdings" w:hAnsi="Wingdings"/>
      </w:rPr>
    </w:lvl>
    <w:lvl w:ilvl="3" w:tplc="9C34FCE4">
      <w:start w:val="1"/>
      <w:numFmt w:val="bullet"/>
      <w:lvlText w:val=""/>
      <w:lvlJc w:val="left"/>
      <w:pPr>
        <w:tabs>
          <w:tab w:val="num" w:pos="2880"/>
        </w:tabs>
        <w:ind w:left="2880" w:hanging="360"/>
      </w:pPr>
      <w:rPr>
        <w:rFonts w:ascii="Symbol" w:hAnsi="Symbol"/>
      </w:rPr>
    </w:lvl>
    <w:lvl w:ilvl="4" w:tplc="6ED67280">
      <w:start w:val="1"/>
      <w:numFmt w:val="bullet"/>
      <w:lvlText w:val="o"/>
      <w:lvlJc w:val="left"/>
      <w:pPr>
        <w:tabs>
          <w:tab w:val="num" w:pos="3600"/>
        </w:tabs>
        <w:ind w:left="3600" w:hanging="360"/>
      </w:pPr>
      <w:rPr>
        <w:rFonts w:ascii="Courier New" w:hAnsi="Courier New"/>
      </w:rPr>
    </w:lvl>
    <w:lvl w:ilvl="5" w:tplc="17BA8492">
      <w:start w:val="1"/>
      <w:numFmt w:val="bullet"/>
      <w:lvlText w:val=""/>
      <w:lvlJc w:val="left"/>
      <w:pPr>
        <w:tabs>
          <w:tab w:val="num" w:pos="4320"/>
        </w:tabs>
        <w:ind w:left="4320" w:hanging="360"/>
      </w:pPr>
      <w:rPr>
        <w:rFonts w:ascii="Wingdings" w:hAnsi="Wingdings"/>
      </w:rPr>
    </w:lvl>
    <w:lvl w:ilvl="6" w:tplc="55DC6140">
      <w:start w:val="1"/>
      <w:numFmt w:val="bullet"/>
      <w:lvlText w:val=""/>
      <w:lvlJc w:val="left"/>
      <w:pPr>
        <w:tabs>
          <w:tab w:val="num" w:pos="5040"/>
        </w:tabs>
        <w:ind w:left="5040" w:hanging="360"/>
      </w:pPr>
      <w:rPr>
        <w:rFonts w:ascii="Symbol" w:hAnsi="Symbol"/>
      </w:rPr>
    </w:lvl>
    <w:lvl w:ilvl="7" w:tplc="67DCB85E">
      <w:start w:val="1"/>
      <w:numFmt w:val="bullet"/>
      <w:lvlText w:val="o"/>
      <w:lvlJc w:val="left"/>
      <w:pPr>
        <w:tabs>
          <w:tab w:val="num" w:pos="5760"/>
        </w:tabs>
        <w:ind w:left="5760" w:hanging="360"/>
      </w:pPr>
      <w:rPr>
        <w:rFonts w:ascii="Courier New" w:hAnsi="Courier New"/>
      </w:rPr>
    </w:lvl>
    <w:lvl w:ilvl="8" w:tplc="783C07C4">
      <w:start w:val="1"/>
      <w:numFmt w:val="bullet"/>
      <w:lvlText w:val=""/>
      <w:lvlJc w:val="left"/>
      <w:pPr>
        <w:tabs>
          <w:tab w:val="num" w:pos="6480"/>
        </w:tabs>
        <w:ind w:left="6480" w:hanging="360"/>
      </w:pPr>
      <w:rPr>
        <w:rFonts w:ascii="Wingdings" w:hAnsi="Wingdings"/>
      </w:rPr>
    </w:lvl>
  </w:abstractNum>
  <w:abstractNum w:abstractNumId="3" w15:restartNumberingAfterBreak="0">
    <w:nsid w:val="1DC00C36"/>
    <w:multiLevelType w:val="hybridMultilevel"/>
    <w:tmpl w:val="EC54F3FA"/>
    <w:lvl w:ilvl="0" w:tplc="7ADA7C30">
      <w:start w:val="1"/>
      <w:numFmt w:val="bullet"/>
      <w:lvlText w:val=""/>
      <w:lvlJc w:val="left"/>
      <w:pPr>
        <w:ind w:left="720" w:hanging="360"/>
      </w:pPr>
      <w:rPr>
        <w:rFonts w:ascii="Symbol" w:hAnsi="Symbol" w:hint="default"/>
      </w:rPr>
    </w:lvl>
    <w:lvl w:ilvl="1" w:tplc="B18AB240">
      <w:start w:val="1"/>
      <w:numFmt w:val="bullet"/>
      <w:lvlText w:val="o"/>
      <w:lvlJc w:val="left"/>
      <w:pPr>
        <w:ind w:left="1440" w:hanging="360"/>
      </w:pPr>
      <w:rPr>
        <w:rFonts w:ascii="Courier New" w:hAnsi="Courier New" w:hint="default"/>
      </w:rPr>
    </w:lvl>
    <w:lvl w:ilvl="2" w:tplc="B78A9F14">
      <w:start w:val="1"/>
      <w:numFmt w:val="bullet"/>
      <w:lvlText w:val=""/>
      <w:lvlJc w:val="left"/>
      <w:pPr>
        <w:ind w:left="2160" w:hanging="360"/>
      </w:pPr>
      <w:rPr>
        <w:rFonts w:ascii="Wingdings" w:hAnsi="Wingdings" w:hint="default"/>
      </w:rPr>
    </w:lvl>
    <w:lvl w:ilvl="3" w:tplc="33C0CB36">
      <w:start w:val="1"/>
      <w:numFmt w:val="bullet"/>
      <w:lvlText w:val=""/>
      <w:lvlJc w:val="left"/>
      <w:pPr>
        <w:ind w:left="2880" w:hanging="360"/>
      </w:pPr>
      <w:rPr>
        <w:rFonts w:ascii="Symbol" w:hAnsi="Symbol" w:hint="default"/>
      </w:rPr>
    </w:lvl>
    <w:lvl w:ilvl="4" w:tplc="4B989E7E">
      <w:start w:val="1"/>
      <w:numFmt w:val="bullet"/>
      <w:lvlText w:val="o"/>
      <w:lvlJc w:val="left"/>
      <w:pPr>
        <w:ind w:left="3600" w:hanging="360"/>
      </w:pPr>
      <w:rPr>
        <w:rFonts w:ascii="Courier New" w:hAnsi="Courier New" w:hint="default"/>
      </w:rPr>
    </w:lvl>
    <w:lvl w:ilvl="5" w:tplc="EE92EAC4">
      <w:start w:val="1"/>
      <w:numFmt w:val="bullet"/>
      <w:lvlText w:val=""/>
      <w:lvlJc w:val="left"/>
      <w:pPr>
        <w:ind w:left="4320" w:hanging="360"/>
      </w:pPr>
      <w:rPr>
        <w:rFonts w:ascii="Wingdings" w:hAnsi="Wingdings" w:hint="default"/>
      </w:rPr>
    </w:lvl>
    <w:lvl w:ilvl="6" w:tplc="15D4AA9E">
      <w:start w:val="1"/>
      <w:numFmt w:val="bullet"/>
      <w:lvlText w:val=""/>
      <w:lvlJc w:val="left"/>
      <w:pPr>
        <w:ind w:left="5040" w:hanging="360"/>
      </w:pPr>
      <w:rPr>
        <w:rFonts w:ascii="Symbol" w:hAnsi="Symbol" w:hint="default"/>
      </w:rPr>
    </w:lvl>
    <w:lvl w:ilvl="7" w:tplc="F57E6E7E">
      <w:start w:val="1"/>
      <w:numFmt w:val="bullet"/>
      <w:lvlText w:val="o"/>
      <w:lvlJc w:val="left"/>
      <w:pPr>
        <w:ind w:left="5760" w:hanging="360"/>
      </w:pPr>
      <w:rPr>
        <w:rFonts w:ascii="Courier New" w:hAnsi="Courier New" w:hint="default"/>
      </w:rPr>
    </w:lvl>
    <w:lvl w:ilvl="8" w:tplc="3B941816">
      <w:start w:val="1"/>
      <w:numFmt w:val="bullet"/>
      <w:lvlText w:val=""/>
      <w:lvlJc w:val="left"/>
      <w:pPr>
        <w:ind w:left="6480" w:hanging="360"/>
      </w:pPr>
      <w:rPr>
        <w:rFonts w:ascii="Wingdings" w:hAnsi="Wingdings" w:hint="default"/>
      </w:rPr>
    </w:lvl>
  </w:abstractNum>
  <w:num w:numId="1" w16cid:durableId="1174684512">
    <w:abstractNumId w:val="3"/>
  </w:num>
  <w:num w:numId="2" w16cid:durableId="95834886">
    <w:abstractNumId w:val="0"/>
  </w:num>
  <w:num w:numId="3" w16cid:durableId="661933508">
    <w:abstractNumId w:val="1"/>
  </w:num>
  <w:num w:numId="4" w16cid:durableId="4456584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67A7CA"/>
    <w:rsid w:val="00230AE9"/>
    <w:rsid w:val="0039588E"/>
    <w:rsid w:val="00454727"/>
    <w:rsid w:val="005B0539"/>
    <w:rsid w:val="0061288D"/>
    <w:rsid w:val="007D5C00"/>
    <w:rsid w:val="00DB26FE"/>
    <w:rsid w:val="00E0507C"/>
    <w:rsid w:val="00E77D46"/>
    <w:rsid w:val="00ED6D7E"/>
    <w:rsid w:val="023C03E4"/>
    <w:rsid w:val="082A7C05"/>
    <w:rsid w:val="16BA92F0"/>
    <w:rsid w:val="198860F4"/>
    <w:rsid w:val="1B604557"/>
    <w:rsid w:val="1BD454B4"/>
    <w:rsid w:val="202AA652"/>
    <w:rsid w:val="22E4BA12"/>
    <w:rsid w:val="23AE0545"/>
    <w:rsid w:val="24526EAF"/>
    <w:rsid w:val="258C9EAE"/>
    <w:rsid w:val="272DD7A7"/>
    <w:rsid w:val="2BBCFAD0"/>
    <w:rsid w:val="2C4A760C"/>
    <w:rsid w:val="336FD240"/>
    <w:rsid w:val="36D27A70"/>
    <w:rsid w:val="3C8ED834"/>
    <w:rsid w:val="3EFC2FF4"/>
    <w:rsid w:val="3F1F2235"/>
    <w:rsid w:val="3F24507E"/>
    <w:rsid w:val="4204EC6E"/>
    <w:rsid w:val="42D4B117"/>
    <w:rsid w:val="451FE94D"/>
    <w:rsid w:val="4B398854"/>
    <w:rsid w:val="4DBC41DB"/>
    <w:rsid w:val="4E45D083"/>
    <w:rsid w:val="529360B0"/>
    <w:rsid w:val="52C94590"/>
    <w:rsid w:val="53DC3831"/>
    <w:rsid w:val="55A4A1B0"/>
    <w:rsid w:val="572379DD"/>
    <w:rsid w:val="5845B0C7"/>
    <w:rsid w:val="5B6E954D"/>
    <w:rsid w:val="5BCD77A2"/>
    <w:rsid w:val="5F7144E5"/>
    <w:rsid w:val="6157C69F"/>
    <w:rsid w:val="623A21E7"/>
    <w:rsid w:val="6433C2BE"/>
    <w:rsid w:val="67A58278"/>
    <w:rsid w:val="6C67A7CA"/>
    <w:rsid w:val="6D5B6064"/>
    <w:rsid w:val="6EDFFF8D"/>
    <w:rsid w:val="6F383146"/>
    <w:rsid w:val="732AD0C2"/>
    <w:rsid w:val="750D327A"/>
    <w:rsid w:val="75E1CF72"/>
    <w:rsid w:val="79E70FF7"/>
    <w:rsid w:val="7BB20518"/>
    <w:rsid w:val="7D73C5E3"/>
    <w:rsid w:val="7FBB7D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7A7CA"/>
  <w15:chartTrackingRefBased/>
  <w15:docId w15:val="{92A9F4E0-331D-4F8D-A99F-9437649FE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4B3988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uiPriority w:val="9"/>
    <w:unhideWhenUsed/>
    <w:qFormat/>
    <w:rsid w:val="4B398854"/>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uiPriority w:val="1"/>
    <w:rsid w:val="4B398854"/>
    <w:pPr>
      <w:spacing w:beforeAutospacing="1" w:afterAutospacing="1" w:line="240" w:lineRule="auto"/>
    </w:pPr>
    <w:rPr>
      <w:lang w:eastAsia="en-GB"/>
    </w:rPr>
  </w:style>
  <w:style w:type="character" w:customStyle="1" w:styleId="s1">
    <w:name w:val="s1"/>
    <w:basedOn w:val="DefaultParagraphFont"/>
    <w:uiPriority w:val="1"/>
    <w:rsid w:val="4B398854"/>
    <w:rPr>
      <w:rFonts w:asciiTheme="minorHAnsi" w:eastAsiaTheme="minorEastAsia" w:hAnsiTheme="minorHAnsi" w:cstheme="minorBidi"/>
      <w:sz w:val="24"/>
      <w:szCs w:val="24"/>
    </w:rPr>
  </w:style>
  <w:style w:type="paragraph" w:styleId="ListParagraph">
    <w:name w:val="List Paragraph"/>
    <w:basedOn w:val="Normal"/>
    <w:uiPriority w:val="34"/>
    <w:qFormat/>
    <w:rsid w:val="4B398854"/>
    <w:pPr>
      <w:ind w:left="720"/>
      <w:contextualSpacing/>
    </w:pPr>
  </w:style>
  <w:style w:type="character" w:styleId="Hyperlink">
    <w:name w:val="Hyperlink"/>
    <w:basedOn w:val="DefaultParagraphFont"/>
    <w:uiPriority w:val="99"/>
    <w:unhideWhenUsed/>
    <w:rsid w:val="4B398854"/>
    <w:rPr>
      <w:color w:val="467886"/>
      <w:u w:val="single"/>
    </w:rPr>
  </w:style>
  <w:style w:type="paragraph" w:styleId="Header">
    <w:name w:val="header"/>
    <w:basedOn w:val="Normal"/>
    <w:uiPriority w:val="99"/>
    <w:unhideWhenUsed/>
    <w:rsid w:val="4B398854"/>
    <w:pPr>
      <w:tabs>
        <w:tab w:val="center" w:pos="4680"/>
        <w:tab w:val="right" w:pos="9360"/>
      </w:tabs>
      <w:spacing w:after="0" w:line="240" w:lineRule="auto"/>
    </w:pPr>
  </w:style>
  <w:style w:type="paragraph" w:styleId="Footer">
    <w:name w:val="footer"/>
    <w:basedOn w:val="Normal"/>
    <w:uiPriority w:val="99"/>
    <w:unhideWhenUsed/>
    <w:rsid w:val="4B398854"/>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4547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talhealth.org.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1128</Words>
  <Characters>6432</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Dilara Begum (2017884)</dc:creator>
  <cp:keywords/>
  <dc:description/>
  <cp:lastModifiedBy>Dilara Begum (2017884)</cp:lastModifiedBy>
  <cp:revision>2</cp:revision>
  <dcterms:created xsi:type="dcterms:W3CDTF">2025-10-25T13:41:00Z</dcterms:created>
  <dcterms:modified xsi:type="dcterms:W3CDTF">2025-10-25T13:41:00Z</dcterms:modified>
</cp:coreProperties>
</file>