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0C4A12" w14:textId="77777777" w:rsidR="0098701E" w:rsidRPr="005E2E7B" w:rsidRDefault="0098701E" w:rsidP="0098701E">
      <w:pPr>
        <w:pStyle w:val="NormalWeb"/>
        <w:rPr>
          <w:rFonts w:ascii="Calibri" w:hAnsi="Calibri" w:cs="Calibri"/>
        </w:rPr>
      </w:pPr>
      <w:r w:rsidRPr="005E2E7B">
        <w:rPr>
          <w:rFonts w:ascii="Calibri" w:hAnsi="Calibri" w:cs="Calibri"/>
          <w:sz w:val="48"/>
          <w:szCs w:val="48"/>
        </w:rPr>
        <w:t xml:space="preserve">Programme: Certificate of Higher Education Employability Skills </w:t>
      </w:r>
    </w:p>
    <w:p w14:paraId="7C82598B" w14:textId="77777777" w:rsidR="0098701E" w:rsidRPr="005E2E7B" w:rsidRDefault="0098701E" w:rsidP="0098701E">
      <w:pPr>
        <w:pStyle w:val="NormalWeb"/>
        <w:rPr>
          <w:rFonts w:ascii="Calibri" w:hAnsi="Calibri" w:cs="Calibri"/>
        </w:rPr>
      </w:pPr>
      <w:r w:rsidRPr="005E2E7B">
        <w:rPr>
          <w:rFonts w:ascii="Calibri" w:hAnsi="Calibri" w:cs="Calibri"/>
          <w:sz w:val="48"/>
          <w:szCs w:val="48"/>
        </w:rPr>
        <w:t xml:space="preserve">Module: Professional Career Development </w:t>
      </w:r>
    </w:p>
    <w:p w14:paraId="4800AB63" w14:textId="77777777" w:rsidR="0098701E" w:rsidRPr="005E2E7B" w:rsidRDefault="0098701E" w:rsidP="0098701E">
      <w:pPr>
        <w:pStyle w:val="NormalWeb"/>
        <w:rPr>
          <w:rFonts w:ascii="Calibri" w:hAnsi="Calibri" w:cs="Calibri"/>
          <w:sz w:val="48"/>
          <w:szCs w:val="48"/>
        </w:rPr>
      </w:pPr>
      <w:r w:rsidRPr="005E2E7B">
        <w:rPr>
          <w:rFonts w:ascii="Calibri" w:hAnsi="Calibri" w:cs="Calibri"/>
          <w:sz w:val="48"/>
          <w:szCs w:val="48"/>
        </w:rPr>
        <w:t xml:space="preserve">Module code: BMSW4012 </w:t>
      </w:r>
    </w:p>
    <w:p w14:paraId="2FB234DD" w14:textId="6148FC37" w:rsidR="0098701E" w:rsidRPr="005E2E7B" w:rsidRDefault="0098701E" w:rsidP="0098701E">
      <w:pPr>
        <w:pStyle w:val="NormalWeb"/>
        <w:rPr>
          <w:rFonts w:ascii="Calibri" w:hAnsi="Calibri" w:cs="Calibri"/>
        </w:rPr>
      </w:pPr>
      <w:r w:rsidRPr="005E2E7B">
        <w:rPr>
          <w:rFonts w:ascii="Calibri" w:hAnsi="Calibri" w:cs="Calibri"/>
          <w:sz w:val="40"/>
          <w:szCs w:val="40"/>
        </w:rPr>
        <w:t xml:space="preserve">Part 1: Individual Reflection </w:t>
      </w:r>
    </w:p>
    <w:p w14:paraId="21355CE6" w14:textId="1CBAA4DE" w:rsidR="0098701E" w:rsidRPr="005E2E7B" w:rsidRDefault="0098701E" w:rsidP="0098701E">
      <w:pPr>
        <w:pStyle w:val="NormalWeb"/>
        <w:rPr>
          <w:rFonts w:ascii="Calibri" w:hAnsi="Calibri" w:cs="Calibri"/>
          <w:sz w:val="32"/>
          <w:szCs w:val="32"/>
        </w:rPr>
      </w:pPr>
      <w:r w:rsidRPr="005E2E7B">
        <w:rPr>
          <w:rFonts w:ascii="Calibri" w:hAnsi="Calibri" w:cs="Calibri"/>
          <w:sz w:val="32"/>
          <w:szCs w:val="32"/>
        </w:rPr>
        <w:t xml:space="preserve">Name: </w:t>
      </w:r>
      <w:proofErr w:type="spellStart"/>
      <w:r w:rsidRPr="005E2E7B">
        <w:rPr>
          <w:rFonts w:ascii="Calibri" w:hAnsi="Calibri" w:cs="Calibri"/>
          <w:sz w:val="32"/>
          <w:szCs w:val="32"/>
        </w:rPr>
        <w:t>Salsabeel</w:t>
      </w:r>
      <w:proofErr w:type="spellEnd"/>
      <w:r w:rsidRPr="005E2E7B">
        <w:rPr>
          <w:rFonts w:ascii="Calibri" w:hAnsi="Calibri" w:cs="Calibri"/>
          <w:sz w:val="32"/>
          <w:szCs w:val="32"/>
        </w:rPr>
        <w:t xml:space="preserve"> Ali Islam</w:t>
      </w:r>
      <w:r w:rsidRPr="005E2E7B">
        <w:rPr>
          <w:rFonts w:ascii="Calibri" w:hAnsi="Calibri" w:cs="Calibri"/>
          <w:sz w:val="32"/>
          <w:szCs w:val="32"/>
        </w:rPr>
        <w:br/>
        <w:t>Student Number: 2330870</w:t>
      </w:r>
    </w:p>
    <w:p w14:paraId="62A2D66E" w14:textId="3982C351" w:rsidR="0098701E" w:rsidRPr="005E2E7B" w:rsidRDefault="0098701E" w:rsidP="0098701E">
      <w:pPr>
        <w:pStyle w:val="NormalWeb"/>
        <w:rPr>
          <w:rFonts w:ascii="Calibri" w:hAnsi="Calibri" w:cs="Calibri"/>
          <w:sz w:val="32"/>
          <w:szCs w:val="32"/>
        </w:rPr>
      </w:pPr>
      <w:r w:rsidRPr="005E2E7B">
        <w:rPr>
          <w:rFonts w:ascii="Calibri" w:hAnsi="Calibri" w:cs="Calibri"/>
          <w:sz w:val="32"/>
          <w:szCs w:val="32"/>
        </w:rPr>
        <w:t>Total word count</w:t>
      </w:r>
      <w:r w:rsidR="00E4287F">
        <w:rPr>
          <w:rFonts w:ascii="Calibri" w:hAnsi="Calibri" w:cs="Calibri"/>
          <w:sz w:val="32"/>
          <w:szCs w:val="32"/>
        </w:rPr>
        <w:t xml:space="preserve"> (Excluding references)</w:t>
      </w:r>
      <w:r w:rsidRPr="005E2E7B">
        <w:rPr>
          <w:rFonts w:ascii="Calibri" w:hAnsi="Calibri" w:cs="Calibri"/>
          <w:sz w:val="32"/>
          <w:szCs w:val="32"/>
        </w:rPr>
        <w:t xml:space="preserve">: </w:t>
      </w:r>
      <w:r w:rsidR="00915AF2" w:rsidRPr="00915AF2">
        <w:rPr>
          <w:rFonts w:ascii="Calibri" w:hAnsi="Calibri" w:cs="Calibri"/>
          <w:color w:val="000000" w:themeColor="text1"/>
          <w:sz w:val="32"/>
          <w:szCs w:val="32"/>
        </w:rPr>
        <w:t>1</w:t>
      </w:r>
      <w:r w:rsidR="00920C7A">
        <w:rPr>
          <w:rFonts w:ascii="Calibri" w:hAnsi="Calibri" w:cs="Calibri"/>
          <w:color w:val="000000" w:themeColor="text1"/>
          <w:sz w:val="32"/>
          <w:szCs w:val="32"/>
        </w:rPr>
        <w:t>512</w:t>
      </w:r>
    </w:p>
    <w:p w14:paraId="1D59A7E0" w14:textId="77777777" w:rsidR="007A40E2" w:rsidRPr="005E2E7B" w:rsidRDefault="007A40E2">
      <w:pPr>
        <w:rPr>
          <w:rFonts w:ascii="Calibri" w:hAnsi="Calibri" w:cs="Calibri"/>
        </w:rPr>
      </w:pPr>
    </w:p>
    <w:p w14:paraId="06F0AE3C" w14:textId="77777777" w:rsidR="0098701E" w:rsidRPr="005E2E7B" w:rsidRDefault="0098701E">
      <w:pPr>
        <w:rPr>
          <w:rFonts w:ascii="Calibri" w:hAnsi="Calibri" w:cs="Calibri"/>
        </w:rPr>
      </w:pPr>
    </w:p>
    <w:p w14:paraId="20EC4BC0" w14:textId="77777777" w:rsidR="0098701E" w:rsidRPr="005E2E7B" w:rsidRDefault="0098701E">
      <w:pPr>
        <w:rPr>
          <w:rFonts w:ascii="Calibri" w:hAnsi="Calibri" w:cs="Calibri"/>
        </w:rPr>
      </w:pPr>
    </w:p>
    <w:p w14:paraId="63613679" w14:textId="77777777" w:rsidR="0098701E" w:rsidRPr="005E2E7B" w:rsidRDefault="0098701E">
      <w:pPr>
        <w:rPr>
          <w:rFonts w:ascii="Calibri" w:hAnsi="Calibri" w:cs="Calibri"/>
        </w:rPr>
      </w:pPr>
    </w:p>
    <w:p w14:paraId="276C7B6D" w14:textId="77777777" w:rsidR="0098701E" w:rsidRPr="005E2E7B" w:rsidRDefault="0098701E">
      <w:pPr>
        <w:rPr>
          <w:rFonts w:ascii="Calibri" w:hAnsi="Calibri" w:cs="Calibri"/>
        </w:rPr>
      </w:pPr>
    </w:p>
    <w:p w14:paraId="1765BA9E" w14:textId="77777777" w:rsidR="0098701E" w:rsidRPr="005E2E7B" w:rsidRDefault="0098701E">
      <w:pPr>
        <w:rPr>
          <w:rFonts w:ascii="Calibri" w:hAnsi="Calibri" w:cs="Calibri"/>
        </w:rPr>
      </w:pPr>
    </w:p>
    <w:p w14:paraId="1BA87AA1" w14:textId="77777777" w:rsidR="0098701E" w:rsidRPr="005E2E7B" w:rsidRDefault="0098701E">
      <w:pPr>
        <w:rPr>
          <w:rFonts w:ascii="Calibri" w:hAnsi="Calibri" w:cs="Calibri"/>
        </w:rPr>
      </w:pPr>
    </w:p>
    <w:p w14:paraId="0FC814B0" w14:textId="77777777" w:rsidR="0098701E" w:rsidRPr="005E2E7B" w:rsidRDefault="0098701E">
      <w:pPr>
        <w:rPr>
          <w:rFonts w:ascii="Calibri" w:hAnsi="Calibri" w:cs="Calibri"/>
        </w:rPr>
      </w:pPr>
    </w:p>
    <w:p w14:paraId="4D8BDD34" w14:textId="77777777" w:rsidR="0098701E" w:rsidRPr="005E2E7B" w:rsidRDefault="0098701E">
      <w:pPr>
        <w:rPr>
          <w:rFonts w:ascii="Calibri" w:hAnsi="Calibri" w:cs="Calibri"/>
        </w:rPr>
      </w:pPr>
    </w:p>
    <w:p w14:paraId="0A4D4CDC" w14:textId="77777777" w:rsidR="0098701E" w:rsidRPr="005E2E7B" w:rsidRDefault="0098701E">
      <w:pPr>
        <w:rPr>
          <w:rFonts w:ascii="Calibri" w:hAnsi="Calibri" w:cs="Calibri"/>
        </w:rPr>
      </w:pPr>
    </w:p>
    <w:p w14:paraId="1D270E23" w14:textId="77777777" w:rsidR="0098701E" w:rsidRPr="005E2E7B" w:rsidRDefault="0098701E">
      <w:pPr>
        <w:rPr>
          <w:rFonts w:ascii="Calibri" w:hAnsi="Calibri" w:cs="Calibri"/>
        </w:rPr>
      </w:pPr>
    </w:p>
    <w:p w14:paraId="4559F36A" w14:textId="77777777" w:rsidR="0098701E" w:rsidRPr="005E2E7B" w:rsidRDefault="0098701E">
      <w:pPr>
        <w:rPr>
          <w:rFonts w:ascii="Calibri" w:hAnsi="Calibri" w:cs="Calibri"/>
        </w:rPr>
      </w:pPr>
    </w:p>
    <w:p w14:paraId="5F2ED963" w14:textId="77777777" w:rsidR="0098701E" w:rsidRPr="005E2E7B" w:rsidRDefault="0098701E">
      <w:pPr>
        <w:rPr>
          <w:rFonts w:ascii="Calibri" w:hAnsi="Calibri" w:cs="Calibri"/>
        </w:rPr>
      </w:pPr>
    </w:p>
    <w:p w14:paraId="48A1EAF9" w14:textId="77777777" w:rsidR="0098701E" w:rsidRPr="005E2E7B" w:rsidRDefault="0098701E">
      <w:pPr>
        <w:rPr>
          <w:rFonts w:ascii="Calibri" w:hAnsi="Calibri" w:cs="Calibri"/>
        </w:rPr>
      </w:pPr>
    </w:p>
    <w:p w14:paraId="1781197D" w14:textId="77777777" w:rsidR="0098701E" w:rsidRPr="005E2E7B" w:rsidRDefault="0098701E">
      <w:pPr>
        <w:rPr>
          <w:rFonts w:ascii="Calibri" w:hAnsi="Calibri" w:cs="Calibri"/>
        </w:rPr>
      </w:pPr>
    </w:p>
    <w:p w14:paraId="0C071E66" w14:textId="77777777" w:rsidR="0098701E" w:rsidRPr="005E2E7B" w:rsidRDefault="0098701E">
      <w:pPr>
        <w:rPr>
          <w:rFonts w:ascii="Calibri" w:hAnsi="Calibri" w:cs="Calibri"/>
        </w:rPr>
      </w:pPr>
    </w:p>
    <w:p w14:paraId="2EF4DE27" w14:textId="77777777" w:rsidR="0098701E" w:rsidRPr="005E2E7B" w:rsidRDefault="0098701E">
      <w:pPr>
        <w:rPr>
          <w:rFonts w:ascii="Calibri" w:hAnsi="Calibri" w:cs="Calibri"/>
        </w:rPr>
      </w:pPr>
    </w:p>
    <w:p w14:paraId="7AA38D7D" w14:textId="77777777" w:rsidR="0098701E" w:rsidRPr="005E2E7B" w:rsidRDefault="0098701E">
      <w:pPr>
        <w:rPr>
          <w:rFonts w:ascii="Calibri" w:hAnsi="Calibri" w:cs="Calibri"/>
        </w:rPr>
      </w:pPr>
    </w:p>
    <w:p w14:paraId="66802443" w14:textId="77777777" w:rsidR="0098701E" w:rsidRPr="005E2E7B" w:rsidRDefault="0098701E">
      <w:pPr>
        <w:rPr>
          <w:rFonts w:ascii="Calibri" w:hAnsi="Calibri" w:cs="Calibri"/>
        </w:rPr>
      </w:pPr>
    </w:p>
    <w:p w14:paraId="4C526D04" w14:textId="77777777" w:rsidR="0098701E" w:rsidRPr="005E2E7B" w:rsidRDefault="0098701E">
      <w:pPr>
        <w:rPr>
          <w:rFonts w:ascii="Calibri" w:hAnsi="Calibri" w:cs="Calibri"/>
        </w:rPr>
      </w:pPr>
    </w:p>
    <w:p w14:paraId="09CFD8D1" w14:textId="77777777" w:rsidR="0098701E" w:rsidRPr="005E2E7B" w:rsidRDefault="0098701E">
      <w:pPr>
        <w:rPr>
          <w:rFonts w:ascii="Calibri" w:hAnsi="Calibri" w:cs="Calibri"/>
        </w:rPr>
      </w:pPr>
    </w:p>
    <w:p w14:paraId="5135ED74" w14:textId="77777777" w:rsidR="0098701E" w:rsidRPr="005E2E7B" w:rsidRDefault="0098701E">
      <w:pPr>
        <w:rPr>
          <w:rFonts w:ascii="Calibri" w:hAnsi="Calibri" w:cs="Calibri"/>
        </w:rPr>
      </w:pPr>
    </w:p>
    <w:p w14:paraId="56FE0157" w14:textId="77777777" w:rsidR="0098701E" w:rsidRPr="005E2E7B" w:rsidRDefault="0098701E">
      <w:pPr>
        <w:rPr>
          <w:rFonts w:ascii="Calibri" w:hAnsi="Calibri" w:cs="Calibri"/>
        </w:rPr>
      </w:pPr>
    </w:p>
    <w:p w14:paraId="5E7FE5CB" w14:textId="77777777" w:rsidR="0098701E" w:rsidRPr="005E2E7B" w:rsidRDefault="0098701E">
      <w:pPr>
        <w:rPr>
          <w:rFonts w:ascii="Calibri" w:hAnsi="Calibri" w:cs="Calibri"/>
        </w:rPr>
      </w:pPr>
    </w:p>
    <w:p w14:paraId="5F16AFDA" w14:textId="77777777" w:rsidR="0098701E" w:rsidRPr="005E2E7B" w:rsidRDefault="0098701E">
      <w:pPr>
        <w:rPr>
          <w:rFonts w:ascii="Calibri" w:hAnsi="Calibri" w:cs="Calibri"/>
        </w:rPr>
      </w:pPr>
    </w:p>
    <w:p w14:paraId="3973F39C" w14:textId="77777777" w:rsidR="0098701E" w:rsidRPr="005E2E7B" w:rsidRDefault="0098701E">
      <w:pPr>
        <w:rPr>
          <w:rFonts w:ascii="Calibri" w:hAnsi="Calibri" w:cs="Calibri"/>
        </w:rPr>
      </w:pPr>
    </w:p>
    <w:p w14:paraId="2E21BF12" w14:textId="77777777" w:rsidR="0098701E" w:rsidRPr="005E2E7B" w:rsidRDefault="0098701E">
      <w:pPr>
        <w:rPr>
          <w:rFonts w:ascii="Calibri" w:hAnsi="Calibri" w:cs="Calibri"/>
        </w:rPr>
      </w:pPr>
    </w:p>
    <w:p w14:paraId="626729C5" w14:textId="77777777" w:rsidR="0098701E" w:rsidRPr="005E2E7B" w:rsidRDefault="0098701E">
      <w:pPr>
        <w:rPr>
          <w:rFonts w:ascii="Calibri" w:hAnsi="Calibri" w:cs="Calibri"/>
        </w:rPr>
      </w:pPr>
    </w:p>
    <w:p w14:paraId="4612B34E" w14:textId="0D6C0612" w:rsidR="00CF62DA" w:rsidRDefault="00357BC1" w:rsidP="00CF62DA">
      <w:pPr>
        <w:pStyle w:val="NormalWeb"/>
        <w:rPr>
          <w:rFonts w:ascii="Calibri" w:hAnsi="Calibri" w:cs="Calibri"/>
        </w:rPr>
      </w:pPr>
      <w:r w:rsidRPr="00357BC1">
        <w:rPr>
          <w:rFonts w:ascii="Calibri" w:hAnsi="Calibri" w:cs="Calibri"/>
        </w:rPr>
        <w:lastRenderedPageBreak/>
        <w:t>The development of professional skills is crucial for both academic success and career advancement. Throughout the Professional Career Development module, I have gained significant insights that enhance my employability</w:t>
      </w:r>
      <w:r>
        <w:rPr>
          <w:rFonts w:ascii="Calibri" w:hAnsi="Calibri" w:cs="Calibri"/>
        </w:rPr>
        <w:t xml:space="preserve"> </w:t>
      </w:r>
      <w:r w:rsidR="005E2E7B">
        <w:rPr>
          <w:rFonts w:ascii="Calibri" w:hAnsi="Calibri" w:cs="Calibri"/>
        </w:rPr>
        <w:fldChar w:fldCharType="begin"/>
      </w:r>
      <w:r w:rsidR="005E2E7B">
        <w:rPr>
          <w:rFonts w:ascii="Calibri" w:hAnsi="Calibri" w:cs="Calibri"/>
        </w:rPr>
        <w:instrText xml:space="preserve"> ADDIN EN.CITE &lt;EndNote&gt;&lt;Cite&gt;&lt;Author&gt;Coursera&lt;/Author&gt;&lt;Year&gt;2024&lt;/Year&gt;&lt;RecNum&gt;40&lt;/RecNum&gt;&lt;DisplayText&gt;(Coursera 2024)&lt;/DisplayText&gt;&lt;record&gt;&lt;rec-number&gt;40&lt;/rec-number&gt;&lt;foreign-keys&gt;&lt;key app="EN" db-id="pdfvpxszq2tp9qez0rmvxr5mv2ezer9axrta" timestamp="1717178158"&gt;40&lt;/key&gt;&lt;/foreign-keys&gt;&lt;ref-type name="Web Page"&gt;12&lt;/ref-type&gt;&lt;contributors&gt;&lt;authors&gt;&lt;author&gt;Coursera&lt;/author&gt;&lt;/authors&gt;&lt;/contributors&gt;&lt;titles&gt;&lt;title&gt;What Is Professional Development and What Are the Benefits? Coursera&lt;/title&gt;&lt;/titles&gt;&lt;volume&gt;2024&lt;/volume&gt;&lt;dates&gt;&lt;year&gt;2024&lt;/year&gt;&lt;/dates&gt;&lt;urls&gt;&lt;related-urls&gt;&lt;url&gt;https://www.coursera.org/enterprise/articles/what-is-professional-development &lt;/url&gt;&lt;/related-urls&gt;&lt;/urls&gt;&lt;/record&gt;&lt;/Cite&gt;&lt;/EndNote&gt;</w:instrText>
      </w:r>
      <w:r w:rsidR="005E2E7B">
        <w:rPr>
          <w:rFonts w:ascii="Calibri" w:hAnsi="Calibri" w:cs="Calibri"/>
        </w:rPr>
        <w:fldChar w:fldCharType="separate"/>
      </w:r>
      <w:r w:rsidR="005E2E7B">
        <w:rPr>
          <w:rFonts w:ascii="Calibri" w:hAnsi="Calibri" w:cs="Calibri"/>
          <w:noProof/>
        </w:rPr>
        <w:t>(Coursera 2024)</w:t>
      </w:r>
      <w:r w:rsidR="005E2E7B">
        <w:rPr>
          <w:rFonts w:ascii="Calibri" w:hAnsi="Calibri" w:cs="Calibri"/>
        </w:rPr>
        <w:fldChar w:fldCharType="end"/>
      </w:r>
      <w:r w:rsidR="005E2E7B">
        <w:rPr>
          <w:rFonts w:ascii="Calibri" w:hAnsi="Calibri" w:cs="Calibri"/>
        </w:rPr>
        <w:t xml:space="preserve">. </w:t>
      </w:r>
      <w:r w:rsidRPr="00357BC1">
        <w:rPr>
          <w:rFonts w:ascii="Calibri" w:hAnsi="Calibri" w:cs="Calibri"/>
        </w:rPr>
        <w:t>Given my responsibilities as a carer for my grandmother, most of my learning was conducted online, using Moodle to access course materials, participate in discussions, and complete assignments. This flexible learning environment allowed me to balance my caregiving duties while still engaging deeply with the content. Reflecting on my journey, I can describe it as transformative, enriching my knowledge and honing my skills</w:t>
      </w:r>
      <w:r w:rsidR="00EF74F1">
        <w:rPr>
          <w:rFonts w:ascii="Calibri" w:hAnsi="Calibri" w:cs="Calibri"/>
        </w:rPr>
        <w:t xml:space="preserve"> </w:t>
      </w:r>
      <w:r w:rsidR="00EF74F1">
        <w:rPr>
          <w:rFonts w:ascii="Calibri" w:hAnsi="Calibri" w:cs="Calibri"/>
        </w:rPr>
        <w:fldChar w:fldCharType="begin"/>
      </w:r>
      <w:r w:rsidR="00EF74F1">
        <w:rPr>
          <w:rFonts w:ascii="Calibri" w:hAnsi="Calibri" w:cs="Calibri"/>
        </w:rPr>
        <w:instrText xml:space="preserve"> ADDIN EN.CITE &lt;EndNote&gt;&lt;Cite&gt;&lt;Author&gt;Helms&lt;/Author&gt;&lt;Year&gt;2010&lt;/Year&gt;&lt;RecNum&gt;41&lt;/RecNum&gt;&lt;DisplayText&gt;(Helms and Nixon 2010)&lt;/DisplayText&gt;&lt;record&gt;&lt;rec-number&gt;41&lt;/rec-number&gt;&lt;foreign-keys&gt;&lt;key app="EN" db-id="pdfvpxszq2tp9qez0rmvxr5mv2ezer9axrta" timestamp="1717179090"&gt;41&lt;/key&gt;&lt;/foreign-keys&gt;&lt;ref-type name="Journal Article"&gt;17&lt;/ref-type&gt;&lt;contributors&gt;&lt;authors&gt;&lt;author&gt;Helms, Marilyn M.&lt;/author&gt;&lt;author&gt;Nixon, Judy&lt;/author&gt;&lt;/authors&gt;&lt;/contributors&gt;&lt;titles&gt;&lt;title&gt;Exploring SWOT analysis – where are we now?&lt;/title&gt;&lt;secondary-title&gt;Journal of Strategy and Management&lt;/secondary-title&gt;&lt;/titles&gt;&lt;periodical&gt;&lt;full-title&gt;Journal of Strategy and Management&lt;/full-title&gt;&lt;/periodical&gt;&lt;pages&gt;215-251&lt;/pages&gt;&lt;volume&gt;3&lt;/volume&gt;&lt;number&gt;3&lt;/number&gt;&lt;dates&gt;&lt;year&gt;2010&lt;/year&gt;&lt;/dates&gt;&lt;publisher&gt;Emerald Group Publishing Limited&lt;/publisher&gt;&lt;isbn&gt;1755-425X&lt;/isbn&gt;&lt;urls&gt;&lt;related-urls&gt;&lt;url&gt;https://doi.org/10.1108/17554251011064837&lt;/url&gt;&lt;/related-urls&gt;&lt;/urls&gt;&lt;electronic-resource-num&gt;10.1108/17554251011064837&lt;/electronic-resource-num&gt;&lt;access-date&gt;2024/05/31&lt;/access-date&gt;&lt;/record&gt;&lt;/Cite&gt;&lt;/EndNote&gt;</w:instrText>
      </w:r>
      <w:r w:rsidR="00EF74F1">
        <w:rPr>
          <w:rFonts w:ascii="Calibri" w:hAnsi="Calibri" w:cs="Calibri"/>
        </w:rPr>
        <w:fldChar w:fldCharType="separate"/>
      </w:r>
      <w:r w:rsidR="00EF74F1">
        <w:rPr>
          <w:rFonts w:ascii="Calibri" w:hAnsi="Calibri" w:cs="Calibri"/>
          <w:noProof/>
        </w:rPr>
        <w:t>(Helms and Nixon 2010)</w:t>
      </w:r>
      <w:r w:rsidR="00EF74F1">
        <w:rPr>
          <w:rFonts w:ascii="Calibri" w:hAnsi="Calibri" w:cs="Calibri"/>
        </w:rPr>
        <w:fldChar w:fldCharType="end"/>
      </w:r>
      <w:r>
        <w:rPr>
          <w:rFonts w:ascii="Calibri" w:hAnsi="Calibri" w:cs="Calibri"/>
        </w:rPr>
        <w:t>.</w:t>
      </w:r>
    </w:p>
    <w:p w14:paraId="75B729A5" w14:textId="0EC5A78A" w:rsidR="00222FCE" w:rsidRDefault="00CF62DA" w:rsidP="005E2E7B">
      <w:pPr>
        <w:pStyle w:val="NormalWeb"/>
        <w:rPr>
          <w:rFonts w:ascii="Calibri" w:hAnsi="Calibri" w:cs="Calibri"/>
        </w:rPr>
      </w:pPr>
      <w:r w:rsidRPr="00CF62DA">
        <w:rPr>
          <w:rFonts w:ascii="Calibri" w:hAnsi="Calibri" w:cs="Calibri"/>
        </w:rPr>
        <w:t>Applying the SWOT Analysis has given me a clear view of my strengths, weaknesses, opportunities, and threats. The Professional Career Development course has been crucial in helping me identify and use my strengths while addressing areas for improvement, enhancing my academic and professional growth. As a security guard at the NHS Covid Test Centre, I maintain a secure environment, guide individuals through the testing process, and ensure compliance with health and safety regulations. One of my key strengths is my strong observational skills, which help me detect potential security threats. This vigilance is vital in a healthcare setting where the well-being of both staff and visitors is paramount.</w:t>
      </w:r>
      <w:r w:rsidR="00BE15D7">
        <w:rPr>
          <w:rFonts w:ascii="Calibri" w:hAnsi="Calibri" w:cs="Calibri"/>
        </w:rPr>
        <w:t xml:space="preserve"> </w:t>
      </w:r>
      <w:r w:rsidRPr="00CF62DA">
        <w:rPr>
          <w:rFonts w:ascii="Calibri" w:hAnsi="Calibri" w:cs="Calibri"/>
        </w:rPr>
        <w:t>My ability to communicate effectively has improved through constant interaction with diverse individuals under stress. This role has taught me the importance of clear, concise, and empathetic communication, ensuring that individuals feel supported and informed. A significant aspect of my job is its physical demands, requiring me to be on my feet for long periods and manage various manual tasks. This has enhanced my physical endurance and resilience. Additionally, following strict protocols has improved my attention to detail and adherence to procedures, essential for safety and compliance.</w:t>
      </w:r>
      <w:r w:rsidR="00BE15D7">
        <w:rPr>
          <w:rFonts w:ascii="Calibri" w:hAnsi="Calibri" w:cs="Calibri"/>
        </w:rPr>
        <w:t xml:space="preserve"> </w:t>
      </w:r>
      <w:r w:rsidRPr="00CF62DA">
        <w:rPr>
          <w:rFonts w:ascii="Calibri" w:hAnsi="Calibri" w:cs="Calibri"/>
        </w:rPr>
        <w:t>The dynamic nature of my work has presented many opportunities for personal growth. I have developed strong problem-solving skills, as I often need to think quickly and respond to unexpected situations. This adaptability is a crucial asset for future roles. However, the role also highlights certain weaknesses and threats. The high-pressure environment can lead to stress, necessitating effective stress management strategies. Moreover, the evolving nature of security technology means continuous learning is essential to stay current and effective.</w:t>
      </w:r>
      <w:r w:rsidR="00BE15D7">
        <w:rPr>
          <w:rFonts w:ascii="Calibri" w:hAnsi="Calibri" w:cs="Calibri"/>
        </w:rPr>
        <w:t xml:space="preserve"> </w:t>
      </w:r>
      <w:r w:rsidRPr="00CF62DA">
        <w:rPr>
          <w:rFonts w:ascii="Calibri" w:hAnsi="Calibri" w:cs="Calibri"/>
        </w:rPr>
        <w:t>Reflecting on these experiences through SWOT Analysis has been enlightening. It has reinforced my skills and highlighted areas for growth. This reflective practice, supported by the theoretical frameworks from the Professional Career Development course, has significantly contributed to my professional and personal development.</w:t>
      </w:r>
    </w:p>
    <w:p w14:paraId="09E9058E" w14:textId="0B6D5AED" w:rsidR="00222FCE" w:rsidRPr="005E2E7B" w:rsidRDefault="00357BC1" w:rsidP="005E2E7B">
      <w:pPr>
        <w:pStyle w:val="NormalWeb"/>
        <w:rPr>
          <w:rFonts w:ascii="Calibri" w:hAnsi="Calibri" w:cs="Calibri"/>
        </w:rPr>
      </w:pPr>
      <w:r w:rsidRPr="00357BC1">
        <w:rPr>
          <w:rFonts w:ascii="Calibri" w:hAnsi="Calibri" w:cs="Calibri"/>
        </w:rPr>
        <w:t>The Professional Career Development course has significantly benefited me by providing essential knowledge and skills that have helped shape my career goals. Engaging with the course primarily through Moodle due to my time constraints as a carer allowed me to structure my learning around my responsibilities. These goals are specific, measurable, achievable, relevant, and time-based, ensuring a structured path to success</w:t>
      </w:r>
      <w:r w:rsidR="00222FCE" w:rsidRPr="00222FCE">
        <w:rPr>
          <w:rFonts w:ascii="Calibri" w:hAnsi="Calibri" w:cs="Calibri"/>
        </w:rPr>
        <w:t xml:space="preserve">. I have identified three primary goals that I want to achieve shortly. </w:t>
      </w:r>
      <w:r w:rsidR="00222FCE">
        <w:rPr>
          <w:rFonts w:ascii="Calibri" w:hAnsi="Calibri" w:cs="Calibri"/>
        </w:rPr>
        <w:br/>
      </w:r>
      <w:r w:rsidR="00222FCE" w:rsidRPr="00222FCE">
        <w:rPr>
          <w:rFonts w:ascii="Calibri" w:hAnsi="Calibri" w:cs="Calibri"/>
        </w:rPr>
        <w:t xml:space="preserve">Firstly, I aim to improve my technical proficiency by enrolling in advanced security technology courses over the next six months. This training will enhance my ability to manage and operate sophisticated security systems, making me more effective in my current role at the NHS Covid Test Centre. Mastering these technologies will position me as a valuable asset in the security field, opening opportunities for career advancement. Secondly, I plan to develop my leadership skills by participating in management training </w:t>
      </w:r>
      <w:r w:rsidR="00222FCE" w:rsidRPr="00222FCE">
        <w:rPr>
          <w:rFonts w:ascii="Calibri" w:hAnsi="Calibri" w:cs="Calibri"/>
        </w:rPr>
        <w:lastRenderedPageBreak/>
        <w:t>program</w:t>
      </w:r>
      <w:r w:rsidR="000E15C7">
        <w:rPr>
          <w:rFonts w:ascii="Calibri" w:hAnsi="Calibri" w:cs="Calibri"/>
        </w:rPr>
        <w:t>me</w:t>
      </w:r>
      <w:r w:rsidR="00222FCE" w:rsidRPr="00222FCE">
        <w:rPr>
          <w:rFonts w:ascii="Calibri" w:hAnsi="Calibri" w:cs="Calibri"/>
        </w:rPr>
        <w:t>s. Within the next year, I want to transition into a supervisory role where I can mentor new security personnel and oversee daily operations more effectively. This step will not only enhance my leadership capabilities but also improve the overall efficiency and safety of the facility. My goal is to be recogni</w:t>
      </w:r>
      <w:r w:rsidR="000E15C7">
        <w:rPr>
          <w:rFonts w:ascii="Calibri" w:hAnsi="Calibri" w:cs="Calibri"/>
        </w:rPr>
        <w:t>s</w:t>
      </w:r>
      <w:r w:rsidR="00222FCE" w:rsidRPr="00222FCE">
        <w:rPr>
          <w:rFonts w:ascii="Calibri" w:hAnsi="Calibri" w:cs="Calibri"/>
        </w:rPr>
        <w:t xml:space="preserve">ed as a competent and reliable leader in my workplace </w:t>
      </w:r>
      <w:r w:rsidR="00222FCE">
        <w:rPr>
          <w:rFonts w:ascii="Calibri" w:hAnsi="Calibri" w:cs="Calibri"/>
        </w:rPr>
        <w:fldChar w:fldCharType="begin"/>
      </w:r>
      <w:r w:rsidR="00222FCE">
        <w:rPr>
          <w:rFonts w:ascii="Calibri" w:hAnsi="Calibri" w:cs="Calibri"/>
        </w:rPr>
        <w:instrText xml:space="preserve"> ADDIN EN.CITE &lt;EndNote&gt;&lt;Cite&gt;&lt;Author&gt;Price-Dowd&lt;/Author&gt;&lt;Year&gt;2020&lt;/Year&gt;&lt;RecNum&gt;43&lt;/RecNum&gt;&lt;DisplayText&gt;(Price-Dowd 2020)&lt;/DisplayText&gt;&lt;record&gt;&lt;rec-number&gt;43&lt;/rec-number&gt;&lt;foreign-keys&gt;&lt;key app="EN" db-id="pdfvpxszq2tp9qez0rmvxr5mv2ezer9axrta" timestamp="1717180418"&gt;43&lt;/key&gt;&lt;/foreign-keys&gt;&lt;ref-type name="Journal Article"&gt;17&lt;/ref-type&gt;&lt;contributors&gt;&lt;authors&gt;&lt;author&gt;Price-Dowd, Clare Felicity Jane&lt;/author&gt;&lt;/authors&gt;&lt;/contributors&gt;&lt;titles&gt;&lt;title&gt;Your leadership style: why understanding yourself matters&lt;/title&gt;&lt;secondary-title&gt;BMJ Leader&lt;/secondary-title&gt;&lt;/titles&gt;&lt;periodical&gt;&lt;full-title&gt;BMJ Leader&lt;/full-title&gt;&lt;/periodical&gt;&lt;pages&gt;165-167&lt;/pages&gt;&lt;volume&gt;4&lt;/volume&gt;&lt;number&gt;4&lt;/number&gt;&lt;dates&gt;&lt;year&gt;2020&lt;/year&gt;&lt;/dates&gt;&lt;publisher&gt;BMJ&lt;/publisher&gt;&lt;isbn&gt;2398-631X&lt;/isbn&gt;&lt;urls&gt;&lt;related-urls&gt;&lt;url&gt;https://dx.doi.org/10.1136/leader-2020-000218&lt;/url&gt;&lt;/related-urls&gt;&lt;/urls&gt;&lt;electronic-resource-num&gt;10.1136/leader-2020-000218&lt;/electronic-resource-num&gt;&lt;/record&gt;&lt;/Cite&gt;&lt;/EndNote&gt;</w:instrText>
      </w:r>
      <w:r w:rsidR="00222FCE">
        <w:rPr>
          <w:rFonts w:ascii="Calibri" w:hAnsi="Calibri" w:cs="Calibri"/>
        </w:rPr>
        <w:fldChar w:fldCharType="separate"/>
      </w:r>
      <w:r w:rsidR="00222FCE">
        <w:rPr>
          <w:rFonts w:ascii="Calibri" w:hAnsi="Calibri" w:cs="Calibri"/>
          <w:noProof/>
        </w:rPr>
        <w:t>(Price-Dowd 2020)</w:t>
      </w:r>
      <w:r w:rsidR="00222FCE">
        <w:rPr>
          <w:rFonts w:ascii="Calibri" w:hAnsi="Calibri" w:cs="Calibri"/>
        </w:rPr>
        <w:fldChar w:fldCharType="end"/>
      </w:r>
      <w:r w:rsidR="00222FCE">
        <w:rPr>
          <w:rFonts w:ascii="Calibri" w:hAnsi="Calibri" w:cs="Calibri"/>
        </w:rPr>
        <w:t>.</w:t>
      </w:r>
      <w:r w:rsidR="00222FCE">
        <w:rPr>
          <w:rFonts w:ascii="Calibri" w:hAnsi="Calibri" w:cs="Calibri"/>
        </w:rPr>
        <w:br/>
      </w:r>
      <w:r w:rsidR="00222FCE" w:rsidRPr="00222FCE">
        <w:rPr>
          <w:rFonts w:ascii="Calibri" w:hAnsi="Calibri" w:cs="Calibri"/>
        </w:rPr>
        <w:t>Lastly, I recogni</w:t>
      </w:r>
      <w:r w:rsidR="000E15C7">
        <w:rPr>
          <w:rFonts w:ascii="Calibri" w:hAnsi="Calibri" w:cs="Calibri"/>
        </w:rPr>
        <w:t>s</w:t>
      </w:r>
      <w:r w:rsidR="00222FCE" w:rsidRPr="00222FCE">
        <w:rPr>
          <w:rFonts w:ascii="Calibri" w:hAnsi="Calibri" w:cs="Calibri"/>
        </w:rPr>
        <w:t>e the importance of maintaining a healthy work-life balance. Over the next 12 months, I will implement strategies to manage stress better and ensure I have adequate personal time. This involves setting clear boundaries between work and personal life and engaging in activities that promote physical and mental well-being. By achieving this balance, I aim to sustain high performance at work while enjoying a fulfilling personal life</w:t>
      </w:r>
      <w:r w:rsidR="00246CCA">
        <w:rPr>
          <w:rFonts w:ascii="Calibri" w:hAnsi="Calibri" w:cs="Calibri"/>
        </w:rPr>
        <w:t xml:space="preserve"> </w:t>
      </w:r>
      <w:r w:rsidR="00246CCA">
        <w:rPr>
          <w:rFonts w:ascii="Calibri" w:hAnsi="Calibri" w:cs="Calibri"/>
        </w:rPr>
        <w:fldChar w:fldCharType="begin"/>
      </w:r>
      <w:r w:rsidR="00246CCA">
        <w:rPr>
          <w:rFonts w:ascii="Calibri" w:hAnsi="Calibri" w:cs="Calibri"/>
        </w:rPr>
        <w:instrText xml:space="preserve"> ADDIN EN.CITE &lt;EndNote&gt;&lt;Cite&gt;&lt;Author&gt;Danna&lt;/Author&gt;&lt;Year&gt;1999&lt;/Year&gt;&lt;RecNum&gt;44&lt;/RecNum&gt;&lt;DisplayText&gt;(Danna and Griffin 1999)&lt;/DisplayText&gt;&lt;record&gt;&lt;rec-number&gt;44&lt;/rec-number&gt;&lt;foreign-keys&gt;&lt;key app="EN" db-id="pdfvpxszq2tp9qez0rmvxr5mv2ezer9axrta" timestamp="1717180989"&gt;44&lt;/key&gt;&lt;/foreign-keys&gt;&lt;ref-type name="Journal Article"&gt;17&lt;/ref-type&gt;&lt;contributors&gt;&lt;authors&gt;&lt;author&gt;Danna, Karen&lt;/author&gt;&lt;author&gt;Griffin, Ricky W.&lt;/author&gt;&lt;/authors&gt;&lt;/contributors&gt;&lt;titles&gt;&lt;title&gt;Health and Well-Being in the Workplace: A Review and Synthesis of the Literature&lt;/title&gt;&lt;secondary-title&gt;Journal of Management&lt;/secondary-title&gt;&lt;/titles&gt;&lt;periodical&gt;&lt;full-title&gt;Journal of Management&lt;/full-title&gt;&lt;/periodical&gt;&lt;pages&gt;357-384&lt;/pages&gt;&lt;volume&gt;25&lt;/volume&gt;&lt;number&gt;3&lt;/number&gt;&lt;dates&gt;&lt;year&gt;1999&lt;/year&gt;&lt;/dates&gt;&lt;urls&gt;&lt;related-urls&gt;&lt;url&gt;https://journals.sagepub.com/doi/abs/10.1177/014920639902500305&lt;/url&gt;&lt;/related-urls&gt;&lt;/urls&gt;&lt;electronic-resource-num&gt;10.1177/014920639902500305&lt;/electronic-resource-num&gt;&lt;/record&gt;&lt;/Cite&gt;&lt;/EndNote&gt;</w:instrText>
      </w:r>
      <w:r w:rsidR="00246CCA">
        <w:rPr>
          <w:rFonts w:ascii="Calibri" w:hAnsi="Calibri" w:cs="Calibri"/>
        </w:rPr>
        <w:fldChar w:fldCharType="separate"/>
      </w:r>
      <w:r w:rsidR="00246CCA">
        <w:rPr>
          <w:rFonts w:ascii="Calibri" w:hAnsi="Calibri" w:cs="Calibri"/>
          <w:noProof/>
        </w:rPr>
        <w:t>(Danna and Griffin 1999)</w:t>
      </w:r>
      <w:r w:rsidR="00246CCA">
        <w:rPr>
          <w:rFonts w:ascii="Calibri" w:hAnsi="Calibri" w:cs="Calibri"/>
        </w:rPr>
        <w:fldChar w:fldCharType="end"/>
      </w:r>
      <w:r w:rsidR="00222FCE">
        <w:rPr>
          <w:rFonts w:ascii="Calibri" w:hAnsi="Calibri" w:cs="Calibri"/>
        </w:rPr>
        <w:t>.</w:t>
      </w:r>
      <w:r w:rsidR="00222FCE" w:rsidRPr="00222FCE">
        <w:rPr>
          <w:rFonts w:ascii="Calibri" w:hAnsi="Calibri" w:cs="Calibri"/>
        </w:rPr>
        <w:t xml:space="preserve"> </w:t>
      </w:r>
    </w:p>
    <w:p w14:paraId="4A96025B" w14:textId="5921D760" w:rsidR="00E4287F" w:rsidRPr="00E4287F" w:rsidRDefault="00E4287F" w:rsidP="00E4287F">
      <w:pPr>
        <w:rPr>
          <w:rFonts w:ascii="Calibri" w:hAnsi="Calibri" w:cs="Calibri"/>
        </w:rPr>
      </w:pPr>
      <w:r w:rsidRPr="00E4287F">
        <w:rPr>
          <w:rFonts w:ascii="Calibri" w:hAnsi="Calibri" w:cs="Calibri"/>
        </w:rPr>
        <w:t>The Johari Window is a useful tool for understanding self-awareness, which is crucial in my line of work as a security guard. My job requires me to be vigilant, empathetic, cooperative in a team environment, and possess strong interpersonal skills to interact with various individuals visiting the NHS Covid Test Centre</w:t>
      </w:r>
      <w:r w:rsidR="00EC2F4B">
        <w:rPr>
          <w:rFonts w:ascii="Calibri" w:hAnsi="Calibri" w:cs="Calibri"/>
        </w:rPr>
        <w:t xml:space="preserve"> </w:t>
      </w:r>
      <w:r w:rsidR="00EC2F4B">
        <w:rPr>
          <w:rFonts w:ascii="Calibri" w:hAnsi="Calibri" w:cs="Calibri"/>
        </w:rPr>
        <w:fldChar w:fldCharType="begin"/>
      </w:r>
      <w:r w:rsidR="00EC2F4B">
        <w:rPr>
          <w:rFonts w:ascii="Calibri" w:hAnsi="Calibri" w:cs="Calibri"/>
        </w:rPr>
        <w:instrText xml:space="preserve"> ADDIN EN.CITE &lt;EndNote&gt;&lt;Cite&gt;&lt;Author&gt;Grunberg&lt;/Author&gt;&lt;Year&gt;2020&lt;/Year&gt;&lt;RecNum&gt;45&lt;/RecNum&gt;&lt;DisplayText&gt;(Grunberg et al. 2020)&lt;/DisplayText&gt;&lt;record&gt;&lt;rec-number&gt;45&lt;/rec-number&gt;&lt;foreign-keys&gt;&lt;key app="EN" db-id="pdfvpxszq2tp9qez0rmvxr5mv2ezer9axrta" timestamp="1717182906"&gt;45&lt;/key&gt;&lt;/foreign-keys&gt;&lt;ref-type name="Journal Article"&gt;17&lt;/ref-type&gt;&lt;contributors&gt;&lt;authors&gt;&lt;author&gt;Grunberg, Neil E.&lt;/author&gt;&lt;author&gt;McManigle, John E.&lt;/author&gt;&lt;author&gt;Barry, Erin S.&lt;/author&gt;&lt;/authors&gt;&lt;/contributors&gt;&lt;titles&gt;&lt;title&gt;Using Social Psychology Principles to Develop Emotionally Intelligent Healthcare Leaders&lt;/title&gt;&lt;secondary-title&gt;Frontiers in Psychology&lt;/secondary-title&gt;&lt;/titles&gt;&lt;periodical&gt;&lt;full-title&gt;Frontiers in Psychology&lt;/full-title&gt;&lt;/periodical&gt;&lt;volume&gt;11&lt;/volume&gt;&lt;dates&gt;&lt;year&gt;2020&lt;/year&gt;&lt;/dates&gt;&lt;publisher&gt;Frontiers Media SA&lt;/publisher&gt;&lt;isbn&gt;1664-1078&lt;/isbn&gt;&lt;urls&gt;&lt;related-urls&gt;&lt;url&gt;https://dx.doi.org/10.3389/fpsyg.2020.01917&lt;/url&gt;&lt;/related-urls&gt;&lt;/urls&gt;&lt;electronic-resource-num&gt;10.3389/fpsyg.2020.01917&lt;/electronic-resource-num&gt;&lt;/record&gt;&lt;/Cite&gt;&lt;/EndNote&gt;</w:instrText>
      </w:r>
      <w:r w:rsidR="00EC2F4B">
        <w:rPr>
          <w:rFonts w:ascii="Calibri" w:hAnsi="Calibri" w:cs="Calibri"/>
        </w:rPr>
        <w:fldChar w:fldCharType="separate"/>
      </w:r>
      <w:r w:rsidR="00EC2F4B">
        <w:rPr>
          <w:rFonts w:ascii="Calibri" w:hAnsi="Calibri" w:cs="Calibri"/>
          <w:noProof/>
        </w:rPr>
        <w:t>(Grunberg et al. 2020)</w:t>
      </w:r>
      <w:r w:rsidR="00EC2F4B">
        <w:rPr>
          <w:rFonts w:ascii="Calibri" w:hAnsi="Calibri" w:cs="Calibri"/>
        </w:rPr>
        <w:fldChar w:fldCharType="end"/>
      </w:r>
      <w:r>
        <w:rPr>
          <w:rFonts w:ascii="Calibri" w:hAnsi="Calibri" w:cs="Calibri"/>
        </w:rPr>
        <w:t>.</w:t>
      </w:r>
      <w:r w:rsidRPr="00E4287F">
        <w:rPr>
          <w:rFonts w:ascii="Calibri" w:hAnsi="Calibri" w:cs="Calibri"/>
        </w:rPr>
        <w:t xml:space="preserve"> </w:t>
      </w:r>
    </w:p>
    <w:p w14:paraId="77E53300" w14:textId="77777777" w:rsidR="00E4287F" w:rsidRPr="00E4287F" w:rsidRDefault="00E4287F" w:rsidP="00E4287F">
      <w:pPr>
        <w:rPr>
          <w:rFonts w:ascii="Calibri" w:hAnsi="Calibri" w:cs="Calibri"/>
        </w:rPr>
      </w:pPr>
      <w:r w:rsidRPr="00E4287F">
        <w:rPr>
          <w:rFonts w:ascii="Calibri" w:hAnsi="Calibri" w:cs="Calibri"/>
        </w:rPr>
        <w:t>My open area includes my expertise in security protocols, my experience in managing safety procedures, and my strong communication skills. I am known for my ability to remain calm under pressure and effectively manage potentially volatile situations. Additionally, my adaptability and teamwork are evident as I collaborate with healthcare professionals and fellow security personnel to ensure a safe environment.</w:t>
      </w:r>
    </w:p>
    <w:p w14:paraId="2EE26DF4" w14:textId="77777777" w:rsidR="00E4287F" w:rsidRPr="00E4287F" w:rsidRDefault="00E4287F" w:rsidP="00E4287F">
      <w:pPr>
        <w:rPr>
          <w:rFonts w:ascii="Calibri" w:hAnsi="Calibri" w:cs="Calibri"/>
        </w:rPr>
      </w:pPr>
      <w:r w:rsidRPr="00E4287F">
        <w:rPr>
          <w:rFonts w:ascii="Calibri" w:hAnsi="Calibri" w:cs="Calibri"/>
        </w:rPr>
        <w:t>My blind area involves my need to adjust quickly to sudden changes and my emotional resilience in dealing with stressful situations. While I can handle immediate threats efficiently, the emotional aftermath of high-stress incidents can be challenging for me. Feedback from colleagues has highlighted that I could improve my ability to detach emotionally after critical events.</w:t>
      </w:r>
    </w:p>
    <w:p w14:paraId="3FA0F325" w14:textId="77777777" w:rsidR="00E4287F" w:rsidRPr="00E4287F" w:rsidRDefault="00E4287F" w:rsidP="00E4287F">
      <w:pPr>
        <w:rPr>
          <w:rFonts w:ascii="Calibri" w:hAnsi="Calibri" w:cs="Calibri"/>
        </w:rPr>
      </w:pPr>
      <w:r w:rsidRPr="00E4287F">
        <w:rPr>
          <w:rFonts w:ascii="Calibri" w:hAnsi="Calibri" w:cs="Calibri"/>
        </w:rPr>
        <w:t>My hidden area includes my compassion and patience, which are not immediately obvious in a security role. However, I often go out of my way to assist individuals, especially those who are anxious or distressed. This hidden quality has been acknowledged by visitors who appreciate my considerate approach during stressful times. Additionally, I have been told that I possess strong leadership qualities, which are not always apparent but become evident in critical situations.</w:t>
      </w:r>
    </w:p>
    <w:p w14:paraId="1C9CB38D" w14:textId="5EC5FE83" w:rsidR="00E4287F" w:rsidRPr="00E4287F" w:rsidRDefault="00E4287F" w:rsidP="00E4287F">
      <w:pPr>
        <w:rPr>
          <w:rFonts w:ascii="Calibri" w:hAnsi="Calibri" w:cs="Calibri"/>
        </w:rPr>
      </w:pPr>
      <w:r w:rsidRPr="00E4287F">
        <w:rPr>
          <w:rFonts w:ascii="Calibri" w:hAnsi="Calibri" w:cs="Calibri"/>
        </w:rPr>
        <w:t>The unknown area includes my potential to take on more significant responsibilities and make critical decisions in high-stress environments. While I have not yet been tested in extreme crisis situations, I believe that with the right training and experience, I could excel in such scenarios. Understanding and exploring this unknown potential will be essential for my career growth and personal development</w:t>
      </w:r>
      <w:r w:rsidR="00EC2F4B">
        <w:rPr>
          <w:rFonts w:ascii="Calibri" w:hAnsi="Calibri" w:cs="Calibri"/>
        </w:rPr>
        <w:t xml:space="preserve"> </w:t>
      </w:r>
      <w:r w:rsidR="00EC2F4B">
        <w:rPr>
          <w:rFonts w:ascii="Calibri" w:hAnsi="Calibri" w:cs="Calibri"/>
        </w:rPr>
        <w:fldChar w:fldCharType="begin"/>
      </w:r>
      <w:r w:rsidR="00EC2F4B">
        <w:rPr>
          <w:rFonts w:ascii="Calibri" w:hAnsi="Calibri" w:cs="Calibri"/>
        </w:rPr>
        <w:instrText xml:space="preserve"> ADDIN EN.CITE &lt;EndNote&gt;&lt;Cite&gt;&lt;Author&gt;Brooks&lt;/Author&gt;&lt;Year&gt;2019&lt;/Year&gt;&lt;RecNum&gt;46&lt;/RecNum&gt;&lt;DisplayText&gt;(Brooks et al. 2019)&lt;/DisplayText&gt;&lt;record&gt;&lt;rec-number&gt;46&lt;/rec-number&gt;&lt;foreign-keys&gt;&lt;key app="EN" db-id="pdfvpxszq2tp9qez0rmvxr5mv2ezer9axrta" timestamp="1717183020"&gt;46&lt;/key&gt;&lt;/foreign-keys&gt;&lt;ref-type name="Journal Article"&gt;17&lt;/ref-type&gt;&lt;contributors&gt;&lt;authors&gt;&lt;author&gt;Brooks, Samantha&lt;/author&gt;&lt;author&gt;Rubin, G James&lt;/author&gt;&lt;author&gt;Greenberg, Neil&lt;/author&gt;&lt;/authors&gt;&lt;/contributors&gt;&lt;titles&gt;&lt;title&gt;Managing traumatic stress in the workplace&lt;/title&gt;&lt;secondary-title&gt;Occupational Medicine&lt;/secondary-title&gt;&lt;/titles&gt;&lt;periodical&gt;&lt;full-title&gt;Occupational Medicine&lt;/full-title&gt;&lt;/periodical&gt;&lt;pages&gt;2-4&lt;/pages&gt;&lt;volume&gt;69&lt;/volume&gt;&lt;number&gt;1&lt;/number&gt;&lt;dates&gt;&lt;year&gt;2019&lt;/year&gt;&lt;/dates&gt;&lt;isbn&gt;0962-7480&lt;/isbn&gt;&lt;urls&gt;&lt;related-urls&gt;&lt;url&gt;https://doi.org/10.1093/occmed/kqy146&lt;/url&gt;&lt;/related-urls&gt;&lt;/urls&gt;&lt;electronic-resource-num&gt;10.1093/occmed/kqy146&lt;/electronic-resource-num&gt;&lt;access-date&gt;5/31/2024&lt;/access-date&gt;&lt;/record&gt;&lt;/Cite&gt;&lt;/EndNote&gt;</w:instrText>
      </w:r>
      <w:r w:rsidR="00EC2F4B">
        <w:rPr>
          <w:rFonts w:ascii="Calibri" w:hAnsi="Calibri" w:cs="Calibri"/>
        </w:rPr>
        <w:fldChar w:fldCharType="separate"/>
      </w:r>
      <w:r w:rsidR="00EC2F4B">
        <w:rPr>
          <w:rFonts w:ascii="Calibri" w:hAnsi="Calibri" w:cs="Calibri"/>
          <w:noProof/>
        </w:rPr>
        <w:t>(Brooks et al. 2019)</w:t>
      </w:r>
      <w:r w:rsidR="00EC2F4B">
        <w:rPr>
          <w:rFonts w:ascii="Calibri" w:hAnsi="Calibri" w:cs="Calibri"/>
        </w:rPr>
        <w:fldChar w:fldCharType="end"/>
      </w:r>
      <w:r w:rsidRPr="00E4287F">
        <w:rPr>
          <w:rFonts w:ascii="Calibri" w:hAnsi="Calibri" w:cs="Calibri"/>
        </w:rPr>
        <w:t>.</w:t>
      </w:r>
    </w:p>
    <w:p w14:paraId="42A0EB49" w14:textId="77777777" w:rsidR="00E4287F" w:rsidRPr="00E4287F" w:rsidRDefault="00E4287F" w:rsidP="00E4287F">
      <w:pPr>
        <w:rPr>
          <w:rFonts w:ascii="Calibri" w:hAnsi="Calibri" w:cs="Calibri"/>
        </w:rPr>
      </w:pPr>
      <w:r w:rsidRPr="00E4287F">
        <w:rPr>
          <w:rFonts w:ascii="Calibri" w:hAnsi="Calibri" w:cs="Calibri"/>
        </w:rPr>
        <w:t>Reflecting on these aspects using the Johari Window has provided valuable insights into my strengths and areas for improvement, guiding my professional journey towards becoming a more effective and self-aware security professional.</w:t>
      </w:r>
    </w:p>
    <w:p w14:paraId="016F880F" w14:textId="77777777" w:rsidR="00822279" w:rsidRDefault="00822279" w:rsidP="00822279">
      <w:pPr>
        <w:rPr>
          <w:rFonts w:ascii="Calibri" w:hAnsi="Calibri" w:cs="Calibri"/>
        </w:rPr>
      </w:pPr>
    </w:p>
    <w:p w14:paraId="0A852FD6" w14:textId="14A708C0" w:rsidR="00822279" w:rsidRPr="00822279" w:rsidRDefault="00822279" w:rsidP="00822279">
      <w:pPr>
        <w:rPr>
          <w:rFonts w:ascii="Calibri" w:hAnsi="Calibri" w:cs="Calibri"/>
        </w:rPr>
      </w:pPr>
      <w:r w:rsidRPr="00822279">
        <w:rPr>
          <w:rFonts w:ascii="Calibri" w:hAnsi="Calibri" w:cs="Calibri"/>
        </w:rPr>
        <w:t xml:space="preserve">Based on the insights gained from the Professional Career Development course, I will structure my personal development plan to enhance my skills and advance my career. This framework will help me identify and develop essential skills </w:t>
      </w:r>
    </w:p>
    <w:p w14:paraId="3288D599" w14:textId="71AFF3A6" w:rsidR="00822279" w:rsidRPr="00822279" w:rsidRDefault="00822279" w:rsidP="00822279">
      <w:pPr>
        <w:rPr>
          <w:rFonts w:ascii="Calibri" w:hAnsi="Calibri" w:cs="Calibri"/>
        </w:rPr>
      </w:pPr>
      <w:r w:rsidRPr="00822279">
        <w:rPr>
          <w:rFonts w:ascii="Calibri" w:hAnsi="Calibri" w:cs="Calibri"/>
        </w:rPr>
        <w:t xml:space="preserve">Firstly, I need to improve my technical proficiency in security technologies. This involves enrolling in a short-term course on advanced security systems within the next three months. </w:t>
      </w:r>
      <w:r w:rsidRPr="00822279">
        <w:rPr>
          <w:rFonts w:ascii="Calibri" w:hAnsi="Calibri" w:cs="Calibri"/>
        </w:rPr>
        <w:lastRenderedPageBreak/>
        <w:t>Enhancing my technical skills will allow me to manage and operate sophisticated security equipment more effectively</w:t>
      </w:r>
      <w:r>
        <w:rPr>
          <w:rFonts w:ascii="Calibri" w:hAnsi="Calibri" w:cs="Calibri"/>
        </w:rPr>
        <w:t xml:space="preserve"> </w:t>
      </w:r>
      <w:r>
        <w:rPr>
          <w:rFonts w:ascii="Calibri" w:hAnsi="Calibri" w:cs="Calibri"/>
        </w:rPr>
        <w:fldChar w:fldCharType="begin"/>
      </w:r>
      <w:r>
        <w:rPr>
          <w:rFonts w:ascii="Calibri" w:hAnsi="Calibri" w:cs="Calibri"/>
        </w:rPr>
        <w:instrText xml:space="preserve"> ADDIN EN.CITE &lt;EndNote&gt;&lt;Cite&gt;&lt;Author&gt;Muñoz&lt;/Author&gt;&lt;Year&gt;2023&lt;/Year&gt;&lt;RecNum&gt;47&lt;/RecNum&gt;&lt;DisplayText&gt;(Muñoz and Valiente 2023)&lt;/DisplayText&gt;&lt;record&gt;&lt;rec-number&gt;47&lt;/rec-number&gt;&lt;foreign-keys&gt;&lt;key app="EN" db-id="pdfvpxszq2tp9qez0rmvxr5mv2ezer9axrta" timestamp="1717183785"&gt;47&lt;/key&gt;&lt;/foreign-keys&gt;&lt;ref-type name="Journal Article"&gt;17&lt;/ref-type&gt;&lt;contributors&gt;&lt;authors&gt;&lt;author&gt;Muñoz, David Concejal&lt;/author&gt;&lt;author&gt;Valiente, Antonio Del-Corte&lt;/author&gt;&lt;/authors&gt;&lt;/contributors&gt;&lt;titles&gt;&lt;title&gt;A novel botnet attack detection for IoT networks based on communication graphs&lt;/title&gt;&lt;secondary-title&gt;Cybersecurity&lt;/secondary-title&gt;&lt;/titles&gt;&lt;periodical&gt;&lt;full-title&gt;Cybersecurity&lt;/full-title&gt;&lt;/periodical&gt;&lt;volume&gt;6&lt;/volume&gt;&lt;number&gt;1&lt;/number&gt;&lt;dates&gt;&lt;year&gt;2023&lt;/year&gt;&lt;/dates&gt;&lt;publisher&gt;Springer Science and Business Media LLC&lt;/publisher&gt;&lt;isbn&gt;2523-3246&lt;/isbn&gt;&lt;urls&gt;&lt;related-urls&gt;&lt;url&gt;https://dx.doi.org/10.1186/s42400-023-00169-6&lt;/url&gt;&lt;/related-urls&gt;&lt;/urls&gt;&lt;electronic-resource-num&gt;10.1186/s42400-023-00169-6&lt;/electronic-resource-num&gt;&lt;/record&gt;&lt;/Cite&gt;&lt;/EndNote&gt;</w:instrText>
      </w:r>
      <w:r>
        <w:rPr>
          <w:rFonts w:ascii="Calibri" w:hAnsi="Calibri" w:cs="Calibri"/>
        </w:rPr>
        <w:fldChar w:fldCharType="separate"/>
      </w:r>
      <w:r>
        <w:rPr>
          <w:rFonts w:ascii="Calibri" w:hAnsi="Calibri" w:cs="Calibri"/>
          <w:noProof/>
        </w:rPr>
        <w:t>(Muñoz and Valiente 2023)</w:t>
      </w:r>
      <w:r>
        <w:rPr>
          <w:rFonts w:ascii="Calibri" w:hAnsi="Calibri" w:cs="Calibri"/>
        </w:rPr>
        <w:fldChar w:fldCharType="end"/>
      </w:r>
      <w:r w:rsidRPr="00822279">
        <w:rPr>
          <w:rFonts w:ascii="Calibri" w:hAnsi="Calibri" w:cs="Calibri"/>
        </w:rPr>
        <w:t>.</w:t>
      </w:r>
    </w:p>
    <w:p w14:paraId="4677128B" w14:textId="6CC49166" w:rsidR="00822279" w:rsidRPr="00822279" w:rsidRDefault="00822279" w:rsidP="00822279">
      <w:pPr>
        <w:rPr>
          <w:rFonts w:ascii="Calibri" w:hAnsi="Calibri" w:cs="Calibri"/>
        </w:rPr>
      </w:pPr>
      <w:r w:rsidRPr="00822279">
        <w:rPr>
          <w:rFonts w:ascii="Calibri" w:hAnsi="Calibri" w:cs="Calibri"/>
        </w:rPr>
        <w:t>Secondly, I aim to develop my leadership abilities by undertaking a management training program</w:t>
      </w:r>
      <w:r w:rsidR="000E15C7">
        <w:rPr>
          <w:rFonts w:ascii="Calibri" w:hAnsi="Calibri" w:cs="Calibri"/>
        </w:rPr>
        <w:t>me</w:t>
      </w:r>
      <w:r w:rsidRPr="00822279">
        <w:rPr>
          <w:rFonts w:ascii="Calibri" w:hAnsi="Calibri" w:cs="Calibri"/>
        </w:rPr>
        <w:t>. This program</w:t>
      </w:r>
      <w:r w:rsidR="000E15C7">
        <w:rPr>
          <w:rFonts w:ascii="Calibri" w:hAnsi="Calibri" w:cs="Calibri"/>
        </w:rPr>
        <w:t>me</w:t>
      </w:r>
      <w:r w:rsidRPr="00822279">
        <w:rPr>
          <w:rFonts w:ascii="Calibri" w:hAnsi="Calibri" w:cs="Calibri"/>
        </w:rPr>
        <w:t>, which I plan to complete within six months, will prepare me to take on supervisory roles and mentor new security personnel. It will also improve my ability to oversee daily operations and enhance overall facility safety.</w:t>
      </w:r>
    </w:p>
    <w:p w14:paraId="610F2EAB" w14:textId="5F97B52F" w:rsidR="00822279" w:rsidRPr="00822279" w:rsidRDefault="00822279" w:rsidP="00822279">
      <w:pPr>
        <w:rPr>
          <w:rFonts w:ascii="Calibri" w:hAnsi="Calibri" w:cs="Calibri"/>
        </w:rPr>
      </w:pPr>
      <w:r w:rsidRPr="00822279">
        <w:rPr>
          <w:rFonts w:ascii="Calibri" w:hAnsi="Calibri" w:cs="Calibri"/>
        </w:rPr>
        <w:t>Lastly, I recogni</w:t>
      </w:r>
      <w:r>
        <w:rPr>
          <w:rFonts w:ascii="Calibri" w:hAnsi="Calibri" w:cs="Calibri"/>
        </w:rPr>
        <w:t>s</w:t>
      </w:r>
      <w:r w:rsidRPr="00822279">
        <w:rPr>
          <w:rFonts w:ascii="Calibri" w:hAnsi="Calibri" w:cs="Calibri"/>
        </w:rPr>
        <w:t>e the importance of effective communication in my role. Therefore, I will enrol in a course focused on communication and conflict resolution. This course, to be completed within six months, will help me interact more effectively with diverse individuals and manage stressful situations more efficiently</w:t>
      </w:r>
      <w:r>
        <w:rPr>
          <w:rFonts w:ascii="Calibri" w:hAnsi="Calibri" w:cs="Calibri"/>
        </w:rPr>
        <w:t xml:space="preserve"> </w:t>
      </w:r>
      <w:r>
        <w:rPr>
          <w:rFonts w:ascii="Calibri" w:hAnsi="Calibri" w:cs="Calibri"/>
        </w:rPr>
        <w:fldChar w:fldCharType="begin"/>
      </w:r>
      <w:r>
        <w:rPr>
          <w:rFonts w:ascii="Calibri" w:hAnsi="Calibri" w:cs="Calibri"/>
        </w:rPr>
        <w:instrText xml:space="preserve"> ADDIN EN.CITE &lt;EndNote&gt;&lt;Cite&gt;&lt;Author&gt;Goodman&lt;/Author&gt;&lt;Year&gt;2020&lt;/Year&gt;&lt;RecNum&gt;48&lt;/RecNum&gt;&lt;DisplayText&gt;(Goodman et al. 2020)&lt;/DisplayText&gt;&lt;record&gt;&lt;rec-number&gt;48&lt;/rec-number&gt;&lt;foreign-keys&gt;&lt;key app="EN" db-id="pdfvpxszq2tp9qez0rmvxr5mv2ezer9axrta" timestamp="1717183940"&gt;48&lt;/key&gt;&lt;/foreign-keys&gt;&lt;ref-type name="Journal Article"&gt;17&lt;/ref-type&gt;&lt;contributors&gt;&lt;authors&gt;&lt;author&gt;Goodman, Helena&lt;/author&gt;&lt;author&gt;Papastavrou Brooks, Cat&lt;/author&gt;&lt;author&gt;Price, Owen&lt;/author&gt;&lt;author&gt;Barley, Elizabeth Alexandra&lt;/author&gt;&lt;/authors&gt;&lt;/contributors&gt;&lt;titles&gt;&lt;title&gt;Barriers and facilitators to the effective de-escalation of conflict behaviours in forensic high-secure settings: a qualitative study&lt;/title&gt;&lt;secondary-title&gt;International Journal of Mental Health Systems&lt;/secondary-title&gt;&lt;/titles&gt;&lt;periodical&gt;&lt;full-title&gt;International Journal of Mental Health Systems&lt;/full-title&gt;&lt;/periodical&gt;&lt;volume&gt;14&lt;/volume&gt;&lt;number&gt;1&lt;/number&gt;&lt;dates&gt;&lt;year&gt;2020&lt;/year&gt;&lt;/dates&gt;&lt;publisher&gt;Springer Science and Business Media LLC&lt;/publisher&gt;&lt;isbn&gt;1752-4458&lt;/isbn&gt;&lt;urls&gt;&lt;related-urls&gt;&lt;url&gt;https://dx.doi.org/10.1186/s13033-020-00392-5&lt;/url&gt;&lt;/related-urls&gt;&lt;/urls&gt;&lt;electronic-resource-num&gt;10.1186/s13033-020-00392-5&lt;/electronic-resource-num&gt;&lt;/record&gt;&lt;/Cite&gt;&lt;/EndNote&gt;</w:instrText>
      </w:r>
      <w:r>
        <w:rPr>
          <w:rFonts w:ascii="Calibri" w:hAnsi="Calibri" w:cs="Calibri"/>
        </w:rPr>
        <w:fldChar w:fldCharType="separate"/>
      </w:r>
      <w:r>
        <w:rPr>
          <w:rFonts w:ascii="Calibri" w:hAnsi="Calibri" w:cs="Calibri"/>
          <w:noProof/>
        </w:rPr>
        <w:t>(Goodman et al. 2020)</w:t>
      </w:r>
      <w:r>
        <w:rPr>
          <w:rFonts w:ascii="Calibri" w:hAnsi="Calibri" w:cs="Calibri"/>
        </w:rPr>
        <w:fldChar w:fldCharType="end"/>
      </w:r>
      <w:r>
        <w:rPr>
          <w:rFonts w:ascii="Calibri" w:hAnsi="Calibri" w:cs="Calibri"/>
        </w:rPr>
        <w:t>.</w:t>
      </w:r>
      <w:r w:rsidRPr="00822279">
        <w:rPr>
          <w:rFonts w:ascii="Calibri" w:hAnsi="Calibri" w:cs="Calibri"/>
        </w:rPr>
        <w:t xml:space="preserve"> </w:t>
      </w:r>
    </w:p>
    <w:p w14:paraId="1E7E3D99" w14:textId="77777777" w:rsidR="00822279" w:rsidRPr="00822279" w:rsidRDefault="00822279" w:rsidP="00822279">
      <w:pPr>
        <w:rPr>
          <w:rFonts w:ascii="Calibri" w:hAnsi="Calibri" w:cs="Calibri"/>
        </w:rPr>
      </w:pPr>
      <w:r w:rsidRPr="00822279">
        <w:rPr>
          <w:rFonts w:ascii="Calibri" w:hAnsi="Calibri" w:cs="Calibri"/>
        </w:rPr>
        <w:t>These steps, structured in my personal development plan, will equip me with the necessary skills to advance in my career and handle my responsibilities more proficiently.</w:t>
      </w:r>
    </w:p>
    <w:p w14:paraId="5275A1B1" w14:textId="77777777" w:rsidR="005E2E7B" w:rsidRPr="005E2E7B" w:rsidRDefault="005E2E7B">
      <w:pPr>
        <w:rPr>
          <w:rFonts w:ascii="Calibri" w:hAnsi="Calibri" w:cs="Calibri"/>
        </w:rPr>
      </w:pPr>
    </w:p>
    <w:p w14:paraId="017354AF" w14:textId="7E63CFBE" w:rsidR="007B40D3" w:rsidRDefault="00357BC1" w:rsidP="007B40D3">
      <w:pPr>
        <w:rPr>
          <w:rFonts w:ascii="Calibri" w:hAnsi="Calibri" w:cs="Calibri"/>
        </w:rPr>
      </w:pPr>
      <w:r w:rsidRPr="00357BC1">
        <w:rPr>
          <w:rFonts w:ascii="Calibri" w:hAnsi="Calibri" w:cs="Calibri"/>
        </w:rPr>
        <w:t>Describing my learning style, I discovered that I have a strong preference towards being a kinaesthetic learner after completing the VARK learning style test</w:t>
      </w:r>
      <w:r>
        <w:rPr>
          <w:rFonts w:ascii="Calibri" w:hAnsi="Calibri" w:cs="Calibri"/>
        </w:rPr>
        <w:t xml:space="preserve"> </w:t>
      </w:r>
      <w:r w:rsidR="00E13193">
        <w:rPr>
          <w:rFonts w:ascii="Calibri" w:hAnsi="Calibri" w:cs="Calibri"/>
        </w:rPr>
        <w:fldChar w:fldCharType="begin"/>
      </w:r>
      <w:r w:rsidR="00E13193">
        <w:rPr>
          <w:rFonts w:ascii="Calibri" w:hAnsi="Calibri" w:cs="Calibri"/>
        </w:rPr>
        <w:instrText xml:space="preserve"> ADDIN EN.CITE &lt;EndNote&gt;&lt;Cite&gt;&lt;Author&gt;Kozhevnikov&lt;/Author&gt;&lt;Year&gt;2014&lt;/Year&gt;&lt;RecNum&gt;49&lt;/RecNum&gt;&lt;DisplayText&gt;(Kozhevnikov et al. 2014)&lt;/DisplayText&gt;&lt;record&gt;&lt;rec-number&gt;49&lt;/rec-number&gt;&lt;foreign-keys&gt;&lt;key app="EN" db-id="pdfvpxszq2tp9qez0rmvxr5mv2ezer9axrta" timestamp="1717184766"&gt;49&lt;/key&gt;&lt;/foreign-keys&gt;&lt;ref-type name="Journal Article"&gt;17&lt;/ref-type&gt;&lt;contributors&gt;&lt;authors&gt;&lt;author&gt;Kozhevnikov, M.&lt;/author&gt;&lt;author&gt;Evans, C.&lt;/author&gt;&lt;author&gt;Kosslyn, S. M.&lt;/author&gt;&lt;/authors&gt;&lt;/contributors&gt;&lt;auth-address&gt;Athinoula A. Martinos Center for Biomedical Imaging, Harvard Medical School Department of Psychology, National University of Singapore mkozhevn@nmr.mgh.harvard.edu.&amp;#xD;Graduate School of Education, University of Exeter.&amp;#xD;Minerva Schools at the Keck Graduate Institute of Applied Life Sciences.&lt;/auth-address&gt;&lt;titles&gt;&lt;title&gt;Cognitive Style as Environmentally Sensitive Individual Differences in Cognition: A Modern Synthesis and Applications in Education, Business, and Management&lt;/title&gt;&lt;secondary-title&gt;Psychol Sci Public Interest&lt;/secondary-title&gt;&lt;/titles&gt;&lt;periodical&gt;&lt;full-title&gt;Psychol Sci Public Interest&lt;/full-title&gt;&lt;/periodical&gt;&lt;pages&gt;3-33&lt;/pages&gt;&lt;volume&gt;15&lt;/volume&gt;&lt;number&gt;1&lt;/number&gt;&lt;keywords&gt;&lt;keyword&gt;cognitive psychology&lt;/keyword&gt;&lt;keyword&gt;cognitive styles&lt;/keyword&gt;&lt;keyword&gt;environmentally sensitive individual differences&lt;/keyword&gt;&lt;keyword&gt;neuroscience&lt;/keyword&gt;&lt;keyword&gt;taxonomy of cognitive styles&lt;/keyword&gt;&lt;/keywords&gt;&lt;dates&gt;&lt;year&gt;2014&lt;/year&gt;&lt;pub-dates&gt;&lt;date&gt;May&lt;/date&gt;&lt;/pub-dates&gt;&lt;/dates&gt;&lt;isbn&gt;1529-1006&lt;/isbn&gt;&lt;accession-num&gt;26171827&lt;/accession-num&gt;&lt;urls&gt;&lt;/urls&gt;&lt;electronic-resource-num&gt;10.1177/1529100614525555&lt;/electronic-resource-num&gt;&lt;remote-database-provider&gt;NLM&lt;/remote-database-provider&gt;&lt;language&gt;eng&lt;/language&gt;&lt;/record&gt;&lt;/Cite&gt;&lt;/EndNote&gt;</w:instrText>
      </w:r>
      <w:r w:rsidR="00E13193">
        <w:rPr>
          <w:rFonts w:ascii="Calibri" w:hAnsi="Calibri" w:cs="Calibri"/>
        </w:rPr>
        <w:fldChar w:fldCharType="separate"/>
      </w:r>
      <w:r w:rsidR="00E13193">
        <w:rPr>
          <w:rFonts w:ascii="Calibri" w:hAnsi="Calibri" w:cs="Calibri"/>
          <w:noProof/>
        </w:rPr>
        <w:t>(Kozhevnikov et al. 2014)</w:t>
      </w:r>
      <w:r w:rsidR="00E13193">
        <w:rPr>
          <w:rFonts w:ascii="Calibri" w:hAnsi="Calibri" w:cs="Calibri"/>
        </w:rPr>
        <w:fldChar w:fldCharType="end"/>
      </w:r>
      <w:r w:rsidR="00E13193">
        <w:rPr>
          <w:rFonts w:ascii="Calibri" w:hAnsi="Calibri" w:cs="Calibri"/>
        </w:rPr>
        <w:t xml:space="preserve"> </w:t>
      </w:r>
      <w:r w:rsidR="00E13193">
        <w:rPr>
          <w:rFonts w:ascii="Calibri" w:hAnsi="Calibri" w:cs="Calibri"/>
        </w:rPr>
        <w:fldChar w:fldCharType="begin"/>
      </w:r>
      <w:r w:rsidR="00E13193">
        <w:rPr>
          <w:rFonts w:ascii="Calibri" w:hAnsi="Calibri" w:cs="Calibri"/>
        </w:rPr>
        <w:instrText xml:space="preserve"> ADDIN EN.CITE &lt;EndNote&gt;&lt;Cite&gt;&lt;Author&gt;Raiyn&lt;/Author&gt;&lt;Year&gt;2016&lt;/Year&gt;&lt;RecNum&gt;50&lt;/RecNum&gt;&lt;DisplayText&gt;(Raiyn 2016)&lt;/DisplayText&gt;&lt;record&gt;&lt;rec-number&gt;50&lt;/rec-number&gt;&lt;foreign-keys&gt;&lt;key app="EN" db-id="pdfvpxszq2tp9qez0rmvxr5mv2ezer9axrta" timestamp="1717184822"&gt;50&lt;/key&gt;&lt;/foreign-keys&gt;&lt;ref-type name="Journal Article"&gt;17&lt;/ref-type&gt;&lt;contributors&gt;&lt;authors&gt;&lt;author&gt;Raiyn, Jamal&lt;/author&gt;&lt;/authors&gt;&lt;/contributors&gt;&lt;titles&gt;&lt;title&gt;The Role of Visual Learning in Improving Students’ High-Order Thinking Skills&lt;/title&gt;&lt;secondary-title&gt;Journal of Education and Practice&lt;/secondary-title&gt;&lt;/titles&gt;&lt;periodical&gt;&lt;full-title&gt;Journal of Education and Practice&lt;/full-title&gt;&lt;/periodical&gt;&lt;pages&gt;115-121&lt;/pages&gt;&lt;volume&gt;7&lt;/volume&gt;&lt;dates&gt;&lt;year&gt;2016&lt;/year&gt;&lt;pub-dates&gt;&lt;date&gt;08/31&lt;/date&gt;&lt;/pub-dates&gt;&lt;/dates&gt;&lt;urls&gt;&lt;/urls&gt;&lt;/record&gt;&lt;/Cite&gt;&lt;/EndNote&gt;</w:instrText>
      </w:r>
      <w:r w:rsidR="00E13193">
        <w:rPr>
          <w:rFonts w:ascii="Calibri" w:hAnsi="Calibri" w:cs="Calibri"/>
        </w:rPr>
        <w:fldChar w:fldCharType="separate"/>
      </w:r>
      <w:r w:rsidR="00E13193">
        <w:rPr>
          <w:rFonts w:ascii="Calibri" w:hAnsi="Calibri" w:cs="Calibri"/>
          <w:noProof/>
        </w:rPr>
        <w:t>(Raiyn 2016)</w:t>
      </w:r>
      <w:r w:rsidR="00E13193">
        <w:rPr>
          <w:rFonts w:ascii="Calibri" w:hAnsi="Calibri" w:cs="Calibri"/>
        </w:rPr>
        <w:fldChar w:fldCharType="end"/>
      </w:r>
      <w:r w:rsidR="007B40D3" w:rsidRPr="007B40D3">
        <w:rPr>
          <w:rFonts w:ascii="Calibri" w:hAnsi="Calibri" w:cs="Calibri"/>
        </w:rPr>
        <w:t xml:space="preserve">. </w:t>
      </w:r>
      <w:r>
        <w:rPr>
          <w:rFonts w:ascii="Calibri" w:hAnsi="Calibri" w:cs="Calibri"/>
        </w:rPr>
        <w:t>T</w:t>
      </w:r>
      <w:r w:rsidRPr="00357BC1">
        <w:rPr>
          <w:rFonts w:ascii="Calibri" w:hAnsi="Calibri" w:cs="Calibri"/>
        </w:rPr>
        <w:t>his self-assessment provided clarity on how I engage with learning tasks. In my role as a security guard at the NHS Covid Test Centre, hands-on experience has been crucial for improving my skills. Tasks such as managing security protocols, operating equipment, and responding to incidents require precision and expertise. I learn best by doing; physically engaging with tasks helps me understand and remember procedures more effectively.</w:t>
      </w:r>
      <w:r>
        <w:rPr>
          <w:rFonts w:ascii="Calibri" w:hAnsi="Calibri" w:cs="Calibri"/>
        </w:rPr>
        <w:t xml:space="preserve">  </w:t>
      </w:r>
      <w:r w:rsidR="007B40D3" w:rsidRPr="007B40D3">
        <w:rPr>
          <w:rFonts w:ascii="Calibri" w:hAnsi="Calibri" w:cs="Calibri"/>
        </w:rPr>
        <w:t>Additionally, visual aids such as diagrams and demonstrations enhance my understanding of complex procedures. This combination of learning styles has been essential in mastering various security operations. I find that being active, using gestures, and moving around while learning helps me retain information better. My action plan is to continue seeking practical experiences and using visual aids to apply this knowledge effectively in both my academic and professional pursuits.</w:t>
      </w:r>
    </w:p>
    <w:p w14:paraId="61DB6DB5" w14:textId="77777777" w:rsidR="00E13193" w:rsidRPr="007B40D3" w:rsidRDefault="00E13193" w:rsidP="007B40D3">
      <w:pPr>
        <w:rPr>
          <w:rFonts w:ascii="Calibri" w:hAnsi="Calibri" w:cs="Calibri"/>
        </w:rPr>
      </w:pPr>
    </w:p>
    <w:p w14:paraId="3FA2049E" w14:textId="613BA786" w:rsidR="00E13193" w:rsidRPr="00E13193" w:rsidRDefault="00E13193" w:rsidP="00E13193">
      <w:pPr>
        <w:rPr>
          <w:rFonts w:ascii="Calibri" w:hAnsi="Calibri" w:cs="Calibri"/>
        </w:rPr>
      </w:pPr>
      <w:r w:rsidRPr="00E13193">
        <w:rPr>
          <w:rFonts w:ascii="Calibri" w:hAnsi="Calibri" w:cs="Calibri"/>
        </w:rPr>
        <w:t>The reflection highlights the impact of the course, utili</w:t>
      </w:r>
      <w:r w:rsidR="000E15C7">
        <w:rPr>
          <w:rFonts w:ascii="Calibri" w:hAnsi="Calibri" w:cs="Calibri"/>
        </w:rPr>
        <w:t>s</w:t>
      </w:r>
      <w:r w:rsidRPr="00E13193">
        <w:rPr>
          <w:rFonts w:ascii="Calibri" w:hAnsi="Calibri" w:cs="Calibri"/>
        </w:rPr>
        <w:t>ing models like the Johari Window, SWOT Analysis, PDP, SMART Goal Setting, and my kinaesthetic learning style. As a security guard at the NHS Covid Test Centre, hands-on learning has been crucial for skill improvement. Through the course, I identified my strengths and weaknesses, developing a PDP with SMART goals to address areas for growth. Managing diverse interactions in a high-stress environment has earned me recognition. Now, I am focused on career advancement, using my PDP to set clear goals and enhance my professional skills.</w:t>
      </w:r>
    </w:p>
    <w:p w14:paraId="08A15FAE" w14:textId="77777777" w:rsidR="005E2E7B" w:rsidRPr="005E2E7B" w:rsidRDefault="005E2E7B">
      <w:pPr>
        <w:rPr>
          <w:rFonts w:ascii="Calibri" w:hAnsi="Calibri" w:cs="Calibri"/>
        </w:rPr>
      </w:pPr>
    </w:p>
    <w:p w14:paraId="06775F98" w14:textId="77777777" w:rsidR="005E2E7B" w:rsidRDefault="005E2E7B">
      <w:pPr>
        <w:rPr>
          <w:rFonts w:ascii="Calibri" w:hAnsi="Calibri" w:cs="Calibri"/>
        </w:rPr>
      </w:pPr>
    </w:p>
    <w:p w14:paraId="31EB2BFB" w14:textId="77777777" w:rsidR="00915AF2" w:rsidRDefault="00915AF2">
      <w:pPr>
        <w:rPr>
          <w:rFonts w:ascii="Calibri" w:hAnsi="Calibri" w:cs="Calibri"/>
        </w:rPr>
      </w:pPr>
    </w:p>
    <w:p w14:paraId="5FB5B2BF" w14:textId="77777777" w:rsidR="00915AF2" w:rsidRDefault="00915AF2">
      <w:pPr>
        <w:rPr>
          <w:rFonts w:ascii="Calibri" w:hAnsi="Calibri" w:cs="Calibri"/>
        </w:rPr>
      </w:pPr>
    </w:p>
    <w:p w14:paraId="3B8ADE96" w14:textId="77777777" w:rsidR="00915AF2" w:rsidRDefault="00915AF2">
      <w:pPr>
        <w:rPr>
          <w:rFonts w:ascii="Calibri" w:hAnsi="Calibri" w:cs="Calibri"/>
        </w:rPr>
      </w:pPr>
    </w:p>
    <w:p w14:paraId="1A0E0651" w14:textId="77777777" w:rsidR="00915AF2" w:rsidRDefault="00915AF2">
      <w:pPr>
        <w:rPr>
          <w:rFonts w:ascii="Calibri" w:hAnsi="Calibri" w:cs="Calibri"/>
        </w:rPr>
      </w:pPr>
    </w:p>
    <w:p w14:paraId="6E750C0D" w14:textId="77777777" w:rsidR="00915AF2" w:rsidRDefault="00915AF2">
      <w:pPr>
        <w:rPr>
          <w:rFonts w:ascii="Calibri" w:hAnsi="Calibri" w:cs="Calibri"/>
        </w:rPr>
      </w:pPr>
    </w:p>
    <w:p w14:paraId="3C10D117" w14:textId="77777777" w:rsidR="00915AF2" w:rsidRDefault="00915AF2">
      <w:pPr>
        <w:rPr>
          <w:rFonts w:ascii="Calibri" w:hAnsi="Calibri" w:cs="Calibri"/>
        </w:rPr>
      </w:pPr>
    </w:p>
    <w:p w14:paraId="5E671DB9" w14:textId="77777777" w:rsidR="00915AF2" w:rsidRDefault="00915AF2">
      <w:pPr>
        <w:rPr>
          <w:rFonts w:ascii="Calibri" w:hAnsi="Calibri" w:cs="Calibri"/>
        </w:rPr>
      </w:pPr>
    </w:p>
    <w:p w14:paraId="61758499" w14:textId="77777777" w:rsidR="00915AF2" w:rsidRDefault="00915AF2">
      <w:pPr>
        <w:rPr>
          <w:rFonts w:ascii="Calibri" w:hAnsi="Calibri" w:cs="Calibri"/>
        </w:rPr>
      </w:pPr>
    </w:p>
    <w:p w14:paraId="0D1C505B" w14:textId="77777777" w:rsidR="00915AF2" w:rsidRDefault="00915AF2">
      <w:pPr>
        <w:rPr>
          <w:rFonts w:ascii="Calibri" w:hAnsi="Calibri" w:cs="Calibri"/>
        </w:rPr>
      </w:pPr>
    </w:p>
    <w:p w14:paraId="3D79B62F" w14:textId="77777777" w:rsidR="00915AF2" w:rsidRDefault="00915AF2">
      <w:pPr>
        <w:rPr>
          <w:rFonts w:ascii="Calibri" w:hAnsi="Calibri" w:cs="Calibri"/>
        </w:rPr>
      </w:pPr>
    </w:p>
    <w:p w14:paraId="503FF021" w14:textId="77777777" w:rsidR="005E2E7B" w:rsidRPr="005E2E7B" w:rsidRDefault="005E2E7B">
      <w:pPr>
        <w:rPr>
          <w:rFonts w:ascii="Calibri" w:hAnsi="Calibri" w:cs="Calibri"/>
        </w:rPr>
      </w:pPr>
    </w:p>
    <w:p w14:paraId="7E9F3C7E" w14:textId="77777777" w:rsidR="005E2E7B" w:rsidRDefault="005E2E7B">
      <w:pPr>
        <w:rPr>
          <w:rFonts w:ascii="Calibri" w:hAnsi="Calibri" w:cs="Calibri"/>
        </w:rPr>
      </w:pPr>
      <w:r w:rsidRPr="005E2E7B">
        <w:rPr>
          <w:rFonts w:ascii="Calibri" w:hAnsi="Calibri" w:cs="Calibri"/>
        </w:rPr>
        <w:lastRenderedPageBreak/>
        <w:t>References</w:t>
      </w:r>
    </w:p>
    <w:p w14:paraId="511AE07E" w14:textId="71C8FEB5" w:rsidR="00915AF2" w:rsidRDefault="00915AF2" w:rsidP="00915AF2">
      <w:pPr>
        <w:rPr>
          <w:rFonts w:ascii="Calibri" w:hAnsi="Calibri" w:cs="Calibri"/>
        </w:rPr>
      </w:pPr>
      <w:r w:rsidRPr="00915AF2">
        <w:rPr>
          <w:rFonts w:ascii="Calibri" w:hAnsi="Calibri" w:cs="Calibri"/>
        </w:rPr>
        <w:t xml:space="preserve">Brooks, S., Rubin, G.J. and Greenberg, N. (2019) 'Managing traumatic stress in the workplace', </w:t>
      </w:r>
      <w:r w:rsidRPr="00915AF2">
        <w:rPr>
          <w:rFonts w:ascii="Calibri" w:hAnsi="Calibri" w:cs="Calibri"/>
          <w:i/>
          <w:iCs/>
        </w:rPr>
        <w:t>Occupational Medicine</w:t>
      </w:r>
      <w:r w:rsidRPr="00915AF2">
        <w:rPr>
          <w:rFonts w:ascii="Calibri" w:hAnsi="Calibri" w:cs="Calibri"/>
        </w:rPr>
        <w:t xml:space="preserve">, 69(1), pp. 2-4. Available at: </w:t>
      </w:r>
      <w:hyperlink r:id="rId4" w:tgtFrame="_new" w:history="1">
        <w:r w:rsidRPr="00915AF2">
          <w:rPr>
            <w:rStyle w:val="Hyperlink"/>
            <w:rFonts w:ascii="Calibri" w:hAnsi="Calibri" w:cs="Calibri"/>
          </w:rPr>
          <w:t>https://doi.org/10.1093/occmed/kqy146</w:t>
        </w:r>
      </w:hyperlink>
      <w:r w:rsidRPr="00915AF2">
        <w:rPr>
          <w:rFonts w:ascii="Calibri" w:hAnsi="Calibri" w:cs="Calibri"/>
        </w:rPr>
        <w:t xml:space="preserve"> [Accessed: 27 May 2024].</w:t>
      </w:r>
    </w:p>
    <w:p w14:paraId="293B7F2F" w14:textId="77777777" w:rsidR="00915AF2" w:rsidRPr="00915AF2" w:rsidRDefault="00915AF2" w:rsidP="00915AF2">
      <w:pPr>
        <w:rPr>
          <w:rFonts w:ascii="Calibri" w:hAnsi="Calibri" w:cs="Calibri"/>
        </w:rPr>
      </w:pPr>
    </w:p>
    <w:p w14:paraId="0F2329B4" w14:textId="49076E8A" w:rsidR="00915AF2" w:rsidRDefault="00915AF2" w:rsidP="00915AF2">
      <w:pPr>
        <w:rPr>
          <w:rFonts w:ascii="Calibri" w:hAnsi="Calibri" w:cs="Calibri"/>
        </w:rPr>
      </w:pPr>
      <w:r w:rsidRPr="00915AF2">
        <w:rPr>
          <w:rFonts w:ascii="Calibri" w:hAnsi="Calibri" w:cs="Calibri"/>
        </w:rPr>
        <w:t xml:space="preserve">Coursera (2024) 'What Is Professional Development and What Are the Benefits?', </w:t>
      </w:r>
      <w:r w:rsidRPr="00915AF2">
        <w:rPr>
          <w:rFonts w:ascii="Calibri" w:hAnsi="Calibri" w:cs="Calibri"/>
          <w:i/>
          <w:iCs/>
        </w:rPr>
        <w:t>Coursera</w:t>
      </w:r>
      <w:r w:rsidRPr="00915AF2">
        <w:rPr>
          <w:rFonts w:ascii="Calibri" w:hAnsi="Calibri" w:cs="Calibri"/>
        </w:rPr>
        <w:t xml:space="preserve">. Available at: </w:t>
      </w:r>
      <w:hyperlink r:id="rId5" w:tgtFrame="_new" w:history="1">
        <w:r w:rsidRPr="00915AF2">
          <w:rPr>
            <w:rStyle w:val="Hyperlink"/>
            <w:rFonts w:ascii="Calibri" w:hAnsi="Calibri" w:cs="Calibri"/>
          </w:rPr>
          <w:t>https://www.coursera.org/enterprise/articles/what-is-professional-development</w:t>
        </w:r>
      </w:hyperlink>
      <w:r w:rsidRPr="00915AF2">
        <w:rPr>
          <w:rFonts w:ascii="Calibri" w:hAnsi="Calibri" w:cs="Calibri"/>
        </w:rPr>
        <w:t xml:space="preserve"> [Accessed: 28 May 2024].</w:t>
      </w:r>
    </w:p>
    <w:p w14:paraId="70E6E2C2" w14:textId="77777777" w:rsidR="00915AF2" w:rsidRPr="00915AF2" w:rsidRDefault="00915AF2" w:rsidP="00915AF2">
      <w:pPr>
        <w:rPr>
          <w:rFonts w:ascii="Calibri" w:hAnsi="Calibri" w:cs="Calibri"/>
        </w:rPr>
      </w:pPr>
    </w:p>
    <w:p w14:paraId="53038F65" w14:textId="2ED0BEFF" w:rsidR="00915AF2" w:rsidRDefault="00915AF2" w:rsidP="00915AF2">
      <w:pPr>
        <w:rPr>
          <w:rFonts w:ascii="Calibri" w:hAnsi="Calibri" w:cs="Calibri"/>
        </w:rPr>
      </w:pPr>
      <w:r w:rsidRPr="00915AF2">
        <w:rPr>
          <w:rFonts w:ascii="Calibri" w:hAnsi="Calibri" w:cs="Calibri"/>
        </w:rPr>
        <w:t xml:space="preserve">Danna, K. and Griffin, R.W. (1999) 'Health and Well-Being in the Workplace: A Review and Synthesis of the Literature', </w:t>
      </w:r>
      <w:r w:rsidRPr="00915AF2">
        <w:rPr>
          <w:rFonts w:ascii="Calibri" w:hAnsi="Calibri" w:cs="Calibri"/>
          <w:i/>
          <w:iCs/>
        </w:rPr>
        <w:t>Journal of Management</w:t>
      </w:r>
      <w:r w:rsidRPr="00915AF2">
        <w:rPr>
          <w:rFonts w:ascii="Calibri" w:hAnsi="Calibri" w:cs="Calibri"/>
        </w:rPr>
        <w:t>, 25(3), pp. 357-384. Available at: https://doi.org/10.1177/014920639902500305 [Accessed: 29 May 2024].</w:t>
      </w:r>
    </w:p>
    <w:p w14:paraId="6D5A221E" w14:textId="77777777" w:rsidR="00915AF2" w:rsidRPr="00915AF2" w:rsidRDefault="00915AF2" w:rsidP="00915AF2">
      <w:pPr>
        <w:rPr>
          <w:rFonts w:ascii="Calibri" w:hAnsi="Calibri" w:cs="Calibri"/>
        </w:rPr>
      </w:pPr>
    </w:p>
    <w:p w14:paraId="4AA0E796" w14:textId="5B25E3AA" w:rsidR="00915AF2" w:rsidRDefault="00915AF2" w:rsidP="00915AF2">
      <w:pPr>
        <w:rPr>
          <w:rFonts w:ascii="Calibri" w:hAnsi="Calibri" w:cs="Calibri"/>
        </w:rPr>
      </w:pPr>
      <w:r w:rsidRPr="00915AF2">
        <w:rPr>
          <w:rFonts w:ascii="Calibri" w:hAnsi="Calibri" w:cs="Calibri"/>
        </w:rPr>
        <w:t xml:space="preserve">Goodman, H., Papastavrou Brooks, C., Price, O. and Barley, E.A. (2020) 'Barriers and facilitators to the effective de-escalation of conflict behaviours in forensic high-secure settings: a qualitative study', </w:t>
      </w:r>
      <w:r w:rsidRPr="00915AF2">
        <w:rPr>
          <w:rFonts w:ascii="Calibri" w:hAnsi="Calibri" w:cs="Calibri"/>
          <w:i/>
          <w:iCs/>
        </w:rPr>
        <w:t>International Journal of Mental Health Systems</w:t>
      </w:r>
      <w:r w:rsidRPr="00915AF2">
        <w:rPr>
          <w:rFonts w:ascii="Calibri" w:hAnsi="Calibri" w:cs="Calibri"/>
        </w:rPr>
        <w:t xml:space="preserve">, 14(1). Available at: </w:t>
      </w:r>
      <w:hyperlink r:id="rId6" w:tgtFrame="_new" w:history="1">
        <w:r w:rsidRPr="00915AF2">
          <w:rPr>
            <w:rStyle w:val="Hyperlink"/>
            <w:rFonts w:ascii="Calibri" w:hAnsi="Calibri" w:cs="Calibri"/>
          </w:rPr>
          <w:t>https://doi.org/10.1186/s13033-020-00392-5</w:t>
        </w:r>
      </w:hyperlink>
      <w:r w:rsidRPr="00915AF2">
        <w:rPr>
          <w:rFonts w:ascii="Calibri" w:hAnsi="Calibri" w:cs="Calibri"/>
        </w:rPr>
        <w:t xml:space="preserve"> [Accessed: 30 May 2024].</w:t>
      </w:r>
    </w:p>
    <w:p w14:paraId="4BD186E3" w14:textId="77777777" w:rsidR="00915AF2" w:rsidRPr="00915AF2" w:rsidRDefault="00915AF2" w:rsidP="00915AF2">
      <w:pPr>
        <w:rPr>
          <w:rFonts w:ascii="Calibri" w:hAnsi="Calibri" w:cs="Calibri"/>
        </w:rPr>
      </w:pPr>
    </w:p>
    <w:p w14:paraId="19E153CA" w14:textId="437CB584" w:rsidR="00915AF2" w:rsidRDefault="00915AF2" w:rsidP="00915AF2">
      <w:pPr>
        <w:rPr>
          <w:rFonts w:ascii="Calibri" w:hAnsi="Calibri" w:cs="Calibri"/>
        </w:rPr>
      </w:pPr>
      <w:r w:rsidRPr="00915AF2">
        <w:rPr>
          <w:rFonts w:ascii="Calibri" w:hAnsi="Calibri" w:cs="Calibri"/>
        </w:rPr>
        <w:t xml:space="preserve">Grunberg, N.E., </w:t>
      </w:r>
      <w:proofErr w:type="spellStart"/>
      <w:r w:rsidRPr="00915AF2">
        <w:rPr>
          <w:rFonts w:ascii="Calibri" w:hAnsi="Calibri" w:cs="Calibri"/>
        </w:rPr>
        <w:t>McManigle</w:t>
      </w:r>
      <w:proofErr w:type="spellEnd"/>
      <w:r w:rsidRPr="00915AF2">
        <w:rPr>
          <w:rFonts w:ascii="Calibri" w:hAnsi="Calibri" w:cs="Calibri"/>
        </w:rPr>
        <w:t xml:space="preserve">, J.E. and Barry, E.S. (2020) 'Using Social Psychology Principles to Develop Emotionally Intelligent Healthcare Leaders', </w:t>
      </w:r>
      <w:r w:rsidRPr="00915AF2">
        <w:rPr>
          <w:rFonts w:ascii="Calibri" w:hAnsi="Calibri" w:cs="Calibri"/>
          <w:i/>
          <w:iCs/>
        </w:rPr>
        <w:t>Frontiers in Psychology</w:t>
      </w:r>
      <w:r w:rsidRPr="00915AF2">
        <w:rPr>
          <w:rFonts w:ascii="Calibri" w:hAnsi="Calibri" w:cs="Calibri"/>
        </w:rPr>
        <w:t xml:space="preserve">, 11. Available at: </w:t>
      </w:r>
      <w:hyperlink r:id="rId7" w:tgtFrame="_new" w:history="1">
        <w:r w:rsidRPr="00915AF2">
          <w:rPr>
            <w:rStyle w:val="Hyperlink"/>
            <w:rFonts w:ascii="Calibri" w:hAnsi="Calibri" w:cs="Calibri"/>
          </w:rPr>
          <w:t>https://doi.org/10.3389/fpsyg.2020.01917</w:t>
        </w:r>
      </w:hyperlink>
      <w:r w:rsidRPr="00915AF2">
        <w:rPr>
          <w:rFonts w:ascii="Calibri" w:hAnsi="Calibri" w:cs="Calibri"/>
        </w:rPr>
        <w:t xml:space="preserve"> [Accessed: 31 May 2024].</w:t>
      </w:r>
    </w:p>
    <w:p w14:paraId="22CDEF23" w14:textId="77777777" w:rsidR="00915AF2" w:rsidRPr="00915AF2" w:rsidRDefault="00915AF2" w:rsidP="00915AF2">
      <w:pPr>
        <w:rPr>
          <w:rFonts w:ascii="Calibri" w:hAnsi="Calibri" w:cs="Calibri"/>
        </w:rPr>
      </w:pPr>
    </w:p>
    <w:p w14:paraId="74582E3E" w14:textId="73A52A41" w:rsidR="00915AF2" w:rsidRDefault="00915AF2" w:rsidP="00915AF2">
      <w:pPr>
        <w:rPr>
          <w:rFonts w:ascii="Calibri" w:hAnsi="Calibri" w:cs="Calibri"/>
        </w:rPr>
      </w:pPr>
      <w:r w:rsidRPr="00915AF2">
        <w:rPr>
          <w:rFonts w:ascii="Calibri" w:hAnsi="Calibri" w:cs="Calibri"/>
        </w:rPr>
        <w:t xml:space="preserve">Helms, M.M. and Nixon, J. (2010) 'Exploring SWOT analysis – where are we now?', </w:t>
      </w:r>
      <w:r w:rsidRPr="00915AF2">
        <w:rPr>
          <w:rFonts w:ascii="Calibri" w:hAnsi="Calibri" w:cs="Calibri"/>
          <w:i/>
          <w:iCs/>
        </w:rPr>
        <w:t>Journal of Strategy and Management</w:t>
      </w:r>
      <w:r w:rsidRPr="00915AF2">
        <w:rPr>
          <w:rFonts w:ascii="Calibri" w:hAnsi="Calibri" w:cs="Calibri"/>
        </w:rPr>
        <w:t xml:space="preserve">, 3(3), pp. 215-251. Available at: </w:t>
      </w:r>
      <w:hyperlink r:id="rId8" w:tgtFrame="_new" w:history="1">
        <w:r w:rsidRPr="00915AF2">
          <w:rPr>
            <w:rStyle w:val="Hyperlink"/>
            <w:rFonts w:ascii="Calibri" w:hAnsi="Calibri" w:cs="Calibri"/>
          </w:rPr>
          <w:t>https://doi.org/10.1108/17554251011064837</w:t>
        </w:r>
      </w:hyperlink>
      <w:r w:rsidRPr="00915AF2">
        <w:rPr>
          <w:rFonts w:ascii="Calibri" w:hAnsi="Calibri" w:cs="Calibri"/>
        </w:rPr>
        <w:t xml:space="preserve"> [Accessed: 31 May 2024].</w:t>
      </w:r>
    </w:p>
    <w:p w14:paraId="4C4EF071" w14:textId="77777777" w:rsidR="00915AF2" w:rsidRPr="00915AF2" w:rsidRDefault="00915AF2" w:rsidP="00915AF2">
      <w:pPr>
        <w:rPr>
          <w:rFonts w:ascii="Calibri" w:hAnsi="Calibri" w:cs="Calibri"/>
        </w:rPr>
      </w:pPr>
    </w:p>
    <w:p w14:paraId="75F2F3C3" w14:textId="614319CE" w:rsidR="00915AF2" w:rsidRDefault="00915AF2" w:rsidP="00915AF2">
      <w:pPr>
        <w:rPr>
          <w:rFonts w:ascii="Calibri" w:hAnsi="Calibri" w:cs="Calibri"/>
        </w:rPr>
      </w:pPr>
      <w:proofErr w:type="spellStart"/>
      <w:r w:rsidRPr="00915AF2">
        <w:rPr>
          <w:rFonts w:ascii="Calibri" w:hAnsi="Calibri" w:cs="Calibri"/>
        </w:rPr>
        <w:t>Kozhevnikov</w:t>
      </w:r>
      <w:proofErr w:type="spellEnd"/>
      <w:r w:rsidRPr="00915AF2">
        <w:rPr>
          <w:rFonts w:ascii="Calibri" w:hAnsi="Calibri" w:cs="Calibri"/>
        </w:rPr>
        <w:t xml:space="preserve">, M., Evans, C. and </w:t>
      </w:r>
      <w:proofErr w:type="spellStart"/>
      <w:r w:rsidRPr="00915AF2">
        <w:rPr>
          <w:rFonts w:ascii="Calibri" w:hAnsi="Calibri" w:cs="Calibri"/>
        </w:rPr>
        <w:t>Kosslyn</w:t>
      </w:r>
      <w:proofErr w:type="spellEnd"/>
      <w:r w:rsidRPr="00915AF2">
        <w:rPr>
          <w:rFonts w:ascii="Calibri" w:hAnsi="Calibri" w:cs="Calibri"/>
        </w:rPr>
        <w:t xml:space="preserve">, S.M. (2014) 'Cognitive Style as Environmentally Sensitive Individual Differences in Cognition: A Modern Synthesis and Applications in Education, Business, and Management', </w:t>
      </w:r>
      <w:r w:rsidRPr="00915AF2">
        <w:rPr>
          <w:rFonts w:ascii="Calibri" w:hAnsi="Calibri" w:cs="Calibri"/>
          <w:i/>
          <w:iCs/>
        </w:rPr>
        <w:t>Psychological Science in the Public Interest</w:t>
      </w:r>
      <w:r w:rsidRPr="00915AF2">
        <w:rPr>
          <w:rFonts w:ascii="Calibri" w:hAnsi="Calibri" w:cs="Calibri"/>
        </w:rPr>
        <w:t>, 15(1), pp. 3-33. Available at: https://doi.org/10.1177/1529100614525555 [Accessed: 27 May 2024].</w:t>
      </w:r>
    </w:p>
    <w:p w14:paraId="224B2F75" w14:textId="77777777" w:rsidR="00915AF2" w:rsidRPr="00915AF2" w:rsidRDefault="00915AF2" w:rsidP="00915AF2">
      <w:pPr>
        <w:rPr>
          <w:rFonts w:ascii="Calibri" w:hAnsi="Calibri" w:cs="Calibri"/>
        </w:rPr>
      </w:pPr>
    </w:p>
    <w:p w14:paraId="047E679F" w14:textId="3A987A15" w:rsidR="00915AF2" w:rsidRDefault="00915AF2" w:rsidP="00915AF2">
      <w:pPr>
        <w:rPr>
          <w:rFonts w:ascii="Calibri" w:hAnsi="Calibri" w:cs="Calibri"/>
        </w:rPr>
      </w:pPr>
      <w:r w:rsidRPr="00915AF2">
        <w:rPr>
          <w:rFonts w:ascii="Calibri" w:hAnsi="Calibri" w:cs="Calibri"/>
        </w:rPr>
        <w:t xml:space="preserve">Muñoz, D.C. and </w:t>
      </w:r>
      <w:proofErr w:type="spellStart"/>
      <w:r w:rsidRPr="00915AF2">
        <w:rPr>
          <w:rFonts w:ascii="Calibri" w:hAnsi="Calibri" w:cs="Calibri"/>
        </w:rPr>
        <w:t>Valiente</w:t>
      </w:r>
      <w:proofErr w:type="spellEnd"/>
      <w:r w:rsidRPr="00915AF2">
        <w:rPr>
          <w:rFonts w:ascii="Calibri" w:hAnsi="Calibri" w:cs="Calibri"/>
        </w:rPr>
        <w:t xml:space="preserve">, A.D.-C. (2023) 'A novel botnet attack detection for IoT networks based on communication graphs', </w:t>
      </w:r>
      <w:r w:rsidRPr="00915AF2">
        <w:rPr>
          <w:rFonts w:ascii="Calibri" w:hAnsi="Calibri" w:cs="Calibri"/>
          <w:i/>
          <w:iCs/>
        </w:rPr>
        <w:t>Cybersecurity</w:t>
      </w:r>
      <w:r w:rsidRPr="00915AF2">
        <w:rPr>
          <w:rFonts w:ascii="Calibri" w:hAnsi="Calibri" w:cs="Calibri"/>
        </w:rPr>
        <w:t xml:space="preserve">, 6(1). Available at: </w:t>
      </w:r>
      <w:hyperlink r:id="rId9" w:tgtFrame="_new" w:history="1">
        <w:r w:rsidRPr="00915AF2">
          <w:rPr>
            <w:rStyle w:val="Hyperlink"/>
            <w:rFonts w:ascii="Calibri" w:hAnsi="Calibri" w:cs="Calibri"/>
          </w:rPr>
          <w:t>https://doi.org/10.1186/s42400-023-00169-6</w:t>
        </w:r>
      </w:hyperlink>
      <w:r w:rsidRPr="00915AF2">
        <w:rPr>
          <w:rFonts w:ascii="Calibri" w:hAnsi="Calibri" w:cs="Calibri"/>
        </w:rPr>
        <w:t xml:space="preserve"> [Accessed: 28 May 2024].</w:t>
      </w:r>
    </w:p>
    <w:p w14:paraId="76426FF5" w14:textId="77777777" w:rsidR="00915AF2" w:rsidRPr="00915AF2" w:rsidRDefault="00915AF2" w:rsidP="00915AF2">
      <w:pPr>
        <w:rPr>
          <w:rFonts w:ascii="Calibri" w:hAnsi="Calibri" w:cs="Calibri"/>
        </w:rPr>
      </w:pPr>
    </w:p>
    <w:p w14:paraId="0059E1E8" w14:textId="61218B7D" w:rsidR="00915AF2" w:rsidRDefault="00915AF2" w:rsidP="00915AF2">
      <w:pPr>
        <w:rPr>
          <w:rFonts w:ascii="Calibri" w:hAnsi="Calibri" w:cs="Calibri"/>
        </w:rPr>
      </w:pPr>
      <w:r w:rsidRPr="00915AF2">
        <w:rPr>
          <w:rFonts w:ascii="Calibri" w:hAnsi="Calibri" w:cs="Calibri"/>
        </w:rPr>
        <w:t xml:space="preserve">Price-Dowd, C.F.J. (2020) 'Your leadership style: why understanding yourself matters', </w:t>
      </w:r>
      <w:r w:rsidRPr="00915AF2">
        <w:rPr>
          <w:rFonts w:ascii="Calibri" w:hAnsi="Calibri" w:cs="Calibri"/>
          <w:i/>
          <w:iCs/>
        </w:rPr>
        <w:t>BMJ Leader</w:t>
      </w:r>
      <w:r w:rsidRPr="00915AF2">
        <w:rPr>
          <w:rFonts w:ascii="Calibri" w:hAnsi="Calibri" w:cs="Calibri"/>
        </w:rPr>
        <w:t xml:space="preserve">, 4(4), pp. 165-167. Available at: </w:t>
      </w:r>
      <w:hyperlink r:id="rId10" w:tgtFrame="_new" w:history="1">
        <w:r w:rsidRPr="00915AF2">
          <w:rPr>
            <w:rStyle w:val="Hyperlink"/>
            <w:rFonts w:ascii="Calibri" w:hAnsi="Calibri" w:cs="Calibri"/>
          </w:rPr>
          <w:t>https://doi.org/10.1136/leader-2020-000218</w:t>
        </w:r>
      </w:hyperlink>
      <w:r w:rsidRPr="00915AF2">
        <w:rPr>
          <w:rFonts w:ascii="Calibri" w:hAnsi="Calibri" w:cs="Calibri"/>
        </w:rPr>
        <w:t xml:space="preserve"> [Accessed: 29 May 2024].</w:t>
      </w:r>
    </w:p>
    <w:p w14:paraId="14B80170" w14:textId="77777777" w:rsidR="00915AF2" w:rsidRPr="00915AF2" w:rsidRDefault="00915AF2" w:rsidP="00915AF2">
      <w:pPr>
        <w:rPr>
          <w:rFonts w:ascii="Calibri" w:hAnsi="Calibri" w:cs="Calibri"/>
        </w:rPr>
      </w:pPr>
    </w:p>
    <w:p w14:paraId="6F6E1761" w14:textId="5943E45C" w:rsidR="00915AF2" w:rsidRDefault="00915AF2" w:rsidP="00915AF2">
      <w:pPr>
        <w:rPr>
          <w:rFonts w:ascii="Calibri" w:hAnsi="Calibri" w:cs="Calibri"/>
        </w:rPr>
      </w:pPr>
      <w:proofErr w:type="spellStart"/>
      <w:r w:rsidRPr="00915AF2">
        <w:rPr>
          <w:rFonts w:ascii="Calibri" w:hAnsi="Calibri" w:cs="Calibri"/>
        </w:rPr>
        <w:t>Raiyn</w:t>
      </w:r>
      <w:proofErr w:type="spellEnd"/>
      <w:r w:rsidRPr="00915AF2">
        <w:rPr>
          <w:rFonts w:ascii="Calibri" w:hAnsi="Calibri" w:cs="Calibri"/>
        </w:rPr>
        <w:t xml:space="preserve">, J. (2016) 'The Role of Visual Learning in Improving Students’ High-Order Thinking Skills', </w:t>
      </w:r>
      <w:r w:rsidRPr="00915AF2">
        <w:rPr>
          <w:rFonts w:ascii="Calibri" w:hAnsi="Calibri" w:cs="Calibri"/>
          <w:i/>
          <w:iCs/>
        </w:rPr>
        <w:t>Journal of Education and Practice</w:t>
      </w:r>
      <w:r w:rsidRPr="00915AF2">
        <w:rPr>
          <w:rFonts w:ascii="Calibri" w:hAnsi="Calibri" w:cs="Calibri"/>
        </w:rPr>
        <w:t xml:space="preserve">, 7, pp. 115-121. Available at: </w:t>
      </w:r>
      <w:hyperlink r:id="rId11" w:tgtFrame="_new" w:history="1">
        <w:r w:rsidRPr="00915AF2">
          <w:rPr>
            <w:rStyle w:val="Hyperlink"/>
            <w:rFonts w:ascii="Calibri" w:hAnsi="Calibri" w:cs="Calibri"/>
          </w:rPr>
          <w:t>https://files.eric.ed.gov/fulltext/EJ1112894.pdf</w:t>
        </w:r>
      </w:hyperlink>
      <w:r w:rsidRPr="00915AF2">
        <w:rPr>
          <w:rFonts w:ascii="Calibri" w:hAnsi="Calibri" w:cs="Calibri"/>
        </w:rPr>
        <w:t xml:space="preserve"> [Accessed: 30 May 2024].</w:t>
      </w:r>
    </w:p>
    <w:p w14:paraId="6C4EC64B" w14:textId="77777777" w:rsidR="005E2E7B" w:rsidRDefault="005E2E7B">
      <w:pPr>
        <w:rPr>
          <w:rFonts w:ascii="Calibri" w:hAnsi="Calibri" w:cs="Calibri"/>
        </w:rPr>
      </w:pPr>
    </w:p>
    <w:p w14:paraId="5124F755" w14:textId="59902D40" w:rsidR="00E13193" w:rsidRPr="00915AF2" w:rsidRDefault="005E2E7B" w:rsidP="00E13193">
      <w:pPr>
        <w:pStyle w:val="EndNoteBibliography"/>
        <w:rPr>
          <w:noProof/>
          <w:color w:val="FFFFFF" w:themeColor="background1"/>
          <w:sz w:val="2"/>
          <w:szCs w:val="2"/>
        </w:rPr>
      </w:pPr>
      <w:r w:rsidRPr="00915AF2">
        <w:rPr>
          <w:rFonts w:ascii="Calibri" w:hAnsi="Calibri" w:cs="Calibri"/>
          <w:color w:val="FFFFFF" w:themeColor="background1"/>
          <w:sz w:val="2"/>
          <w:szCs w:val="2"/>
        </w:rPr>
        <w:fldChar w:fldCharType="begin"/>
      </w:r>
      <w:r w:rsidRPr="00915AF2">
        <w:rPr>
          <w:rFonts w:ascii="Calibri" w:hAnsi="Calibri" w:cs="Calibri"/>
          <w:color w:val="FFFFFF" w:themeColor="background1"/>
          <w:sz w:val="2"/>
          <w:szCs w:val="2"/>
        </w:rPr>
        <w:instrText xml:space="preserve"> ADDIN EN.REFLIST </w:instrText>
      </w:r>
      <w:r w:rsidRPr="00915AF2">
        <w:rPr>
          <w:rFonts w:ascii="Calibri" w:hAnsi="Calibri" w:cs="Calibri"/>
          <w:color w:val="FFFFFF" w:themeColor="background1"/>
          <w:sz w:val="2"/>
          <w:szCs w:val="2"/>
        </w:rPr>
        <w:fldChar w:fldCharType="separate"/>
      </w:r>
      <w:r w:rsidR="00E13193" w:rsidRPr="00915AF2">
        <w:rPr>
          <w:noProof/>
          <w:color w:val="FFFFFF" w:themeColor="background1"/>
          <w:sz w:val="2"/>
          <w:szCs w:val="2"/>
        </w:rPr>
        <w:t xml:space="preserve">Brooks, S., Rubin, G. J. and Greenberg, N. 2019. Managing traumatic stress in the workplace. </w:t>
      </w:r>
      <w:r w:rsidR="00E13193" w:rsidRPr="00915AF2">
        <w:rPr>
          <w:i/>
          <w:noProof/>
          <w:color w:val="FFFFFF" w:themeColor="background1"/>
          <w:sz w:val="2"/>
          <w:szCs w:val="2"/>
        </w:rPr>
        <w:t>Occupational Medicine</w:t>
      </w:r>
      <w:r w:rsidR="00E13193" w:rsidRPr="00915AF2">
        <w:rPr>
          <w:noProof/>
          <w:color w:val="FFFFFF" w:themeColor="background1"/>
          <w:sz w:val="2"/>
          <w:szCs w:val="2"/>
        </w:rPr>
        <w:t xml:space="preserve"> 69(1), pp. 2-4. Available at: </w:t>
      </w:r>
      <w:hyperlink r:id="rId12" w:history="1">
        <w:r w:rsidR="00E13193" w:rsidRPr="00915AF2">
          <w:rPr>
            <w:rStyle w:val="Hyperlink"/>
            <w:noProof/>
            <w:color w:val="FFFFFF" w:themeColor="background1"/>
            <w:sz w:val="2"/>
            <w:szCs w:val="2"/>
          </w:rPr>
          <w:t>https://doi.org/10.1093/occmed/kqy146doi</w:t>
        </w:r>
      </w:hyperlink>
      <w:r w:rsidR="00E13193" w:rsidRPr="00915AF2">
        <w:rPr>
          <w:noProof/>
          <w:color w:val="FFFFFF" w:themeColor="background1"/>
          <w:sz w:val="2"/>
          <w:szCs w:val="2"/>
        </w:rPr>
        <w:t>: 10.1093/occmed/kqy146 [Accessed: 5/31/2024].</w:t>
      </w:r>
    </w:p>
    <w:p w14:paraId="07F39EB6" w14:textId="77777777" w:rsidR="00E13193" w:rsidRPr="00915AF2" w:rsidRDefault="00E13193" w:rsidP="00E13193">
      <w:pPr>
        <w:pStyle w:val="EndNoteBibliography"/>
        <w:rPr>
          <w:noProof/>
          <w:color w:val="FFFFFF" w:themeColor="background1"/>
          <w:sz w:val="2"/>
          <w:szCs w:val="2"/>
        </w:rPr>
      </w:pPr>
    </w:p>
    <w:p w14:paraId="01633E48" w14:textId="6A14BAF1"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Coursera. 2024. </w:t>
      </w:r>
      <w:r w:rsidRPr="00915AF2">
        <w:rPr>
          <w:i/>
          <w:noProof/>
          <w:color w:val="FFFFFF" w:themeColor="background1"/>
          <w:sz w:val="2"/>
          <w:szCs w:val="2"/>
        </w:rPr>
        <w:t>What Is Professional Development and What Are the Benefits? Coursera</w:t>
      </w:r>
      <w:r w:rsidRPr="00915AF2">
        <w:rPr>
          <w:noProof/>
          <w:color w:val="FFFFFF" w:themeColor="background1"/>
          <w:sz w:val="2"/>
          <w:szCs w:val="2"/>
        </w:rPr>
        <w:t xml:space="preserve">.  Available at: </w:t>
      </w:r>
      <w:hyperlink r:id="rId13" w:history="1">
        <w:r w:rsidRPr="00915AF2">
          <w:rPr>
            <w:rStyle w:val="Hyperlink"/>
            <w:noProof/>
            <w:color w:val="FFFFFF" w:themeColor="background1"/>
            <w:sz w:val="2"/>
            <w:szCs w:val="2"/>
          </w:rPr>
          <w:t>https://www.coursera.org/enterprise/articles/what-is-professional-development</w:t>
        </w:r>
      </w:hyperlink>
      <w:r w:rsidRPr="00915AF2">
        <w:rPr>
          <w:noProof/>
          <w:color w:val="FFFFFF" w:themeColor="background1"/>
          <w:sz w:val="2"/>
          <w:szCs w:val="2"/>
        </w:rPr>
        <w:t xml:space="preserve"> </w:t>
      </w:r>
    </w:p>
    <w:p w14:paraId="0F5CF377" w14:textId="77777777" w:rsidR="00E13193" w:rsidRPr="00915AF2" w:rsidRDefault="00E13193" w:rsidP="00E13193">
      <w:pPr>
        <w:pStyle w:val="EndNoteBibliography"/>
        <w:rPr>
          <w:noProof/>
          <w:color w:val="FFFFFF" w:themeColor="background1"/>
          <w:sz w:val="2"/>
          <w:szCs w:val="2"/>
        </w:rPr>
      </w:pPr>
    </w:p>
    <w:p w14:paraId="3C224C4D" w14:textId="34BC2E5C"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Danna, K. and Griffin, R. W. 1999. Health and Well-Being in the Workplace: A Review and Synthesis of the Literature. </w:t>
      </w:r>
      <w:r w:rsidRPr="00915AF2">
        <w:rPr>
          <w:i/>
          <w:noProof/>
          <w:color w:val="FFFFFF" w:themeColor="background1"/>
          <w:sz w:val="2"/>
          <w:szCs w:val="2"/>
        </w:rPr>
        <w:t>Journal of Management</w:t>
      </w:r>
      <w:r w:rsidRPr="00915AF2">
        <w:rPr>
          <w:noProof/>
          <w:color w:val="FFFFFF" w:themeColor="background1"/>
          <w:sz w:val="2"/>
          <w:szCs w:val="2"/>
        </w:rPr>
        <w:t xml:space="preserve"> 25(3), pp. 357-384. Available at: </w:t>
      </w:r>
      <w:hyperlink r:id="rId14" w:history="1">
        <w:r w:rsidRPr="00915AF2">
          <w:rPr>
            <w:rStyle w:val="Hyperlink"/>
            <w:noProof/>
            <w:color w:val="FFFFFF" w:themeColor="background1"/>
            <w:sz w:val="2"/>
            <w:szCs w:val="2"/>
          </w:rPr>
          <w:t>https://journals.sagepub.com/doi/abs/10.1177/014920639902500305doi</w:t>
        </w:r>
      </w:hyperlink>
      <w:r w:rsidRPr="00915AF2">
        <w:rPr>
          <w:noProof/>
          <w:color w:val="FFFFFF" w:themeColor="background1"/>
          <w:sz w:val="2"/>
          <w:szCs w:val="2"/>
        </w:rPr>
        <w:t xml:space="preserve">: 10.1177/014920639902500305 </w:t>
      </w:r>
    </w:p>
    <w:p w14:paraId="4C5C7BE9" w14:textId="77777777" w:rsidR="00E13193" w:rsidRPr="00915AF2" w:rsidRDefault="00E13193" w:rsidP="00E13193">
      <w:pPr>
        <w:pStyle w:val="EndNoteBibliography"/>
        <w:rPr>
          <w:noProof/>
          <w:color w:val="FFFFFF" w:themeColor="background1"/>
          <w:sz w:val="2"/>
          <w:szCs w:val="2"/>
        </w:rPr>
      </w:pPr>
    </w:p>
    <w:p w14:paraId="373A9A97" w14:textId="7646CCA4"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Goodman, H., Papastavrou Brooks, C., Price, O. and Barley, E. A. 2020. Barriers and facilitators to the effective de-escalation of conflict behaviours in forensic high-secure settings: a qualitative study. </w:t>
      </w:r>
      <w:r w:rsidRPr="00915AF2">
        <w:rPr>
          <w:i/>
          <w:noProof/>
          <w:color w:val="FFFFFF" w:themeColor="background1"/>
          <w:sz w:val="2"/>
          <w:szCs w:val="2"/>
        </w:rPr>
        <w:t>International Journal of Mental Health Systems</w:t>
      </w:r>
      <w:r w:rsidRPr="00915AF2">
        <w:rPr>
          <w:noProof/>
          <w:color w:val="FFFFFF" w:themeColor="background1"/>
          <w:sz w:val="2"/>
          <w:szCs w:val="2"/>
        </w:rPr>
        <w:t xml:space="preserve"> 14(1). Available at: </w:t>
      </w:r>
      <w:hyperlink r:id="rId15" w:history="1">
        <w:r w:rsidRPr="00915AF2">
          <w:rPr>
            <w:rStyle w:val="Hyperlink"/>
            <w:noProof/>
            <w:color w:val="FFFFFF" w:themeColor="background1"/>
            <w:sz w:val="2"/>
            <w:szCs w:val="2"/>
          </w:rPr>
          <w:t>https://dx.doi.org/10.1186/s13033-020-00392-5doi</w:t>
        </w:r>
      </w:hyperlink>
      <w:r w:rsidRPr="00915AF2">
        <w:rPr>
          <w:noProof/>
          <w:color w:val="FFFFFF" w:themeColor="background1"/>
          <w:sz w:val="2"/>
          <w:szCs w:val="2"/>
        </w:rPr>
        <w:t xml:space="preserve">: 10.1186/s13033-020-00392-5 </w:t>
      </w:r>
    </w:p>
    <w:p w14:paraId="4054CBED" w14:textId="77777777" w:rsidR="00E13193" w:rsidRPr="00915AF2" w:rsidRDefault="00E13193" w:rsidP="00E13193">
      <w:pPr>
        <w:pStyle w:val="EndNoteBibliography"/>
        <w:rPr>
          <w:noProof/>
          <w:color w:val="FFFFFF" w:themeColor="background1"/>
          <w:sz w:val="2"/>
          <w:szCs w:val="2"/>
        </w:rPr>
      </w:pPr>
    </w:p>
    <w:p w14:paraId="3ECF3FD6" w14:textId="1D3EBB60"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Grunberg, N. E., McManigle, J. E. and Barry, E. S. 2020. Using Social Psychology Principles to Develop Emotionally Intelligent Healthcare Leaders. </w:t>
      </w:r>
      <w:r w:rsidRPr="00915AF2">
        <w:rPr>
          <w:i/>
          <w:noProof/>
          <w:color w:val="FFFFFF" w:themeColor="background1"/>
          <w:sz w:val="2"/>
          <w:szCs w:val="2"/>
        </w:rPr>
        <w:t>Frontiers in Psychology</w:t>
      </w:r>
      <w:r w:rsidRPr="00915AF2">
        <w:rPr>
          <w:noProof/>
          <w:color w:val="FFFFFF" w:themeColor="background1"/>
          <w:sz w:val="2"/>
          <w:szCs w:val="2"/>
        </w:rPr>
        <w:t xml:space="preserve"> 11. Available at: </w:t>
      </w:r>
      <w:hyperlink r:id="rId16" w:history="1">
        <w:r w:rsidRPr="00915AF2">
          <w:rPr>
            <w:rStyle w:val="Hyperlink"/>
            <w:noProof/>
            <w:color w:val="FFFFFF" w:themeColor="background1"/>
            <w:sz w:val="2"/>
            <w:szCs w:val="2"/>
          </w:rPr>
          <w:t>https://dx.doi.org/10.3389/fpsyg.2020.01917doi</w:t>
        </w:r>
      </w:hyperlink>
      <w:r w:rsidRPr="00915AF2">
        <w:rPr>
          <w:noProof/>
          <w:color w:val="FFFFFF" w:themeColor="background1"/>
          <w:sz w:val="2"/>
          <w:szCs w:val="2"/>
        </w:rPr>
        <w:t xml:space="preserve">: 10.3389/fpsyg.2020.01917 </w:t>
      </w:r>
    </w:p>
    <w:p w14:paraId="76C3309F" w14:textId="77777777" w:rsidR="00E13193" w:rsidRPr="00915AF2" w:rsidRDefault="00E13193" w:rsidP="00E13193">
      <w:pPr>
        <w:pStyle w:val="EndNoteBibliography"/>
        <w:rPr>
          <w:noProof/>
          <w:color w:val="FFFFFF" w:themeColor="background1"/>
          <w:sz w:val="2"/>
          <w:szCs w:val="2"/>
        </w:rPr>
      </w:pPr>
    </w:p>
    <w:p w14:paraId="16E376F0" w14:textId="250A2A7D"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Helms, M. M. and Nixon, J. 2010. Exploring SWOT analysis – where are we now? </w:t>
      </w:r>
      <w:r w:rsidRPr="00915AF2">
        <w:rPr>
          <w:i/>
          <w:noProof/>
          <w:color w:val="FFFFFF" w:themeColor="background1"/>
          <w:sz w:val="2"/>
          <w:szCs w:val="2"/>
        </w:rPr>
        <w:t>Journal of Strategy and Management</w:t>
      </w:r>
      <w:r w:rsidRPr="00915AF2">
        <w:rPr>
          <w:noProof/>
          <w:color w:val="FFFFFF" w:themeColor="background1"/>
          <w:sz w:val="2"/>
          <w:szCs w:val="2"/>
        </w:rPr>
        <w:t xml:space="preserve"> 3(3), pp. 215-251. Available at: </w:t>
      </w:r>
      <w:hyperlink r:id="rId17" w:history="1">
        <w:r w:rsidRPr="00915AF2">
          <w:rPr>
            <w:rStyle w:val="Hyperlink"/>
            <w:noProof/>
            <w:color w:val="FFFFFF" w:themeColor="background1"/>
            <w:sz w:val="2"/>
            <w:szCs w:val="2"/>
          </w:rPr>
          <w:t>https://doi.org/10.1108/17554251011064837doi</w:t>
        </w:r>
      </w:hyperlink>
      <w:r w:rsidRPr="00915AF2">
        <w:rPr>
          <w:noProof/>
          <w:color w:val="FFFFFF" w:themeColor="background1"/>
          <w:sz w:val="2"/>
          <w:szCs w:val="2"/>
        </w:rPr>
        <w:t>: 10.1108/17554251011064837 [Accessed: 2024/05/31].</w:t>
      </w:r>
    </w:p>
    <w:p w14:paraId="266C6BEE" w14:textId="77777777" w:rsidR="00E13193" w:rsidRPr="00915AF2" w:rsidRDefault="00E13193" w:rsidP="00E13193">
      <w:pPr>
        <w:pStyle w:val="EndNoteBibliography"/>
        <w:rPr>
          <w:noProof/>
          <w:color w:val="FFFFFF" w:themeColor="background1"/>
          <w:sz w:val="2"/>
          <w:szCs w:val="2"/>
        </w:rPr>
      </w:pPr>
    </w:p>
    <w:p w14:paraId="71A712E3" w14:textId="77777777"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Kozhevnikov, M., Evans, C. and Kosslyn, S. M. 2014. Cognitive Style as Environmentally Sensitive Individual Differences in Cognition: A Modern Synthesis and Applications in Education, Business, and Management. </w:t>
      </w:r>
      <w:r w:rsidRPr="00915AF2">
        <w:rPr>
          <w:i/>
          <w:noProof/>
          <w:color w:val="FFFFFF" w:themeColor="background1"/>
          <w:sz w:val="2"/>
          <w:szCs w:val="2"/>
        </w:rPr>
        <w:t>Psychol Sci Public Interest</w:t>
      </w:r>
      <w:r w:rsidRPr="00915AF2">
        <w:rPr>
          <w:noProof/>
          <w:color w:val="FFFFFF" w:themeColor="background1"/>
          <w:sz w:val="2"/>
          <w:szCs w:val="2"/>
        </w:rPr>
        <w:t xml:space="preserve"> 15(1), pp. 3-33. doi: 10.1177/1529100614525555 </w:t>
      </w:r>
    </w:p>
    <w:p w14:paraId="755609CD" w14:textId="77777777" w:rsidR="00E13193" w:rsidRPr="00915AF2" w:rsidRDefault="00E13193" w:rsidP="00E13193">
      <w:pPr>
        <w:pStyle w:val="EndNoteBibliography"/>
        <w:rPr>
          <w:noProof/>
          <w:color w:val="FFFFFF" w:themeColor="background1"/>
          <w:sz w:val="2"/>
          <w:szCs w:val="2"/>
        </w:rPr>
      </w:pPr>
    </w:p>
    <w:p w14:paraId="051E5343" w14:textId="173DDC2B"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Muñoz, D. C. and Valiente, A. D.-C. 2023. A novel botnet attack detection for IoT networks based on communication graphs. </w:t>
      </w:r>
      <w:r w:rsidRPr="00915AF2">
        <w:rPr>
          <w:i/>
          <w:noProof/>
          <w:color w:val="FFFFFF" w:themeColor="background1"/>
          <w:sz w:val="2"/>
          <w:szCs w:val="2"/>
        </w:rPr>
        <w:t>Cybersecurity</w:t>
      </w:r>
      <w:r w:rsidRPr="00915AF2">
        <w:rPr>
          <w:noProof/>
          <w:color w:val="FFFFFF" w:themeColor="background1"/>
          <w:sz w:val="2"/>
          <w:szCs w:val="2"/>
        </w:rPr>
        <w:t xml:space="preserve"> 6(1). Available at: </w:t>
      </w:r>
      <w:hyperlink r:id="rId18" w:history="1">
        <w:r w:rsidRPr="00915AF2">
          <w:rPr>
            <w:rStyle w:val="Hyperlink"/>
            <w:noProof/>
            <w:color w:val="FFFFFF" w:themeColor="background1"/>
            <w:sz w:val="2"/>
            <w:szCs w:val="2"/>
          </w:rPr>
          <w:t>https://dx.doi.org/10.1186/s42400-023-00169-6doi</w:t>
        </w:r>
      </w:hyperlink>
      <w:r w:rsidRPr="00915AF2">
        <w:rPr>
          <w:noProof/>
          <w:color w:val="FFFFFF" w:themeColor="background1"/>
          <w:sz w:val="2"/>
          <w:szCs w:val="2"/>
        </w:rPr>
        <w:t xml:space="preserve">: 10.1186/s42400-023-00169-6 </w:t>
      </w:r>
    </w:p>
    <w:p w14:paraId="28B54A8A" w14:textId="77777777" w:rsidR="00E13193" w:rsidRPr="00915AF2" w:rsidRDefault="00E13193" w:rsidP="00E13193">
      <w:pPr>
        <w:pStyle w:val="EndNoteBibliography"/>
        <w:rPr>
          <w:noProof/>
          <w:color w:val="FFFFFF" w:themeColor="background1"/>
          <w:sz w:val="2"/>
          <w:szCs w:val="2"/>
        </w:rPr>
      </w:pPr>
    </w:p>
    <w:p w14:paraId="6F728008" w14:textId="31FF6DA9"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Price-Dowd, C. F. J. 2020. Your leadership style: why understanding yourself matters. </w:t>
      </w:r>
      <w:r w:rsidRPr="00915AF2">
        <w:rPr>
          <w:i/>
          <w:noProof/>
          <w:color w:val="FFFFFF" w:themeColor="background1"/>
          <w:sz w:val="2"/>
          <w:szCs w:val="2"/>
        </w:rPr>
        <w:t>BMJ Leader</w:t>
      </w:r>
      <w:r w:rsidRPr="00915AF2">
        <w:rPr>
          <w:noProof/>
          <w:color w:val="FFFFFF" w:themeColor="background1"/>
          <w:sz w:val="2"/>
          <w:szCs w:val="2"/>
        </w:rPr>
        <w:t xml:space="preserve"> 4(4), pp. 165-167. Available at: </w:t>
      </w:r>
      <w:hyperlink r:id="rId19" w:history="1">
        <w:r w:rsidRPr="00915AF2">
          <w:rPr>
            <w:rStyle w:val="Hyperlink"/>
            <w:noProof/>
            <w:color w:val="FFFFFF" w:themeColor="background1"/>
            <w:sz w:val="2"/>
            <w:szCs w:val="2"/>
          </w:rPr>
          <w:t>https://dx.doi.org/10.1136/leader-2020-000218doi</w:t>
        </w:r>
      </w:hyperlink>
      <w:r w:rsidRPr="00915AF2">
        <w:rPr>
          <w:noProof/>
          <w:color w:val="FFFFFF" w:themeColor="background1"/>
          <w:sz w:val="2"/>
          <w:szCs w:val="2"/>
        </w:rPr>
        <w:t xml:space="preserve">: 10.1136/leader-2020-000218 </w:t>
      </w:r>
    </w:p>
    <w:p w14:paraId="0FE7FC53" w14:textId="77777777" w:rsidR="00E13193" w:rsidRPr="00915AF2" w:rsidRDefault="00E13193" w:rsidP="00E13193">
      <w:pPr>
        <w:pStyle w:val="EndNoteBibliography"/>
        <w:rPr>
          <w:noProof/>
          <w:color w:val="FFFFFF" w:themeColor="background1"/>
          <w:sz w:val="2"/>
          <w:szCs w:val="2"/>
        </w:rPr>
      </w:pPr>
    </w:p>
    <w:p w14:paraId="6147BDCD" w14:textId="77777777"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Raiyn, J. 2016. The Role of Visual Learning in Improving Students’ High-Order Thinking Skills. </w:t>
      </w:r>
      <w:r w:rsidRPr="00915AF2">
        <w:rPr>
          <w:i/>
          <w:noProof/>
          <w:color w:val="FFFFFF" w:themeColor="background1"/>
          <w:sz w:val="2"/>
          <w:szCs w:val="2"/>
        </w:rPr>
        <w:t>Journal of Education and Practice</w:t>
      </w:r>
      <w:r w:rsidRPr="00915AF2">
        <w:rPr>
          <w:noProof/>
          <w:color w:val="FFFFFF" w:themeColor="background1"/>
          <w:sz w:val="2"/>
          <w:szCs w:val="2"/>
        </w:rPr>
        <w:t xml:space="preserve"> 7, pp. 115-121.  </w:t>
      </w:r>
    </w:p>
    <w:p w14:paraId="509CCDE2" w14:textId="77777777" w:rsidR="00E13193" w:rsidRPr="00915AF2" w:rsidRDefault="00E13193" w:rsidP="00E13193">
      <w:pPr>
        <w:pStyle w:val="EndNoteBibliography"/>
        <w:rPr>
          <w:noProof/>
          <w:color w:val="FFFFFF" w:themeColor="background1"/>
          <w:sz w:val="2"/>
          <w:szCs w:val="2"/>
        </w:rPr>
      </w:pPr>
    </w:p>
    <w:p w14:paraId="60F9C527" w14:textId="1849570A" w:rsidR="005E2E7B" w:rsidRPr="005E2E7B" w:rsidRDefault="005E2E7B">
      <w:pPr>
        <w:rPr>
          <w:rFonts w:ascii="Calibri" w:hAnsi="Calibri" w:cs="Calibri"/>
        </w:rPr>
      </w:pPr>
      <w:r w:rsidRPr="00915AF2">
        <w:rPr>
          <w:rFonts w:ascii="Calibri" w:hAnsi="Calibri" w:cs="Calibri"/>
          <w:color w:val="FFFFFF" w:themeColor="background1"/>
          <w:sz w:val="2"/>
          <w:szCs w:val="2"/>
        </w:rPr>
        <w:fldChar w:fldCharType="end"/>
      </w:r>
    </w:p>
    <w:sectPr w:rsidR="005E2E7B" w:rsidRPr="005E2E7B" w:rsidSect="003D735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ardiff University Harvard&lt;/Style&gt;&lt;LeftDelim&gt;{&lt;/LeftDelim&gt;&lt;RightDelim&gt;}&lt;/RightDelim&gt;&lt;FontName&gt;Aptos&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dfvpxszq2tp9qez0rmvxr5mv2ezer9axrta&quot;&gt;My EndNote Library&lt;record-ids&gt;&lt;item&gt;40&lt;/item&gt;&lt;item&gt;41&lt;/item&gt;&lt;item&gt;43&lt;/item&gt;&lt;item&gt;44&lt;/item&gt;&lt;item&gt;45&lt;/item&gt;&lt;item&gt;46&lt;/item&gt;&lt;item&gt;47&lt;/item&gt;&lt;item&gt;48&lt;/item&gt;&lt;item&gt;49&lt;/item&gt;&lt;item&gt;50&lt;/item&gt;&lt;/record-ids&gt;&lt;/item&gt;&lt;/Libraries&gt;"/>
  </w:docVars>
  <w:rsids>
    <w:rsidRoot w:val="0098701E"/>
    <w:rsid w:val="000152AE"/>
    <w:rsid w:val="00015BDA"/>
    <w:rsid w:val="0002654B"/>
    <w:rsid w:val="00026E2D"/>
    <w:rsid w:val="0003045D"/>
    <w:rsid w:val="00037DD5"/>
    <w:rsid w:val="000422E6"/>
    <w:rsid w:val="0004732F"/>
    <w:rsid w:val="00061CCB"/>
    <w:rsid w:val="00085849"/>
    <w:rsid w:val="00087605"/>
    <w:rsid w:val="00092ABA"/>
    <w:rsid w:val="000D0903"/>
    <w:rsid w:val="000E15C7"/>
    <w:rsid w:val="000F7C74"/>
    <w:rsid w:val="0010224D"/>
    <w:rsid w:val="001225E0"/>
    <w:rsid w:val="001371E6"/>
    <w:rsid w:val="001428DC"/>
    <w:rsid w:val="0014325E"/>
    <w:rsid w:val="001877B9"/>
    <w:rsid w:val="001F0EBD"/>
    <w:rsid w:val="00215FE3"/>
    <w:rsid w:val="00222FCE"/>
    <w:rsid w:val="0023017D"/>
    <w:rsid w:val="00246CCA"/>
    <w:rsid w:val="0025710D"/>
    <w:rsid w:val="002640C9"/>
    <w:rsid w:val="00265376"/>
    <w:rsid w:val="002750AC"/>
    <w:rsid w:val="002B18DD"/>
    <w:rsid w:val="002B33AF"/>
    <w:rsid w:val="002B6F2C"/>
    <w:rsid w:val="002B713E"/>
    <w:rsid w:val="002D199F"/>
    <w:rsid w:val="002D5FDE"/>
    <w:rsid w:val="002E47DA"/>
    <w:rsid w:val="002E5BC0"/>
    <w:rsid w:val="003024A2"/>
    <w:rsid w:val="003363C1"/>
    <w:rsid w:val="00355962"/>
    <w:rsid w:val="00357BC1"/>
    <w:rsid w:val="00374024"/>
    <w:rsid w:val="003864C7"/>
    <w:rsid w:val="00390F80"/>
    <w:rsid w:val="003B00EE"/>
    <w:rsid w:val="003D7353"/>
    <w:rsid w:val="003E11BD"/>
    <w:rsid w:val="003E75A3"/>
    <w:rsid w:val="003F2D35"/>
    <w:rsid w:val="003F3249"/>
    <w:rsid w:val="003F6B84"/>
    <w:rsid w:val="00441A23"/>
    <w:rsid w:val="0046410F"/>
    <w:rsid w:val="004A0E77"/>
    <w:rsid w:val="004B4115"/>
    <w:rsid w:val="004F1273"/>
    <w:rsid w:val="00501E44"/>
    <w:rsid w:val="0050553F"/>
    <w:rsid w:val="00520B7F"/>
    <w:rsid w:val="00537B95"/>
    <w:rsid w:val="005639BB"/>
    <w:rsid w:val="00566B2D"/>
    <w:rsid w:val="0057106E"/>
    <w:rsid w:val="00583063"/>
    <w:rsid w:val="005862F9"/>
    <w:rsid w:val="005A61C9"/>
    <w:rsid w:val="005A7D5C"/>
    <w:rsid w:val="005C5A21"/>
    <w:rsid w:val="005E1E98"/>
    <w:rsid w:val="005E2BB5"/>
    <w:rsid w:val="005E2E7B"/>
    <w:rsid w:val="005E6E33"/>
    <w:rsid w:val="00600664"/>
    <w:rsid w:val="00600977"/>
    <w:rsid w:val="00615E9A"/>
    <w:rsid w:val="0061757B"/>
    <w:rsid w:val="006206CF"/>
    <w:rsid w:val="006508FB"/>
    <w:rsid w:val="00671648"/>
    <w:rsid w:val="006815E5"/>
    <w:rsid w:val="00694BBE"/>
    <w:rsid w:val="006B00F5"/>
    <w:rsid w:val="006B6DFE"/>
    <w:rsid w:val="006C0152"/>
    <w:rsid w:val="006F2E1F"/>
    <w:rsid w:val="0071211C"/>
    <w:rsid w:val="00723EE7"/>
    <w:rsid w:val="0073329A"/>
    <w:rsid w:val="00743315"/>
    <w:rsid w:val="00744F02"/>
    <w:rsid w:val="00767E04"/>
    <w:rsid w:val="00775D78"/>
    <w:rsid w:val="007844F8"/>
    <w:rsid w:val="00793FA0"/>
    <w:rsid w:val="00797DA9"/>
    <w:rsid w:val="007A3DAE"/>
    <w:rsid w:val="007A40E2"/>
    <w:rsid w:val="007B40D3"/>
    <w:rsid w:val="007C0C12"/>
    <w:rsid w:val="007C7403"/>
    <w:rsid w:val="007E16BA"/>
    <w:rsid w:val="007E6BF5"/>
    <w:rsid w:val="00804D6D"/>
    <w:rsid w:val="0081315C"/>
    <w:rsid w:val="00821995"/>
    <w:rsid w:val="00822279"/>
    <w:rsid w:val="0084784A"/>
    <w:rsid w:val="00857E67"/>
    <w:rsid w:val="008655B3"/>
    <w:rsid w:val="00871514"/>
    <w:rsid w:val="0087622A"/>
    <w:rsid w:val="008968DB"/>
    <w:rsid w:val="008D4CF9"/>
    <w:rsid w:val="008E165E"/>
    <w:rsid w:val="008E4397"/>
    <w:rsid w:val="00915724"/>
    <w:rsid w:val="00915AF2"/>
    <w:rsid w:val="00920C7A"/>
    <w:rsid w:val="00934791"/>
    <w:rsid w:val="00935176"/>
    <w:rsid w:val="0094509C"/>
    <w:rsid w:val="009458C6"/>
    <w:rsid w:val="0096463A"/>
    <w:rsid w:val="00964EF4"/>
    <w:rsid w:val="00966DE1"/>
    <w:rsid w:val="009701A6"/>
    <w:rsid w:val="00970DB2"/>
    <w:rsid w:val="009857EE"/>
    <w:rsid w:val="0098701E"/>
    <w:rsid w:val="009A16B7"/>
    <w:rsid w:val="009C7176"/>
    <w:rsid w:val="009E63D2"/>
    <w:rsid w:val="00A041F8"/>
    <w:rsid w:val="00A11292"/>
    <w:rsid w:val="00A14819"/>
    <w:rsid w:val="00A24CCD"/>
    <w:rsid w:val="00A61433"/>
    <w:rsid w:val="00A63CCB"/>
    <w:rsid w:val="00A64182"/>
    <w:rsid w:val="00A907DA"/>
    <w:rsid w:val="00A96AB9"/>
    <w:rsid w:val="00AB1F5C"/>
    <w:rsid w:val="00AB6A88"/>
    <w:rsid w:val="00AE0581"/>
    <w:rsid w:val="00B26154"/>
    <w:rsid w:val="00B31D63"/>
    <w:rsid w:val="00B53808"/>
    <w:rsid w:val="00B55DA1"/>
    <w:rsid w:val="00B71C79"/>
    <w:rsid w:val="00B87983"/>
    <w:rsid w:val="00B960D6"/>
    <w:rsid w:val="00BB30E9"/>
    <w:rsid w:val="00BC4FA5"/>
    <w:rsid w:val="00BD61B2"/>
    <w:rsid w:val="00BE15D7"/>
    <w:rsid w:val="00BF107B"/>
    <w:rsid w:val="00C15561"/>
    <w:rsid w:val="00C23CA2"/>
    <w:rsid w:val="00C315E4"/>
    <w:rsid w:val="00C53722"/>
    <w:rsid w:val="00C640E6"/>
    <w:rsid w:val="00C96E87"/>
    <w:rsid w:val="00CA244F"/>
    <w:rsid w:val="00CA3D60"/>
    <w:rsid w:val="00CC31CB"/>
    <w:rsid w:val="00CD1E2F"/>
    <w:rsid w:val="00CD3D02"/>
    <w:rsid w:val="00CF1EF8"/>
    <w:rsid w:val="00CF62DA"/>
    <w:rsid w:val="00D031F2"/>
    <w:rsid w:val="00D231D5"/>
    <w:rsid w:val="00D4690A"/>
    <w:rsid w:val="00D46D16"/>
    <w:rsid w:val="00D658F0"/>
    <w:rsid w:val="00DB28FB"/>
    <w:rsid w:val="00DD5EB8"/>
    <w:rsid w:val="00DE347F"/>
    <w:rsid w:val="00DF1D4C"/>
    <w:rsid w:val="00E060D5"/>
    <w:rsid w:val="00E06A87"/>
    <w:rsid w:val="00E13193"/>
    <w:rsid w:val="00E23B5A"/>
    <w:rsid w:val="00E32853"/>
    <w:rsid w:val="00E35622"/>
    <w:rsid w:val="00E4287F"/>
    <w:rsid w:val="00E527EA"/>
    <w:rsid w:val="00E70349"/>
    <w:rsid w:val="00E74D71"/>
    <w:rsid w:val="00E8634F"/>
    <w:rsid w:val="00E9152F"/>
    <w:rsid w:val="00EA47B9"/>
    <w:rsid w:val="00EB5994"/>
    <w:rsid w:val="00EC2F4B"/>
    <w:rsid w:val="00EF4B39"/>
    <w:rsid w:val="00EF74F1"/>
    <w:rsid w:val="00F06F13"/>
    <w:rsid w:val="00F24D98"/>
    <w:rsid w:val="00F36399"/>
    <w:rsid w:val="00F61869"/>
    <w:rsid w:val="00F904CA"/>
    <w:rsid w:val="00F97C5C"/>
    <w:rsid w:val="00FA63E0"/>
    <w:rsid w:val="00FA7CB4"/>
    <w:rsid w:val="00FB7A8D"/>
    <w:rsid w:val="00FC0AD8"/>
    <w:rsid w:val="00FE399E"/>
    <w:rsid w:val="00FE3A1D"/>
    <w:rsid w:val="00FE6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B56DE"/>
  <w15:chartTrackingRefBased/>
  <w15:docId w15:val="{B18C9236-BAEE-A544-893A-A29A742E9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22279"/>
  </w:style>
  <w:style w:type="paragraph" w:styleId="Heading1">
    <w:name w:val="heading 1"/>
    <w:basedOn w:val="Normal"/>
    <w:next w:val="Normal"/>
    <w:link w:val="Heading1Char"/>
    <w:uiPriority w:val="9"/>
    <w:qFormat/>
    <w:rsid w:val="009870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70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70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0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0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01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01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01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01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0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70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70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0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0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0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0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0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01E"/>
    <w:rPr>
      <w:rFonts w:eastAsiaTheme="majorEastAsia" w:cstheme="majorBidi"/>
      <w:color w:val="272727" w:themeColor="text1" w:themeTint="D8"/>
    </w:rPr>
  </w:style>
  <w:style w:type="paragraph" w:styleId="Title">
    <w:name w:val="Title"/>
    <w:basedOn w:val="Normal"/>
    <w:next w:val="Normal"/>
    <w:link w:val="TitleChar"/>
    <w:uiPriority w:val="10"/>
    <w:qFormat/>
    <w:rsid w:val="0098701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0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01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0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01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701E"/>
    <w:rPr>
      <w:i/>
      <w:iCs/>
      <w:color w:val="404040" w:themeColor="text1" w:themeTint="BF"/>
    </w:rPr>
  </w:style>
  <w:style w:type="paragraph" w:styleId="ListParagraph">
    <w:name w:val="List Paragraph"/>
    <w:basedOn w:val="Normal"/>
    <w:uiPriority w:val="34"/>
    <w:qFormat/>
    <w:rsid w:val="0098701E"/>
    <w:pPr>
      <w:ind w:left="720"/>
      <w:contextualSpacing/>
    </w:pPr>
  </w:style>
  <w:style w:type="character" w:styleId="IntenseEmphasis">
    <w:name w:val="Intense Emphasis"/>
    <w:basedOn w:val="DefaultParagraphFont"/>
    <w:uiPriority w:val="21"/>
    <w:qFormat/>
    <w:rsid w:val="0098701E"/>
    <w:rPr>
      <w:i/>
      <w:iCs/>
      <w:color w:val="0F4761" w:themeColor="accent1" w:themeShade="BF"/>
    </w:rPr>
  </w:style>
  <w:style w:type="paragraph" w:styleId="IntenseQuote">
    <w:name w:val="Intense Quote"/>
    <w:basedOn w:val="Normal"/>
    <w:next w:val="Normal"/>
    <w:link w:val="IntenseQuoteChar"/>
    <w:uiPriority w:val="30"/>
    <w:qFormat/>
    <w:rsid w:val="009870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01E"/>
    <w:rPr>
      <w:i/>
      <w:iCs/>
      <w:color w:val="0F4761" w:themeColor="accent1" w:themeShade="BF"/>
    </w:rPr>
  </w:style>
  <w:style w:type="character" w:styleId="IntenseReference">
    <w:name w:val="Intense Reference"/>
    <w:basedOn w:val="DefaultParagraphFont"/>
    <w:uiPriority w:val="32"/>
    <w:qFormat/>
    <w:rsid w:val="0098701E"/>
    <w:rPr>
      <w:b/>
      <w:bCs/>
      <w:smallCaps/>
      <w:color w:val="0F4761" w:themeColor="accent1" w:themeShade="BF"/>
      <w:spacing w:val="5"/>
    </w:rPr>
  </w:style>
  <w:style w:type="paragraph" w:styleId="NormalWeb">
    <w:name w:val="Normal (Web)"/>
    <w:basedOn w:val="Normal"/>
    <w:link w:val="NormalWebChar"/>
    <w:uiPriority w:val="99"/>
    <w:semiHidden/>
    <w:unhideWhenUsed/>
    <w:rsid w:val="0098701E"/>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EndNoteBibliographyTitle">
    <w:name w:val="EndNote Bibliography Title"/>
    <w:basedOn w:val="Normal"/>
    <w:link w:val="EndNoteBibliographyTitleChar"/>
    <w:rsid w:val="005E2E7B"/>
    <w:pPr>
      <w:jc w:val="center"/>
    </w:pPr>
    <w:rPr>
      <w:rFonts w:ascii="Aptos" w:hAnsi="Aptos"/>
      <w:lang w:val="en-US"/>
    </w:rPr>
  </w:style>
  <w:style w:type="character" w:customStyle="1" w:styleId="NormalWebChar">
    <w:name w:val="Normal (Web) Char"/>
    <w:basedOn w:val="DefaultParagraphFont"/>
    <w:link w:val="NormalWeb"/>
    <w:uiPriority w:val="99"/>
    <w:semiHidden/>
    <w:rsid w:val="005E2E7B"/>
    <w:rPr>
      <w:rFonts w:ascii="Times New Roman" w:eastAsia="Times New Roman" w:hAnsi="Times New Roman" w:cs="Times New Roman"/>
      <w:kern w:val="0"/>
      <w:lang w:eastAsia="en-GB"/>
      <w14:ligatures w14:val="none"/>
    </w:rPr>
  </w:style>
  <w:style w:type="character" w:customStyle="1" w:styleId="EndNoteBibliographyTitleChar">
    <w:name w:val="EndNote Bibliography Title Char"/>
    <w:basedOn w:val="NormalWebChar"/>
    <w:link w:val="EndNoteBibliographyTitle"/>
    <w:rsid w:val="005E2E7B"/>
    <w:rPr>
      <w:rFonts w:ascii="Aptos" w:eastAsia="Times New Roman" w:hAnsi="Aptos" w:cs="Times New Roman"/>
      <w:kern w:val="0"/>
      <w:lang w:val="en-US" w:eastAsia="en-GB"/>
      <w14:ligatures w14:val="none"/>
    </w:rPr>
  </w:style>
  <w:style w:type="paragraph" w:customStyle="1" w:styleId="EndNoteBibliography">
    <w:name w:val="EndNote Bibliography"/>
    <w:basedOn w:val="Normal"/>
    <w:link w:val="EndNoteBibliographyChar"/>
    <w:rsid w:val="005E2E7B"/>
    <w:rPr>
      <w:rFonts w:ascii="Aptos" w:hAnsi="Aptos"/>
      <w:lang w:val="en-US"/>
    </w:rPr>
  </w:style>
  <w:style w:type="character" w:customStyle="1" w:styleId="EndNoteBibliographyChar">
    <w:name w:val="EndNote Bibliography Char"/>
    <w:basedOn w:val="NormalWebChar"/>
    <w:link w:val="EndNoteBibliography"/>
    <w:rsid w:val="005E2E7B"/>
    <w:rPr>
      <w:rFonts w:ascii="Aptos" w:eastAsia="Times New Roman" w:hAnsi="Aptos" w:cs="Times New Roman"/>
      <w:kern w:val="0"/>
      <w:lang w:val="en-US" w:eastAsia="en-GB"/>
      <w14:ligatures w14:val="none"/>
    </w:rPr>
  </w:style>
  <w:style w:type="character" w:styleId="Hyperlink">
    <w:name w:val="Hyperlink"/>
    <w:basedOn w:val="DefaultParagraphFont"/>
    <w:uiPriority w:val="99"/>
    <w:unhideWhenUsed/>
    <w:rsid w:val="005E2E7B"/>
    <w:rPr>
      <w:color w:val="467886" w:themeColor="hyperlink"/>
      <w:u w:val="single"/>
    </w:rPr>
  </w:style>
  <w:style w:type="character" w:styleId="UnresolvedMention">
    <w:name w:val="Unresolved Mention"/>
    <w:basedOn w:val="DefaultParagraphFont"/>
    <w:uiPriority w:val="99"/>
    <w:rsid w:val="005E2E7B"/>
    <w:rPr>
      <w:color w:val="605E5C"/>
      <w:shd w:val="clear" w:color="auto" w:fill="E1DFDD"/>
    </w:rPr>
  </w:style>
  <w:style w:type="character" w:styleId="FollowedHyperlink">
    <w:name w:val="FollowedHyperlink"/>
    <w:basedOn w:val="DefaultParagraphFont"/>
    <w:uiPriority w:val="99"/>
    <w:semiHidden/>
    <w:unhideWhenUsed/>
    <w:rsid w:val="00CF62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104502">
      <w:bodyDiv w:val="1"/>
      <w:marLeft w:val="0"/>
      <w:marRight w:val="0"/>
      <w:marTop w:val="0"/>
      <w:marBottom w:val="0"/>
      <w:divBdr>
        <w:top w:val="none" w:sz="0" w:space="0" w:color="auto"/>
        <w:left w:val="none" w:sz="0" w:space="0" w:color="auto"/>
        <w:bottom w:val="none" w:sz="0" w:space="0" w:color="auto"/>
        <w:right w:val="none" w:sz="0" w:space="0" w:color="auto"/>
      </w:divBdr>
    </w:div>
    <w:div w:id="227963394">
      <w:bodyDiv w:val="1"/>
      <w:marLeft w:val="0"/>
      <w:marRight w:val="0"/>
      <w:marTop w:val="0"/>
      <w:marBottom w:val="0"/>
      <w:divBdr>
        <w:top w:val="none" w:sz="0" w:space="0" w:color="auto"/>
        <w:left w:val="none" w:sz="0" w:space="0" w:color="auto"/>
        <w:bottom w:val="none" w:sz="0" w:space="0" w:color="auto"/>
        <w:right w:val="none" w:sz="0" w:space="0" w:color="auto"/>
      </w:divBdr>
    </w:div>
    <w:div w:id="322003547">
      <w:bodyDiv w:val="1"/>
      <w:marLeft w:val="0"/>
      <w:marRight w:val="0"/>
      <w:marTop w:val="0"/>
      <w:marBottom w:val="0"/>
      <w:divBdr>
        <w:top w:val="none" w:sz="0" w:space="0" w:color="auto"/>
        <w:left w:val="none" w:sz="0" w:space="0" w:color="auto"/>
        <w:bottom w:val="none" w:sz="0" w:space="0" w:color="auto"/>
        <w:right w:val="none" w:sz="0" w:space="0" w:color="auto"/>
      </w:divBdr>
    </w:div>
    <w:div w:id="352876463">
      <w:bodyDiv w:val="1"/>
      <w:marLeft w:val="0"/>
      <w:marRight w:val="0"/>
      <w:marTop w:val="0"/>
      <w:marBottom w:val="0"/>
      <w:divBdr>
        <w:top w:val="none" w:sz="0" w:space="0" w:color="auto"/>
        <w:left w:val="none" w:sz="0" w:space="0" w:color="auto"/>
        <w:bottom w:val="none" w:sz="0" w:space="0" w:color="auto"/>
        <w:right w:val="none" w:sz="0" w:space="0" w:color="auto"/>
      </w:divBdr>
    </w:div>
    <w:div w:id="370813547">
      <w:bodyDiv w:val="1"/>
      <w:marLeft w:val="0"/>
      <w:marRight w:val="0"/>
      <w:marTop w:val="0"/>
      <w:marBottom w:val="0"/>
      <w:divBdr>
        <w:top w:val="none" w:sz="0" w:space="0" w:color="auto"/>
        <w:left w:val="none" w:sz="0" w:space="0" w:color="auto"/>
        <w:bottom w:val="none" w:sz="0" w:space="0" w:color="auto"/>
        <w:right w:val="none" w:sz="0" w:space="0" w:color="auto"/>
      </w:divBdr>
      <w:divsChild>
        <w:div w:id="1602373247">
          <w:marLeft w:val="0"/>
          <w:marRight w:val="0"/>
          <w:marTop w:val="0"/>
          <w:marBottom w:val="0"/>
          <w:divBdr>
            <w:top w:val="none" w:sz="0" w:space="0" w:color="auto"/>
            <w:left w:val="none" w:sz="0" w:space="0" w:color="auto"/>
            <w:bottom w:val="none" w:sz="0" w:space="0" w:color="auto"/>
            <w:right w:val="none" w:sz="0" w:space="0" w:color="auto"/>
          </w:divBdr>
          <w:divsChild>
            <w:div w:id="1941058126">
              <w:marLeft w:val="0"/>
              <w:marRight w:val="0"/>
              <w:marTop w:val="0"/>
              <w:marBottom w:val="0"/>
              <w:divBdr>
                <w:top w:val="none" w:sz="0" w:space="0" w:color="auto"/>
                <w:left w:val="none" w:sz="0" w:space="0" w:color="auto"/>
                <w:bottom w:val="none" w:sz="0" w:space="0" w:color="auto"/>
                <w:right w:val="none" w:sz="0" w:space="0" w:color="auto"/>
              </w:divBdr>
              <w:divsChild>
                <w:div w:id="42153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704286">
      <w:bodyDiv w:val="1"/>
      <w:marLeft w:val="0"/>
      <w:marRight w:val="0"/>
      <w:marTop w:val="0"/>
      <w:marBottom w:val="0"/>
      <w:divBdr>
        <w:top w:val="none" w:sz="0" w:space="0" w:color="auto"/>
        <w:left w:val="none" w:sz="0" w:space="0" w:color="auto"/>
        <w:bottom w:val="none" w:sz="0" w:space="0" w:color="auto"/>
        <w:right w:val="none" w:sz="0" w:space="0" w:color="auto"/>
      </w:divBdr>
      <w:divsChild>
        <w:div w:id="1886914408">
          <w:marLeft w:val="0"/>
          <w:marRight w:val="0"/>
          <w:marTop w:val="0"/>
          <w:marBottom w:val="0"/>
          <w:divBdr>
            <w:top w:val="none" w:sz="0" w:space="0" w:color="auto"/>
            <w:left w:val="none" w:sz="0" w:space="0" w:color="auto"/>
            <w:bottom w:val="none" w:sz="0" w:space="0" w:color="auto"/>
            <w:right w:val="none" w:sz="0" w:space="0" w:color="auto"/>
          </w:divBdr>
          <w:divsChild>
            <w:div w:id="1538349245">
              <w:marLeft w:val="0"/>
              <w:marRight w:val="0"/>
              <w:marTop w:val="0"/>
              <w:marBottom w:val="0"/>
              <w:divBdr>
                <w:top w:val="none" w:sz="0" w:space="0" w:color="auto"/>
                <w:left w:val="none" w:sz="0" w:space="0" w:color="auto"/>
                <w:bottom w:val="none" w:sz="0" w:space="0" w:color="auto"/>
                <w:right w:val="none" w:sz="0" w:space="0" w:color="auto"/>
              </w:divBdr>
              <w:divsChild>
                <w:div w:id="785659436">
                  <w:marLeft w:val="0"/>
                  <w:marRight w:val="0"/>
                  <w:marTop w:val="0"/>
                  <w:marBottom w:val="0"/>
                  <w:divBdr>
                    <w:top w:val="none" w:sz="0" w:space="0" w:color="auto"/>
                    <w:left w:val="none" w:sz="0" w:space="0" w:color="auto"/>
                    <w:bottom w:val="none" w:sz="0" w:space="0" w:color="auto"/>
                    <w:right w:val="none" w:sz="0" w:space="0" w:color="auto"/>
                  </w:divBdr>
                  <w:divsChild>
                    <w:div w:id="110107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062316">
      <w:bodyDiv w:val="1"/>
      <w:marLeft w:val="0"/>
      <w:marRight w:val="0"/>
      <w:marTop w:val="0"/>
      <w:marBottom w:val="0"/>
      <w:divBdr>
        <w:top w:val="none" w:sz="0" w:space="0" w:color="auto"/>
        <w:left w:val="none" w:sz="0" w:space="0" w:color="auto"/>
        <w:bottom w:val="none" w:sz="0" w:space="0" w:color="auto"/>
        <w:right w:val="none" w:sz="0" w:space="0" w:color="auto"/>
      </w:divBdr>
    </w:div>
    <w:div w:id="530265657">
      <w:bodyDiv w:val="1"/>
      <w:marLeft w:val="0"/>
      <w:marRight w:val="0"/>
      <w:marTop w:val="0"/>
      <w:marBottom w:val="0"/>
      <w:divBdr>
        <w:top w:val="none" w:sz="0" w:space="0" w:color="auto"/>
        <w:left w:val="none" w:sz="0" w:space="0" w:color="auto"/>
        <w:bottom w:val="none" w:sz="0" w:space="0" w:color="auto"/>
        <w:right w:val="none" w:sz="0" w:space="0" w:color="auto"/>
      </w:divBdr>
      <w:divsChild>
        <w:div w:id="900671595">
          <w:marLeft w:val="0"/>
          <w:marRight w:val="0"/>
          <w:marTop w:val="0"/>
          <w:marBottom w:val="0"/>
          <w:divBdr>
            <w:top w:val="none" w:sz="0" w:space="0" w:color="auto"/>
            <w:left w:val="none" w:sz="0" w:space="0" w:color="auto"/>
            <w:bottom w:val="none" w:sz="0" w:space="0" w:color="auto"/>
            <w:right w:val="none" w:sz="0" w:space="0" w:color="auto"/>
          </w:divBdr>
          <w:divsChild>
            <w:div w:id="675427483">
              <w:marLeft w:val="0"/>
              <w:marRight w:val="0"/>
              <w:marTop w:val="0"/>
              <w:marBottom w:val="0"/>
              <w:divBdr>
                <w:top w:val="none" w:sz="0" w:space="0" w:color="auto"/>
                <w:left w:val="none" w:sz="0" w:space="0" w:color="auto"/>
                <w:bottom w:val="none" w:sz="0" w:space="0" w:color="auto"/>
                <w:right w:val="none" w:sz="0" w:space="0" w:color="auto"/>
              </w:divBdr>
              <w:divsChild>
                <w:div w:id="395709372">
                  <w:marLeft w:val="0"/>
                  <w:marRight w:val="0"/>
                  <w:marTop w:val="0"/>
                  <w:marBottom w:val="0"/>
                  <w:divBdr>
                    <w:top w:val="none" w:sz="0" w:space="0" w:color="auto"/>
                    <w:left w:val="none" w:sz="0" w:space="0" w:color="auto"/>
                    <w:bottom w:val="none" w:sz="0" w:space="0" w:color="auto"/>
                    <w:right w:val="none" w:sz="0" w:space="0" w:color="auto"/>
                  </w:divBdr>
                  <w:divsChild>
                    <w:div w:id="1947343364">
                      <w:marLeft w:val="0"/>
                      <w:marRight w:val="0"/>
                      <w:marTop w:val="0"/>
                      <w:marBottom w:val="0"/>
                      <w:divBdr>
                        <w:top w:val="none" w:sz="0" w:space="0" w:color="auto"/>
                        <w:left w:val="none" w:sz="0" w:space="0" w:color="auto"/>
                        <w:bottom w:val="none" w:sz="0" w:space="0" w:color="auto"/>
                        <w:right w:val="none" w:sz="0" w:space="0" w:color="auto"/>
                      </w:divBdr>
                      <w:divsChild>
                        <w:div w:id="900867027">
                          <w:marLeft w:val="0"/>
                          <w:marRight w:val="0"/>
                          <w:marTop w:val="0"/>
                          <w:marBottom w:val="0"/>
                          <w:divBdr>
                            <w:top w:val="none" w:sz="0" w:space="0" w:color="auto"/>
                            <w:left w:val="none" w:sz="0" w:space="0" w:color="auto"/>
                            <w:bottom w:val="none" w:sz="0" w:space="0" w:color="auto"/>
                            <w:right w:val="none" w:sz="0" w:space="0" w:color="auto"/>
                          </w:divBdr>
                          <w:divsChild>
                            <w:div w:id="206991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3688616">
      <w:bodyDiv w:val="1"/>
      <w:marLeft w:val="0"/>
      <w:marRight w:val="0"/>
      <w:marTop w:val="0"/>
      <w:marBottom w:val="0"/>
      <w:divBdr>
        <w:top w:val="none" w:sz="0" w:space="0" w:color="auto"/>
        <w:left w:val="none" w:sz="0" w:space="0" w:color="auto"/>
        <w:bottom w:val="none" w:sz="0" w:space="0" w:color="auto"/>
        <w:right w:val="none" w:sz="0" w:space="0" w:color="auto"/>
      </w:divBdr>
    </w:div>
    <w:div w:id="607735928">
      <w:bodyDiv w:val="1"/>
      <w:marLeft w:val="0"/>
      <w:marRight w:val="0"/>
      <w:marTop w:val="0"/>
      <w:marBottom w:val="0"/>
      <w:divBdr>
        <w:top w:val="none" w:sz="0" w:space="0" w:color="auto"/>
        <w:left w:val="none" w:sz="0" w:space="0" w:color="auto"/>
        <w:bottom w:val="none" w:sz="0" w:space="0" w:color="auto"/>
        <w:right w:val="none" w:sz="0" w:space="0" w:color="auto"/>
      </w:divBdr>
    </w:div>
    <w:div w:id="866915129">
      <w:bodyDiv w:val="1"/>
      <w:marLeft w:val="0"/>
      <w:marRight w:val="0"/>
      <w:marTop w:val="0"/>
      <w:marBottom w:val="0"/>
      <w:divBdr>
        <w:top w:val="none" w:sz="0" w:space="0" w:color="auto"/>
        <w:left w:val="none" w:sz="0" w:space="0" w:color="auto"/>
        <w:bottom w:val="none" w:sz="0" w:space="0" w:color="auto"/>
        <w:right w:val="none" w:sz="0" w:space="0" w:color="auto"/>
      </w:divBdr>
      <w:divsChild>
        <w:div w:id="554195629">
          <w:marLeft w:val="0"/>
          <w:marRight w:val="0"/>
          <w:marTop w:val="0"/>
          <w:marBottom w:val="0"/>
          <w:divBdr>
            <w:top w:val="none" w:sz="0" w:space="0" w:color="auto"/>
            <w:left w:val="none" w:sz="0" w:space="0" w:color="auto"/>
            <w:bottom w:val="none" w:sz="0" w:space="0" w:color="auto"/>
            <w:right w:val="none" w:sz="0" w:space="0" w:color="auto"/>
          </w:divBdr>
          <w:divsChild>
            <w:div w:id="234245373">
              <w:marLeft w:val="0"/>
              <w:marRight w:val="0"/>
              <w:marTop w:val="0"/>
              <w:marBottom w:val="0"/>
              <w:divBdr>
                <w:top w:val="none" w:sz="0" w:space="0" w:color="auto"/>
                <w:left w:val="none" w:sz="0" w:space="0" w:color="auto"/>
                <w:bottom w:val="none" w:sz="0" w:space="0" w:color="auto"/>
                <w:right w:val="none" w:sz="0" w:space="0" w:color="auto"/>
              </w:divBdr>
              <w:divsChild>
                <w:div w:id="217400245">
                  <w:marLeft w:val="0"/>
                  <w:marRight w:val="0"/>
                  <w:marTop w:val="0"/>
                  <w:marBottom w:val="0"/>
                  <w:divBdr>
                    <w:top w:val="none" w:sz="0" w:space="0" w:color="auto"/>
                    <w:left w:val="none" w:sz="0" w:space="0" w:color="auto"/>
                    <w:bottom w:val="none" w:sz="0" w:space="0" w:color="auto"/>
                    <w:right w:val="none" w:sz="0" w:space="0" w:color="auto"/>
                  </w:divBdr>
                  <w:divsChild>
                    <w:div w:id="419253147">
                      <w:marLeft w:val="0"/>
                      <w:marRight w:val="0"/>
                      <w:marTop w:val="0"/>
                      <w:marBottom w:val="0"/>
                      <w:divBdr>
                        <w:top w:val="none" w:sz="0" w:space="0" w:color="auto"/>
                        <w:left w:val="none" w:sz="0" w:space="0" w:color="auto"/>
                        <w:bottom w:val="none" w:sz="0" w:space="0" w:color="auto"/>
                        <w:right w:val="none" w:sz="0" w:space="0" w:color="auto"/>
                      </w:divBdr>
                      <w:divsChild>
                        <w:div w:id="611400929">
                          <w:marLeft w:val="0"/>
                          <w:marRight w:val="0"/>
                          <w:marTop w:val="0"/>
                          <w:marBottom w:val="0"/>
                          <w:divBdr>
                            <w:top w:val="none" w:sz="0" w:space="0" w:color="auto"/>
                            <w:left w:val="none" w:sz="0" w:space="0" w:color="auto"/>
                            <w:bottom w:val="none" w:sz="0" w:space="0" w:color="auto"/>
                            <w:right w:val="none" w:sz="0" w:space="0" w:color="auto"/>
                          </w:divBdr>
                          <w:divsChild>
                            <w:div w:id="83514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463324">
      <w:bodyDiv w:val="1"/>
      <w:marLeft w:val="0"/>
      <w:marRight w:val="0"/>
      <w:marTop w:val="0"/>
      <w:marBottom w:val="0"/>
      <w:divBdr>
        <w:top w:val="none" w:sz="0" w:space="0" w:color="auto"/>
        <w:left w:val="none" w:sz="0" w:space="0" w:color="auto"/>
        <w:bottom w:val="none" w:sz="0" w:space="0" w:color="auto"/>
        <w:right w:val="none" w:sz="0" w:space="0" w:color="auto"/>
      </w:divBdr>
    </w:div>
    <w:div w:id="1253512100">
      <w:bodyDiv w:val="1"/>
      <w:marLeft w:val="0"/>
      <w:marRight w:val="0"/>
      <w:marTop w:val="0"/>
      <w:marBottom w:val="0"/>
      <w:divBdr>
        <w:top w:val="none" w:sz="0" w:space="0" w:color="auto"/>
        <w:left w:val="none" w:sz="0" w:space="0" w:color="auto"/>
        <w:bottom w:val="none" w:sz="0" w:space="0" w:color="auto"/>
        <w:right w:val="none" w:sz="0" w:space="0" w:color="auto"/>
      </w:divBdr>
    </w:div>
    <w:div w:id="1455825682">
      <w:bodyDiv w:val="1"/>
      <w:marLeft w:val="0"/>
      <w:marRight w:val="0"/>
      <w:marTop w:val="0"/>
      <w:marBottom w:val="0"/>
      <w:divBdr>
        <w:top w:val="none" w:sz="0" w:space="0" w:color="auto"/>
        <w:left w:val="none" w:sz="0" w:space="0" w:color="auto"/>
        <w:bottom w:val="none" w:sz="0" w:space="0" w:color="auto"/>
        <w:right w:val="none" w:sz="0" w:space="0" w:color="auto"/>
      </w:divBdr>
    </w:div>
    <w:div w:id="1722437957">
      <w:bodyDiv w:val="1"/>
      <w:marLeft w:val="0"/>
      <w:marRight w:val="0"/>
      <w:marTop w:val="0"/>
      <w:marBottom w:val="0"/>
      <w:divBdr>
        <w:top w:val="none" w:sz="0" w:space="0" w:color="auto"/>
        <w:left w:val="none" w:sz="0" w:space="0" w:color="auto"/>
        <w:bottom w:val="none" w:sz="0" w:space="0" w:color="auto"/>
        <w:right w:val="none" w:sz="0" w:space="0" w:color="auto"/>
      </w:divBdr>
    </w:div>
    <w:div w:id="1901597743">
      <w:bodyDiv w:val="1"/>
      <w:marLeft w:val="0"/>
      <w:marRight w:val="0"/>
      <w:marTop w:val="0"/>
      <w:marBottom w:val="0"/>
      <w:divBdr>
        <w:top w:val="none" w:sz="0" w:space="0" w:color="auto"/>
        <w:left w:val="none" w:sz="0" w:space="0" w:color="auto"/>
        <w:bottom w:val="none" w:sz="0" w:space="0" w:color="auto"/>
        <w:right w:val="none" w:sz="0" w:space="0" w:color="auto"/>
      </w:divBdr>
    </w:div>
    <w:div w:id="1949316855">
      <w:bodyDiv w:val="1"/>
      <w:marLeft w:val="0"/>
      <w:marRight w:val="0"/>
      <w:marTop w:val="0"/>
      <w:marBottom w:val="0"/>
      <w:divBdr>
        <w:top w:val="none" w:sz="0" w:space="0" w:color="auto"/>
        <w:left w:val="none" w:sz="0" w:space="0" w:color="auto"/>
        <w:bottom w:val="none" w:sz="0" w:space="0" w:color="auto"/>
        <w:right w:val="none" w:sz="0" w:space="0" w:color="auto"/>
      </w:divBdr>
      <w:divsChild>
        <w:div w:id="171921336">
          <w:marLeft w:val="0"/>
          <w:marRight w:val="0"/>
          <w:marTop w:val="0"/>
          <w:marBottom w:val="0"/>
          <w:divBdr>
            <w:top w:val="none" w:sz="0" w:space="0" w:color="auto"/>
            <w:left w:val="none" w:sz="0" w:space="0" w:color="auto"/>
            <w:bottom w:val="none" w:sz="0" w:space="0" w:color="auto"/>
            <w:right w:val="none" w:sz="0" w:space="0" w:color="auto"/>
          </w:divBdr>
          <w:divsChild>
            <w:div w:id="1346320248">
              <w:marLeft w:val="0"/>
              <w:marRight w:val="0"/>
              <w:marTop w:val="0"/>
              <w:marBottom w:val="0"/>
              <w:divBdr>
                <w:top w:val="none" w:sz="0" w:space="0" w:color="auto"/>
                <w:left w:val="none" w:sz="0" w:space="0" w:color="auto"/>
                <w:bottom w:val="none" w:sz="0" w:space="0" w:color="auto"/>
                <w:right w:val="none" w:sz="0" w:space="0" w:color="auto"/>
              </w:divBdr>
              <w:divsChild>
                <w:div w:id="1551458590">
                  <w:marLeft w:val="0"/>
                  <w:marRight w:val="0"/>
                  <w:marTop w:val="0"/>
                  <w:marBottom w:val="0"/>
                  <w:divBdr>
                    <w:top w:val="none" w:sz="0" w:space="0" w:color="auto"/>
                    <w:left w:val="none" w:sz="0" w:space="0" w:color="auto"/>
                    <w:bottom w:val="none" w:sz="0" w:space="0" w:color="auto"/>
                    <w:right w:val="none" w:sz="0" w:space="0" w:color="auto"/>
                  </w:divBdr>
                  <w:divsChild>
                    <w:div w:id="3632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563019">
      <w:bodyDiv w:val="1"/>
      <w:marLeft w:val="0"/>
      <w:marRight w:val="0"/>
      <w:marTop w:val="0"/>
      <w:marBottom w:val="0"/>
      <w:divBdr>
        <w:top w:val="none" w:sz="0" w:space="0" w:color="auto"/>
        <w:left w:val="none" w:sz="0" w:space="0" w:color="auto"/>
        <w:bottom w:val="none" w:sz="0" w:space="0" w:color="auto"/>
        <w:right w:val="none" w:sz="0" w:space="0" w:color="auto"/>
      </w:divBdr>
    </w:div>
    <w:div w:id="209539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17554251011064837" TargetMode="External"/><Relationship Id="rId13" Type="http://schemas.openxmlformats.org/officeDocument/2006/relationships/hyperlink" Target="https://www.coursera.org/enterprise/articles/what-is-professional-development" TargetMode="External"/><Relationship Id="rId18" Type="http://schemas.openxmlformats.org/officeDocument/2006/relationships/hyperlink" Target="https://dx.doi.org/10.1186/s42400-023-00169-6doi"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3389/fpsyg.2020.01917" TargetMode="External"/><Relationship Id="rId12" Type="http://schemas.openxmlformats.org/officeDocument/2006/relationships/hyperlink" Target="https://doi.org/10.1093/occmed/kqy146doi" TargetMode="External"/><Relationship Id="rId17" Type="http://schemas.openxmlformats.org/officeDocument/2006/relationships/hyperlink" Target="https://doi.org/10.1108/17554251011064837doi" TargetMode="External"/><Relationship Id="rId2" Type="http://schemas.openxmlformats.org/officeDocument/2006/relationships/settings" Target="settings.xml"/><Relationship Id="rId16" Type="http://schemas.openxmlformats.org/officeDocument/2006/relationships/hyperlink" Target="https://dx.doi.org/10.3389/fpsyg.2020.01917doi"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86/s13033-020-00392-5" TargetMode="External"/><Relationship Id="rId11" Type="http://schemas.openxmlformats.org/officeDocument/2006/relationships/hyperlink" Target="https://files.eric.ed.gov/fulltext/EJ1112894.pdf" TargetMode="External"/><Relationship Id="rId5" Type="http://schemas.openxmlformats.org/officeDocument/2006/relationships/hyperlink" Target="https://www.coursera.org/enterprise/articles/what-is-professional-development" TargetMode="External"/><Relationship Id="rId15" Type="http://schemas.openxmlformats.org/officeDocument/2006/relationships/hyperlink" Target="https://dx.doi.org/10.1186/s13033-020-00392-5doi" TargetMode="External"/><Relationship Id="rId10" Type="http://schemas.openxmlformats.org/officeDocument/2006/relationships/hyperlink" Target="https://doi.org/10.1136/leader-2020-000218" TargetMode="External"/><Relationship Id="rId19" Type="http://schemas.openxmlformats.org/officeDocument/2006/relationships/hyperlink" Target="https://dx.doi.org/10.1136/leader-2020-000218doi" TargetMode="External"/><Relationship Id="rId4" Type="http://schemas.openxmlformats.org/officeDocument/2006/relationships/hyperlink" Target="https://doi.org/10.1093/occmed/kqy146" TargetMode="External"/><Relationship Id="rId9" Type="http://schemas.openxmlformats.org/officeDocument/2006/relationships/hyperlink" Target="https://doi.org/10.1186/s42400-023-00169-6" TargetMode="External"/><Relationship Id="rId14" Type="http://schemas.openxmlformats.org/officeDocument/2006/relationships/hyperlink" Target="https://journals.sagepub.com/doi/abs/10.1177/014920639902500305do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.~WRD0000</Template>
  <TotalTime>18</TotalTime>
  <Pages>5</Pages>
  <Words>4064</Words>
  <Characters>23167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tasneem ali</dc:creator>
  <cp:keywords/>
  <dc:description/>
  <cp:lastModifiedBy>tasneem ali</cp:lastModifiedBy>
  <cp:revision>5</cp:revision>
  <dcterms:created xsi:type="dcterms:W3CDTF">2024-08-29T18:50:00Z</dcterms:created>
  <dcterms:modified xsi:type="dcterms:W3CDTF">2024-08-29T20:00:00Z</dcterms:modified>
</cp:coreProperties>
</file>