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C343440">
      <w:pPr>
        <w:keepNext w:val="0"/>
        <w:keepLines w:val="0"/>
        <w:widowControl/>
        <w:suppressLineNumbers w:val="0"/>
        <w:spacing w:line="480" w:lineRule="auto"/>
        <w:jc w:val="left"/>
        <w:rPr>
          <w:rFonts w:hint="default" w:ascii="Times New Roman" w:hAnsi="Times New Roman" w:cs="Times New Roman"/>
          <w:sz w:val="24"/>
          <w:szCs w:val="24"/>
        </w:rPr>
      </w:pPr>
      <w:r>
        <w:rPr>
          <w:rFonts w:hint="default" w:ascii="Times New Roman" w:hAnsi="Times New Roman" w:eastAsia="TimesNewRomanPS-BoldMT" w:cs="Times New Roman"/>
          <w:b/>
          <w:bCs/>
          <w:color w:val="000008"/>
          <w:kern w:val="0"/>
          <w:sz w:val="24"/>
          <w:szCs w:val="24"/>
          <w:lang w:val="en-US" w:eastAsia="zh-CN" w:bidi="ar"/>
        </w:rPr>
        <w:t>Executive Summary</w:t>
      </w:r>
    </w:p>
    <w:p w14:paraId="36768D00">
      <w:pPr>
        <w:spacing w:line="480" w:lineRule="auto"/>
        <w:rPr>
          <w:rFonts w:hint="default" w:ascii="Times New Roman" w:hAnsi="Times New Roman" w:cs="Times New Roman"/>
          <w:sz w:val="24"/>
          <w:szCs w:val="24"/>
        </w:rPr>
      </w:pPr>
    </w:p>
    <w:p w14:paraId="4872FB9A">
      <w:pPr>
        <w:spacing w:line="480" w:lineRule="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t>This report explores critical aspects of international business communication (IBC) essential for the successful expansion of a large clothing retail group into the Asian market. It identifies challenges such as cultural differences, communication styles, and relationship-building while proposing strategies to address these issues. The report integrates theories like Trompenaars’ cultural dimensions, Hofstede’s framework, and Hall’s high- and low-context theory to highlight the importance of understanding cultural nuances for effective communication. Strengthening skills such as oral expression and critical thinking are important for success in cross-cultural environments. Such competencies contribute to developing effective strategies for dealing with cultural differences and communication challenges. Which supports the development of strategies to address cultural and communication challenges effectively. These elements collectively ensure the apparel group’s adaptability and long-term success in the Asian market. The importance of trust-building and fostering strong interpersonal relationships. The insights and references used in this report are primarily derived from academic literature available on Google Scholar.</w:t>
      </w:r>
    </w:p>
    <w:p w14:paraId="539BE986">
      <w:pPr>
        <w:rPr>
          <w:rFonts w:hint="default" w:ascii="Times New Roman" w:hAnsi="Times New Roman" w:cs="Times New Roman"/>
          <w:sz w:val="24"/>
          <w:szCs w:val="24"/>
        </w:rPr>
      </w:pPr>
    </w:p>
    <w:sdt>
      <w:sdtPr>
        <w:rPr>
          <w:rFonts w:hint="default" w:ascii="Times New Roman" w:hAnsi="Times New Roman" w:eastAsia="宋体" w:cs="Times New Roman"/>
          <w:kern w:val="2"/>
          <w:sz w:val="24"/>
          <w:szCs w:val="24"/>
          <w:lang w:val="en-US" w:eastAsia="zh-CN" w:bidi="ar-SA"/>
        </w:rPr>
        <w:id w:val="147453781"/>
        <w15:color w:val="DBDBDB"/>
        <w:docPartObj>
          <w:docPartGallery w:val="Table of Contents"/>
          <w:docPartUnique/>
        </w:docPartObj>
      </w:sdtPr>
      <w:sdtEndPr>
        <w:rPr>
          <w:rFonts w:hint="default" w:ascii="Times New Roman" w:hAnsi="Times New Roman" w:cs="Times New Roman" w:eastAsiaTheme="minorEastAsia"/>
          <w:kern w:val="2"/>
          <w:sz w:val="24"/>
          <w:szCs w:val="24"/>
          <w:lang w:val="en-US" w:eastAsia="zh-CN" w:bidi="ar-SA"/>
        </w:rPr>
      </w:sdtEndPr>
      <w:sdtContent>
        <w:p w14:paraId="066EA359">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Content Page</w:t>
          </w:r>
        </w:p>
        <w:p w14:paraId="10B5FE17">
          <w:pPr>
            <w:spacing w:before="0" w:beforeLines="0" w:after="0" w:afterLines="0" w:line="240" w:lineRule="auto"/>
            <w:ind w:left="0" w:leftChars="0" w:right="0" w:rightChars="0" w:firstLine="0" w:firstLineChars="0"/>
            <w:jc w:val="both"/>
            <w:rPr>
              <w:rFonts w:hint="default" w:ascii="Times New Roman" w:hAnsi="Times New Roman" w:eastAsia="宋体" w:cs="Times New Roman"/>
              <w:kern w:val="2"/>
              <w:sz w:val="24"/>
              <w:szCs w:val="24"/>
              <w:lang w:val="en-US" w:eastAsia="zh-CN" w:bidi="ar-SA"/>
            </w:rPr>
          </w:pPr>
        </w:p>
        <w:p w14:paraId="3E1BCF8D">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_Toc20808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_Toc20808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12016B3">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_Toc10528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2.0 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_Toc10528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0E1F432">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 – International Business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4622029">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_Toc24692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 Skills Requirements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_Toc24692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3CAFA0E">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_Toc5394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2.2.1 Oral 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5F3209F">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2.2.2 Critical thinking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C374642">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_Toc11817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 Methods of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10F40B1">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_Toc21690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 Trompenaars' theory of cultural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_Toc21690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56C61A7">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 Hall's Theory of High and Low 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6671993">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_Toc8913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2.3.3 Hofstede's theory of cultural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980DC4E">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_Toc7329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 Effective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61D74BF">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_Toc22503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2.5 – International Culture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_Toc22503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416F9B4">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_Toc7713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2.5.1 Trompenaars’ Cultural Dimensions（7 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71E39C2">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2.6 Importance of Building Relationships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87A5DB2">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_Toc16553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2.7  How to build Trust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0729BFF">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_Toc6791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2.8 Failed Relationships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C63E024">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_Toc3420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 –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C3038C9">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 –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43CDE33">
          <w:pPr>
            <w:rPr>
              <w:rFonts w:hint="default" w:ascii="Times New Roman" w:hAnsi="Times New Roman" w:cs="Times New Roman" w:eastAsiaTheme="minorEastAsia"/>
              <w:kern w:val="2"/>
              <w:sz w:val="24"/>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sdtContent>
    </w:sdt>
    <w:p w14:paraId="0DE89422">
      <w:pPr>
        <w:pStyle w:val="2"/>
        <w:bidi w:val="0"/>
        <w:rPr>
          <w:rFonts w:hint="default" w:ascii="Times New Roman" w:hAnsi="Times New Roman" w:cs="Times New Roman"/>
          <w:sz w:val="24"/>
          <w:szCs w:val="24"/>
          <w:lang w:val="en-US" w:eastAsia="zh-CN"/>
        </w:rPr>
      </w:pPr>
      <w:bookmarkStart w:id="0" w:name="_Toc20808"/>
      <w:r>
        <w:rPr>
          <w:rFonts w:hint="default" w:ascii="Times New Roman" w:hAnsi="Times New Roman" w:cs="Times New Roman"/>
          <w:sz w:val="24"/>
          <w:szCs w:val="24"/>
          <w:lang w:val="en-US" w:eastAsia="zh-CN"/>
        </w:rPr>
        <w:t>1.0 Introduction</w:t>
      </w:r>
      <w:bookmarkEnd w:id="0"/>
    </w:p>
    <w:p w14:paraId="20D1D982">
      <w:pPr>
        <w:spacing w:line="480" w:lineRule="auto"/>
        <w:rPr>
          <w:rFonts w:hint="default" w:ascii="Times New Roman" w:hAnsi="Times New Roman" w:eastAsia="宋体" w:cs="Times New Roman"/>
          <w:sz w:val="24"/>
          <w:szCs w:val="24"/>
          <w:lang w:val="en-US" w:eastAsia="zh-CN"/>
        </w:rPr>
      </w:pPr>
    </w:p>
    <w:p w14:paraId="23B7697F">
      <w:pPr>
        <w:spacing w:line="480" w:lineRule="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In an increasingly globalized world, cross-cultural exchanges have enabled companies from some countries to expand their markets and import and export across the globe. Yao X. (2022) points out that Eastern and Western cultures are formed for a variety of reasons, with Confucianism in the East and legal and religious beliefs in the West, to the extent that they are directly different from each other in terms of their cultural backgrounds. Therefore, there are numerous problems and challenges that companies need to face in the process of expanding their business across borders. For example, cultural differences, communication, relationship building, and whether or not the relationship is established will mean that the two companies will be able to cooperate for a long period of time.At the centre of this report is the case of a large clothing retail group. The group is looking to expand its business into the highly promising Asian market through successful and effective International Business Communication.</w:t>
      </w:r>
    </w:p>
    <w:p w14:paraId="12F5849D">
      <w:pPr>
        <w:spacing w:line="480" w:lineRule="auto"/>
        <w:rPr>
          <w:rFonts w:hint="default" w:ascii="Times New Roman" w:hAnsi="Times New Roman" w:cs="Times New Roman"/>
          <w:sz w:val="24"/>
          <w:szCs w:val="24"/>
          <w:lang w:val="en-US" w:eastAsia="zh-CN"/>
        </w:rPr>
      </w:pPr>
    </w:p>
    <w:p w14:paraId="5B6766FC">
      <w:pPr>
        <w:spacing w:line="480" w:lineRule="auto"/>
        <w:rPr>
          <w:rFonts w:hint="default" w:ascii="Times New Roman" w:hAnsi="Times New Roman" w:cs="Times New Roman"/>
          <w:sz w:val="24"/>
          <w:szCs w:val="24"/>
          <w:lang w:val="en-US" w:eastAsia="zh-CN"/>
        </w:rPr>
      </w:pPr>
    </w:p>
    <w:p w14:paraId="5A1517E6">
      <w:pPr>
        <w:spacing w:line="480" w:lineRule="auto"/>
        <w:rPr>
          <w:rFonts w:hint="default" w:ascii="Times New Roman" w:hAnsi="Times New Roman" w:cs="Times New Roman"/>
          <w:sz w:val="24"/>
          <w:szCs w:val="24"/>
          <w:lang w:val="en-US" w:eastAsia="zh-CN"/>
        </w:rPr>
      </w:pPr>
    </w:p>
    <w:p w14:paraId="6DA33DFB">
      <w:pPr>
        <w:spacing w:line="480" w:lineRule="auto"/>
        <w:rPr>
          <w:rFonts w:hint="default" w:ascii="Times New Roman" w:hAnsi="Times New Roman" w:cs="Times New Roman"/>
          <w:sz w:val="24"/>
          <w:szCs w:val="24"/>
          <w:lang w:val="en-US" w:eastAsia="zh-CN"/>
        </w:rPr>
      </w:pPr>
    </w:p>
    <w:p w14:paraId="5D6297A1">
      <w:pPr>
        <w:spacing w:line="480" w:lineRule="auto"/>
        <w:rPr>
          <w:rFonts w:hint="default" w:ascii="Times New Roman" w:hAnsi="Times New Roman" w:cs="Times New Roman"/>
          <w:sz w:val="24"/>
          <w:szCs w:val="24"/>
          <w:lang w:val="en-US" w:eastAsia="zh-CN"/>
        </w:rPr>
      </w:pPr>
    </w:p>
    <w:p w14:paraId="059D90C0">
      <w:pPr>
        <w:spacing w:line="480" w:lineRule="auto"/>
        <w:rPr>
          <w:rFonts w:hint="default" w:ascii="Times New Roman" w:hAnsi="Times New Roman" w:cs="Times New Roman"/>
          <w:sz w:val="24"/>
          <w:szCs w:val="24"/>
          <w:lang w:val="en-US" w:eastAsia="zh-CN"/>
        </w:rPr>
      </w:pPr>
    </w:p>
    <w:p w14:paraId="6EBEC4A9">
      <w:pPr>
        <w:spacing w:line="480" w:lineRule="auto"/>
        <w:rPr>
          <w:rFonts w:hint="default" w:ascii="Times New Roman" w:hAnsi="Times New Roman" w:cs="Times New Roman"/>
          <w:sz w:val="24"/>
          <w:szCs w:val="24"/>
          <w:lang w:val="en-US" w:eastAsia="zh-CN"/>
        </w:rPr>
      </w:pPr>
    </w:p>
    <w:p w14:paraId="302D3420">
      <w:pPr>
        <w:spacing w:line="480" w:lineRule="auto"/>
        <w:rPr>
          <w:rFonts w:hint="default" w:ascii="Times New Roman" w:hAnsi="Times New Roman" w:cs="Times New Roman"/>
          <w:sz w:val="24"/>
          <w:szCs w:val="24"/>
          <w:lang w:val="en-US" w:eastAsia="zh-CN"/>
        </w:rPr>
      </w:pPr>
    </w:p>
    <w:p w14:paraId="22154554">
      <w:pPr>
        <w:spacing w:line="480" w:lineRule="auto"/>
        <w:rPr>
          <w:rFonts w:hint="default" w:ascii="Times New Roman" w:hAnsi="Times New Roman" w:cs="Times New Roman"/>
          <w:sz w:val="24"/>
          <w:szCs w:val="24"/>
          <w:lang w:val="en-US" w:eastAsia="zh-CN"/>
        </w:rPr>
      </w:pPr>
    </w:p>
    <w:p w14:paraId="65896D16">
      <w:pPr>
        <w:pStyle w:val="2"/>
        <w:bidi w:val="0"/>
        <w:rPr>
          <w:rFonts w:hint="default" w:ascii="Times New Roman" w:hAnsi="Times New Roman" w:cs="Times New Roman"/>
          <w:sz w:val="24"/>
          <w:szCs w:val="24"/>
          <w:lang w:val="en-US" w:eastAsia="zh-CN"/>
        </w:rPr>
      </w:pPr>
      <w:bookmarkStart w:id="1" w:name="_Toc10528"/>
      <w:r>
        <w:rPr>
          <w:rFonts w:hint="default" w:ascii="Times New Roman" w:hAnsi="Times New Roman" w:cs="Times New Roman"/>
          <w:sz w:val="24"/>
          <w:szCs w:val="24"/>
          <w:lang w:val="en-US" w:eastAsia="zh-CN"/>
        </w:rPr>
        <w:t>2.0 Main findings</w:t>
      </w:r>
      <w:bookmarkEnd w:id="1"/>
    </w:p>
    <w:p w14:paraId="592E1F3B">
      <w:pPr>
        <w:spacing w:line="480" w:lineRule="auto"/>
        <w:rPr>
          <w:rFonts w:hint="default" w:ascii="Times New Roman" w:hAnsi="Times New Roman" w:eastAsia="宋体" w:cs="Times New Roman"/>
          <w:sz w:val="24"/>
          <w:szCs w:val="24"/>
          <w:lang w:val="en-US" w:eastAsia="zh-CN"/>
        </w:rPr>
      </w:pPr>
    </w:p>
    <w:p w14:paraId="4B5442C8">
      <w:pPr>
        <w:spacing w:line="480" w:lineRule="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This section will look at the 8 perspectives of business communication. Each perspective will be analyzed to enable the apparel group to successfully communicate with the Asian market.</w:t>
      </w:r>
    </w:p>
    <w:p w14:paraId="4D92454D">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3F67FA8">
      <w:pPr>
        <w:pStyle w:val="3"/>
        <w:bidi w:val="0"/>
        <w:rPr>
          <w:rFonts w:hint="default" w:ascii="Times New Roman" w:hAnsi="Times New Roman" w:cs="Times New Roman"/>
          <w:sz w:val="24"/>
          <w:szCs w:val="24"/>
          <w:lang w:val="en-US" w:eastAsia="zh-CN"/>
        </w:rPr>
      </w:pPr>
      <w:bookmarkStart w:id="2" w:name="_Toc2644"/>
      <w:r>
        <w:rPr>
          <w:rFonts w:hint="default" w:ascii="Times New Roman" w:hAnsi="Times New Roman" w:cs="Times New Roman"/>
          <w:sz w:val="24"/>
          <w:szCs w:val="24"/>
          <w:lang w:val="en-US" w:eastAsia="zh-CN"/>
        </w:rPr>
        <w:t>2.1 – International Business Communication</w:t>
      </w:r>
      <w:bookmarkEnd w:id="2"/>
    </w:p>
    <w:p w14:paraId="7C164F65">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23744ADD">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Segoe UI" w:cs="Times New Roman"/>
          <w:i w:val="0"/>
          <w:iCs w:val="0"/>
          <w:caps w:val="0"/>
          <w:color w:val="2A2F45"/>
          <w:spacing w:val="0"/>
          <w:sz w:val="24"/>
          <w:szCs w:val="24"/>
          <w:shd w:val="clear" w:fill="FFFFFF"/>
        </w:rPr>
        <w:t xml:space="preserve">International business </w:t>
      </w:r>
      <w:r>
        <w:rPr>
          <w:rFonts w:hint="default" w:ascii="Times New Roman" w:hAnsi="Times New Roman" w:eastAsia="宋体" w:cs="Times New Roman"/>
          <w:i w:val="0"/>
          <w:iCs w:val="0"/>
          <w:caps w:val="0"/>
          <w:color w:val="2A2F45"/>
          <w:spacing w:val="0"/>
          <w:sz w:val="24"/>
          <w:szCs w:val="24"/>
          <w:shd w:val="clear" w:fill="FFFFFF"/>
          <w:lang w:val="en-US" w:eastAsia="zh-CN"/>
        </w:rPr>
        <w:t>c</w:t>
      </w:r>
      <w:r>
        <w:rPr>
          <w:rFonts w:hint="default" w:ascii="Times New Roman" w:hAnsi="Times New Roman" w:eastAsia="宋体" w:cs="Times New Roman"/>
          <w:b w:val="0"/>
          <w:bCs w:val="0"/>
          <w:color w:val="000008"/>
          <w:kern w:val="0"/>
          <w:sz w:val="24"/>
          <w:szCs w:val="24"/>
          <w:lang w:val="en-US" w:eastAsia="zh-CN" w:bidi="ar"/>
        </w:rPr>
        <w:t>ommunication</w:t>
      </w:r>
      <w:r>
        <w:rPr>
          <w:rFonts w:hint="default" w:ascii="Times New Roman" w:hAnsi="Times New Roman" w:eastAsia="Segoe UI" w:cs="Times New Roman"/>
          <w:i w:val="0"/>
          <w:iCs w:val="0"/>
          <w:caps w:val="0"/>
          <w:color w:val="2A2F45"/>
          <w:spacing w:val="0"/>
          <w:sz w:val="24"/>
          <w:szCs w:val="24"/>
          <w:shd w:val="clear" w:fill="FFFFFF"/>
        </w:rPr>
        <w:t xml:space="preserve"> is a form of transnational interaction, commonly referred to as 'globalization' and 'cross-cultural exchange'. Some scholars illustrate the case of China and Finland as an instance of international business exchange, where greeting cards and other means are employed for communication (You 2013). The objective of international business communication is to facilitate effective interaction between individuals, organizations, or companies from diverse cultures and countries, enabling them to address challenges arising from language and cultural disparities. Certain scholars have proposed that varying laws and policies across different nations create discrepancies in trade development levels, making it more challenging for companies to engage in mutual trade (L.H. 2024). The presence of international business communication aims to overcome these obstacles. Various methods such as verbal expression, written correspondence, and non-verbal cues are extensively utilized in international business communication to enhance mutual understanding between parties involved. Some scholars have referred to the importance of giving due consideration to important information such as the other party's socio-cultural background, psychological characteristics, habits, and preferences when developing negotiation strategies/tactics and selecting arguments (Xoldarova 2024)</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2A2F45"/>
          <w:spacing w:val="0"/>
          <w:sz w:val="24"/>
          <w:szCs w:val="24"/>
          <w:shd w:val="clear" w:fill="FFFFFF"/>
        </w:rPr>
        <w:t xml:space="preserve">This knowledge facilitates rapid establishment of mutual understanding during negotiations. </w:t>
      </w:r>
    </w:p>
    <w:p w14:paraId="4356A1BD">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A3662F4">
      <w:pPr>
        <w:pStyle w:val="3"/>
        <w:bidi w:val="0"/>
        <w:rPr>
          <w:rFonts w:hint="default" w:ascii="Times New Roman" w:hAnsi="Times New Roman" w:cs="Times New Roman"/>
          <w:sz w:val="24"/>
          <w:szCs w:val="24"/>
          <w:lang w:val="en-US" w:eastAsia="zh-CN"/>
        </w:rPr>
      </w:pPr>
      <w:bookmarkStart w:id="3" w:name="_Toc24692"/>
      <w:r>
        <w:rPr>
          <w:rFonts w:hint="default" w:ascii="Times New Roman" w:hAnsi="Times New Roman" w:cs="Times New Roman"/>
          <w:sz w:val="24"/>
          <w:szCs w:val="24"/>
          <w:lang w:val="en-US" w:eastAsia="zh-CN"/>
        </w:rPr>
        <w:t>2.2 – Skills Requirements</w:t>
      </w:r>
      <w:bookmarkEnd w:id="3"/>
    </w:p>
    <w:p w14:paraId="2E1D0290">
      <w:pPr>
        <w:pStyle w:val="4"/>
        <w:bidi w:val="0"/>
        <w:rPr>
          <w:rFonts w:hint="default" w:ascii="Times New Roman" w:hAnsi="Times New Roman" w:cs="Times New Roman"/>
          <w:sz w:val="24"/>
          <w:szCs w:val="24"/>
          <w:lang w:val="en-US" w:eastAsia="zh-CN"/>
        </w:rPr>
      </w:pPr>
      <w:bookmarkStart w:id="4" w:name="_Toc5394"/>
      <w:r>
        <w:rPr>
          <w:rFonts w:hint="default" w:ascii="Times New Roman" w:hAnsi="Times New Roman" w:cs="Times New Roman"/>
          <w:sz w:val="24"/>
          <w:szCs w:val="24"/>
          <w:lang w:val="en-US" w:eastAsia="zh-CN"/>
        </w:rPr>
        <w:t>2.2.1 Oral ability</w:t>
      </w:r>
      <w:bookmarkEnd w:id="4"/>
    </w:p>
    <w:p w14:paraId="63DDFFB2">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r>
        <w:rPr>
          <w:rFonts w:hint="default" w:ascii="Times New Roman" w:hAnsi="Times New Roman" w:eastAsia="Segoe UI" w:cs="Times New Roman"/>
          <w:i w:val="0"/>
          <w:iCs w:val="0"/>
          <w:caps w:val="0"/>
          <w:color w:val="2A2F45"/>
          <w:spacing w:val="0"/>
          <w:sz w:val="24"/>
          <w:szCs w:val="24"/>
          <w:shd w:val="clear" w:fill="FFFFFF"/>
        </w:rPr>
        <w:t>A scholar argues that linguistic expression presents the greatest challenge in cross-cultural communication due to varying cultural backgrounds (Ge Zhihong, 2004). Proficiency in oral expression is of utmost importance in international business communication as it serves as the fundamental basis for successful interactions. This ability enables accurate transmission of information and facilitates effective and precise acquisition of information. In an international business environment, clear expression helps mitigate misunderstandings arising from language differences. For instance, envision a negotiation scenario where ambiguous verbal expressions by a business representative lead to uncertainty regarding crucial factors such as delivery time and quality standards. This can result in disputes and conflicts between the parties during contract fulfillment. Consequently, inadequate verbal expression can give rise to various transactional issues that significantly impact a company's reputation, subsequent collaborations, or even lead to legal disputes. Enterprises can adopt diverse language training approaches to assist employees in acquiring professional skills. Some scholars suggest that online resources could be utilized by proficient language teachers who establish teaching platforms enabling students to practice negotiation and communication skills through self-study (Ho Chi Kuen, 2024). Additionally, apparel companies can leverage the internet to identify professionals for training purposes.</w:t>
      </w:r>
    </w:p>
    <w:p w14:paraId="69C47D18">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ECDA7C2">
      <w:pPr>
        <w:pStyle w:val="4"/>
        <w:bidi w:val="0"/>
        <w:rPr>
          <w:rFonts w:hint="default" w:ascii="Times New Roman" w:hAnsi="Times New Roman" w:cs="Times New Roman"/>
          <w:sz w:val="24"/>
          <w:szCs w:val="24"/>
          <w:lang w:val="en-US" w:eastAsia="zh-CN"/>
        </w:rPr>
      </w:pPr>
      <w:bookmarkStart w:id="5" w:name="_Toc9645"/>
      <w:r>
        <w:rPr>
          <w:rFonts w:hint="default" w:ascii="Times New Roman" w:hAnsi="Times New Roman" w:cs="Times New Roman"/>
          <w:sz w:val="24"/>
          <w:szCs w:val="24"/>
          <w:lang w:val="en-US" w:eastAsia="zh-CN"/>
        </w:rPr>
        <w:t>2.2.2 Critical thinking</w:t>
      </w:r>
      <w:bookmarkEnd w:id="5"/>
    </w:p>
    <w:p w14:paraId="56A2E65B">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6FE87D9E">
      <w:pPr>
        <w:keepNext w:val="0"/>
        <w:keepLines w:val="0"/>
        <w:widowControl/>
        <w:suppressLineNumbers w:val="0"/>
        <w:spacing w:line="480" w:lineRule="auto"/>
        <w:jc w:val="left"/>
        <w:rPr>
          <w:rFonts w:hint="default" w:ascii="Times New Roman" w:hAnsi="Times New Roman" w:eastAsia="Segoe UI" w:cs="Times New Roman"/>
          <w:i w:val="0"/>
          <w:iCs w:val="0"/>
          <w:caps w:val="0"/>
          <w:color w:val="2A2F45"/>
          <w:spacing w:val="0"/>
          <w:sz w:val="24"/>
          <w:szCs w:val="24"/>
          <w:shd w:val="clear" w:fill="FFFFFF"/>
        </w:rPr>
      </w:pPr>
      <w:r>
        <w:rPr>
          <w:rFonts w:hint="default" w:ascii="Times New Roman" w:hAnsi="Times New Roman" w:eastAsia="Segoe UI" w:cs="Times New Roman"/>
          <w:i w:val="0"/>
          <w:iCs w:val="0"/>
          <w:caps w:val="0"/>
          <w:color w:val="2A2F45"/>
          <w:spacing w:val="0"/>
          <w:sz w:val="24"/>
          <w:szCs w:val="24"/>
          <w:shd w:val="clear" w:fill="FFFFFF"/>
        </w:rPr>
        <w:t xml:space="preserve">Critical thinking skills are </w:t>
      </w:r>
      <w:r>
        <w:rPr>
          <w:rFonts w:hint="default" w:ascii="Times New Roman" w:hAnsi="Times New Roman" w:eastAsia="宋体" w:cs="Times New Roman"/>
          <w:i w:val="0"/>
          <w:iCs w:val="0"/>
          <w:caps w:val="0"/>
          <w:color w:val="2A2F45"/>
          <w:spacing w:val="0"/>
          <w:sz w:val="24"/>
          <w:szCs w:val="24"/>
          <w:shd w:val="clear" w:fill="FFFFFF"/>
          <w:lang w:val="en-US" w:eastAsia="zh-CN"/>
        </w:rPr>
        <w:t>essential</w:t>
      </w:r>
      <w:r>
        <w:rPr>
          <w:rFonts w:hint="default" w:ascii="Times New Roman" w:hAnsi="Times New Roman" w:eastAsia="Segoe UI" w:cs="Times New Roman"/>
          <w:i w:val="0"/>
          <w:iCs w:val="0"/>
          <w:caps w:val="0"/>
          <w:color w:val="2A2F45"/>
          <w:spacing w:val="0"/>
          <w:sz w:val="24"/>
          <w:szCs w:val="24"/>
          <w:shd w:val="clear" w:fill="FFFFFF"/>
        </w:rPr>
        <w:t xml:space="preserve"> in IBC. </w:t>
      </w:r>
      <w:r>
        <w:rPr>
          <w:rFonts w:hint="default" w:ascii="Times New Roman" w:hAnsi="Times New Roman" w:eastAsia="宋体" w:cs="Times New Roman"/>
          <w:i w:val="0"/>
          <w:iCs w:val="0"/>
          <w:caps w:val="0"/>
          <w:color w:val="2A2F45"/>
          <w:spacing w:val="0"/>
          <w:sz w:val="24"/>
          <w:szCs w:val="24"/>
          <w:shd w:val="clear" w:fill="FFFFFF"/>
          <w:lang w:val="en-US" w:eastAsia="zh-CN"/>
        </w:rPr>
        <w:t>I</w:t>
      </w:r>
      <w:r>
        <w:rPr>
          <w:rFonts w:hint="default" w:ascii="Times New Roman" w:hAnsi="Times New Roman" w:eastAsia="Segoe UI" w:cs="Times New Roman"/>
          <w:i w:val="0"/>
          <w:iCs w:val="0"/>
          <w:caps w:val="0"/>
          <w:color w:val="2A2F45"/>
          <w:spacing w:val="0"/>
          <w:sz w:val="24"/>
          <w:szCs w:val="24"/>
          <w:shd w:val="clear" w:fill="FFFFFF"/>
        </w:rPr>
        <w:t xml:space="preserve">t helps communicators to analyze problems and make the right decisions when faced with complex environmental factors. </w:t>
      </w:r>
      <w:r>
        <w:rPr>
          <w:rFonts w:hint="default" w:ascii="Times New Roman" w:hAnsi="Times New Roman" w:eastAsia="宋体" w:cs="Times New Roman"/>
          <w:i w:val="0"/>
          <w:iCs w:val="0"/>
          <w:caps w:val="0"/>
          <w:color w:val="2A2F45"/>
          <w:spacing w:val="0"/>
          <w:sz w:val="24"/>
          <w:szCs w:val="24"/>
          <w:shd w:val="clear" w:fill="FFFFFF"/>
          <w:lang w:val="en-US" w:eastAsia="zh-CN"/>
        </w:rPr>
        <w:t xml:space="preserve"> Some </w:t>
      </w:r>
      <w:r>
        <w:rPr>
          <w:rFonts w:hint="default" w:ascii="Times New Roman" w:hAnsi="Times New Roman" w:eastAsia="Segoe UI" w:cs="Times New Roman"/>
          <w:i w:val="0"/>
          <w:iCs w:val="0"/>
          <w:caps w:val="0"/>
          <w:color w:val="2A2F45"/>
          <w:spacing w:val="0"/>
          <w:sz w:val="24"/>
          <w:szCs w:val="24"/>
          <w:shd w:val="clear" w:fill="FFFFFF"/>
        </w:rPr>
        <w:t xml:space="preserve">scholars mentioned that critical thinking skills can be observed, thought, and solved abilities in the most scientific way. The existence of this ability is of great importance Santos </w:t>
      </w:r>
      <w:r>
        <w:rPr>
          <w:rFonts w:hint="default" w:ascii="Times New Roman" w:hAnsi="Times New Roman" w:eastAsia="宋体" w:cs="Times New Roman"/>
          <w:i w:val="0"/>
          <w:iCs w:val="0"/>
          <w:caps w:val="0"/>
          <w:color w:val="2A2F45"/>
          <w:spacing w:val="0"/>
          <w:sz w:val="24"/>
          <w:szCs w:val="24"/>
          <w:shd w:val="clear" w:fill="FFFFFF"/>
          <w:lang w:eastAsia="zh-CN"/>
        </w:rPr>
        <w:t>（</w:t>
      </w:r>
      <w:r>
        <w:rPr>
          <w:rFonts w:hint="default" w:ascii="Times New Roman" w:hAnsi="Times New Roman" w:eastAsia="Segoe UI" w:cs="Times New Roman"/>
          <w:i w:val="0"/>
          <w:iCs w:val="0"/>
          <w:caps w:val="0"/>
          <w:color w:val="2A2F45"/>
          <w:spacing w:val="0"/>
          <w:sz w:val="24"/>
          <w:szCs w:val="24"/>
          <w:shd w:val="clear" w:fill="FFFFFF"/>
        </w:rPr>
        <w:t>Luis 2017)The international business environment is full of variables. When interests are at stake, critical thinking helps communicators see issues from multiple perspectives. The major apparel retailer wants to enter the Asian market and must deal with the challenges of cultural diversity, different national policies, and a changing economic environment. Critical thinking can help communicators synthesize cultural, economic, and governmental policies in order to reach comprehensive conclusions.</w:t>
      </w:r>
    </w:p>
    <w:p w14:paraId="7C9B2B29">
      <w:pPr>
        <w:keepNext w:val="0"/>
        <w:keepLines w:val="0"/>
        <w:widowControl/>
        <w:suppressLineNumbers w:val="0"/>
        <w:spacing w:line="480" w:lineRule="auto"/>
        <w:jc w:val="left"/>
        <w:rPr>
          <w:rFonts w:hint="default" w:ascii="Times New Roman" w:hAnsi="Times New Roman" w:eastAsia="Segoe UI" w:cs="Times New Roman"/>
          <w:i w:val="0"/>
          <w:iCs w:val="0"/>
          <w:caps w:val="0"/>
          <w:color w:val="2A2F45"/>
          <w:spacing w:val="0"/>
          <w:sz w:val="24"/>
          <w:szCs w:val="24"/>
          <w:shd w:val="clear" w:fill="FFFFFF"/>
        </w:rPr>
      </w:pPr>
    </w:p>
    <w:p w14:paraId="0A78E9E4">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4A193B8">
      <w:pPr>
        <w:pStyle w:val="3"/>
        <w:bidi w:val="0"/>
        <w:rPr>
          <w:rFonts w:hint="default" w:ascii="Times New Roman" w:hAnsi="Times New Roman" w:cs="Times New Roman"/>
          <w:sz w:val="24"/>
          <w:szCs w:val="24"/>
          <w:lang w:val="en-US" w:eastAsia="zh-CN"/>
        </w:rPr>
      </w:pPr>
      <w:bookmarkStart w:id="6" w:name="_Toc11817"/>
      <w:r>
        <w:rPr>
          <w:rFonts w:hint="default" w:ascii="Times New Roman" w:hAnsi="Times New Roman" w:cs="Times New Roman"/>
          <w:sz w:val="24"/>
          <w:szCs w:val="24"/>
          <w:lang w:val="en-US" w:eastAsia="zh-CN"/>
        </w:rPr>
        <w:t>2.3 – Methods of Communication</w:t>
      </w:r>
      <w:bookmarkEnd w:id="6"/>
    </w:p>
    <w:p w14:paraId="59D4F995">
      <w:pPr>
        <w:keepNext w:val="0"/>
        <w:keepLines w:val="0"/>
        <w:widowControl/>
        <w:suppressLineNumbers w:val="0"/>
        <w:spacing w:line="480" w:lineRule="auto"/>
        <w:ind w:firstLine="720" w:firstLineChars="30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Three ways</w:t>
      </w:r>
    </w:p>
    <w:p w14:paraId="40FECAF8">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132EABB8">
      <w:pPr>
        <w:pStyle w:val="4"/>
        <w:bidi w:val="0"/>
        <w:rPr>
          <w:rFonts w:hint="default" w:ascii="Times New Roman" w:hAnsi="Times New Roman" w:cs="Times New Roman"/>
          <w:sz w:val="24"/>
          <w:szCs w:val="24"/>
          <w:lang w:val="en-US" w:eastAsia="zh-CN"/>
        </w:rPr>
      </w:pPr>
      <w:bookmarkStart w:id="7" w:name="_Toc21690"/>
      <w:r>
        <w:rPr>
          <w:rFonts w:hint="default" w:ascii="Times New Roman" w:hAnsi="Times New Roman" w:cs="Times New Roman"/>
          <w:sz w:val="24"/>
          <w:szCs w:val="24"/>
          <w:lang w:val="en-US" w:eastAsia="zh-CN"/>
        </w:rPr>
        <w:t>2.3.1 Trompenaars' theory of cultural dimensions</w:t>
      </w:r>
      <w:bookmarkEnd w:id="7"/>
    </w:p>
    <w:p w14:paraId="547E171B">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Trompenaars proposes seven cultural dimensions that reflect the opposing attitudes that exist in different cultures.... (2013) </w:t>
      </w:r>
    </w:p>
    <w:p w14:paraId="2912E40F">
      <w:pPr>
        <w:keepNext w:val="0"/>
        <w:keepLines w:val="0"/>
        <w:widowControl/>
        <w:numPr>
          <w:ilvl w:val="0"/>
          <w:numId w:val="1"/>
        </w:numPr>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Universalism and particularism: reflecting the influence of culture on rules and human-machine relationships. Universalism favors applicability, while particularism is more concerned with context and relationships. </w:t>
      </w:r>
    </w:p>
    <w:p w14:paraId="0B780E44">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Individualism and collectivism: different values, individualist culture focuses on independence, and collectivist culture has limited consideration of the collective. Nekane and Maria (2005) mentioned that the core of individualism lies in the emphasis on the independence and uniqueness of the individual and that the opinions as well as the instructions of others are not relevant to oneself.</w:t>
      </w:r>
    </w:p>
    <w:p w14:paraId="2DD75CFE">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Neutral vs. explicit: emotional expression, neutral emotions are more rational and restrained, and explicit emotions are more openly expressed. </w:t>
      </w:r>
    </w:p>
    <w:p w14:paraId="13C546D1">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Specificity versus diffusion: this dimension shows the culture's attitude towards the boundaries between professional and personal life: specificity cultures emphasize the separation of the two, while diffusion cultures tend to intermingle the two. </w:t>
      </w:r>
    </w:p>
    <w:p w14:paraId="507C6607">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Achievement-orientation and attribution-orientation: Emphasising differences in the sources of status, achievement-orientation focuses on competence and achievement, while attribution-orientation places more emphasis on age and gender. Some scholars believe that achievement goal orientation mediates the relationship between leadership-differentiated empowerment and employee innovative performance (Zhao. 2024) </w:t>
      </w:r>
    </w:p>
    <w:p w14:paraId="6E13521C">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Linear versus synchronous time: the two sides have different understandings of time, with linear time cultures strictly adhering to time schedules and synchronous time being more flexible. </w:t>
      </w:r>
    </w:p>
    <w:p w14:paraId="0AD2B8B0">
      <w:pPr>
        <w:keepNext w:val="0"/>
        <w:keepLines w:val="0"/>
        <w:widowControl/>
        <w:numPr>
          <w:ilvl w:val="0"/>
          <w:numId w:val="1"/>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Internal versus external control: reflects the attitudes of both parties towards the environment, with internal control cultures favoring personal control and external control cultures favoring external forces.</w:t>
      </w:r>
    </w:p>
    <w:p w14:paraId="56B4DF13">
      <w:pPr>
        <w:keepNext w:val="0"/>
        <w:keepLines w:val="0"/>
        <w:widowControl/>
        <w:suppressLineNumbers w:val="0"/>
        <w:spacing w:line="480" w:lineRule="auto"/>
        <w:ind w:firstLine="480" w:firstLineChars="200"/>
        <w:jc w:val="left"/>
        <w:rPr>
          <w:rFonts w:hint="default" w:ascii="Times New Roman" w:hAnsi="Times New Roman" w:eastAsia="宋体" w:cs="Times New Roman"/>
          <w:color w:val="000008"/>
          <w:kern w:val="0"/>
          <w:sz w:val="24"/>
          <w:szCs w:val="24"/>
          <w:lang w:val="en-US" w:eastAsia="zh-CN" w:bidi="ar"/>
        </w:rPr>
      </w:pPr>
    </w:p>
    <w:p w14:paraId="3282B32F">
      <w:pPr>
        <w:pStyle w:val="4"/>
        <w:bidi w:val="0"/>
        <w:rPr>
          <w:rFonts w:hint="default" w:ascii="Times New Roman" w:hAnsi="Times New Roman" w:cs="Times New Roman"/>
          <w:sz w:val="24"/>
          <w:szCs w:val="24"/>
          <w:lang w:val="en-US" w:eastAsia="zh-CN"/>
        </w:rPr>
      </w:pPr>
      <w:bookmarkStart w:id="8" w:name="_Toc5164"/>
      <w:r>
        <w:rPr>
          <w:rFonts w:hint="default" w:ascii="Times New Roman" w:hAnsi="Times New Roman" w:cs="Times New Roman"/>
          <w:sz w:val="24"/>
          <w:szCs w:val="24"/>
          <w:lang w:val="en-US" w:eastAsia="zh-CN"/>
        </w:rPr>
        <w:t>2.3.2 Hall's Theory of High and Low Context</w:t>
      </w:r>
      <w:bookmarkEnd w:id="8"/>
    </w:p>
    <w:p w14:paraId="0C10AFF0">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56A7E6B8">
      <w:pPr>
        <w:keepNext w:val="0"/>
        <w:keepLines w:val="0"/>
        <w:widowControl/>
        <w:suppressLineNumbers w:val="0"/>
        <w:spacing w:line="480" w:lineRule="auto"/>
        <w:ind w:firstLine="240" w:firstLineChars="100"/>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Hall categorizes context into high and low context in Beyond Culture.‘Xia (2024) also says that Hall defines context as ‘information that surrounds an event; it is inseparable from the meaning of the event’. He categorizes context into high context and low context. Meihan Chen (2024) illustrated the difference in communication styles between high and low-context communicators by comparing a Chinese company with a British company. She mentioned that Chinese expressions are more intimate and friendly. For example, ‘Dear’ is used to address people. The British expression is more direct and objective. These differences are mainly in the degree of dependence on context in the transmission of information. High-context communicative cultures are more euphemistic and rely on non-verbal cues to imply a message. Information is conveyed through indirect means. Examples of Asian markets are China and Japan. Both countries have high-context cultures and therefore must use high-context cultures in business communication. On the contrary, low-context cultures focus more on conveying information through language itself to make communication more direct and objective. Some scholars even say that if both companies belong to low-context cultures, misunderstanding is less likely because people communicate directly according to their habits. However, if the cultures are different, especially when two high-context cultures are involved, the possibility of conflict is high. (Vescovi, Greselin 2017-2018) Therefore, if the apparel group wants to enter the Asian market, it needs to analyze in detail the high- and low-context cultures of the target market to better communicate in international business.</w:t>
      </w:r>
    </w:p>
    <w:p w14:paraId="50494355">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274E5442">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5D7325AF">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5703FCD7">
      <w:pPr>
        <w:pStyle w:val="4"/>
        <w:bidi w:val="0"/>
        <w:rPr>
          <w:rFonts w:hint="default" w:ascii="Times New Roman" w:hAnsi="Times New Roman" w:cs="Times New Roman"/>
          <w:sz w:val="24"/>
          <w:szCs w:val="24"/>
          <w:lang w:val="en-US" w:eastAsia="zh-CN"/>
        </w:rPr>
      </w:pPr>
      <w:bookmarkStart w:id="9" w:name="_Toc8913"/>
      <w:r>
        <w:rPr>
          <w:rFonts w:hint="default" w:ascii="Times New Roman" w:hAnsi="Times New Roman" w:cs="Times New Roman"/>
          <w:sz w:val="24"/>
          <w:szCs w:val="24"/>
          <w:lang w:val="en-US" w:eastAsia="zh-CN"/>
        </w:rPr>
        <w:t>2.3.3 Hofstede's theory of cultural dimensions</w:t>
      </w:r>
      <w:bookmarkEnd w:id="9"/>
    </w:p>
    <w:p w14:paraId="4165FB58">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Hofstede's cultural theory is divided into 6 core points: power distance, individualism vs. collectivism, masculinity vs. femininity, uncertainty avoidance, long-term vs. short-term orientation, and indulgence vs. restraint, Wei (2024) mentions that this framework explains the attitudes of people in different cultures in dealing with work, relationships, and life </w:t>
      </w:r>
    </w:p>
    <w:p w14:paraId="6D5EE477">
      <w:pPr>
        <w:keepNext w:val="0"/>
        <w:keepLines w:val="0"/>
        <w:widowControl/>
        <w:numPr>
          <w:ilvl w:val="0"/>
          <w:numId w:val="2"/>
        </w:numPr>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Power Distance: reflects the acceptance of unequal power in a society. Acceptance of unequal power. High power distance cultures emphasize registration, where there is a huge power gap. Low power distance cultures, on the other hand, focus more on equality and free expression, where everyone has almost the same rights. Several scholars have pointed out that how employees feel about the organization can be a conditioning factor for job satisfaction and intention to leave. An example is leadership style. The more satisfied the job is, the more inclined the employee is to stay in the organization (Talat et al. 4 2024) </w:t>
      </w:r>
    </w:p>
    <w:p w14:paraId="5D716EB8">
      <w:pPr>
        <w:keepNext w:val="0"/>
        <w:keepLines w:val="0"/>
        <w:widowControl/>
        <w:numPr>
          <w:ilvl w:val="0"/>
          <w:numId w:val="0"/>
        </w:numPr>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38B6C11">
      <w:pPr>
        <w:keepNext w:val="0"/>
        <w:keepLines w:val="0"/>
        <w:widowControl/>
        <w:numPr>
          <w:ilvl w:val="0"/>
          <w:numId w:val="2"/>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Individualism and collectivism: distinguishing between independent individuals and groups. Individualism places more emphasis on individual achievement, whereas group culture prioritizes group achievement. </w:t>
      </w:r>
    </w:p>
    <w:p w14:paraId="583A03BA">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p>
    <w:p w14:paraId="6ABEDF8F">
      <w:pPr>
        <w:keepNext w:val="0"/>
        <w:keepLines w:val="0"/>
        <w:widowControl/>
        <w:numPr>
          <w:ilvl w:val="0"/>
          <w:numId w:val="2"/>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Masculinity and femininity: reflect the culture's assignment of values. Masculine cultures seek achievement, while feminized cultures place more emphasis on quality of life and equality. </w:t>
      </w:r>
    </w:p>
    <w:p w14:paraId="105B7511">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p>
    <w:p w14:paraId="2F681FD7">
      <w:pPr>
        <w:keepNext w:val="0"/>
        <w:keepLines w:val="0"/>
        <w:widowControl/>
        <w:numPr>
          <w:ilvl w:val="0"/>
          <w:numId w:val="2"/>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Uncertainty Avoidance: A culture's tolerance for risk and ambiguity, with cultures with high avoidance values favoring rules and stability, while cultures with low avoidance values are more open to change and innovation. </w:t>
      </w:r>
    </w:p>
    <w:p w14:paraId="2351E940">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p>
    <w:p w14:paraId="669CC7AF">
      <w:pPr>
        <w:keepNext w:val="0"/>
        <w:keepLines w:val="0"/>
        <w:widowControl/>
        <w:numPr>
          <w:ilvl w:val="0"/>
          <w:numId w:val="2"/>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Long-term-orientated cultures emphasize persistence and frugality, whereas short-term-orientated cultures emphasize quick results and tradition. There is a need to be more open to change and innovation. </w:t>
      </w:r>
    </w:p>
    <w:p w14:paraId="0282E890">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p>
    <w:p w14:paraId="590E9246">
      <w:pPr>
        <w:keepNext w:val="0"/>
        <w:keepLines w:val="0"/>
        <w:widowControl/>
        <w:numPr>
          <w:ilvl w:val="0"/>
          <w:numId w:val="2"/>
        </w:numPr>
        <w:suppressLineNumbers w:val="0"/>
        <w:spacing w:line="480" w:lineRule="auto"/>
        <w:ind w:left="0" w:leftChars="0" w:firstLine="0" w:firstLine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There is a difference between indulgent and restrained cultures in terms of satisfying desires and controlling behavior. A culture of indulgence promotes free enjoyment, a culture of restraint promotes free enjoyment, and a culture of restraint promotes free enjoyment. There is a difference between indulgent and restrained cultures in terms of satisfying desires and controlling behavior. Some scholars have also interpreted Hofstede's 6 theories Kujtim (2024). </w:t>
      </w:r>
    </w:p>
    <w:p w14:paraId="561F979D">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p>
    <w:p w14:paraId="19765EB0">
      <w:pPr>
        <w:keepNext w:val="0"/>
        <w:keepLines w:val="0"/>
        <w:widowControl/>
        <w:numPr>
          <w:ilvl w:val="0"/>
          <w:numId w:val="0"/>
        </w:numPr>
        <w:suppressLineNumbers w:val="0"/>
        <w:spacing w:line="480" w:lineRule="auto"/>
        <w:ind w:leftChars="0"/>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In addition, some scholars have made a study to analyze and solve the problems through Hofstede's six theories by taking the examples of two companies, NipponElectro and TechInnovate. They believe that companies should cultivate a team that is not only technically but also culturally proficient. This will enable the company to face the challenges better. (Hanzheng Lin, Lingling Lou2024)</w:t>
      </w:r>
    </w:p>
    <w:p w14:paraId="6E37AD40">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2F75C612">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1893EE53">
      <w:pPr>
        <w:pStyle w:val="3"/>
        <w:bidi w:val="0"/>
        <w:rPr>
          <w:rFonts w:hint="default" w:ascii="Times New Roman" w:hAnsi="Times New Roman" w:cs="Times New Roman"/>
          <w:sz w:val="24"/>
          <w:szCs w:val="24"/>
          <w:lang w:val="en-US" w:eastAsia="zh-CN"/>
        </w:rPr>
      </w:pPr>
      <w:bookmarkStart w:id="10" w:name="_Toc7329"/>
      <w:r>
        <w:rPr>
          <w:rFonts w:hint="default" w:ascii="Times New Roman" w:hAnsi="Times New Roman" w:cs="Times New Roman"/>
          <w:sz w:val="24"/>
          <w:szCs w:val="24"/>
          <w:lang w:val="en-US" w:eastAsia="zh-CN"/>
        </w:rPr>
        <w:t>2.4 – Effective Communication</w:t>
      </w:r>
      <w:bookmarkEnd w:id="10"/>
    </w:p>
    <w:p w14:paraId="48C5E244">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5033EC37">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Effective communication can be achieved by developing relationships to build trust. Hanqi Yue and Siqi Huang (2024) pointed out that in the context of cultural differences, cross-cultural teams need to face and make adjustments to the values and behavioral norms of different cultures to prevent conflicts and ensure harmonious coexistence of the team. Take Asian countries as an example. Unlike Western cultures, many Asian countries place great importance on building and nurturing relationships before engaging in formal business cooperation. Rather than a simple written agreement or a few deals, relationship building requires long-term interaction and communication between the parties, face-to-face meetings, and shared experiences to develop. As Wen Wanhe (2024) mentions the operating mechanism of the company's cooperation is based on the mutual interests and long-term relationship between the two parties.  For examole，the apparel group wishes to enter the Chinese market, it is apparel company wishes to enter the Chinese market, it is important to first understand that in China, relationships between partners are long term and therefore building trust takes time and effort. together. Therefore, the clothing group needed to gain an in-depth understanding of the various ways of socializing in China to help the group gain the goodwill of the other party. As one scholar suggests effective international co-operation relies on the understanding of different cultures and languages. Communication barriers or cultural misunderstandings may hinder the cooperation process and even threaten the success of multinational enterprises. Nkechi (2024)</w:t>
      </w:r>
    </w:p>
    <w:p w14:paraId="230BEED0">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2C8B4999">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0037E59F">
      <w:pPr>
        <w:pStyle w:val="3"/>
        <w:bidi w:val="0"/>
        <w:rPr>
          <w:rFonts w:hint="default" w:ascii="Times New Roman" w:hAnsi="Times New Roman" w:cs="Times New Roman"/>
          <w:sz w:val="24"/>
          <w:szCs w:val="24"/>
        </w:rPr>
      </w:pPr>
      <w:bookmarkStart w:id="11" w:name="_Toc22503"/>
      <w:r>
        <w:rPr>
          <w:rFonts w:hint="default" w:ascii="Times New Roman" w:hAnsi="Times New Roman" w:cs="Times New Roman"/>
          <w:sz w:val="24"/>
          <w:szCs w:val="24"/>
          <w:lang w:val="en-US" w:eastAsia="zh-CN"/>
        </w:rPr>
        <w:t>2.5 – International Culture</w:t>
      </w:r>
      <w:bookmarkEnd w:id="11"/>
    </w:p>
    <w:p w14:paraId="0B692249">
      <w:pPr>
        <w:keepNext w:val="0"/>
        <w:keepLines w:val="0"/>
        <w:widowControl/>
        <w:suppressLineNumbers w:val="0"/>
        <w:spacing w:line="480" w:lineRule="auto"/>
        <w:jc w:val="left"/>
        <w:rPr>
          <w:rFonts w:hint="default" w:ascii="Times New Roman" w:hAnsi="Times New Roman" w:eastAsia="宋体" w:cs="Times New Roman"/>
          <w:sz w:val="24"/>
          <w:szCs w:val="24"/>
        </w:rPr>
      </w:pPr>
    </w:p>
    <w:p w14:paraId="268E98B4">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sz w:val="24"/>
          <w:szCs w:val="24"/>
        </w:rPr>
        <w:t>International culture is a product of the intertwining of globalization and cultural diversity, which transcends national boundaries, encompassing common values and behavioral patterns while retaining the unique cultural characteristics of each place. Understanding cultural differences, adapting to different needs, and respecting local customs and practices are the keys to success in international business. For example, Liu (2024) argues that when entering a new market, the translation of a product's logo must respect the cultural characteristics of the target market, including political significance, religious beliefs, and moral concepts. Therefore, the global apparel group should also respect the cultural characteristics of the target market when entering the Asian market.</w:t>
      </w:r>
    </w:p>
    <w:p w14:paraId="2E9C7559">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6B7B5ABA">
      <w:pPr>
        <w:bidi w:val="0"/>
        <w:rPr>
          <w:rFonts w:hint="default" w:ascii="Times New Roman" w:hAnsi="Times New Roman" w:cs="Times New Roman"/>
          <w:sz w:val="24"/>
          <w:szCs w:val="24"/>
          <w:lang w:val="en-US" w:eastAsia="zh-CN"/>
        </w:rPr>
      </w:pPr>
    </w:p>
    <w:p w14:paraId="5319D19B">
      <w:pPr>
        <w:pStyle w:val="4"/>
        <w:bidi w:val="0"/>
        <w:rPr>
          <w:rFonts w:hint="default" w:ascii="Times New Roman" w:hAnsi="Times New Roman" w:cs="Times New Roman"/>
          <w:sz w:val="24"/>
          <w:szCs w:val="24"/>
          <w:lang w:val="en-US" w:eastAsia="zh-CN"/>
        </w:rPr>
      </w:pPr>
      <w:bookmarkStart w:id="12" w:name="_Toc7713"/>
      <w:r>
        <w:rPr>
          <w:rFonts w:hint="default" w:ascii="Times New Roman" w:hAnsi="Times New Roman" w:cs="Times New Roman"/>
          <w:sz w:val="24"/>
          <w:szCs w:val="24"/>
          <w:lang w:val="en-US" w:eastAsia="zh-CN"/>
        </w:rPr>
        <w:t xml:space="preserve">2.5.1 </w:t>
      </w:r>
      <w:bookmarkStart w:id="13" w:name="OLE_LINK2"/>
      <w:bookmarkStart w:id="14" w:name="OLE_LINK1"/>
      <w:r>
        <w:rPr>
          <w:rFonts w:hint="default" w:ascii="Times New Roman" w:hAnsi="Times New Roman" w:cs="Times New Roman"/>
          <w:sz w:val="24"/>
          <w:szCs w:val="24"/>
          <w:lang w:val="en-US" w:eastAsia="zh-CN"/>
        </w:rPr>
        <w:t>Trompenaars’</w:t>
      </w:r>
      <w:bookmarkEnd w:id="13"/>
      <w:r>
        <w:rPr>
          <w:rFonts w:hint="default" w:ascii="Times New Roman" w:hAnsi="Times New Roman" w:cs="Times New Roman"/>
          <w:sz w:val="24"/>
          <w:szCs w:val="24"/>
          <w:lang w:val="en-US" w:eastAsia="zh-CN"/>
        </w:rPr>
        <w:t xml:space="preserve"> Cultural Dimensions</w:t>
      </w:r>
      <w:bookmarkEnd w:id="14"/>
      <w:r>
        <w:rPr>
          <w:rFonts w:hint="default" w:ascii="Times New Roman" w:hAnsi="Times New Roman" w:cs="Times New Roman"/>
          <w:sz w:val="24"/>
          <w:szCs w:val="24"/>
          <w:lang w:val="en-US" w:eastAsia="zh-CN"/>
        </w:rPr>
        <w:t>（7 types）</w:t>
      </w:r>
      <w:bookmarkEnd w:id="12"/>
    </w:p>
    <w:p w14:paraId="5A02D8F1">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1602C346">
      <w:pPr>
        <w:spacing w:line="480" w:lineRule="auto"/>
        <w:rPr>
          <w:rFonts w:hint="default" w:ascii="Times New Roman" w:hAnsi="Times New Roman" w:eastAsia="宋体" w:cs="Times New Roman"/>
          <w:sz w:val="24"/>
          <w:szCs w:val="24"/>
          <w:lang w:val="en-US" w:eastAsia="zh-CN"/>
        </w:rPr>
      </w:pPr>
    </w:p>
    <w:p w14:paraId="300233F7">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seven theories of Trompenaars' cultural dimensions can be explored and deepened about the apparel group's entry into the Asian market. Groupism versus individualism is an important cultural dimension in the Asian market, highlighting the differences in business practices between countries such as China and South Korea.I was once in a Chinese company as an intern. During a business negotiation, my company sent a senior manager to negotiate with other companies. This shows that my company favored the use of individualism to conduct business communication. The delegate was the main decision-maker and communicated on behalf of the company. In contrast, Korean companies send delegations to international business negotiations. The delegation represents the company as a collective, with one person acting as a spokesperson to communicate. This approach is consistent with the Korean culture of groupism, which emphasizes group participation and collective decision-making.</w:t>
      </w:r>
    </w:p>
    <w:p w14:paraId="14F4FE25">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36037289">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1ECECFD1">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5371C82A">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597D2988">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45D6BBCD">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13203343">
      <w:pPr>
        <w:pStyle w:val="3"/>
        <w:bidi w:val="0"/>
        <w:rPr>
          <w:rFonts w:hint="default" w:ascii="Times New Roman" w:hAnsi="Times New Roman" w:cs="Times New Roman"/>
          <w:sz w:val="24"/>
          <w:szCs w:val="24"/>
        </w:rPr>
      </w:pPr>
      <w:bookmarkStart w:id="15" w:name="_Toc19649"/>
      <w:r>
        <w:rPr>
          <w:rFonts w:hint="default" w:ascii="Times New Roman" w:hAnsi="Times New Roman" w:cs="Times New Roman"/>
          <w:sz w:val="24"/>
          <w:szCs w:val="24"/>
          <w:lang w:val="en-US" w:eastAsia="zh-CN"/>
        </w:rPr>
        <w:t xml:space="preserve">2.6 </w:t>
      </w:r>
      <w:r>
        <w:rPr>
          <w:rFonts w:hint="default" w:ascii="Times New Roman" w:hAnsi="Times New Roman" w:cs="Times New Roman"/>
          <w:sz w:val="24"/>
          <w:szCs w:val="24"/>
          <w:lang w:val="en-US" w:eastAsia="zh-CN"/>
        </w:rPr>
        <w:t>Importance of Building Relationships</w:t>
      </w:r>
      <w:bookmarkEnd w:id="15"/>
    </w:p>
    <w:p w14:paraId="35F05CDC">
      <w:pPr>
        <w:spacing w:line="480" w:lineRule="auto"/>
        <w:rPr>
          <w:rFonts w:hint="default" w:ascii="Times New Roman" w:hAnsi="Times New Roman" w:eastAsia="宋体" w:cs="Times New Roman"/>
          <w:sz w:val="24"/>
          <w:szCs w:val="24"/>
          <w:lang w:val="en-US" w:eastAsia="zh-CN"/>
        </w:rPr>
      </w:pPr>
    </w:p>
    <w:p w14:paraId="416B651A">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enterprises, relationship building is the basis for long-term development, but also to strengthen cultural exchanges, in business cooperation, a good relationship can help enterprises better understand the needs of partners. For example, if the apparel company wants to enter the Asian market, relationship building is the key to smooth business cooperation, after finding a suitable market partner, you need to establish a relationship of trust with each other. Mutual trust is an important basis for signing contracts and long-term cooperation. Some scholars point out that enterprises can carry out corresponding tax relief through tax agreements and other ways of cross-border cooperation, tax credits for tax pointed out. (Wang Xiaolei et al. 2024) Therefore, the apparel group can examine the policy of the target market, choose the appropriate cooperation target, and carry out tax relief reasonably and legally.</w:t>
      </w:r>
    </w:p>
    <w:p w14:paraId="66C73320">
      <w:pPr>
        <w:keepNext w:val="0"/>
        <w:keepLines w:val="0"/>
        <w:widowControl/>
        <w:suppressLineNumbers w:val="0"/>
        <w:spacing w:line="480" w:lineRule="auto"/>
        <w:jc w:val="left"/>
        <w:rPr>
          <w:rFonts w:hint="default" w:ascii="Times New Roman" w:hAnsi="Times New Roman" w:eastAsia="宋体" w:cs="Times New Roman"/>
          <w:sz w:val="24"/>
          <w:szCs w:val="24"/>
          <w:lang w:val="en-US" w:eastAsia="zh-CN"/>
        </w:rPr>
      </w:pPr>
    </w:p>
    <w:p w14:paraId="28E24E80">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733437B6">
      <w:pPr>
        <w:pStyle w:val="3"/>
        <w:bidi w:val="0"/>
        <w:rPr>
          <w:rFonts w:hint="default" w:ascii="Times New Roman" w:hAnsi="Times New Roman" w:cs="Times New Roman"/>
          <w:sz w:val="24"/>
          <w:szCs w:val="24"/>
          <w:lang w:val="en-US" w:eastAsia="zh-CN"/>
        </w:rPr>
      </w:pPr>
      <w:bookmarkStart w:id="16" w:name="_Toc16553"/>
      <w:r>
        <w:rPr>
          <w:rFonts w:hint="default" w:ascii="Times New Roman" w:hAnsi="Times New Roman" w:cs="Times New Roman"/>
          <w:sz w:val="24"/>
          <w:szCs w:val="24"/>
          <w:lang w:val="en-US" w:eastAsia="zh-CN"/>
        </w:rPr>
        <w:t>2.7</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How to build Trust</w:t>
      </w:r>
      <w:bookmarkEnd w:id="16"/>
    </w:p>
    <w:p w14:paraId="53192279">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 xml:space="preserve">Building relationships in international business is a gradual process. It is a process that takes time and patience to hone. The first step in entering the Asian market is to choose the right local partner. The first meeting with the partner is the first step in building a relationship. A mutual understanding of needs, culture, and business model allows for appropriate business transformation and modifications. </w:t>
      </w:r>
    </w:p>
    <w:p w14:paraId="783B4C1A">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Then, at a later stage, the relationship is deepened through emails, conference calls, and even face-to-face meetings to share information and solidify the relationship through frequent communication. Some scholars have pointed out that enterprises can cooperate with universities and research institutions. Combining the excellent resources of both parties to cultivate talents. (Dai Ji 2024) It is possible to communicate better by sending these talents out to the partner's company for in-depth communication.</w:t>
      </w:r>
    </w:p>
    <w:p w14:paraId="28D3ACDD">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51103703">
      <w:pPr>
        <w:keepNext w:val="0"/>
        <w:keepLines w:val="0"/>
        <w:widowControl/>
        <w:suppressLineNumbers w:val="0"/>
        <w:spacing w:line="480" w:lineRule="auto"/>
        <w:jc w:val="left"/>
        <w:rPr>
          <w:rFonts w:hint="default" w:ascii="Times New Roman" w:hAnsi="Times New Roman" w:eastAsia="宋体" w:cs="Times New Roman"/>
          <w:color w:val="000008"/>
          <w:kern w:val="0"/>
          <w:sz w:val="24"/>
          <w:szCs w:val="24"/>
          <w:lang w:val="en-US" w:eastAsia="zh-CN" w:bidi="ar"/>
        </w:rPr>
      </w:pPr>
    </w:p>
    <w:p w14:paraId="541EAD88">
      <w:pPr>
        <w:pStyle w:val="2"/>
        <w:bidi w:val="0"/>
        <w:rPr>
          <w:rFonts w:hint="default" w:ascii="Times New Roman" w:hAnsi="Times New Roman" w:cs="Times New Roman"/>
          <w:sz w:val="24"/>
          <w:szCs w:val="24"/>
        </w:rPr>
      </w:pPr>
      <w:bookmarkStart w:id="17" w:name="_Toc6791"/>
      <w:r>
        <w:rPr>
          <w:rFonts w:hint="default" w:ascii="Times New Roman" w:hAnsi="Times New Roman" w:cs="Times New Roman"/>
          <w:sz w:val="24"/>
          <w:szCs w:val="24"/>
          <w:lang w:val="en-US" w:eastAsia="zh-CN"/>
        </w:rPr>
        <w:t xml:space="preserve">2.8 </w:t>
      </w:r>
      <w:r>
        <w:rPr>
          <w:rFonts w:hint="default" w:ascii="Times New Roman" w:hAnsi="Times New Roman" w:cs="Times New Roman"/>
          <w:sz w:val="24"/>
          <w:szCs w:val="24"/>
          <w:lang w:val="en-US" w:eastAsia="zh-CN"/>
        </w:rPr>
        <w:t>Failed Relationships</w:t>
      </w:r>
      <w:bookmarkEnd w:id="17"/>
    </w:p>
    <w:p w14:paraId="3663D79B">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There are many reasons for failure in international business cooperation. For example, companies fail to establish reliable and trusting relationships with local markets and partners, thus making it difficult to gain a foothold in the target market. The second is the impact of language barriers, cultural differences, and non-verbal communication. Liu Baiyu (2005) mentions having been involved in a business negotiation involving a deal for sanding machines between an American trading company and a Chinese manufacturer. Even though both parties were well prepared, the Chinese side's request for an irrevocable demand letter of credit from the US side was rejected during the contract negotiation, which ultimately led to the failure of the negotiation.</w:t>
      </w:r>
    </w:p>
    <w:p w14:paraId="53808B12">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351A2E97">
      <w:pPr>
        <w:pStyle w:val="2"/>
        <w:bidi w:val="0"/>
        <w:rPr>
          <w:rFonts w:hint="default" w:ascii="Times New Roman" w:hAnsi="Times New Roman" w:cs="Times New Roman"/>
          <w:sz w:val="24"/>
          <w:szCs w:val="24"/>
        </w:rPr>
      </w:pPr>
      <w:bookmarkStart w:id="18" w:name="_Toc3420"/>
      <w:r>
        <w:rPr>
          <w:rFonts w:hint="default" w:ascii="Times New Roman" w:hAnsi="Times New Roman" w:cs="Times New Roman"/>
          <w:sz w:val="24"/>
          <w:szCs w:val="24"/>
          <w:lang w:val="en-US" w:eastAsia="zh-CN"/>
        </w:rPr>
        <w:t>3.0 – Conclusions</w:t>
      </w:r>
      <w:bookmarkEnd w:id="18"/>
    </w:p>
    <w:p w14:paraId="527CD0A6">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sz w:val="24"/>
          <w:szCs w:val="24"/>
        </w:rPr>
        <w:t>This report explores the importance of International Business Communication (IBC) in cross-border expansion, with particular reference to the case of a clothing retail group's foray into the Asian market.  The report emphasizes the importance of oral and written communication skills, critical thinking, and cross-cultural understanding in addressing complex environments. Through theoretical frameworks such as Hall's Cultural Context Theory and Hofstede's Cultural Dimensions Theory, organizations are able to understand and adapt to different cultures' communication styles, thereby reducing misunderstandings and building trust. The report also points out that relationship building is crucial in Asian markets and that trust is built through long-term social interactions and cultural understanding.</w:t>
      </w:r>
    </w:p>
    <w:p w14:paraId="11E970F3">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32FE2F69">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2109D8CA">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4F4CC92C">
      <w:pPr>
        <w:pStyle w:val="2"/>
        <w:bidi w:val="0"/>
        <w:rPr>
          <w:rFonts w:hint="default" w:ascii="Times New Roman" w:hAnsi="Times New Roman" w:cs="Times New Roman"/>
          <w:sz w:val="24"/>
          <w:szCs w:val="24"/>
          <w:lang w:val="en-US" w:eastAsia="zh-CN"/>
        </w:rPr>
      </w:pPr>
      <w:bookmarkStart w:id="19" w:name="_Toc4103"/>
      <w:r>
        <w:rPr>
          <w:rFonts w:hint="default" w:ascii="Times New Roman" w:hAnsi="Times New Roman" w:cs="Times New Roman"/>
          <w:sz w:val="24"/>
          <w:szCs w:val="24"/>
          <w:lang w:val="en-US" w:eastAsia="zh-CN"/>
        </w:rPr>
        <w:t>4.0 – Recommendations</w:t>
      </w:r>
      <w:bookmarkEnd w:id="19"/>
    </w:p>
    <w:p w14:paraId="1692F518">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Based on the case in 2.8, the author believes that the understanding and adaptation of cultural differences need to be emphasized in cross-cultural business exchanges. China's request for the U.S. to issue an irrevocable demand letter of credit indicates a lack of trust between the two parties, which may stem from differences in cultural backgrounds and business habits.</w:t>
      </w:r>
    </w:p>
    <w:p w14:paraId="3022ED4E">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49BA4AAD">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color w:val="000008"/>
          <w:kern w:val="0"/>
          <w:sz w:val="24"/>
          <w:szCs w:val="24"/>
          <w:lang w:val="en-US" w:eastAsia="zh-CN" w:bidi="ar"/>
        </w:rPr>
        <w:t>To build trust, enterprises can open cooperation through small transactions and gradually accumulate confidence. At the same time, strengthening communication, enhancing transparency, and respecting each other's culture and habits, such as the Asian market's emphasis on relationship orientation and long-term cooperation, can lay a solid foundation for future cooperation.</w:t>
      </w:r>
    </w:p>
    <w:p w14:paraId="1564792A">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59E392BF">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769804AB">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p>
    <w:p w14:paraId="62824E55">
      <w:pPr>
        <w:widowControl w:val="0"/>
        <w:numPr>
          <w:ilvl w:val="0"/>
          <w:numId w:val="0"/>
        </w:numPr>
        <w:spacing w:line="480" w:lineRule="auto"/>
        <w:jc w:val="both"/>
        <w:rPr>
          <w:rFonts w:hint="default" w:ascii="Times New Roman" w:hAnsi="Times New Roman" w:eastAsia="宋体" w:cs="Times New Roman"/>
          <w:color w:val="000008"/>
          <w:kern w:val="0"/>
          <w:sz w:val="24"/>
          <w:szCs w:val="24"/>
          <w:lang w:val="en-US" w:eastAsia="zh-CN" w:bidi="ar"/>
        </w:rPr>
      </w:pPr>
      <w:r>
        <w:rPr>
          <w:rFonts w:hint="default" w:ascii="Times New Roman" w:hAnsi="Times New Roman" w:eastAsia="宋体" w:cs="Times New Roman"/>
          <w:bCs/>
          <w:sz w:val="24"/>
          <w:szCs w:val="24"/>
        </w:rPr>
        <w:t xml:space="preserve">Word count: </w:t>
      </w:r>
      <w:r>
        <w:rPr>
          <w:rFonts w:hint="default" w:ascii="Times New Roman" w:hAnsi="Times New Roman" w:eastAsia="宋体" w:cs="Times New Roman"/>
          <w:bCs/>
          <w:sz w:val="24"/>
          <w:szCs w:val="24"/>
          <w:lang w:val="en-US" w:eastAsia="zh-CN"/>
        </w:rPr>
        <w:t>2731</w:t>
      </w:r>
      <w:r>
        <w:rPr>
          <w:rFonts w:hint="default" w:ascii="Times New Roman" w:hAnsi="Times New Roman" w:eastAsia="宋体" w:cs="Times New Roman"/>
          <w:bCs/>
          <w:sz w:val="24"/>
          <w:szCs w:val="24"/>
        </w:rPr>
        <w:br w:type="page"/>
      </w:r>
    </w:p>
    <w:p w14:paraId="1639E332">
      <w:pPr>
        <w:keepNext w:val="0"/>
        <w:keepLines w:val="0"/>
        <w:widowControl/>
        <w:suppressLineNumbers w:val="0"/>
        <w:jc w:val="left"/>
        <w:rPr>
          <w:rFonts w:hint="default" w:ascii="Times New Roman" w:hAnsi="Times New Roman" w:eastAsia="TimesNewRomanPS-BoldMT" w:cs="Times New Roman"/>
          <w:b/>
          <w:bCs/>
          <w:color w:val="000008"/>
          <w:kern w:val="0"/>
          <w:sz w:val="24"/>
          <w:szCs w:val="24"/>
          <w:lang w:val="en-US" w:eastAsia="zh-CN" w:bidi="ar"/>
        </w:rPr>
      </w:pPr>
      <w:r>
        <w:rPr>
          <w:rFonts w:hint="default" w:ascii="Times New Roman" w:hAnsi="Times New Roman" w:eastAsia="TimesNewRomanPS-BoldMT" w:cs="Times New Roman"/>
          <w:b/>
          <w:bCs/>
          <w:color w:val="000008"/>
          <w:kern w:val="0"/>
          <w:sz w:val="24"/>
          <w:szCs w:val="24"/>
          <w:lang w:val="en-US" w:eastAsia="zh-CN" w:bidi="ar"/>
        </w:rPr>
        <w:t>Reference</w:t>
      </w:r>
    </w:p>
    <w:p w14:paraId="522CA572">
      <w:pPr>
        <w:keepNext w:val="0"/>
        <w:keepLines w:val="0"/>
        <w:widowControl/>
        <w:suppressLineNumbers w:val="0"/>
        <w:jc w:val="left"/>
        <w:rPr>
          <w:rFonts w:hint="default" w:ascii="Times New Roman" w:hAnsi="Times New Roman" w:eastAsia="TimesNewRomanPS-BoldMT" w:cs="Times New Roman"/>
          <w:b/>
          <w:bCs/>
          <w:color w:val="000008"/>
          <w:kern w:val="0"/>
          <w:sz w:val="24"/>
          <w:szCs w:val="24"/>
          <w:lang w:val="en-US" w:eastAsia="zh-CN" w:bidi="ar"/>
        </w:rPr>
      </w:pPr>
    </w:p>
    <w:p w14:paraId="125B6996">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Tuxtabayevna, X.F. (2024) ‘Intercultural Competence in International Business Negotiations’, </w:t>
      </w:r>
      <w:r>
        <w:rPr>
          <w:rFonts w:hint="default" w:ascii="Times New Roman" w:hAnsi="Times New Roman" w:cs="Times New Roman"/>
          <w:i/>
          <w:iCs/>
          <w:color w:val="auto"/>
          <w:sz w:val="24"/>
          <w:szCs w:val="24"/>
        </w:rPr>
        <w:t>“Yangi O‘zbekiston huquqiy, Dunyoviy Va Ijtimoiy Davlat Sifatida Rivojlanishining ijtimoiy, falsafiy, Iqtisodiy Va Siyosiy Masalalari</w:t>
      </w:r>
      <w:r>
        <w:rPr>
          <w:rFonts w:hint="default" w:ascii="Times New Roman" w:hAnsi="Times New Roman" w:cs="Times New Roman"/>
          <w:color w:val="auto"/>
          <w:sz w:val="24"/>
          <w:szCs w:val="24"/>
        </w:rPr>
        <w:t>, 4(21), pp. 320–321.</w:t>
      </w:r>
    </w:p>
    <w:p w14:paraId="230EAA63">
      <w:pPr>
        <w:keepNext w:val="0"/>
        <w:keepLines w:val="0"/>
        <w:widowControl/>
        <w:suppressLineNumbers w:val="0"/>
        <w:jc w:val="left"/>
        <w:rPr>
          <w:rFonts w:hint="default" w:ascii="Times New Roman" w:hAnsi="Times New Roman" w:eastAsia="TimesNewRomanPS-BoldMT" w:cs="Times New Roman"/>
          <w:b/>
          <w:bCs/>
          <w:color w:val="auto"/>
          <w:kern w:val="0"/>
          <w:sz w:val="24"/>
          <w:szCs w:val="24"/>
          <w:lang w:val="en-US" w:eastAsia="zh-CN" w:bidi="ar"/>
        </w:rPr>
      </w:pPr>
    </w:p>
    <w:p w14:paraId="7AFD0A6B">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GE, Z. (2004) ‘On Intercultural Communication in International Trade and Business Environments’, </w:t>
      </w:r>
      <w:r>
        <w:rPr>
          <w:rFonts w:hint="default" w:ascii="Times New Roman" w:hAnsi="Times New Roman" w:cs="Times New Roman"/>
          <w:i/>
          <w:iCs/>
          <w:color w:val="auto"/>
          <w:sz w:val="24"/>
          <w:szCs w:val="24"/>
        </w:rPr>
        <w:t>Journal of Beijing Polytechnic University (Social Science Edition)</w:t>
      </w:r>
      <w:r>
        <w:rPr>
          <w:rFonts w:hint="default" w:ascii="Times New Roman" w:hAnsi="Times New Roman" w:cs="Times New Roman"/>
          <w:color w:val="auto"/>
          <w:sz w:val="24"/>
          <w:szCs w:val="24"/>
        </w:rPr>
        <w:t>, 6(5), pp. 58–60.</w:t>
      </w:r>
    </w:p>
    <w:p w14:paraId="7408D9CF">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23B2AA90">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Santos, L.F. (2017) ‘The Role of Critical Thinking in Science Education’, </w:t>
      </w:r>
      <w:r>
        <w:rPr>
          <w:rFonts w:hint="default" w:ascii="Times New Roman" w:hAnsi="Times New Roman" w:cs="Times New Roman"/>
          <w:i/>
          <w:iCs/>
          <w:color w:val="auto"/>
          <w:sz w:val="24"/>
          <w:szCs w:val="24"/>
        </w:rPr>
        <w:t>Journal of Education and Practice</w:t>
      </w:r>
      <w:r>
        <w:rPr>
          <w:rFonts w:hint="default" w:ascii="Times New Roman" w:hAnsi="Times New Roman" w:cs="Times New Roman"/>
          <w:color w:val="auto"/>
          <w:sz w:val="24"/>
          <w:szCs w:val="24"/>
        </w:rPr>
        <w:t>, 8(20), p. 161.</w:t>
      </w:r>
    </w:p>
    <w:p w14:paraId="15CBE489">
      <w:pPr>
        <w:keepNext w:val="0"/>
        <w:keepLines w:val="0"/>
        <w:widowControl/>
        <w:suppressLineNumbers w:val="0"/>
        <w:jc w:val="left"/>
        <w:rPr>
          <w:rFonts w:hint="default" w:ascii="Times New Roman" w:hAnsi="Times New Roman" w:eastAsia="TimesNewRomanPS-BoldMT" w:cs="Times New Roman"/>
          <w:b/>
          <w:bCs/>
          <w:color w:val="auto"/>
          <w:kern w:val="0"/>
          <w:sz w:val="24"/>
          <w:szCs w:val="24"/>
          <w:lang w:val="en-US" w:eastAsia="zh-CN" w:bidi="ar"/>
        </w:rPr>
      </w:pPr>
    </w:p>
    <w:p w14:paraId="46FED237">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Liu, B. (2005) ‘On the Quality of International Business Negotiators’, </w:t>
      </w:r>
      <w:r>
        <w:rPr>
          <w:rFonts w:hint="default" w:ascii="Times New Roman" w:hAnsi="Times New Roman" w:cs="Times New Roman"/>
          <w:i/>
          <w:iCs/>
          <w:color w:val="auto"/>
          <w:sz w:val="24"/>
          <w:szCs w:val="24"/>
        </w:rPr>
        <w:t>Coastal Enterprises and Technology</w:t>
      </w:r>
      <w:r>
        <w:rPr>
          <w:rFonts w:hint="default" w:ascii="Times New Roman" w:hAnsi="Times New Roman" w:cs="Times New Roman"/>
          <w:color w:val="auto"/>
          <w:sz w:val="24"/>
          <w:szCs w:val="24"/>
        </w:rPr>
        <w:t>, 64(6), pp. 182–183.</w:t>
      </w:r>
    </w:p>
    <w:p w14:paraId="3F78E64B">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18D12616">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Bãlan, S. and Vreja, L.O. (2013) 'THE TROMPENAARS’ SEVEN-DIMENSION CULTURAL MODEL AND CULTURAL ORIENTATIONS OF ROMANIAN STUDENTS IN MANAGEMENT,' </w:t>
      </w:r>
      <w:r>
        <w:rPr>
          <w:rFonts w:hint="default" w:ascii="Times New Roman" w:hAnsi="Times New Roman" w:cs="Times New Roman"/>
          <w:i/>
          <w:iCs/>
          <w:color w:val="auto"/>
          <w:sz w:val="24"/>
          <w:szCs w:val="24"/>
        </w:rPr>
        <w:t>Proceedings of the INTERNATIONAL MANAGEMENT CONFERENCE</w:t>
      </w:r>
      <w:r>
        <w:rPr>
          <w:rFonts w:hint="default" w:ascii="Times New Roman" w:hAnsi="Times New Roman" w:cs="Times New Roman"/>
          <w:color w:val="auto"/>
          <w:sz w:val="24"/>
          <w:szCs w:val="24"/>
        </w:rPr>
        <w:t xml:space="preserve">, 7(1), pp. 95–107. </w:t>
      </w:r>
    </w:p>
    <w:p w14:paraId="009E3AF3">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08031779">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Hall, E.T. (1976) Beyond Culture. Double-Day.</w:t>
      </w:r>
      <w:r>
        <w:rPr>
          <w:rFonts w:hint="default" w:ascii="Times New Roman" w:hAnsi="Times New Roman" w:eastAsia="宋体" w:cs="Times New Roman"/>
          <w:color w:val="auto"/>
          <w:sz w:val="24"/>
          <w:szCs w:val="24"/>
          <w:lang w:val="en-US" w:eastAsia="zh-CN"/>
        </w:rPr>
        <w:tab/>
      </w:r>
      <w:r>
        <w:rPr>
          <w:rFonts w:hint="default" w:ascii="Times New Roman" w:hAnsi="Times New Roman" w:cs="Times New Roman"/>
          <w:color w:val="auto"/>
          <w:sz w:val="24"/>
          <w:szCs w:val="24"/>
        </w:rPr>
        <w:t>pp.</w:t>
      </w:r>
      <w:r>
        <w:rPr>
          <w:rFonts w:hint="default" w:ascii="Times New Roman" w:hAnsi="Times New Roman" w:cs="Times New Roman"/>
          <w:color w:val="auto"/>
          <w:sz w:val="24"/>
          <w:szCs w:val="24"/>
          <w:lang w:val="en-US" w:eastAsia="zh-CN"/>
        </w:rPr>
        <w:t>105-116</w:t>
      </w:r>
    </w:p>
    <w:p w14:paraId="73A4AE95">
      <w:pPr>
        <w:widowControl w:val="0"/>
        <w:numPr>
          <w:ilvl w:val="0"/>
          <w:numId w:val="0"/>
        </w:numPr>
        <w:jc w:val="both"/>
        <w:rPr>
          <w:rFonts w:hint="default" w:ascii="Times New Roman" w:hAnsi="Times New Roman" w:cs="Times New Roman"/>
          <w:color w:val="auto"/>
          <w:sz w:val="24"/>
          <w:szCs w:val="24"/>
          <w:lang w:val="en-US" w:eastAsia="zh-CN"/>
        </w:rPr>
      </w:pPr>
    </w:p>
    <w:p w14:paraId="3FD319B6">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XIA N.</w:t>
      </w:r>
      <w:r>
        <w:rPr>
          <w:rFonts w:hint="default" w:ascii="Times New Roman" w:hAnsi="Times New Roman" w:cs="Times New Roman"/>
          <w:color w:val="auto"/>
          <w:sz w:val="24"/>
          <w:szCs w:val="24"/>
        </w:rPr>
        <w:t xml:space="preserve"> (2024b) 'A Comparative Study on the Characteristics of Chinese and English Cultural Speeches from the Perspective of Interactional Metadiscourse,' </w:t>
      </w:r>
      <w:r>
        <w:rPr>
          <w:rFonts w:hint="default" w:ascii="Times New Roman" w:hAnsi="Times New Roman" w:cs="Times New Roman"/>
          <w:i/>
          <w:iCs/>
          <w:color w:val="auto"/>
          <w:sz w:val="24"/>
          <w:szCs w:val="24"/>
        </w:rPr>
        <w:t>Modern Linguistics</w:t>
      </w:r>
      <w:r>
        <w:rPr>
          <w:rFonts w:hint="default" w:ascii="Times New Roman" w:hAnsi="Times New Roman" w:cs="Times New Roman"/>
          <w:color w:val="auto"/>
          <w:sz w:val="24"/>
          <w:szCs w:val="24"/>
        </w:rPr>
        <w:t xml:space="preserve">, 12(10), pp. 425–433. </w:t>
      </w:r>
    </w:p>
    <w:p w14:paraId="5FE52C18">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6347F8CC">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Chen M.</w:t>
      </w:r>
      <w:r>
        <w:rPr>
          <w:rFonts w:hint="default" w:ascii="Times New Roman" w:hAnsi="Times New Roman" w:cs="Times New Roman"/>
          <w:color w:val="auto"/>
          <w:sz w:val="24"/>
          <w:szCs w:val="24"/>
        </w:rPr>
        <w:t xml:space="preserve"> (2024) 'A Comparative Study of Discourse in Cross-Cultural Business Communication,' </w:t>
      </w:r>
      <w:r>
        <w:rPr>
          <w:rFonts w:hint="default" w:ascii="Times New Roman" w:hAnsi="Times New Roman" w:cs="Times New Roman"/>
          <w:i/>
          <w:iCs/>
          <w:color w:val="auto"/>
          <w:sz w:val="24"/>
          <w:szCs w:val="24"/>
        </w:rPr>
        <w:t>Modern Linguistics</w:t>
      </w:r>
      <w:r>
        <w:rPr>
          <w:rFonts w:hint="default" w:ascii="Times New Roman" w:hAnsi="Times New Roman" w:cs="Times New Roman"/>
          <w:color w:val="auto"/>
          <w:sz w:val="24"/>
          <w:szCs w:val="24"/>
        </w:rPr>
        <w:t xml:space="preserve">, 12(07), pp. 174–179. </w:t>
      </w:r>
    </w:p>
    <w:p w14:paraId="1EB1B829">
      <w:pPr>
        <w:pStyle w:val="8"/>
        <w:keepNext w:val="0"/>
        <w:keepLines w:val="0"/>
        <w:widowControl/>
        <w:suppressLineNumbers w:val="0"/>
        <w:spacing w:before="0" w:beforeAutospacing="0" w:after="0" w:afterAutospacing="0" w:line="480" w:lineRule="auto"/>
        <w:rPr>
          <w:rFonts w:hint="default" w:ascii="Times New Roman" w:hAnsi="Times New Roman" w:eastAsia="宋体" w:cs="Times New Roman"/>
          <w:color w:val="auto"/>
          <w:sz w:val="24"/>
          <w:szCs w:val="24"/>
        </w:rPr>
      </w:pPr>
    </w:p>
    <w:p w14:paraId="61330A45">
      <w:pPr>
        <w:pStyle w:val="8"/>
        <w:keepNext w:val="0"/>
        <w:keepLines w:val="0"/>
        <w:widowControl/>
        <w:suppressLineNumbers w:val="0"/>
        <w:spacing w:before="0" w:beforeAutospacing="0" w:after="0" w:afterAutospacing="0" w:line="480" w:lineRule="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 xml:space="preserve">Yue, H. and Huang, S. (2024) ‘Leadership challenges and coping strategies in cross-cultural team management in multinational companies’, </w:t>
      </w:r>
      <w:r>
        <w:rPr>
          <w:rStyle w:val="13"/>
          <w:rFonts w:hint="default" w:ascii="Times New Roman" w:hAnsi="Times New Roman" w:eastAsia="宋体" w:cs="Times New Roman"/>
          <w:color w:val="auto"/>
          <w:sz w:val="24"/>
          <w:szCs w:val="24"/>
        </w:rPr>
        <w:t>Finance and Management-International Academic Forum</w:t>
      </w:r>
      <w:r>
        <w:rPr>
          <w:rFonts w:hint="default" w:ascii="Times New Roman" w:hAnsi="Times New Roman" w:eastAsia="宋体" w:cs="Times New Roman"/>
          <w:color w:val="auto"/>
          <w:sz w:val="24"/>
          <w:szCs w:val="24"/>
        </w:rPr>
        <w:t>, 3(5)</w:t>
      </w:r>
    </w:p>
    <w:p w14:paraId="6DF53BC3">
      <w:pPr>
        <w:pStyle w:val="8"/>
        <w:keepNext w:val="0"/>
        <w:keepLines w:val="0"/>
        <w:widowControl/>
        <w:suppressLineNumbers w:val="0"/>
        <w:spacing w:before="0" w:beforeAutospacing="0" w:after="0" w:afterAutospacing="0" w:line="480" w:lineRule="auto"/>
        <w:rPr>
          <w:rFonts w:hint="default" w:ascii="Times New Roman" w:hAnsi="Times New Roman" w:eastAsia="宋体" w:cs="Times New Roman"/>
          <w:color w:val="auto"/>
          <w:sz w:val="24"/>
          <w:szCs w:val="24"/>
        </w:rPr>
      </w:pPr>
    </w:p>
    <w:p w14:paraId="2F7C648D">
      <w:pPr>
        <w:pStyle w:val="8"/>
        <w:keepNext w:val="0"/>
        <w:keepLines w:val="0"/>
        <w:widowControl/>
        <w:suppressLineNumbers w:val="0"/>
        <w:spacing w:before="0" w:beforeAutospacing="0" w:after="0" w:afterAutospacing="0" w:line="480" w:lineRule="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 xml:space="preserve">Wen, W. and CMAX International Exhibition Co., Ltd. (2024) 'Corporate collaboration and sponsorship models in domestic and international exhibition management,' </w:t>
      </w:r>
      <w:r>
        <w:rPr>
          <w:rStyle w:val="13"/>
          <w:rFonts w:hint="default" w:ascii="Times New Roman" w:hAnsi="Times New Roman" w:eastAsia="宋体" w:cs="Times New Roman"/>
          <w:color w:val="auto"/>
          <w:sz w:val="24"/>
          <w:szCs w:val="24"/>
        </w:rPr>
        <w:t>Engineering Management and Technology Exploration</w:t>
      </w:r>
      <w:r>
        <w:rPr>
          <w:rFonts w:hint="default" w:ascii="Times New Roman" w:hAnsi="Times New Roman" w:eastAsia="宋体" w:cs="Times New Roman"/>
          <w:color w:val="auto"/>
          <w:sz w:val="24"/>
          <w:szCs w:val="24"/>
        </w:rPr>
        <w:t>, 6(15), pp. 156–158.</w:t>
      </w:r>
    </w:p>
    <w:p w14:paraId="2CAE3EE8">
      <w:pPr>
        <w:pStyle w:val="8"/>
        <w:keepNext w:val="0"/>
        <w:keepLines w:val="0"/>
        <w:widowControl/>
        <w:suppressLineNumbers w:val="0"/>
        <w:spacing w:before="0" w:beforeAutospacing="0" w:after="0" w:afterAutospacing="0" w:line="480" w:lineRule="auto"/>
        <w:rPr>
          <w:rFonts w:hint="default" w:ascii="Times New Roman" w:hAnsi="Times New Roman" w:eastAsia="宋体" w:cs="Times New Roman"/>
          <w:color w:val="auto"/>
          <w:sz w:val="24"/>
          <w:szCs w:val="24"/>
        </w:rPr>
      </w:pPr>
    </w:p>
    <w:p w14:paraId="4E447166">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Chebykin, O. </w:t>
      </w:r>
      <w:r>
        <w:rPr>
          <w:rFonts w:hint="default" w:ascii="Times New Roman" w:hAnsi="Times New Roman" w:cs="Times New Roman"/>
          <w:i/>
          <w:iCs/>
          <w:color w:val="auto"/>
          <w:sz w:val="24"/>
          <w:szCs w:val="24"/>
        </w:rPr>
        <w:t>et al.</w:t>
      </w:r>
      <w:r>
        <w:rPr>
          <w:rFonts w:hint="default" w:ascii="Times New Roman" w:hAnsi="Times New Roman" w:cs="Times New Roman"/>
          <w:color w:val="auto"/>
          <w:sz w:val="24"/>
          <w:szCs w:val="24"/>
        </w:rPr>
        <w:t xml:space="preserve"> (eds) (2024) '</w:t>
      </w:r>
      <w:r>
        <w:rPr>
          <w:rFonts w:hint="default" w:ascii="Times New Roman" w:hAnsi="Times New Roman" w:cs="Times New Roman"/>
          <w:color w:val="auto"/>
          <w:sz w:val="24"/>
          <w:szCs w:val="24"/>
          <w:lang w:val="en-US" w:eastAsia="zh-CN"/>
        </w:rPr>
        <w:t>M</w:t>
      </w:r>
      <w:r>
        <w:rPr>
          <w:rFonts w:hint="default" w:ascii="Times New Roman" w:hAnsi="Times New Roman" w:cs="Times New Roman"/>
          <w:color w:val="auto"/>
          <w:sz w:val="24"/>
          <w:szCs w:val="24"/>
        </w:rPr>
        <w:t xml:space="preserve">odern </w:t>
      </w:r>
      <w:r>
        <w:rPr>
          <w:rFonts w:hint="default" w:ascii="Times New Roman" w:hAnsi="Times New Roman" w:cs="Times New Roman"/>
          <w:color w:val="auto"/>
          <w:sz w:val="24"/>
          <w:szCs w:val="24"/>
          <w:lang w:val="en-US" w:eastAsia="zh-CN"/>
        </w:rPr>
        <w:t>V</w:t>
      </w:r>
      <w:r>
        <w:rPr>
          <w:rFonts w:hint="default" w:ascii="Times New Roman" w:hAnsi="Times New Roman" w:cs="Times New Roman"/>
          <w:color w:val="auto"/>
          <w:sz w:val="24"/>
          <w:szCs w:val="24"/>
        </w:rPr>
        <w:t xml:space="preserve">ectors of </w:t>
      </w:r>
      <w:r>
        <w:rPr>
          <w:rFonts w:hint="default" w:ascii="Times New Roman" w:hAnsi="Times New Roman" w:cs="Times New Roman"/>
          <w:color w:val="auto"/>
          <w:sz w:val="24"/>
          <w:szCs w:val="24"/>
          <w:lang w:val="en-US" w:eastAsia="zh-CN"/>
        </w:rPr>
        <w:t>S</w:t>
      </w:r>
      <w:r>
        <w:rPr>
          <w:rFonts w:hint="default" w:ascii="Times New Roman" w:hAnsi="Times New Roman" w:cs="Times New Roman"/>
          <w:color w:val="auto"/>
          <w:sz w:val="24"/>
          <w:szCs w:val="24"/>
        </w:rPr>
        <w:t xml:space="preserve">cience and </w:t>
      </w:r>
      <w:r>
        <w:rPr>
          <w:rFonts w:hint="default" w:ascii="Times New Roman" w:hAnsi="Times New Roman" w:cs="Times New Roman"/>
          <w:color w:val="auto"/>
          <w:sz w:val="24"/>
          <w:szCs w:val="24"/>
          <w:lang w:val="en-US" w:eastAsia="zh-CN"/>
        </w:rPr>
        <w:t>E</w:t>
      </w:r>
      <w:r>
        <w:rPr>
          <w:rFonts w:hint="default" w:ascii="Times New Roman" w:hAnsi="Times New Roman" w:cs="Times New Roman"/>
          <w:color w:val="auto"/>
          <w:sz w:val="24"/>
          <w:szCs w:val="24"/>
        </w:rPr>
        <w:t xml:space="preserve">ducation </w:t>
      </w:r>
      <w:r>
        <w:rPr>
          <w:rFonts w:hint="default" w:ascii="Times New Roman" w:hAnsi="Times New Roman" w:cs="Times New Roman"/>
          <w:color w:val="auto"/>
          <w:sz w:val="24"/>
          <w:szCs w:val="24"/>
          <w:lang w:val="en-US" w:eastAsia="zh-CN"/>
        </w:rPr>
        <w:t>D</w:t>
      </w:r>
      <w:r>
        <w:rPr>
          <w:rFonts w:hint="default" w:ascii="Times New Roman" w:hAnsi="Times New Roman" w:cs="Times New Roman"/>
          <w:color w:val="auto"/>
          <w:sz w:val="24"/>
          <w:szCs w:val="24"/>
        </w:rPr>
        <w:t xml:space="preserve">evelopment in </w:t>
      </w:r>
      <w:r>
        <w:rPr>
          <w:rFonts w:hint="default" w:ascii="Times New Roman" w:hAnsi="Times New Roman" w:cs="Times New Roman"/>
          <w:color w:val="auto"/>
          <w:sz w:val="24"/>
          <w:szCs w:val="24"/>
          <w:lang w:val="en-US" w:eastAsia="zh-CN"/>
        </w:rPr>
        <w:t>C</w:t>
      </w:r>
      <w:r>
        <w:rPr>
          <w:rFonts w:hint="default" w:ascii="Times New Roman" w:hAnsi="Times New Roman" w:cs="Times New Roman"/>
          <w:color w:val="auto"/>
          <w:sz w:val="24"/>
          <w:szCs w:val="24"/>
        </w:rPr>
        <w:t xml:space="preserve">hina and </w:t>
      </w:r>
      <w:r>
        <w:rPr>
          <w:rFonts w:hint="default" w:ascii="Times New Roman" w:hAnsi="Times New Roman" w:cs="Times New Roman"/>
          <w:color w:val="auto"/>
          <w:sz w:val="24"/>
          <w:szCs w:val="24"/>
          <w:lang w:val="en-US" w:eastAsia="zh-CN"/>
        </w:rPr>
        <w:t>U</w:t>
      </w:r>
      <w:r>
        <w:rPr>
          <w:rFonts w:hint="default" w:ascii="Times New Roman" w:hAnsi="Times New Roman" w:cs="Times New Roman"/>
          <w:color w:val="auto"/>
          <w:sz w:val="24"/>
          <w:szCs w:val="24"/>
        </w:rPr>
        <w:t>kraine,' (10), p. 390.</w:t>
      </w:r>
    </w:p>
    <w:p w14:paraId="35CAEE22">
      <w:pPr>
        <w:keepNext w:val="0"/>
        <w:keepLines w:val="0"/>
        <w:widowControl/>
        <w:suppressLineNumbers w:val="0"/>
        <w:jc w:val="left"/>
        <w:rPr>
          <w:rFonts w:hint="default" w:ascii="Times New Roman" w:hAnsi="Times New Roman" w:eastAsia="宋体" w:cs="Times New Roman"/>
          <w:color w:val="auto"/>
          <w:kern w:val="0"/>
          <w:sz w:val="24"/>
          <w:szCs w:val="24"/>
          <w:lang w:val="en-US" w:eastAsia="zh-CN" w:bidi="ar"/>
        </w:rPr>
      </w:pPr>
    </w:p>
    <w:p w14:paraId="12989C80">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0566F886">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Yao, X. (2022). Analysis of the impact of Cultural Differences between China and the West on InterculturalCommunication. </w:t>
      </w:r>
      <w:r>
        <w:rPr>
          <w:rFonts w:hint="default" w:ascii="Times New Roman" w:hAnsi="Times New Roman" w:cs="Times New Roman"/>
          <w:i/>
          <w:iCs/>
          <w:color w:val="auto"/>
          <w:sz w:val="24"/>
          <w:szCs w:val="24"/>
        </w:rPr>
        <w:t>Modern Education and Practice</w:t>
      </w:r>
      <w:r>
        <w:rPr>
          <w:rFonts w:hint="default" w:ascii="Times New Roman" w:hAnsi="Times New Roman" w:cs="Times New Roman"/>
          <w:color w:val="auto"/>
          <w:sz w:val="24"/>
          <w:szCs w:val="24"/>
        </w:rPr>
        <w:t>, 4(7), pp.254–256.</w:t>
      </w:r>
    </w:p>
    <w:p w14:paraId="07BADB39">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3BFEE552">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Wei, S. (2024). Discussion of Cross-Culture Management in Cultural Diversified Workplace. </w:t>
      </w:r>
      <w:r>
        <w:rPr>
          <w:rFonts w:hint="default" w:ascii="Times New Roman" w:hAnsi="Times New Roman" w:cs="Times New Roman"/>
          <w:i/>
          <w:iCs/>
          <w:color w:val="auto"/>
          <w:sz w:val="24"/>
          <w:szCs w:val="24"/>
        </w:rPr>
        <w:t>Journal of Sociology and Ethnology</w:t>
      </w:r>
      <w:r>
        <w:rPr>
          <w:rFonts w:hint="default" w:ascii="Times New Roman" w:hAnsi="Times New Roman" w:cs="Times New Roman"/>
          <w:color w:val="auto"/>
          <w:sz w:val="24"/>
          <w:szCs w:val="24"/>
        </w:rPr>
        <w:t>, 6(1), pp.164–168.</w:t>
      </w:r>
    </w:p>
    <w:p w14:paraId="12030F17">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173B11C0">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Nekane, B. and María, R. (2005). Cultural dimensions and social behavior correlates: Individualism-Collectivism and Power Distance. </w:t>
      </w:r>
      <w:r>
        <w:rPr>
          <w:rFonts w:hint="default" w:ascii="Times New Roman" w:hAnsi="Times New Roman" w:cs="Times New Roman"/>
          <w:i/>
          <w:iCs/>
          <w:color w:val="auto"/>
          <w:sz w:val="24"/>
          <w:szCs w:val="24"/>
        </w:rPr>
        <w:t xml:space="preserve">REVUE INTERNATIONALE DE PSYCHOLOGIE SOCIALE </w:t>
      </w:r>
      <w:r>
        <w:rPr>
          <w:rFonts w:hint="default" w:ascii="Times New Roman" w:hAnsi="Times New Roman" w:cs="Times New Roman"/>
          <w:color w:val="auto"/>
          <w:sz w:val="24"/>
          <w:szCs w:val="24"/>
        </w:rPr>
        <w:t>, 18(1), pp.189–193.</w:t>
      </w:r>
    </w:p>
    <w:p w14:paraId="332C2785">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41AA325A">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Vescovi , T. (2018). </w:t>
      </w:r>
      <w:r>
        <w:rPr>
          <w:rFonts w:hint="default" w:ascii="Times New Roman" w:hAnsi="Times New Roman" w:cs="Times New Roman"/>
          <w:i/>
          <w:iCs/>
          <w:color w:val="auto"/>
          <w:sz w:val="24"/>
          <w:szCs w:val="24"/>
        </w:rPr>
        <w:t>Dealing with the Chinese culture and its critical aspects in a Sino-Italian Joint Venture</w:t>
      </w:r>
      <w:r>
        <w:rPr>
          <w:rFonts w:hint="default" w:ascii="Times New Roman" w:hAnsi="Times New Roman" w:cs="Times New Roman"/>
          <w:color w:val="auto"/>
          <w:sz w:val="24"/>
          <w:szCs w:val="24"/>
        </w:rPr>
        <w:t>. Master’s degree Program. pp.4–9.</w:t>
      </w:r>
    </w:p>
    <w:p w14:paraId="5EC38289">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30DACF84">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Nkechi, E.E. (2024). CORPORATE LAW IN THE ERA OF GLOBALIZATION: A REVIEW OF ETHICAL IMPLICATIONS AND GLOBAL IMPACTS. </w:t>
      </w:r>
      <w:r>
        <w:rPr>
          <w:rFonts w:hint="default" w:ascii="Times New Roman" w:hAnsi="Times New Roman" w:cs="Times New Roman"/>
          <w:i/>
          <w:iCs/>
          <w:color w:val="auto"/>
          <w:sz w:val="24"/>
          <w:szCs w:val="24"/>
        </w:rPr>
        <w:t>Finance &amp; Accounting Research Journal</w:t>
      </w:r>
      <w:r>
        <w:rPr>
          <w:rFonts w:hint="default" w:ascii="Times New Roman" w:hAnsi="Times New Roman" w:cs="Times New Roman"/>
          <w:color w:val="auto"/>
          <w:sz w:val="24"/>
          <w:szCs w:val="24"/>
        </w:rPr>
        <w:t>, 6(3), 9 Mar., pp.304–310.</w:t>
      </w:r>
    </w:p>
    <w:p w14:paraId="086EFC97">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4C42993B">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He, Z. (2024). Teaching of International Business Negotiation Course for Applied Undergraduates in the Context of New Liberal Arts Reform Study. </w:t>
      </w:r>
      <w:r>
        <w:rPr>
          <w:rFonts w:hint="default" w:ascii="Times New Roman" w:hAnsi="Times New Roman" w:cs="Times New Roman"/>
          <w:i/>
          <w:iCs/>
          <w:color w:val="auto"/>
          <w:sz w:val="24"/>
          <w:szCs w:val="24"/>
        </w:rPr>
        <w:t>International Business Negotiations</w:t>
      </w:r>
      <w:r>
        <w:rPr>
          <w:rFonts w:hint="default" w:ascii="Times New Roman" w:hAnsi="Times New Roman" w:cs="Times New Roman"/>
          <w:color w:val="auto"/>
          <w:sz w:val="24"/>
          <w:szCs w:val="24"/>
        </w:rPr>
        <w:t>, 6(03), pp.45–46.</w:t>
      </w:r>
    </w:p>
    <w:p w14:paraId="5DEF3239">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6061F418">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18.</w:t>
      </w:r>
      <w:r>
        <w:rPr>
          <w:rFonts w:hint="default" w:ascii="Times New Roman" w:hAnsi="Times New Roman" w:cs="Times New Roman"/>
          <w:color w:val="auto"/>
          <w:sz w:val="24"/>
          <w:szCs w:val="24"/>
        </w:rPr>
        <w:t xml:space="preserve">Lv, H. (2024). A Brief Analysis of the Application of Foreign Trade English Correspondence in International Trade. </w:t>
      </w:r>
      <w:r>
        <w:rPr>
          <w:rFonts w:hint="default" w:ascii="Times New Roman" w:hAnsi="Times New Roman" w:cs="Times New Roman"/>
          <w:i/>
          <w:iCs/>
          <w:color w:val="auto"/>
          <w:sz w:val="24"/>
          <w:szCs w:val="24"/>
        </w:rPr>
        <w:t>E-Commerce Review</w:t>
      </w:r>
      <w:r>
        <w:rPr>
          <w:rFonts w:hint="default" w:ascii="Times New Roman" w:hAnsi="Times New Roman" w:cs="Times New Roman"/>
          <w:color w:val="auto"/>
          <w:sz w:val="24"/>
          <w:szCs w:val="24"/>
        </w:rPr>
        <w:t>, 13(2).</w:t>
      </w:r>
    </w:p>
    <w:p w14:paraId="70F4CBC1">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5A4CEE86">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Dai, J. (2024). Challenges and Breakthroughs Faced by Enterprise Management in the Context of Accelerated Technological Iteration. </w:t>
      </w:r>
      <w:r>
        <w:rPr>
          <w:rFonts w:hint="default" w:ascii="Times New Roman" w:hAnsi="Times New Roman" w:cs="Times New Roman"/>
          <w:i/>
          <w:iCs/>
          <w:color w:val="auto"/>
          <w:sz w:val="24"/>
          <w:szCs w:val="24"/>
        </w:rPr>
        <w:t xml:space="preserve">Environment and Development </w:t>
      </w:r>
      <w:r>
        <w:rPr>
          <w:rFonts w:hint="default" w:ascii="Times New Roman" w:hAnsi="Times New Roman" w:cs="Times New Roman"/>
          <w:color w:val="auto"/>
          <w:sz w:val="24"/>
          <w:szCs w:val="24"/>
        </w:rPr>
        <w:t>, 6(9), pp.223–225.</w:t>
      </w:r>
    </w:p>
    <w:p w14:paraId="2D463FCA">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5D5C7B23">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Lin, H. and Lou, L. (2024). A Study on Cross-Cultural Business Communication Based on Hofstede’s Cultural Dimensions Theory. </w:t>
      </w:r>
      <w:r>
        <w:rPr>
          <w:rFonts w:hint="default" w:ascii="Times New Roman" w:hAnsi="Times New Roman" w:cs="Times New Roman"/>
          <w:i/>
          <w:iCs/>
          <w:color w:val="auto"/>
          <w:sz w:val="24"/>
          <w:szCs w:val="24"/>
        </w:rPr>
        <w:t>Open Journal of Social Sciences</w:t>
      </w:r>
      <w:r>
        <w:rPr>
          <w:rFonts w:hint="default" w:ascii="Times New Roman" w:hAnsi="Times New Roman" w:cs="Times New Roman"/>
          <w:color w:val="auto"/>
          <w:sz w:val="24"/>
          <w:szCs w:val="24"/>
        </w:rPr>
        <w:t>, 12(9).</w:t>
      </w:r>
    </w:p>
    <w:p w14:paraId="41A2BAD4">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7E71574B">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Wang, X., Zhang, R., Li, L. and Liu, Y. (2024). Tax Management and Planning for the Installation and Commissioning Phase of Multinational Engineering Projects. </w:t>
      </w:r>
      <w:r>
        <w:rPr>
          <w:rFonts w:hint="default" w:ascii="Times New Roman" w:hAnsi="Times New Roman" w:cs="Times New Roman"/>
          <w:i/>
          <w:iCs/>
          <w:color w:val="auto"/>
          <w:sz w:val="24"/>
          <w:szCs w:val="24"/>
        </w:rPr>
        <w:t>International Economy and Management</w:t>
      </w:r>
      <w:r>
        <w:rPr>
          <w:rFonts w:hint="default" w:ascii="Times New Roman" w:hAnsi="Times New Roman" w:cs="Times New Roman"/>
          <w:color w:val="auto"/>
          <w:sz w:val="24"/>
          <w:szCs w:val="24"/>
        </w:rPr>
        <w:t>, 5(5), pp.131–133.</w:t>
      </w:r>
    </w:p>
    <w:p w14:paraId="6D093CF1">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24360D65">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Islam, T., Sharif, S., Fawad Ali, H. and Jamil , S. (2024). Zooming into Paternalistic leadership: Evidence from High Power Distance Culture. </w:t>
      </w:r>
      <w:r>
        <w:rPr>
          <w:rFonts w:hint="default" w:ascii="Times New Roman" w:hAnsi="Times New Roman" w:cs="Times New Roman"/>
          <w:i/>
          <w:iCs/>
          <w:color w:val="auto"/>
          <w:sz w:val="24"/>
          <w:szCs w:val="24"/>
        </w:rPr>
        <w:t>European Journal of Management and Business Economics</w:t>
      </w:r>
      <w:r>
        <w:rPr>
          <w:rFonts w:hint="default" w:ascii="Times New Roman" w:hAnsi="Times New Roman" w:cs="Times New Roman"/>
          <w:color w:val="auto"/>
          <w:sz w:val="24"/>
          <w:szCs w:val="24"/>
        </w:rPr>
        <w:t>, 33(4).</w:t>
      </w:r>
    </w:p>
    <w:p w14:paraId="77DBF3F9">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239D830D">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You, X. (2013). </w:t>
      </w:r>
      <w:r>
        <w:rPr>
          <w:rFonts w:hint="default" w:ascii="Times New Roman" w:hAnsi="Times New Roman" w:cs="Times New Roman"/>
          <w:i/>
          <w:iCs/>
          <w:color w:val="auto"/>
          <w:sz w:val="24"/>
          <w:szCs w:val="24"/>
        </w:rPr>
        <w:t>Insights into Greeting Cards to Enhance the Business Communication and Relation between Finnish and Chinese Companies</w:t>
      </w:r>
      <w:r>
        <w:rPr>
          <w:rFonts w:hint="default" w:ascii="Times New Roman" w:hAnsi="Times New Roman" w:cs="Times New Roman"/>
          <w:color w:val="auto"/>
          <w:sz w:val="24"/>
          <w:szCs w:val="24"/>
        </w:rPr>
        <w:t>. [Master’s thesis] pp.1–99. Available at: https://aaltodoc.aalto.fi/server/api/core/bitstreams/daaaf35a-fc74-491b-9e11-2a923909b37e/content [Accessed 30 Nov. 2024].</w:t>
      </w:r>
    </w:p>
    <w:p w14:paraId="1B2321A2">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1FC5B6EB">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p>
    <w:p w14:paraId="7967CD71">
      <w:pPr>
        <w:pStyle w:val="8"/>
        <w:keepNext w:val="0"/>
        <w:keepLines w:val="0"/>
        <w:widowControl/>
        <w:suppressLineNumbers w:val="0"/>
        <w:spacing w:before="0" w:beforeAutospacing="0" w:after="210" w:afterAutospacing="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Zhao, X., Wang , B., Xiao, J., Wang , M. and Zhang , Y. (2024). How Differentiated Empowering Leadership Promotes Employees’ Innovation Performance: the Role of Achievement Goal Orientation and Job Crafting. </w:t>
      </w:r>
      <w:r>
        <w:rPr>
          <w:rFonts w:hint="default" w:ascii="Times New Roman" w:hAnsi="Times New Roman" w:cs="Times New Roman"/>
          <w:i/>
          <w:iCs/>
          <w:color w:val="auto"/>
          <w:sz w:val="24"/>
          <w:szCs w:val="24"/>
        </w:rPr>
        <w:t>Xihua University Graduate Education Reform and Innovation Project</w:t>
      </w:r>
      <w:r>
        <w:rPr>
          <w:rFonts w:hint="default" w:ascii="Times New Roman" w:hAnsi="Times New Roman" w:cs="Times New Roman"/>
          <w:color w:val="auto"/>
          <w:sz w:val="24"/>
          <w:szCs w:val="24"/>
        </w:rPr>
        <w:t>, 35(2). doi:https://doi.org/10.12181/jjgl.2024.02.06.</w:t>
      </w:r>
    </w:p>
    <w:p w14:paraId="157391DA">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75EED639">
      <w:pPr>
        <w:pStyle w:val="8"/>
        <w:keepNext w:val="0"/>
        <w:keepLines w:val="0"/>
        <w:widowControl/>
        <w:suppressLineNumbers w:val="0"/>
        <w:spacing w:before="0" w:beforeAutospacing="0" w:after="0" w:afterAutospacing="0" w:line="480" w:lineRule="auto"/>
        <w:rPr>
          <w:rFonts w:hint="default" w:ascii="Times New Roman" w:hAnsi="Times New Roman" w:cs="Times New Roman"/>
          <w:color w:val="auto"/>
          <w:sz w:val="24"/>
          <w:szCs w:val="24"/>
        </w:rPr>
      </w:pPr>
    </w:p>
    <w:p w14:paraId="6CE2582C">
      <w:pPr>
        <w:pStyle w:val="8"/>
        <w:keepNext w:val="0"/>
        <w:keepLines w:val="0"/>
        <w:widowControl/>
        <w:suppressLineNumbers w:val="0"/>
        <w:spacing w:before="0" w:beforeAutospacing="0" w:after="210" w:afterAutospacing="0" w:line="360" w:lineRule="auto"/>
        <w:rPr>
          <w:rFonts w:hint="default" w:ascii="Arial" w:hAnsi="Arial" w:cs="Arial"/>
          <w:color w:val="auto"/>
          <w:sz w:val="24"/>
          <w:szCs w:val="24"/>
        </w:rPr>
      </w:pPr>
      <w:r>
        <w:rPr>
          <w:rFonts w:hint="default" w:ascii="Times New Roman" w:hAnsi="Times New Roman" w:cs="Times New Roman"/>
          <w:color w:val="auto"/>
          <w:sz w:val="24"/>
          <w:szCs w:val="24"/>
        </w:rPr>
        <w:t xml:space="preserve">Hameli, K. (2024). Foundations of Organizational Culture: a Comprehensive Review. </w:t>
      </w:r>
      <w:r>
        <w:rPr>
          <w:rFonts w:hint="default" w:ascii="Times New Roman" w:hAnsi="Times New Roman" w:cs="Times New Roman"/>
          <w:i/>
          <w:iCs/>
          <w:color w:val="auto"/>
          <w:sz w:val="24"/>
          <w:szCs w:val="24"/>
        </w:rPr>
        <w:t>Journal of Balkan Economies and Management</w:t>
      </w:r>
      <w:r>
        <w:rPr>
          <w:rFonts w:hint="default" w:ascii="Times New Roman" w:hAnsi="Times New Roman" w:cs="Times New Roman"/>
          <w:color w:val="auto"/>
          <w:sz w:val="24"/>
          <w:szCs w:val="24"/>
        </w:rPr>
        <w:t>, [online] 1(1), pp.54–65. doi:https://doi.org/http//doi.org%20/10.51331/bemA03.</w:t>
      </w:r>
    </w:p>
    <w:p w14:paraId="0DF12D1B">
      <w:pPr>
        <w:pStyle w:val="8"/>
        <w:keepNext w:val="0"/>
        <w:keepLines w:val="0"/>
        <w:widowControl/>
        <w:suppressLineNumbers w:val="0"/>
        <w:spacing w:before="0" w:beforeAutospacing="0" w:after="0" w:afterAutospacing="0" w:line="480" w:lineRule="auto"/>
        <w:rPr>
          <w:rFonts w:hint="default" w:ascii="Times New Roman" w:hAnsi="Times New Roman" w:cs="Times New Roman"/>
          <w:sz w:val="24"/>
          <w:szCs w:val="24"/>
        </w:rPr>
      </w:pPr>
    </w:p>
    <w:p w14:paraId="3D0FA488">
      <w:pPr>
        <w:pStyle w:val="8"/>
        <w:keepNext w:val="0"/>
        <w:keepLines w:val="0"/>
        <w:widowControl/>
        <w:suppressLineNumbers w:val="0"/>
        <w:spacing w:before="0" w:beforeAutospacing="0" w:after="0" w:afterAutospacing="0" w:line="480" w:lineRule="auto"/>
        <w:rPr>
          <w:rFonts w:ascii="宋体" w:hAnsi="宋体" w:eastAsia="宋体" w:cs="宋体"/>
          <w:sz w:val="24"/>
          <w:szCs w:val="24"/>
        </w:rPr>
      </w:pPr>
      <w:bookmarkStart w:id="20" w:name="_GoBack"/>
      <w:bookmarkEnd w:id="20"/>
    </w:p>
    <w:p w14:paraId="1D84FB37">
      <w:pPr>
        <w:pStyle w:val="8"/>
        <w:keepNext w:val="0"/>
        <w:keepLines w:val="0"/>
        <w:widowControl/>
        <w:suppressLineNumbers w:val="0"/>
        <w:spacing w:before="0" w:beforeAutospacing="0" w:after="0" w:afterAutospacing="0" w:line="480" w:lineRule="auto"/>
        <w:rPr>
          <w:rFonts w:hint="default" w:ascii="宋体" w:hAnsi="宋体" w:eastAsia="宋体" w:cs="宋体"/>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NewRomanPS-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方正粗黑宋简体">
    <w:panose1 w:val="02000000000000000000"/>
    <w:charset w:val="86"/>
    <w:family w:val="auto"/>
    <w:pitch w:val="default"/>
    <w:sig w:usb0="A00002BF" w:usb1="184F6CFA" w:usb2="00000012" w:usb3="00000000" w:csb0="00040001" w:csb1="00000000"/>
  </w:font>
  <w:font w:name="Microsoft JhengHei Light">
    <w:panose1 w:val="020B0304030504040204"/>
    <w:charset w:val="88"/>
    <w:family w:val="auto"/>
    <w:pitch w:val="default"/>
    <w:sig w:usb0="800002A7" w:usb1="28CF4400" w:usb2="00000016" w:usb3="00000000" w:csb0="00100009" w:csb1="00000000"/>
  </w:font>
  <w:font w:name="MS PGothic">
    <w:panose1 w:val="020B0600070205080204"/>
    <w:charset w:val="80"/>
    <w:family w:val="auto"/>
    <w:pitch w:val="default"/>
    <w:sig w:usb0="E00002FF" w:usb1="6AC7FDFB" w:usb2="08000012" w:usb3="00000000" w:csb0="4002009F" w:csb1="DFD70000"/>
  </w:font>
  <w:font w:name="Yu Gothic UI Semibold">
    <w:panose1 w:val="020B0700000000000000"/>
    <w:charset w:val="80"/>
    <w:family w:val="auto"/>
    <w:pitch w:val="default"/>
    <w:sig w:usb0="E00002FF" w:usb1="2AC7FDFF" w:usb2="00000016" w:usb3="00000000" w:csb0="2002009F" w:csb1="00000000"/>
  </w:font>
  <w:font w:name="Arial Narrow">
    <w:panose1 w:val="020B0606020202030204"/>
    <w:charset w:val="00"/>
    <w:family w:val="auto"/>
    <w:pitch w:val="default"/>
    <w:sig w:usb0="00000287" w:usb1="00000800" w:usb2="00000000" w:usb3="00000000" w:csb0="2000009F" w:csb1="DFD7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BCA7C6"/>
    <w:multiLevelType w:val="singleLevel"/>
    <w:tmpl w:val="95BCA7C6"/>
    <w:lvl w:ilvl="0" w:tentative="0">
      <w:start w:val="1"/>
      <w:numFmt w:val="decimal"/>
      <w:suff w:val="space"/>
      <w:lvlText w:val="(%1)"/>
      <w:lvlJc w:val="left"/>
    </w:lvl>
  </w:abstractNum>
  <w:abstractNum w:abstractNumId="1">
    <w:nsid w:val="4EC141A1"/>
    <w:multiLevelType w:val="singleLevel"/>
    <w:tmpl w:val="4EC141A1"/>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k1MWFkMDJkZWE2OTY3ZjhlNDk5NDVhMWEzY2M0ZTYifQ=="/>
  </w:docVars>
  <w:rsids>
    <w:rsidRoot w:val="00000000"/>
    <w:rsid w:val="171A7DA4"/>
    <w:rsid w:val="172367CF"/>
    <w:rsid w:val="1CB41EC6"/>
    <w:rsid w:val="1D862F93"/>
    <w:rsid w:val="1E6A1C2E"/>
    <w:rsid w:val="213A1EF9"/>
    <w:rsid w:val="23227577"/>
    <w:rsid w:val="24521E21"/>
    <w:rsid w:val="2A0E4EC0"/>
    <w:rsid w:val="2D1E4F96"/>
    <w:rsid w:val="2D7C1CBC"/>
    <w:rsid w:val="301E4334"/>
    <w:rsid w:val="32FB4BAD"/>
    <w:rsid w:val="33D75E9F"/>
    <w:rsid w:val="34735BC7"/>
    <w:rsid w:val="39A13F26"/>
    <w:rsid w:val="3A743A79"/>
    <w:rsid w:val="3E6D7B2B"/>
    <w:rsid w:val="41DA54D8"/>
    <w:rsid w:val="4A8C30E7"/>
    <w:rsid w:val="4CB93F3C"/>
    <w:rsid w:val="4F0F16CB"/>
    <w:rsid w:val="51AC406F"/>
    <w:rsid w:val="56A30136"/>
    <w:rsid w:val="58412E3B"/>
    <w:rsid w:val="5BA109BC"/>
    <w:rsid w:val="60566219"/>
    <w:rsid w:val="62911C74"/>
    <w:rsid w:val="63EB3C23"/>
    <w:rsid w:val="6DDA08F5"/>
    <w:rsid w:val="73EB05CF"/>
    <w:rsid w:val="786348B4"/>
    <w:rsid w:val="793C3015"/>
    <w:rsid w:val="7A3965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FollowedHyperlink"/>
    <w:basedOn w:val="10"/>
    <w:qFormat/>
    <w:uiPriority w:val="0"/>
    <w:rPr>
      <w:color w:val="800080"/>
      <w:u w:val="single"/>
    </w:rPr>
  </w:style>
  <w:style w:type="character" w:styleId="13">
    <w:name w:val="Emphasis"/>
    <w:basedOn w:val="10"/>
    <w:qFormat/>
    <w:uiPriority w:val="0"/>
    <w:rPr>
      <w:i/>
    </w:rPr>
  </w:style>
  <w:style w:type="character" w:styleId="14">
    <w:name w:val="Hyperlink"/>
    <w:basedOn w:val="10"/>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23</Pages>
  <Words>1558</Words>
  <Characters>9778</Characters>
  <Lines>0</Lines>
  <Paragraphs>0</Paragraphs>
  <TotalTime>3</TotalTime>
  <ScaleCrop>false</ScaleCrop>
  <LinksUpToDate>false</LinksUpToDate>
  <CharactersWithSpaces>11301</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2024-11-15T19:24:00Z</dcterms:created>
  <dc:creator>17158</dc:creator>
  <cp:lastModifiedBy>WPS_1479666331</cp:lastModifiedBy>
  <dcterms:modified xsi:type="dcterms:W3CDTF">2024-12-03T16:49:09Z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9875E71AC1154A88AC7D9F2DF90F9B51_12</vt:lpwstr>
  </property>
</Properties>
</file>