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C0AAE" w14:textId="48A9F380" w:rsidR="0094059D" w:rsidRPr="00654139" w:rsidRDefault="0094059D" w:rsidP="00067807">
      <w:pPr>
        <w:spacing w:line="480" w:lineRule="auto"/>
        <w:rPr>
          <w:b/>
          <w:bCs/>
        </w:rPr>
      </w:pPr>
      <w:r w:rsidRPr="00654139">
        <w:rPr>
          <w:b/>
          <w:bCs/>
        </w:rPr>
        <w:t>Task 1 Critical Appreciation 2025-26</w:t>
      </w:r>
    </w:p>
    <w:p w14:paraId="0C41B192" w14:textId="20C76407" w:rsidR="0094059D" w:rsidRPr="00654139" w:rsidRDefault="0094059D" w:rsidP="00067807">
      <w:pPr>
        <w:spacing w:line="480" w:lineRule="auto"/>
        <w:rPr>
          <w:b/>
          <w:bCs/>
        </w:rPr>
      </w:pPr>
      <w:r w:rsidRPr="00654139">
        <w:rPr>
          <w:b/>
          <w:bCs/>
        </w:rPr>
        <w:t>Write a critical appreciation of any saint’s Life associated with one of the Celtic regions.  In your answer you should consider issues such as the text’s authorship, its purpose, transmission, key themes, literary and historical context. (2,500 words)</w:t>
      </w:r>
    </w:p>
    <w:p w14:paraId="07BCCC2E" w14:textId="77777777" w:rsidR="0094059D" w:rsidRDefault="0094059D" w:rsidP="00067807">
      <w:pPr>
        <w:spacing w:line="480" w:lineRule="auto"/>
      </w:pPr>
    </w:p>
    <w:p w14:paraId="0510164D" w14:textId="061FCFB3" w:rsidR="0094059D" w:rsidRDefault="00663474" w:rsidP="00067807">
      <w:pPr>
        <w:spacing w:line="480" w:lineRule="auto"/>
      </w:pPr>
      <w:r w:rsidRPr="00663474">
        <w:t>E</w:t>
      </w:r>
      <w:r>
        <w:t>very</w:t>
      </w:r>
      <w:r w:rsidRPr="00663474">
        <w:t xml:space="preserve"> year on the Sunday following St Piran’s Day (5 March), a procession crosses the sands of the north-east Cornish coast to the oratory at Perranzabuloe</w:t>
      </w:r>
      <w:r w:rsidR="00594D0B" w:rsidRPr="00594D0B">
        <w:t>.</w:t>
      </w:r>
      <w:r w:rsidR="00594D0B">
        <w:t xml:space="preserve"> </w:t>
      </w:r>
      <w:r w:rsidR="00594D0B" w:rsidRPr="00594D0B">
        <w:t>This pilgrimage was revived during the growth of the Cornish nationalist movement in the late nineteenth century.</w:t>
      </w:r>
      <w:r w:rsidR="003F65BA" w:rsidRPr="00767380">
        <w:rPr>
          <w:rStyle w:val="FootnoteReference"/>
        </w:rPr>
        <w:footnoteReference w:id="1"/>
      </w:r>
      <w:r w:rsidR="00E07BE3" w:rsidRPr="00E07BE3">
        <w:t xml:space="preserve"> It echoes a medieval procession of the saint’s relics, recorded after a visitation by the dean and chapter of Exeter in 1331</w:t>
      </w:r>
      <w:r w:rsidR="00951EC7">
        <w:t>.</w:t>
      </w:r>
      <w:r w:rsidR="00951EC7" w:rsidRPr="00767380">
        <w:rPr>
          <w:rStyle w:val="FootnoteReference"/>
        </w:rPr>
        <w:footnoteReference w:id="2"/>
      </w:r>
      <w:r w:rsidR="00A14482" w:rsidRPr="00A14482">
        <w:t xml:space="preserve"> As the patron saint of Cornwall, St Piran holds a central place in </w:t>
      </w:r>
      <w:r w:rsidR="00A14482">
        <w:t>Cornish</w:t>
      </w:r>
      <w:r w:rsidR="00A14482" w:rsidRPr="00A14482">
        <w:t xml:space="preserve"> identity, though the historical foundations of his cult remain uncertain</w:t>
      </w:r>
      <w:r w:rsidR="00951EC7">
        <w:t xml:space="preserve">.  </w:t>
      </w:r>
      <w:r w:rsidR="00166D91" w:rsidRPr="00166D91">
        <w:t xml:space="preserve">No contemporary or early medieval </w:t>
      </w:r>
      <w:r w:rsidR="00166D91" w:rsidRPr="00454261">
        <w:rPr>
          <w:i/>
          <w:iCs/>
        </w:rPr>
        <w:t>Life</w:t>
      </w:r>
      <w:r w:rsidR="00166D91" w:rsidRPr="00166D91">
        <w:t xml:space="preserve"> survives, and the extant </w:t>
      </w:r>
      <w:r w:rsidR="00166D91" w:rsidRPr="00166D91">
        <w:rPr>
          <w:i/>
          <w:iCs/>
        </w:rPr>
        <w:t>Vita Sancti Pirani</w:t>
      </w:r>
      <w:r w:rsidR="00166D91" w:rsidRPr="00166D91">
        <w:t xml:space="preserve"> </w:t>
      </w:r>
      <w:r w:rsidR="00454261">
        <w:t>(</w:t>
      </w:r>
      <w:r w:rsidR="00F17C8E">
        <w:t xml:space="preserve">hereafter </w:t>
      </w:r>
      <w:r w:rsidR="00454261">
        <w:t xml:space="preserve">the </w:t>
      </w:r>
      <w:r w:rsidR="00454261" w:rsidRPr="00454261">
        <w:rPr>
          <w:i/>
          <w:iCs/>
        </w:rPr>
        <w:t>Life</w:t>
      </w:r>
      <w:r w:rsidR="00454261">
        <w:t xml:space="preserve">) </w:t>
      </w:r>
      <w:r w:rsidR="00166D91" w:rsidRPr="00166D91">
        <w:t xml:space="preserve">appears to derive from the </w:t>
      </w:r>
      <w:r w:rsidR="00166D91" w:rsidRPr="00454261">
        <w:rPr>
          <w:i/>
          <w:iCs/>
        </w:rPr>
        <w:t>Life</w:t>
      </w:r>
      <w:r w:rsidR="00166D91" w:rsidRPr="00166D91">
        <w:t xml:space="preserve"> of the Irish </w:t>
      </w:r>
      <w:r w:rsidR="00100539">
        <w:t>S</w:t>
      </w:r>
      <w:r w:rsidR="00166D91" w:rsidRPr="00166D91">
        <w:t>aint Ciaràn of Saighir</w:t>
      </w:r>
      <w:r w:rsidR="00AC5F11">
        <w:t>.</w:t>
      </w:r>
      <w:r w:rsidR="0030504F" w:rsidRPr="00767380">
        <w:rPr>
          <w:rStyle w:val="FootnoteReference"/>
        </w:rPr>
        <w:footnoteReference w:id="3"/>
      </w:r>
      <w:r w:rsidR="00AC5F11">
        <w:t xml:space="preserve">  This essay will examine the abridged </w:t>
      </w:r>
      <w:r w:rsidR="00AC5F11" w:rsidRPr="004D112A">
        <w:rPr>
          <w:i/>
          <w:iCs/>
        </w:rPr>
        <w:t>Life</w:t>
      </w:r>
      <w:r w:rsidR="00AC5F11">
        <w:t xml:space="preserve"> of St Piran</w:t>
      </w:r>
      <w:r w:rsidR="00594D0B">
        <w:t>,</w:t>
      </w:r>
      <w:r w:rsidR="00AC5F11">
        <w:t xml:space="preserve"> </w:t>
      </w:r>
      <w:r w:rsidR="00594D0B">
        <w:t>compiled</w:t>
      </w:r>
      <w:r w:rsidR="00AC5F11">
        <w:t xml:space="preserve"> by John of Tynemouth and originally published in </w:t>
      </w:r>
      <w:r w:rsidR="00AC5F11" w:rsidRPr="00594D0B">
        <w:rPr>
          <w:i/>
          <w:iCs/>
        </w:rPr>
        <w:t>Nova Legenda Anglie</w:t>
      </w:r>
      <w:r w:rsidR="005E6A51">
        <w:t>.</w:t>
      </w:r>
      <w:r w:rsidR="005E6A51" w:rsidRPr="00767380">
        <w:rPr>
          <w:rStyle w:val="FootnoteReference"/>
        </w:rPr>
        <w:footnoteReference w:id="4"/>
      </w:r>
      <w:r w:rsidR="004764EB">
        <w:t xml:space="preserve"> It </w:t>
      </w:r>
      <w:r w:rsidR="004764EB" w:rsidRPr="00594D0B">
        <w:t xml:space="preserve">will consider the text’s authorship, its dependence on earlier Irish hagiography, the purpose of its </w:t>
      </w:r>
      <w:r w:rsidR="004764EB" w:rsidRPr="00594D0B">
        <w:lastRenderedPageBreak/>
        <w:t>compilation</w:t>
      </w:r>
      <w:r w:rsidR="004764EB">
        <w:t xml:space="preserve"> as well as </w:t>
      </w:r>
      <w:r w:rsidR="004764EB" w:rsidRPr="00594D0B">
        <w:t>its place within the wider literary and ecclesiastical context of later medieval England</w:t>
      </w:r>
      <w:r w:rsidR="00F37F8D">
        <w:t xml:space="preserve"> when it was </w:t>
      </w:r>
      <w:r w:rsidR="00441BA2">
        <w:t>compiled</w:t>
      </w:r>
      <w:r w:rsidR="004764EB">
        <w:t>.</w:t>
      </w:r>
    </w:p>
    <w:p w14:paraId="431E4D20" w14:textId="2BDB0B88" w:rsidR="00F74D79" w:rsidRDefault="003F65BA" w:rsidP="00067807">
      <w:pPr>
        <w:spacing w:line="480" w:lineRule="auto"/>
      </w:pPr>
      <w:r>
        <w:t xml:space="preserve">The oldest known manuscript containing the </w:t>
      </w:r>
      <w:r w:rsidRPr="006B2490">
        <w:rPr>
          <w:i/>
          <w:iCs/>
        </w:rPr>
        <w:t>Life</w:t>
      </w:r>
      <w:r>
        <w:t xml:space="preserve"> of St Piran is the Gotha M</w:t>
      </w:r>
      <w:r w:rsidR="00441BA2">
        <w:t>emb</w:t>
      </w:r>
      <w:r>
        <w:t xml:space="preserve"> I 81 which was rediscovered in 1937 in the </w:t>
      </w:r>
      <w:r w:rsidR="00441BA2">
        <w:t>‘</w:t>
      </w:r>
      <w:r w:rsidR="008334A4">
        <w:t>Forschungsbibliothek</w:t>
      </w:r>
      <w:r w:rsidR="00441BA2">
        <w:t>’</w:t>
      </w:r>
      <w:r w:rsidR="008334A4">
        <w:t xml:space="preserve"> of the former ducal palace at Erfurt, Germany.</w:t>
      </w:r>
      <w:r w:rsidR="008B62E6" w:rsidRPr="00767380">
        <w:rPr>
          <w:rStyle w:val="FootnoteReference"/>
        </w:rPr>
        <w:footnoteReference w:id="5"/>
      </w:r>
      <w:r w:rsidR="008B62E6">
        <w:t xml:space="preserve"> This was compiled in the mid to late fourteenth century and recent research by Eleanor Smith has </w:t>
      </w:r>
      <w:r w:rsidR="003E05E6">
        <w:t>concluded</w:t>
      </w:r>
      <w:r w:rsidR="008B62E6">
        <w:t xml:space="preserve"> that this took place in the library at Exeter Cathedral.</w:t>
      </w:r>
      <w:r w:rsidR="00CE50AC" w:rsidRPr="00767380">
        <w:rPr>
          <w:rStyle w:val="FootnoteReference"/>
        </w:rPr>
        <w:footnoteReference w:id="6"/>
      </w:r>
      <w:r w:rsidR="00CE50AC">
        <w:t xml:space="preserve"> </w:t>
      </w:r>
      <w:r w:rsidR="00503D62" w:rsidRPr="00503D62">
        <w:t>It was from these Exeter sources that John of Tynemouth, a chronicler</w:t>
      </w:r>
      <w:r w:rsidR="000923D8">
        <w:t xml:space="preserve"> </w:t>
      </w:r>
      <w:r w:rsidR="000C03FD">
        <w:t>possibly</w:t>
      </w:r>
      <w:r w:rsidR="00503D62" w:rsidRPr="00503D62">
        <w:t xml:space="preserve"> from St Albans, likely gathered the material for his </w:t>
      </w:r>
      <w:r w:rsidR="00A20E4E" w:rsidRPr="00A20E4E">
        <w:rPr>
          <w:i/>
          <w:iCs/>
        </w:rPr>
        <w:t>Sanctilogium Angliae Walliae Scotiae et Hiberniae</w:t>
      </w:r>
      <w:r w:rsidR="00503D62" w:rsidRPr="00503D62">
        <w:t>, later adapted into the printed </w:t>
      </w:r>
      <w:r w:rsidR="00503D62" w:rsidRPr="00503D62">
        <w:rPr>
          <w:i/>
          <w:iCs/>
        </w:rPr>
        <w:t>Nova Legenda Anglie</w:t>
      </w:r>
      <w:r w:rsidR="00503D62" w:rsidRPr="00503D62">
        <w:t>.</w:t>
      </w:r>
      <w:r w:rsidR="00C45CE7" w:rsidRPr="00767380">
        <w:rPr>
          <w:rStyle w:val="FootnoteReference"/>
        </w:rPr>
        <w:footnoteReference w:id="7"/>
      </w:r>
      <w:r w:rsidR="00503D62" w:rsidRPr="00503D62">
        <w:t xml:space="preserve"> Tynemouth sought to create a comprehensive national legendary</w:t>
      </w:r>
      <w:r w:rsidR="009F2FD9">
        <w:t xml:space="preserve"> by visiting </w:t>
      </w:r>
      <w:r w:rsidR="008C1DE7">
        <w:t xml:space="preserve">the libraries of </w:t>
      </w:r>
      <w:r w:rsidR="00BC2857">
        <w:t>ecclesiastical institutions across the country</w:t>
      </w:r>
      <w:r w:rsidR="00503D62" w:rsidRPr="00503D62">
        <w:t xml:space="preserve"> and he included the </w:t>
      </w:r>
      <w:r w:rsidR="00503D62" w:rsidRPr="006A6246">
        <w:rPr>
          <w:i/>
          <w:iCs/>
        </w:rPr>
        <w:t>Life</w:t>
      </w:r>
      <w:r w:rsidR="00503D62" w:rsidRPr="00503D62">
        <w:t xml:space="preserve"> of </w:t>
      </w:r>
      <w:r w:rsidR="006A6246">
        <w:t xml:space="preserve">St </w:t>
      </w:r>
      <w:r w:rsidR="00503D62" w:rsidRPr="00503D62">
        <w:t xml:space="preserve">Piran to ensure that the distinct traditions of </w:t>
      </w:r>
      <w:r w:rsidR="005E56A1">
        <w:t>Cornwall</w:t>
      </w:r>
      <w:r w:rsidR="00503D62" w:rsidRPr="00503D62">
        <w:t xml:space="preserve"> were represented within </w:t>
      </w:r>
      <w:r w:rsidR="00B80701">
        <w:t>his work</w:t>
      </w:r>
      <w:r w:rsidR="00503D62" w:rsidRPr="00503D62">
        <w:t>.</w:t>
      </w:r>
      <w:r w:rsidR="00934E70" w:rsidRPr="00934E70">
        <w:t xml:space="preserve"> Before its rediscovery, </w:t>
      </w:r>
      <w:r w:rsidR="003D2444">
        <w:t xml:space="preserve">Gilbert </w:t>
      </w:r>
      <w:r w:rsidR="00934E70" w:rsidRPr="00934E70">
        <w:t xml:space="preserve">Doble linked the </w:t>
      </w:r>
      <w:r w:rsidR="00934E70" w:rsidRPr="0028699C">
        <w:rPr>
          <w:i/>
          <w:iCs/>
        </w:rPr>
        <w:t>Life</w:t>
      </w:r>
      <w:r w:rsidR="00934E70" w:rsidRPr="00934E70">
        <w:t xml:space="preserve"> in </w:t>
      </w:r>
      <w:r w:rsidR="00934E70" w:rsidRPr="00934E70">
        <w:rPr>
          <w:i/>
          <w:iCs/>
        </w:rPr>
        <w:t>Nova Legenda Anglie</w:t>
      </w:r>
      <w:r w:rsidR="00934E70" w:rsidRPr="00934E70">
        <w:t xml:space="preserve"> to Exeter Cathedral, arguing that its author knew Perranzabuloe</w:t>
      </w:r>
      <w:r w:rsidR="00494CFE">
        <w:t xml:space="preserve">. </w:t>
      </w:r>
      <w:r w:rsidR="00BA0C21">
        <w:t xml:space="preserve">Doble </w:t>
      </w:r>
      <w:r w:rsidR="00791A9F">
        <w:t xml:space="preserve">compares this version </w:t>
      </w:r>
      <w:r w:rsidR="00710BF1">
        <w:t xml:space="preserve">with </w:t>
      </w:r>
      <w:r w:rsidR="00B30376">
        <w:t>the Latin</w:t>
      </w:r>
      <w:r w:rsidR="00AE78AA" w:rsidRPr="00C723E3">
        <w:rPr>
          <w:i/>
          <w:iCs/>
        </w:rPr>
        <w:t xml:space="preserve"> Life</w:t>
      </w:r>
      <w:r w:rsidR="00C723E3" w:rsidRPr="00C723E3">
        <w:rPr>
          <w:i/>
          <w:iCs/>
        </w:rPr>
        <w:t xml:space="preserve"> </w:t>
      </w:r>
      <w:r w:rsidR="00C723E3">
        <w:t>of St Ciaràn</w:t>
      </w:r>
      <w:r w:rsidR="00AE78AA">
        <w:t xml:space="preserve"> as it was the Latin and not the Irish version that Tynemouth worked from</w:t>
      </w:r>
      <w:r w:rsidR="00C723E3">
        <w:t>.</w:t>
      </w:r>
      <w:r w:rsidR="00F5148C" w:rsidRPr="00767380">
        <w:rPr>
          <w:rStyle w:val="FootnoteReference"/>
        </w:rPr>
        <w:footnoteReference w:id="8"/>
      </w:r>
    </w:p>
    <w:p w14:paraId="6389080B" w14:textId="5803C1F9" w:rsidR="002C1D6F" w:rsidRDefault="001F0CFC" w:rsidP="00067807">
      <w:pPr>
        <w:spacing w:line="480" w:lineRule="auto"/>
      </w:pPr>
      <w:r>
        <w:t>One of the oldest</w:t>
      </w:r>
      <w:r w:rsidR="00F661E8">
        <w:t xml:space="preserve"> written references to the </w:t>
      </w:r>
      <w:r w:rsidR="0097663F">
        <w:t xml:space="preserve">original site </w:t>
      </w:r>
      <w:r w:rsidR="00251419">
        <w:t xml:space="preserve">is to the </w:t>
      </w:r>
      <w:r w:rsidR="004A4CBC">
        <w:t>canons of Lanpira</w:t>
      </w:r>
      <w:r w:rsidR="00A814AA">
        <w:t>n in Domesday</w:t>
      </w:r>
      <w:r w:rsidR="00B371D3">
        <w:t>. It uses</w:t>
      </w:r>
      <w:r w:rsidR="00A814AA">
        <w:t xml:space="preserve"> </w:t>
      </w:r>
      <w:r w:rsidR="00D46F89">
        <w:t xml:space="preserve">the Cornish </w:t>
      </w:r>
      <w:r w:rsidR="00B371D3">
        <w:t>form of the name</w:t>
      </w:r>
      <w:r w:rsidR="00653036">
        <w:t xml:space="preserve"> to indicate a religious institution</w:t>
      </w:r>
      <w:r w:rsidR="00EE3827">
        <w:t xml:space="preserve"> or </w:t>
      </w:r>
      <w:r w:rsidR="00EE3827">
        <w:lastRenderedPageBreak/>
        <w:t>minster</w:t>
      </w:r>
      <w:r w:rsidR="00653036">
        <w:t xml:space="preserve"> </w:t>
      </w:r>
      <w:r w:rsidR="00B371D3">
        <w:t>in existence</w:t>
      </w:r>
      <w:r w:rsidR="00653036">
        <w:t xml:space="preserve"> prior to the Norman Conquest</w:t>
      </w:r>
      <w:r w:rsidR="00ED6C48">
        <w:t>.</w:t>
      </w:r>
      <w:r w:rsidR="00ED6C48" w:rsidRPr="00767380">
        <w:rPr>
          <w:rStyle w:val="FootnoteReference"/>
        </w:rPr>
        <w:footnoteReference w:id="9"/>
      </w:r>
      <w:r w:rsidR="006731D9">
        <w:t xml:space="preserve"> </w:t>
      </w:r>
      <w:r w:rsidR="00F72D8B">
        <w:t>Following an excavation by the Cornish Archaeological Unit in 2014, t</w:t>
      </w:r>
      <w:r w:rsidR="006D386F">
        <w:t>he remain</w:t>
      </w:r>
      <w:r w:rsidR="00071067">
        <w:t>s</w:t>
      </w:r>
      <w:r w:rsidR="006D386F">
        <w:t xml:space="preserve"> of the oratory have </w:t>
      </w:r>
      <w:r w:rsidR="004E0880">
        <w:t>more recently been dated</w:t>
      </w:r>
      <w:r w:rsidR="008B5D0E">
        <w:t xml:space="preserve"> </w:t>
      </w:r>
      <w:r w:rsidR="002428E4">
        <w:t xml:space="preserve">as Norman </w:t>
      </w:r>
      <w:r w:rsidR="008B5D0E">
        <w:t xml:space="preserve">in </w:t>
      </w:r>
      <w:r w:rsidR="00F72D8B">
        <w:t>their</w:t>
      </w:r>
      <w:r w:rsidR="008B5D0E">
        <w:t xml:space="preserve"> 2025 report</w:t>
      </w:r>
      <w:r w:rsidR="00134FC8">
        <w:t xml:space="preserve"> </w:t>
      </w:r>
      <w:r w:rsidR="004E0880">
        <w:t>and</w:t>
      </w:r>
      <w:r w:rsidR="00071067">
        <w:t xml:space="preserve"> are</w:t>
      </w:r>
      <w:r w:rsidR="004E0880">
        <w:t xml:space="preserve"> probably from the twelfth century </w:t>
      </w:r>
      <w:r w:rsidR="00F72D8B">
        <w:t>rather than</w:t>
      </w:r>
      <w:r w:rsidR="004E0880">
        <w:t xml:space="preserve"> the </w:t>
      </w:r>
      <w:r w:rsidR="003873A5">
        <w:t>seventh or eighth as was originally thought</w:t>
      </w:r>
      <w:r w:rsidR="00F72D8B">
        <w:t>. H</w:t>
      </w:r>
      <w:r w:rsidR="00DA1E1A">
        <w:t>owever, an earlier wooden structure</w:t>
      </w:r>
      <w:r w:rsidR="00BA7B75">
        <w:t xml:space="preserve"> would have probably </w:t>
      </w:r>
      <w:r w:rsidR="000729F8">
        <w:t>existed</w:t>
      </w:r>
      <w:r w:rsidR="00BA7B75">
        <w:t xml:space="preserve"> on the site and human remains</w:t>
      </w:r>
      <w:r w:rsidR="003D6209">
        <w:t xml:space="preserve"> discovered in the burial ground </w:t>
      </w:r>
      <w:r w:rsidR="00CC6834">
        <w:t xml:space="preserve">there </w:t>
      </w:r>
      <w:r w:rsidR="000729F8">
        <w:t>have been carbon dated</w:t>
      </w:r>
      <w:r w:rsidR="003D6209">
        <w:t xml:space="preserve"> to the eighth or ninth century</w:t>
      </w:r>
      <w:r w:rsidR="00CC6834">
        <w:t>,</w:t>
      </w:r>
      <w:r w:rsidR="00FC0E06" w:rsidRPr="00FC0E06">
        <w:t xml:space="preserve"> indicating an established cult lacking formal legitimisation through a written </w:t>
      </w:r>
      <w:r w:rsidR="00FC0E06" w:rsidRPr="00FC0E06">
        <w:rPr>
          <w:i/>
          <w:iCs/>
        </w:rPr>
        <w:t>Life</w:t>
      </w:r>
      <w:r w:rsidR="00790C95">
        <w:t>.</w:t>
      </w:r>
    </w:p>
    <w:p w14:paraId="479038F1" w14:textId="6797F75B" w:rsidR="007E77B9" w:rsidRDefault="00BD1D03" w:rsidP="00067807">
      <w:pPr>
        <w:spacing w:line="480" w:lineRule="auto"/>
      </w:pPr>
      <w:r>
        <w:t xml:space="preserve">The </w:t>
      </w:r>
      <w:r w:rsidR="00067CE7">
        <w:t>church at Lanpiran</w:t>
      </w:r>
      <w:r w:rsidR="00620DBC">
        <w:t>, the oratory located in the sand</w:t>
      </w:r>
      <w:r w:rsidR="00CF6E24">
        <w:t xml:space="preserve"> dunes, </w:t>
      </w:r>
      <w:r w:rsidR="00071067">
        <w:t>as well as</w:t>
      </w:r>
      <w:r w:rsidR="00CF6E24">
        <w:t xml:space="preserve"> the later church built </w:t>
      </w:r>
      <w:r w:rsidR="00156C3D">
        <w:t>slightly inland in the twelfth cent</w:t>
      </w:r>
      <w:r w:rsidR="00844872">
        <w:t>ury</w:t>
      </w:r>
      <w:r w:rsidR="00571C0D">
        <w:t>,</w:t>
      </w:r>
      <w:r w:rsidR="00844872">
        <w:t xml:space="preserve"> were gifted by Henry I to Exeter Cathedral</w:t>
      </w:r>
      <w:r w:rsidR="006D386F">
        <w:t>.</w:t>
      </w:r>
      <w:r w:rsidR="00474B05">
        <w:t xml:space="preserve"> Doble states</w:t>
      </w:r>
      <w:r w:rsidR="00B77ECD">
        <w:t xml:space="preserve"> </w:t>
      </w:r>
      <w:r w:rsidR="00533B48">
        <w:t xml:space="preserve">that, </w:t>
      </w:r>
      <w:r w:rsidR="008D137F">
        <w:t>“</w:t>
      </w:r>
      <w:r w:rsidR="00533B48">
        <w:t>[</w:t>
      </w:r>
      <w:r w:rsidR="00B77ECD">
        <w:t xml:space="preserve">…] probability points to the cathedral library at Exeter as the place where John of Tynemouth found the </w:t>
      </w:r>
      <w:r w:rsidR="00B77ECD" w:rsidRPr="008D137F">
        <w:rPr>
          <w:i/>
          <w:iCs/>
        </w:rPr>
        <w:t>Life of S</w:t>
      </w:r>
      <w:r w:rsidR="004248D9">
        <w:rPr>
          <w:i/>
          <w:iCs/>
        </w:rPr>
        <w:t>.</w:t>
      </w:r>
      <w:r w:rsidR="00B77ECD" w:rsidRPr="008D137F">
        <w:rPr>
          <w:i/>
          <w:iCs/>
        </w:rPr>
        <w:t xml:space="preserve"> Piran</w:t>
      </w:r>
      <w:r w:rsidR="00B77ECD">
        <w:t xml:space="preserve">, and to some learned canon </w:t>
      </w:r>
      <w:r w:rsidR="00533B48">
        <w:t>of Exeter as its author.”</w:t>
      </w:r>
      <w:r w:rsidR="00B75A11" w:rsidRPr="00767380">
        <w:rPr>
          <w:rStyle w:val="FootnoteReference"/>
        </w:rPr>
        <w:footnoteReference w:id="10"/>
      </w:r>
      <w:r w:rsidR="003E05E6">
        <w:t xml:space="preserve"> </w:t>
      </w:r>
      <w:r w:rsidR="007D6C1F">
        <w:t xml:space="preserve">This association is important when considering </w:t>
      </w:r>
      <w:r w:rsidR="00B474C1">
        <w:t xml:space="preserve">why the </w:t>
      </w:r>
      <w:r w:rsidR="00B474C1" w:rsidRPr="006E4D76">
        <w:rPr>
          <w:i/>
          <w:iCs/>
        </w:rPr>
        <w:t>Life</w:t>
      </w:r>
      <w:r w:rsidR="00B474C1">
        <w:t xml:space="preserve"> of the Irish saint, Ciaràn</w:t>
      </w:r>
      <w:r w:rsidR="00B90577">
        <w:t xml:space="preserve">, was chosen as the template for </w:t>
      </w:r>
      <w:r w:rsidR="006E4D76">
        <w:t>St</w:t>
      </w:r>
      <w:r w:rsidR="004248D9">
        <w:t xml:space="preserve"> </w:t>
      </w:r>
      <w:r w:rsidR="00B90577">
        <w:t>Piran.</w:t>
      </w:r>
      <w:r w:rsidR="007C2953">
        <w:t xml:space="preserve">  </w:t>
      </w:r>
      <w:r w:rsidR="00DD31DB">
        <w:t xml:space="preserve">Exeter had a church dedicated to </w:t>
      </w:r>
      <w:r w:rsidR="000A4F36">
        <w:t>Saint Kerrian</w:t>
      </w:r>
      <w:r w:rsidR="00760D67">
        <w:t>,</w:t>
      </w:r>
      <w:r w:rsidR="00E6590D">
        <w:t xml:space="preserve"> dating to the late twelfth century</w:t>
      </w:r>
      <w:r w:rsidR="00760D67">
        <w:t>,</w:t>
      </w:r>
      <w:r w:rsidR="0027490F">
        <w:t xml:space="preserve"> </w:t>
      </w:r>
      <w:r w:rsidR="009B79A9">
        <w:t>which</w:t>
      </w:r>
      <w:r w:rsidR="0027490F">
        <w:t xml:space="preserve"> was associated with the Cornish tin miners who came to sell their tin </w:t>
      </w:r>
      <w:r w:rsidR="00760D67">
        <w:t>there</w:t>
      </w:r>
      <w:r w:rsidR="0027490F">
        <w:t>.</w:t>
      </w:r>
      <w:r w:rsidR="0027490F" w:rsidRPr="00767380">
        <w:rPr>
          <w:rStyle w:val="FootnoteReference"/>
        </w:rPr>
        <w:footnoteReference w:id="11"/>
      </w:r>
      <w:r w:rsidR="00D14545">
        <w:t xml:space="preserve"> This Kerrian </w:t>
      </w:r>
      <w:r w:rsidR="00773D14">
        <w:t xml:space="preserve">was, according to Doble, </w:t>
      </w:r>
      <w:r w:rsidR="0032298A">
        <w:t>the ‘</w:t>
      </w:r>
      <w:r w:rsidR="0032298A" w:rsidRPr="005808C0">
        <w:rPr>
          <w:i/>
          <w:iCs/>
        </w:rPr>
        <w:t>Keran</w:t>
      </w:r>
      <w:r w:rsidR="0032298A">
        <w:t>’ in Bishop John de Grandisson’s</w:t>
      </w:r>
      <w:r w:rsidR="006641AA">
        <w:t xml:space="preserve"> Ordinale from 1337, marked against the date 5 March.</w:t>
      </w:r>
      <w:r w:rsidR="005808C0">
        <w:t xml:space="preserve"> This is the </w:t>
      </w:r>
      <w:r w:rsidR="00216DC6">
        <w:t xml:space="preserve">date that St Ciaràn of Saighir </w:t>
      </w:r>
      <w:r w:rsidR="00CB3B56">
        <w:t>was</w:t>
      </w:r>
      <w:r w:rsidR="00216DC6">
        <w:t xml:space="preserve"> celebrated so </w:t>
      </w:r>
      <w:r w:rsidR="008B518A">
        <w:t xml:space="preserve">Piran/Kerrian/Ciaràn </w:t>
      </w:r>
      <w:r w:rsidR="00CB3B56">
        <w:t>was</w:t>
      </w:r>
      <w:r w:rsidR="008B518A">
        <w:t xml:space="preserve"> already being identified as the Irish saint.  </w:t>
      </w:r>
    </w:p>
    <w:p w14:paraId="0C72E51E" w14:textId="2D35F6DA" w:rsidR="00C215BC" w:rsidRDefault="0014460C" w:rsidP="00067807">
      <w:pPr>
        <w:spacing w:line="480" w:lineRule="auto"/>
      </w:pPr>
      <w:r w:rsidRPr="00D36C56">
        <w:lastRenderedPageBreak/>
        <w:t>Since the parish and manor of Perranzabuloe were under Exeter’s jurisdiction, Bishop Grandisson had a vested interest in formalising a </w:t>
      </w:r>
      <w:r>
        <w:rPr>
          <w:i/>
          <w:iCs/>
        </w:rPr>
        <w:t>Life</w:t>
      </w:r>
      <w:r w:rsidRPr="00D36C56">
        <w:t xml:space="preserve"> for the existing cult. </w:t>
      </w:r>
      <w:r w:rsidR="0095763F" w:rsidRPr="00D36C56">
        <w:t>Doing so reinforced diocesan authority over Cornwall whil</w:t>
      </w:r>
      <w:r w:rsidR="0095763F">
        <w:t>st</w:t>
      </w:r>
      <w:r w:rsidR="0095763F" w:rsidRPr="00D36C56">
        <w:t xml:space="preserve"> legitimising the physical relics</w:t>
      </w:r>
      <w:r w:rsidR="00685CC4">
        <w:t xml:space="preserve">, </w:t>
      </w:r>
      <w:r w:rsidR="0095763F" w:rsidRPr="00D36C56">
        <w:t>specifically St Piran’s arm</w:t>
      </w:r>
      <w:r w:rsidR="00685CC4">
        <w:t xml:space="preserve"> which was </w:t>
      </w:r>
      <w:r w:rsidR="0095763F" w:rsidRPr="00D36C56">
        <w:t xml:space="preserve">held at an altar in Exeter Cathedral. </w:t>
      </w:r>
      <w:r w:rsidR="00797555">
        <w:t xml:space="preserve"> </w:t>
      </w:r>
      <w:r w:rsidR="00F54838" w:rsidRPr="00F54838">
        <w:t xml:space="preserve">As Nicholas Orme notes, locating saints in Ireland added “enchantment” and prestige, aiding the legitimisation of relics and </w:t>
      </w:r>
      <w:r w:rsidR="00EB5A32">
        <w:t xml:space="preserve">promoting </w:t>
      </w:r>
      <w:r w:rsidR="00F54838" w:rsidRPr="00F54838">
        <w:t>pilgrimage</w:t>
      </w:r>
      <w:r w:rsidR="007C065D" w:rsidRPr="00D36C56">
        <w:t>.</w:t>
      </w:r>
      <w:r w:rsidR="0015658C" w:rsidRPr="00767380">
        <w:rPr>
          <w:rStyle w:val="FootnoteReference"/>
        </w:rPr>
        <w:footnoteReference w:id="12"/>
      </w:r>
      <w:r w:rsidR="00914C80">
        <w:t xml:space="preserve"> </w:t>
      </w:r>
      <w:r w:rsidR="00D15C66" w:rsidRPr="00D36C56">
        <w:t>If the Exeter library held a copy of the </w:t>
      </w:r>
      <w:r w:rsidR="00D15C66" w:rsidRPr="00D36C56">
        <w:rPr>
          <w:i/>
          <w:iCs/>
        </w:rPr>
        <w:t>Life of Ciarán of Saighir</w:t>
      </w:r>
      <w:r w:rsidR="00D15C66" w:rsidRPr="00D36C56">
        <w:t xml:space="preserve">, </w:t>
      </w:r>
      <w:r w:rsidR="00861986" w:rsidRPr="00861986">
        <w:t>it provided a ready-made template for "hagiographical transfer."</w:t>
      </w:r>
      <w:r w:rsidR="00E50015">
        <w:t xml:space="preserve"> </w:t>
      </w:r>
      <w:r w:rsidR="00E50015" w:rsidRPr="00E50015">
        <w:t xml:space="preserve">Even if the </w:t>
      </w:r>
      <w:r w:rsidR="00DB7988">
        <w:t>well-known</w:t>
      </w:r>
      <w:r w:rsidR="00E50015" w:rsidRPr="00E50015">
        <w:t xml:space="preserve"> millstone crossing was a later oral</w:t>
      </w:r>
      <w:r w:rsidR="00E50015">
        <w:t xml:space="preserve"> folk</w:t>
      </w:r>
      <w:r w:rsidR="00E50015" w:rsidRPr="00E50015">
        <w:t xml:space="preserve"> traditio</w:t>
      </w:r>
      <w:r w:rsidR="004D220A">
        <w:t xml:space="preserve">n, </w:t>
      </w:r>
      <w:r w:rsidR="00E50015" w:rsidRPr="00E50015">
        <w:t>analogous to St Ia’s arrival on a leaf and notably absent from the written </w:t>
      </w:r>
      <w:r w:rsidR="00E50015" w:rsidRPr="00E50015">
        <w:rPr>
          <w:i/>
          <w:iCs/>
        </w:rPr>
        <w:t>Life</w:t>
      </w:r>
      <w:r w:rsidR="004D220A">
        <w:t xml:space="preserve">, </w:t>
      </w:r>
      <w:r w:rsidR="00E50015" w:rsidRPr="00E50015">
        <w:t>its existence suggests a pre-existing Irish association.</w:t>
      </w:r>
      <w:r w:rsidR="0045504A">
        <w:t xml:space="preserve"> </w:t>
      </w:r>
      <w:r w:rsidR="00880E82" w:rsidRPr="00880E82">
        <w:t xml:space="preserve">As Richard Sharpe wryly observes, ascribing an Irish birthright to obscure saints became a standard hagiographical trope, effectively </w:t>
      </w:r>
      <w:r w:rsidR="00AE4671">
        <w:t>situating</w:t>
      </w:r>
      <w:r w:rsidR="00880E82" w:rsidRPr="00880E82">
        <w:t xml:space="preserve"> </w:t>
      </w:r>
      <w:r w:rsidR="00AE4671">
        <w:t xml:space="preserve">St </w:t>
      </w:r>
      <w:r w:rsidR="00880E82" w:rsidRPr="00880E82">
        <w:t>Piran within a</w:t>
      </w:r>
      <w:r w:rsidR="00AE4671">
        <w:t xml:space="preserve">n existing </w:t>
      </w:r>
      <w:r w:rsidR="00880E82" w:rsidRPr="00880E82">
        <w:t>prestigious and ancient tradition.</w:t>
      </w:r>
      <w:r w:rsidR="008849C1" w:rsidRPr="00767380">
        <w:rPr>
          <w:rStyle w:val="FootnoteReference"/>
        </w:rPr>
        <w:footnoteReference w:id="13"/>
      </w:r>
    </w:p>
    <w:p w14:paraId="20EE7C2D" w14:textId="336C1928" w:rsidR="00FC2184" w:rsidRDefault="00A53DB0" w:rsidP="00067807">
      <w:pPr>
        <w:spacing w:line="480" w:lineRule="auto"/>
      </w:pPr>
      <w:r>
        <w:t xml:space="preserve">Although there is a strong argument that St Piran and St Ciaràn are the same figure, </w:t>
      </w:r>
      <w:r w:rsidR="00193556">
        <w:t xml:space="preserve">due to the similarity of the name and with </w:t>
      </w:r>
      <w:r w:rsidR="00D64837">
        <w:t xml:space="preserve">the linguistic </w:t>
      </w:r>
      <w:r w:rsidR="002B1151">
        <w:t>convention that the initial P in Brythonic dialects is replaced</w:t>
      </w:r>
      <w:r w:rsidR="002A15AE">
        <w:t xml:space="preserve"> by a C or K in Goidelic</w:t>
      </w:r>
      <w:r w:rsidR="009927FF">
        <w:t>, Doble supports Loth’s theory</w:t>
      </w:r>
      <w:r w:rsidR="001173BB">
        <w:t xml:space="preserve"> that versions of Piran with an added dipthong</w:t>
      </w:r>
      <w:r w:rsidR="0084594A">
        <w:t xml:space="preserve"> such as </w:t>
      </w:r>
      <w:r w:rsidR="0084594A" w:rsidRPr="000C1B9D">
        <w:rPr>
          <w:i/>
          <w:iCs/>
        </w:rPr>
        <w:t>Pieran</w:t>
      </w:r>
      <w:r w:rsidR="000A79D9">
        <w:t xml:space="preserve"> </w:t>
      </w:r>
      <w:r w:rsidR="00CC2078">
        <w:t xml:space="preserve">, as is seen in Domesday, </w:t>
      </w:r>
      <w:r w:rsidR="000A79D9">
        <w:t xml:space="preserve">are later and are intended to </w:t>
      </w:r>
      <w:r w:rsidR="00342FB9">
        <w:t xml:space="preserve">identify Piran with the Irish saint, whereas </w:t>
      </w:r>
      <w:r w:rsidR="00B94C5E">
        <w:t xml:space="preserve">the </w:t>
      </w:r>
      <w:r w:rsidR="00982517">
        <w:t xml:space="preserve">original </w:t>
      </w:r>
      <w:r w:rsidR="00B94C5E">
        <w:t xml:space="preserve">name </w:t>
      </w:r>
      <w:r w:rsidR="00F8769C">
        <w:t>could be</w:t>
      </w:r>
      <w:r w:rsidR="00B94C5E">
        <w:t xml:space="preserve"> that of a native Cornish</w:t>
      </w:r>
      <w:r w:rsidR="001762BD">
        <w:t xml:space="preserve"> or Welsh</w:t>
      </w:r>
      <w:r w:rsidR="00B94C5E">
        <w:t xml:space="preserve"> figure</w:t>
      </w:r>
      <w:r w:rsidR="00D23699">
        <w:t>, potentially</w:t>
      </w:r>
      <w:r w:rsidR="00F718DF">
        <w:t xml:space="preserve"> as Doble suggests,</w:t>
      </w:r>
      <w:r w:rsidR="00D23699">
        <w:t xml:space="preserve"> a corruption of the name </w:t>
      </w:r>
      <w:r w:rsidR="003929CB">
        <w:t>Petran.</w:t>
      </w:r>
      <w:r w:rsidR="003929CB" w:rsidRPr="00767380">
        <w:rPr>
          <w:rStyle w:val="FootnoteReference"/>
        </w:rPr>
        <w:footnoteReference w:id="14"/>
      </w:r>
      <w:r w:rsidR="00125ED9" w:rsidRPr="00125ED9">
        <w:t xml:space="preserve"> Orme similarly suggests the cult was originally </w:t>
      </w:r>
      <w:r w:rsidR="00125ED9" w:rsidRPr="00125ED9">
        <w:lastRenderedPageBreak/>
        <w:t>Cornish, spreading later to Wales and Brittany</w:t>
      </w:r>
      <w:r w:rsidR="00F133DD">
        <w:t xml:space="preserve"> </w:t>
      </w:r>
      <w:r w:rsidR="00E17B3E">
        <w:t xml:space="preserve">and thus </w:t>
      </w:r>
      <w:r w:rsidR="00CF351B">
        <w:t>it</w:t>
      </w:r>
      <w:r w:rsidR="00E17B3E">
        <w:t xml:space="preserve"> would have been unlikely</w:t>
      </w:r>
      <w:r w:rsidR="00CF351B">
        <w:t xml:space="preserve"> for</w:t>
      </w:r>
      <w:r w:rsidR="00604299">
        <w:t xml:space="preserve"> St Piran</w:t>
      </w:r>
      <w:r w:rsidR="00E17B3E">
        <w:t xml:space="preserve"> to have been Irish</w:t>
      </w:r>
      <w:r w:rsidR="005A7BAB">
        <w:t xml:space="preserve"> in origin</w:t>
      </w:r>
      <w:r w:rsidR="00290344">
        <w:t>.</w:t>
      </w:r>
      <w:r w:rsidR="00EB6AEB" w:rsidRPr="00767380">
        <w:rPr>
          <w:rStyle w:val="FootnoteReference"/>
        </w:rPr>
        <w:footnoteReference w:id="15"/>
      </w:r>
    </w:p>
    <w:p w14:paraId="7751711E" w14:textId="0BCD6E4C" w:rsidR="00AF49BA" w:rsidRDefault="00450B78" w:rsidP="00067807">
      <w:pPr>
        <w:spacing w:line="480" w:lineRule="auto"/>
      </w:pPr>
      <w:r>
        <w:t xml:space="preserve">The importance of </w:t>
      </w:r>
      <w:r w:rsidR="001E0A46">
        <w:t>providing</w:t>
      </w:r>
      <w:r>
        <w:t xml:space="preserve"> a </w:t>
      </w:r>
      <w:r w:rsidRPr="00B618FC">
        <w:rPr>
          <w:i/>
          <w:iCs/>
        </w:rPr>
        <w:t>Life</w:t>
      </w:r>
      <w:r w:rsidR="00C96AEE">
        <w:t xml:space="preserve"> for the saint </w:t>
      </w:r>
      <w:r w:rsidR="00CA000A">
        <w:t xml:space="preserve">has little to do with their historicity </w:t>
      </w:r>
      <w:r w:rsidR="00E3149B">
        <w:t>but serves to establish their sanctity</w:t>
      </w:r>
      <w:r w:rsidR="00C96AEE">
        <w:t xml:space="preserve"> </w:t>
      </w:r>
      <w:r w:rsidR="00E3149B">
        <w:t>and to promote their cult</w:t>
      </w:r>
      <w:r w:rsidR="00B618FC">
        <w:t xml:space="preserve"> </w:t>
      </w:r>
      <w:r w:rsidR="00664D6B">
        <w:t>as well as providing an aid for devotional practice</w:t>
      </w:r>
      <w:r w:rsidR="00E3149B">
        <w:t xml:space="preserve">.  </w:t>
      </w:r>
      <w:r w:rsidR="00E0281B" w:rsidRPr="00E0281B">
        <w:t xml:space="preserve">As Stephen Wilson notes, these texts serve to </w:t>
      </w:r>
      <w:r w:rsidR="00EF73BD">
        <w:t>“</w:t>
      </w:r>
      <w:r w:rsidR="00E0281B" w:rsidRPr="00E0281B">
        <w:t>stimulate devotion</w:t>
      </w:r>
      <w:r w:rsidR="00EF73BD">
        <w:t>”</w:t>
      </w:r>
      <w:r w:rsidR="00E0281B" w:rsidRPr="00E0281B">
        <w:t xml:space="preserve"> and </w:t>
      </w:r>
      <w:r w:rsidR="00EF73BD">
        <w:t>“</w:t>
      </w:r>
      <w:r w:rsidR="00E0281B" w:rsidRPr="00E0281B">
        <w:t>further the interests of particular groups</w:t>
      </w:r>
      <w:r w:rsidR="00EF73BD">
        <w:t>”</w:t>
      </w:r>
      <w:r w:rsidR="00E0281B" w:rsidRPr="00E0281B">
        <w:t xml:space="preserve">, </w:t>
      </w:r>
      <w:r w:rsidR="00EB2DEA">
        <w:t>providing</w:t>
      </w:r>
      <w:r w:rsidR="00E0281B" w:rsidRPr="00E0281B">
        <w:t xml:space="preserve"> a standardi</w:t>
      </w:r>
      <w:r w:rsidR="00E0281B">
        <w:t>s</w:t>
      </w:r>
      <w:r w:rsidR="00E0281B" w:rsidRPr="00E0281B">
        <w:t xml:space="preserve">ed literary framework of </w:t>
      </w:r>
      <w:r w:rsidR="003D1644">
        <w:t>motifs or topoi</w:t>
      </w:r>
      <w:r w:rsidR="00E0281B">
        <w:t xml:space="preserve"> which ranges</w:t>
      </w:r>
      <w:r w:rsidR="00E0281B" w:rsidRPr="00E0281B">
        <w:t xml:space="preserve"> from miraculous genealogies</w:t>
      </w:r>
      <w:r w:rsidR="002042D6">
        <w:t xml:space="preserve"> and fant</w:t>
      </w:r>
      <w:r w:rsidR="00053314">
        <w:t>astical stories</w:t>
      </w:r>
      <w:r w:rsidR="00E0281B" w:rsidRPr="00E0281B">
        <w:t xml:space="preserve"> to rigorous </w:t>
      </w:r>
      <w:r w:rsidR="00E0281B" w:rsidRPr="0093538A">
        <w:t>asceticism</w:t>
      </w:r>
      <w:r w:rsidR="00E0281B" w:rsidRPr="00E0281B">
        <w:t> and biblical parallels.</w:t>
      </w:r>
      <w:r w:rsidR="00D315B5" w:rsidRPr="00767380">
        <w:rPr>
          <w:rStyle w:val="FootnoteReference"/>
        </w:rPr>
        <w:footnoteReference w:id="16"/>
      </w:r>
      <w:r w:rsidR="00BD7113">
        <w:t xml:space="preserve"> </w:t>
      </w:r>
      <w:r w:rsidR="000519CB">
        <w:t>Each one of these</w:t>
      </w:r>
      <w:r w:rsidR="0040163E">
        <w:t xml:space="preserve"> motifs</w:t>
      </w:r>
      <w:r w:rsidR="000519CB">
        <w:t xml:space="preserve"> can be identified in the </w:t>
      </w:r>
      <w:r w:rsidR="000519CB" w:rsidRPr="003845A4">
        <w:rPr>
          <w:i/>
          <w:iCs/>
        </w:rPr>
        <w:t xml:space="preserve">Life </w:t>
      </w:r>
      <w:r w:rsidR="000519CB">
        <w:t>of St Piran</w:t>
      </w:r>
      <w:r w:rsidR="0040163E">
        <w:t xml:space="preserve">, </w:t>
      </w:r>
      <w:r w:rsidR="002746B5">
        <w:t xml:space="preserve">most of which, with the exception of the </w:t>
      </w:r>
      <w:r w:rsidR="002614D0">
        <w:t xml:space="preserve">genealogy and the transposition of the ending from Ireland to Cornwall, have been taken directly </w:t>
      </w:r>
      <w:r w:rsidR="005200CA">
        <w:t xml:space="preserve">from the </w:t>
      </w:r>
      <w:r w:rsidR="005200CA" w:rsidRPr="003845A4">
        <w:rPr>
          <w:i/>
          <w:iCs/>
        </w:rPr>
        <w:t>Life</w:t>
      </w:r>
      <w:r w:rsidR="005200CA">
        <w:t xml:space="preserve"> of St Ciaràn.</w:t>
      </w:r>
      <w:r w:rsidR="00F75F4A">
        <w:t xml:space="preserve"> </w:t>
      </w:r>
      <w:r w:rsidR="00B215B9">
        <w:t xml:space="preserve">Doble </w:t>
      </w:r>
      <w:r w:rsidR="005E1242">
        <w:t xml:space="preserve">is scathing in his analysis of the </w:t>
      </w:r>
      <w:r w:rsidR="000306CE" w:rsidRPr="003845A4">
        <w:rPr>
          <w:i/>
          <w:iCs/>
        </w:rPr>
        <w:t>Life</w:t>
      </w:r>
      <w:r w:rsidR="000306CE">
        <w:t xml:space="preserve"> of St Piran </w:t>
      </w:r>
      <w:r w:rsidR="00431E3B">
        <w:t>following</w:t>
      </w:r>
      <w:r w:rsidR="000306CE">
        <w:t xml:space="preserve"> his detailed comparison with the original Irish </w:t>
      </w:r>
      <w:r w:rsidR="000306CE" w:rsidRPr="003845A4">
        <w:rPr>
          <w:i/>
          <w:iCs/>
        </w:rPr>
        <w:t>Life</w:t>
      </w:r>
      <w:r w:rsidR="00A2748D">
        <w:t xml:space="preserve">. </w:t>
      </w:r>
      <w:r w:rsidR="00D770E9">
        <w:t>He</w:t>
      </w:r>
      <w:r w:rsidR="00A2748D" w:rsidRPr="00A2748D">
        <w:t xml:space="preserve"> offers a harsh critique of the text, </w:t>
      </w:r>
      <w:r w:rsidR="00D770E9" w:rsidRPr="00A2748D">
        <w:t>labelling</w:t>
      </w:r>
      <w:r w:rsidR="00A2748D" w:rsidRPr="00A2748D">
        <w:t xml:space="preserve"> it an inferior, abridged version that lacks local </w:t>
      </w:r>
      <w:r w:rsidR="00277B18" w:rsidRPr="00A2748D">
        <w:t>colour</w:t>
      </w:r>
      <w:r w:rsidR="00277B18">
        <w:t>.</w:t>
      </w:r>
      <w:r w:rsidR="00A2748D" w:rsidRPr="00A2748D">
        <w:t xml:space="preserve"> Furthermore, Doble alleges that the work removes inconvenient facts and features a fabricated conclusion.</w:t>
      </w:r>
    </w:p>
    <w:p w14:paraId="68B959D0" w14:textId="1CFAAA20" w:rsidR="001402B6" w:rsidRDefault="00235D78" w:rsidP="00067807">
      <w:pPr>
        <w:spacing w:line="480" w:lineRule="auto"/>
      </w:pPr>
      <w:r>
        <w:t xml:space="preserve">The </w:t>
      </w:r>
      <w:r w:rsidRPr="009A53F9">
        <w:rPr>
          <w:i/>
          <w:iCs/>
        </w:rPr>
        <w:t>Life</w:t>
      </w:r>
      <w:r>
        <w:t xml:space="preserve"> </w:t>
      </w:r>
      <w:r w:rsidR="00747CD4">
        <w:t>commences</w:t>
      </w:r>
      <w:r w:rsidR="00EA403D">
        <w:t xml:space="preserve"> giving the saint’s Irish name </w:t>
      </w:r>
      <w:r w:rsidR="00161A6B">
        <w:t>alongside</w:t>
      </w:r>
      <w:r w:rsidR="00EA403D">
        <w:t xml:space="preserve"> the Cornish version and establishes his</w:t>
      </w:r>
      <w:r w:rsidR="00CC0463">
        <w:t xml:space="preserve"> importance as one of the first saints in Ireland</w:t>
      </w:r>
      <w:r w:rsidR="006B2990">
        <w:t>,</w:t>
      </w:r>
      <w:r w:rsidR="00CC0463">
        <w:t xml:space="preserve"> contemporary with St Patrick</w:t>
      </w:r>
      <w:r w:rsidR="00161A6B">
        <w:t xml:space="preserve">, thus elevating </w:t>
      </w:r>
      <w:r w:rsidR="002F375B">
        <w:t>St Piran’s prestige.</w:t>
      </w:r>
      <w:r w:rsidR="006B2990">
        <w:t xml:space="preserve">  </w:t>
      </w:r>
      <w:r w:rsidR="00701A3F">
        <w:t>His</w:t>
      </w:r>
      <w:r w:rsidR="006B2990">
        <w:t xml:space="preserve"> parents </w:t>
      </w:r>
      <w:r w:rsidR="00EF7256">
        <w:t>are named</w:t>
      </w:r>
      <w:r w:rsidR="002F375B">
        <w:t xml:space="preserve"> to establish a dynastic </w:t>
      </w:r>
      <w:r w:rsidR="00410CC6">
        <w:t>heritage,</w:t>
      </w:r>
      <w:r w:rsidR="00EF7256">
        <w:t xml:space="preserve"> but the</w:t>
      </w:r>
      <w:r w:rsidR="00F26954">
        <w:t>se names</w:t>
      </w:r>
      <w:r w:rsidR="00EF7256">
        <w:t xml:space="preserve"> differ from the Irish version</w:t>
      </w:r>
      <w:r w:rsidR="008224EC">
        <w:t xml:space="preserve"> and could be possibly Brythonic</w:t>
      </w:r>
      <w:r w:rsidR="00420341">
        <w:t xml:space="preserve"> in origin.  His father is Domuel</w:t>
      </w:r>
      <w:r w:rsidR="000741BA">
        <w:t xml:space="preserve">, a name which has been suggested could </w:t>
      </w:r>
      <w:r w:rsidR="00A36485">
        <w:t>be a latinisation</w:t>
      </w:r>
      <w:r w:rsidR="004879AB">
        <w:t xml:space="preserve"> of</w:t>
      </w:r>
      <w:r w:rsidR="002D3EAC">
        <w:t xml:space="preserve"> Dywel ab Erbin</w:t>
      </w:r>
      <w:r w:rsidR="00B3079A">
        <w:t xml:space="preserve">, a fifth century </w:t>
      </w:r>
      <w:r w:rsidR="004016F2">
        <w:t xml:space="preserve">King of Dumnonia, </w:t>
      </w:r>
      <w:r w:rsidR="002A0B85">
        <w:t>and thus Welsh or Cornish</w:t>
      </w:r>
      <w:r w:rsidR="00784195">
        <w:t xml:space="preserve"> rather than Irish.</w:t>
      </w:r>
      <w:r w:rsidR="003A5A7F" w:rsidRPr="00767380">
        <w:rPr>
          <w:rStyle w:val="FootnoteReference"/>
        </w:rPr>
        <w:footnoteReference w:id="17"/>
      </w:r>
      <w:r w:rsidR="00784195">
        <w:t xml:space="preserve">  His mother’s name, Wingella, </w:t>
      </w:r>
      <w:r w:rsidR="00E939EF">
        <w:t>may</w:t>
      </w:r>
      <w:r w:rsidR="00E3753D">
        <w:t xml:space="preserve"> contain the Welsh </w:t>
      </w:r>
      <w:r w:rsidR="004016F2">
        <w:lastRenderedPageBreak/>
        <w:t xml:space="preserve">element </w:t>
      </w:r>
      <w:r w:rsidR="00E621B1">
        <w:t>‘gwyn’, meaning fair or blessed</w:t>
      </w:r>
      <w:r w:rsidR="00E939EF">
        <w:t>,</w:t>
      </w:r>
      <w:r w:rsidR="00E621B1">
        <w:t xml:space="preserve"> much like </w:t>
      </w:r>
      <w:r w:rsidR="00560E2F">
        <w:t>Saint G</w:t>
      </w:r>
      <w:r w:rsidR="00F052CA">
        <w:t>wenfrewi becoming anglicised to Winifred</w:t>
      </w:r>
      <w:r w:rsidR="00A54A32">
        <w:t xml:space="preserve">, and she is later referred to in the </w:t>
      </w:r>
      <w:r w:rsidR="00A54A32" w:rsidRPr="00BF46E6">
        <w:rPr>
          <w:i/>
          <w:iCs/>
        </w:rPr>
        <w:t>Life</w:t>
      </w:r>
      <w:r w:rsidR="00A54A32">
        <w:t xml:space="preserve"> as a saint in her own right.</w:t>
      </w:r>
      <w:r w:rsidR="005C028C">
        <w:t xml:space="preserve"> </w:t>
      </w:r>
      <w:r w:rsidR="00D46645">
        <w:t>These Brythonic names</w:t>
      </w:r>
      <w:r w:rsidR="00914449">
        <w:t xml:space="preserve"> suggest </w:t>
      </w:r>
      <w:r w:rsidR="00955280">
        <w:t>a</w:t>
      </w:r>
      <w:r w:rsidR="00100B8F">
        <w:t>n attempt</w:t>
      </w:r>
      <w:r w:rsidR="00955280">
        <w:t xml:space="preserve"> to embed the Irish story firmly within a localised Cornish context</w:t>
      </w:r>
      <w:r w:rsidR="00EF787A">
        <w:t xml:space="preserve"> despite th</w:t>
      </w:r>
      <w:r w:rsidR="00917DAB">
        <w:t>e</w:t>
      </w:r>
      <w:r w:rsidR="00EF787A">
        <w:t xml:space="preserve"> </w:t>
      </w:r>
      <w:r w:rsidR="00B46329">
        <w:rPr>
          <w:i/>
          <w:iCs/>
        </w:rPr>
        <w:t>L</w:t>
      </w:r>
      <w:r w:rsidR="00EF787A" w:rsidRPr="00B46329">
        <w:rPr>
          <w:i/>
          <w:iCs/>
        </w:rPr>
        <w:t>ife</w:t>
      </w:r>
      <w:r w:rsidR="00EF787A">
        <w:t xml:space="preserve"> </w:t>
      </w:r>
      <w:r w:rsidR="00917DAB">
        <w:t xml:space="preserve">mostly </w:t>
      </w:r>
      <w:r w:rsidR="00EF787A">
        <w:t>being situated in Ireland</w:t>
      </w:r>
      <w:r w:rsidR="00B46329">
        <w:t>.</w:t>
      </w:r>
      <w:r w:rsidR="00D46645">
        <w:t xml:space="preserve"> The</w:t>
      </w:r>
      <w:r w:rsidR="007D3598">
        <w:t xml:space="preserve"> saint’s</w:t>
      </w:r>
      <w:r w:rsidR="00F1459F">
        <w:t xml:space="preserve"> conception is sanctified by a miraculous sign from the heavens with a star </w:t>
      </w:r>
      <w:r w:rsidR="0016629B">
        <w:t xml:space="preserve">falling into his mother’s mouth.  </w:t>
      </w:r>
      <w:r w:rsidR="00010E09">
        <w:t xml:space="preserve">This </w:t>
      </w:r>
      <w:r w:rsidR="00796062">
        <w:t xml:space="preserve">could allude to the Virgin Mary with </w:t>
      </w:r>
      <w:r w:rsidR="00B707A9">
        <w:t>her</w:t>
      </w:r>
      <w:r w:rsidR="00796062">
        <w:t xml:space="preserve"> celestial diadem </w:t>
      </w:r>
      <w:r w:rsidR="00F07CE2">
        <w:t>from</w:t>
      </w:r>
      <w:r w:rsidR="00A6669B">
        <w:t xml:space="preserve"> Revelations</w:t>
      </w:r>
      <w:r w:rsidR="004929A7">
        <w:t xml:space="preserve"> or </w:t>
      </w:r>
      <w:r w:rsidR="005D6CFF">
        <w:t>refer</w:t>
      </w:r>
      <w:r w:rsidR="004929A7">
        <w:t xml:space="preserve"> to the star in the </w:t>
      </w:r>
      <w:r w:rsidR="00463C50">
        <w:t>nativity story</w:t>
      </w:r>
      <w:r w:rsidR="003032AA">
        <w:t>, either</w:t>
      </w:r>
      <w:r w:rsidR="008505F1" w:rsidRPr="008505F1">
        <w:t xml:space="preserve"> establish</w:t>
      </w:r>
      <w:r w:rsidR="003032AA">
        <w:t>ing</w:t>
      </w:r>
      <w:r w:rsidR="008505F1" w:rsidRPr="008505F1">
        <w:t xml:space="preserve"> </w:t>
      </w:r>
      <w:r w:rsidR="008D397D">
        <w:t xml:space="preserve">St </w:t>
      </w:r>
      <w:r w:rsidR="008505F1" w:rsidRPr="008505F1">
        <w:t>Piran’s </w:t>
      </w:r>
      <w:r w:rsidR="008505F1" w:rsidRPr="003032AA">
        <w:t>sanctity </w:t>
      </w:r>
      <w:r w:rsidR="008505F1" w:rsidRPr="008505F1">
        <w:t>from the womb</w:t>
      </w:r>
      <w:r w:rsidR="00463C50">
        <w:t>.</w:t>
      </w:r>
      <w:r w:rsidR="00571FC7">
        <w:t xml:space="preserve">  </w:t>
      </w:r>
      <w:r w:rsidR="00AD0E55" w:rsidRPr="00AD0E55">
        <w:t>This predestination is reinforced by the rescue of the bird</w:t>
      </w:r>
      <w:r w:rsidR="00AD0E55">
        <w:t xml:space="preserve"> which is </w:t>
      </w:r>
      <w:r w:rsidR="00AD0E55" w:rsidRPr="00AD0E55">
        <w:t>an example of the </w:t>
      </w:r>
      <w:r w:rsidR="00AD0E55" w:rsidRPr="003032AA">
        <w:rPr>
          <w:i/>
          <w:iCs/>
        </w:rPr>
        <w:t>'puer-senex'</w:t>
      </w:r>
      <w:r w:rsidR="00AD0E55" w:rsidRPr="00AD0E55">
        <w:t xml:space="preserve"> motif described by Teresa Carp.</w:t>
      </w:r>
      <w:r w:rsidR="00E65D28" w:rsidRPr="00767380">
        <w:rPr>
          <w:rStyle w:val="FootnoteReference"/>
        </w:rPr>
        <w:footnoteReference w:id="18"/>
      </w:r>
      <w:r w:rsidR="005F6B64">
        <w:t xml:space="preserve"> </w:t>
      </w:r>
      <w:r w:rsidR="005F6B64" w:rsidRPr="00AD0E55">
        <w:t>Here, the child-saint exhibits spiritual gravity, a trope common in Celtic hagiography</w:t>
      </w:r>
      <w:r w:rsidR="005F6B64">
        <w:t>,</w:t>
      </w:r>
      <w:r w:rsidR="005F6B64" w:rsidRPr="00AD0E55">
        <w:t xml:space="preserve"> that serves to signal </w:t>
      </w:r>
      <w:r w:rsidR="008D397D">
        <w:t xml:space="preserve">St </w:t>
      </w:r>
      <w:r w:rsidR="005F6B64" w:rsidRPr="00AD0E55">
        <w:t>Piran’s </w:t>
      </w:r>
      <w:r w:rsidR="005F6B64" w:rsidRPr="00701484">
        <w:t>supernatural agency l</w:t>
      </w:r>
      <w:r w:rsidR="005F6B64" w:rsidRPr="00AD0E55">
        <w:t>ong before his formal mission begins</w:t>
      </w:r>
      <w:r w:rsidR="005F6B64">
        <w:t>.</w:t>
      </w:r>
    </w:p>
    <w:p w14:paraId="199FB6A6" w14:textId="6C9B5D38" w:rsidR="00237220" w:rsidRDefault="00237220" w:rsidP="00067807">
      <w:pPr>
        <w:spacing w:line="480" w:lineRule="auto"/>
      </w:pPr>
      <w:r w:rsidRPr="0034538C">
        <w:t>A central pillar of Piran’s sanctity is his ascetic self-mortification, which the </w:t>
      </w:r>
      <w:r>
        <w:rPr>
          <w:i/>
          <w:iCs/>
        </w:rPr>
        <w:t>Life</w:t>
      </w:r>
      <w:r w:rsidRPr="0034538C">
        <w:t xml:space="preserve"> describes as a struggle against </w:t>
      </w:r>
      <w:r>
        <w:t>carnal desires</w:t>
      </w:r>
      <w:r w:rsidRPr="0034538C">
        <w:t xml:space="preserve">. This is vividly captured in the episode where </w:t>
      </w:r>
      <w:r w:rsidR="00AF04E4">
        <w:t xml:space="preserve">St </w:t>
      </w:r>
      <w:r w:rsidRPr="0034538C">
        <w:t>Piran enters the freezing water to pray. While this trope is common in Celtic hagiography to show endurance</w:t>
      </w:r>
      <w:r w:rsidR="00995C46">
        <w:t xml:space="preserve"> and a willingness to suffer</w:t>
      </w:r>
      <w:r w:rsidRPr="0034538C">
        <w:t>, the text adds a transformative element</w:t>
      </w:r>
      <w:r w:rsidR="00C6588E">
        <w:t xml:space="preserve"> so that </w:t>
      </w:r>
      <w:r w:rsidRPr="0034538C">
        <w:t>when Piran blesses the water, it becomes warm to save his companion, Ger</w:t>
      </w:r>
      <w:r w:rsidR="005773C4">
        <w:t>man</w:t>
      </w:r>
      <w:r w:rsidRPr="0034538C">
        <w:t>us. </w:t>
      </w:r>
      <w:r w:rsidRPr="00743A24">
        <w:t>Nick Mayhew-Smith</w:t>
      </w:r>
      <w:r w:rsidRPr="0034538C">
        <w:t> offers a fascinating perspective on such cold-water rituals, suggesting they aren't just about punishing</w:t>
      </w:r>
      <w:r w:rsidR="002F1251">
        <w:t xml:space="preserve"> or mo</w:t>
      </w:r>
      <w:r w:rsidR="0050664B">
        <w:t>r</w:t>
      </w:r>
      <w:r w:rsidR="002F1251">
        <w:t>tifying</w:t>
      </w:r>
      <w:r w:rsidRPr="0034538C">
        <w:t xml:space="preserve"> the body, but are a way for the saint to </w:t>
      </w:r>
      <w:r>
        <w:t>worship God through his relationship with nature</w:t>
      </w:r>
      <w:r w:rsidRPr="0034538C">
        <w:t> and</w:t>
      </w:r>
      <w:r>
        <w:t xml:space="preserve"> to</w:t>
      </w:r>
      <w:r w:rsidRPr="0034538C">
        <w:t xml:space="preserve"> restore a lost harmony with the elements.</w:t>
      </w:r>
      <w:r w:rsidRPr="00767380">
        <w:rPr>
          <w:rStyle w:val="FootnoteReference"/>
        </w:rPr>
        <w:footnoteReference w:id="19"/>
      </w:r>
      <w:r>
        <w:t xml:space="preserve"> </w:t>
      </w:r>
      <w:r w:rsidRPr="0034538C">
        <w:t xml:space="preserve"> By </w:t>
      </w:r>
      <w:r w:rsidR="00E019AD">
        <w:t>controlling the temperature</w:t>
      </w:r>
      <w:r w:rsidRPr="0034538C">
        <w:t>, Piran isn't just suffering</w:t>
      </w:r>
      <w:r>
        <w:t>,</w:t>
      </w:r>
      <w:r w:rsidRPr="0034538C">
        <w:t xml:space="preserve"> he is demonstrating </w:t>
      </w:r>
      <w:r w:rsidR="00E019AD">
        <w:t>his</w:t>
      </w:r>
      <w:r w:rsidRPr="0096493F">
        <w:t xml:space="preserve"> power</w:t>
      </w:r>
      <w:r w:rsidRPr="0034538C">
        <w:t xml:space="preserve"> over the landscape itself. This </w:t>
      </w:r>
      <w:r w:rsidR="009C4572">
        <w:t>ascetic behaviour</w:t>
      </w:r>
      <w:r w:rsidRPr="0034538C">
        <w:t xml:space="preserve"> extends to his physical appearance</w:t>
      </w:r>
      <w:r w:rsidR="00E91856">
        <w:t>, rejecting</w:t>
      </w:r>
      <w:r w:rsidRPr="0034538C">
        <w:t xml:space="preserve"> </w:t>
      </w:r>
      <w:r w:rsidR="009C4572">
        <w:t xml:space="preserve">clothes made from </w:t>
      </w:r>
      <w:r w:rsidRPr="0034538C">
        <w:t xml:space="preserve">sheep’s </w:t>
      </w:r>
      <w:r w:rsidRPr="0034538C">
        <w:lastRenderedPageBreak/>
        <w:t xml:space="preserve">wool in favour of the skins of wolves and wild beasts. </w:t>
      </w:r>
      <w:r w:rsidR="00AB3609">
        <w:t xml:space="preserve">The subsequent section lists the saint’s virtues </w:t>
      </w:r>
      <w:r w:rsidR="0029228E">
        <w:t>so that by</w:t>
      </w:r>
      <w:r w:rsidRPr="00065E29">
        <w:t xml:space="preserve"> constructing Piran as a figure of such extreme self-denial</w:t>
      </w:r>
      <w:r w:rsidR="006173B5">
        <w:t xml:space="preserve"> </w:t>
      </w:r>
      <w:r w:rsidR="00B71062">
        <w:t>and Christian goodness</w:t>
      </w:r>
      <w:r w:rsidRPr="00065E29">
        <w:t>, the </w:t>
      </w:r>
      <w:r w:rsidRPr="00F96BF0">
        <w:t>text functions</w:t>
      </w:r>
      <w:r w:rsidRPr="00065E29">
        <w:t> as a powerful</w:t>
      </w:r>
      <w:r>
        <w:t xml:space="preserve"> exemplar</w:t>
      </w:r>
      <w:r w:rsidRPr="00065E29">
        <w:t>, promoting a specific model of</w:t>
      </w:r>
      <w:r>
        <w:t xml:space="preserve"> sainthood</w:t>
      </w:r>
      <w:r w:rsidRPr="00065E29">
        <w:t xml:space="preserve"> and absolute devotion to a medieval audience.</w:t>
      </w:r>
    </w:p>
    <w:p w14:paraId="4822B71A" w14:textId="23E6F1C4" w:rsidR="000875A6" w:rsidRDefault="005008CA" w:rsidP="00067807">
      <w:pPr>
        <w:spacing w:line="480" w:lineRule="auto"/>
      </w:pPr>
      <w:r w:rsidRPr="005008CA">
        <w:t>The </w:t>
      </w:r>
      <w:r w:rsidR="005F6B64">
        <w:rPr>
          <w:i/>
          <w:iCs/>
        </w:rPr>
        <w:t>Life</w:t>
      </w:r>
      <w:r w:rsidRPr="005008CA">
        <w:t xml:space="preserve"> further </w:t>
      </w:r>
      <w:r w:rsidR="00165B16">
        <w:t>establishes</w:t>
      </w:r>
      <w:r w:rsidRPr="005008CA">
        <w:t xml:space="preserve"> </w:t>
      </w:r>
      <w:r w:rsidR="00834520">
        <w:t xml:space="preserve">St </w:t>
      </w:r>
      <w:r w:rsidRPr="005008CA">
        <w:t>Piran’s sanctity through</w:t>
      </w:r>
      <w:r w:rsidR="001D0899">
        <w:t xml:space="preserve"> </w:t>
      </w:r>
      <w:r w:rsidRPr="005008CA">
        <w:t>layer</w:t>
      </w:r>
      <w:r w:rsidR="001D0899">
        <w:t>s</w:t>
      </w:r>
      <w:r w:rsidRPr="005008CA">
        <w:t xml:space="preserve"> of</w:t>
      </w:r>
      <w:r>
        <w:t xml:space="preserve"> biblical </w:t>
      </w:r>
      <w:r w:rsidR="00D80BEF">
        <w:t>typology</w:t>
      </w:r>
      <w:r w:rsidR="006A7352">
        <w:t>.</w:t>
      </w:r>
      <w:r w:rsidR="00B97460">
        <w:t xml:space="preserve"> </w:t>
      </w:r>
      <w:r w:rsidR="006A7352">
        <w:t>R</w:t>
      </w:r>
      <w:r w:rsidR="0093198B">
        <w:t>aising the dead</w:t>
      </w:r>
      <w:r w:rsidR="003009C2">
        <w:t xml:space="preserve"> </w:t>
      </w:r>
      <w:r w:rsidR="005D6919">
        <w:t>echo</w:t>
      </w:r>
      <w:r w:rsidR="006A7352">
        <w:t>es</w:t>
      </w:r>
      <w:r w:rsidR="008C3A48">
        <w:t xml:space="preserve"> stories such as Lazarus</w:t>
      </w:r>
      <w:r w:rsidR="006A7352">
        <w:t xml:space="preserve">; </w:t>
      </w:r>
      <w:r w:rsidR="0093198B">
        <w:t>his</w:t>
      </w:r>
      <w:r w:rsidR="00B13849" w:rsidRPr="00B13849">
        <w:t xml:space="preserve"> visitation of the anchoress St Cote</w:t>
      </w:r>
      <w:r w:rsidR="00B13849">
        <w:t xml:space="preserve">, </w:t>
      </w:r>
      <w:r w:rsidR="00B13849" w:rsidRPr="00B13849">
        <w:t xml:space="preserve">achieved by walking </w:t>
      </w:r>
      <w:r w:rsidR="00F57804">
        <w:t>on water</w:t>
      </w:r>
      <w:r w:rsidR="00B13849">
        <w:t xml:space="preserve">, </w:t>
      </w:r>
      <w:r w:rsidR="00B13849" w:rsidRPr="00B13849">
        <w:t>transpos</w:t>
      </w:r>
      <w:r w:rsidR="006A7352">
        <w:t>es</w:t>
      </w:r>
      <w:r w:rsidR="00B13849" w:rsidRPr="00B13849">
        <w:t xml:space="preserve"> the miracle at Galilee into a locali</w:t>
      </w:r>
      <w:r w:rsidR="00A657D7">
        <w:t>s</w:t>
      </w:r>
      <w:r w:rsidR="00B13849" w:rsidRPr="00B13849">
        <w:t>ed</w:t>
      </w:r>
      <w:r w:rsidR="008F39F7">
        <w:t xml:space="preserve"> maritime</w:t>
      </w:r>
      <w:r w:rsidR="00B13849" w:rsidRPr="00B13849">
        <w:t xml:space="preserve"> </w:t>
      </w:r>
      <w:r w:rsidR="00C30525" w:rsidRPr="00B13849">
        <w:t>setting</w:t>
      </w:r>
      <w:r w:rsidR="00C30525">
        <w:t>; feeding</w:t>
      </w:r>
      <w:r w:rsidR="00F140C1">
        <w:t xml:space="preserve"> St Patrick, ten kings and their armies for three days </w:t>
      </w:r>
      <w:r w:rsidR="000D5084">
        <w:t>recal</w:t>
      </w:r>
      <w:r w:rsidR="002A56A8">
        <w:t>ls</w:t>
      </w:r>
      <w:r w:rsidR="00F20355">
        <w:t xml:space="preserve"> the feeding of the </w:t>
      </w:r>
      <w:r w:rsidR="00340A8C">
        <w:t>five thousand</w:t>
      </w:r>
      <w:r w:rsidR="00F20355">
        <w:t xml:space="preserve"> </w:t>
      </w:r>
      <w:r w:rsidR="002A56A8">
        <w:t>and</w:t>
      </w:r>
      <w:r w:rsidR="00F20355">
        <w:t xml:space="preserve"> turning water into wine</w:t>
      </w:r>
      <w:r w:rsidR="00340A8C">
        <w:t xml:space="preserve">, </w:t>
      </w:r>
      <w:r w:rsidR="00F20355">
        <w:t xml:space="preserve">the wedding </w:t>
      </w:r>
      <w:r w:rsidR="00C24963">
        <w:t>at</w:t>
      </w:r>
      <w:r w:rsidR="00F20355">
        <w:t xml:space="preserve"> Cana</w:t>
      </w:r>
      <w:r w:rsidR="00706E9A">
        <w:t>.</w:t>
      </w:r>
      <w:r w:rsidR="005A558B">
        <w:t xml:space="preserve"> </w:t>
      </w:r>
      <w:r w:rsidR="00706E9A">
        <w:t>S</w:t>
      </w:r>
      <w:r w:rsidR="00C24963" w:rsidRPr="00C24963">
        <w:t>uch acts serv</w:t>
      </w:r>
      <w:r w:rsidR="00706E9A">
        <w:t>e</w:t>
      </w:r>
      <w:r w:rsidR="00C24963" w:rsidRPr="00C24963">
        <w:t xml:space="preserve"> as</w:t>
      </w:r>
      <w:r w:rsidR="00513F98">
        <w:t xml:space="preserve"> a</w:t>
      </w:r>
      <w:r w:rsidR="00C24963">
        <w:t xml:space="preserve"> liturgical shorthand</w:t>
      </w:r>
      <w:r w:rsidR="00C24963" w:rsidRPr="00C24963">
        <w:t xml:space="preserve">, </w:t>
      </w:r>
      <w:r w:rsidR="005A558B" w:rsidRPr="00C24963">
        <w:t>signalling</w:t>
      </w:r>
      <w:r w:rsidR="00C24963" w:rsidRPr="00C24963">
        <w:t xml:space="preserve"> to a medieval audience that </w:t>
      </w:r>
      <w:r w:rsidR="00706E9A">
        <w:t xml:space="preserve">St </w:t>
      </w:r>
      <w:r w:rsidR="00C24963" w:rsidRPr="00C24963">
        <w:t xml:space="preserve">Piran is </w:t>
      </w:r>
      <w:r w:rsidR="005A558B">
        <w:t>sanctified.</w:t>
      </w:r>
      <w:r w:rsidR="00F20355">
        <w:t xml:space="preserve">  These stories</w:t>
      </w:r>
      <w:r w:rsidR="00F0000C">
        <w:t xml:space="preserve"> and miracles</w:t>
      </w:r>
      <w:r w:rsidR="00F20355">
        <w:t xml:space="preserve"> would have been familiar to those hearing or reading the</w:t>
      </w:r>
      <w:r w:rsidR="00F20355" w:rsidRPr="00387BAF">
        <w:rPr>
          <w:i/>
          <w:iCs/>
        </w:rPr>
        <w:t xml:space="preserve"> Life</w:t>
      </w:r>
      <w:r w:rsidR="00F20355">
        <w:t>.</w:t>
      </w:r>
      <w:r w:rsidR="00F0000C">
        <w:t xml:space="preserve">  </w:t>
      </w:r>
      <w:r w:rsidR="005B2093" w:rsidRPr="005B2093">
        <w:t>As Dorothy Bray suggests, while the repetitive nature of these miracles may seem 'dreary' to a modern sensibility, their primary function was</w:t>
      </w:r>
      <w:r w:rsidR="00A87FC5">
        <w:t xml:space="preserve"> didactic</w:t>
      </w:r>
      <w:r w:rsidR="005B2093" w:rsidRPr="005B2093">
        <w:t>. They provided a familiar spiritual grammar that validated the saint’s intercessory power, transforming a borrowed Irish narrative into a</w:t>
      </w:r>
      <w:r w:rsidR="00A87FC5">
        <w:t>n</w:t>
      </w:r>
      <w:r w:rsidR="005B2093" w:rsidRPr="005B2093">
        <w:t xml:space="preserve"> instrument of local devotion and ecclesiastical authority</w:t>
      </w:r>
      <w:r w:rsidR="006F0EF9">
        <w:t>.</w:t>
      </w:r>
      <w:r w:rsidR="004C48D5" w:rsidRPr="00767380">
        <w:rPr>
          <w:rStyle w:val="FootnoteReference"/>
        </w:rPr>
        <w:footnoteReference w:id="20"/>
      </w:r>
    </w:p>
    <w:p w14:paraId="193B0A8A" w14:textId="5D9FC6AC" w:rsidR="00EA219C" w:rsidRDefault="001B5922" w:rsidP="00067807">
      <w:pPr>
        <w:spacing w:line="480" w:lineRule="auto"/>
      </w:pPr>
      <w:r w:rsidRPr="001B5922">
        <w:t>Beyond the strictly biblical, the </w:t>
      </w:r>
      <w:r>
        <w:rPr>
          <w:i/>
          <w:iCs/>
        </w:rPr>
        <w:t>Life</w:t>
      </w:r>
      <w:r w:rsidRPr="001B5922">
        <w:t> incorporates a rich layer o</w:t>
      </w:r>
      <w:r w:rsidR="00531DA5">
        <w:t xml:space="preserve">f animal and folkloric motifs </w:t>
      </w:r>
      <w:r w:rsidRPr="001B5922">
        <w:t>that function as spiritual parables. The saint’s role as a 'holy magician'</w:t>
      </w:r>
      <w:r w:rsidR="00560F2E">
        <w:t xml:space="preserve">, </w:t>
      </w:r>
      <w:r w:rsidRPr="001B5922">
        <w:t xml:space="preserve">a term </w:t>
      </w:r>
      <w:r w:rsidR="00560F2E">
        <w:t>used</w:t>
      </w:r>
      <w:r w:rsidRPr="001B5922">
        <w:t xml:space="preserve"> by Dorothy Bray</w:t>
      </w:r>
      <w:r w:rsidR="00560F2E">
        <w:t xml:space="preserve">, </w:t>
      </w:r>
      <w:r w:rsidRPr="001B5922">
        <w:t>is best exemplified through his</w:t>
      </w:r>
      <w:r w:rsidR="00560F2E">
        <w:t xml:space="preserve"> dominion over nature, </w:t>
      </w:r>
      <w:r w:rsidRPr="001B5922">
        <w:t xml:space="preserve">a common feature </w:t>
      </w:r>
      <w:r w:rsidR="00560F2E">
        <w:t>within</w:t>
      </w:r>
      <w:r w:rsidRPr="001B5922">
        <w:t xml:space="preserve"> Celtic hagiography.</w:t>
      </w:r>
      <w:r w:rsidR="00560F2E">
        <w:t xml:space="preserve"> </w:t>
      </w:r>
      <w:r w:rsidR="00D66876">
        <w:t>The tale of the fox</w:t>
      </w:r>
      <w:r w:rsidR="00733A18">
        <w:t xml:space="preserve"> stealing the shoes and the badger who goes after him </w:t>
      </w:r>
      <w:r w:rsidR="00832191">
        <w:t>to</w:t>
      </w:r>
      <w:r w:rsidR="00733A18">
        <w:t xml:space="preserve"> mete out summary justice</w:t>
      </w:r>
      <w:r w:rsidR="00BE05AC">
        <w:t>,</w:t>
      </w:r>
      <w:r w:rsidR="00727F8A">
        <w:t xml:space="preserve"> is reminiscent of Reynard the Fox</w:t>
      </w:r>
      <w:r w:rsidR="00276B04">
        <w:t xml:space="preserve"> in </w:t>
      </w:r>
      <w:r w:rsidR="00276B04">
        <w:lastRenderedPageBreak/>
        <w:t xml:space="preserve">the twelfth century </w:t>
      </w:r>
      <w:r w:rsidR="00276B04" w:rsidRPr="004956A3">
        <w:rPr>
          <w:i/>
          <w:iCs/>
        </w:rPr>
        <w:t>Roman de Renart</w:t>
      </w:r>
      <w:r w:rsidR="00D446E4">
        <w:t xml:space="preserve"> with the fox as sly trickster and the badger as the wise protector.</w:t>
      </w:r>
      <w:r w:rsidR="00C87A3C" w:rsidRPr="00767380">
        <w:rPr>
          <w:rStyle w:val="FootnoteReference"/>
        </w:rPr>
        <w:footnoteReference w:id="21"/>
      </w:r>
      <w:r w:rsidR="00E75F7A">
        <w:t xml:space="preserve"> </w:t>
      </w:r>
      <w:r w:rsidR="00EA7F31">
        <w:t xml:space="preserve">The </w:t>
      </w:r>
      <w:r w:rsidR="00393645">
        <w:t>abduction of Bruneta</w:t>
      </w:r>
      <w:r w:rsidR="0069303F">
        <w:t xml:space="preserve">, a </w:t>
      </w:r>
      <w:r w:rsidR="006B19C6">
        <w:t xml:space="preserve">fairytale-style </w:t>
      </w:r>
      <w:r w:rsidR="0069303F">
        <w:t>beautiful princess,</w:t>
      </w:r>
      <w:r w:rsidR="00907A65">
        <w:t xml:space="preserve"> </w:t>
      </w:r>
      <w:r w:rsidR="00154CD1">
        <w:t xml:space="preserve">abduction being a familiar trope </w:t>
      </w:r>
      <w:r w:rsidR="00FC66DF">
        <w:t>in many Lives of female saints</w:t>
      </w:r>
      <w:r w:rsidR="00907A65">
        <w:t>,</w:t>
      </w:r>
      <w:r w:rsidR="00FC66DF">
        <w:t xml:space="preserve"> again demonstrates the saint’s </w:t>
      </w:r>
      <w:r w:rsidR="003D055B">
        <w:t>power</w:t>
      </w:r>
      <w:r w:rsidR="00FC66DF">
        <w:t xml:space="preserve"> over </w:t>
      </w:r>
      <w:r w:rsidR="003D055B">
        <w:t>the natural world</w:t>
      </w:r>
      <w:r w:rsidR="003E635D">
        <w:t xml:space="preserve">.  This </w:t>
      </w:r>
      <w:r w:rsidR="004B22C2">
        <w:t>power is</w:t>
      </w:r>
      <w:r w:rsidR="008302C0">
        <w:t xml:space="preserve"> manifested</w:t>
      </w:r>
      <w:r w:rsidR="00FC66DF">
        <w:t xml:space="preserve"> when the king</w:t>
      </w:r>
      <w:r w:rsidR="004B22C2">
        <w:t xml:space="preserve"> hears</w:t>
      </w:r>
      <w:r w:rsidR="00FC66DF">
        <w:t xml:space="preserve"> the voice of a stork</w:t>
      </w:r>
      <w:r w:rsidR="000D5E8F">
        <w:t>, a symbol of spring,</w:t>
      </w:r>
      <w:r w:rsidR="00FC66DF">
        <w:t xml:space="preserve"> waking him from sleep</w:t>
      </w:r>
      <w:r w:rsidR="000D5E8F">
        <w:t xml:space="preserve"> in the </w:t>
      </w:r>
      <w:r w:rsidR="00C36237">
        <w:t xml:space="preserve">snowy </w:t>
      </w:r>
      <w:r w:rsidR="000D5E8F">
        <w:t>depth</w:t>
      </w:r>
      <w:r w:rsidR="00C36237">
        <w:t>s</w:t>
      </w:r>
      <w:r w:rsidR="000D5E8F">
        <w:t xml:space="preserve"> of winter</w:t>
      </w:r>
      <w:r w:rsidR="002B1203">
        <w:t xml:space="preserve">: </w:t>
      </w:r>
      <w:r w:rsidR="00A31D4D" w:rsidRPr="00A31D4D">
        <w:rPr>
          <w:i/>
          <w:iCs/>
        </w:rPr>
        <w:t>contra naturam suam Ciconia cantabat</w:t>
      </w:r>
      <w:r w:rsidR="00A748A1">
        <w:rPr>
          <w:i/>
          <w:iCs/>
        </w:rPr>
        <w:t>.</w:t>
      </w:r>
      <w:r w:rsidR="000D5E8F">
        <w:t xml:space="preserve"> </w:t>
      </w:r>
      <w:r w:rsidR="00E57F4A" w:rsidRPr="00E57F4A">
        <w:t>As Hilary Powell observes, these motifs may represent a pre-crystallised form of the European fairytale, yet within the </w:t>
      </w:r>
      <w:r w:rsidR="00E57F4A">
        <w:rPr>
          <w:i/>
          <w:iCs/>
        </w:rPr>
        <w:t>Life</w:t>
      </w:r>
      <w:r w:rsidR="00E57F4A" w:rsidRPr="00E57F4A">
        <w:t>, they serve a specific</w:t>
      </w:r>
      <w:r w:rsidR="00E57F4A">
        <w:t xml:space="preserve"> didactic purpose.</w:t>
      </w:r>
      <w:r w:rsidR="00FE259D" w:rsidRPr="00767380">
        <w:rPr>
          <w:rStyle w:val="FootnoteReference"/>
        </w:rPr>
        <w:footnoteReference w:id="22"/>
      </w:r>
      <w:r w:rsidR="00FE259D">
        <w:t xml:space="preserve"> </w:t>
      </w:r>
      <w:r w:rsidR="00E57F4A" w:rsidRPr="00E57F4A">
        <w:t>By blending 'magical' elements</w:t>
      </w:r>
      <w:r w:rsidR="00FE259D">
        <w:t xml:space="preserve">, </w:t>
      </w:r>
      <w:r w:rsidR="00E57F4A" w:rsidRPr="00E57F4A">
        <w:t xml:space="preserve">such as vanishing ransoms and disappearing </w:t>
      </w:r>
      <w:r w:rsidR="00FE259D">
        <w:t xml:space="preserve">cattle </w:t>
      </w:r>
      <w:r w:rsidR="00E57F4A" w:rsidRPr="00E57F4A">
        <w:t xml:space="preserve">with the saint’s presence, the text adopts </w:t>
      </w:r>
      <w:r w:rsidR="001E27DA">
        <w:t xml:space="preserve">what will later become the </w:t>
      </w:r>
      <w:r w:rsidR="00E57F4A" w:rsidRPr="00E57F4A">
        <w:t xml:space="preserve">narrative </w:t>
      </w:r>
      <w:r w:rsidR="00CA06B3">
        <w:t>form</w:t>
      </w:r>
      <w:r w:rsidR="00E57F4A" w:rsidRPr="00E57F4A">
        <w:t xml:space="preserve"> of the</w:t>
      </w:r>
      <w:r w:rsidR="00CA06B3">
        <w:t xml:space="preserve"> </w:t>
      </w:r>
      <w:r w:rsidR="000F0A6F">
        <w:t>“</w:t>
      </w:r>
      <w:r w:rsidR="00CA06B3">
        <w:t>story series or</w:t>
      </w:r>
      <w:r w:rsidR="00E57F4A" w:rsidRPr="00E57F4A">
        <w:t> </w:t>
      </w:r>
      <w:r w:rsidR="00E57F4A" w:rsidRPr="00E57F4A">
        <w:rPr>
          <w:i/>
          <w:iCs/>
        </w:rPr>
        <w:t>roman-feuilleton</w:t>
      </w:r>
      <w:r w:rsidR="000F0A6F">
        <w:rPr>
          <w:i/>
          <w:iCs/>
        </w:rPr>
        <w:t>”</w:t>
      </w:r>
      <w:r w:rsidR="00E57F4A" w:rsidRPr="00E57F4A">
        <w:t> described by Stephen Wilson.</w:t>
      </w:r>
      <w:r w:rsidR="00A22F59" w:rsidRPr="00767380">
        <w:rPr>
          <w:rStyle w:val="FootnoteReference"/>
        </w:rPr>
        <w:footnoteReference w:id="23"/>
      </w:r>
    </w:p>
    <w:p w14:paraId="017B8343" w14:textId="6681973C" w:rsidR="005200CA" w:rsidRDefault="006D5736" w:rsidP="00067807">
      <w:pPr>
        <w:spacing w:line="480" w:lineRule="auto"/>
      </w:pPr>
      <w:r w:rsidRPr="006D5736">
        <w:t>Ultimately, the Life of St Piran is a functional piece of ecclesiastical marketing rather than a historical biography. By adapting the</w:t>
      </w:r>
      <w:r w:rsidRPr="00CE67C6">
        <w:rPr>
          <w:i/>
          <w:iCs/>
        </w:rPr>
        <w:t xml:space="preserve"> Life</w:t>
      </w:r>
      <w:r w:rsidRPr="006D5736">
        <w:t xml:space="preserve"> of the Irish St Ciaràn, Exeter Cathedral provided its Cornish cult with a ready-made sanctity, serving the needs of diocesan authority and pilgrimage</w:t>
      </w:r>
      <w:r w:rsidR="00736A1A">
        <w:t xml:space="preserve"> </w:t>
      </w:r>
      <w:r w:rsidR="004A7C6D">
        <w:t>as well as</w:t>
      </w:r>
      <w:r w:rsidR="00F9422F">
        <w:t xml:space="preserve"> supplying</w:t>
      </w:r>
      <w:r w:rsidR="004A7C6D">
        <w:t xml:space="preserve"> a means of devotional piety</w:t>
      </w:r>
      <w:r w:rsidRPr="006D5736">
        <w:t xml:space="preserve">. While Doble is right to highlight the unscrupulous nature of this appropriation, the precise geographical details added at the end of the </w:t>
      </w:r>
      <w:r w:rsidRPr="00184A50">
        <w:rPr>
          <w:i/>
          <w:iCs/>
        </w:rPr>
        <w:t>Life</w:t>
      </w:r>
      <w:r w:rsidRPr="006D5736">
        <w:t xml:space="preserve"> suggest an attempt to </w:t>
      </w:r>
      <w:r w:rsidR="008D1AE1">
        <w:t>attach</w:t>
      </w:r>
      <w:r w:rsidRPr="006D5736">
        <w:t xml:space="preserve"> this borrowed narrative </w:t>
      </w:r>
      <w:r w:rsidR="008D1AE1">
        <w:t>to the</w:t>
      </w:r>
      <w:r w:rsidRPr="006D5736">
        <w:t xml:space="preserve"> pre-existing cult site of folk memory. The text does not record a ‘real’ St Piran, but actively c</w:t>
      </w:r>
      <w:r w:rsidR="002B7D10">
        <w:t>reates his identity</w:t>
      </w:r>
      <w:r w:rsidRPr="006D5736">
        <w:t xml:space="preserve">, transforming local tradition into an established saint with a place in the liturgical calendar and the prestige of </w:t>
      </w:r>
      <w:r w:rsidR="001772EA">
        <w:t>the</w:t>
      </w:r>
      <w:r w:rsidRPr="006D5736">
        <w:t xml:space="preserve"> </w:t>
      </w:r>
      <w:r w:rsidRPr="006D5736">
        <w:lastRenderedPageBreak/>
        <w:t xml:space="preserve">association with </w:t>
      </w:r>
      <w:r w:rsidR="001772EA">
        <w:t>the earliest Irish saints</w:t>
      </w:r>
      <w:r w:rsidRPr="006D5736">
        <w:t>. This juxtaposition between a borrowed Irish narrative and a genuine Cornish setting enabled the cult</w:t>
      </w:r>
      <w:r w:rsidR="00C77499">
        <w:t xml:space="preserve"> of St Piran</w:t>
      </w:r>
      <w:r w:rsidRPr="006D5736">
        <w:t xml:space="preserve"> to endure, evolving from a tool of medieval ecclesiastical power into </w:t>
      </w:r>
      <w:r w:rsidR="003060DD">
        <w:t>the modern</w:t>
      </w:r>
      <w:r w:rsidRPr="006D5736">
        <w:t xml:space="preserve"> symbol of Cornish national identity.</w:t>
      </w:r>
    </w:p>
    <w:p w14:paraId="687B6F9D" w14:textId="77777777" w:rsidR="005200CA" w:rsidRDefault="005200CA" w:rsidP="00067807">
      <w:pPr>
        <w:spacing w:line="480" w:lineRule="auto"/>
      </w:pPr>
    </w:p>
    <w:p w14:paraId="01C3808C" w14:textId="03B785CA" w:rsidR="008B3B9A" w:rsidRDefault="008B3B9A" w:rsidP="00E42FDA">
      <w:pPr>
        <w:pStyle w:val="Bibliography"/>
        <w:spacing w:line="480" w:lineRule="auto"/>
        <w:rPr>
          <w:b/>
          <w:bCs/>
        </w:rPr>
      </w:pPr>
      <w:r w:rsidRPr="008B3B9A">
        <w:rPr>
          <w:b/>
          <w:bCs/>
        </w:rPr>
        <w:t>Bibiography</w:t>
      </w:r>
      <w:r w:rsidR="00840169">
        <w:rPr>
          <w:b/>
          <w:bCs/>
        </w:rPr>
        <w:t>:</w:t>
      </w:r>
    </w:p>
    <w:p w14:paraId="66A310BB" w14:textId="77777777" w:rsidR="00CF0CC9" w:rsidRPr="00E42FDA" w:rsidRDefault="00CF0CC9" w:rsidP="00CF0CC9">
      <w:pPr>
        <w:pStyle w:val="Bibliography"/>
        <w:spacing w:line="480" w:lineRule="auto"/>
        <w:rPr>
          <w:rFonts w:ascii="Aptos" w:hAnsi="Aptos"/>
        </w:rPr>
      </w:pPr>
      <w:r>
        <w:fldChar w:fldCharType="begin"/>
      </w:r>
      <w:r>
        <w:instrText xml:space="preserve"> ADDIN ZOTERO_BIBL {"uncited":[],"omitted":[],"custom":[]} CSL_BIBLIOGRAPHY </w:instrText>
      </w:r>
      <w:r>
        <w:fldChar w:fldCharType="separate"/>
      </w:r>
      <w:r w:rsidRPr="00E42FDA">
        <w:rPr>
          <w:rFonts w:ascii="Aptos" w:hAnsi="Aptos"/>
        </w:rPr>
        <w:t xml:space="preserve">Bray, Dorothy Ann, ‘Miracles and Wonders in the Composition of the Lives of the Early Irish Saints’, in </w:t>
      </w:r>
      <w:r w:rsidRPr="00E42FDA">
        <w:rPr>
          <w:rFonts w:ascii="Aptos" w:hAnsi="Aptos"/>
          <w:i/>
          <w:iCs/>
        </w:rPr>
        <w:t>Celtic Hagiography and Saints’ Cults</w:t>
      </w:r>
      <w:r w:rsidRPr="00E42FDA">
        <w:rPr>
          <w:rFonts w:ascii="Aptos" w:hAnsi="Aptos"/>
        </w:rPr>
        <w:t>, ed. by Jane Cartwright, 1st edn (University of Wales Press, 2003), pp. 136–47, doi:10.2307/jj.14491652.15</w:t>
      </w:r>
      <w:r>
        <w:rPr>
          <w:rFonts w:ascii="Aptos" w:hAnsi="Aptos"/>
        </w:rPr>
        <w:t xml:space="preserve"> [accessed 14 March 2026]</w:t>
      </w:r>
    </w:p>
    <w:p w14:paraId="18C5B23F" w14:textId="77777777" w:rsidR="00CF0CC9" w:rsidRPr="00E42FDA" w:rsidRDefault="00CF0CC9" w:rsidP="00CF0CC9">
      <w:pPr>
        <w:pStyle w:val="Bibliography"/>
        <w:spacing w:line="480" w:lineRule="auto"/>
        <w:rPr>
          <w:rFonts w:ascii="Aptos" w:hAnsi="Aptos"/>
        </w:rPr>
      </w:pPr>
      <w:r w:rsidRPr="00E42FDA">
        <w:rPr>
          <w:rFonts w:ascii="Aptos" w:hAnsi="Aptos"/>
        </w:rPr>
        <w:t xml:space="preserve">Carp, Teresa C., ‘“Puer Senex” in Roman and Medieval Thought’, </w:t>
      </w:r>
      <w:r w:rsidRPr="00E42FDA">
        <w:rPr>
          <w:rFonts w:ascii="Aptos" w:hAnsi="Aptos"/>
          <w:i/>
          <w:iCs/>
        </w:rPr>
        <w:t>Latomus</w:t>
      </w:r>
      <w:r w:rsidRPr="00E42FDA">
        <w:rPr>
          <w:rFonts w:ascii="Aptos" w:hAnsi="Aptos"/>
        </w:rPr>
        <w:t>, 39.3 (1980), pp. 736–39</w:t>
      </w:r>
      <w:r>
        <w:rPr>
          <w:rFonts w:ascii="Aptos" w:hAnsi="Aptos"/>
        </w:rPr>
        <w:t xml:space="preserve"> &lt;</w:t>
      </w:r>
      <w:r w:rsidRPr="00D072A6">
        <w:rPr>
          <w:rFonts w:ascii="Aptos" w:hAnsi="Aptos"/>
        </w:rPr>
        <w:t xml:space="preserve">https://www.jstor.org/stable/41531906 </w:t>
      </w:r>
      <w:r>
        <w:rPr>
          <w:rFonts w:ascii="Aptos" w:hAnsi="Aptos"/>
        </w:rPr>
        <w:t>&gt; [accessed 15 March 2026]</w:t>
      </w:r>
    </w:p>
    <w:p w14:paraId="7353EC55" w14:textId="77777777" w:rsidR="00CF0CC9" w:rsidRPr="00E42FDA" w:rsidRDefault="00CF0CC9" w:rsidP="00CF0CC9">
      <w:pPr>
        <w:pStyle w:val="Bibliography"/>
        <w:spacing w:line="480" w:lineRule="auto"/>
        <w:rPr>
          <w:rFonts w:ascii="Aptos" w:hAnsi="Aptos"/>
        </w:rPr>
      </w:pPr>
      <w:r w:rsidRPr="00E42FDA">
        <w:rPr>
          <w:rFonts w:ascii="Aptos" w:hAnsi="Aptos"/>
        </w:rPr>
        <w:t xml:space="preserve">Cresswell, Beatrix, </w:t>
      </w:r>
      <w:r w:rsidRPr="00E42FDA">
        <w:rPr>
          <w:rFonts w:ascii="Aptos" w:hAnsi="Aptos"/>
          <w:i/>
          <w:iCs/>
        </w:rPr>
        <w:t>Exeter Churches; Notes on the History, Fabrics and Features of Interest in the Churches of the Deanery of Christianity Devon</w:t>
      </w:r>
      <w:r w:rsidRPr="00E42FDA">
        <w:rPr>
          <w:rFonts w:ascii="Aptos" w:hAnsi="Aptos"/>
        </w:rPr>
        <w:t xml:space="preserve"> (James G. Commin, 1908) &lt;https://archive.org/details/exeterchurchesno00cresiala/page/n5/mode/2up&gt; [accessed 14 March 2026]</w:t>
      </w:r>
    </w:p>
    <w:p w14:paraId="759E63B9" w14:textId="77777777" w:rsidR="00CF0CC9" w:rsidRDefault="00CF0CC9" w:rsidP="00CF0CC9">
      <w:pPr>
        <w:pStyle w:val="Bibliography"/>
        <w:spacing w:line="480" w:lineRule="auto"/>
        <w:rPr>
          <w:rFonts w:ascii="Aptos" w:hAnsi="Aptos"/>
        </w:rPr>
      </w:pPr>
      <w:r w:rsidRPr="00E42FDA">
        <w:rPr>
          <w:rFonts w:ascii="Aptos" w:hAnsi="Aptos"/>
        </w:rPr>
        <w:t xml:space="preserve">Doble, Gilbert H., </w:t>
      </w:r>
      <w:r w:rsidRPr="00E42FDA">
        <w:rPr>
          <w:rFonts w:ascii="Aptos" w:hAnsi="Aptos"/>
          <w:i/>
          <w:iCs/>
        </w:rPr>
        <w:t>Saint Perran, Saint Keverne and Saint Kerrian</w:t>
      </w:r>
      <w:r w:rsidRPr="00E42FDA">
        <w:rPr>
          <w:rFonts w:ascii="Aptos" w:hAnsi="Aptos"/>
        </w:rPr>
        <w:t>, Cornish Saints Series (The ‘King’s Stone’ Press; Quimper, Brittany, 1931), No. 29 &lt;https://bibliotheque.diocese-quimper.fr/files/original/5e3972e392785761e5659010500b627e.pdf&gt;</w:t>
      </w:r>
      <w:r>
        <w:rPr>
          <w:rFonts w:ascii="Aptos" w:hAnsi="Aptos"/>
        </w:rPr>
        <w:t xml:space="preserve"> [accessed 7 March 2026]</w:t>
      </w:r>
    </w:p>
    <w:p w14:paraId="5864B14F" w14:textId="77777777" w:rsidR="00CF0CC9" w:rsidRPr="00390D13" w:rsidRDefault="00CF0CC9" w:rsidP="00CF0CC9">
      <w:pPr>
        <w:spacing w:line="480" w:lineRule="auto"/>
      </w:pPr>
      <w:r w:rsidRPr="00E42FDA">
        <w:rPr>
          <w:rFonts w:ascii="Aptos" w:hAnsi="Aptos"/>
        </w:rPr>
        <w:lastRenderedPageBreak/>
        <w:t>——,</w:t>
      </w:r>
      <w:r>
        <w:rPr>
          <w:rFonts w:ascii="Aptos" w:hAnsi="Aptos"/>
        </w:rPr>
        <w:t xml:space="preserve"> </w:t>
      </w:r>
      <w:r w:rsidRPr="00390D13">
        <w:rPr>
          <w:rFonts w:ascii="Aptos" w:hAnsi="Aptos"/>
          <w:i/>
          <w:iCs/>
        </w:rPr>
        <w:t>Hagiography and Folklore</w:t>
      </w:r>
      <w:r>
        <w:rPr>
          <w:rFonts w:ascii="Aptos" w:hAnsi="Aptos"/>
        </w:rPr>
        <w:t xml:space="preserve">, Folklore, 1943, Vol.54, No.3, </w:t>
      </w:r>
      <w:r w:rsidRPr="00390D13">
        <w:rPr>
          <w:rFonts w:ascii="Aptos" w:hAnsi="Aptos"/>
        </w:rPr>
        <w:t>pp. 321–33</w:t>
      </w:r>
      <w:r>
        <w:rPr>
          <w:rFonts w:ascii="Aptos" w:hAnsi="Aptos"/>
        </w:rPr>
        <w:t xml:space="preserve"> &lt;</w:t>
      </w:r>
      <w:r w:rsidRPr="00390D13">
        <w:rPr>
          <w:rFonts w:ascii="Aptos" w:hAnsi="Aptos"/>
        </w:rPr>
        <w:t xml:space="preserve">JSTOR, </w:t>
      </w:r>
      <w:r>
        <w:rPr>
          <w:rFonts w:ascii="Aptos" w:hAnsi="Aptos"/>
        </w:rPr>
        <w:t>&lt;</w:t>
      </w:r>
      <w:r w:rsidRPr="00390D13">
        <w:rPr>
          <w:rFonts w:ascii="Aptos" w:hAnsi="Aptos"/>
        </w:rPr>
        <w:t>http://www.jstor.org/stable/1257291</w:t>
      </w:r>
      <w:r>
        <w:rPr>
          <w:rFonts w:ascii="Aptos" w:hAnsi="Aptos"/>
        </w:rPr>
        <w:t>&gt; [accessed 7 March 2026]</w:t>
      </w:r>
    </w:p>
    <w:p w14:paraId="29F2FC57" w14:textId="77777777" w:rsidR="00CF0CC9" w:rsidRPr="00E42FDA" w:rsidRDefault="00CF0CC9" w:rsidP="00CF0CC9">
      <w:pPr>
        <w:pStyle w:val="Bibliography"/>
        <w:spacing w:line="480" w:lineRule="auto"/>
        <w:rPr>
          <w:rFonts w:ascii="Aptos" w:hAnsi="Aptos"/>
        </w:rPr>
      </w:pPr>
      <w:r w:rsidRPr="00E42FDA">
        <w:rPr>
          <w:rFonts w:ascii="Aptos" w:hAnsi="Aptos"/>
        </w:rPr>
        <w:t xml:space="preserve">Harasta, Jesse, ‘“Arise St Piran”: The Cult of the Saints and the Redefining of Cornwall’, </w:t>
      </w:r>
      <w:r w:rsidRPr="00E42FDA">
        <w:rPr>
          <w:rFonts w:ascii="Aptos" w:hAnsi="Aptos"/>
          <w:i/>
          <w:iCs/>
        </w:rPr>
        <w:t>Cornish Studies</w:t>
      </w:r>
      <w:r w:rsidRPr="00E42FDA">
        <w:rPr>
          <w:rFonts w:ascii="Aptos" w:hAnsi="Aptos"/>
        </w:rPr>
        <w:t>, 17.1 (2009), pp. 187–203, doi:10.1386/corn.17.1.187_1</w:t>
      </w:r>
      <w:r>
        <w:rPr>
          <w:rFonts w:ascii="Aptos" w:hAnsi="Aptos"/>
        </w:rPr>
        <w:t xml:space="preserve"> &lt;</w:t>
      </w:r>
      <w:r w:rsidRPr="00390D13">
        <w:rPr>
          <w:rFonts w:ascii="Aptos" w:hAnsi="Aptos"/>
        </w:rPr>
        <w:t>http://www.ingentaconnect.com/content/10.1386/corn.17.1.187_1</w:t>
      </w:r>
      <w:r>
        <w:rPr>
          <w:rFonts w:ascii="Aptos" w:hAnsi="Aptos"/>
        </w:rPr>
        <w:t>&gt; [accessed 7 March 2026]</w:t>
      </w:r>
    </w:p>
    <w:p w14:paraId="69C76ADF" w14:textId="77777777" w:rsidR="00CF0CC9" w:rsidRPr="00E42FDA" w:rsidRDefault="00CF0CC9" w:rsidP="00CF0CC9">
      <w:pPr>
        <w:pStyle w:val="Bibliography"/>
        <w:spacing w:line="480" w:lineRule="auto"/>
        <w:rPr>
          <w:rFonts w:ascii="Aptos" w:hAnsi="Aptos"/>
        </w:rPr>
      </w:pPr>
      <w:r w:rsidRPr="00E42FDA">
        <w:rPr>
          <w:rFonts w:ascii="Aptos" w:hAnsi="Aptos"/>
        </w:rPr>
        <w:t xml:space="preserve">Horstmann, Carl, and others, with University of California, </w:t>
      </w:r>
      <w:r w:rsidRPr="00E42FDA">
        <w:rPr>
          <w:rFonts w:ascii="Aptos" w:hAnsi="Aptos"/>
          <w:i/>
          <w:iCs/>
        </w:rPr>
        <w:t>Nova Legenda Anglie: As Collected by John of Tynemouth, John Capgrave, and Others, and First Printed, with New Lives</w:t>
      </w:r>
      <w:r w:rsidRPr="00E42FDA">
        <w:rPr>
          <w:rFonts w:ascii="Aptos" w:hAnsi="Aptos"/>
        </w:rPr>
        <w:t xml:space="preserve"> (Oxford, Clarendon press, 1901) &lt;http://archive.org/details/novalegendaangl00wordgoog&gt; [accessed 8 March 2026]</w:t>
      </w:r>
    </w:p>
    <w:p w14:paraId="225BE1FA" w14:textId="77777777" w:rsidR="00CF0CC9" w:rsidRPr="00E42FDA" w:rsidRDefault="00CF0CC9" w:rsidP="00CF0CC9">
      <w:pPr>
        <w:pStyle w:val="Bibliography"/>
        <w:spacing w:line="480" w:lineRule="auto"/>
        <w:rPr>
          <w:rFonts w:ascii="Aptos" w:hAnsi="Aptos"/>
        </w:rPr>
      </w:pPr>
      <w:r w:rsidRPr="00E42FDA">
        <w:rPr>
          <w:rFonts w:ascii="Aptos" w:hAnsi="Aptos"/>
        </w:rPr>
        <w:t>Loth, J., ‘Quelques Victimes de l’hagio-Onomastique En Cornwal</w:t>
      </w:r>
      <w:r w:rsidRPr="00E42FDA">
        <w:rPr>
          <w:rFonts w:ascii="Arial" w:hAnsi="Arial" w:cs="Arial"/>
        </w:rPr>
        <w:t> </w:t>
      </w:r>
      <w:r w:rsidRPr="00E42FDA">
        <w:rPr>
          <w:rFonts w:ascii="Aptos" w:hAnsi="Aptos"/>
        </w:rPr>
        <w:t>: Saint P</w:t>
      </w:r>
      <w:r w:rsidRPr="00E42FDA">
        <w:rPr>
          <w:rFonts w:ascii="Aptos" w:hAnsi="Aptos" w:cs="Aptos"/>
        </w:rPr>
        <w:t>é</w:t>
      </w:r>
      <w:r w:rsidRPr="00E42FDA">
        <w:rPr>
          <w:rFonts w:ascii="Aptos" w:hAnsi="Aptos"/>
        </w:rPr>
        <w:t>ran, Saint Keverne, Saint Achebran.</w:t>
      </w:r>
      <w:r w:rsidRPr="00E42FDA">
        <w:rPr>
          <w:rFonts w:ascii="Aptos" w:hAnsi="Aptos" w:cs="Aptos"/>
        </w:rPr>
        <w:t>’</w:t>
      </w:r>
      <w:r w:rsidRPr="00E42FDA">
        <w:rPr>
          <w:rFonts w:ascii="Aptos" w:hAnsi="Aptos"/>
        </w:rPr>
        <w:t xml:space="preserve">, </w:t>
      </w:r>
      <w:r w:rsidRPr="00E42FDA">
        <w:rPr>
          <w:rFonts w:ascii="Aptos" w:hAnsi="Aptos"/>
          <w:i/>
          <w:iCs/>
        </w:rPr>
        <w:t>Memoires de La Societe d’Histoire et d’Archelogie de Bretagne</w:t>
      </w:r>
      <w:r w:rsidRPr="00E42FDA">
        <w:rPr>
          <w:rFonts w:ascii="Aptos" w:hAnsi="Aptos"/>
        </w:rPr>
        <w:t>, 1930, pp. pp157-172</w:t>
      </w:r>
      <w:r>
        <w:rPr>
          <w:rFonts w:ascii="Aptos" w:hAnsi="Aptos"/>
        </w:rPr>
        <w:t xml:space="preserve"> &lt;</w:t>
      </w:r>
      <w:r w:rsidRPr="00390D13">
        <w:rPr>
          <w:rFonts w:ascii="Aptos" w:hAnsi="Aptos"/>
        </w:rPr>
        <w:t>https://m.shabretagne.com/scripts/files/669a4e7b2d2db5.04503351/1930_05.pdf</w:t>
      </w:r>
      <w:r>
        <w:rPr>
          <w:rFonts w:ascii="Aptos" w:hAnsi="Aptos"/>
        </w:rPr>
        <w:t>&gt; [accessed 7 March 2026]</w:t>
      </w:r>
    </w:p>
    <w:p w14:paraId="39F8FC0D" w14:textId="77777777" w:rsidR="00CF0CC9" w:rsidRPr="00E42FDA" w:rsidRDefault="00CF0CC9" w:rsidP="00CF0CC9">
      <w:pPr>
        <w:pStyle w:val="Bibliography"/>
        <w:spacing w:line="480" w:lineRule="auto"/>
        <w:rPr>
          <w:rFonts w:ascii="Aptos" w:hAnsi="Aptos"/>
        </w:rPr>
      </w:pPr>
      <w:r w:rsidRPr="00E42FDA">
        <w:rPr>
          <w:rFonts w:ascii="Aptos" w:hAnsi="Aptos"/>
        </w:rPr>
        <w:t xml:space="preserve">Mayhew-Smith, Nick, </w:t>
      </w:r>
      <w:r w:rsidRPr="00E42FDA">
        <w:rPr>
          <w:rFonts w:ascii="Aptos" w:hAnsi="Aptos"/>
          <w:i/>
          <w:iCs/>
        </w:rPr>
        <w:t>The Naked Hermit: A Journey to the Heart of Celtic Britain</w:t>
      </w:r>
      <w:r w:rsidRPr="00E42FDA">
        <w:rPr>
          <w:rFonts w:ascii="Aptos" w:hAnsi="Aptos"/>
        </w:rPr>
        <w:t xml:space="preserve"> (SPCK, 2019)</w:t>
      </w:r>
    </w:p>
    <w:p w14:paraId="1FEA5C76" w14:textId="77777777" w:rsidR="00CF0CC9" w:rsidRPr="00E42FDA" w:rsidRDefault="00CF0CC9" w:rsidP="00CF0CC9">
      <w:pPr>
        <w:pStyle w:val="Bibliography"/>
        <w:spacing w:line="480" w:lineRule="auto"/>
        <w:rPr>
          <w:rFonts w:ascii="Aptos" w:hAnsi="Aptos"/>
        </w:rPr>
      </w:pPr>
      <w:r w:rsidRPr="00E42FDA">
        <w:rPr>
          <w:rFonts w:ascii="Aptos" w:hAnsi="Aptos"/>
        </w:rPr>
        <w:t>Nash Ford, David, ‘St.Piran, Abbot of Lanpiran’, Early British Kingdoms, Nash Ford Publishing, 2001 &lt;https://www.earlybritishkingdoms.com/bios/pirandm.html&gt; [accessed 17 March 2026]</w:t>
      </w:r>
    </w:p>
    <w:p w14:paraId="7CE9D742" w14:textId="77777777" w:rsidR="00CF0CC9" w:rsidRPr="00E42FDA" w:rsidRDefault="00CF0CC9" w:rsidP="00CF0CC9">
      <w:pPr>
        <w:pStyle w:val="Bibliography"/>
        <w:spacing w:line="480" w:lineRule="auto"/>
        <w:rPr>
          <w:rFonts w:ascii="Aptos" w:hAnsi="Aptos"/>
        </w:rPr>
      </w:pPr>
      <w:r w:rsidRPr="00E42FDA">
        <w:rPr>
          <w:rFonts w:ascii="Aptos" w:hAnsi="Aptos"/>
        </w:rPr>
        <w:lastRenderedPageBreak/>
        <w:t xml:space="preserve">Orme, Nicholas (ed.), ‘The Lives of the Saints: Cornwall and Devon’, in </w:t>
      </w:r>
      <w:r w:rsidRPr="00E42FDA">
        <w:rPr>
          <w:rFonts w:ascii="Aptos" w:hAnsi="Aptos"/>
          <w:i/>
          <w:iCs/>
        </w:rPr>
        <w:t>Nicholas Roscarrock’s ‘Lives of the Saints’: Cornwall and Devon</w:t>
      </w:r>
      <w:r w:rsidRPr="00E42FDA">
        <w:rPr>
          <w:rFonts w:ascii="Aptos" w:hAnsi="Aptos"/>
        </w:rPr>
        <w:t xml:space="preserve"> (Boydell &amp; Brewer, 1992), pp. 105–08, doi:10.2307/j.ctv2j04t8h.6</w:t>
      </w:r>
      <w:r>
        <w:rPr>
          <w:rFonts w:ascii="Aptos" w:hAnsi="Aptos"/>
        </w:rPr>
        <w:t xml:space="preserve"> &lt;</w:t>
      </w:r>
      <w:r w:rsidRPr="00390D13">
        <w:rPr>
          <w:rFonts w:ascii="Aptos" w:hAnsi="Aptos"/>
        </w:rPr>
        <w:t>https://www.jstor.org/stable/j.ctv2j04t8h.6</w:t>
      </w:r>
      <w:r>
        <w:rPr>
          <w:rFonts w:ascii="Aptos" w:hAnsi="Aptos"/>
        </w:rPr>
        <w:t>&gt; [accessed 8 March 2026]</w:t>
      </w:r>
    </w:p>
    <w:p w14:paraId="31F3E841" w14:textId="77777777" w:rsidR="00CF0CC9" w:rsidRPr="00E42FDA" w:rsidRDefault="00CF0CC9" w:rsidP="00CF0CC9">
      <w:pPr>
        <w:pStyle w:val="Bibliography"/>
        <w:spacing w:line="480" w:lineRule="auto"/>
        <w:rPr>
          <w:rFonts w:ascii="Aptos" w:hAnsi="Aptos"/>
        </w:rPr>
      </w:pPr>
      <w:r w:rsidRPr="00E42FDA">
        <w:rPr>
          <w:rFonts w:ascii="Aptos" w:hAnsi="Aptos"/>
        </w:rPr>
        <w:t xml:space="preserve">——, </w:t>
      </w:r>
      <w:r w:rsidRPr="00E42FDA">
        <w:rPr>
          <w:rFonts w:ascii="Aptos" w:hAnsi="Aptos"/>
          <w:i/>
          <w:iCs/>
        </w:rPr>
        <w:t>The Saints of Cornwall</w:t>
      </w:r>
      <w:r w:rsidRPr="00E42FDA">
        <w:rPr>
          <w:rFonts w:ascii="Aptos" w:hAnsi="Aptos"/>
        </w:rPr>
        <w:t xml:space="preserve"> (Oxford University Press, 2000)</w:t>
      </w:r>
    </w:p>
    <w:p w14:paraId="7521C107" w14:textId="77777777" w:rsidR="00CF0CC9" w:rsidRPr="00E42FDA" w:rsidRDefault="00CF0CC9" w:rsidP="00CF0CC9">
      <w:pPr>
        <w:pStyle w:val="Bibliography"/>
        <w:spacing w:line="480" w:lineRule="auto"/>
        <w:rPr>
          <w:rFonts w:ascii="Aptos" w:hAnsi="Aptos"/>
        </w:rPr>
      </w:pPr>
      <w:r w:rsidRPr="00E42FDA">
        <w:rPr>
          <w:rFonts w:ascii="Aptos" w:hAnsi="Aptos"/>
        </w:rPr>
        <w:t>‘Perran | Domesday Book’, n.d. &lt;https://opendomesday.org/place/SW7656/perran/&gt; [accessed 14 March 2026]</w:t>
      </w:r>
    </w:p>
    <w:p w14:paraId="2AF72B52" w14:textId="77777777" w:rsidR="00CF0CC9" w:rsidRPr="00E42FDA" w:rsidRDefault="00CF0CC9" w:rsidP="00CF0CC9">
      <w:pPr>
        <w:pStyle w:val="Bibliography"/>
        <w:spacing w:line="480" w:lineRule="auto"/>
        <w:rPr>
          <w:rFonts w:ascii="Aptos" w:hAnsi="Aptos"/>
        </w:rPr>
      </w:pPr>
      <w:r w:rsidRPr="00E42FDA">
        <w:rPr>
          <w:rFonts w:ascii="Aptos" w:hAnsi="Aptos"/>
        </w:rPr>
        <w:t xml:space="preserve">Plummer, Charles, </w:t>
      </w:r>
      <w:r w:rsidRPr="00E42FDA">
        <w:rPr>
          <w:rFonts w:ascii="Aptos" w:hAnsi="Aptos"/>
          <w:i/>
          <w:iCs/>
        </w:rPr>
        <w:t>Bethada Náem nÉrenn</w:t>
      </w:r>
      <w:r w:rsidRPr="00E42FDA">
        <w:rPr>
          <w:rFonts w:ascii="Arial" w:hAnsi="Arial" w:cs="Arial"/>
          <w:i/>
          <w:iCs/>
        </w:rPr>
        <w:t> </w:t>
      </w:r>
      <w:r w:rsidRPr="00E42FDA">
        <w:rPr>
          <w:rFonts w:ascii="Aptos" w:hAnsi="Aptos"/>
          <w:i/>
          <w:iCs/>
        </w:rPr>
        <w:t>: Lives of Irish Saints</w:t>
      </w:r>
      <w:r w:rsidRPr="00E42FDA">
        <w:rPr>
          <w:rFonts w:ascii="Aptos" w:hAnsi="Aptos"/>
        </w:rPr>
        <w:t xml:space="preserve"> (1922), </w:t>
      </w:r>
      <w:r w:rsidRPr="00E42FDA">
        <w:rPr>
          <w:rFonts w:ascii="Aptos" w:hAnsi="Aptos"/>
          <w:smallCaps/>
        </w:rPr>
        <w:t>ii</w:t>
      </w:r>
      <w:r w:rsidRPr="00E42FDA">
        <w:rPr>
          <w:rFonts w:ascii="Aptos" w:hAnsi="Aptos"/>
        </w:rPr>
        <w:t xml:space="preserve"> &lt;http://archive.org/details/BethadaNaemNErennV2&gt; [accessed 12 March 2026]</w:t>
      </w:r>
    </w:p>
    <w:p w14:paraId="6745B357" w14:textId="77777777" w:rsidR="00CF0CC9" w:rsidRPr="00E42FDA" w:rsidRDefault="00CF0CC9" w:rsidP="00CF0CC9">
      <w:pPr>
        <w:pStyle w:val="Bibliography"/>
        <w:spacing w:line="480" w:lineRule="auto"/>
        <w:rPr>
          <w:rFonts w:ascii="Aptos" w:hAnsi="Aptos"/>
        </w:rPr>
      </w:pPr>
      <w:r w:rsidRPr="00E42FDA">
        <w:rPr>
          <w:rFonts w:ascii="Aptos" w:hAnsi="Aptos"/>
        </w:rPr>
        <w:t xml:space="preserve">Powell, Hilary, ‘“Once Upon a Time There Was a Saint...”: Re-Evaluating Folklore in Anglo-Latin Hagiography’, </w:t>
      </w:r>
      <w:r w:rsidRPr="00E42FDA">
        <w:rPr>
          <w:rFonts w:ascii="Aptos" w:hAnsi="Aptos"/>
          <w:i/>
          <w:iCs/>
        </w:rPr>
        <w:t>Folklore</w:t>
      </w:r>
      <w:r w:rsidRPr="00E42FDA">
        <w:rPr>
          <w:rFonts w:ascii="Aptos" w:hAnsi="Aptos"/>
        </w:rPr>
        <w:t>, Vol.121.No.2 (2010), pp. 171-189 (19 pages)</w:t>
      </w:r>
      <w:r>
        <w:rPr>
          <w:rFonts w:ascii="Aptos" w:hAnsi="Aptos"/>
        </w:rPr>
        <w:t xml:space="preserve"> &lt;</w:t>
      </w:r>
      <w:r w:rsidRPr="00D072A6">
        <w:rPr>
          <w:rFonts w:ascii="Aptos" w:hAnsi="Aptos"/>
        </w:rPr>
        <w:t>http://www.jstor.org/stable/29534129</w:t>
      </w:r>
      <w:r>
        <w:rPr>
          <w:rFonts w:ascii="Aptos" w:hAnsi="Aptos"/>
        </w:rPr>
        <w:t>&gt; [accessed 7 March 2026]</w:t>
      </w:r>
    </w:p>
    <w:p w14:paraId="77FE068A" w14:textId="77777777" w:rsidR="00CF0CC9" w:rsidRPr="00E42FDA" w:rsidRDefault="00CF0CC9" w:rsidP="00CF0CC9">
      <w:pPr>
        <w:pStyle w:val="Bibliography"/>
        <w:spacing w:line="480" w:lineRule="auto"/>
        <w:rPr>
          <w:rFonts w:ascii="Aptos" w:hAnsi="Aptos"/>
        </w:rPr>
      </w:pPr>
      <w:r w:rsidRPr="00E42FDA">
        <w:rPr>
          <w:rFonts w:ascii="Aptos" w:hAnsi="Aptos"/>
          <w:i/>
          <w:iCs/>
        </w:rPr>
        <w:t>Reynard Cycle</w:t>
      </w:r>
      <w:r w:rsidRPr="00E42FDA">
        <w:rPr>
          <w:rFonts w:ascii="Aptos" w:hAnsi="Aptos"/>
        </w:rPr>
        <w:t>, (1301; Library of Congress, n.d.) &lt;https://www.loc.gov/resource/gdcwdl.wdl_00594/&gt; [accessed 10 March 2026]</w:t>
      </w:r>
    </w:p>
    <w:p w14:paraId="674DD896" w14:textId="77777777" w:rsidR="00CF0CC9" w:rsidRPr="00E42FDA" w:rsidRDefault="00CF0CC9" w:rsidP="00CF0CC9">
      <w:pPr>
        <w:pStyle w:val="Bibliography"/>
        <w:spacing w:line="480" w:lineRule="auto"/>
        <w:rPr>
          <w:rFonts w:ascii="Aptos" w:hAnsi="Aptos"/>
        </w:rPr>
      </w:pPr>
      <w:r w:rsidRPr="00E42FDA">
        <w:rPr>
          <w:rFonts w:ascii="Aptos" w:hAnsi="Aptos"/>
        </w:rPr>
        <w:t xml:space="preserve">Roger Pearse, </w:t>
      </w:r>
      <w:r w:rsidRPr="00E42FDA">
        <w:rPr>
          <w:rFonts w:ascii="Aptos" w:hAnsi="Aptos"/>
          <w:i/>
          <w:iCs/>
        </w:rPr>
        <w:t>St Piran Vita 2022 V 1</w:t>
      </w:r>
      <w:r w:rsidRPr="00E42FDA">
        <w:rPr>
          <w:rFonts w:ascii="Aptos" w:hAnsi="Aptos"/>
        </w:rPr>
        <w:t xml:space="preserve"> (n.d.) &lt;http://archive.org/details/st-piran-vita-2022-v-1&gt; [accessed 8 March 2026]</w:t>
      </w:r>
    </w:p>
    <w:p w14:paraId="307AE775" w14:textId="77777777" w:rsidR="00CF0CC9" w:rsidRPr="00E42FDA" w:rsidRDefault="00CF0CC9" w:rsidP="00CF0CC9">
      <w:pPr>
        <w:pStyle w:val="Bibliography"/>
        <w:spacing w:line="480" w:lineRule="auto"/>
        <w:rPr>
          <w:rFonts w:ascii="Aptos" w:hAnsi="Aptos"/>
        </w:rPr>
      </w:pPr>
      <w:r w:rsidRPr="00E42FDA">
        <w:rPr>
          <w:rFonts w:ascii="Aptos" w:hAnsi="Aptos"/>
        </w:rPr>
        <w:t>Smith, Eleanor, ‘Investigating the Provenance, Organisation and Themes of Erfurt, Forschungsbibliothek Gotha, I. 81’ (2025), doi:10.17863/CAM.117753</w:t>
      </w:r>
      <w:r>
        <w:rPr>
          <w:rFonts w:ascii="Aptos" w:hAnsi="Aptos"/>
        </w:rPr>
        <w:t xml:space="preserve"> &lt;</w:t>
      </w:r>
      <w:r w:rsidRPr="00D072A6">
        <w:rPr>
          <w:rFonts w:ascii="Aptos" w:hAnsi="Aptos"/>
        </w:rPr>
        <w:t>https://www.repository.cam.ac.uk/handle/1810/383336</w:t>
      </w:r>
      <w:r>
        <w:rPr>
          <w:rFonts w:ascii="Aptos" w:hAnsi="Aptos"/>
        </w:rPr>
        <w:t>&gt; [accessed 15 March 2026] Embargoed until 2026-05-06</w:t>
      </w:r>
    </w:p>
    <w:p w14:paraId="760E3BBB" w14:textId="77777777" w:rsidR="00CF0CC9" w:rsidRPr="00E42FDA" w:rsidRDefault="00CF0CC9" w:rsidP="00CF0CC9">
      <w:pPr>
        <w:pStyle w:val="Bibliography"/>
        <w:spacing w:line="480" w:lineRule="auto"/>
        <w:rPr>
          <w:rFonts w:ascii="Aptos" w:hAnsi="Aptos"/>
        </w:rPr>
      </w:pPr>
      <w:r w:rsidRPr="00E42FDA">
        <w:rPr>
          <w:rFonts w:ascii="Aptos" w:hAnsi="Aptos"/>
        </w:rPr>
        <w:lastRenderedPageBreak/>
        <w:t>‘Vitae Sanctorum Memb. I 81, fol. 113r-118v’, Gotha Research Library, n.d. &lt;https://dhb.thulb.uni-jena.de/receive/ufb_cbu_00048805&gt; [accessed 8 March 2026]</w:t>
      </w:r>
    </w:p>
    <w:p w14:paraId="1B167909" w14:textId="77777777" w:rsidR="00CF0CC9" w:rsidRPr="00E42FDA" w:rsidRDefault="00CF0CC9" w:rsidP="00CF0CC9">
      <w:pPr>
        <w:pStyle w:val="Bibliography"/>
        <w:spacing w:line="480" w:lineRule="auto"/>
        <w:rPr>
          <w:rFonts w:ascii="Aptos" w:hAnsi="Aptos"/>
        </w:rPr>
      </w:pPr>
      <w:r w:rsidRPr="00E42FDA">
        <w:rPr>
          <w:rFonts w:ascii="Aptos" w:hAnsi="Aptos"/>
        </w:rPr>
        <w:t xml:space="preserve">Wilson, Stephen (edit. )., </w:t>
      </w:r>
      <w:r w:rsidRPr="00E42FDA">
        <w:rPr>
          <w:rFonts w:ascii="Aptos" w:hAnsi="Aptos"/>
          <w:i/>
          <w:iCs/>
        </w:rPr>
        <w:t>Saints and Their Cults</w:t>
      </w:r>
      <w:r w:rsidRPr="00E42FDA">
        <w:rPr>
          <w:rFonts w:ascii="Aptos" w:hAnsi="Aptos"/>
        </w:rPr>
        <w:t xml:space="preserve"> (Cambridge University Press, 1983)</w:t>
      </w:r>
    </w:p>
    <w:p w14:paraId="2FCD00C3" w14:textId="482E0ABD" w:rsidR="00CF0CC9" w:rsidRPr="00CF0CC9" w:rsidRDefault="00CF0CC9" w:rsidP="00CF0CC9">
      <w:r>
        <w:fldChar w:fldCharType="end"/>
      </w:r>
    </w:p>
    <w:sectPr w:rsidR="00CF0CC9" w:rsidRPr="00CF0C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C9F14" w14:textId="77777777" w:rsidR="00D232D6" w:rsidRDefault="00D232D6" w:rsidP="00951EC7">
      <w:pPr>
        <w:spacing w:after="0" w:line="240" w:lineRule="auto"/>
      </w:pPr>
      <w:r>
        <w:separator/>
      </w:r>
    </w:p>
  </w:endnote>
  <w:endnote w:type="continuationSeparator" w:id="0">
    <w:p w14:paraId="2CD459B8" w14:textId="77777777" w:rsidR="00D232D6" w:rsidRDefault="00D232D6" w:rsidP="00951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3A90C" w14:textId="77777777" w:rsidR="00D232D6" w:rsidRDefault="00D232D6" w:rsidP="00951EC7">
      <w:pPr>
        <w:spacing w:after="0" w:line="240" w:lineRule="auto"/>
      </w:pPr>
      <w:r>
        <w:separator/>
      </w:r>
    </w:p>
  </w:footnote>
  <w:footnote w:type="continuationSeparator" w:id="0">
    <w:p w14:paraId="7B263205" w14:textId="77777777" w:rsidR="00D232D6" w:rsidRDefault="00D232D6" w:rsidP="00951EC7">
      <w:pPr>
        <w:spacing w:after="0" w:line="240" w:lineRule="auto"/>
      </w:pPr>
      <w:r>
        <w:continuationSeparator/>
      </w:r>
    </w:p>
  </w:footnote>
  <w:footnote w:id="1">
    <w:p w14:paraId="01D14000" w14:textId="3717E1E1" w:rsidR="003F65BA" w:rsidRDefault="003F65BA">
      <w:pPr>
        <w:pStyle w:val="FootnoteText"/>
      </w:pPr>
      <w:r w:rsidRPr="00767380">
        <w:rPr>
          <w:rStyle w:val="FootnoteReference"/>
        </w:rPr>
        <w:footnoteRef/>
      </w:r>
      <w:r>
        <w:t xml:space="preserve"> </w:t>
      </w:r>
      <w:r>
        <w:fldChar w:fldCharType="begin"/>
      </w:r>
      <w:r>
        <w:instrText xml:space="preserve"> ADDIN ZOTERO_ITEM CSL_CITATION {"citationID":"480Z40CM","properties":{"formattedCitation":"Jesse Harasta, \\uc0\\u8216{}\\uc0\\u8220{}Arise St Piran\\uc0\\u8221{}: The Cult of the Saints and the Redefining of Cornwall\\uc0\\u8217{}, {\\i{}Cornish Studies}, 17.1 (2009), pp. 187\\uc0\\u8211{}203, doi:10.1386/corn.17.1.187_1.","plainCitation":"Jesse Harasta, ‘“Arise St Piran”: The Cult of the Saints and the Redefining of Cornwall’, Cornish Studies, 17.1 (2009), pp. 187–203, doi:10.1386/corn.17.1.187_1.","noteIndex":1},"citationItems":[{"id":308,"uris":["http://zotero.org/users/local/l3RS6WXl/items/XSDZ6J4G"],"itemData":{"id":308,"type":"article-journal","container-title":"Cornish Studies","DOI":"10.1386/corn.17.1.187_1","ISSN":"1352-271X","issue":"1","journalAbbreviation":"Cornish Studies","language":"en","page":"187-203","source":"DOI.org (Crossref)","title":"'Arise St Piran': The Cult of the Saints and the Redefining of Cornwall","title-short":"'Arise St Piran'","volume":"17","author":[{"family":"Harasta","given":"Jesse"}],"issued":{"date-parts":[["2009",5,1]]}}}],"schema":"https://github.com/citation-style-language/schema/raw/master/csl-citation.json"} </w:instrText>
      </w:r>
      <w:r>
        <w:fldChar w:fldCharType="separate"/>
      </w:r>
      <w:r w:rsidRPr="003F65BA">
        <w:rPr>
          <w:rFonts w:ascii="Aptos" w:hAnsi="Aptos" w:cs="Times New Roman"/>
          <w:kern w:val="0"/>
        </w:rPr>
        <w:t xml:space="preserve">Jesse Harasta, ‘“Arise St Piran”: The Cult of the Saints and the Redefining of Cornwall’, </w:t>
      </w:r>
      <w:r w:rsidRPr="003F65BA">
        <w:rPr>
          <w:rFonts w:ascii="Aptos" w:hAnsi="Aptos" w:cs="Times New Roman"/>
          <w:i/>
          <w:iCs/>
          <w:kern w:val="0"/>
        </w:rPr>
        <w:t>Cornish Studies</w:t>
      </w:r>
      <w:r w:rsidRPr="003F65BA">
        <w:rPr>
          <w:rFonts w:ascii="Aptos" w:hAnsi="Aptos" w:cs="Times New Roman"/>
          <w:kern w:val="0"/>
        </w:rPr>
        <w:t>, 17.1 (2009), pp. 187–203, doi:10.1386/corn.17.1.187_1.</w:t>
      </w:r>
      <w:r>
        <w:fldChar w:fldCharType="end"/>
      </w:r>
    </w:p>
  </w:footnote>
  <w:footnote w:id="2">
    <w:p w14:paraId="543322E6" w14:textId="4B187815" w:rsidR="00951EC7" w:rsidRDefault="00951EC7">
      <w:pPr>
        <w:pStyle w:val="FootnoteText"/>
      </w:pPr>
      <w:r w:rsidRPr="00767380">
        <w:rPr>
          <w:rStyle w:val="FootnoteReference"/>
        </w:rPr>
        <w:footnoteRef/>
      </w:r>
      <w:r>
        <w:t xml:space="preserve"> </w:t>
      </w:r>
      <w:r>
        <w:fldChar w:fldCharType="begin"/>
      </w:r>
      <w:r w:rsidR="0015658C">
        <w:instrText xml:space="preserve"> ADDIN ZOTERO_ITEM CSL_CITATION {"citationID":"sOgWsbb5","properties":{"formattedCitation":"Nicholas Orme, {\\i{}The Saints of Cornwall} (Oxford University Press, 2000).","plainCitation":"Nicholas Orme, The Saints of Cornwall (Oxford University Press, 2000).","noteIndex":2},"citationItems":[{"id":306,"uris":["http://zotero.org/users/local/l3RS6WXl/items/IRPDQ4WG"],"itemData":{"id":306,"type":"book","abstract":"Cornwall is more Celtic than English in its religious history. Its churches, chapels, and place-names commemorate not only the major saints of Christendom, but also many minor Celtic ones, unique to single churches. This book considers them all","ISBN":"978-0-19-820765-4","language":"eng","number-of-pages":"1","publisher":"Oxford University Press","publisher-place":"Oxford","source":"K10plus ISBN","title":"The Saints of Cornwall","author":[{"family":"Orme","given":"Nicholas"}],"issued":{"date-parts":[["2000"]]}}}],"schema":"https://github.com/citation-style-language/schema/raw/master/csl-citation.json"} </w:instrText>
      </w:r>
      <w:r>
        <w:fldChar w:fldCharType="separate"/>
      </w:r>
      <w:r w:rsidRPr="00951EC7">
        <w:rPr>
          <w:rFonts w:ascii="Aptos" w:hAnsi="Aptos" w:cs="Times New Roman"/>
          <w:kern w:val="0"/>
        </w:rPr>
        <w:t xml:space="preserve">Nicholas Orme, </w:t>
      </w:r>
      <w:r w:rsidRPr="00951EC7">
        <w:rPr>
          <w:rFonts w:ascii="Aptos" w:hAnsi="Aptos" w:cs="Times New Roman"/>
          <w:i/>
          <w:iCs/>
          <w:kern w:val="0"/>
        </w:rPr>
        <w:t>The Saints of Cornwall</w:t>
      </w:r>
      <w:r w:rsidRPr="00951EC7">
        <w:rPr>
          <w:rFonts w:ascii="Aptos" w:hAnsi="Aptos" w:cs="Times New Roman"/>
          <w:kern w:val="0"/>
        </w:rPr>
        <w:t xml:space="preserve"> (Oxford University Press, 2000).</w:t>
      </w:r>
      <w:r>
        <w:fldChar w:fldCharType="end"/>
      </w:r>
      <w:r>
        <w:t xml:space="preserve"> </w:t>
      </w:r>
      <w:r w:rsidR="00A451EB">
        <w:t>pp</w:t>
      </w:r>
      <w:r>
        <w:t>.22</w:t>
      </w:r>
      <w:r w:rsidR="00A451EB">
        <w:t>0-223</w:t>
      </w:r>
    </w:p>
  </w:footnote>
  <w:footnote w:id="3">
    <w:p w14:paraId="04BE5143" w14:textId="7EAE029F" w:rsidR="0030504F" w:rsidRDefault="0030504F">
      <w:pPr>
        <w:pStyle w:val="FootnoteText"/>
      </w:pPr>
      <w:r w:rsidRPr="00767380">
        <w:rPr>
          <w:rStyle w:val="FootnoteReference"/>
        </w:rPr>
        <w:footnoteRef/>
      </w:r>
      <w:r>
        <w:t xml:space="preserve"> </w:t>
      </w:r>
      <w:r>
        <w:fldChar w:fldCharType="begin"/>
      </w:r>
      <w:r>
        <w:instrText xml:space="preserve"> ADDIN ZOTERO_ITEM CSL_CITATION {"citationID":"XzjrbUtN","properties":{"formattedCitation":"Charles Plummer, {\\i{}Bethada N\\uc0\\u225{}em n\\uc0\\u201{}renn\\uc0\\u8239{}: Lives of Irish Saints} (1922), {\\scaps ii}, pp. 99\\uc0\\u8211{}120 &lt;http://archive.org/details/BethadaNaemNErennV2&gt; [accessed 12 March 2026].","plainCitation":"Charles Plummer, Bethada Náem nÉrenn</w:instrText>
      </w:r>
      <w:r>
        <w:rPr>
          <w:rFonts w:ascii="Arial" w:hAnsi="Arial" w:cs="Arial"/>
        </w:rPr>
        <w:instrText> </w:instrText>
      </w:r>
      <w:r>
        <w:instrText>: Lives of Irish Saints (1922), ii, pp. 99</w:instrText>
      </w:r>
      <w:r>
        <w:rPr>
          <w:rFonts w:ascii="Aptos" w:hAnsi="Aptos" w:cs="Aptos"/>
        </w:rPr>
        <w:instrText>–</w:instrText>
      </w:r>
      <w:r>
        <w:instrText xml:space="preserve">120 &lt;http://archive.org/details/BethadaNaemNErennV2&gt; [accessed 12 March 2026].","noteIndex":3},"citationItems":[{"id":338,"uris":["http://zotero.org/users/local/l3RS6WXl/items/U7JQHGWG"],"itemData":{"id":338,"type":"book","abstract":"CONTENTS OF VOL. II \nTRANSLATIONS : \nLIFE OF ABBAN 3 \n \" BAIRRE OF CORK 11 \n \" BERACH 22 \n \" BRENDAN OF CLONFERT 44\nTHE TWELVE APOSTLES OF IRELAND (Brendan II) 93 \nLIFE OF CIARAN OF SAIGIR I 99 \n \" \" \" II 109 \n \" COEMGEN I 121 \n \" \" II 127 \n \" \" III 151 \n \" COLMAN ELA 162 \n \" MAEDOC OF FERNS 177 \n \" \" \" II 184 \nMOCHUDA (Carthach) 282 \nTHE EXPULSION OF MOCHUDA FROM RAHEN (Mochuda ii) 291 \nOF THE SONS OF UA SUANAIG 303 \nLIFE OF RUADAN 308 \nGENERAL NOTES 323 \nINDEX OF PLACES, TRIBES, AND FAMILIES 365 \n \" PERSONS 382 \n \" SUBJECTS 398 \nADDENDA ET CORRIGENDA 403 \n\nDigitized by Google.; Original document: Book; Volume 2; This volume contains a collection of histories on the lives of Irish saints","language":"eng","license":"http://creativecommons.org/publicdomain/mark/1.0/","number-of-pages":"417","source":"Internet Archive","title":"Bethada Náem nÉrenn : Lives of Irish Saints","title-short":"Bethada Náem nÉrenn","URL":"http://archive.org/details/BethadaNaemNErennV2","volume":"2","author":[{"family":"Plummer","given":"Charles"}],"accessed":{"date-parts":[["2026",3,12]]},"issued":{"date-parts":[["1922"]]}},"locator":"99-120","label":"page"}],"schema":"https://github.com/citation-style-language/schema/raw/master/csl-citation.json"} </w:instrText>
      </w:r>
      <w:r>
        <w:fldChar w:fldCharType="separate"/>
      </w:r>
      <w:r w:rsidRPr="0030504F">
        <w:rPr>
          <w:rFonts w:ascii="Aptos" w:hAnsi="Aptos" w:cs="Times New Roman"/>
          <w:kern w:val="0"/>
        </w:rPr>
        <w:t xml:space="preserve">Charles Plummer, </w:t>
      </w:r>
      <w:r w:rsidRPr="0030504F">
        <w:rPr>
          <w:rFonts w:ascii="Aptos" w:hAnsi="Aptos" w:cs="Times New Roman"/>
          <w:i/>
          <w:iCs/>
          <w:kern w:val="0"/>
        </w:rPr>
        <w:t>Bethada Náem nÉrenn : Lives of Irish Saints</w:t>
      </w:r>
      <w:r w:rsidRPr="0030504F">
        <w:rPr>
          <w:rFonts w:ascii="Aptos" w:hAnsi="Aptos" w:cs="Times New Roman"/>
          <w:kern w:val="0"/>
        </w:rPr>
        <w:t xml:space="preserve"> (1922), </w:t>
      </w:r>
      <w:r w:rsidRPr="0030504F">
        <w:rPr>
          <w:rFonts w:ascii="Aptos" w:hAnsi="Aptos" w:cs="Times New Roman"/>
          <w:smallCaps/>
          <w:kern w:val="0"/>
        </w:rPr>
        <w:t>ii</w:t>
      </w:r>
      <w:r w:rsidRPr="0030504F">
        <w:rPr>
          <w:rFonts w:ascii="Aptos" w:hAnsi="Aptos" w:cs="Times New Roman"/>
          <w:kern w:val="0"/>
        </w:rPr>
        <w:t>, pp. 99–120 &lt;http://archive.org/details/BethadaNaemNErennV2&gt; [accessed 12 March 2026].</w:t>
      </w:r>
      <w:r>
        <w:fldChar w:fldCharType="end"/>
      </w:r>
      <w:r w:rsidR="00880A8A">
        <w:t xml:space="preserve"> Lives I and II </w:t>
      </w:r>
      <w:r w:rsidR="00506C5E">
        <w:t xml:space="preserve">for St Ciaràn of Saighir </w:t>
      </w:r>
      <w:r w:rsidR="00880A8A">
        <w:t>are both included in this collection.</w:t>
      </w:r>
    </w:p>
  </w:footnote>
  <w:footnote w:id="4">
    <w:p w14:paraId="11033FD9" w14:textId="3FD54050" w:rsidR="005E6A51" w:rsidRDefault="005E6A51">
      <w:pPr>
        <w:pStyle w:val="FootnoteText"/>
      </w:pPr>
      <w:r w:rsidRPr="00767380">
        <w:rPr>
          <w:rStyle w:val="FootnoteReference"/>
        </w:rPr>
        <w:footnoteRef/>
      </w:r>
      <w:r>
        <w:t xml:space="preserve"> </w:t>
      </w:r>
      <w:r>
        <w:fldChar w:fldCharType="begin"/>
      </w:r>
      <w:r w:rsidR="0030504F">
        <w:instrText xml:space="preserve"> ADDIN ZOTERO_ITEM CSL_CITATION {"citationID":"A8yBFwRV","properties":{"formattedCitation":"Carl Horstmann and others, with University of California, {\\i{}Nova Legenda Anglie: As Collected by John of Tynemouth, John Capgrave, and Others, and First Printed, with New Lives} (Oxford, Clarendon press, 1901) &lt;http://archive.org/details/novalegendaangl00wordgoog&gt; [accessed 8 March 2026].","plainCitation":"Carl Horstmann and others, with University of California, Nova Legenda Anglie: As Collected by John of Tynemouth, John Capgrave, and Others, and First Printed, with New Lives (Oxford, Clarendon press, 1901) &lt;http://archive.org/details/novalegendaangl00wordgoog&gt; [accessed 8 March 2026].","noteIndex":4},"citationItems":[{"id":320,"uris":["http://zotero.org/users/local/l3RS6WXl/items/U9B5PN86"],"itemData":{"id":320,"type":"book","abstract":"Book digitized by Google from the library of the University of California and uploaded to the Internet Archive by user tpb.","language":"eng","number-of-pages":"747","publisher":"Oxford, Clarendon press","source":"Internet Archive","title":"Nova legenda Anglie: as collected by John of Tynemouth, John Capgrave, and others, and first printed, with new lives","title-short":"Nova legenda Anglie","URL":"http://archive.org/details/novalegendaangl00wordgoog","author":[{"family":"Horstmann","given":"Carl"},{"family":"John","given":"of Tynemouth"},{"family":"Capgrave","given":"John"},{"family":"Worde","given":"Wynkyn","dropping-particle":"de"}],"contributor":[{"literal":"University of California"}],"accessed":{"date-parts":[["2026",3,8]]},"issued":{"date-parts":[["1901"]]}}}],"schema":"https://github.com/citation-style-language/schema/raw/master/csl-citation.json"} </w:instrText>
      </w:r>
      <w:r>
        <w:fldChar w:fldCharType="separate"/>
      </w:r>
      <w:r w:rsidRPr="005E6A51">
        <w:rPr>
          <w:rFonts w:ascii="Aptos" w:hAnsi="Aptos" w:cs="Times New Roman"/>
          <w:kern w:val="0"/>
        </w:rPr>
        <w:t xml:space="preserve">Carl Horstmann and others, with University of California, </w:t>
      </w:r>
      <w:r w:rsidRPr="005E6A51">
        <w:rPr>
          <w:rFonts w:ascii="Aptos" w:hAnsi="Aptos" w:cs="Times New Roman"/>
          <w:i/>
          <w:iCs/>
          <w:kern w:val="0"/>
        </w:rPr>
        <w:t>Nova Legenda Anglie: As Collected by John of Tynemouth, John Capgrave, and Others, and First Printed, with New Lives</w:t>
      </w:r>
      <w:r w:rsidRPr="005E6A51">
        <w:rPr>
          <w:rFonts w:ascii="Aptos" w:hAnsi="Aptos" w:cs="Times New Roman"/>
          <w:kern w:val="0"/>
        </w:rPr>
        <w:t xml:space="preserve"> (Oxford, Clarendon press, 1901) &lt;http://archive.org/details/novalegendaangl00wordgoog&gt; [accessed 8 March 2026].</w:t>
      </w:r>
      <w:r>
        <w:fldChar w:fldCharType="end"/>
      </w:r>
      <w:r>
        <w:t xml:space="preserve"> This was first published in London by Wynkyn de Worde in 1516 based on the work of John of Tynemouth in the </w:t>
      </w:r>
      <w:r w:rsidRPr="005E6A51">
        <w:rPr>
          <w:i/>
          <w:iCs/>
        </w:rPr>
        <w:t>Sanctilogium Angliae, Walliae, Scotiae et Hiberniae</w:t>
      </w:r>
      <w:r>
        <w:t xml:space="preserve"> compiled in the fourteenth century.</w:t>
      </w:r>
    </w:p>
  </w:footnote>
  <w:footnote w:id="5">
    <w:p w14:paraId="11978F58" w14:textId="7F350116" w:rsidR="008B62E6" w:rsidRDefault="008B62E6">
      <w:pPr>
        <w:pStyle w:val="FootnoteText"/>
      </w:pPr>
      <w:r w:rsidRPr="00767380">
        <w:rPr>
          <w:rStyle w:val="FootnoteReference"/>
        </w:rPr>
        <w:footnoteRef/>
      </w:r>
      <w:r>
        <w:t xml:space="preserve"> </w:t>
      </w:r>
      <w:r>
        <w:fldChar w:fldCharType="begin"/>
      </w:r>
      <w:r w:rsidR="0030504F">
        <w:instrText xml:space="preserve"> ADDIN ZOTERO_ITEM CSL_CITATION {"citationID":"A8cN7VUH","properties":{"formattedCitation":"\\uc0\\u8216{}Vitae Sanctorum Memb. I 81, fol. 113r-118v\\uc0\\u8217{}, Gotha Research Library, n.d. &lt;https://dhb.thulb.uni-jena.de/receive/ufb_cbu_00048805&gt; [accessed 8 March 2026].","plainCitation":"‘Vitae Sanctorum Memb. I 81, fol. 113r-118v’, Gotha Research Library, n.d. &lt;https://dhb.thulb.uni-jena.de/receive/ufb_cbu_00048805&gt; [accessed 8 March 2026].","noteIndex":5},"citationItems":[{"id":315,"uris":["http://zotero.org/users/local/l3RS6WXl/items/9X2KNGSP"],"itemData":{"id":315,"type":"manuscript","language":"Latin","publisher":"Gotha Research Library","publisher-place":"Erfurt University","title":"Vitae Sanctorum Memb. I 81, fol. 113r-118v","URL":"https://dhb.thulb.uni-jena.de/receive/ufb_cbu_00048805","accessed":{"date-parts":[["2026",3,8]]}}}],"schema":"https://github.com/citation-style-language/schema/raw/master/csl-citation.json"} </w:instrText>
      </w:r>
      <w:r>
        <w:fldChar w:fldCharType="separate"/>
      </w:r>
      <w:r w:rsidRPr="008B62E6">
        <w:rPr>
          <w:rFonts w:ascii="Aptos" w:hAnsi="Aptos" w:cs="Times New Roman"/>
          <w:kern w:val="0"/>
        </w:rPr>
        <w:t>‘Vitae Sanctorum Memb. I 81, fol. 113r-118v’, Gotha Research Library, n.d. &lt;https://dhb.thulb.uni-jena.de/receive/ufb_cbu_00048805&gt; [accessed 8 March 2026].</w:t>
      </w:r>
      <w:r>
        <w:fldChar w:fldCharType="end"/>
      </w:r>
    </w:p>
  </w:footnote>
  <w:footnote w:id="6">
    <w:p w14:paraId="4109FC81" w14:textId="05A14162" w:rsidR="00CE50AC" w:rsidRDefault="00CE50AC">
      <w:pPr>
        <w:pStyle w:val="FootnoteText"/>
      </w:pPr>
      <w:r w:rsidRPr="00767380">
        <w:rPr>
          <w:rStyle w:val="FootnoteReference"/>
        </w:rPr>
        <w:footnoteRef/>
      </w:r>
      <w:r>
        <w:t xml:space="preserve"> </w:t>
      </w:r>
      <w:r>
        <w:fldChar w:fldCharType="begin"/>
      </w:r>
      <w:r w:rsidR="0030504F">
        <w:instrText xml:space="preserve"> ADDIN ZOTERO_ITEM CSL_CITATION {"citationID":"8UuLUwOZ","properties":{"formattedCitation":"Eleanor Smith, \\uc0\\u8216{}Investigating the Provenance, Organisation and Themes of Erfurt, Forschungsbibliothek Gotha, I. 81\\uc0\\u8217{} (2025), doi:10.17863/CAM.117753.","plainCitation":"Eleanor Smith, ‘Investigating the Provenance, Organisation and Themes of Erfurt, Forschungsbibliothek Gotha, I. 81’ (2025), doi:10.17863/CAM.117753.","noteIndex":6},"citationItems":[{"id":359,"uris":["http://zotero.org/users/local/l3RS6WXl/items/YWCYN5WM"],"itemData":{"id":359,"type":"thesis","abstract":"Erfurt, Forschungsbibliothek Gotha, I. 81 is a fourteenth-century English manuscript which contains sixty-five hagiographical texts dealing with around fifty saints, all of them born or buried in Britain. Unusually among legendaries of its kind, it is laid out by category: martyrs, confessors and virgins. Many of the texts it contains are obscure and some are unique to it. It was first fully catalogued in 1940, and has since been used as a witness by countless scholars of British hagiography. The manuscript’s date and English provenance are established by its script, but the circumstances and exact location of its creation have long remained unknown. Since its main use has been as a witness to individual texts, very few scholars have had time to investigate its provenance in more detail, or indeed to look at the manuscript as a whole. This thesis aims to do both. It begins by introducing the context of fourteenth-century compilation in which the manuscript sits, and the history of scholarship on the manuscript. It then examines the manuscript as a whole, providing a fresh palaeographical and codicological description, an annotated and updated catalogue of its contents, and a survey of hitherto-unknown references to the manuscript in medieval sources, which reveal that the manuscript spent a period of time at the Dominican friary in Thetford. The compiler’s choice and layout of saints is discussed in detail and contextualised by a comparison with other hagiological documents of all types from the ninth to the fourteenth century: this places the manuscript within a fourteenth-century tradition of ‘national’ hagiographical compilation and an older tradition of catalogues of saints’ resting-places, but also shows that the compiler chose and arranged their selection of saints carefully and deliberately, and that they had a unique and specific interest in saints culted in a zone running from the West Country up the Severn to the West Midlands, and in royal martyrs in particular. This interest is further demonstrated by extensive marginalia in the hand of the copyist (who, it is argued, is likely to have been the compiler) throughout the manuscript. These marginalia are transcribed in full in the Appendix, and discussed in detail alongside later marginalia of the fourteenth and fifteenth centuries, which show that readers’ uses of, and responses to, the manuscript changed as it left the copyist’s location (somewhere between Bodmin and Shaftesbury) and made its way to Thetford. At an early stage in its history, the manuscript was used as a source by the author of the Cathalogus sanctorum in Anglia pausancium, a catalogue of saints’ resting-places: the Cathalogus’ debt to the manuscript is examined in full, and contextualised with reference to the Cathalogus’ possible origin point and its other sources, some of which show signs of a similar trajectory northeast. Finally, this thesis draws the above material together to offer some suggestions for the manuscript’s point of origin – chief of which is Exeter Cathedral – and to discuss the manuscript’s function and context there and elsewhere. It argues that the logic underlying the manuscript’s compilation was contingent on both historical and geographical context, and that new meanings had to be found for the manuscript as it moved in space and time.","DOI":"10.17863/CAM.117753","language":"eng","source":"www.repository.cam.ac.uk","title":"Investigating the Provenance, Organisation and Themes of Erfurt, Forschungsbibliothek Gotha, I. 81","URL":"https://www.repository.cam.ac.uk/handle/1810/383336","author":[{"family":"Smith","given":"Eleanor"}],"accessed":{"date-parts":[["2026",3,14]]},"issued":{"date-parts":[["2025",5,6]]}}}],"schema":"https://github.com/citation-style-language/schema/raw/master/csl-citation.json"} </w:instrText>
      </w:r>
      <w:r>
        <w:fldChar w:fldCharType="separate"/>
      </w:r>
      <w:r w:rsidRPr="00CE50AC">
        <w:rPr>
          <w:rFonts w:ascii="Aptos" w:hAnsi="Aptos" w:cs="Times New Roman"/>
          <w:kern w:val="0"/>
        </w:rPr>
        <w:t>Eleanor Smith, ‘Investigating the Provenance, Organisation and Themes of Erfurt, Forschungsbibliothek Gotha, I. 81’ (2025), doi:10.17863/CAM.117753.</w:t>
      </w:r>
      <w:r>
        <w:fldChar w:fldCharType="end"/>
      </w:r>
    </w:p>
  </w:footnote>
  <w:footnote w:id="7">
    <w:p w14:paraId="00EECD3E" w14:textId="0981BD17" w:rsidR="00C45CE7" w:rsidRPr="009926AD" w:rsidRDefault="00C45CE7">
      <w:pPr>
        <w:pStyle w:val="FootnoteText"/>
      </w:pPr>
      <w:r w:rsidRPr="00767380">
        <w:rPr>
          <w:rStyle w:val="FootnoteReference"/>
        </w:rPr>
        <w:footnoteRef/>
      </w:r>
      <w:r>
        <w:t xml:space="preserve"> </w:t>
      </w:r>
      <w:r>
        <w:fldChar w:fldCharType="begin"/>
      </w:r>
      <w:r w:rsidR="0030504F">
        <w:instrText xml:space="preserve"> ADDIN ZOTERO_ITEM CSL_CITATION {"citationID":"JeXrtPKM","properties":{"formattedCitation":"Horstmann and others, {\\i{}Nova Legenda Anglie}, pp. 320\\uc0\\u8211{}28.","plainCitation":"Horstmann and others, Nova Legenda Anglie, pp. 320–28.","noteIndex":7},"citationItems":[{"id":320,"uris":["http://zotero.org/users/local/l3RS6WXl/items/U9B5PN86"],"itemData":{"id":320,"type":"book","abstract":"Book digitized by Google from the library of the University of California and uploaded to the Internet Archive by user tpb.","language":"eng","number-of-pages":"747","publisher":"Oxford, Clarendon press","source":"Internet Archive","title":"Nova legenda Anglie: as collected by John of Tynemouth, John Capgrave, and others, and first printed, with new lives","title-short":"Nova legenda Anglie","URL":"http://archive.org/details/novalegendaangl00wordgoog","author":[{"family":"Horstmann","given":"Carl"},{"family":"John","given":"of Tynemouth"},{"family":"Capgrave","given":"John"},{"family":"Worde","given":"Wynkyn","dropping-particle":"de"}],"contributor":[{"literal":"University of California"}],"accessed":{"date-parts":[["2026",3,8]]},"issued":{"date-parts":[["1901"]]}},"locator":"320-328","label":"page"}],"schema":"https://github.com/citation-style-language/schema/raw/master/csl-citation.json"} </w:instrText>
      </w:r>
      <w:r>
        <w:fldChar w:fldCharType="separate"/>
      </w:r>
      <w:r w:rsidRPr="00C45CE7">
        <w:rPr>
          <w:rFonts w:ascii="Aptos" w:hAnsi="Aptos" w:cs="Times New Roman"/>
          <w:kern w:val="0"/>
        </w:rPr>
        <w:t xml:space="preserve">Horstmann and others, </w:t>
      </w:r>
      <w:r w:rsidRPr="00C45CE7">
        <w:rPr>
          <w:rFonts w:ascii="Aptos" w:hAnsi="Aptos" w:cs="Times New Roman"/>
          <w:i/>
          <w:iCs/>
          <w:kern w:val="0"/>
        </w:rPr>
        <w:t>Nova Legenda Anglie</w:t>
      </w:r>
      <w:r w:rsidRPr="00C45CE7">
        <w:rPr>
          <w:rFonts w:ascii="Aptos" w:hAnsi="Aptos" w:cs="Times New Roman"/>
          <w:kern w:val="0"/>
        </w:rPr>
        <w:t>, pp. 320–28.</w:t>
      </w:r>
      <w:r>
        <w:fldChar w:fldCharType="end"/>
      </w:r>
      <w:r w:rsidR="003A26DA">
        <w:t xml:space="preserve"> </w:t>
      </w:r>
      <w:r w:rsidR="005B0452">
        <w:t xml:space="preserve">Tynemouth’s </w:t>
      </w:r>
      <w:r w:rsidR="005B0452" w:rsidRPr="00A20E4E">
        <w:rPr>
          <w:i/>
          <w:iCs/>
        </w:rPr>
        <w:t>Sanctilogium Angliae Walliae Scotiae et Hiberniae</w:t>
      </w:r>
      <w:r w:rsidR="009926AD">
        <w:rPr>
          <w:i/>
          <w:iCs/>
        </w:rPr>
        <w:t xml:space="preserve"> </w:t>
      </w:r>
      <w:r w:rsidR="009926AD">
        <w:t>survives as a single manuscript now in the British Library</w:t>
      </w:r>
      <w:r w:rsidR="008605C8">
        <w:t xml:space="preserve"> BL </w:t>
      </w:r>
      <w:r w:rsidR="00701CDB" w:rsidRPr="00701CDB">
        <w:t>Cotton MS Tiberius E I/2</w:t>
      </w:r>
      <w:r w:rsidR="00E70763">
        <w:t>.</w:t>
      </w:r>
    </w:p>
  </w:footnote>
  <w:footnote w:id="8">
    <w:p w14:paraId="71A08A2C" w14:textId="44FD7D05" w:rsidR="00F5148C" w:rsidRDefault="00F5148C">
      <w:pPr>
        <w:pStyle w:val="FootnoteText"/>
      </w:pPr>
      <w:r w:rsidRPr="00767380">
        <w:rPr>
          <w:rStyle w:val="FootnoteReference"/>
        </w:rPr>
        <w:footnoteRef/>
      </w:r>
      <w:r>
        <w:t xml:space="preserve"> </w:t>
      </w:r>
      <w:r>
        <w:fldChar w:fldCharType="begin"/>
      </w:r>
      <w:r>
        <w:instrText xml:space="preserve"> ADDIN ZOTERO_ITEM CSL_CITATION {"citationID":"1qQvHPTA","properties":{"formattedCitation":"Roger Pearse, {\\i{}St Piran Vita 2022 V 1} (n.d.) &lt;http://archive.org/details/st-piran-vita-2022-v-1&gt; [accessed 8 March 2026].","plainCitation":"Roger Pearse, St Piran Vita 2022 V 1 (n.d.) &lt;http://archive.org/details/st-piran-vita-2022-v-1&gt; [accessed 8 March 2026].","noteIndex":8},"citationItems":[{"id":325,"uris":["http://zotero.org/users/local/l3RS6WXl/items/RRC9HTY6"],"itemData":{"id":325,"type":"book","abstract":"The Life of St Piran.  Made from the Capgrave text in Nova Legenda Angliae by Roger Pearse.","language":"eng","license":"http://creativecommons.org/publicdomain/mark/1.0/","source":"Internet Archive","title":"St Piran Vita 2022 V 1","URL":"http://archive.org/details/st-piran-vita-2022-v-1","author":[{"literal":"Roger Pearse"}],"accessed":{"date-parts":[["2026",3,8]]}}}],"schema":"https://github.com/citation-style-language/schema/raw/master/csl-citation.json"} </w:instrText>
      </w:r>
      <w:r>
        <w:fldChar w:fldCharType="separate"/>
      </w:r>
      <w:r w:rsidRPr="00F5148C">
        <w:rPr>
          <w:rFonts w:ascii="Aptos" w:hAnsi="Aptos" w:cs="Times New Roman"/>
          <w:kern w:val="0"/>
        </w:rPr>
        <w:t xml:space="preserve">Roger Pearse, </w:t>
      </w:r>
      <w:r w:rsidRPr="00F5148C">
        <w:rPr>
          <w:rFonts w:ascii="Aptos" w:hAnsi="Aptos" w:cs="Times New Roman"/>
          <w:i/>
          <w:iCs/>
          <w:kern w:val="0"/>
        </w:rPr>
        <w:t>St Piran Vita 2022 V 1</w:t>
      </w:r>
      <w:r w:rsidRPr="00F5148C">
        <w:rPr>
          <w:rFonts w:ascii="Aptos" w:hAnsi="Aptos" w:cs="Times New Roman"/>
          <w:kern w:val="0"/>
        </w:rPr>
        <w:t xml:space="preserve"> (n.d.) &lt;http://archive.org/details/st-piran-vita-2022-v-1&gt; [accessed 8 March 2026].</w:t>
      </w:r>
      <w:r>
        <w:fldChar w:fldCharType="end"/>
      </w:r>
      <w:r w:rsidR="00523C80">
        <w:t xml:space="preserve"> A more recent translation of this version has been produced in 2022 by Roger Pearse.</w:t>
      </w:r>
    </w:p>
  </w:footnote>
  <w:footnote w:id="9">
    <w:p w14:paraId="7EA400D2" w14:textId="72AC0E24" w:rsidR="00ED6C48" w:rsidRDefault="00ED6C48">
      <w:pPr>
        <w:pStyle w:val="FootnoteText"/>
      </w:pPr>
      <w:r w:rsidRPr="00767380">
        <w:rPr>
          <w:rStyle w:val="FootnoteReference"/>
        </w:rPr>
        <w:footnoteRef/>
      </w:r>
      <w:r>
        <w:t xml:space="preserve"> </w:t>
      </w:r>
      <w:r>
        <w:fldChar w:fldCharType="begin"/>
      </w:r>
      <w:r w:rsidR="0030504F">
        <w:instrText xml:space="preserve"> ADDIN ZOTERO_ITEM CSL_CITATION {"citationID":"lBIR5fr2","properties":{"formattedCitation":"\\uc0\\u8216{}Perran | Domesday Book\\uc0\\u8217{}, n.d. &lt;https://opendomesday.org/place/SW7656/perran/&gt; [accessed 14 March 2026].","plainCitation":"‘Perran | Domesday Book’, n.d. &lt;https://opendomesday.org/place/SW7656/perran/&gt; [accessed 14 March 2026].","noteIndex":8},"citationItems":[{"id":353,"uris":["http://zotero.org/users/local/l3RS6WXl/items/ADI5HFGF"],"itemData":{"id":353,"type":"webpage","title":"Perran | Domesday Book","URL":"https://opendomesday.org/place/SW7656/perran/","accessed":{"date-parts":[["2026",3,14]]}}}],"schema":"https://github.com/citation-style-language/schema/raw/master/csl-citation.json"} </w:instrText>
      </w:r>
      <w:r>
        <w:fldChar w:fldCharType="separate"/>
      </w:r>
      <w:r w:rsidRPr="00ED6C48">
        <w:rPr>
          <w:rFonts w:ascii="Aptos" w:hAnsi="Aptos" w:cs="Times New Roman"/>
          <w:kern w:val="0"/>
        </w:rPr>
        <w:t>‘Perran | Domesday Book’, n.d. &lt;https://opendomesday.org/place/SW7656/perran/&gt; [accessed 14 March 2026].</w:t>
      </w:r>
      <w:r>
        <w:fldChar w:fldCharType="end"/>
      </w:r>
      <w:r w:rsidR="00827F4E">
        <w:t xml:space="preserve"> </w:t>
      </w:r>
      <w:r w:rsidR="0037641F">
        <w:t>‘</w:t>
      </w:r>
      <w:r w:rsidR="00827F4E" w:rsidRPr="0037641F">
        <w:rPr>
          <w:i/>
          <w:iCs/>
        </w:rPr>
        <w:t>Canon</w:t>
      </w:r>
      <w:r w:rsidR="0037641F" w:rsidRPr="0037641F">
        <w:rPr>
          <w:i/>
          <w:iCs/>
        </w:rPr>
        <w:t>ici S’ Pierani’</w:t>
      </w:r>
    </w:p>
  </w:footnote>
  <w:footnote w:id="10">
    <w:p w14:paraId="5339C52B" w14:textId="14C2E543" w:rsidR="00B75A11" w:rsidRDefault="00B75A11">
      <w:pPr>
        <w:pStyle w:val="FootnoteText"/>
      </w:pPr>
      <w:r w:rsidRPr="00767380">
        <w:rPr>
          <w:rStyle w:val="FootnoteReference"/>
        </w:rPr>
        <w:footnoteRef/>
      </w:r>
      <w:r>
        <w:t xml:space="preserve"> </w:t>
      </w:r>
      <w:r>
        <w:fldChar w:fldCharType="begin"/>
      </w:r>
      <w:r w:rsidR="0030504F">
        <w:instrText xml:space="preserve"> ADDIN ZOTERO_ITEM CSL_CITATION {"citationID":"6yUCftyt","properties":{"formattedCitation":"Gilbert H. Doble, {\\i{}Saint Perran, Saint Keverne and Saint Kerrian}, Cornish Saints Series (The \\uc0\\u8216{}King\\uc0\\u8217{}s Stone\\uc0\\u8217{} Press; Quimper, Brittany, 1931), No. 29 &lt;https://bibliotheque.diocese-quimper.fr/files/original/5e3972e392785761e5659010500b627e.pdf&gt;.","plainCitation":"Gilbert H. Doble, Saint Perran, Saint Keverne and Saint Kerrian, Cornish Saints Series (The ‘King’s Stone’ Press; Quimper, Brittany, 1931), No. 29 &lt;https://bibliotheque.diocese-quimper.fr/files/original/5e3972e392785761e5659010500b627e.pdf&gt;.","noteIndex":9},"citationItems":[{"id":319,"uris":["http://zotero.org/users/local/l3RS6WXl/items/RX49C26K"],"itemData":{"id":319,"type":"book","collection-title":"Cornish Saints Series","original-publisher":"The 'King's Stone' Press","original-publisher-place":"Long Compston, Shipston on Stour","publisher-place":"Quimper, Brittany","title":"Saint Perran, Saint Keverne and Saint Kerrian","URL":"https://bibliotheque.diocese-quimper.fr/files/original/5e3972e392785761e5659010500b627e.pdf","volume":"No. 29","author":[{"family":"Doble","given":"Gilbert H."}],"issued":{"date-parts":[["1931"]]}}}],"schema":"https://github.com/citation-style-language/schema/raw/master/csl-citation.json"} </w:instrText>
      </w:r>
      <w:r>
        <w:fldChar w:fldCharType="separate"/>
      </w:r>
      <w:r w:rsidRPr="00B75A11">
        <w:rPr>
          <w:rFonts w:ascii="Aptos" w:hAnsi="Aptos" w:cs="Times New Roman"/>
          <w:kern w:val="0"/>
        </w:rPr>
        <w:t xml:space="preserve">Gilbert H. Doble, </w:t>
      </w:r>
      <w:r w:rsidRPr="00B75A11">
        <w:rPr>
          <w:rFonts w:ascii="Aptos" w:hAnsi="Aptos" w:cs="Times New Roman"/>
          <w:i/>
          <w:iCs/>
          <w:kern w:val="0"/>
        </w:rPr>
        <w:t>Saint Perran, Saint Keverne and Saint Kerrian</w:t>
      </w:r>
      <w:r w:rsidRPr="00B75A11">
        <w:rPr>
          <w:rFonts w:ascii="Aptos" w:hAnsi="Aptos" w:cs="Times New Roman"/>
          <w:kern w:val="0"/>
        </w:rPr>
        <w:t>, Cornish Saints Series (The ‘King’s Stone’ Press; Quimper, Brittany, 1931), No. 29 &lt;https://bibliotheque.diocese-quimper.fr/files/original/5e3972e392785761e5659010500b627e.pdf&gt;.</w:t>
      </w:r>
      <w:r>
        <w:fldChar w:fldCharType="end"/>
      </w:r>
      <w:r w:rsidR="00015E4D">
        <w:t>p.5</w:t>
      </w:r>
    </w:p>
  </w:footnote>
  <w:footnote w:id="11">
    <w:p w14:paraId="200AD38D" w14:textId="1EAE7472" w:rsidR="0027490F" w:rsidRDefault="0027490F">
      <w:pPr>
        <w:pStyle w:val="FootnoteText"/>
      </w:pPr>
      <w:r w:rsidRPr="00767380">
        <w:rPr>
          <w:rStyle w:val="FootnoteReference"/>
        </w:rPr>
        <w:footnoteRef/>
      </w:r>
      <w:r>
        <w:t xml:space="preserve"> </w:t>
      </w:r>
      <w:r>
        <w:fldChar w:fldCharType="begin"/>
      </w:r>
      <w:r w:rsidR="0030504F">
        <w:instrText xml:space="preserve"> ADDIN ZOTERO_ITEM CSL_CITATION {"citationID":"ven5iNNT","properties":{"formattedCitation":"Beatrix Cresswell, {\\i{}Exeter Churches; Notes on the History, Fabrics and Features of Interest in the Churches of the Deanery of Christianity Devon} (James G. Commin, 1908) &lt;https://archive.org/details/exeterchurchesno00cresiala/page/n5/mode/2up&gt; [accessed 14 March 2026].","plainCitation":"Beatrix Cresswell, Exeter Churches; Notes on the History, Fabrics and Features of Interest in the Churches of the Deanery of Christianity Devon (James G. Commin, 1908) &lt;https://archive.org/details/exeterchurchesno00cresiala/page/n5/mode/2up&gt; [accessed 14 March 2026].","noteIndex":10},"citationItems":[{"id":364,"uris":["http://zotero.org/users/local/l3RS6WXl/items/FEDRU6VU"],"itemData":{"id":364,"type":"book","publisher":"James G. Commin","publisher-place":"Exeter","title":"Exeter churches; notes on the history, fabrics and features of interest in the churches of the Deanery of Christianity Devon","URL":"https://archive.org/details/exeterchurchesno00cresiala/page/n5/mode/2up","author":[{"family":"Cresswell","given":"Beatrix"}],"accessed":{"date-parts":[["2026",3,14]]},"issued":{"date-parts":[["1908"]]}}}],"schema":"https://github.com/citation-style-language/schema/raw/master/csl-citation.json"} </w:instrText>
      </w:r>
      <w:r>
        <w:fldChar w:fldCharType="separate"/>
      </w:r>
      <w:r w:rsidRPr="0027490F">
        <w:rPr>
          <w:rFonts w:ascii="Aptos" w:hAnsi="Aptos" w:cs="Times New Roman"/>
          <w:kern w:val="0"/>
        </w:rPr>
        <w:t xml:space="preserve">Beatrix Cresswell, </w:t>
      </w:r>
      <w:r w:rsidRPr="0027490F">
        <w:rPr>
          <w:rFonts w:ascii="Aptos" w:hAnsi="Aptos" w:cs="Times New Roman"/>
          <w:i/>
          <w:iCs/>
          <w:kern w:val="0"/>
        </w:rPr>
        <w:t>Exeter Churches; Notes on the History, Fabrics and Features of Interest in the Churches of the Deanery of Christianity Devon</w:t>
      </w:r>
      <w:r w:rsidRPr="0027490F">
        <w:rPr>
          <w:rFonts w:ascii="Aptos" w:hAnsi="Aptos" w:cs="Times New Roman"/>
          <w:kern w:val="0"/>
        </w:rPr>
        <w:t xml:space="preserve"> (James G. Commin, 1908) &lt;https://archive.org/details/exeterchurchesno00cresiala/page/n5/mode/2up&gt; [accessed 14 March 2026].</w:t>
      </w:r>
      <w:r>
        <w:fldChar w:fldCharType="end"/>
      </w:r>
      <w:r w:rsidR="00553490">
        <w:t xml:space="preserve"> </w:t>
      </w:r>
      <w:r w:rsidR="00C56AA9">
        <w:t xml:space="preserve">Cresswell indicates this is why Exeter became </w:t>
      </w:r>
      <w:r w:rsidR="00D61500">
        <w:t xml:space="preserve">known for the </w:t>
      </w:r>
      <w:r w:rsidR="000B4800">
        <w:t>‘</w:t>
      </w:r>
      <w:r w:rsidR="00D61500">
        <w:t>white metal</w:t>
      </w:r>
      <w:r w:rsidR="000B4800">
        <w:t>’</w:t>
      </w:r>
      <w:r w:rsidR="00D61500">
        <w:t xml:space="preserve">: </w:t>
      </w:r>
      <w:r w:rsidR="00D61500" w:rsidRPr="000B4800">
        <w:rPr>
          <w:i/>
          <w:iCs/>
        </w:rPr>
        <w:t>Exestria clara metallis</w:t>
      </w:r>
      <w:r w:rsidR="00D61500">
        <w:t>.</w:t>
      </w:r>
    </w:p>
  </w:footnote>
  <w:footnote w:id="12">
    <w:p w14:paraId="3A5DBBBB" w14:textId="3A399100" w:rsidR="0015658C" w:rsidRDefault="0015658C">
      <w:pPr>
        <w:pStyle w:val="FootnoteText"/>
      </w:pPr>
      <w:r w:rsidRPr="00767380">
        <w:rPr>
          <w:rStyle w:val="FootnoteReference"/>
        </w:rPr>
        <w:footnoteRef/>
      </w:r>
      <w:r>
        <w:t xml:space="preserve"> </w:t>
      </w:r>
      <w:r>
        <w:fldChar w:fldCharType="begin"/>
      </w:r>
      <w:r w:rsidR="0030504F">
        <w:instrText xml:space="preserve"> ADDIN ZOTERO_ITEM CSL_CITATION {"citationID":"SAAIOjq5","properties":{"formattedCitation":"Orme, {\\i{}The Saints of Cornwall}.","plainCitation":"Orme, The Saints of Cornwall.","noteIndex":11},"citationItems":[{"id":306,"uris":["http://zotero.org/users/local/l3RS6WXl/items/IRPDQ4WG"],"itemData":{"id":306,"type":"book","abstract":"Cornwall is more Celtic than English in its religious history. Its churches, chapels, and place-names commemorate not only the major saints of Christendom, but also many minor Celtic ones, unique to single churches. This book considers them all","ISBN":"978-0-19-820765-4","language":"eng","number-of-pages":"1","publisher":"Oxford University Press","publisher-place":"Oxford","source":"K10plus ISBN","title":"The Saints of Cornwall","author":[{"family":"Orme","given":"Nicholas"}],"issued":{"date-parts":[["2000"]]}}}],"schema":"https://github.com/citation-style-language/schema/raw/master/csl-citation.json"} </w:instrText>
      </w:r>
      <w:r>
        <w:fldChar w:fldCharType="separate"/>
      </w:r>
      <w:r w:rsidRPr="0015658C">
        <w:rPr>
          <w:rFonts w:ascii="Aptos" w:hAnsi="Aptos" w:cs="Times New Roman"/>
          <w:kern w:val="0"/>
        </w:rPr>
        <w:t xml:space="preserve">Orme, </w:t>
      </w:r>
      <w:r w:rsidRPr="0015658C">
        <w:rPr>
          <w:rFonts w:ascii="Aptos" w:hAnsi="Aptos" w:cs="Times New Roman"/>
          <w:i/>
          <w:iCs/>
          <w:kern w:val="0"/>
        </w:rPr>
        <w:t>The Saints of Cornwall</w:t>
      </w:r>
      <w:r w:rsidRPr="0015658C">
        <w:rPr>
          <w:rFonts w:ascii="Aptos" w:hAnsi="Aptos" w:cs="Times New Roman"/>
          <w:kern w:val="0"/>
        </w:rPr>
        <w:t>.</w:t>
      </w:r>
      <w:r>
        <w:fldChar w:fldCharType="end"/>
      </w:r>
      <w:r>
        <w:t>p.18</w:t>
      </w:r>
    </w:p>
  </w:footnote>
  <w:footnote w:id="13">
    <w:p w14:paraId="5911EFFD" w14:textId="3BA3A1E9" w:rsidR="008849C1" w:rsidRDefault="008849C1" w:rsidP="008849C1">
      <w:pPr>
        <w:pStyle w:val="FootnoteText"/>
      </w:pPr>
      <w:r w:rsidRPr="00767380">
        <w:rPr>
          <w:rStyle w:val="FootnoteReference"/>
        </w:rPr>
        <w:footnoteRef/>
      </w:r>
      <w:r>
        <w:t xml:space="preserve"> </w:t>
      </w:r>
      <w:r>
        <w:fldChar w:fldCharType="begin"/>
      </w:r>
      <w:r w:rsidR="0030504F">
        <w:instrText xml:space="preserve"> ADDIN ZOTERO_ITEM CSL_CITATION {"citationID":"RBpPkvCl","properties":{"formattedCitation":"\\uc0\\u8216{}The Lives of the Saints: Cornwall and Devon\\uc0\\u8217{}, in {\\i{}Nicholas Roscarrock\\uc0\\u8217{}s \\uc0\\u8216{}Lives of the Saints\\uc0\\u8217{}: Cornwall and Devon}, ed. by Nicholas Orme (Boydell &amp; Brewer, 1992), pp. 105\\uc0\\u8211{}08, doi:10.2307/j.ctv2j04t8h.6.","plainCitation":"‘The Lives of the Saints: Cornwall and Devon’, in Nicholas Roscarrock’s ‘Lives of the Saints’: Cornwall and Devon, ed. by Nicholas Orme (Boydell &amp; Brewer, 1992), pp. 105–08, doi:10.2307/j.ctv2j04t8h.6.","noteIndex":12},"citationItems":[{"id":326,"uris":["http://zotero.org/users/local/l3RS6WXl/items/VN7PLL3A"],"itemData":{"id":326,"type":"chapter","container-title":"Nicholas Roscarrock's 'Lives of the Saints': Cornwall and Devon","DOI":"10.2307/j.ctv2j04t8h.6","page":"105-108","publisher":"Boydell &amp; Brewer","source":"JSTOR","title":"The Lives of the Saints: Cornwall and Devon","title-short":"The Lives of the Saints","URL":"https://www.jstor.org/stable/j.ctv2j04t8h.6","editor":[{"family":"Orme","given":"Nicholas"}],"accessed":{"date-parts":[["2026",3,8]]},"issued":{"date-parts":[["1992"]]}}}],"schema":"https://github.com/citation-style-language/schema/raw/master/csl-citation.json"} </w:instrText>
      </w:r>
      <w:r>
        <w:fldChar w:fldCharType="separate"/>
      </w:r>
      <w:r w:rsidRPr="00623957">
        <w:rPr>
          <w:rFonts w:ascii="Aptos" w:hAnsi="Aptos" w:cs="Times New Roman"/>
          <w:kern w:val="0"/>
        </w:rPr>
        <w:t xml:space="preserve">‘The Lives of the Saints: Cornwall and Devon’, in </w:t>
      </w:r>
      <w:r w:rsidRPr="00623957">
        <w:rPr>
          <w:rFonts w:ascii="Aptos" w:hAnsi="Aptos" w:cs="Times New Roman"/>
          <w:i/>
          <w:iCs/>
          <w:kern w:val="0"/>
        </w:rPr>
        <w:t>Nicholas Roscarrock’s ‘Lives of the Saints’: Cornwall and Devon</w:t>
      </w:r>
      <w:r w:rsidRPr="00623957">
        <w:rPr>
          <w:rFonts w:ascii="Aptos" w:hAnsi="Aptos" w:cs="Times New Roman"/>
          <w:kern w:val="0"/>
        </w:rPr>
        <w:t>, ed. by Nicholas Orme (Boydell &amp; Brewer, 1992), pp. 105–08, doi:10.2307/j.ctv2j04t8h.6.</w:t>
      </w:r>
      <w:r>
        <w:fldChar w:fldCharType="end"/>
      </w:r>
      <w:r>
        <w:t>p.29</w:t>
      </w:r>
    </w:p>
  </w:footnote>
  <w:footnote w:id="14">
    <w:p w14:paraId="082AB4E3" w14:textId="594E61F9" w:rsidR="003929CB" w:rsidRPr="007768C1" w:rsidRDefault="003929CB">
      <w:pPr>
        <w:pStyle w:val="FootnoteText"/>
      </w:pPr>
      <w:r w:rsidRPr="00767380">
        <w:rPr>
          <w:rStyle w:val="FootnoteReference"/>
        </w:rPr>
        <w:footnoteRef/>
      </w:r>
      <w:r>
        <w:t xml:space="preserve"> </w:t>
      </w:r>
      <w:r>
        <w:fldChar w:fldCharType="begin"/>
      </w:r>
      <w:r w:rsidR="0030504F">
        <w:instrText xml:space="preserve"> ADDIN ZOTERO_ITEM CSL_CITATION {"citationID":"jKcLn5VK","properties":{"formattedCitation":"J. Loth, \\uc0\\u8216{}Quelques Victimes de l\\uc0\\u8217{}hagio-Onomastique En Cornwal\\uc0\\u8239{}: Saint P\\uc0\\u233{}ran, Saint Keverne, Saint Achebran.\\uc0\\u8217{}, {\\i{}Memoires de La Societe d\\uc0\\u8217{}Histoire et d\\uc0\\u8217{}Archelogie de Bretagne}, 1930, pp. pp157-172.","plainCitation":"J. Loth, ‘Quelques Victimes de l’hagio-Onomastique En Cornwal</w:instrText>
      </w:r>
      <w:r w:rsidR="0030504F">
        <w:rPr>
          <w:rFonts w:ascii="Arial" w:hAnsi="Arial" w:cs="Arial"/>
        </w:rPr>
        <w:instrText> </w:instrText>
      </w:r>
      <w:r w:rsidR="0030504F">
        <w:instrText>: Saint P</w:instrText>
      </w:r>
      <w:r w:rsidR="0030504F">
        <w:rPr>
          <w:rFonts w:ascii="Aptos" w:hAnsi="Aptos" w:cs="Aptos"/>
        </w:rPr>
        <w:instrText>é</w:instrText>
      </w:r>
      <w:r w:rsidR="0030504F">
        <w:instrText>ran, Saint Keverne, Saint Achebran.</w:instrText>
      </w:r>
      <w:r w:rsidR="0030504F">
        <w:rPr>
          <w:rFonts w:ascii="Aptos" w:hAnsi="Aptos" w:cs="Aptos"/>
        </w:rPr>
        <w:instrText>’</w:instrText>
      </w:r>
      <w:r w:rsidR="0030504F">
        <w:instrText xml:space="preserve">, Memoires de La Societe d’Histoire et d’Archelogie de Bretagne, 1930, pp. pp157-172.","noteIndex":13},"citationItems":[{"id":367,"uris":["http://zotero.org/users/local/l3RS6WXl/items/HDX83CH8"],"itemData":{"id":367,"type":"article-journal","container-title":"Memoires de la Societe d'Histoire et d'Archelogie de Bretagne","page":"pp157-172","title":"Quelques victimes de l'hagio-onomastique en Cornwal : saint Péran, saint Keverne, saint Achebran.","author":[{"family":"Loth","given":"J"}],"issued":{"date-parts":[["1930"]]}}}],"schema":"https://github.com/citation-style-language/schema/raw/master/csl-citation.json"} </w:instrText>
      </w:r>
      <w:r>
        <w:fldChar w:fldCharType="separate"/>
      </w:r>
      <w:r w:rsidR="00623957" w:rsidRPr="00623957">
        <w:rPr>
          <w:rFonts w:ascii="Aptos" w:hAnsi="Aptos" w:cs="Times New Roman"/>
          <w:kern w:val="0"/>
        </w:rPr>
        <w:t xml:space="preserve">J. Loth, ‘Quelques Victimes de l’hagio-Onomastique En Cornwal : Saint Péran, Saint Keverne, Saint Achebran.’, </w:t>
      </w:r>
      <w:r w:rsidR="00623957" w:rsidRPr="00623957">
        <w:rPr>
          <w:rFonts w:ascii="Aptos" w:hAnsi="Aptos" w:cs="Times New Roman"/>
          <w:i/>
          <w:iCs/>
          <w:kern w:val="0"/>
        </w:rPr>
        <w:t>Memoires de La Societe d’Histoire et d’Archelogie de Bretagne</w:t>
      </w:r>
      <w:r w:rsidR="00623957" w:rsidRPr="00623957">
        <w:rPr>
          <w:rFonts w:ascii="Aptos" w:hAnsi="Aptos" w:cs="Times New Roman"/>
          <w:kern w:val="0"/>
        </w:rPr>
        <w:t>, 1930, pp. pp157-172.</w:t>
      </w:r>
      <w:r>
        <w:fldChar w:fldCharType="end"/>
      </w:r>
      <w:r w:rsidR="003E12DE">
        <w:t xml:space="preserve"> P.169: </w:t>
      </w:r>
      <w:r w:rsidR="007768C1">
        <w:t>“</w:t>
      </w:r>
      <w:r w:rsidR="007768C1" w:rsidRPr="007768C1">
        <w:t xml:space="preserve">Indeed, the </w:t>
      </w:r>
      <w:r w:rsidR="007768C1" w:rsidRPr="007768C1">
        <w:rPr>
          <w:i/>
          <w:iCs/>
        </w:rPr>
        <w:t>i</w:t>
      </w:r>
      <w:r w:rsidR="007768C1" w:rsidRPr="007768C1">
        <w:t xml:space="preserve"> is short in </w:t>
      </w:r>
      <w:r w:rsidR="007768C1" w:rsidRPr="007768C1">
        <w:rPr>
          <w:i/>
          <w:iCs/>
        </w:rPr>
        <w:t>Piran</w:t>
      </w:r>
      <w:r w:rsidR="007768C1" w:rsidRPr="007768C1">
        <w:t xml:space="preserve">, as is sufficiently shown by the form already known in the 11th–12th centuries, </w:t>
      </w:r>
      <w:r w:rsidR="007768C1" w:rsidRPr="007768C1">
        <w:rPr>
          <w:i/>
          <w:iCs/>
        </w:rPr>
        <w:t>Peran</w:t>
      </w:r>
      <w:r w:rsidR="007768C1" w:rsidRPr="007768C1">
        <w:t xml:space="preserve">. A </w:t>
      </w:r>
      <w:r w:rsidR="007768C1" w:rsidRPr="007768C1">
        <w:rPr>
          <w:i/>
          <w:iCs/>
        </w:rPr>
        <w:t>Piran</w:t>
      </w:r>
      <w:r w:rsidR="007768C1" w:rsidRPr="007768C1">
        <w:t xml:space="preserve"> with a long </w:t>
      </w:r>
      <w:r w:rsidR="007768C1" w:rsidRPr="007768C1">
        <w:rPr>
          <w:i/>
          <w:iCs/>
        </w:rPr>
        <w:t>i</w:t>
      </w:r>
      <w:r w:rsidR="007768C1" w:rsidRPr="007768C1">
        <w:t xml:space="preserve"> would have remained intact. It is therefore clear that Ciarán and Piran could not designate the same person.</w:t>
      </w:r>
      <w:r w:rsidR="007768C1">
        <w:t>”</w:t>
      </w:r>
      <w:r w:rsidR="00453F78">
        <w:t xml:space="preserve"> </w:t>
      </w:r>
      <w:r w:rsidR="004B4683">
        <w:t>(tr. From French)</w:t>
      </w:r>
    </w:p>
  </w:footnote>
  <w:footnote w:id="15">
    <w:p w14:paraId="5C10E5A5" w14:textId="541BC4FB" w:rsidR="00EB6AEB" w:rsidRDefault="00EB6AEB">
      <w:pPr>
        <w:pStyle w:val="FootnoteText"/>
      </w:pPr>
      <w:r w:rsidRPr="00767380">
        <w:rPr>
          <w:rStyle w:val="FootnoteReference"/>
        </w:rPr>
        <w:footnoteRef/>
      </w:r>
      <w:r>
        <w:t xml:space="preserve"> </w:t>
      </w:r>
      <w:r>
        <w:fldChar w:fldCharType="begin"/>
      </w:r>
      <w:r>
        <w:instrText xml:space="preserve"> ADDIN ZOTERO_ITEM CSL_CITATION {"citationID":"tsk68clq","properties":{"formattedCitation":"Orme, {\\i{}The Saints of Cornwall}, p. 221.","plainCitation":"Orme, The Saints of Cornwall, p. 221.","noteIndex":15},"citationItems":[{"id":306,"uris":["http://zotero.org/users/local/l3RS6WXl/items/IRPDQ4WG"],"itemData":{"id":306,"type":"book","abstract":"Cornwall is more Celtic than English in its religious history. Its churches, chapels, and place-names commemorate not only the major saints of Christendom, but also many minor Celtic ones, unique to single churches. This book considers them all","ISBN":"978-0-19-820765-4","language":"eng","number-of-pages":"1","publisher":"Oxford University Press","publisher-place":"Oxford","source":"K10plus ISBN","title":"The Saints of Cornwall","author":[{"family":"Orme","given":"Nicholas"}],"issued":{"date-parts":[["2000"]]}},"locator":"221","label":"page"}],"schema":"https://github.com/citation-style-language/schema/raw/master/csl-citation.json"} </w:instrText>
      </w:r>
      <w:r>
        <w:fldChar w:fldCharType="separate"/>
      </w:r>
      <w:r w:rsidRPr="00EB6AEB">
        <w:rPr>
          <w:rFonts w:ascii="Aptos" w:hAnsi="Aptos" w:cs="Times New Roman"/>
          <w:kern w:val="0"/>
        </w:rPr>
        <w:t xml:space="preserve">Orme, </w:t>
      </w:r>
      <w:r w:rsidRPr="00EB6AEB">
        <w:rPr>
          <w:rFonts w:ascii="Aptos" w:hAnsi="Aptos" w:cs="Times New Roman"/>
          <w:i/>
          <w:iCs/>
          <w:kern w:val="0"/>
        </w:rPr>
        <w:t>The Saints of Cornwall</w:t>
      </w:r>
      <w:r w:rsidRPr="00EB6AEB">
        <w:rPr>
          <w:rFonts w:ascii="Aptos" w:hAnsi="Aptos" w:cs="Times New Roman"/>
          <w:kern w:val="0"/>
        </w:rPr>
        <w:t>, p. 221.</w:t>
      </w:r>
      <w:r>
        <w:fldChar w:fldCharType="end"/>
      </w:r>
    </w:p>
  </w:footnote>
  <w:footnote w:id="16">
    <w:p w14:paraId="13590618" w14:textId="033C8330" w:rsidR="00D315B5" w:rsidRDefault="00D315B5">
      <w:pPr>
        <w:pStyle w:val="FootnoteText"/>
      </w:pPr>
      <w:r w:rsidRPr="00767380">
        <w:rPr>
          <w:rStyle w:val="FootnoteReference"/>
        </w:rPr>
        <w:footnoteRef/>
      </w:r>
      <w:r>
        <w:t xml:space="preserve"> </w:t>
      </w:r>
      <w:r>
        <w:fldChar w:fldCharType="begin"/>
      </w:r>
      <w:r w:rsidR="0030504F">
        <w:instrText xml:space="preserve"> ADDIN ZOTERO_ITEM CSL_CITATION {"citationID":"DrYEaQrE","properties":{"formattedCitation":"Stephen (edit. ). Wilson, {\\i{}Saints and Their Cults} (Cambridge University Press, 1983), p. 16.","plainCitation":"Stephen (edit. ). Wilson, Saints and Their Cults (Cambridge University Press, 1983), p. 16.","noteIndex":14},"citationItems":[{"id":369,"uris":["http://zotero.org/users/local/l3RS6WXl/items/YBLIA2SI"],"itemData":{"id":369,"type":"book","ISBN":"978-0-521-31181-6","publisher":"Cambridge University Press","publisher-place":"Cambridge","title":"Saints and their Cults","author":[{"family":"Wilson","given":"Stephen (edit.)"}],"issued":{"date-parts":[["1983"]]}},"locator":"16","label":"page"}],"schema":"https://github.com/citation-style-language/schema/raw/master/csl-citation.json"} </w:instrText>
      </w:r>
      <w:r>
        <w:fldChar w:fldCharType="separate"/>
      </w:r>
      <w:r w:rsidR="002D0B8B" w:rsidRPr="002D0B8B">
        <w:rPr>
          <w:rFonts w:ascii="Aptos" w:hAnsi="Aptos" w:cs="Times New Roman"/>
          <w:kern w:val="0"/>
        </w:rPr>
        <w:t xml:space="preserve">Stephen (edit. ). Wilson, </w:t>
      </w:r>
      <w:r w:rsidR="002D0B8B" w:rsidRPr="002D0B8B">
        <w:rPr>
          <w:rFonts w:ascii="Aptos" w:hAnsi="Aptos" w:cs="Times New Roman"/>
          <w:i/>
          <w:iCs/>
          <w:kern w:val="0"/>
        </w:rPr>
        <w:t>Saints and Their Cults</w:t>
      </w:r>
      <w:r w:rsidR="002D0B8B" w:rsidRPr="002D0B8B">
        <w:rPr>
          <w:rFonts w:ascii="Aptos" w:hAnsi="Aptos" w:cs="Times New Roman"/>
          <w:kern w:val="0"/>
        </w:rPr>
        <w:t xml:space="preserve"> (Cambridge University Press, 1983), p. 16.</w:t>
      </w:r>
      <w:r>
        <w:fldChar w:fldCharType="end"/>
      </w:r>
    </w:p>
  </w:footnote>
  <w:footnote w:id="17">
    <w:p w14:paraId="5FBBBBDD" w14:textId="3914E440" w:rsidR="003A5A7F" w:rsidRDefault="003A5A7F">
      <w:pPr>
        <w:pStyle w:val="FootnoteText"/>
      </w:pPr>
      <w:r w:rsidRPr="00767380">
        <w:rPr>
          <w:rStyle w:val="FootnoteReference"/>
        </w:rPr>
        <w:footnoteRef/>
      </w:r>
      <w:r>
        <w:t xml:space="preserve"> </w:t>
      </w:r>
      <w:r>
        <w:fldChar w:fldCharType="begin"/>
      </w:r>
      <w:r>
        <w:instrText xml:space="preserve"> ADDIN ZOTERO_ITEM CSL_CITATION {"citationID":"xTor8f2t","properties":{"formattedCitation":"David Nash Ford, \\uc0\\u8216{}St.Piran, Abbot of Lanpiran\\uc0\\u8217{}, Early British Kingdoms, Nash Ford Publishing, 2001 &lt;https://www.earlybritishkingdoms.com/bios/pirandm.html&gt; [accessed 17 March 2026].","plainCitation":"David Nash Ford, ‘St.Piran, Abbot of Lanpiran’, Early British Kingdoms, Nash Ford Publishing, 2001 &lt;https://www.earlybritishkingdoms.com/bios/pirandm.html&gt; [accessed 17 March 2026].","noteIndex":17},"citationItems":[{"id":376,"uris":["http://zotero.org/users/local/l3RS6WXl/items/FXXRA34Q"],"itemData":{"id":376,"type":"webpage","container-title":"Early British Kingdoms","publisher":"Nash Ford Publishing","title":"St.Piran, Abbot of Lanpiran","URL":"https://www.earlybritishkingdoms.com/bios/pirandm.html","author":[{"family":"Nash Ford","given":"David"}],"accessed":{"date-parts":[["2026",3,17]]},"issued":{"date-parts":[["2001"]]}}}],"schema":"https://github.com/citation-style-language/schema/raw/master/csl-citation.json"} </w:instrText>
      </w:r>
      <w:r>
        <w:fldChar w:fldCharType="separate"/>
      </w:r>
      <w:r w:rsidRPr="003A5A7F">
        <w:rPr>
          <w:rFonts w:ascii="Aptos" w:hAnsi="Aptos" w:cs="Times New Roman"/>
          <w:kern w:val="0"/>
        </w:rPr>
        <w:t>David Nash Ford, ‘St.Piran, Abbot of Lanpiran’, Early British Kingdoms, Nash Ford Publishing, 2001 &lt;https://www.earlybritishkingdoms.com/bios/pirandm.html&gt; [accessed 17 March 2026].</w:t>
      </w:r>
      <w:r>
        <w:fldChar w:fldCharType="end"/>
      </w:r>
    </w:p>
  </w:footnote>
  <w:footnote w:id="18">
    <w:p w14:paraId="1FF19875" w14:textId="206194BF" w:rsidR="00E65D28" w:rsidRDefault="00E65D28">
      <w:pPr>
        <w:pStyle w:val="FootnoteText"/>
      </w:pPr>
      <w:r w:rsidRPr="00767380">
        <w:rPr>
          <w:rStyle w:val="FootnoteReference"/>
        </w:rPr>
        <w:footnoteRef/>
      </w:r>
      <w:r>
        <w:t xml:space="preserve"> </w:t>
      </w:r>
      <w:r>
        <w:fldChar w:fldCharType="begin"/>
      </w:r>
      <w:r w:rsidR="0030504F">
        <w:instrText xml:space="preserve"> ADDIN ZOTERO_ITEM CSL_CITATION {"citationID":"eznQw3zQ","properties":{"formattedCitation":"Teresa C. Carp, \\uc0\\u8216{}\\uc0\\u8220{}Puer Senex\\uc0\\u8221{} in Roman and Medieval Thought\\uc0\\u8217{}, {\\i{}Latomus}, 39.3 (1980), pp. 736\\uc0\\u8211{}39.","plainCitation":"Teresa C. Carp, ‘“Puer Senex” in Roman and Medieval Thought’, Latomus, 39.3 (1980), pp. 736–39.","noteIndex":15},"citationItems":[{"id":372,"uris":["http://zotero.org/users/local/l3RS6WXl/items/73F9EUGD"],"itemData":{"id":372,"type":"article-journal","container-title":"Latomus","ISSN":"0023-8856","issue":"3","page":"736-739","publisher":"Societe d’Etudes Latines de Bruxelles","source":"JSTOR","title":"\"Puer senex\" in Roman and Medieval Thought","volume":"39","author":[{"family":"Carp","given":"Teresa C."}],"issued":{"date-parts":[["1980"]]}}}],"schema":"https://github.com/citation-style-language/schema/raw/master/csl-citation.json"} </w:instrText>
      </w:r>
      <w:r>
        <w:fldChar w:fldCharType="separate"/>
      </w:r>
      <w:r w:rsidRPr="00E65D28">
        <w:rPr>
          <w:rFonts w:ascii="Aptos" w:hAnsi="Aptos" w:cs="Times New Roman"/>
          <w:kern w:val="0"/>
        </w:rPr>
        <w:t xml:space="preserve">Teresa C. Carp, ‘“Puer Senex” in Roman and Medieval Thought’, </w:t>
      </w:r>
      <w:r w:rsidRPr="00E65D28">
        <w:rPr>
          <w:rFonts w:ascii="Aptos" w:hAnsi="Aptos" w:cs="Times New Roman"/>
          <w:i/>
          <w:iCs/>
          <w:kern w:val="0"/>
        </w:rPr>
        <w:t>Latomus</w:t>
      </w:r>
      <w:r w:rsidRPr="00E65D28">
        <w:rPr>
          <w:rFonts w:ascii="Aptos" w:hAnsi="Aptos" w:cs="Times New Roman"/>
          <w:kern w:val="0"/>
        </w:rPr>
        <w:t>, 39.3 (1980), pp. 736–39.</w:t>
      </w:r>
      <w:r>
        <w:fldChar w:fldCharType="end"/>
      </w:r>
    </w:p>
  </w:footnote>
  <w:footnote w:id="19">
    <w:p w14:paraId="1F2EC1F8" w14:textId="74CA091F" w:rsidR="00237220" w:rsidRDefault="00237220" w:rsidP="00237220">
      <w:pPr>
        <w:pStyle w:val="FootnoteText"/>
      </w:pPr>
      <w:r w:rsidRPr="00767380">
        <w:rPr>
          <w:rStyle w:val="FootnoteReference"/>
        </w:rPr>
        <w:footnoteRef/>
      </w:r>
      <w:r>
        <w:t xml:space="preserve"> </w:t>
      </w:r>
      <w:r>
        <w:fldChar w:fldCharType="begin"/>
      </w:r>
      <w:r w:rsidR="0030504F">
        <w:instrText xml:space="preserve"> ADDIN ZOTERO_ITEM CSL_CITATION {"citationID":"hHpgPqtb","properties":{"formattedCitation":"Nick Mayhew-Smith, {\\i{}The Naked Hermit: A Journey to the Heart of Celtic Britain} (SPCK, 2019).","plainCitation":"Nick Mayhew-Smith, The Naked Hermit: A Journey to the Heart of Celtic Britain (SPCK, 2019).","noteIndex":16},"citationItems":[{"id":374,"uris":["http://zotero.org/users/local/l3RS6WXl/items/W8L6T7PF"],"itemData":{"id":374,"type":"book","abstract":"Intro -- Acknowledgements -- Timeline -- Map -- Introduction -- 1 Sacred trees -- 2 Celtic nature theology -- 3 The naked hermit of Mount Sinai -- 4 A company of birds -- 5 A desert in the sea: hermit islands -- 6 In for the chill: sacred bathing -- 7 The serpent's lair: harrowing caves -- 8 Misty peaks -- 9 Lessons from the Celtic shore -- Doxology: Creator -- Notes -- Bibliography -- Copyright acknowledgements -- Index","ISBN":"978-0-281-08154-7","language":"eng","number-of-pages":"1","publisher":"SPCK","publisher-place":"La Vergne","source":"K10plus ISBN","title":"The Naked Hermit: A Journey to the Heart of Celtic Britain","title-short":"The Naked Hermit","author":[{"family":"Mayhew-Smith","given":"Nick"}],"issued":{"date-parts":[["2019"]]}}}],"schema":"https://github.com/citation-style-language/schema/raw/master/csl-citation.json"} </w:instrText>
      </w:r>
      <w:r>
        <w:fldChar w:fldCharType="separate"/>
      </w:r>
      <w:r w:rsidRPr="000C4ED6">
        <w:rPr>
          <w:rFonts w:ascii="Aptos" w:hAnsi="Aptos" w:cs="Times New Roman"/>
          <w:kern w:val="0"/>
        </w:rPr>
        <w:t xml:space="preserve">Nick Mayhew-Smith, </w:t>
      </w:r>
      <w:r w:rsidRPr="000C4ED6">
        <w:rPr>
          <w:rFonts w:ascii="Aptos" w:hAnsi="Aptos" w:cs="Times New Roman"/>
          <w:i/>
          <w:iCs/>
          <w:kern w:val="0"/>
        </w:rPr>
        <w:t>The Naked Hermit: A Journey to the Heart of Celtic Britain</w:t>
      </w:r>
      <w:r w:rsidRPr="000C4ED6">
        <w:rPr>
          <w:rFonts w:ascii="Aptos" w:hAnsi="Aptos" w:cs="Times New Roman"/>
          <w:kern w:val="0"/>
        </w:rPr>
        <w:t xml:space="preserve"> (SPCK, 2019).</w:t>
      </w:r>
      <w:r>
        <w:fldChar w:fldCharType="end"/>
      </w:r>
    </w:p>
  </w:footnote>
  <w:footnote w:id="20">
    <w:p w14:paraId="7EFA6F2B" w14:textId="208BDEDE" w:rsidR="004C48D5" w:rsidRDefault="004C48D5">
      <w:pPr>
        <w:pStyle w:val="FootnoteText"/>
      </w:pPr>
      <w:r w:rsidRPr="00767380">
        <w:rPr>
          <w:rStyle w:val="FootnoteReference"/>
        </w:rPr>
        <w:footnoteRef/>
      </w:r>
      <w:r>
        <w:t xml:space="preserve"> </w:t>
      </w:r>
      <w:r>
        <w:fldChar w:fldCharType="begin"/>
      </w:r>
      <w:r w:rsidR="0030504F">
        <w:instrText xml:space="preserve"> ADDIN ZOTERO_ITEM CSL_CITATION {"citationID":"sYrdFMov","properties":{"formattedCitation":"Dorothy Ann Bray, \\uc0\\u8216{}Miracles and Wonders in the Composition of the Lives of the Early Irish Saints\\uc0\\u8217{}, in {\\i{}Celtic Hagiography and Saints\\uc0\\u8217{} Cults}, ed. by Jane Cartwright, 1st edn (University of Wales Press, 2003), pp. 136\\uc0\\u8211{}47, doi:10.2307/jj.14491652.15.","plainCitation":"Dorothy Ann Bray, ‘Miracles and Wonders in the Composition of the Lives of the Early Irish Saints’, in Celtic Hagiography and Saints’ Cults, ed. by Jane Cartwright, 1st edn (University of Wales Press, 2003), pp. 136–47, doi:10.2307/jj.14491652.15.","noteIndex":17},"citationItems":[{"id":348,"uris":["http://zotero.org/users/local/l3RS6WXl/items/I5FWFRF3"],"itemData":{"id":348,"type":"chapter","abstract":"Perhaps the most striking element of Irish hagiography, or one of its more prominent peculiarities, is the quantity of miracles and marvels attributed to the early Irish saints. The earliest  &lt;i&gt;vitae&lt;/i&gt; , the seventh-century Lives of Sts Brigit, Patrick and Columba, all portray their subjects as workers of miracles, as well as ecclesiastical founders, agents of God and pillars of moral virtue. But their acts of miracle-working stand out, warranting their appellation as the ‘three thaumaturges’ by Colgan.¹ Studies by Bieler, Heist, Stancliffe, McCone, Nagy and Picard, among others, have made scholars aware of the debt which the early Irish hagiographers","container-title":"Celtic Hagiography and Saints' Cults","DOI":"10.2307/jj.14491652.15","edition":"1","page":"136-147","publisher":"University of Wales Press","source":"JSTOR","title":"Miracles and wonders in the composition of the Lives of the early Irish saints","URL":"https://www.jstor.org/stable/jj.14491652.15","author":[{"family":"Bray","given":"Dorothy Ann"}],"editor":[{"family":"Cartwright","given":"Jane"}],"accessed":{"date-parts":[["2026",3,12]]},"issued":{"date-parts":[["2003"]]}}}],"schema":"https://github.com/citation-style-language/schema/raw/master/csl-citation.json"} </w:instrText>
      </w:r>
      <w:r>
        <w:fldChar w:fldCharType="separate"/>
      </w:r>
      <w:r w:rsidRPr="004C48D5">
        <w:rPr>
          <w:rFonts w:ascii="Aptos" w:hAnsi="Aptos" w:cs="Times New Roman"/>
          <w:kern w:val="0"/>
        </w:rPr>
        <w:t xml:space="preserve">Dorothy Ann Bray, ‘Miracles and Wonders in the Composition of the Lives of the Early Irish Saints’, in </w:t>
      </w:r>
      <w:r w:rsidRPr="004C48D5">
        <w:rPr>
          <w:rFonts w:ascii="Aptos" w:hAnsi="Aptos" w:cs="Times New Roman"/>
          <w:i/>
          <w:iCs/>
          <w:kern w:val="0"/>
        </w:rPr>
        <w:t>Celtic Hagiography and Saints’ Cults</w:t>
      </w:r>
      <w:r w:rsidRPr="004C48D5">
        <w:rPr>
          <w:rFonts w:ascii="Aptos" w:hAnsi="Aptos" w:cs="Times New Roman"/>
          <w:kern w:val="0"/>
        </w:rPr>
        <w:t>, ed. by Jane Cartwright, 1st edn (University of Wales Press, 2003), pp. 136–47, doi:10.2307/jj.14491652.15.</w:t>
      </w:r>
      <w:r>
        <w:fldChar w:fldCharType="end"/>
      </w:r>
    </w:p>
  </w:footnote>
  <w:footnote w:id="21">
    <w:p w14:paraId="7B9DA00B" w14:textId="4638896E" w:rsidR="00C87A3C" w:rsidRDefault="00C87A3C">
      <w:pPr>
        <w:pStyle w:val="FootnoteText"/>
      </w:pPr>
      <w:r w:rsidRPr="00767380">
        <w:rPr>
          <w:rStyle w:val="FootnoteReference"/>
        </w:rPr>
        <w:footnoteRef/>
      </w:r>
      <w:r>
        <w:t xml:space="preserve"> </w:t>
      </w:r>
      <w:r>
        <w:fldChar w:fldCharType="begin"/>
      </w:r>
      <w:r w:rsidR="0030504F">
        <w:instrText xml:space="preserve"> ADDIN ZOTERO_ITEM CSL_CITATION {"citationID":"FGvb0r85","properties":{"formattedCitation":"{\\i{}Reynard Cycle}, (1301; Library of Congress, n.d.) &lt;https://www.loc.gov/resource/gdcwdl.wdl_00594/&gt; [accessed 10 March 2026].","plainCitation":"Reynard Cycle, (1301; Library of Congress, n.d.) &lt;https://www.loc.gov/resource/gdcwdl.wdl_00594/&gt; [accessed 10 March 2026].","noteIndex":18},"citationItems":[{"id":332,"uris":["http://zotero.org/users/local/l3RS6WXl/items/ESYU2M26"],"itemData":{"id":332,"type":"book","abstract":"Roman de Renart (Reynard cycle) is the most famous set of animal stories produced in the Middle Ages. It is not one story but a collection of 26 chapters composed by several clerks and minstrels around the end of the 12th century and the beginning of the 13th. It was inspired by the Fables of the ancient Greek writer, Aesop, and by a mock epic poem in Latin by Nivardus, written in Ghent in around 1150, called Ysengrimus. Under the guise of the endless war between Reynard the Fox and Ysengrimus the Wolf, the work illustrates the animal nature of man and offers a critique of the errant ways of the feudal world. This highly illustrated manuscript, created in the first half of the 14th century, is a rare manuscript copy of the cycle. Naive-style miniatures celebrate the exploits of the fox, most cunning of animals. They also illustrate such stories as the funeral of Lady Coppée, the chicken (f. 4r); Reynard's departure for the Crusades (f. 12v); the attack on the castle of Maupertuis, the hero's lair, by Tibert the Cat, Noble the Lion, Tardif the Snail, and Ysengrimus the Wolf while Reynard and his children have a carefree dinner (f. 14v); and the rape of Hersent, the wife of Ysengrimus (f. 16r)","call-number":"2021667565","language":"french, old (842-ca.1400)","license":"The Library of Congress is unaware of any copyright or other restrictions in the World Digital Library Collection. Absent any such restrictions, these materials are free to use and reuse. Researchers are encouraged to review the source information attached to each item. For information on contacting WDL partner organizations, see this archived list of partners The Library asks that researchers approach the materials in this collection with respect for the culture and sensibilities of the people whose lives, ideas, and creativity are documented here. Credit Line: [Original Source citation], World Digital Library More about Copyright and other Restrictions For additional information and contact information for many of the partner organizations, see this archived capture of the World Digital Library site from 2021. For guidance about compiling full citations consult Citing Primary Sources.","publisher":"Library of Congress","publisher-place":"France","source":"Library of Congress Digital Collections","title":"Reynard Cycle","URL":"https://www.loc.gov/resource/gdcwdl.wdl_00594/","accessed":{"date-parts":[["2026",3,10]]},"original-date":{"date-parts":[["1301"]]}}}],"schema":"https://github.com/citation-style-language/schema/raw/master/csl-citation.json"} </w:instrText>
      </w:r>
      <w:r>
        <w:fldChar w:fldCharType="separate"/>
      </w:r>
      <w:r w:rsidR="00C45CE7" w:rsidRPr="00C45CE7">
        <w:rPr>
          <w:rFonts w:ascii="Aptos" w:hAnsi="Aptos" w:cs="Times New Roman"/>
          <w:i/>
          <w:iCs/>
          <w:kern w:val="0"/>
        </w:rPr>
        <w:t>Reynard Cycle</w:t>
      </w:r>
      <w:r w:rsidR="00C45CE7" w:rsidRPr="00C45CE7">
        <w:rPr>
          <w:rFonts w:ascii="Aptos" w:hAnsi="Aptos" w:cs="Times New Roman"/>
          <w:kern w:val="0"/>
        </w:rPr>
        <w:t>, (1301; Library of Congress, n.d.) &lt;https://www.loc.gov/resource/gdcwdl.wdl_00594/&gt; [accessed 10 March 2026].</w:t>
      </w:r>
      <w:r>
        <w:fldChar w:fldCharType="end"/>
      </w:r>
    </w:p>
  </w:footnote>
  <w:footnote w:id="22">
    <w:p w14:paraId="29576052" w14:textId="06E69FAE" w:rsidR="00FE259D" w:rsidRDefault="00FE259D">
      <w:pPr>
        <w:pStyle w:val="FootnoteText"/>
      </w:pPr>
      <w:r w:rsidRPr="00767380">
        <w:rPr>
          <w:rStyle w:val="FootnoteReference"/>
        </w:rPr>
        <w:footnoteRef/>
      </w:r>
      <w:r>
        <w:t xml:space="preserve"> </w:t>
      </w:r>
      <w:r>
        <w:fldChar w:fldCharType="begin"/>
      </w:r>
      <w:r w:rsidR="0030504F">
        <w:instrText xml:space="preserve"> ADDIN ZOTERO_ITEM CSL_CITATION {"citationID":"DQKW0Wme","properties":{"formattedCitation":"Hilary Powell, \\uc0\\u8216{}\\uc0\\u8220{}Once Upon a Time There Was a Saint...\\uc0\\u8221{}: Re-Evaluating Folklore in Anglo-Latin Hagiography\\uc0\\u8217{}, {\\i{}Folklore}, Vol.121.No.2 (2010), pp. 171-189 (19 pages).","plainCitation":"Hilary Powell, ‘“Once Upon a Time There Was a Saint...”: Re-Evaluating Folklore in Anglo-Latin Hagiography’, Folklore, Vol.121.No.2 (2010), pp. 171-189 (19 pages).","noteIndex":19},"citationItems":[{"id":300,"uris":["http://zotero.org/users/local/l3RS6WXl/items/9KPBDKX7"],"itemData":{"id":300,"type":"article-journal","container-title":"Folklore","issue":"No.2","page":"pp. 171-189 (19 pages)","title":"\"Once Upon a Time There Was a Saint...\": Re-evaluating Folklore in Anglo-Latin Hagiography","volume":"Vol.121","author":[{"family":"Powell","given":"Hilary"}],"issued":{"date-parts":[["2010",8]]}}}],"schema":"https://github.com/citation-style-language/schema/raw/master/csl-citation.json"} </w:instrText>
      </w:r>
      <w:r>
        <w:fldChar w:fldCharType="separate"/>
      </w:r>
      <w:r w:rsidRPr="00FE259D">
        <w:rPr>
          <w:rFonts w:ascii="Aptos" w:hAnsi="Aptos" w:cs="Times New Roman"/>
          <w:kern w:val="0"/>
        </w:rPr>
        <w:t xml:space="preserve">Hilary Powell, ‘“Once Upon a Time There Was a Saint...”: Re-Evaluating Folklore in Anglo-Latin Hagiography’, </w:t>
      </w:r>
      <w:r w:rsidRPr="00FE259D">
        <w:rPr>
          <w:rFonts w:ascii="Aptos" w:hAnsi="Aptos" w:cs="Times New Roman"/>
          <w:i/>
          <w:iCs/>
          <w:kern w:val="0"/>
        </w:rPr>
        <w:t>Folklore</w:t>
      </w:r>
      <w:r w:rsidRPr="00FE259D">
        <w:rPr>
          <w:rFonts w:ascii="Aptos" w:hAnsi="Aptos" w:cs="Times New Roman"/>
          <w:kern w:val="0"/>
        </w:rPr>
        <w:t>, Vol.121.No.2 (2010), pp. 171-189 (19 pages).</w:t>
      </w:r>
      <w:r>
        <w:fldChar w:fldCharType="end"/>
      </w:r>
    </w:p>
  </w:footnote>
  <w:footnote w:id="23">
    <w:p w14:paraId="14B59382" w14:textId="60C577C8" w:rsidR="00A22F59" w:rsidRDefault="00A22F59">
      <w:pPr>
        <w:pStyle w:val="FootnoteText"/>
      </w:pPr>
      <w:r w:rsidRPr="00767380">
        <w:rPr>
          <w:rStyle w:val="FootnoteReference"/>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07CF7"/>
    <w:multiLevelType w:val="multilevel"/>
    <w:tmpl w:val="04E8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665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59D"/>
    <w:rsid w:val="00010A23"/>
    <w:rsid w:val="00010E09"/>
    <w:rsid w:val="00014121"/>
    <w:rsid w:val="00015E4D"/>
    <w:rsid w:val="000237E7"/>
    <w:rsid w:val="00027475"/>
    <w:rsid w:val="000306CE"/>
    <w:rsid w:val="00032F2E"/>
    <w:rsid w:val="000435F4"/>
    <w:rsid w:val="00047D61"/>
    <w:rsid w:val="000519CB"/>
    <w:rsid w:val="00053314"/>
    <w:rsid w:val="00062C8D"/>
    <w:rsid w:val="00065E29"/>
    <w:rsid w:val="00067807"/>
    <w:rsid w:val="00067CE7"/>
    <w:rsid w:val="00071067"/>
    <w:rsid w:val="000729F8"/>
    <w:rsid w:val="000741BA"/>
    <w:rsid w:val="00074446"/>
    <w:rsid w:val="00076CA7"/>
    <w:rsid w:val="00081F6C"/>
    <w:rsid w:val="00085E38"/>
    <w:rsid w:val="000875A6"/>
    <w:rsid w:val="000923D8"/>
    <w:rsid w:val="000A4F36"/>
    <w:rsid w:val="000A6C8C"/>
    <w:rsid w:val="000A79D9"/>
    <w:rsid w:val="000B4800"/>
    <w:rsid w:val="000B624C"/>
    <w:rsid w:val="000C03FD"/>
    <w:rsid w:val="000C1B9D"/>
    <w:rsid w:val="000C4ED6"/>
    <w:rsid w:val="000D1086"/>
    <w:rsid w:val="000D5084"/>
    <w:rsid w:val="000D5E8F"/>
    <w:rsid w:val="000F0A6F"/>
    <w:rsid w:val="00100539"/>
    <w:rsid w:val="00100B8F"/>
    <w:rsid w:val="0011592C"/>
    <w:rsid w:val="001173BB"/>
    <w:rsid w:val="00123676"/>
    <w:rsid w:val="00125ED9"/>
    <w:rsid w:val="001348CD"/>
    <w:rsid w:val="00134FC8"/>
    <w:rsid w:val="001352DD"/>
    <w:rsid w:val="001402B6"/>
    <w:rsid w:val="0014460C"/>
    <w:rsid w:val="001534FD"/>
    <w:rsid w:val="00154CD1"/>
    <w:rsid w:val="0015658C"/>
    <w:rsid w:val="00156C3D"/>
    <w:rsid w:val="00161A6B"/>
    <w:rsid w:val="00165B16"/>
    <w:rsid w:val="0016629B"/>
    <w:rsid w:val="00166D91"/>
    <w:rsid w:val="001762BD"/>
    <w:rsid w:val="001772EA"/>
    <w:rsid w:val="00184A50"/>
    <w:rsid w:val="00193556"/>
    <w:rsid w:val="00193AF4"/>
    <w:rsid w:val="001A288A"/>
    <w:rsid w:val="001A4E19"/>
    <w:rsid w:val="001B4497"/>
    <w:rsid w:val="001B483E"/>
    <w:rsid w:val="001B5922"/>
    <w:rsid w:val="001C4B10"/>
    <w:rsid w:val="001C56EA"/>
    <w:rsid w:val="001D0750"/>
    <w:rsid w:val="001D0899"/>
    <w:rsid w:val="001D3898"/>
    <w:rsid w:val="001D3B24"/>
    <w:rsid w:val="001E0A46"/>
    <w:rsid w:val="001E27DA"/>
    <w:rsid w:val="001F0CFC"/>
    <w:rsid w:val="002042D6"/>
    <w:rsid w:val="00205D93"/>
    <w:rsid w:val="00210EB7"/>
    <w:rsid w:val="00211576"/>
    <w:rsid w:val="00213FAB"/>
    <w:rsid w:val="00216DC6"/>
    <w:rsid w:val="00235D78"/>
    <w:rsid w:val="00237220"/>
    <w:rsid w:val="002428E4"/>
    <w:rsid w:val="002442E9"/>
    <w:rsid w:val="00251419"/>
    <w:rsid w:val="00251B38"/>
    <w:rsid w:val="0025568E"/>
    <w:rsid w:val="00256C32"/>
    <w:rsid w:val="002614D0"/>
    <w:rsid w:val="002746B5"/>
    <w:rsid w:val="0027490F"/>
    <w:rsid w:val="00276B04"/>
    <w:rsid w:val="00277B18"/>
    <w:rsid w:val="002808DB"/>
    <w:rsid w:val="0028699C"/>
    <w:rsid w:val="00290344"/>
    <w:rsid w:val="0029228E"/>
    <w:rsid w:val="00294B79"/>
    <w:rsid w:val="002A0B85"/>
    <w:rsid w:val="002A15AE"/>
    <w:rsid w:val="002A56A8"/>
    <w:rsid w:val="002B1151"/>
    <w:rsid w:val="002B1203"/>
    <w:rsid w:val="002B7D10"/>
    <w:rsid w:val="002C1D6F"/>
    <w:rsid w:val="002C7DB0"/>
    <w:rsid w:val="002D0B8B"/>
    <w:rsid w:val="002D3EAC"/>
    <w:rsid w:val="002D4961"/>
    <w:rsid w:val="002F1251"/>
    <w:rsid w:val="002F375B"/>
    <w:rsid w:val="003009C2"/>
    <w:rsid w:val="003018CF"/>
    <w:rsid w:val="00302394"/>
    <w:rsid w:val="003032AA"/>
    <w:rsid w:val="0030504F"/>
    <w:rsid w:val="003057C6"/>
    <w:rsid w:val="003060DD"/>
    <w:rsid w:val="0032298A"/>
    <w:rsid w:val="00327098"/>
    <w:rsid w:val="003278D9"/>
    <w:rsid w:val="003358E0"/>
    <w:rsid w:val="00340A8C"/>
    <w:rsid w:val="00341EA8"/>
    <w:rsid w:val="00342FB9"/>
    <w:rsid w:val="00344527"/>
    <w:rsid w:val="0034538C"/>
    <w:rsid w:val="00350A82"/>
    <w:rsid w:val="00356C9D"/>
    <w:rsid w:val="0036534A"/>
    <w:rsid w:val="0037641F"/>
    <w:rsid w:val="00383BEF"/>
    <w:rsid w:val="003845A4"/>
    <w:rsid w:val="003847D2"/>
    <w:rsid w:val="003873A5"/>
    <w:rsid w:val="00387BAF"/>
    <w:rsid w:val="003929CB"/>
    <w:rsid w:val="00393645"/>
    <w:rsid w:val="003A26DA"/>
    <w:rsid w:val="003A5A7F"/>
    <w:rsid w:val="003D055B"/>
    <w:rsid w:val="003D1644"/>
    <w:rsid w:val="003D16BF"/>
    <w:rsid w:val="003D2236"/>
    <w:rsid w:val="003D2444"/>
    <w:rsid w:val="003D2A71"/>
    <w:rsid w:val="003D3417"/>
    <w:rsid w:val="003D6209"/>
    <w:rsid w:val="003E05E6"/>
    <w:rsid w:val="003E12DE"/>
    <w:rsid w:val="003E3101"/>
    <w:rsid w:val="003E4CEE"/>
    <w:rsid w:val="003E5471"/>
    <w:rsid w:val="003E5983"/>
    <w:rsid w:val="003E635D"/>
    <w:rsid w:val="003E7521"/>
    <w:rsid w:val="003F182B"/>
    <w:rsid w:val="003F65BA"/>
    <w:rsid w:val="0040163E"/>
    <w:rsid w:val="004016F2"/>
    <w:rsid w:val="00406BCF"/>
    <w:rsid w:val="00407689"/>
    <w:rsid w:val="00410CC6"/>
    <w:rsid w:val="00420341"/>
    <w:rsid w:val="00421CF6"/>
    <w:rsid w:val="00424877"/>
    <w:rsid w:val="004248D9"/>
    <w:rsid w:val="00431E3B"/>
    <w:rsid w:val="004409E3"/>
    <w:rsid w:val="00441A00"/>
    <w:rsid w:val="00441BA2"/>
    <w:rsid w:val="00450B78"/>
    <w:rsid w:val="00453F78"/>
    <w:rsid w:val="00454102"/>
    <w:rsid w:val="00454261"/>
    <w:rsid w:val="0045504A"/>
    <w:rsid w:val="004616BF"/>
    <w:rsid w:val="00463C50"/>
    <w:rsid w:val="00474B05"/>
    <w:rsid w:val="004764EB"/>
    <w:rsid w:val="004775A4"/>
    <w:rsid w:val="00482022"/>
    <w:rsid w:val="004878D3"/>
    <w:rsid w:val="004879AB"/>
    <w:rsid w:val="004907DD"/>
    <w:rsid w:val="00492415"/>
    <w:rsid w:val="004929A7"/>
    <w:rsid w:val="0049375A"/>
    <w:rsid w:val="00494CFE"/>
    <w:rsid w:val="004956A3"/>
    <w:rsid w:val="004A2B4B"/>
    <w:rsid w:val="004A4CBC"/>
    <w:rsid w:val="004A5804"/>
    <w:rsid w:val="004A6423"/>
    <w:rsid w:val="004A7C6D"/>
    <w:rsid w:val="004B0A9C"/>
    <w:rsid w:val="004B22C2"/>
    <w:rsid w:val="004B4683"/>
    <w:rsid w:val="004C1551"/>
    <w:rsid w:val="004C2F71"/>
    <w:rsid w:val="004C48D5"/>
    <w:rsid w:val="004D112A"/>
    <w:rsid w:val="004D220A"/>
    <w:rsid w:val="004E0880"/>
    <w:rsid w:val="004E66CF"/>
    <w:rsid w:val="005008CA"/>
    <w:rsid w:val="0050156C"/>
    <w:rsid w:val="00503D62"/>
    <w:rsid w:val="005044B7"/>
    <w:rsid w:val="0050664B"/>
    <w:rsid w:val="00506652"/>
    <w:rsid w:val="00506C5E"/>
    <w:rsid w:val="00513F98"/>
    <w:rsid w:val="00516F2A"/>
    <w:rsid w:val="005200CA"/>
    <w:rsid w:val="00523C80"/>
    <w:rsid w:val="005309E5"/>
    <w:rsid w:val="00531DA5"/>
    <w:rsid w:val="00531E62"/>
    <w:rsid w:val="00533B48"/>
    <w:rsid w:val="0053552B"/>
    <w:rsid w:val="00550D68"/>
    <w:rsid w:val="00553490"/>
    <w:rsid w:val="00560E2F"/>
    <w:rsid w:val="00560F2E"/>
    <w:rsid w:val="00565BE7"/>
    <w:rsid w:val="00571C0D"/>
    <w:rsid w:val="00571FC7"/>
    <w:rsid w:val="005773C4"/>
    <w:rsid w:val="005808C0"/>
    <w:rsid w:val="00594D0B"/>
    <w:rsid w:val="005954EB"/>
    <w:rsid w:val="00595938"/>
    <w:rsid w:val="005A0B5D"/>
    <w:rsid w:val="005A558B"/>
    <w:rsid w:val="005A7BAB"/>
    <w:rsid w:val="005B0452"/>
    <w:rsid w:val="005B2093"/>
    <w:rsid w:val="005B20C3"/>
    <w:rsid w:val="005B28DB"/>
    <w:rsid w:val="005C028C"/>
    <w:rsid w:val="005D6919"/>
    <w:rsid w:val="005D6CFF"/>
    <w:rsid w:val="005E1242"/>
    <w:rsid w:val="005E56A1"/>
    <w:rsid w:val="005E6A51"/>
    <w:rsid w:val="005F6B64"/>
    <w:rsid w:val="006021C4"/>
    <w:rsid w:val="006037C0"/>
    <w:rsid w:val="00604299"/>
    <w:rsid w:val="00606905"/>
    <w:rsid w:val="006173B5"/>
    <w:rsid w:val="00620DBC"/>
    <w:rsid w:val="0062357D"/>
    <w:rsid w:val="00623957"/>
    <w:rsid w:val="006413B0"/>
    <w:rsid w:val="00641A48"/>
    <w:rsid w:val="00652FFA"/>
    <w:rsid w:val="00653036"/>
    <w:rsid w:val="0065404F"/>
    <w:rsid w:val="00654139"/>
    <w:rsid w:val="00663474"/>
    <w:rsid w:val="006641AA"/>
    <w:rsid w:val="00664D6B"/>
    <w:rsid w:val="006731D9"/>
    <w:rsid w:val="00674631"/>
    <w:rsid w:val="00685CC4"/>
    <w:rsid w:val="0069303F"/>
    <w:rsid w:val="006A448F"/>
    <w:rsid w:val="006A6246"/>
    <w:rsid w:val="006A7352"/>
    <w:rsid w:val="006B0E39"/>
    <w:rsid w:val="006B19C6"/>
    <w:rsid w:val="006B2490"/>
    <w:rsid w:val="006B2990"/>
    <w:rsid w:val="006D386F"/>
    <w:rsid w:val="006D5736"/>
    <w:rsid w:val="006D6BBB"/>
    <w:rsid w:val="006E01F1"/>
    <w:rsid w:val="006E31D5"/>
    <w:rsid w:val="006E3E6C"/>
    <w:rsid w:val="006E4D76"/>
    <w:rsid w:val="006F0EF9"/>
    <w:rsid w:val="00701484"/>
    <w:rsid w:val="00701A3F"/>
    <w:rsid w:val="00701CDB"/>
    <w:rsid w:val="00706E9A"/>
    <w:rsid w:val="00710BF1"/>
    <w:rsid w:val="00726E36"/>
    <w:rsid w:val="00727F8A"/>
    <w:rsid w:val="00733A18"/>
    <w:rsid w:val="00736615"/>
    <w:rsid w:val="00736A1A"/>
    <w:rsid w:val="00743A24"/>
    <w:rsid w:val="007453CB"/>
    <w:rsid w:val="00747CD4"/>
    <w:rsid w:val="00753256"/>
    <w:rsid w:val="00756D1B"/>
    <w:rsid w:val="00760D67"/>
    <w:rsid w:val="00762355"/>
    <w:rsid w:val="00762AF2"/>
    <w:rsid w:val="00767380"/>
    <w:rsid w:val="00773D14"/>
    <w:rsid w:val="007768C1"/>
    <w:rsid w:val="00784195"/>
    <w:rsid w:val="007871E2"/>
    <w:rsid w:val="00790C95"/>
    <w:rsid w:val="00791A9F"/>
    <w:rsid w:val="00796062"/>
    <w:rsid w:val="00797555"/>
    <w:rsid w:val="007B65FE"/>
    <w:rsid w:val="007C065D"/>
    <w:rsid w:val="007C18F0"/>
    <w:rsid w:val="007C2662"/>
    <w:rsid w:val="007C2953"/>
    <w:rsid w:val="007C56AC"/>
    <w:rsid w:val="007D3598"/>
    <w:rsid w:val="007D4863"/>
    <w:rsid w:val="007D6C1F"/>
    <w:rsid w:val="007E77B9"/>
    <w:rsid w:val="007F30D1"/>
    <w:rsid w:val="007F40E4"/>
    <w:rsid w:val="0080168D"/>
    <w:rsid w:val="00807E8E"/>
    <w:rsid w:val="00810FE0"/>
    <w:rsid w:val="0081350E"/>
    <w:rsid w:val="00813CC3"/>
    <w:rsid w:val="00817F48"/>
    <w:rsid w:val="008224EC"/>
    <w:rsid w:val="00825080"/>
    <w:rsid w:val="00825593"/>
    <w:rsid w:val="00827F4E"/>
    <w:rsid w:val="008302C0"/>
    <w:rsid w:val="00832191"/>
    <w:rsid w:val="008334A4"/>
    <w:rsid w:val="00834520"/>
    <w:rsid w:val="00836C94"/>
    <w:rsid w:val="00840169"/>
    <w:rsid w:val="00844872"/>
    <w:rsid w:val="0084594A"/>
    <w:rsid w:val="00846C13"/>
    <w:rsid w:val="008505F1"/>
    <w:rsid w:val="008605C8"/>
    <w:rsid w:val="00861986"/>
    <w:rsid w:val="00880A8A"/>
    <w:rsid w:val="00880E82"/>
    <w:rsid w:val="0088498E"/>
    <w:rsid w:val="008849C1"/>
    <w:rsid w:val="008A7942"/>
    <w:rsid w:val="008B2DDE"/>
    <w:rsid w:val="008B3B9A"/>
    <w:rsid w:val="008B518A"/>
    <w:rsid w:val="008B5D0E"/>
    <w:rsid w:val="008B62E6"/>
    <w:rsid w:val="008C1DE7"/>
    <w:rsid w:val="008C24DB"/>
    <w:rsid w:val="008C3A48"/>
    <w:rsid w:val="008C58C3"/>
    <w:rsid w:val="008C7918"/>
    <w:rsid w:val="008D137F"/>
    <w:rsid w:val="008D1AE1"/>
    <w:rsid w:val="008D397D"/>
    <w:rsid w:val="008E1513"/>
    <w:rsid w:val="008E309C"/>
    <w:rsid w:val="008E30C0"/>
    <w:rsid w:val="008F0BD8"/>
    <w:rsid w:val="008F39F7"/>
    <w:rsid w:val="008F698D"/>
    <w:rsid w:val="008F7035"/>
    <w:rsid w:val="008F7503"/>
    <w:rsid w:val="00900250"/>
    <w:rsid w:val="00904BC6"/>
    <w:rsid w:val="0090510A"/>
    <w:rsid w:val="00907A65"/>
    <w:rsid w:val="00911779"/>
    <w:rsid w:val="00913EF5"/>
    <w:rsid w:val="00914449"/>
    <w:rsid w:val="00914C80"/>
    <w:rsid w:val="00915E9B"/>
    <w:rsid w:val="00917DAB"/>
    <w:rsid w:val="009216A1"/>
    <w:rsid w:val="00927DC2"/>
    <w:rsid w:val="0093198B"/>
    <w:rsid w:val="00934E70"/>
    <w:rsid w:val="0093538A"/>
    <w:rsid w:val="0094059D"/>
    <w:rsid w:val="0094182D"/>
    <w:rsid w:val="00951EC7"/>
    <w:rsid w:val="00955280"/>
    <w:rsid w:val="009561C1"/>
    <w:rsid w:val="0095763F"/>
    <w:rsid w:val="00960F44"/>
    <w:rsid w:val="009643DD"/>
    <w:rsid w:val="0096493F"/>
    <w:rsid w:val="0097335C"/>
    <w:rsid w:val="009756FF"/>
    <w:rsid w:val="0097663F"/>
    <w:rsid w:val="00980BD1"/>
    <w:rsid w:val="00982517"/>
    <w:rsid w:val="00985866"/>
    <w:rsid w:val="009926AD"/>
    <w:rsid w:val="009927FF"/>
    <w:rsid w:val="00995C46"/>
    <w:rsid w:val="009A53F9"/>
    <w:rsid w:val="009B59D3"/>
    <w:rsid w:val="009B5F8A"/>
    <w:rsid w:val="009B74E3"/>
    <w:rsid w:val="009B79A9"/>
    <w:rsid w:val="009C4572"/>
    <w:rsid w:val="009D0FDB"/>
    <w:rsid w:val="009D1469"/>
    <w:rsid w:val="009D1977"/>
    <w:rsid w:val="009D749B"/>
    <w:rsid w:val="009D75A8"/>
    <w:rsid w:val="009F2FD9"/>
    <w:rsid w:val="00A01728"/>
    <w:rsid w:val="00A04B69"/>
    <w:rsid w:val="00A14482"/>
    <w:rsid w:val="00A20E4E"/>
    <w:rsid w:val="00A22F59"/>
    <w:rsid w:val="00A23E66"/>
    <w:rsid w:val="00A2748D"/>
    <w:rsid w:val="00A31D4D"/>
    <w:rsid w:val="00A36485"/>
    <w:rsid w:val="00A451EB"/>
    <w:rsid w:val="00A4635C"/>
    <w:rsid w:val="00A53DB0"/>
    <w:rsid w:val="00A54A32"/>
    <w:rsid w:val="00A54CA4"/>
    <w:rsid w:val="00A54E0A"/>
    <w:rsid w:val="00A62576"/>
    <w:rsid w:val="00A657D7"/>
    <w:rsid w:val="00A6669B"/>
    <w:rsid w:val="00A7010D"/>
    <w:rsid w:val="00A7194E"/>
    <w:rsid w:val="00A748A1"/>
    <w:rsid w:val="00A76326"/>
    <w:rsid w:val="00A814AA"/>
    <w:rsid w:val="00A87FC5"/>
    <w:rsid w:val="00AB3609"/>
    <w:rsid w:val="00AC3979"/>
    <w:rsid w:val="00AC5F11"/>
    <w:rsid w:val="00AD0CC1"/>
    <w:rsid w:val="00AD0E55"/>
    <w:rsid w:val="00AD7822"/>
    <w:rsid w:val="00AE4671"/>
    <w:rsid w:val="00AE78AA"/>
    <w:rsid w:val="00AF04E4"/>
    <w:rsid w:val="00AF49BA"/>
    <w:rsid w:val="00AF6D65"/>
    <w:rsid w:val="00B13849"/>
    <w:rsid w:val="00B215B9"/>
    <w:rsid w:val="00B23E72"/>
    <w:rsid w:val="00B27FBD"/>
    <w:rsid w:val="00B30376"/>
    <w:rsid w:val="00B3079A"/>
    <w:rsid w:val="00B331CE"/>
    <w:rsid w:val="00B371D3"/>
    <w:rsid w:val="00B4494F"/>
    <w:rsid w:val="00B46329"/>
    <w:rsid w:val="00B474C1"/>
    <w:rsid w:val="00B47BCC"/>
    <w:rsid w:val="00B53BE2"/>
    <w:rsid w:val="00B618FC"/>
    <w:rsid w:val="00B707A9"/>
    <w:rsid w:val="00B71062"/>
    <w:rsid w:val="00B75A11"/>
    <w:rsid w:val="00B77ECD"/>
    <w:rsid w:val="00B80701"/>
    <w:rsid w:val="00B83ED2"/>
    <w:rsid w:val="00B85193"/>
    <w:rsid w:val="00B90577"/>
    <w:rsid w:val="00B94C5E"/>
    <w:rsid w:val="00B97460"/>
    <w:rsid w:val="00BA0C21"/>
    <w:rsid w:val="00BA7B75"/>
    <w:rsid w:val="00BB1337"/>
    <w:rsid w:val="00BC2857"/>
    <w:rsid w:val="00BC3840"/>
    <w:rsid w:val="00BD12D2"/>
    <w:rsid w:val="00BD1D03"/>
    <w:rsid w:val="00BD7113"/>
    <w:rsid w:val="00BE05AC"/>
    <w:rsid w:val="00BF3188"/>
    <w:rsid w:val="00BF4150"/>
    <w:rsid w:val="00BF46E6"/>
    <w:rsid w:val="00BF7587"/>
    <w:rsid w:val="00C215BC"/>
    <w:rsid w:val="00C24963"/>
    <w:rsid w:val="00C30166"/>
    <w:rsid w:val="00C302B5"/>
    <w:rsid w:val="00C30525"/>
    <w:rsid w:val="00C33156"/>
    <w:rsid w:val="00C36237"/>
    <w:rsid w:val="00C36CB5"/>
    <w:rsid w:val="00C45CE7"/>
    <w:rsid w:val="00C4656C"/>
    <w:rsid w:val="00C54AF9"/>
    <w:rsid w:val="00C56AA9"/>
    <w:rsid w:val="00C6588E"/>
    <w:rsid w:val="00C723E3"/>
    <w:rsid w:val="00C76212"/>
    <w:rsid w:val="00C77499"/>
    <w:rsid w:val="00C848C7"/>
    <w:rsid w:val="00C87A3C"/>
    <w:rsid w:val="00C91398"/>
    <w:rsid w:val="00C96AEE"/>
    <w:rsid w:val="00CA000A"/>
    <w:rsid w:val="00CA036C"/>
    <w:rsid w:val="00CA06B3"/>
    <w:rsid w:val="00CB3B56"/>
    <w:rsid w:val="00CB3F77"/>
    <w:rsid w:val="00CB7F54"/>
    <w:rsid w:val="00CC0463"/>
    <w:rsid w:val="00CC2078"/>
    <w:rsid w:val="00CC4D66"/>
    <w:rsid w:val="00CC6834"/>
    <w:rsid w:val="00CE0C3E"/>
    <w:rsid w:val="00CE3219"/>
    <w:rsid w:val="00CE50AC"/>
    <w:rsid w:val="00CE67C6"/>
    <w:rsid w:val="00CF0CC9"/>
    <w:rsid w:val="00CF351B"/>
    <w:rsid w:val="00CF4140"/>
    <w:rsid w:val="00CF6E24"/>
    <w:rsid w:val="00D00F0E"/>
    <w:rsid w:val="00D018DB"/>
    <w:rsid w:val="00D076A6"/>
    <w:rsid w:val="00D10776"/>
    <w:rsid w:val="00D14545"/>
    <w:rsid w:val="00D15C66"/>
    <w:rsid w:val="00D232D6"/>
    <w:rsid w:val="00D23699"/>
    <w:rsid w:val="00D24DF7"/>
    <w:rsid w:val="00D315B5"/>
    <w:rsid w:val="00D33F7C"/>
    <w:rsid w:val="00D34944"/>
    <w:rsid w:val="00D36C56"/>
    <w:rsid w:val="00D43C4F"/>
    <w:rsid w:val="00D446E4"/>
    <w:rsid w:val="00D46645"/>
    <w:rsid w:val="00D46F89"/>
    <w:rsid w:val="00D61500"/>
    <w:rsid w:val="00D64837"/>
    <w:rsid w:val="00D66876"/>
    <w:rsid w:val="00D713D3"/>
    <w:rsid w:val="00D74B62"/>
    <w:rsid w:val="00D770E9"/>
    <w:rsid w:val="00D80415"/>
    <w:rsid w:val="00D80BBA"/>
    <w:rsid w:val="00D80BEF"/>
    <w:rsid w:val="00D96E20"/>
    <w:rsid w:val="00DA1E1A"/>
    <w:rsid w:val="00DA49ED"/>
    <w:rsid w:val="00DB532C"/>
    <w:rsid w:val="00DB7988"/>
    <w:rsid w:val="00DD0E1F"/>
    <w:rsid w:val="00DD31DB"/>
    <w:rsid w:val="00DD7CD4"/>
    <w:rsid w:val="00DE67A9"/>
    <w:rsid w:val="00DF4068"/>
    <w:rsid w:val="00DF4286"/>
    <w:rsid w:val="00E00C18"/>
    <w:rsid w:val="00E019AD"/>
    <w:rsid w:val="00E0281B"/>
    <w:rsid w:val="00E07BE3"/>
    <w:rsid w:val="00E17B3E"/>
    <w:rsid w:val="00E22E72"/>
    <w:rsid w:val="00E249FF"/>
    <w:rsid w:val="00E25ACB"/>
    <w:rsid w:val="00E3149B"/>
    <w:rsid w:val="00E32D3E"/>
    <w:rsid w:val="00E36BD8"/>
    <w:rsid w:val="00E3753D"/>
    <w:rsid w:val="00E42FDA"/>
    <w:rsid w:val="00E45C25"/>
    <w:rsid w:val="00E50015"/>
    <w:rsid w:val="00E52A92"/>
    <w:rsid w:val="00E571BD"/>
    <w:rsid w:val="00E57F4A"/>
    <w:rsid w:val="00E621B1"/>
    <w:rsid w:val="00E6367E"/>
    <w:rsid w:val="00E6590D"/>
    <w:rsid w:val="00E65D28"/>
    <w:rsid w:val="00E70763"/>
    <w:rsid w:val="00E75F7A"/>
    <w:rsid w:val="00E801A8"/>
    <w:rsid w:val="00E91856"/>
    <w:rsid w:val="00E939EF"/>
    <w:rsid w:val="00E964F3"/>
    <w:rsid w:val="00EA219C"/>
    <w:rsid w:val="00EA403D"/>
    <w:rsid w:val="00EA6DA7"/>
    <w:rsid w:val="00EA7F31"/>
    <w:rsid w:val="00EB2DEA"/>
    <w:rsid w:val="00EB5A32"/>
    <w:rsid w:val="00EB6AEB"/>
    <w:rsid w:val="00EC4EFE"/>
    <w:rsid w:val="00ED3977"/>
    <w:rsid w:val="00ED6C48"/>
    <w:rsid w:val="00EE3827"/>
    <w:rsid w:val="00EE5429"/>
    <w:rsid w:val="00EF16AD"/>
    <w:rsid w:val="00EF7256"/>
    <w:rsid w:val="00EF73BD"/>
    <w:rsid w:val="00EF787A"/>
    <w:rsid w:val="00F0000C"/>
    <w:rsid w:val="00F052CA"/>
    <w:rsid w:val="00F07CE2"/>
    <w:rsid w:val="00F119AC"/>
    <w:rsid w:val="00F133DD"/>
    <w:rsid w:val="00F140C1"/>
    <w:rsid w:val="00F1459F"/>
    <w:rsid w:val="00F148EA"/>
    <w:rsid w:val="00F16063"/>
    <w:rsid w:val="00F17C8E"/>
    <w:rsid w:val="00F20355"/>
    <w:rsid w:val="00F25218"/>
    <w:rsid w:val="00F26954"/>
    <w:rsid w:val="00F31353"/>
    <w:rsid w:val="00F32B6E"/>
    <w:rsid w:val="00F37F8D"/>
    <w:rsid w:val="00F42926"/>
    <w:rsid w:val="00F5148C"/>
    <w:rsid w:val="00F53CDA"/>
    <w:rsid w:val="00F54838"/>
    <w:rsid w:val="00F57804"/>
    <w:rsid w:val="00F661E8"/>
    <w:rsid w:val="00F718DF"/>
    <w:rsid w:val="00F71B13"/>
    <w:rsid w:val="00F72D8B"/>
    <w:rsid w:val="00F74D79"/>
    <w:rsid w:val="00F75C3D"/>
    <w:rsid w:val="00F75F4A"/>
    <w:rsid w:val="00F77EF5"/>
    <w:rsid w:val="00F86FE7"/>
    <w:rsid w:val="00F8769C"/>
    <w:rsid w:val="00F9422F"/>
    <w:rsid w:val="00F96BF0"/>
    <w:rsid w:val="00FA32B9"/>
    <w:rsid w:val="00FA3A16"/>
    <w:rsid w:val="00FA3D07"/>
    <w:rsid w:val="00FA4271"/>
    <w:rsid w:val="00FA5508"/>
    <w:rsid w:val="00FB47B6"/>
    <w:rsid w:val="00FC0E06"/>
    <w:rsid w:val="00FC2184"/>
    <w:rsid w:val="00FC66DF"/>
    <w:rsid w:val="00FE2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BC09F"/>
  <w15:chartTrackingRefBased/>
  <w15:docId w15:val="{331487D3-491B-4762-9312-212F5D5A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5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05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05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05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5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5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5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5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5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5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05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05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05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5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5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5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5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59D"/>
    <w:rPr>
      <w:rFonts w:eastAsiaTheme="majorEastAsia" w:cstheme="majorBidi"/>
      <w:color w:val="272727" w:themeColor="text1" w:themeTint="D8"/>
    </w:rPr>
  </w:style>
  <w:style w:type="paragraph" w:styleId="Title">
    <w:name w:val="Title"/>
    <w:basedOn w:val="Normal"/>
    <w:next w:val="Normal"/>
    <w:link w:val="TitleChar"/>
    <w:uiPriority w:val="10"/>
    <w:qFormat/>
    <w:rsid w:val="009405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5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5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5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59D"/>
    <w:pPr>
      <w:spacing w:before="160"/>
      <w:jc w:val="center"/>
    </w:pPr>
    <w:rPr>
      <w:i/>
      <w:iCs/>
      <w:color w:val="404040" w:themeColor="text1" w:themeTint="BF"/>
    </w:rPr>
  </w:style>
  <w:style w:type="character" w:customStyle="1" w:styleId="QuoteChar">
    <w:name w:val="Quote Char"/>
    <w:basedOn w:val="DefaultParagraphFont"/>
    <w:link w:val="Quote"/>
    <w:uiPriority w:val="29"/>
    <w:rsid w:val="0094059D"/>
    <w:rPr>
      <w:i/>
      <w:iCs/>
      <w:color w:val="404040" w:themeColor="text1" w:themeTint="BF"/>
    </w:rPr>
  </w:style>
  <w:style w:type="paragraph" w:styleId="ListParagraph">
    <w:name w:val="List Paragraph"/>
    <w:basedOn w:val="Normal"/>
    <w:uiPriority w:val="34"/>
    <w:qFormat/>
    <w:rsid w:val="0094059D"/>
    <w:pPr>
      <w:ind w:left="720"/>
      <w:contextualSpacing/>
    </w:pPr>
  </w:style>
  <w:style w:type="character" w:styleId="IntenseEmphasis">
    <w:name w:val="Intense Emphasis"/>
    <w:basedOn w:val="DefaultParagraphFont"/>
    <w:uiPriority w:val="21"/>
    <w:qFormat/>
    <w:rsid w:val="0094059D"/>
    <w:rPr>
      <w:i/>
      <w:iCs/>
      <w:color w:val="0F4761" w:themeColor="accent1" w:themeShade="BF"/>
    </w:rPr>
  </w:style>
  <w:style w:type="paragraph" w:styleId="IntenseQuote">
    <w:name w:val="Intense Quote"/>
    <w:basedOn w:val="Normal"/>
    <w:next w:val="Normal"/>
    <w:link w:val="IntenseQuoteChar"/>
    <w:uiPriority w:val="30"/>
    <w:qFormat/>
    <w:rsid w:val="009405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59D"/>
    <w:rPr>
      <w:i/>
      <w:iCs/>
      <w:color w:val="0F4761" w:themeColor="accent1" w:themeShade="BF"/>
    </w:rPr>
  </w:style>
  <w:style w:type="character" w:styleId="IntenseReference">
    <w:name w:val="Intense Reference"/>
    <w:basedOn w:val="DefaultParagraphFont"/>
    <w:uiPriority w:val="32"/>
    <w:qFormat/>
    <w:rsid w:val="0094059D"/>
    <w:rPr>
      <w:b/>
      <w:bCs/>
      <w:smallCaps/>
      <w:color w:val="0F4761" w:themeColor="accent1" w:themeShade="BF"/>
      <w:spacing w:val="5"/>
    </w:rPr>
  </w:style>
  <w:style w:type="paragraph" w:styleId="FootnoteText">
    <w:name w:val="footnote text"/>
    <w:basedOn w:val="Normal"/>
    <w:link w:val="FootnoteTextChar"/>
    <w:uiPriority w:val="99"/>
    <w:semiHidden/>
    <w:unhideWhenUsed/>
    <w:rsid w:val="00951E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1EC7"/>
    <w:rPr>
      <w:sz w:val="20"/>
      <w:szCs w:val="20"/>
    </w:rPr>
  </w:style>
  <w:style w:type="character" w:styleId="FootnoteReference">
    <w:name w:val="footnote reference"/>
    <w:basedOn w:val="DefaultParagraphFont"/>
    <w:uiPriority w:val="99"/>
    <w:semiHidden/>
    <w:unhideWhenUsed/>
    <w:rsid w:val="00951EC7"/>
    <w:rPr>
      <w:vertAlign w:val="superscript"/>
    </w:rPr>
  </w:style>
  <w:style w:type="character" w:styleId="Emphasis">
    <w:name w:val="Emphasis"/>
    <w:basedOn w:val="DefaultParagraphFont"/>
    <w:uiPriority w:val="20"/>
    <w:qFormat/>
    <w:rsid w:val="007C2662"/>
    <w:rPr>
      <w:i/>
      <w:iCs/>
    </w:rPr>
  </w:style>
  <w:style w:type="character" w:styleId="Strong">
    <w:name w:val="Strong"/>
    <w:basedOn w:val="DefaultParagraphFont"/>
    <w:uiPriority w:val="22"/>
    <w:qFormat/>
    <w:rsid w:val="007C2662"/>
    <w:rPr>
      <w:b/>
      <w:bCs/>
    </w:rPr>
  </w:style>
  <w:style w:type="paragraph" w:styleId="Bibliography">
    <w:name w:val="Bibliography"/>
    <w:basedOn w:val="Normal"/>
    <w:next w:val="Normal"/>
    <w:uiPriority w:val="37"/>
    <w:unhideWhenUsed/>
    <w:rsid w:val="009B74E3"/>
    <w:pPr>
      <w:spacing w:after="240" w:line="240" w:lineRule="auto"/>
      <w:ind w:left="720" w:hanging="720"/>
    </w:pPr>
  </w:style>
  <w:style w:type="character" w:styleId="EndnoteReference">
    <w:name w:val="endnote reference"/>
    <w:basedOn w:val="DefaultParagraphFont"/>
    <w:uiPriority w:val="99"/>
    <w:semiHidden/>
    <w:unhideWhenUsed/>
    <w:rsid w:val="007673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1222</TotalTime>
  <Pages>12</Pages>
  <Words>2547</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Clerck</dc:creator>
  <cp:keywords/>
  <dc:description/>
  <cp:lastModifiedBy>Teresa Clerck</cp:lastModifiedBy>
  <cp:revision>579</cp:revision>
  <dcterms:created xsi:type="dcterms:W3CDTF">2026-03-14T14:14:00Z</dcterms:created>
  <dcterms:modified xsi:type="dcterms:W3CDTF">2026-03-17T22:13:00Z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id="nFZK1buU"/&gt;&lt;style id="http://www.zotero.org/styles/mhra-notes-subsequent-ibid" hasBibliography="1" bibliographyStyleHasBeenSet="1"/&gt;&lt;prefs&gt;&lt;pref name="fieldType" value="Field"/&gt;&lt;pref name="noteTy</vt:lpwstr>
  </property>
  <property fmtid="{D5CDD505-2E9C-101B-9397-08002B2CF9AE}" pid="3" name="ZOTERO_PREF_2">
    <vt:lpwstr>pe" value="1"/&gt;&lt;/prefs&gt;&lt;/data&gt;</vt:lpwstr>
  </property>
</Properties>
</file>